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6A97FE">
      <w:pPr>
        <w:spacing w:line="360" w:lineRule="auto"/>
        <w:jc w:val="center"/>
        <w:outlineLvl w:val="0"/>
        <w:rPr>
          <w:b/>
          <w:sz w:val="36"/>
          <w:szCs w:val="36"/>
          <w:highlight w:val="none"/>
        </w:rPr>
      </w:pPr>
      <w:r>
        <w:rPr>
          <w:b/>
          <w:sz w:val="36"/>
          <w:szCs w:val="36"/>
          <w:highlight w:val="none"/>
        </w:rPr>
        <w:t>采购需求</w:t>
      </w:r>
    </w:p>
    <w:p w14:paraId="04A4D45F">
      <w:pPr>
        <w:rPr>
          <w:rFonts w:hint="eastAsia" w:ascii="宋体" w:hAnsi="宋体" w:eastAsia="宋体" w:cs="宋体"/>
          <w:sz w:val="24"/>
          <w:szCs w:val="24"/>
          <w:highlight w:val="none"/>
        </w:rPr>
      </w:pPr>
    </w:p>
    <w:p w14:paraId="75DF2A3E">
      <w:pPr>
        <w:pStyle w:val="3"/>
        <w:rPr>
          <w:rFonts w:hint="eastAsia" w:ascii="宋体" w:hAnsi="宋体" w:eastAsia="宋体" w:cs="宋体"/>
          <w:sz w:val="24"/>
          <w:szCs w:val="24"/>
          <w:highlight w:val="none"/>
        </w:rPr>
      </w:pPr>
      <w:r>
        <w:rPr>
          <w:rFonts w:hint="eastAsia" w:ascii="宋体" w:hAnsi="宋体" w:eastAsia="宋体" w:cs="宋体"/>
          <w:sz w:val="24"/>
          <w:szCs w:val="24"/>
          <w:highlight w:val="none"/>
        </w:rPr>
        <w:t>1.采购标的</w:t>
      </w:r>
    </w:p>
    <w:p w14:paraId="66B78776">
      <w:pPr>
        <w:rPr>
          <w:rFonts w:hint="eastAsia" w:ascii="宋体" w:hAnsi="宋体" w:eastAsia="宋体" w:cs="宋体"/>
          <w:sz w:val="24"/>
          <w:szCs w:val="24"/>
          <w:highlight w:val="none"/>
        </w:rPr>
      </w:pPr>
    </w:p>
    <w:tbl>
      <w:tblPr>
        <w:tblStyle w:val="10"/>
        <w:tblW w:w="7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7"/>
        <w:gridCol w:w="2343"/>
        <w:gridCol w:w="2167"/>
        <w:gridCol w:w="2408"/>
      </w:tblGrid>
      <w:tr w14:paraId="2B136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7" w:type="dxa"/>
            <w:vAlign w:val="center"/>
          </w:tcPr>
          <w:p w14:paraId="325F10AD">
            <w:pPr>
              <w:pStyle w:val="12"/>
              <w:rPr>
                <w:rFonts w:hint="eastAsia" w:ascii="宋体" w:hAnsi="宋体" w:eastAsia="宋体" w:cs="宋体"/>
                <w:sz w:val="24"/>
                <w:szCs w:val="24"/>
                <w:highlight w:val="none"/>
              </w:rPr>
            </w:pPr>
            <w:r>
              <w:rPr>
                <w:rFonts w:hint="eastAsia" w:ascii="宋体" w:hAnsi="宋体" w:eastAsia="宋体" w:cs="宋体"/>
                <w:sz w:val="24"/>
                <w:szCs w:val="24"/>
                <w:highlight w:val="none"/>
              </w:rPr>
              <w:t>序号</w:t>
            </w:r>
          </w:p>
        </w:tc>
        <w:tc>
          <w:tcPr>
            <w:tcW w:w="2343" w:type="dxa"/>
            <w:vAlign w:val="center"/>
          </w:tcPr>
          <w:p w14:paraId="5E440A14">
            <w:pPr>
              <w:pStyle w:val="12"/>
              <w:rPr>
                <w:rFonts w:hint="eastAsia" w:ascii="宋体" w:hAnsi="宋体" w:eastAsia="宋体" w:cs="宋体"/>
                <w:sz w:val="24"/>
                <w:szCs w:val="24"/>
                <w:highlight w:val="none"/>
              </w:rPr>
            </w:pPr>
            <w:r>
              <w:rPr>
                <w:rFonts w:hint="eastAsia" w:ascii="宋体" w:hAnsi="宋体" w:eastAsia="宋体" w:cs="宋体"/>
                <w:sz w:val="24"/>
                <w:szCs w:val="24"/>
                <w:highlight w:val="none"/>
              </w:rPr>
              <w:t>货物或服务名称</w:t>
            </w:r>
          </w:p>
        </w:tc>
        <w:tc>
          <w:tcPr>
            <w:tcW w:w="2167" w:type="dxa"/>
            <w:vAlign w:val="center"/>
          </w:tcPr>
          <w:p w14:paraId="60302E08">
            <w:pPr>
              <w:pStyle w:val="12"/>
              <w:rPr>
                <w:rFonts w:hint="eastAsia" w:ascii="宋体" w:hAnsi="宋体" w:eastAsia="宋体" w:cs="宋体"/>
                <w:sz w:val="24"/>
                <w:szCs w:val="24"/>
                <w:highlight w:val="none"/>
              </w:rPr>
            </w:pPr>
            <w:r>
              <w:rPr>
                <w:rFonts w:hint="eastAsia" w:ascii="宋体" w:hAnsi="宋体" w:eastAsia="宋体" w:cs="宋体"/>
                <w:sz w:val="24"/>
                <w:szCs w:val="24"/>
                <w:highlight w:val="none"/>
              </w:rPr>
              <w:t>数量</w:t>
            </w:r>
          </w:p>
        </w:tc>
        <w:tc>
          <w:tcPr>
            <w:tcW w:w="2408" w:type="dxa"/>
            <w:vAlign w:val="center"/>
          </w:tcPr>
          <w:p w14:paraId="763CD319">
            <w:pPr>
              <w:pStyle w:val="12"/>
              <w:rPr>
                <w:rFonts w:hint="eastAsia" w:ascii="宋体" w:hAnsi="宋体" w:eastAsia="宋体" w:cs="宋体"/>
                <w:sz w:val="24"/>
                <w:szCs w:val="24"/>
                <w:highlight w:val="none"/>
              </w:rPr>
            </w:pPr>
            <w:r>
              <w:rPr>
                <w:rFonts w:hint="eastAsia" w:ascii="宋体" w:hAnsi="宋体" w:eastAsia="宋体" w:cs="宋体"/>
                <w:sz w:val="24"/>
                <w:szCs w:val="24"/>
                <w:highlight w:val="none"/>
              </w:rPr>
              <w:t>单位</w:t>
            </w:r>
          </w:p>
        </w:tc>
      </w:tr>
      <w:tr w14:paraId="2B21A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7" w:type="dxa"/>
            <w:vAlign w:val="center"/>
          </w:tcPr>
          <w:p w14:paraId="72BBA646">
            <w:pPr>
              <w:pStyle w:val="13"/>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2343" w:type="dxa"/>
            <w:vAlign w:val="center"/>
          </w:tcPr>
          <w:p w14:paraId="46C4603F">
            <w:pPr>
              <w:pStyle w:val="13"/>
              <w:rPr>
                <w:rFonts w:hint="eastAsia" w:ascii="宋体" w:hAnsi="宋体" w:eastAsia="宋体" w:cs="宋体"/>
                <w:sz w:val="24"/>
                <w:szCs w:val="24"/>
                <w:highlight w:val="none"/>
              </w:rPr>
            </w:pPr>
            <w:r>
              <w:rPr>
                <w:rFonts w:hint="eastAsia" w:ascii="宋体" w:hAnsi="宋体" w:eastAsia="宋体" w:cs="宋体"/>
                <w:sz w:val="24"/>
                <w:szCs w:val="24"/>
                <w:highlight w:val="none"/>
              </w:rPr>
              <w:t>北京市卫生健康大数据与政策研究中心2026年云计算服务(北京全民健康信息平台)系统政务云服务项目</w:t>
            </w:r>
          </w:p>
        </w:tc>
        <w:tc>
          <w:tcPr>
            <w:tcW w:w="2167" w:type="dxa"/>
            <w:vAlign w:val="center"/>
          </w:tcPr>
          <w:p w14:paraId="142A44CC">
            <w:pPr>
              <w:pStyle w:val="13"/>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2408" w:type="dxa"/>
            <w:vAlign w:val="center"/>
          </w:tcPr>
          <w:p w14:paraId="1820789E">
            <w:pPr>
              <w:pStyle w:val="13"/>
              <w:rPr>
                <w:rFonts w:hint="eastAsia" w:ascii="宋体" w:hAnsi="宋体" w:eastAsia="宋体" w:cs="宋体"/>
                <w:sz w:val="24"/>
                <w:szCs w:val="24"/>
                <w:highlight w:val="none"/>
              </w:rPr>
            </w:pPr>
            <w:r>
              <w:rPr>
                <w:rFonts w:hint="eastAsia" w:ascii="宋体" w:hAnsi="宋体" w:eastAsia="宋体" w:cs="宋体"/>
                <w:sz w:val="24"/>
                <w:szCs w:val="24"/>
                <w:highlight w:val="none"/>
              </w:rPr>
              <w:t>项</w:t>
            </w:r>
          </w:p>
        </w:tc>
      </w:tr>
    </w:tbl>
    <w:p w14:paraId="62B2692E">
      <w:pPr>
        <w:spacing w:line="360" w:lineRule="auto"/>
        <w:contextualSpacing/>
        <w:rPr>
          <w:rFonts w:hint="eastAsia" w:ascii="宋体" w:hAnsi="宋体" w:eastAsia="宋体" w:cs="宋体"/>
          <w:sz w:val="24"/>
          <w:szCs w:val="24"/>
          <w:highlight w:val="none"/>
        </w:rPr>
      </w:pPr>
    </w:p>
    <w:p w14:paraId="58B6BDD3">
      <w:pPr>
        <w:pStyle w:val="3"/>
        <w:rPr>
          <w:rFonts w:hint="eastAsia" w:ascii="宋体" w:hAnsi="宋体" w:eastAsia="宋体" w:cs="宋体"/>
          <w:sz w:val="24"/>
          <w:szCs w:val="24"/>
          <w:highlight w:val="none"/>
        </w:rPr>
      </w:pPr>
      <w:r>
        <w:rPr>
          <w:rFonts w:hint="eastAsia" w:ascii="宋体" w:hAnsi="宋体" w:eastAsia="宋体" w:cs="宋体"/>
          <w:sz w:val="24"/>
          <w:szCs w:val="24"/>
          <w:highlight w:val="none"/>
        </w:rPr>
        <w:t>2.项目背景</w:t>
      </w:r>
    </w:p>
    <w:p w14:paraId="52981D0C">
      <w:pPr>
        <w:pStyle w:val="9"/>
        <w:spacing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为深入贯彻《"健康中国 2030 规划纲要》《国务院办公厅关于促进和规范健康医疗大数据应用发展的指导意见》《国务院办公厅关于促进"互联网+医疗健康" 发展的意见》以及国家卫生健康委《"十四五"全民健康信息化规划》《关于加强医疗卫生机构网络安全工作的通知》等政策文件要求，全面落实"健康中国"战略与数字中国建设部署，加快推进北京市医疗卫生健康事业数字化、智能化转型，结合北京市卫生健康信息化建设现状与实际需求，当前阶段的核心目标是全面推动医疗影像信息互联互通与健康医疗数据跨机构、跨区域共享应用，构建适应首都超大城市治理需求的 "互联网+医疗健康" 服务体系。</w:t>
      </w:r>
    </w:p>
    <w:p w14:paraId="6F128C84">
      <w:pPr>
        <w:pStyle w:val="9"/>
        <w:spacing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为落实上述政策部署与建设目标、补齐市域医疗数据共享应用短板，北京市建设全民健康信息平台，对接全市各级医院及区级全民健康、影像平台，集中汇聚电子病历、医疗影像等医疗数据。平台通过专业化数据治理与加工生产，构建标准化数据主题库，搭建医疗健康大数据平台与影像云平台，打通市域医疗数据壁垒，形成统一、规范的医疗数据资源底座，</w:t>
      </w:r>
      <w:r>
        <w:rPr>
          <w:rFonts w:hint="eastAsia" w:ascii="宋体" w:hAnsi="宋体" w:eastAsia="宋体" w:cs="宋体"/>
          <w:sz w:val="24"/>
          <w:szCs w:val="24"/>
          <w:highlight w:val="none"/>
          <w:lang w:val="en-US" w:eastAsia="zh-CN"/>
        </w:rPr>
        <w:t>实现</w:t>
      </w:r>
      <w:r>
        <w:rPr>
          <w:rFonts w:hint="eastAsia" w:ascii="宋体" w:hAnsi="宋体" w:eastAsia="宋体" w:cs="宋体"/>
          <w:sz w:val="24"/>
          <w:szCs w:val="24"/>
          <w:highlight w:val="none"/>
        </w:rPr>
        <w:t>全市范围内跨医疗机构的医疗健康数据的汇聚、共享、质控，减少检查、检验单据、胶片打印量，优化患者就医流程及服务体验。</w:t>
      </w:r>
    </w:p>
    <w:p w14:paraId="69F1613B">
      <w:pPr>
        <w:pStyle w:val="9"/>
        <w:spacing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依托云计算按需供给、资源池化、弹性调度的核心优势，按照"云网融合、安全可控、弹性扩展"的原则，将北京市全民健康信息平台核心业务系统迁移部署至云环境运行，采购云计算、云存储、云网络及云安全、专网等基础资源与服务，构建支撑医疗影像大数据存储、传输与共享的云化基础设施。</w:t>
      </w:r>
      <w:r>
        <w:rPr>
          <w:rFonts w:hint="eastAsia" w:ascii="宋体" w:hAnsi="宋体" w:eastAsia="宋体" w:cs="宋体"/>
          <w:sz w:val="24"/>
          <w:szCs w:val="24"/>
          <w:highlight w:val="none"/>
          <w:lang w:val="en-US" w:eastAsia="zh-CN"/>
        </w:rPr>
        <w:t>云平台应满足</w:t>
      </w:r>
      <w:r>
        <w:rPr>
          <w:rFonts w:hint="eastAsia" w:ascii="宋体" w:hAnsi="宋体" w:eastAsia="宋体" w:cs="宋体"/>
          <w:sz w:val="24"/>
          <w:szCs w:val="24"/>
          <w:highlight w:val="none"/>
        </w:rPr>
        <w:t>网络安全等级保护三级要求，适配国产化环境，确保健康医疗数据全生命周期安全。</w:t>
      </w:r>
    </w:p>
    <w:p w14:paraId="168C1F5E">
      <w:pPr>
        <w:pStyle w:val="9"/>
        <w:spacing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围绕业务系统持续稳定运行，全面开展基础设施日常运维服务与安全运维服务，具体包括：日常技术支持与咨询服务、系统例行维护与版本管理、运行状态7×24小时实时监控、系统故障预警与应急</w:t>
      </w:r>
      <w:r>
        <w:rPr>
          <w:rFonts w:hint="eastAsia" w:ascii="宋体" w:hAnsi="宋体" w:eastAsia="宋体" w:cs="宋体"/>
          <w:sz w:val="24"/>
          <w:szCs w:val="24"/>
          <w:highlight w:val="none"/>
          <w:lang w:val="en-US" w:eastAsia="zh-CN"/>
        </w:rPr>
        <w:t>事件</w:t>
      </w:r>
      <w:r>
        <w:rPr>
          <w:rFonts w:hint="eastAsia" w:ascii="宋体" w:hAnsi="宋体" w:eastAsia="宋体" w:cs="宋体"/>
          <w:sz w:val="24"/>
          <w:szCs w:val="24"/>
          <w:highlight w:val="none"/>
        </w:rPr>
        <w:t>处置、安全漏洞扫描与修复、威胁监测与防护、数据备份与灾备演练等工作，确保各项业务连续、高效、安全开展，全面提升云上系统的安全保障能力与运维服务水平，为北京市"互联网+健康医疗"高质量发展提供坚实可靠的基础设施与运维保障。</w:t>
      </w:r>
    </w:p>
    <w:p w14:paraId="20966219">
      <w:pPr>
        <w:pStyle w:val="9"/>
        <w:keepNext w:val="0"/>
        <w:keepLines w:val="0"/>
        <w:widowControl/>
        <w:suppressLineNumbers w:val="0"/>
        <w:spacing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同时，</w:t>
      </w:r>
      <w:r>
        <w:rPr>
          <w:rFonts w:hint="eastAsia" w:ascii="宋体" w:hAnsi="宋体" w:eastAsia="宋体" w:cs="宋体"/>
          <w:kern w:val="0"/>
          <w:sz w:val="24"/>
          <w:szCs w:val="24"/>
          <w:highlight w:val="none"/>
          <w:lang w:val="en-US" w:eastAsia="zh-CN" w:bidi="ar"/>
        </w:rPr>
        <w:t>本项目需完成多项对外网络对接，打通跨平台、跨机构数据与资源互通壁垒。需打通与北京市预约挂号平台的专用网络，实现挂号、候诊、候补等业务数据单向同步归集。搭建与国家人工智能应用中试基地（医疗）·北京云池的双向网络，实现算力、模型等资源与全民健康信息平台互通。同时还需完成云平台与政务外网、医疗机构网络对接，搭建专属传输通道，归集影像、检验、病历、挂号等诊疗数据。所有网络对接需符合等保及行业安全规范，保障数据交互安全、高效、合规。</w:t>
      </w:r>
    </w:p>
    <w:p w14:paraId="28BC5051">
      <w:pPr>
        <w:pStyle w:val="9"/>
        <w:spacing w:line="360" w:lineRule="auto"/>
        <w:ind w:firstLine="480" w:firstLineChars="200"/>
        <w:jc w:val="both"/>
        <w:rPr>
          <w:rFonts w:hint="eastAsia" w:ascii="宋体" w:hAnsi="宋体" w:eastAsia="宋体" w:cs="宋体"/>
          <w:sz w:val="24"/>
          <w:szCs w:val="24"/>
          <w:highlight w:val="none"/>
        </w:rPr>
      </w:pPr>
    </w:p>
    <w:p w14:paraId="79CED918">
      <w:pPr>
        <w:pStyle w:val="9"/>
        <w:spacing w:line="360" w:lineRule="auto"/>
        <w:ind w:firstLine="480" w:firstLineChars="200"/>
        <w:jc w:val="both"/>
        <w:rPr>
          <w:rFonts w:hint="eastAsia" w:ascii="宋体" w:hAnsi="宋体" w:eastAsia="宋体" w:cs="宋体"/>
          <w:sz w:val="24"/>
          <w:szCs w:val="24"/>
          <w:highlight w:val="none"/>
        </w:rPr>
      </w:pPr>
    </w:p>
    <w:p w14:paraId="6B0A0A27">
      <w:pPr>
        <w:pStyle w:val="2"/>
        <w:rPr>
          <w:rFonts w:hint="eastAsia" w:ascii="宋体" w:hAnsi="宋体" w:eastAsia="宋体" w:cs="宋体"/>
          <w:sz w:val="24"/>
          <w:szCs w:val="24"/>
          <w:highlight w:val="none"/>
        </w:rPr>
      </w:pPr>
      <w:r>
        <w:rPr>
          <w:rFonts w:hint="eastAsia" w:ascii="宋体" w:hAnsi="宋体" w:eastAsia="宋体" w:cs="宋体"/>
          <w:sz w:val="24"/>
          <w:szCs w:val="24"/>
          <w:highlight w:val="none"/>
        </w:rPr>
        <w:t>二、商务要求</w:t>
      </w:r>
    </w:p>
    <w:p w14:paraId="3ACB7542">
      <w:pPr>
        <w:spacing w:line="360" w:lineRule="auto"/>
        <w:ind w:left="0" w:firstLine="480" w:firstLineChars="200"/>
        <w:contextualSpacing/>
        <w:outlineLvl w:val="9"/>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1. 交付时间和方式</w:t>
      </w:r>
    </w:p>
    <w:p w14:paraId="23C5B518">
      <w:pPr>
        <w:adjustRightInd w:val="0"/>
        <w:spacing w:line="360" w:lineRule="auto"/>
        <w:ind w:firstLine="480" w:firstLineChars="200"/>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本项目租用服务期：</w:t>
      </w:r>
      <w:r>
        <w:rPr>
          <w:rFonts w:hint="eastAsia" w:ascii="宋体" w:hAnsi="宋体" w:eastAsia="宋体" w:cs="宋体"/>
          <w:kern w:val="0"/>
          <w:sz w:val="24"/>
          <w:szCs w:val="24"/>
          <w:highlight w:val="none"/>
          <w:lang w:val="en-US" w:eastAsia="zh-CN"/>
        </w:rPr>
        <w:t>3</w:t>
      </w:r>
      <w:r>
        <w:rPr>
          <w:rFonts w:hint="eastAsia" w:ascii="宋体" w:hAnsi="宋体" w:eastAsia="宋体" w:cs="宋体"/>
          <w:kern w:val="0"/>
          <w:sz w:val="24"/>
          <w:szCs w:val="24"/>
          <w:highlight w:val="none"/>
        </w:rPr>
        <w:t>个月。</w:t>
      </w:r>
      <w:r>
        <w:rPr>
          <w:rFonts w:hint="eastAsia" w:ascii="宋体" w:hAnsi="宋体" w:eastAsia="宋体" w:cs="宋体"/>
          <w:kern w:val="0"/>
          <w:sz w:val="24"/>
          <w:szCs w:val="24"/>
          <w:highlight w:val="none"/>
          <w:lang w:val="en-US" w:eastAsia="zh-CN"/>
        </w:rPr>
        <w:t>自业务系统上线完成之日起算服务期。</w:t>
      </w:r>
    </w:p>
    <w:p w14:paraId="697DBC0F">
      <w:pPr>
        <w:adjustRightInd w:val="0"/>
        <w:spacing w:line="360" w:lineRule="auto"/>
        <w:ind w:firstLine="480" w:firstLineChars="200"/>
        <w:jc w:val="left"/>
        <w:textAlignment w:val="baseline"/>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rPr>
        <w:t>本项目交付方式：中标人应</w:t>
      </w:r>
      <w:r>
        <w:rPr>
          <w:rFonts w:hint="eastAsia" w:ascii="宋体" w:hAnsi="宋体" w:eastAsia="宋体" w:cs="宋体"/>
          <w:kern w:val="0"/>
          <w:sz w:val="24"/>
          <w:szCs w:val="24"/>
          <w:highlight w:val="none"/>
          <w:lang w:val="en-US" w:eastAsia="zh-CN"/>
        </w:rPr>
        <w:t>在</w:t>
      </w:r>
      <w:r>
        <w:rPr>
          <w:rFonts w:hint="eastAsia" w:ascii="宋体" w:hAnsi="宋体" w:eastAsia="宋体" w:cs="宋体"/>
          <w:kern w:val="0"/>
          <w:sz w:val="24"/>
          <w:szCs w:val="24"/>
          <w:highlight w:val="none"/>
        </w:rPr>
        <w:t>合同签订生效之日起10个自然日内，交付本次招标所需的云资源</w:t>
      </w:r>
      <w:r>
        <w:rPr>
          <w:rFonts w:hint="eastAsia" w:ascii="宋体" w:hAnsi="宋体" w:eastAsia="宋体" w:cs="宋体"/>
          <w:kern w:val="0"/>
          <w:sz w:val="24"/>
          <w:szCs w:val="24"/>
          <w:highlight w:val="none"/>
          <w:lang w:val="en-US" w:eastAsia="zh-CN"/>
        </w:rPr>
        <w:t>及网络资源</w:t>
      </w:r>
      <w:r>
        <w:rPr>
          <w:rFonts w:hint="eastAsia" w:ascii="宋体" w:hAnsi="宋体" w:eastAsia="宋体" w:cs="宋体"/>
          <w:kern w:val="0"/>
          <w:sz w:val="24"/>
          <w:szCs w:val="24"/>
          <w:highlight w:val="none"/>
        </w:rPr>
        <w:t>。</w:t>
      </w:r>
    </w:p>
    <w:p w14:paraId="0FFD93CD">
      <w:pPr>
        <w:spacing w:line="360" w:lineRule="auto"/>
        <w:ind w:firstLine="480" w:firstLineChars="200"/>
        <w:contextualSpacing/>
        <w:rPr>
          <w:rFonts w:hint="eastAsia" w:ascii="宋体" w:hAnsi="宋体" w:eastAsia="宋体" w:cs="宋体"/>
          <w:bCs/>
          <w:sz w:val="24"/>
          <w:szCs w:val="24"/>
          <w:highlight w:val="none"/>
        </w:rPr>
      </w:pPr>
      <w:r>
        <w:rPr>
          <w:rFonts w:hint="eastAsia" w:ascii="宋体" w:hAnsi="宋体" w:eastAsia="宋体" w:cs="宋体"/>
          <w:bCs/>
          <w:sz w:val="24"/>
          <w:szCs w:val="24"/>
          <w:highlight w:val="none"/>
        </w:rPr>
        <w:t>2.付款条件（进度和方式）</w:t>
      </w:r>
    </w:p>
    <w:p w14:paraId="634B74C3">
      <w:pPr>
        <w:spacing w:line="360" w:lineRule="auto"/>
        <w:ind w:firstLine="480" w:firstLineChars="200"/>
        <w:contextualSpacing/>
        <w:rPr>
          <w:rFonts w:hint="eastAsia" w:ascii="宋体" w:hAnsi="宋体" w:eastAsia="宋体" w:cs="宋体"/>
          <w:sz w:val="24"/>
          <w:szCs w:val="24"/>
          <w:highlight w:val="none"/>
        </w:rPr>
      </w:pPr>
      <w:r>
        <w:rPr>
          <w:rFonts w:hint="eastAsia" w:ascii="宋体" w:hAnsi="宋体" w:eastAsia="宋体" w:cs="宋体"/>
          <w:bCs/>
          <w:sz w:val="24"/>
          <w:szCs w:val="24"/>
          <w:highlight w:val="none"/>
        </w:rPr>
        <w:t>采购人待合同签署生效且财政资金拨付到位后，于20个工作日内支付合同首款（合同额50%）；服务期结束且项目通过验收后，待财政资金拨付到位，采购人支付合同尾款（合同额50%）。</w:t>
      </w:r>
    </w:p>
    <w:p w14:paraId="58BEBF6A">
      <w:pPr>
        <w:pStyle w:val="2"/>
        <w:rPr>
          <w:rFonts w:hint="eastAsia" w:ascii="宋体" w:hAnsi="宋体" w:eastAsia="宋体" w:cs="宋体"/>
          <w:sz w:val="24"/>
          <w:szCs w:val="24"/>
          <w:highlight w:val="none"/>
        </w:rPr>
      </w:pPr>
      <w:r>
        <w:rPr>
          <w:rFonts w:hint="eastAsia" w:ascii="宋体" w:hAnsi="宋体" w:eastAsia="宋体" w:cs="宋体"/>
          <w:sz w:val="24"/>
          <w:szCs w:val="24"/>
          <w:highlight w:val="none"/>
        </w:rPr>
        <w:t>三、技术要求</w:t>
      </w:r>
    </w:p>
    <w:p w14:paraId="46014F77">
      <w:pPr>
        <w:pStyle w:val="3"/>
        <w:numPr>
          <w:ilvl w:val="0"/>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基本要求</w:t>
      </w:r>
    </w:p>
    <w:p w14:paraId="37044824">
      <w:pPr>
        <w:pStyle w:val="5"/>
        <w:numPr>
          <w:ilvl w:val="1"/>
          <w:numId w:val="1"/>
        </w:numPr>
        <w:ind w:firstLineChars="200"/>
        <w:contextualSpacing/>
        <w:rPr>
          <w:rFonts w:hint="eastAsia" w:ascii="宋体" w:hAnsi="宋体" w:eastAsia="宋体" w:cs="宋体"/>
          <w:sz w:val="24"/>
          <w:szCs w:val="24"/>
          <w:highlight w:val="none"/>
        </w:rPr>
      </w:pPr>
      <w:r>
        <w:rPr>
          <w:rFonts w:hint="eastAsia" w:ascii="宋体" w:hAnsi="宋体" w:eastAsia="宋体" w:cs="宋体"/>
          <w:sz w:val="24"/>
          <w:szCs w:val="24"/>
          <w:highlight w:val="none"/>
        </w:rPr>
        <w:t>采购标的需实现的功能或目标</w:t>
      </w:r>
    </w:p>
    <w:p w14:paraId="76020BEF">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本项目的总体目标是通过租用云平台、专网的基础服务，对入云业务系统的运行环境进行持续优化，提供可靠、稳定、安全的云、专网基础服务，具体包括：</w:t>
      </w:r>
    </w:p>
    <w:p w14:paraId="098EC42A">
      <w:pPr>
        <w:numPr>
          <w:ilvl w:val="0"/>
          <w:numId w:val="2"/>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提供云基础服务，包括</w:t>
      </w:r>
      <w:r>
        <w:rPr>
          <w:rFonts w:hint="eastAsia" w:ascii="宋体" w:hAnsi="宋体" w:eastAsia="宋体" w:cs="宋体"/>
          <w:sz w:val="24"/>
          <w:szCs w:val="24"/>
          <w:highlight w:val="none"/>
        </w:rPr>
        <w:t>计算服务、存储服务、网络服务和安全服务等基础环境的日常维护、应急响应等工作。</w:t>
      </w:r>
    </w:p>
    <w:p w14:paraId="7E029BCF">
      <w:pPr>
        <w:numPr>
          <w:ilvl w:val="0"/>
          <w:numId w:val="2"/>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提供7*24运维保障，做好重大活动和节假日应急值守保障服务，确保各系统在政务云环境中可靠稳定运行。</w:t>
      </w:r>
    </w:p>
    <w:p w14:paraId="7587752D">
      <w:pPr>
        <w:numPr>
          <w:ilvl w:val="0"/>
          <w:numId w:val="2"/>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服务期内，投标人须完成云平台的日常运维和安全运维服务工作(包括:日常技术支持、系统日常维护、服务规范、安全及保密要求、应急响应等)，确保入云系统安全、稳定地运行。</w:t>
      </w:r>
    </w:p>
    <w:p w14:paraId="064CAB5B">
      <w:pPr>
        <w:numPr>
          <w:ilvl w:val="0"/>
          <w:numId w:val="2"/>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提供连接北京市市内256家医疗机构的专网服务。从建设地点、安全、可靠性、云池及接入点侧的网络策略配置等方面考虑，提供医疗专网建设方案及配套数据传输安全方案、业务对接方案、网络运行保障方案及服务。</w:t>
      </w:r>
    </w:p>
    <w:p w14:paraId="6A79BDC1">
      <w:pPr>
        <w:numPr>
          <w:ilvl w:val="0"/>
          <w:numId w:val="2"/>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color w:val="000000"/>
          <w:kern w:val="0"/>
          <w:sz w:val="24"/>
          <w:szCs w:val="24"/>
          <w:highlight w:val="none"/>
          <w:lang w:bidi="ar"/>
        </w:rPr>
        <w:t>投标人应完成本项目所投云平台与北京市预约挂号平台</w:t>
      </w:r>
      <w:r>
        <w:rPr>
          <w:rFonts w:hint="eastAsia" w:ascii="宋体" w:hAnsi="宋体" w:eastAsia="宋体" w:cs="宋体"/>
          <w:sz w:val="24"/>
          <w:szCs w:val="24"/>
          <w:highlight w:val="none"/>
        </w:rPr>
        <w:t>（北京市西城区复兴门南大街6号）</w:t>
      </w:r>
      <w:r>
        <w:rPr>
          <w:rFonts w:hint="eastAsia" w:ascii="宋体" w:hAnsi="宋体" w:eastAsia="宋体" w:cs="宋体"/>
          <w:color w:val="000000"/>
          <w:kern w:val="0"/>
          <w:sz w:val="24"/>
          <w:szCs w:val="24"/>
          <w:highlight w:val="none"/>
          <w:lang w:bidi="ar"/>
        </w:rPr>
        <w:t>、国家人工智能应用中试基地（医疗）·北京云池（</w:t>
      </w:r>
      <w:r>
        <w:rPr>
          <w:rFonts w:hint="eastAsia" w:ascii="宋体" w:hAnsi="宋体" w:eastAsia="宋体" w:cs="宋体"/>
          <w:sz w:val="24"/>
          <w:szCs w:val="24"/>
          <w:highlight w:val="none"/>
        </w:rPr>
        <w:t>北京市通州区台湖镇兴光二街4号</w:t>
      </w:r>
      <w:r>
        <w:rPr>
          <w:rFonts w:hint="eastAsia" w:ascii="宋体" w:hAnsi="宋体" w:eastAsia="宋体" w:cs="宋体"/>
          <w:color w:val="000000"/>
          <w:kern w:val="0"/>
          <w:sz w:val="24"/>
          <w:szCs w:val="24"/>
          <w:highlight w:val="none"/>
          <w:lang w:bidi="ar"/>
        </w:rPr>
        <w:t>）、政务外网对接，且因此产生的各项费用</w:t>
      </w:r>
      <w:r>
        <w:rPr>
          <w:rFonts w:hint="eastAsia" w:ascii="宋体" w:hAnsi="宋体" w:eastAsia="宋体" w:cs="宋体"/>
          <w:sz w:val="24"/>
          <w:szCs w:val="24"/>
          <w:highlight w:val="none"/>
        </w:rPr>
        <w:t>应包含在投标人报价中。</w:t>
      </w:r>
    </w:p>
    <w:p w14:paraId="6603380E">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投标人为本项目提供的云资源物理空间独立，并与其他用户的机柜机架、网络设备、网络电路等物理隔离，提供不少于80个连续机柜，并预留连续机柜扩展性（至少20个连续机柜），配备专门的人防、物防设施并接受采购人的管理。</w:t>
      </w:r>
    </w:p>
    <w:p w14:paraId="02CB2191">
      <w:pPr>
        <w:pStyle w:val="8"/>
        <w:rPr>
          <w:rFonts w:hint="eastAsia" w:ascii="宋体" w:hAnsi="宋体" w:eastAsia="宋体" w:cs="宋体"/>
          <w:sz w:val="24"/>
          <w:szCs w:val="24"/>
          <w:highlight w:val="none"/>
        </w:rPr>
      </w:pPr>
    </w:p>
    <w:p w14:paraId="2CE7FC9F">
      <w:pPr>
        <w:pStyle w:val="5"/>
        <w:numPr>
          <w:ilvl w:val="1"/>
          <w:numId w:val="1"/>
        </w:numPr>
        <w:ind w:firstLineChars="200"/>
        <w:contextualSpacing/>
        <w:rPr>
          <w:rFonts w:hint="eastAsia" w:ascii="宋体" w:hAnsi="宋体" w:eastAsia="宋体" w:cs="宋体"/>
          <w:sz w:val="24"/>
          <w:szCs w:val="24"/>
          <w:highlight w:val="none"/>
        </w:rPr>
      </w:pPr>
      <w:r>
        <w:rPr>
          <w:rFonts w:hint="eastAsia" w:ascii="宋体" w:hAnsi="宋体" w:eastAsia="宋体" w:cs="宋体"/>
          <w:sz w:val="24"/>
          <w:szCs w:val="24"/>
          <w:highlight w:val="none"/>
        </w:rPr>
        <w:t>需执行的国家相关标准、行业标准、地方标准或者其他标准、规范</w:t>
      </w:r>
    </w:p>
    <w:p w14:paraId="69E6F9FF">
      <w:pPr>
        <w:pStyle w:val="6"/>
        <w:numPr>
          <w:ilvl w:val="2"/>
          <w:numId w:val="1"/>
        </w:numPr>
        <w:ind w:firstLineChars="200"/>
        <w:contextualSpacing/>
        <w:rPr>
          <w:rFonts w:hint="eastAsia" w:ascii="宋体" w:hAnsi="宋体" w:eastAsia="宋体" w:cs="宋体"/>
          <w:sz w:val="24"/>
          <w:szCs w:val="24"/>
          <w:highlight w:val="none"/>
        </w:rPr>
      </w:pPr>
      <w:r>
        <w:rPr>
          <w:rFonts w:hint="eastAsia" w:ascii="宋体" w:hAnsi="宋体" w:eastAsia="宋体" w:cs="宋体"/>
          <w:sz w:val="24"/>
          <w:szCs w:val="24"/>
          <w:highlight w:val="none"/>
        </w:rPr>
        <w:t>国家及北京市有关政策</w:t>
      </w:r>
    </w:p>
    <w:p w14:paraId="62B93916">
      <w:pPr>
        <w:numPr>
          <w:ilvl w:val="0"/>
          <w:numId w:val="3"/>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bookmarkStart w:id="0" w:name="OLE_LINK2"/>
      <w:r>
        <w:rPr>
          <w:rFonts w:hint="eastAsia" w:ascii="宋体" w:hAnsi="宋体" w:eastAsia="宋体" w:cs="宋体"/>
          <w:bCs/>
          <w:sz w:val="24"/>
          <w:szCs w:val="24"/>
          <w:highlight w:val="none"/>
        </w:rPr>
        <w:t>《关键信息基础设施安全保护条例》（中华人民共和国国务院令第745号）</w:t>
      </w:r>
    </w:p>
    <w:p w14:paraId="1C7F848A">
      <w:pPr>
        <w:numPr>
          <w:ilvl w:val="0"/>
          <w:numId w:val="3"/>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《国家政务信息化项目建设管理办法》（国办发〔2019〕57号）</w:t>
      </w:r>
    </w:p>
    <w:p w14:paraId="48390E7C">
      <w:pPr>
        <w:numPr>
          <w:ilvl w:val="0"/>
          <w:numId w:val="3"/>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《政府采购需求管理办法》（财库〔2021〕22号）</w:t>
      </w:r>
    </w:p>
    <w:p w14:paraId="376C1DA2">
      <w:pPr>
        <w:numPr>
          <w:ilvl w:val="0"/>
          <w:numId w:val="3"/>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《关于促进政府采购公平竞争优化营商环境的通知》（财库〔2019〕38号）</w:t>
      </w:r>
    </w:p>
    <w:p w14:paraId="4452D1CB">
      <w:pPr>
        <w:numPr>
          <w:ilvl w:val="0"/>
          <w:numId w:val="3"/>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《关于进一步提高政府采购透明度和采购效率相关事项的通知》（财办库〔2023〕243号）</w:t>
      </w:r>
    </w:p>
    <w:p w14:paraId="04FA8248">
      <w:pPr>
        <w:numPr>
          <w:ilvl w:val="0"/>
          <w:numId w:val="3"/>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《工业和信息化部信息通信管理局关于督促互联网网络接入服务企业依法持证经营的通知》（工信管函〔2018〕84号）</w:t>
      </w:r>
    </w:p>
    <w:p w14:paraId="14E1905D">
      <w:pPr>
        <w:numPr>
          <w:ilvl w:val="0"/>
          <w:numId w:val="3"/>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《关于加强党政部门云计算服务网络安全管理的意见》（中网办发文〔2014〕14号）</w:t>
      </w:r>
    </w:p>
    <w:p w14:paraId="129A4470">
      <w:pPr>
        <w:numPr>
          <w:ilvl w:val="0"/>
          <w:numId w:val="3"/>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《基于云计算的电子政务公共平台顶层设计指南》</w:t>
      </w:r>
    </w:p>
    <w:p w14:paraId="55815B26">
      <w:pPr>
        <w:numPr>
          <w:ilvl w:val="0"/>
          <w:numId w:val="3"/>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《北京市财政局关于落实好政府采购支持中小企业发展的通知（京财采购〔2022〕1143号）</w:t>
      </w:r>
    </w:p>
    <w:p w14:paraId="626E4250">
      <w:pPr>
        <w:numPr>
          <w:ilvl w:val="0"/>
          <w:numId w:val="3"/>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《关于印发〈关于推进我市政务信息系统整合共享的实施方案〉的通知》（京经信委发〔2017〕89号）</w:t>
      </w:r>
    </w:p>
    <w:p w14:paraId="67819959">
      <w:pPr>
        <w:numPr>
          <w:ilvl w:val="0"/>
          <w:numId w:val="3"/>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《北京市人民政府关于印发〈北京市政务信息资源管理办法（试行）〉的通知》（京政发〔2017〕37号）</w:t>
      </w:r>
    </w:p>
    <w:p w14:paraId="56423210">
      <w:pPr>
        <w:numPr>
          <w:ilvl w:val="0"/>
          <w:numId w:val="3"/>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《北京市政务网络和数据安全管理办法》（京经信发〔2023〕57号）</w:t>
      </w:r>
    </w:p>
    <w:p w14:paraId="0167E5E7">
      <w:pPr>
        <w:numPr>
          <w:ilvl w:val="0"/>
          <w:numId w:val="3"/>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《北京市“十四五”时期智慧城市建设控制性规划要求（试行）》（京大数据发〔2021〕2号）</w:t>
      </w:r>
    </w:p>
    <w:p w14:paraId="7EBBCB06">
      <w:pPr>
        <w:pStyle w:val="6"/>
        <w:numPr>
          <w:ilvl w:val="2"/>
          <w:numId w:val="1"/>
        </w:numPr>
        <w:ind w:firstLineChars="200"/>
        <w:contextualSpacing/>
        <w:rPr>
          <w:rFonts w:hint="eastAsia" w:ascii="宋体" w:hAnsi="宋体" w:eastAsia="宋体" w:cs="宋体"/>
          <w:sz w:val="24"/>
          <w:szCs w:val="24"/>
          <w:highlight w:val="none"/>
        </w:rPr>
      </w:pPr>
      <w:r>
        <w:rPr>
          <w:rFonts w:hint="eastAsia" w:ascii="宋体" w:hAnsi="宋体" w:eastAsia="宋体" w:cs="宋体"/>
          <w:sz w:val="24"/>
          <w:szCs w:val="24"/>
          <w:highlight w:val="none"/>
        </w:rPr>
        <w:t>国家相关标准</w:t>
      </w:r>
    </w:p>
    <w:p w14:paraId="44B8009F">
      <w:pPr>
        <w:numPr>
          <w:ilvl w:val="0"/>
          <w:numId w:val="4"/>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《国家电子政务外网安全接入平台技术规范》</w:t>
      </w:r>
    </w:p>
    <w:p w14:paraId="5C0E1544">
      <w:pPr>
        <w:numPr>
          <w:ilvl w:val="0"/>
          <w:numId w:val="4"/>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《信息技术—云计算—云服务质量评价指标》（GB/T 37738-2019）</w:t>
      </w:r>
    </w:p>
    <w:p w14:paraId="66DBC94B">
      <w:pPr>
        <w:numPr>
          <w:ilvl w:val="0"/>
          <w:numId w:val="4"/>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《信息技术—云计算—云服务计量指标》（GB/T 37735-2019）</w:t>
      </w:r>
    </w:p>
    <w:p w14:paraId="513FA824">
      <w:pPr>
        <w:numPr>
          <w:ilvl w:val="0"/>
          <w:numId w:val="4"/>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《信息技术—云计算—云服务采购指南》（GB/T 37734-2019）</w:t>
      </w:r>
    </w:p>
    <w:p w14:paraId="31E6FFE4">
      <w:pPr>
        <w:numPr>
          <w:ilvl w:val="0"/>
          <w:numId w:val="4"/>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《信息技术—云计算—云存储系统服务接口功能》（GB/T 37732-2019）</w:t>
      </w:r>
    </w:p>
    <w:p w14:paraId="77C35481">
      <w:pPr>
        <w:numPr>
          <w:ilvl w:val="0"/>
          <w:numId w:val="4"/>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《信息技术—云计算—云资源监控通用要求》（GB/T 37736-2019）</w:t>
      </w:r>
    </w:p>
    <w:p w14:paraId="011E688E">
      <w:pPr>
        <w:numPr>
          <w:ilvl w:val="0"/>
          <w:numId w:val="4"/>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《信息技术—云计算—云平台间应用和数据迁移指南》（GB/T 37740-2019）</w:t>
      </w:r>
    </w:p>
    <w:p w14:paraId="4349A098">
      <w:pPr>
        <w:numPr>
          <w:ilvl w:val="0"/>
          <w:numId w:val="4"/>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《信息技术—云计算—云服务交付要求》（GB/T 37741-2019）</w:t>
      </w:r>
    </w:p>
    <w:p w14:paraId="67A3718E">
      <w:pPr>
        <w:numPr>
          <w:ilvl w:val="0"/>
          <w:numId w:val="4"/>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《信息系统灾难恢复规范》（GB/T 20988-2007）</w:t>
      </w:r>
    </w:p>
    <w:p w14:paraId="396DCA16">
      <w:pPr>
        <w:numPr>
          <w:ilvl w:val="0"/>
          <w:numId w:val="4"/>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《信息安全技术 云计算服务安全能力要求》（GB/T 31168-2014）</w:t>
      </w:r>
    </w:p>
    <w:p w14:paraId="46315124">
      <w:pPr>
        <w:numPr>
          <w:ilvl w:val="0"/>
          <w:numId w:val="4"/>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《信息安全技术 网络安全等级保护定级指南》（GB/T 22240-2020）</w:t>
      </w:r>
    </w:p>
    <w:p w14:paraId="1D9FFD58">
      <w:pPr>
        <w:numPr>
          <w:ilvl w:val="0"/>
          <w:numId w:val="4"/>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《信息安全技术 网络安全等级保护基本要求》（GB/T 22239-2019）</w:t>
      </w:r>
    </w:p>
    <w:p w14:paraId="4BB18477">
      <w:pPr>
        <w:numPr>
          <w:ilvl w:val="0"/>
          <w:numId w:val="4"/>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《信息安全技术 网络安全等级保护测评要求》（GB/T 28448-2019）</w:t>
      </w:r>
    </w:p>
    <w:p w14:paraId="754F9AB4">
      <w:pPr>
        <w:numPr>
          <w:ilvl w:val="0"/>
          <w:numId w:val="4"/>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《信息安全技术 信息系统密码应用基本要求》（GB/T39786-2021）</w:t>
      </w:r>
    </w:p>
    <w:p w14:paraId="4A6164FE">
      <w:pPr>
        <w:numPr>
          <w:ilvl w:val="0"/>
          <w:numId w:val="4"/>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《信息安全技术 信息安全风险评估方法》（GB/T 20984-2022）</w:t>
      </w:r>
    </w:p>
    <w:p w14:paraId="1DC9E69F">
      <w:pPr>
        <w:numPr>
          <w:ilvl w:val="0"/>
          <w:numId w:val="4"/>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《信息安全技术 云计算服务安全指南》（GB/T 31167-2014）</w:t>
      </w:r>
    </w:p>
    <w:p w14:paraId="2D37F4EB">
      <w:pPr>
        <w:numPr>
          <w:ilvl w:val="0"/>
          <w:numId w:val="4"/>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《信息安全技术 政府网站云计算服务安全指南》（GB/T 38249—2019）</w:t>
      </w:r>
    </w:p>
    <w:p w14:paraId="774AC9A3">
      <w:pPr>
        <w:numPr>
          <w:ilvl w:val="0"/>
          <w:numId w:val="4"/>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《信息安全技术 云计算安全参考架构》（GB/T 35279—2017）</w:t>
      </w:r>
    </w:p>
    <w:p w14:paraId="57A7B7DF">
      <w:pPr>
        <w:numPr>
          <w:ilvl w:val="0"/>
          <w:numId w:val="4"/>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《信息安全技术 云计算服务安全能力评估方法》GB/T 34942—2017</w:t>
      </w:r>
    </w:p>
    <w:p w14:paraId="0436A39F">
      <w:pPr>
        <w:numPr>
          <w:ilvl w:val="0"/>
          <w:numId w:val="4"/>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《信息安全技术 云计算服务运行监管框架》（GB/T 37972—2019）</w:t>
      </w:r>
    </w:p>
    <w:p w14:paraId="4EB8D916">
      <w:pPr>
        <w:numPr>
          <w:ilvl w:val="0"/>
          <w:numId w:val="4"/>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《信息技术 云资源监控指标体系》（GB/T 37938-2019）</w:t>
      </w:r>
    </w:p>
    <w:p w14:paraId="78053D76">
      <w:pPr>
        <w:numPr>
          <w:ilvl w:val="0"/>
          <w:numId w:val="4"/>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《电子信息系统机房设计规范》（GB50174-2017）</w:t>
      </w:r>
    </w:p>
    <w:p w14:paraId="375AE287">
      <w:pPr>
        <w:numPr>
          <w:ilvl w:val="0"/>
          <w:numId w:val="4"/>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《数据中心电信基础设施标准》（ANSI/TIA-942）</w:t>
      </w:r>
    </w:p>
    <w:p w14:paraId="1C25D1DE">
      <w:pPr>
        <w:numPr>
          <w:ilvl w:val="0"/>
          <w:numId w:val="4"/>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《综合布线系统工程设计规范》（GB 50311—2016）</w:t>
      </w:r>
    </w:p>
    <w:p w14:paraId="37181038">
      <w:pPr>
        <w:numPr>
          <w:ilvl w:val="0"/>
          <w:numId w:val="4"/>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《云计算关键领域安全指南V4.0》</w:t>
      </w:r>
    </w:p>
    <w:p w14:paraId="4137AC91">
      <w:pPr>
        <w:pStyle w:val="6"/>
        <w:numPr>
          <w:ilvl w:val="2"/>
          <w:numId w:val="1"/>
        </w:numPr>
        <w:ind w:firstLineChars="200"/>
        <w:contextualSpacing/>
        <w:rPr>
          <w:rFonts w:hint="eastAsia" w:ascii="宋体" w:hAnsi="宋体" w:eastAsia="宋体" w:cs="宋体"/>
          <w:sz w:val="24"/>
          <w:szCs w:val="24"/>
          <w:highlight w:val="none"/>
        </w:rPr>
      </w:pPr>
      <w:r>
        <w:rPr>
          <w:rFonts w:hint="eastAsia" w:ascii="宋体" w:hAnsi="宋体" w:eastAsia="宋体" w:cs="宋体"/>
          <w:sz w:val="24"/>
          <w:szCs w:val="24"/>
          <w:highlight w:val="none"/>
        </w:rPr>
        <w:t>北京市相关标准</w:t>
      </w:r>
    </w:p>
    <w:p w14:paraId="223EBABF">
      <w:pPr>
        <w:numPr>
          <w:ilvl w:val="0"/>
          <w:numId w:val="5"/>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《政务云平台建设技术要求》（DB11/T 2169-2023）</w:t>
      </w:r>
    </w:p>
    <w:p w14:paraId="1A8DBB76">
      <w:pPr>
        <w:numPr>
          <w:ilvl w:val="0"/>
          <w:numId w:val="5"/>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《北京市政务云安全技术规范 IaaS云计算平台分册》</w:t>
      </w:r>
    </w:p>
    <w:p w14:paraId="5B1A8E99">
      <w:pPr>
        <w:numPr>
          <w:ilvl w:val="0"/>
          <w:numId w:val="5"/>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《北京市政务云安全技术规范 IaaS云计算平台安全监管接口分册》</w:t>
      </w:r>
    </w:p>
    <w:p w14:paraId="4B6E4326">
      <w:pPr>
        <w:numPr>
          <w:ilvl w:val="0"/>
          <w:numId w:val="5"/>
        </w:numPr>
        <w:tabs>
          <w:tab w:val="left" w:pos="1060"/>
        </w:tabs>
        <w:snapToGrid w:val="0"/>
        <w:spacing w:line="360" w:lineRule="auto"/>
        <w:ind w:left="0"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《北京市政务云安全技术规范 信息安全服务接口分册》</w:t>
      </w:r>
    </w:p>
    <w:p w14:paraId="5F82AD2D">
      <w:pPr>
        <w:tabs>
          <w:tab w:val="left" w:pos="1060"/>
        </w:tabs>
        <w:snapToGrid w:val="0"/>
        <w:spacing w:line="360" w:lineRule="auto"/>
        <w:ind w:left="420" w:leftChars="200" w:firstLine="241" w:firstLineChars="100"/>
        <w:jc w:val="left"/>
        <w:rPr>
          <w:rFonts w:hint="eastAsia" w:ascii="宋体" w:hAnsi="宋体" w:eastAsia="宋体" w:cs="宋体"/>
          <w:bCs/>
          <w:sz w:val="24"/>
          <w:szCs w:val="24"/>
          <w:highlight w:val="none"/>
        </w:rPr>
      </w:pPr>
      <w:r>
        <w:rPr>
          <w:rFonts w:hint="eastAsia" w:ascii="宋体" w:hAnsi="宋体" w:eastAsia="宋体" w:cs="宋体"/>
          <w:b/>
          <w:bCs/>
          <w:sz w:val="24"/>
          <w:szCs w:val="24"/>
          <w:highlight w:val="none"/>
        </w:rPr>
        <w:t>注：服务标准涉及的国家标准及北京市标准有更新的，执行最新标准。</w:t>
      </w:r>
      <w:bookmarkEnd w:id="0"/>
    </w:p>
    <w:p w14:paraId="3287A1F1">
      <w:pPr>
        <w:pStyle w:val="3"/>
        <w:numPr>
          <w:ilvl w:val="0"/>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服务内容及要求</w:t>
      </w:r>
    </w:p>
    <w:p w14:paraId="17F826AE">
      <w:pPr>
        <w:pStyle w:val="5"/>
        <w:numPr>
          <w:ilvl w:val="1"/>
          <w:numId w:val="1"/>
        </w:numP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总体采购需求清单</w:t>
      </w:r>
    </w:p>
    <w:tbl>
      <w:tblPr>
        <w:tblStyle w:val="10"/>
        <w:tblW w:w="8484" w:type="dxa"/>
        <w:tblInd w:w="93" w:type="dxa"/>
        <w:tblLayout w:type="fixed"/>
        <w:tblCellMar>
          <w:top w:w="0" w:type="dxa"/>
          <w:left w:w="108" w:type="dxa"/>
          <w:bottom w:w="0" w:type="dxa"/>
          <w:right w:w="108" w:type="dxa"/>
        </w:tblCellMar>
      </w:tblPr>
      <w:tblGrid>
        <w:gridCol w:w="624"/>
        <w:gridCol w:w="737"/>
        <w:gridCol w:w="1134"/>
        <w:gridCol w:w="2835"/>
        <w:gridCol w:w="907"/>
        <w:gridCol w:w="1056"/>
        <w:gridCol w:w="1191"/>
      </w:tblGrid>
      <w:tr w14:paraId="6A833D22">
        <w:tblPrEx>
          <w:tblCellMar>
            <w:top w:w="0" w:type="dxa"/>
            <w:left w:w="108" w:type="dxa"/>
            <w:bottom w:w="0" w:type="dxa"/>
            <w:right w:w="108" w:type="dxa"/>
          </w:tblCellMar>
        </w:tblPrEx>
        <w:trPr>
          <w:trHeight w:val="28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3517E6EC">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737" w:type="dxa"/>
            <w:tcBorders>
              <w:top w:val="single" w:color="000000" w:sz="4" w:space="0"/>
              <w:left w:val="single" w:color="000000" w:sz="4" w:space="0"/>
              <w:bottom w:val="single" w:color="000000" w:sz="4" w:space="0"/>
              <w:right w:val="single" w:color="000000" w:sz="4" w:space="0"/>
            </w:tcBorders>
            <w:noWrap/>
            <w:vAlign w:val="center"/>
          </w:tcPr>
          <w:p w14:paraId="037C4E9A">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服务类别</w:t>
            </w:r>
          </w:p>
        </w:tc>
        <w:tc>
          <w:tcPr>
            <w:tcW w:w="1134" w:type="dxa"/>
            <w:tcBorders>
              <w:top w:val="single" w:color="000000" w:sz="4" w:space="0"/>
              <w:left w:val="single" w:color="000000" w:sz="4" w:space="0"/>
              <w:bottom w:val="single" w:color="000000" w:sz="4" w:space="0"/>
              <w:right w:val="single" w:color="000000" w:sz="4" w:space="0"/>
            </w:tcBorders>
            <w:vAlign w:val="center"/>
          </w:tcPr>
          <w:p w14:paraId="0966ECBC">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服务子类</w:t>
            </w:r>
          </w:p>
        </w:tc>
        <w:tc>
          <w:tcPr>
            <w:tcW w:w="2835" w:type="dxa"/>
            <w:tcBorders>
              <w:top w:val="single" w:color="000000" w:sz="4" w:space="0"/>
              <w:left w:val="single" w:color="000000" w:sz="4" w:space="0"/>
              <w:bottom w:val="single" w:color="000000" w:sz="4" w:space="0"/>
              <w:right w:val="single" w:color="000000" w:sz="4" w:space="0"/>
            </w:tcBorders>
            <w:noWrap/>
            <w:vAlign w:val="center"/>
          </w:tcPr>
          <w:p w14:paraId="3080C8E6">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服务项</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467C8F96">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单位</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6444D637">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数量</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13747A81">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期限（月）</w:t>
            </w:r>
          </w:p>
        </w:tc>
      </w:tr>
      <w:tr w14:paraId="63A970BA">
        <w:tblPrEx>
          <w:tblCellMar>
            <w:top w:w="0" w:type="dxa"/>
            <w:left w:w="108" w:type="dxa"/>
            <w:bottom w:w="0" w:type="dxa"/>
            <w:right w:w="108" w:type="dxa"/>
          </w:tblCellMar>
        </w:tblPrEx>
        <w:trPr>
          <w:trHeight w:val="87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2640E083">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737" w:type="dxa"/>
            <w:vMerge w:val="restart"/>
            <w:tcBorders>
              <w:top w:val="single" w:color="000000" w:sz="4" w:space="0"/>
              <w:left w:val="single" w:color="000000" w:sz="4" w:space="0"/>
              <w:bottom w:val="single" w:color="000000" w:sz="4" w:space="0"/>
              <w:right w:val="single" w:color="000000" w:sz="4" w:space="0"/>
            </w:tcBorders>
            <w:noWrap/>
            <w:vAlign w:val="center"/>
          </w:tcPr>
          <w:p w14:paraId="0A2C956E">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计算服务</w:t>
            </w:r>
          </w:p>
        </w:tc>
        <w:tc>
          <w:tcPr>
            <w:tcW w:w="1134" w:type="dxa"/>
            <w:vMerge w:val="restart"/>
            <w:tcBorders>
              <w:top w:val="single" w:color="000000" w:sz="4" w:space="0"/>
              <w:left w:val="single" w:color="000000" w:sz="4" w:space="0"/>
              <w:bottom w:val="single" w:color="000000" w:sz="4" w:space="0"/>
              <w:right w:val="single" w:color="000000" w:sz="4" w:space="0"/>
            </w:tcBorders>
            <w:vAlign w:val="center"/>
          </w:tcPr>
          <w:p w14:paraId="3ABD7EAD">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平台云主机服务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6424E38D">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VCPU（主频不低于2.4GHz）</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5898D7DF">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1CPU/月</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40200178">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9917</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7581FC7D">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4F09B1FB">
        <w:tblPrEx>
          <w:tblCellMar>
            <w:top w:w="0" w:type="dxa"/>
            <w:left w:w="108" w:type="dxa"/>
            <w:bottom w:w="0" w:type="dxa"/>
            <w:right w:w="108" w:type="dxa"/>
          </w:tblCellMar>
        </w:tblPrEx>
        <w:trPr>
          <w:trHeight w:val="28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7AE53FC4">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30A19A03">
            <w:pPr>
              <w:jc w:val="left"/>
              <w:rPr>
                <w:rFonts w:hint="eastAsia" w:ascii="宋体" w:hAnsi="宋体" w:eastAsia="宋体" w:cs="宋体"/>
                <w:color w:val="000000"/>
                <w:sz w:val="24"/>
                <w:szCs w:val="24"/>
                <w:highlight w:val="none"/>
              </w:rPr>
            </w:pPr>
          </w:p>
        </w:tc>
        <w:tc>
          <w:tcPr>
            <w:tcW w:w="1134" w:type="dxa"/>
            <w:vMerge w:val="continue"/>
            <w:tcBorders>
              <w:top w:val="single" w:color="000000" w:sz="4" w:space="0"/>
              <w:left w:val="single" w:color="000000" w:sz="4" w:space="0"/>
              <w:bottom w:val="single" w:color="000000" w:sz="4" w:space="0"/>
              <w:right w:val="single" w:color="000000" w:sz="4" w:space="0"/>
            </w:tcBorders>
            <w:vAlign w:val="center"/>
          </w:tcPr>
          <w:p w14:paraId="4342E14F">
            <w:pPr>
              <w:jc w:val="left"/>
              <w:rPr>
                <w:rFonts w:hint="eastAsia" w:ascii="宋体" w:hAnsi="宋体" w:eastAsia="宋体" w:cs="宋体"/>
                <w:color w:val="000000"/>
                <w:sz w:val="24"/>
                <w:szCs w:val="24"/>
                <w:highlight w:val="none"/>
              </w:rPr>
            </w:pPr>
          </w:p>
        </w:tc>
        <w:tc>
          <w:tcPr>
            <w:tcW w:w="2835" w:type="dxa"/>
            <w:tcBorders>
              <w:top w:val="single" w:color="000000" w:sz="4" w:space="0"/>
              <w:left w:val="single" w:color="000000" w:sz="4" w:space="0"/>
              <w:bottom w:val="single" w:color="000000" w:sz="4" w:space="0"/>
              <w:right w:val="single" w:color="000000" w:sz="4" w:space="0"/>
            </w:tcBorders>
            <w:vAlign w:val="center"/>
          </w:tcPr>
          <w:p w14:paraId="2D33BE2C">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内存</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57393694">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1GB/月</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1566F50D">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48346</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6634D9FE">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14951144">
        <w:tblPrEx>
          <w:tblCellMar>
            <w:top w:w="0" w:type="dxa"/>
            <w:left w:w="108" w:type="dxa"/>
            <w:bottom w:w="0" w:type="dxa"/>
            <w:right w:w="108" w:type="dxa"/>
          </w:tblCellMar>
        </w:tblPrEx>
        <w:trPr>
          <w:trHeight w:val="112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056425FF">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70153DAC">
            <w:pPr>
              <w:jc w:val="left"/>
              <w:rPr>
                <w:rFonts w:hint="eastAsia" w:ascii="宋体" w:hAnsi="宋体" w:eastAsia="宋体" w:cs="宋体"/>
                <w:color w:val="000000"/>
                <w:sz w:val="24"/>
                <w:szCs w:val="24"/>
                <w:highlight w:val="none"/>
              </w:rPr>
            </w:pPr>
          </w:p>
        </w:tc>
        <w:tc>
          <w:tcPr>
            <w:tcW w:w="1134" w:type="dxa"/>
            <w:vMerge w:val="restart"/>
            <w:tcBorders>
              <w:top w:val="single" w:color="000000" w:sz="4" w:space="0"/>
              <w:left w:val="single" w:color="000000" w:sz="4" w:space="0"/>
              <w:bottom w:val="single" w:color="000000" w:sz="4" w:space="0"/>
              <w:right w:val="single" w:color="000000" w:sz="4" w:space="0"/>
            </w:tcBorders>
            <w:vAlign w:val="center"/>
          </w:tcPr>
          <w:p w14:paraId="0E5E9FD1">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裸金属租用服务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20C4AA90">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柜式服务器系统（含机箱、主板、电源、风扇、远程管理模块、上架套件等）；</w:t>
            </w:r>
          </w:p>
          <w:p w14:paraId="02E10E82">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CPU:不低于24核，</w:t>
            </w:r>
          </w:p>
          <w:p w14:paraId="1954AEF4">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内存：不低于256G</w:t>
            </w:r>
          </w:p>
          <w:p w14:paraId="20AC3238">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系统盘：不低于480GB SSD*4，</w:t>
            </w:r>
          </w:p>
          <w:p w14:paraId="0EAAFAA7">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数据盘：不低于1.6TB*2，8TB*3</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5A9872B2">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1台/月</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76CAC4C6">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13</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2668D6B2">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1E854DAE">
        <w:tblPrEx>
          <w:tblCellMar>
            <w:top w:w="0" w:type="dxa"/>
            <w:left w:w="108" w:type="dxa"/>
            <w:bottom w:w="0" w:type="dxa"/>
            <w:right w:w="108" w:type="dxa"/>
          </w:tblCellMar>
        </w:tblPrEx>
        <w:trPr>
          <w:trHeight w:val="140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5D9D8887">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73C5DCD3">
            <w:pPr>
              <w:jc w:val="left"/>
              <w:rPr>
                <w:rFonts w:hint="eastAsia" w:ascii="宋体" w:hAnsi="宋体" w:eastAsia="宋体" w:cs="宋体"/>
                <w:color w:val="000000"/>
                <w:sz w:val="24"/>
                <w:szCs w:val="24"/>
                <w:highlight w:val="none"/>
              </w:rPr>
            </w:pPr>
          </w:p>
        </w:tc>
        <w:tc>
          <w:tcPr>
            <w:tcW w:w="1134" w:type="dxa"/>
            <w:vMerge w:val="continue"/>
            <w:tcBorders>
              <w:top w:val="single" w:color="000000" w:sz="4" w:space="0"/>
              <w:left w:val="single" w:color="000000" w:sz="4" w:space="0"/>
              <w:bottom w:val="single" w:color="000000" w:sz="4" w:space="0"/>
              <w:right w:val="single" w:color="000000" w:sz="4" w:space="0"/>
            </w:tcBorders>
            <w:vAlign w:val="center"/>
          </w:tcPr>
          <w:p w14:paraId="2104E120">
            <w:pPr>
              <w:jc w:val="left"/>
              <w:rPr>
                <w:rFonts w:hint="eastAsia" w:ascii="宋体" w:hAnsi="宋体" w:eastAsia="宋体" w:cs="宋体"/>
                <w:color w:val="000000"/>
                <w:sz w:val="24"/>
                <w:szCs w:val="24"/>
                <w:highlight w:val="none"/>
              </w:rPr>
            </w:pPr>
          </w:p>
        </w:tc>
        <w:tc>
          <w:tcPr>
            <w:tcW w:w="2835" w:type="dxa"/>
            <w:tcBorders>
              <w:top w:val="single" w:color="000000" w:sz="4" w:space="0"/>
              <w:left w:val="single" w:color="000000" w:sz="4" w:space="0"/>
              <w:bottom w:val="single" w:color="000000" w:sz="4" w:space="0"/>
              <w:right w:val="single" w:color="000000" w:sz="4" w:space="0"/>
            </w:tcBorders>
            <w:vAlign w:val="center"/>
          </w:tcPr>
          <w:p w14:paraId="7144F267">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CPU；不低于 40核</w:t>
            </w:r>
            <w:r>
              <w:rPr>
                <w:rFonts w:hint="eastAsia" w:ascii="宋体" w:hAnsi="宋体" w:eastAsia="宋体" w:cs="宋体"/>
                <w:color w:val="000000"/>
                <w:kern w:val="0"/>
                <w:sz w:val="24"/>
                <w:szCs w:val="24"/>
                <w:highlight w:val="none"/>
                <w:lang w:bidi="ar"/>
              </w:rPr>
              <w:br w:type="textWrapping"/>
            </w:r>
            <w:r>
              <w:rPr>
                <w:rFonts w:hint="eastAsia" w:ascii="宋体" w:hAnsi="宋体" w:eastAsia="宋体" w:cs="宋体"/>
                <w:color w:val="000000"/>
                <w:kern w:val="0"/>
                <w:sz w:val="24"/>
                <w:szCs w:val="24"/>
                <w:highlight w:val="none"/>
                <w:lang w:bidi="ar"/>
              </w:rPr>
              <w:t>内存；不低于 320G</w:t>
            </w:r>
            <w:r>
              <w:rPr>
                <w:rFonts w:hint="eastAsia" w:ascii="宋体" w:hAnsi="宋体" w:eastAsia="宋体" w:cs="宋体"/>
                <w:color w:val="000000"/>
                <w:kern w:val="0"/>
                <w:sz w:val="24"/>
                <w:szCs w:val="24"/>
                <w:highlight w:val="none"/>
                <w:lang w:bidi="ar"/>
              </w:rPr>
              <w:br w:type="textWrapping"/>
            </w:r>
            <w:r>
              <w:rPr>
                <w:rFonts w:hint="eastAsia" w:ascii="宋体" w:hAnsi="宋体" w:eastAsia="宋体" w:cs="宋体"/>
                <w:color w:val="000000"/>
                <w:kern w:val="0"/>
                <w:sz w:val="24"/>
                <w:szCs w:val="24"/>
                <w:highlight w:val="none"/>
                <w:lang w:bidi="ar"/>
              </w:rPr>
              <w:t>系统盘；不低于1200GB</w:t>
            </w:r>
            <w:r>
              <w:rPr>
                <w:rFonts w:hint="eastAsia" w:ascii="宋体" w:hAnsi="宋体" w:eastAsia="宋体" w:cs="宋体"/>
                <w:color w:val="000000"/>
                <w:kern w:val="0"/>
                <w:sz w:val="24"/>
                <w:szCs w:val="24"/>
                <w:highlight w:val="none"/>
                <w:lang w:bidi="ar"/>
              </w:rPr>
              <w:br w:type="textWrapping"/>
            </w:r>
            <w:r>
              <w:rPr>
                <w:rFonts w:hint="eastAsia" w:ascii="宋体" w:hAnsi="宋体" w:eastAsia="宋体" w:cs="宋体"/>
                <w:color w:val="000000"/>
                <w:kern w:val="0"/>
                <w:sz w:val="24"/>
                <w:szCs w:val="24"/>
                <w:highlight w:val="none"/>
                <w:lang w:bidi="ar"/>
              </w:rPr>
              <w:t>数据盘；不低于16000GB</w:t>
            </w:r>
            <w:r>
              <w:rPr>
                <w:rFonts w:hint="eastAsia" w:ascii="宋体" w:hAnsi="宋体" w:eastAsia="宋体" w:cs="宋体"/>
                <w:color w:val="000000"/>
                <w:kern w:val="0"/>
                <w:sz w:val="24"/>
                <w:szCs w:val="24"/>
                <w:highlight w:val="none"/>
                <w:lang w:bidi="ar"/>
              </w:rPr>
              <w:br w:type="textWrapping"/>
            </w:r>
            <w:r>
              <w:rPr>
                <w:rFonts w:hint="eastAsia" w:ascii="宋体" w:hAnsi="宋体" w:eastAsia="宋体" w:cs="宋体"/>
                <w:color w:val="000000"/>
                <w:kern w:val="0"/>
                <w:sz w:val="24"/>
                <w:szCs w:val="24"/>
                <w:highlight w:val="none"/>
                <w:lang w:bidi="ar"/>
              </w:rPr>
              <w:t>数据盘：不低于23040GB SSD</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6316571E">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1台/月</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5281C929">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11</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11A57568">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061DE60B">
        <w:tblPrEx>
          <w:tblCellMar>
            <w:top w:w="0" w:type="dxa"/>
            <w:left w:w="108" w:type="dxa"/>
            <w:bottom w:w="0" w:type="dxa"/>
            <w:right w:w="108" w:type="dxa"/>
          </w:tblCellMar>
        </w:tblPrEx>
        <w:trPr>
          <w:trHeight w:val="140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3E1EE421">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50BB065F">
            <w:pPr>
              <w:jc w:val="left"/>
              <w:rPr>
                <w:rFonts w:hint="eastAsia" w:ascii="宋体" w:hAnsi="宋体" w:eastAsia="宋体" w:cs="宋体"/>
                <w:color w:val="000000"/>
                <w:sz w:val="24"/>
                <w:szCs w:val="24"/>
                <w:highlight w:val="none"/>
              </w:rPr>
            </w:pPr>
          </w:p>
        </w:tc>
        <w:tc>
          <w:tcPr>
            <w:tcW w:w="1134" w:type="dxa"/>
            <w:vMerge w:val="continue"/>
            <w:tcBorders>
              <w:top w:val="single" w:color="000000" w:sz="4" w:space="0"/>
              <w:left w:val="single" w:color="000000" w:sz="4" w:space="0"/>
              <w:bottom w:val="single" w:color="000000" w:sz="4" w:space="0"/>
              <w:right w:val="single" w:color="000000" w:sz="4" w:space="0"/>
            </w:tcBorders>
            <w:vAlign w:val="center"/>
          </w:tcPr>
          <w:p w14:paraId="482404B7">
            <w:pPr>
              <w:jc w:val="left"/>
              <w:rPr>
                <w:rFonts w:hint="eastAsia" w:ascii="宋体" w:hAnsi="宋体" w:eastAsia="宋体" w:cs="宋体"/>
                <w:color w:val="000000"/>
                <w:sz w:val="24"/>
                <w:szCs w:val="24"/>
                <w:highlight w:val="none"/>
              </w:rPr>
            </w:pPr>
          </w:p>
        </w:tc>
        <w:tc>
          <w:tcPr>
            <w:tcW w:w="2835" w:type="dxa"/>
            <w:tcBorders>
              <w:top w:val="single" w:color="000000" w:sz="4" w:space="0"/>
              <w:left w:val="single" w:color="000000" w:sz="4" w:space="0"/>
              <w:bottom w:val="single" w:color="000000" w:sz="4" w:space="0"/>
              <w:right w:val="single" w:color="000000" w:sz="4" w:space="0"/>
            </w:tcBorders>
            <w:vAlign w:val="center"/>
          </w:tcPr>
          <w:p w14:paraId="7CC6ED2B">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CPU；不低于 56核</w:t>
            </w:r>
            <w:r>
              <w:rPr>
                <w:rFonts w:hint="eastAsia" w:ascii="宋体" w:hAnsi="宋体" w:eastAsia="宋体" w:cs="宋体"/>
                <w:color w:val="000000"/>
                <w:kern w:val="0"/>
                <w:sz w:val="24"/>
                <w:szCs w:val="24"/>
                <w:highlight w:val="none"/>
                <w:lang w:bidi="ar"/>
              </w:rPr>
              <w:br w:type="textWrapping"/>
            </w:r>
            <w:r>
              <w:rPr>
                <w:rFonts w:hint="eastAsia" w:ascii="宋体" w:hAnsi="宋体" w:eastAsia="宋体" w:cs="宋体"/>
                <w:color w:val="000000"/>
                <w:kern w:val="0"/>
                <w:sz w:val="24"/>
                <w:szCs w:val="24"/>
                <w:highlight w:val="none"/>
                <w:lang w:bidi="ar"/>
              </w:rPr>
              <w:t>内存；不低于 448G</w:t>
            </w:r>
            <w:r>
              <w:rPr>
                <w:rFonts w:hint="eastAsia" w:ascii="宋体" w:hAnsi="宋体" w:eastAsia="宋体" w:cs="宋体"/>
                <w:color w:val="000000"/>
                <w:kern w:val="0"/>
                <w:sz w:val="24"/>
                <w:szCs w:val="24"/>
                <w:highlight w:val="none"/>
                <w:lang w:bidi="ar"/>
              </w:rPr>
              <w:br w:type="textWrapping"/>
            </w:r>
            <w:r>
              <w:rPr>
                <w:rFonts w:hint="eastAsia" w:ascii="宋体" w:hAnsi="宋体" w:eastAsia="宋体" w:cs="宋体"/>
                <w:color w:val="000000"/>
                <w:kern w:val="0"/>
                <w:sz w:val="24"/>
                <w:szCs w:val="24"/>
                <w:highlight w:val="none"/>
                <w:lang w:bidi="ar"/>
              </w:rPr>
              <w:t>系统盘；不低于1200GB</w:t>
            </w:r>
            <w:r>
              <w:rPr>
                <w:rFonts w:hint="eastAsia" w:ascii="宋体" w:hAnsi="宋体" w:eastAsia="宋体" w:cs="宋体"/>
                <w:color w:val="000000"/>
                <w:kern w:val="0"/>
                <w:sz w:val="24"/>
                <w:szCs w:val="24"/>
                <w:highlight w:val="none"/>
                <w:lang w:bidi="ar"/>
              </w:rPr>
              <w:br w:type="textWrapping"/>
            </w:r>
            <w:r>
              <w:rPr>
                <w:rFonts w:hint="eastAsia" w:ascii="宋体" w:hAnsi="宋体" w:eastAsia="宋体" w:cs="宋体"/>
                <w:color w:val="000000"/>
                <w:kern w:val="0"/>
                <w:sz w:val="24"/>
                <w:szCs w:val="24"/>
                <w:highlight w:val="none"/>
                <w:lang w:bidi="ar"/>
              </w:rPr>
              <w:t>数据盘；不低于24000GB</w:t>
            </w:r>
            <w:r>
              <w:rPr>
                <w:rFonts w:hint="eastAsia" w:ascii="宋体" w:hAnsi="宋体" w:eastAsia="宋体" w:cs="宋体"/>
                <w:color w:val="000000"/>
                <w:kern w:val="0"/>
                <w:sz w:val="24"/>
                <w:szCs w:val="24"/>
                <w:highlight w:val="none"/>
                <w:lang w:bidi="ar"/>
              </w:rPr>
              <w:br w:type="textWrapping"/>
            </w:r>
            <w:r>
              <w:rPr>
                <w:rFonts w:hint="eastAsia" w:ascii="宋体" w:hAnsi="宋体" w:eastAsia="宋体" w:cs="宋体"/>
                <w:color w:val="000000"/>
                <w:kern w:val="0"/>
                <w:sz w:val="24"/>
                <w:szCs w:val="24"/>
                <w:highlight w:val="none"/>
                <w:lang w:bidi="ar"/>
              </w:rPr>
              <w:t>数据盘：不低于38400GB SSD</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703A68E8">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1台/月</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1799DBAA">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16</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0CA8C257">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223D3B22">
        <w:tblPrEx>
          <w:tblCellMar>
            <w:top w:w="0" w:type="dxa"/>
            <w:left w:w="108" w:type="dxa"/>
            <w:bottom w:w="0" w:type="dxa"/>
            <w:right w:w="108" w:type="dxa"/>
          </w:tblCellMar>
        </w:tblPrEx>
        <w:trPr>
          <w:trHeight w:val="171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3CCE2DDD">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0E6F7E08">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7E374259">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基础软件服务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1917E1BA">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商用操作系统套餐</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5DADBFD5">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1套/月</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7FA26881">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504</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4DA6F690">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3546AF2A">
        <w:tblPrEx>
          <w:tblCellMar>
            <w:top w:w="0" w:type="dxa"/>
            <w:left w:w="108" w:type="dxa"/>
            <w:bottom w:w="0" w:type="dxa"/>
            <w:right w:w="108" w:type="dxa"/>
          </w:tblCellMar>
        </w:tblPrEx>
        <w:trPr>
          <w:trHeight w:val="171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73A0610E">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7</w:t>
            </w:r>
          </w:p>
        </w:tc>
        <w:tc>
          <w:tcPr>
            <w:tcW w:w="737" w:type="dxa"/>
            <w:vMerge w:val="restart"/>
            <w:tcBorders>
              <w:top w:val="single" w:color="000000" w:sz="4" w:space="0"/>
              <w:left w:val="single" w:color="000000" w:sz="4" w:space="0"/>
              <w:right w:val="single" w:color="000000" w:sz="4" w:space="0"/>
            </w:tcBorders>
            <w:noWrap/>
            <w:vAlign w:val="center"/>
          </w:tcPr>
          <w:p w14:paraId="247E14D5">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存储服务</w:t>
            </w:r>
          </w:p>
        </w:tc>
        <w:tc>
          <w:tcPr>
            <w:tcW w:w="1134" w:type="dxa"/>
            <w:tcBorders>
              <w:top w:val="single" w:color="000000" w:sz="4" w:space="0"/>
              <w:left w:val="single" w:color="000000" w:sz="4" w:space="0"/>
              <w:bottom w:val="single" w:color="000000" w:sz="4" w:space="0"/>
              <w:right w:val="single" w:color="000000" w:sz="4" w:space="0"/>
            </w:tcBorders>
            <w:vAlign w:val="center"/>
          </w:tcPr>
          <w:p w14:paraId="2DF37A22">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普通存储</w:t>
            </w:r>
          </w:p>
        </w:tc>
        <w:tc>
          <w:tcPr>
            <w:tcW w:w="2835" w:type="dxa"/>
            <w:tcBorders>
              <w:top w:val="single" w:color="000000" w:sz="4" w:space="0"/>
              <w:left w:val="single" w:color="000000" w:sz="4" w:space="0"/>
              <w:bottom w:val="single" w:color="000000" w:sz="4" w:space="0"/>
              <w:right w:val="single" w:color="000000" w:sz="4" w:space="0"/>
            </w:tcBorders>
            <w:vAlign w:val="center"/>
          </w:tcPr>
          <w:p w14:paraId="794F1E22">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普通存储（单盘技术指标：单盘IOPS2000-5000）</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51D5B6A9">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1GB/月</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52141691">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1325106</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2C7F5C92">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72137FD2">
        <w:tblPrEx>
          <w:tblCellMar>
            <w:top w:w="0" w:type="dxa"/>
            <w:left w:w="108" w:type="dxa"/>
            <w:bottom w:w="0" w:type="dxa"/>
            <w:right w:w="108" w:type="dxa"/>
          </w:tblCellMar>
        </w:tblPrEx>
        <w:trPr>
          <w:trHeight w:val="28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735F3AEF">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737" w:type="dxa"/>
            <w:vMerge w:val="continue"/>
            <w:tcBorders>
              <w:left w:val="single" w:color="000000" w:sz="4" w:space="0"/>
              <w:right w:val="single" w:color="000000" w:sz="4" w:space="0"/>
            </w:tcBorders>
            <w:noWrap/>
            <w:vAlign w:val="center"/>
          </w:tcPr>
          <w:p w14:paraId="1B7AE511">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5E829B7D">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高性能存储</w:t>
            </w:r>
          </w:p>
        </w:tc>
        <w:tc>
          <w:tcPr>
            <w:tcW w:w="2835" w:type="dxa"/>
            <w:tcBorders>
              <w:top w:val="single" w:color="000000" w:sz="4" w:space="0"/>
              <w:left w:val="single" w:color="000000" w:sz="4" w:space="0"/>
              <w:bottom w:val="single" w:color="000000" w:sz="4" w:space="0"/>
              <w:right w:val="single" w:color="000000" w:sz="4" w:space="0"/>
            </w:tcBorders>
            <w:vAlign w:val="center"/>
          </w:tcPr>
          <w:p w14:paraId="52792D2A">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高性能存储（单盘技术指标：单盘IOPS10000-25000）</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109AFF6F">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1GB/月</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6CBBC68D">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914310</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74ACED84">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547334A1">
        <w:tblPrEx>
          <w:tblCellMar>
            <w:top w:w="0" w:type="dxa"/>
            <w:left w:w="108" w:type="dxa"/>
            <w:bottom w:w="0" w:type="dxa"/>
            <w:right w:w="108" w:type="dxa"/>
          </w:tblCellMar>
        </w:tblPrEx>
        <w:trPr>
          <w:trHeight w:val="28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1D70FD23">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737" w:type="dxa"/>
            <w:vMerge w:val="continue"/>
            <w:tcBorders>
              <w:left w:val="single" w:color="000000" w:sz="4" w:space="0"/>
              <w:right w:val="single" w:color="000000" w:sz="4" w:space="0"/>
            </w:tcBorders>
            <w:noWrap/>
            <w:vAlign w:val="center"/>
          </w:tcPr>
          <w:p w14:paraId="7CD2E409">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0F0A9867">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对象存储</w:t>
            </w:r>
          </w:p>
        </w:tc>
        <w:tc>
          <w:tcPr>
            <w:tcW w:w="2835" w:type="dxa"/>
            <w:tcBorders>
              <w:top w:val="single" w:color="000000" w:sz="4" w:space="0"/>
              <w:left w:val="single" w:color="000000" w:sz="4" w:space="0"/>
              <w:bottom w:val="single" w:color="000000" w:sz="4" w:space="0"/>
              <w:right w:val="single" w:color="000000" w:sz="4" w:space="0"/>
            </w:tcBorders>
            <w:vAlign w:val="center"/>
          </w:tcPr>
          <w:p w14:paraId="13912D2F">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提供大容量、高可靠的数据存储服务，具备PB级线性扩展能力</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13A8CCF4">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1TB/月</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44692946">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5352</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274C015B">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3</w:t>
            </w:r>
          </w:p>
        </w:tc>
      </w:tr>
      <w:tr w14:paraId="70CAD91C">
        <w:tblPrEx>
          <w:tblCellMar>
            <w:top w:w="0" w:type="dxa"/>
            <w:left w:w="108" w:type="dxa"/>
            <w:bottom w:w="0" w:type="dxa"/>
            <w:right w:w="108" w:type="dxa"/>
          </w:tblCellMar>
        </w:tblPrEx>
        <w:trPr>
          <w:trHeight w:val="28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2318E3D8">
            <w:pPr>
              <w:keepNext w:val="0"/>
              <w:keepLines w:val="0"/>
              <w:widowControl/>
              <w:suppressLineNumbers w:val="0"/>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i w:val="0"/>
                <w:iCs w:val="0"/>
                <w:color w:val="000000"/>
                <w:kern w:val="0"/>
                <w:sz w:val="24"/>
                <w:szCs w:val="24"/>
                <w:highlight w:val="none"/>
                <w:u w:val="none"/>
                <w:lang w:val="en-US" w:eastAsia="zh-CN" w:bidi="ar"/>
              </w:rPr>
              <w:t>10</w:t>
            </w:r>
          </w:p>
        </w:tc>
        <w:tc>
          <w:tcPr>
            <w:tcW w:w="737" w:type="dxa"/>
            <w:vMerge w:val="continue"/>
            <w:tcBorders>
              <w:left w:val="single" w:color="000000" w:sz="4" w:space="0"/>
              <w:bottom w:val="single" w:color="000000" w:sz="4" w:space="0"/>
              <w:right w:val="single" w:color="000000" w:sz="4" w:space="0"/>
            </w:tcBorders>
            <w:noWrap/>
            <w:vAlign w:val="center"/>
          </w:tcPr>
          <w:p w14:paraId="0E2D6513">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39247516">
            <w:pPr>
              <w:keepNext w:val="0"/>
              <w:keepLines w:val="0"/>
              <w:widowControl/>
              <w:suppressLineNumbers w:val="0"/>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i w:val="0"/>
                <w:iCs w:val="0"/>
                <w:color w:val="000000"/>
                <w:kern w:val="0"/>
                <w:sz w:val="24"/>
                <w:szCs w:val="24"/>
                <w:highlight w:val="none"/>
                <w:u w:val="none"/>
                <w:lang w:val="en-US" w:eastAsia="zh-CN" w:bidi="ar"/>
              </w:rPr>
              <w:t>静态存储</w:t>
            </w:r>
          </w:p>
        </w:tc>
        <w:tc>
          <w:tcPr>
            <w:tcW w:w="2835" w:type="dxa"/>
            <w:tcBorders>
              <w:top w:val="single" w:color="000000" w:sz="4" w:space="0"/>
              <w:left w:val="single" w:color="000000" w:sz="4" w:space="0"/>
              <w:bottom w:val="single" w:color="000000" w:sz="4" w:space="0"/>
              <w:right w:val="single" w:color="000000" w:sz="4" w:space="0"/>
            </w:tcBorders>
            <w:vAlign w:val="center"/>
          </w:tcPr>
          <w:p w14:paraId="118C0785">
            <w:pPr>
              <w:keepNext w:val="0"/>
              <w:keepLines w:val="0"/>
              <w:widowControl/>
              <w:suppressLineNumbers w:val="0"/>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i w:val="0"/>
                <w:iCs w:val="0"/>
                <w:color w:val="000000"/>
                <w:kern w:val="0"/>
                <w:sz w:val="24"/>
                <w:szCs w:val="24"/>
                <w:highlight w:val="none"/>
                <w:u w:val="none"/>
                <w:lang w:val="en-US" w:eastAsia="zh-CN" w:bidi="ar"/>
              </w:rPr>
              <w:t>提供大容量、高可靠的数据存储服务，具备PB级线性扩展能力</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2CAE54FE">
            <w:pPr>
              <w:keepNext w:val="0"/>
              <w:keepLines w:val="0"/>
              <w:widowControl/>
              <w:suppressLineNumbers w:val="0"/>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i w:val="0"/>
                <w:iCs w:val="0"/>
                <w:color w:val="000000"/>
                <w:kern w:val="0"/>
                <w:sz w:val="24"/>
                <w:szCs w:val="24"/>
                <w:highlight w:val="none"/>
                <w:u w:val="none"/>
                <w:lang w:val="en-US" w:eastAsia="zh-CN" w:bidi="ar"/>
              </w:rPr>
              <w:t>1TB/月</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5217E745">
            <w:pPr>
              <w:keepNext w:val="0"/>
              <w:keepLines w:val="0"/>
              <w:widowControl/>
              <w:suppressLineNumbers w:val="0"/>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i w:val="0"/>
                <w:iCs w:val="0"/>
                <w:color w:val="000000"/>
                <w:kern w:val="0"/>
                <w:sz w:val="24"/>
                <w:szCs w:val="24"/>
                <w:highlight w:val="none"/>
                <w:u w:val="none"/>
                <w:lang w:val="en-US" w:eastAsia="zh-CN" w:bidi="ar"/>
              </w:rPr>
              <w:t>277</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05E98239">
            <w:pPr>
              <w:keepNext w:val="0"/>
              <w:keepLines w:val="0"/>
              <w:widowControl/>
              <w:suppressLineNumbers w:val="0"/>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i w:val="0"/>
                <w:iCs w:val="0"/>
                <w:color w:val="000000"/>
                <w:kern w:val="0"/>
                <w:sz w:val="24"/>
                <w:szCs w:val="24"/>
                <w:highlight w:val="none"/>
                <w:u w:val="none"/>
                <w:lang w:val="en-US" w:eastAsia="zh-CN" w:bidi="ar"/>
              </w:rPr>
              <w:t>3</w:t>
            </w:r>
          </w:p>
        </w:tc>
      </w:tr>
      <w:tr w14:paraId="5CE57D0C">
        <w:tblPrEx>
          <w:tblCellMar>
            <w:top w:w="0" w:type="dxa"/>
            <w:left w:w="108" w:type="dxa"/>
            <w:bottom w:w="0" w:type="dxa"/>
            <w:right w:w="108" w:type="dxa"/>
          </w:tblCellMar>
        </w:tblPrEx>
        <w:trPr>
          <w:trHeight w:val="59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728266C4">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11</w:t>
            </w:r>
          </w:p>
        </w:tc>
        <w:tc>
          <w:tcPr>
            <w:tcW w:w="737" w:type="dxa"/>
            <w:vMerge w:val="restart"/>
            <w:tcBorders>
              <w:top w:val="single" w:color="000000" w:sz="4" w:space="0"/>
              <w:left w:val="single" w:color="000000" w:sz="4" w:space="0"/>
              <w:right w:val="single" w:color="000000" w:sz="4" w:space="0"/>
            </w:tcBorders>
            <w:noWrap/>
            <w:vAlign w:val="center"/>
          </w:tcPr>
          <w:p w14:paraId="4717C41E">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网络服务</w:t>
            </w:r>
          </w:p>
        </w:tc>
        <w:tc>
          <w:tcPr>
            <w:tcW w:w="1134" w:type="dxa"/>
            <w:tcBorders>
              <w:top w:val="single" w:color="000000" w:sz="4" w:space="0"/>
              <w:left w:val="single" w:color="000000" w:sz="4" w:space="0"/>
              <w:bottom w:val="single" w:color="000000" w:sz="4" w:space="0"/>
              <w:right w:val="single" w:color="000000" w:sz="4" w:space="0"/>
            </w:tcBorders>
            <w:vAlign w:val="center"/>
          </w:tcPr>
          <w:p w14:paraId="007D1B9F">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DNS服务</w:t>
            </w:r>
          </w:p>
        </w:tc>
        <w:tc>
          <w:tcPr>
            <w:tcW w:w="2835" w:type="dxa"/>
            <w:tcBorders>
              <w:top w:val="single" w:color="000000" w:sz="4" w:space="0"/>
              <w:left w:val="single" w:color="000000" w:sz="4" w:space="0"/>
              <w:bottom w:val="single" w:color="000000" w:sz="4" w:space="0"/>
              <w:right w:val="single" w:color="000000" w:sz="4" w:space="0"/>
            </w:tcBorders>
            <w:noWrap/>
            <w:vAlign w:val="center"/>
          </w:tcPr>
          <w:p w14:paraId="2C3DB0C3">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域名解析</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7C0E5652">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1套/月</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367529C2">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22DDCCBB">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056E0D6C">
        <w:tblPrEx>
          <w:tblCellMar>
            <w:top w:w="0" w:type="dxa"/>
            <w:left w:w="108" w:type="dxa"/>
            <w:bottom w:w="0" w:type="dxa"/>
            <w:right w:w="108" w:type="dxa"/>
          </w:tblCellMar>
        </w:tblPrEx>
        <w:trPr>
          <w:trHeight w:val="28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47661594">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12</w:t>
            </w:r>
          </w:p>
        </w:tc>
        <w:tc>
          <w:tcPr>
            <w:tcW w:w="737" w:type="dxa"/>
            <w:vMerge w:val="continue"/>
            <w:tcBorders>
              <w:left w:val="single" w:color="000000" w:sz="4" w:space="0"/>
              <w:right w:val="single" w:color="000000" w:sz="4" w:space="0"/>
            </w:tcBorders>
            <w:noWrap/>
            <w:vAlign w:val="center"/>
          </w:tcPr>
          <w:p w14:paraId="58A4D539">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22C4D863">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VPN服务</w:t>
            </w:r>
          </w:p>
        </w:tc>
        <w:tc>
          <w:tcPr>
            <w:tcW w:w="2835" w:type="dxa"/>
            <w:tcBorders>
              <w:top w:val="single" w:color="000000" w:sz="4" w:space="0"/>
              <w:left w:val="single" w:color="000000" w:sz="4" w:space="0"/>
              <w:bottom w:val="single" w:color="000000" w:sz="4" w:space="0"/>
              <w:right w:val="single" w:color="000000" w:sz="4" w:space="0"/>
            </w:tcBorders>
            <w:noWrap/>
            <w:vAlign w:val="center"/>
          </w:tcPr>
          <w:p w14:paraId="3A55A6DA">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SSL VPN接入</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089AA843">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1套/月</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29F18196">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3EFDD7EB">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1EFB299C">
        <w:tblPrEx>
          <w:tblCellMar>
            <w:top w:w="0" w:type="dxa"/>
            <w:left w:w="108" w:type="dxa"/>
            <w:bottom w:w="0" w:type="dxa"/>
            <w:right w:w="108" w:type="dxa"/>
          </w:tblCellMar>
        </w:tblPrEx>
        <w:trPr>
          <w:trHeight w:val="28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1C54E608">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13</w:t>
            </w:r>
          </w:p>
        </w:tc>
        <w:tc>
          <w:tcPr>
            <w:tcW w:w="737" w:type="dxa"/>
            <w:vMerge w:val="continue"/>
            <w:tcBorders>
              <w:left w:val="single" w:color="000000" w:sz="4" w:space="0"/>
              <w:right w:val="single" w:color="000000" w:sz="4" w:space="0"/>
            </w:tcBorders>
            <w:noWrap/>
            <w:vAlign w:val="center"/>
          </w:tcPr>
          <w:p w14:paraId="6772D0A0">
            <w:pPr>
              <w:jc w:val="left"/>
              <w:rPr>
                <w:rFonts w:hint="eastAsia" w:ascii="宋体" w:hAnsi="宋体" w:eastAsia="宋体" w:cs="宋体"/>
                <w:color w:val="000000"/>
                <w:sz w:val="24"/>
                <w:szCs w:val="24"/>
                <w:highlight w:val="none"/>
              </w:rPr>
            </w:pPr>
          </w:p>
        </w:tc>
        <w:tc>
          <w:tcPr>
            <w:tcW w:w="1134" w:type="dxa"/>
            <w:vMerge w:val="restart"/>
            <w:tcBorders>
              <w:top w:val="single" w:color="000000" w:sz="4" w:space="0"/>
              <w:left w:val="single" w:color="000000" w:sz="4" w:space="0"/>
              <w:bottom w:val="single" w:color="000000" w:sz="4" w:space="0"/>
              <w:right w:val="single" w:color="000000" w:sz="4" w:space="0"/>
            </w:tcBorders>
            <w:noWrap/>
            <w:vAlign w:val="center"/>
          </w:tcPr>
          <w:p w14:paraId="7F8F0910">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互联网链路服务</w:t>
            </w:r>
          </w:p>
        </w:tc>
        <w:tc>
          <w:tcPr>
            <w:tcW w:w="2835" w:type="dxa"/>
            <w:tcBorders>
              <w:top w:val="single" w:color="000000" w:sz="4" w:space="0"/>
              <w:left w:val="single" w:color="000000" w:sz="4" w:space="0"/>
              <w:bottom w:val="single" w:color="000000" w:sz="4" w:space="0"/>
              <w:right w:val="single" w:color="000000" w:sz="4" w:space="0"/>
            </w:tcBorders>
            <w:noWrap/>
            <w:vAlign w:val="center"/>
          </w:tcPr>
          <w:p w14:paraId="0B40289B">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互联网链路带宽</w:t>
            </w:r>
          </w:p>
        </w:tc>
        <w:tc>
          <w:tcPr>
            <w:tcW w:w="907" w:type="dxa"/>
            <w:tcBorders>
              <w:top w:val="single" w:color="000000" w:sz="4" w:space="0"/>
              <w:left w:val="single" w:color="000000" w:sz="4" w:space="0"/>
              <w:bottom w:val="single" w:color="000000" w:sz="4" w:space="0"/>
              <w:right w:val="single" w:color="000000" w:sz="4" w:space="0"/>
            </w:tcBorders>
            <w:vAlign w:val="center"/>
          </w:tcPr>
          <w:p w14:paraId="5D39FD3C">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1Mb/月</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46430204">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9728</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12C670D1">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5453A161">
        <w:tblPrEx>
          <w:tblCellMar>
            <w:top w:w="0" w:type="dxa"/>
            <w:left w:w="108" w:type="dxa"/>
            <w:bottom w:w="0" w:type="dxa"/>
            <w:right w:w="108" w:type="dxa"/>
          </w:tblCellMar>
        </w:tblPrEx>
        <w:trPr>
          <w:trHeight w:val="59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38448D56">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14</w:t>
            </w:r>
          </w:p>
        </w:tc>
        <w:tc>
          <w:tcPr>
            <w:tcW w:w="737" w:type="dxa"/>
            <w:vMerge w:val="continue"/>
            <w:tcBorders>
              <w:left w:val="single" w:color="000000" w:sz="4" w:space="0"/>
              <w:right w:val="single" w:color="000000" w:sz="4" w:space="0"/>
            </w:tcBorders>
            <w:noWrap/>
            <w:vAlign w:val="center"/>
          </w:tcPr>
          <w:p w14:paraId="1DCFB068">
            <w:pPr>
              <w:jc w:val="left"/>
              <w:rPr>
                <w:rFonts w:hint="eastAsia" w:ascii="宋体" w:hAnsi="宋体" w:eastAsia="宋体" w:cs="宋体"/>
                <w:color w:val="000000"/>
                <w:sz w:val="24"/>
                <w:szCs w:val="24"/>
                <w:highlight w:val="none"/>
              </w:rPr>
            </w:pPr>
          </w:p>
        </w:tc>
        <w:tc>
          <w:tcPr>
            <w:tcW w:w="1134" w:type="dxa"/>
            <w:vMerge w:val="continue"/>
            <w:tcBorders>
              <w:top w:val="single" w:color="000000" w:sz="4" w:space="0"/>
              <w:left w:val="single" w:color="000000" w:sz="4" w:space="0"/>
              <w:bottom w:val="single" w:color="000000" w:sz="4" w:space="0"/>
              <w:right w:val="single" w:color="000000" w:sz="4" w:space="0"/>
            </w:tcBorders>
            <w:noWrap/>
            <w:vAlign w:val="center"/>
          </w:tcPr>
          <w:p w14:paraId="254CF4F9">
            <w:pPr>
              <w:jc w:val="left"/>
              <w:rPr>
                <w:rFonts w:hint="eastAsia" w:ascii="宋体" w:hAnsi="宋体" w:eastAsia="宋体" w:cs="宋体"/>
                <w:color w:val="000000"/>
                <w:sz w:val="24"/>
                <w:szCs w:val="24"/>
                <w:highlight w:val="none"/>
              </w:rPr>
            </w:pPr>
          </w:p>
        </w:tc>
        <w:tc>
          <w:tcPr>
            <w:tcW w:w="2835" w:type="dxa"/>
            <w:tcBorders>
              <w:top w:val="single" w:color="000000" w:sz="4" w:space="0"/>
              <w:left w:val="single" w:color="000000" w:sz="4" w:space="0"/>
              <w:bottom w:val="single" w:color="000000" w:sz="4" w:space="0"/>
              <w:right w:val="single" w:color="000000" w:sz="4" w:space="0"/>
            </w:tcBorders>
            <w:noWrap/>
            <w:vAlign w:val="center"/>
          </w:tcPr>
          <w:p w14:paraId="6D3B2DDA">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互联网IP地址租用服务，并提供备案服务</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215FDDE1">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1IP/月</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7AC50532">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18</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7DDE4AC6">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204C69F0">
        <w:tblPrEx>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19938371">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15</w:t>
            </w:r>
          </w:p>
        </w:tc>
        <w:tc>
          <w:tcPr>
            <w:tcW w:w="737" w:type="dxa"/>
            <w:vMerge w:val="continue"/>
            <w:tcBorders>
              <w:left w:val="single" w:color="000000" w:sz="4" w:space="0"/>
              <w:right w:val="single" w:color="000000" w:sz="4" w:space="0"/>
            </w:tcBorders>
            <w:noWrap/>
            <w:vAlign w:val="center"/>
          </w:tcPr>
          <w:p w14:paraId="28A28068">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48027C3B">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负载均衡服务</w:t>
            </w:r>
          </w:p>
        </w:tc>
        <w:tc>
          <w:tcPr>
            <w:tcW w:w="2835" w:type="dxa"/>
            <w:tcBorders>
              <w:top w:val="single" w:color="000000" w:sz="4" w:space="0"/>
              <w:left w:val="single" w:color="000000" w:sz="4" w:space="0"/>
              <w:bottom w:val="single" w:color="000000" w:sz="4" w:space="0"/>
              <w:right w:val="single" w:color="000000" w:sz="4" w:space="0"/>
            </w:tcBorders>
            <w:noWrap/>
            <w:vAlign w:val="center"/>
          </w:tcPr>
          <w:p w14:paraId="19280BBA">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主机负载均衡服务</w:t>
            </w:r>
          </w:p>
        </w:tc>
        <w:tc>
          <w:tcPr>
            <w:tcW w:w="907" w:type="dxa"/>
            <w:tcBorders>
              <w:top w:val="single" w:color="000000" w:sz="4" w:space="0"/>
              <w:left w:val="single" w:color="000000" w:sz="4" w:space="0"/>
              <w:bottom w:val="single" w:color="000000" w:sz="4" w:space="0"/>
              <w:right w:val="single" w:color="000000" w:sz="4" w:space="0"/>
            </w:tcBorders>
            <w:vAlign w:val="center"/>
          </w:tcPr>
          <w:p w14:paraId="0E9DC51A">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1IP（内网）/月</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0E265315">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119</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216C1462">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0874760D">
        <w:tblPrEx>
          <w:tblCellMar>
            <w:top w:w="0" w:type="dxa"/>
            <w:left w:w="108" w:type="dxa"/>
            <w:bottom w:w="0" w:type="dxa"/>
            <w:right w:w="108" w:type="dxa"/>
          </w:tblCellMar>
        </w:tblPrEx>
        <w:trPr>
          <w:trHeight w:val="59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659DB751">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16</w:t>
            </w:r>
          </w:p>
        </w:tc>
        <w:tc>
          <w:tcPr>
            <w:tcW w:w="737" w:type="dxa"/>
            <w:vMerge w:val="continue"/>
            <w:tcBorders>
              <w:left w:val="single" w:color="000000" w:sz="4" w:space="0"/>
              <w:right w:val="single" w:color="000000" w:sz="4" w:space="0"/>
            </w:tcBorders>
            <w:noWrap/>
            <w:vAlign w:val="center"/>
          </w:tcPr>
          <w:p w14:paraId="5267BEE5">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3AB3C6E7">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远程接入服务</w:t>
            </w:r>
          </w:p>
        </w:tc>
        <w:tc>
          <w:tcPr>
            <w:tcW w:w="2835" w:type="dxa"/>
            <w:tcBorders>
              <w:top w:val="single" w:color="000000" w:sz="4" w:space="0"/>
              <w:left w:val="single" w:color="000000" w:sz="4" w:space="0"/>
              <w:bottom w:val="single" w:color="000000" w:sz="4" w:space="0"/>
              <w:right w:val="single" w:color="000000" w:sz="4" w:space="0"/>
            </w:tcBorders>
            <w:noWrap/>
            <w:vAlign w:val="center"/>
          </w:tcPr>
          <w:p w14:paraId="527D4775">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远程接入服务</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2D1B69ED">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1账号/月</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736C3507">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86</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3DA51CD0">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1BC8CC44">
        <w:tblPrEx>
          <w:tblCellMar>
            <w:top w:w="0" w:type="dxa"/>
            <w:left w:w="108" w:type="dxa"/>
            <w:bottom w:w="0" w:type="dxa"/>
            <w:right w:w="108" w:type="dxa"/>
          </w:tblCellMar>
        </w:tblPrEx>
        <w:trPr>
          <w:trHeight w:val="59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68CFD47B">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17</w:t>
            </w:r>
          </w:p>
        </w:tc>
        <w:tc>
          <w:tcPr>
            <w:tcW w:w="737" w:type="dxa"/>
            <w:vMerge w:val="continue"/>
            <w:tcBorders>
              <w:left w:val="single" w:color="000000" w:sz="4" w:space="0"/>
              <w:bottom w:val="single" w:color="000000" w:sz="4" w:space="0"/>
              <w:right w:val="single" w:color="000000" w:sz="4" w:space="0"/>
            </w:tcBorders>
            <w:noWrap/>
            <w:vAlign w:val="center"/>
          </w:tcPr>
          <w:p w14:paraId="292DDF61">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12DBB790">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web应用防火墙服务</w:t>
            </w:r>
          </w:p>
        </w:tc>
        <w:tc>
          <w:tcPr>
            <w:tcW w:w="2835" w:type="dxa"/>
            <w:tcBorders>
              <w:top w:val="single" w:color="000000" w:sz="4" w:space="0"/>
              <w:left w:val="single" w:color="000000" w:sz="4" w:space="0"/>
              <w:bottom w:val="single" w:color="000000" w:sz="4" w:space="0"/>
              <w:right w:val="single" w:color="000000" w:sz="4" w:space="0"/>
            </w:tcBorders>
            <w:noWrap/>
            <w:vAlign w:val="center"/>
          </w:tcPr>
          <w:p w14:paraId="65F16D70">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web应用防火墙服务</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34E67448">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1IP/月</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4DF7EFB1">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485DECA5">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5D9CDF81">
        <w:tblPrEx>
          <w:tblCellMar>
            <w:top w:w="0" w:type="dxa"/>
            <w:left w:w="108" w:type="dxa"/>
            <w:bottom w:w="0" w:type="dxa"/>
            <w:right w:w="108" w:type="dxa"/>
          </w:tblCellMar>
        </w:tblPrEx>
        <w:trPr>
          <w:trHeight w:val="9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71BD12A2">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18</w:t>
            </w:r>
          </w:p>
        </w:tc>
        <w:tc>
          <w:tcPr>
            <w:tcW w:w="737" w:type="dxa"/>
            <w:vMerge w:val="restart"/>
            <w:tcBorders>
              <w:top w:val="single" w:color="000000" w:sz="4" w:space="0"/>
              <w:left w:val="single" w:color="000000" w:sz="4" w:space="0"/>
              <w:bottom w:val="single" w:color="000000" w:sz="4" w:space="0"/>
              <w:right w:val="single" w:color="000000" w:sz="4" w:space="0"/>
            </w:tcBorders>
            <w:noWrap/>
            <w:vAlign w:val="center"/>
          </w:tcPr>
          <w:p w14:paraId="3C947E06">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安全服务</w:t>
            </w:r>
          </w:p>
        </w:tc>
        <w:tc>
          <w:tcPr>
            <w:tcW w:w="1134" w:type="dxa"/>
            <w:tcBorders>
              <w:top w:val="single" w:color="000000" w:sz="4" w:space="0"/>
              <w:left w:val="single" w:color="000000" w:sz="4" w:space="0"/>
              <w:bottom w:val="single" w:color="000000" w:sz="4" w:space="0"/>
              <w:right w:val="single" w:color="000000" w:sz="4" w:space="0"/>
            </w:tcBorders>
            <w:vAlign w:val="center"/>
          </w:tcPr>
          <w:p w14:paraId="2D87F2A7">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SSL证书</w:t>
            </w:r>
          </w:p>
        </w:tc>
        <w:tc>
          <w:tcPr>
            <w:tcW w:w="2835" w:type="dxa"/>
            <w:tcBorders>
              <w:top w:val="single" w:color="000000" w:sz="4" w:space="0"/>
              <w:left w:val="single" w:color="000000" w:sz="4" w:space="0"/>
              <w:bottom w:val="single" w:color="000000" w:sz="4" w:space="0"/>
              <w:right w:val="single" w:color="000000" w:sz="4" w:space="0"/>
            </w:tcBorders>
            <w:vAlign w:val="center"/>
          </w:tcPr>
          <w:p w14:paraId="1C32564E">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SSL证书</w:t>
            </w:r>
          </w:p>
        </w:tc>
        <w:tc>
          <w:tcPr>
            <w:tcW w:w="907" w:type="dxa"/>
            <w:tcBorders>
              <w:top w:val="single" w:color="000000" w:sz="4" w:space="0"/>
              <w:left w:val="single" w:color="000000" w:sz="4" w:space="0"/>
              <w:bottom w:val="single" w:color="000000" w:sz="4" w:space="0"/>
              <w:right w:val="single" w:color="000000" w:sz="4" w:space="0"/>
            </w:tcBorders>
            <w:vAlign w:val="center"/>
          </w:tcPr>
          <w:p w14:paraId="1C29DE51">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1个/月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33CC2512">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235552D0">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17F6630B">
        <w:tblPrEx>
          <w:tblCellMar>
            <w:top w:w="0" w:type="dxa"/>
            <w:left w:w="108" w:type="dxa"/>
            <w:bottom w:w="0" w:type="dxa"/>
            <w:right w:w="108" w:type="dxa"/>
          </w:tblCellMar>
        </w:tblPrEx>
        <w:trPr>
          <w:trHeight w:val="28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250DC438">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19</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1E45FC26">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3D8CDB37">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云端抗DDOS服务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74267D40">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云端抗DDOS服务</w:t>
            </w:r>
          </w:p>
        </w:tc>
        <w:tc>
          <w:tcPr>
            <w:tcW w:w="907" w:type="dxa"/>
            <w:tcBorders>
              <w:top w:val="single" w:color="000000" w:sz="4" w:space="0"/>
              <w:left w:val="single" w:color="000000" w:sz="4" w:space="0"/>
              <w:bottom w:val="single" w:color="000000" w:sz="4" w:space="0"/>
              <w:right w:val="single" w:color="000000" w:sz="4" w:space="0"/>
            </w:tcBorders>
            <w:vAlign w:val="center"/>
          </w:tcPr>
          <w:p w14:paraId="4C9E94CF">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1套/月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1888985F">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18</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780784A7">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6419E43A">
        <w:tblPrEx>
          <w:tblCellMar>
            <w:top w:w="0" w:type="dxa"/>
            <w:left w:w="108" w:type="dxa"/>
            <w:bottom w:w="0" w:type="dxa"/>
            <w:right w:w="108" w:type="dxa"/>
          </w:tblCellMar>
        </w:tblPrEx>
        <w:trPr>
          <w:trHeight w:val="28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0BF376E7">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20</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44B12B99">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4E226750">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主机杀毒服务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21C59622">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主机杀毒服务</w:t>
            </w:r>
          </w:p>
        </w:tc>
        <w:tc>
          <w:tcPr>
            <w:tcW w:w="907" w:type="dxa"/>
            <w:tcBorders>
              <w:top w:val="single" w:color="000000" w:sz="4" w:space="0"/>
              <w:left w:val="single" w:color="000000" w:sz="4" w:space="0"/>
              <w:bottom w:val="single" w:color="000000" w:sz="4" w:space="0"/>
              <w:right w:val="single" w:color="000000" w:sz="4" w:space="0"/>
            </w:tcBorders>
            <w:vAlign w:val="center"/>
          </w:tcPr>
          <w:p w14:paraId="2D67A4EA">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1台/月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1BC40714">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508</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4AAA43F0">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28F6C45A">
        <w:tblPrEx>
          <w:tblCellMar>
            <w:top w:w="0" w:type="dxa"/>
            <w:left w:w="108" w:type="dxa"/>
            <w:bottom w:w="0" w:type="dxa"/>
            <w:right w:w="108" w:type="dxa"/>
          </w:tblCellMar>
        </w:tblPrEx>
        <w:trPr>
          <w:trHeight w:val="28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659EB421">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21</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6FF74855">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23312D82">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主机防护</w:t>
            </w:r>
          </w:p>
        </w:tc>
        <w:tc>
          <w:tcPr>
            <w:tcW w:w="2835" w:type="dxa"/>
            <w:tcBorders>
              <w:top w:val="single" w:color="000000" w:sz="4" w:space="0"/>
              <w:left w:val="single" w:color="000000" w:sz="4" w:space="0"/>
              <w:bottom w:val="single" w:color="000000" w:sz="4" w:space="0"/>
              <w:right w:val="single" w:color="000000" w:sz="4" w:space="0"/>
            </w:tcBorders>
            <w:vAlign w:val="center"/>
          </w:tcPr>
          <w:p w14:paraId="78C32DAF">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主机防护</w:t>
            </w:r>
          </w:p>
        </w:tc>
        <w:tc>
          <w:tcPr>
            <w:tcW w:w="907" w:type="dxa"/>
            <w:tcBorders>
              <w:top w:val="single" w:color="000000" w:sz="4" w:space="0"/>
              <w:left w:val="single" w:color="000000" w:sz="4" w:space="0"/>
              <w:bottom w:val="single" w:color="000000" w:sz="4" w:space="0"/>
              <w:right w:val="single" w:color="000000" w:sz="4" w:space="0"/>
            </w:tcBorders>
            <w:vAlign w:val="center"/>
          </w:tcPr>
          <w:p w14:paraId="2D7C133B">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1台/月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21DD7FB1">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83</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6E1DEF95">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06DF6C9D">
        <w:tblPrEx>
          <w:tblCellMar>
            <w:top w:w="0" w:type="dxa"/>
            <w:left w:w="108" w:type="dxa"/>
            <w:bottom w:w="0" w:type="dxa"/>
            <w:right w:w="108" w:type="dxa"/>
          </w:tblCellMar>
        </w:tblPrEx>
        <w:trPr>
          <w:trHeight w:val="59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2B6340EE">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22</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1CC23D3D">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61CA603A">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网页防篡改服务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3EACCFE3">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网页防篡改服务</w:t>
            </w:r>
          </w:p>
        </w:tc>
        <w:tc>
          <w:tcPr>
            <w:tcW w:w="907" w:type="dxa"/>
            <w:tcBorders>
              <w:top w:val="single" w:color="000000" w:sz="4" w:space="0"/>
              <w:left w:val="single" w:color="000000" w:sz="4" w:space="0"/>
              <w:bottom w:val="single" w:color="000000" w:sz="4" w:space="0"/>
              <w:right w:val="single" w:color="000000" w:sz="4" w:space="0"/>
            </w:tcBorders>
            <w:vAlign w:val="center"/>
          </w:tcPr>
          <w:p w14:paraId="256679FC">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1台/月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741C0D86">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74</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5A1AB716">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1214BC90">
        <w:tblPrEx>
          <w:tblCellMar>
            <w:top w:w="0" w:type="dxa"/>
            <w:left w:w="108" w:type="dxa"/>
            <w:bottom w:w="0" w:type="dxa"/>
            <w:right w:w="108" w:type="dxa"/>
          </w:tblCellMar>
        </w:tblPrEx>
        <w:trPr>
          <w:trHeight w:val="28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5317463B">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23</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2012E79E">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1DD38DC6">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主机漏洞扫描</w:t>
            </w:r>
          </w:p>
        </w:tc>
        <w:tc>
          <w:tcPr>
            <w:tcW w:w="2835" w:type="dxa"/>
            <w:tcBorders>
              <w:top w:val="single" w:color="000000" w:sz="4" w:space="0"/>
              <w:left w:val="single" w:color="000000" w:sz="4" w:space="0"/>
              <w:bottom w:val="single" w:color="000000" w:sz="4" w:space="0"/>
              <w:right w:val="single" w:color="000000" w:sz="4" w:space="0"/>
            </w:tcBorders>
            <w:vAlign w:val="center"/>
          </w:tcPr>
          <w:p w14:paraId="167D2820">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主机漏洞扫描</w:t>
            </w:r>
          </w:p>
        </w:tc>
        <w:tc>
          <w:tcPr>
            <w:tcW w:w="907" w:type="dxa"/>
            <w:tcBorders>
              <w:top w:val="single" w:color="000000" w:sz="4" w:space="0"/>
              <w:left w:val="single" w:color="000000" w:sz="4" w:space="0"/>
              <w:bottom w:val="single" w:color="000000" w:sz="4" w:space="0"/>
              <w:right w:val="single" w:color="000000" w:sz="4" w:space="0"/>
            </w:tcBorders>
            <w:vAlign w:val="center"/>
          </w:tcPr>
          <w:p w14:paraId="785C27EE">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1台次</w:t>
            </w:r>
          </w:p>
        </w:tc>
        <w:tc>
          <w:tcPr>
            <w:tcW w:w="1056" w:type="dxa"/>
            <w:tcBorders>
              <w:top w:val="single" w:color="000000" w:sz="4" w:space="0"/>
              <w:left w:val="single" w:color="000000" w:sz="4" w:space="0"/>
              <w:bottom w:val="single" w:color="000000" w:sz="4" w:space="0"/>
              <w:right w:val="single" w:color="000000" w:sz="4" w:space="0"/>
            </w:tcBorders>
            <w:vAlign w:val="center"/>
          </w:tcPr>
          <w:p w14:paraId="041F020D">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166</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1E56CD60">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0E891001">
        <w:tblPrEx>
          <w:tblCellMar>
            <w:top w:w="0" w:type="dxa"/>
            <w:left w:w="108" w:type="dxa"/>
            <w:bottom w:w="0" w:type="dxa"/>
            <w:right w:w="108" w:type="dxa"/>
          </w:tblCellMar>
        </w:tblPrEx>
        <w:trPr>
          <w:trHeight w:val="28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71CCE45E">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24</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7C6BFDFE">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7DB7D2B3">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主机日志审计服务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4F8A7C3D">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主机日志审计服务</w:t>
            </w:r>
          </w:p>
        </w:tc>
        <w:tc>
          <w:tcPr>
            <w:tcW w:w="907" w:type="dxa"/>
            <w:tcBorders>
              <w:top w:val="single" w:color="000000" w:sz="4" w:space="0"/>
              <w:left w:val="single" w:color="000000" w:sz="4" w:space="0"/>
              <w:bottom w:val="single" w:color="000000" w:sz="4" w:space="0"/>
              <w:right w:val="single" w:color="000000" w:sz="4" w:space="0"/>
            </w:tcBorders>
            <w:vAlign w:val="center"/>
          </w:tcPr>
          <w:p w14:paraId="2610F998">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1台/月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48136080">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83</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757AE107">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059C2DA6">
        <w:tblPrEx>
          <w:tblCellMar>
            <w:top w:w="0" w:type="dxa"/>
            <w:left w:w="108" w:type="dxa"/>
            <w:bottom w:w="0" w:type="dxa"/>
            <w:right w:w="108" w:type="dxa"/>
          </w:tblCellMar>
        </w:tblPrEx>
        <w:trPr>
          <w:trHeight w:val="87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2350B3A1">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25</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43871C9C">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1A1CB414">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数据库审计服务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57BB3DF1">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数据库审计服务</w:t>
            </w:r>
          </w:p>
        </w:tc>
        <w:tc>
          <w:tcPr>
            <w:tcW w:w="907" w:type="dxa"/>
            <w:tcBorders>
              <w:top w:val="single" w:color="000000" w:sz="4" w:space="0"/>
              <w:left w:val="single" w:color="000000" w:sz="4" w:space="0"/>
              <w:bottom w:val="single" w:color="000000" w:sz="4" w:space="0"/>
              <w:right w:val="single" w:color="000000" w:sz="4" w:space="0"/>
            </w:tcBorders>
            <w:vAlign w:val="center"/>
          </w:tcPr>
          <w:p w14:paraId="09EE5F99">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1套/月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55D8AC31">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57</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3BA2CAED">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53D3F1B5">
        <w:tblPrEx>
          <w:tblCellMar>
            <w:top w:w="0" w:type="dxa"/>
            <w:left w:w="108" w:type="dxa"/>
            <w:bottom w:w="0" w:type="dxa"/>
            <w:right w:w="108" w:type="dxa"/>
          </w:tblCellMar>
        </w:tblPrEx>
        <w:trPr>
          <w:trHeight w:val="28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2234A662">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26</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5428F06C">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097F8152">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sz w:val="24"/>
                <w:szCs w:val="24"/>
                <w:highlight w:val="none"/>
              </w:rPr>
              <w:t>云下一代防火墙</w:t>
            </w:r>
          </w:p>
        </w:tc>
        <w:tc>
          <w:tcPr>
            <w:tcW w:w="2835" w:type="dxa"/>
            <w:tcBorders>
              <w:top w:val="single" w:color="000000" w:sz="4" w:space="0"/>
              <w:left w:val="single" w:color="000000" w:sz="4" w:space="0"/>
              <w:bottom w:val="single" w:color="000000" w:sz="4" w:space="0"/>
              <w:right w:val="single" w:color="000000" w:sz="4" w:space="0"/>
            </w:tcBorders>
            <w:vAlign w:val="center"/>
          </w:tcPr>
          <w:p w14:paraId="17562AAC">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sz w:val="24"/>
                <w:szCs w:val="24"/>
                <w:highlight w:val="none"/>
              </w:rPr>
              <w:t>云下一代防火墙</w:t>
            </w:r>
          </w:p>
        </w:tc>
        <w:tc>
          <w:tcPr>
            <w:tcW w:w="907" w:type="dxa"/>
            <w:tcBorders>
              <w:top w:val="single" w:color="000000" w:sz="4" w:space="0"/>
              <w:left w:val="single" w:color="000000" w:sz="4" w:space="0"/>
              <w:bottom w:val="single" w:color="000000" w:sz="4" w:space="0"/>
              <w:right w:val="single" w:color="000000" w:sz="4" w:space="0"/>
            </w:tcBorders>
            <w:vAlign w:val="center"/>
          </w:tcPr>
          <w:p w14:paraId="08CCFD63">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1套/月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0D490D96">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4</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3B5A169F">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68E360BD">
        <w:tblPrEx>
          <w:tblCellMar>
            <w:top w:w="0" w:type="dxa"/>
            <w:left w:w="108" w:type="dxa"/>
            <w:bottom w:w="0" w:type="dxa"/>
            <w:right w:w="108" w:type="dxa"/>
          </w:tblCellMar>
        </w:tblPrEx>
        <w:trPr>
          <w:trHeight w:val="28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04295B8D">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27</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59B65173">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494C79B8">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集中管控</w:t>
            </w:r>
          </w:p>
        </w:tc>
        <w:tc>
          <w:tcPr>
            <w:tcW w:w="2835" w:type="dxa"/>
            <w:tcBorders>
              <w:top w:val="single" w:color="000000" w:sz="4" w:space="0"/>
              <w:left w:val="single" w:color="000000" w:sz="4" w:space="0"/>
              <w:bottom w:val="single" w:color="000000" w:sz="4" w:space="0"/>
              <w:right w:val="single" w:color="000000" w:sz="4" w:space="0"/>
            </w:tcBorders>
            <w:vAlign w:val="center"/>
          </w:tcPr>
          <w:p w14:paraId="28FD118C">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集中管控</w:t>
            </w:r>
          </w:p>
        </w:tc>
        <w:tc>
          <w:tcPr>
            <w:tcW w:w="907" w:type="dxa"/>
            <w:tcBorders>
              <w:top w:val="single" w:color="000000" w:sz="4" w:space="0"/>
              <w:left w:val="single" w:color="000000" w:sz="4" w:space="0"/>
              <w:bottom w:val="single" w:color="000000" w:sz="4" w:space="0"/>
              <w:right w:val="single" w:color="000000" w:sz="4" w:space="0"/>
            </w:tcBorders>
            <w:vAlign w:val="center"/>
          </w:tcPr>
          <w:p w14:paraId="01E5F284">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1套/月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1BAD29BD">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0D876C58">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2B0396FA">
        <w:tblPrEx>
          <w:tblCellMar>
            <w:top w:w="0" w:type="dxa"/>
            <w:left w:w="108" w:type="dxa"/>
            <w:bottom w:w="0" w:type="dxa"/>
            <w:right w:w="108" w:type="dxa"/>
          </w:tblCellMar>
        </w:tblPrEx>
        <w:trPr>
          <w:trHeight w:val="28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630B601F">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28</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7B70081C">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3B77F0CB">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身份认证服务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5D84B332">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强身份认证服务</w:t>
            </w:r>
          </w:p>
        </w:tc>
        <w:tc>
          <w:tcPr>
            <w:tcW w:w="907" w:type="dxa"/>
            <w:tcBorders>
              <w:top w:val="single" w:color="000000" w:sz="4" w:space="0"/>
              <w:left w:val="single" w:color="000000" w:sz="4" w:space="0"/>
              <w:bottom w:val="single" w:color="000000" w:sz="4" w:space="0"/>
              <w:right w:val="single" w:color="000000" w:sz="4" w:space="0"/>
            </w:tcBorders>
            <w:vAlign w:val="center"/>
          </w:tcPr>
          <w:p w14:paraId="2944EC39">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1套/月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5130DD3B">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4</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4FF5147C">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5DEBF1B3">
        <w:tblPrEx>
          <w:tblCellMar>
            <w:top w:w="0" w:type="dxa"/>
            <w:left w:w="108" w:type="dxa"/>
            <w:bottom w:w="0" w:type="dxa"/>
            <w:right w:w="108" w:type="dxa"/>
          </w:tblCellMar>
        </w:tblPrEx>
        <w:trPr>
          <w:trHeight w:val="9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4AFF8F54">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29</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36194093">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014AAFE3">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签名验证服务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5594E090">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签名验证服务</w:t>
            </w:r>
          </w:p>
        </w:tc>
        <w:tc>
          <w:tcPr>
            <w:tcW w:w="907" w:type="dxa"/>
            <w:tcBorders>
              <w:top w:val="single" w:color="000000" w:sz="4" w:space="0"/>
              <w:left w:val="single" w:color="000000" w:sz="4" w:space="0"/>
              <w:bottom w:val="single" w:color="000000" w:sz="4" w:space="0"/>
              <w:right w:val="single" w:color="000000" w:sz="4" w:space="0"/>
            </w:tcBorders>
            <w:vAlign w:val="center"/>
          </w:tcPr>
          <w:p w14:paraId="14A5C8E7">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1套/月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6EB8415A">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4</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14309532">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4FA56BFD">
        <w:tblPrEx>
          <w:tblCellMar>
            <w:top w:w="0" w:type="dxa"/>
            <w:left w:w="108" w:type="dxa"/>
            <w:bottom w:w="0" w:type="dxa"/>
            <w:right w:w="108" w:type="dxa"/>
          </w:tblCellMar>
        </w:tblPrEx>
        <w:trPr>
          <w:trHeight w:val="31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5FAE83A6">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30</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06F97234">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0D06609E">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时间戳服务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76587DAD">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时间戳服务</w:t>
            </w:r>
          </w:p>
        </w:tc>
        <w:tc>
          <w:tcPr>
            <w:tcW w:w="907" w:type="dxa"/>
            <w:tcBorders>
              <w:top w:val="single" w:color="000000" w:sz="4" w:space="0"/>
              <w:left w:val="single" w:color="000000" w:sz="4" w:space="0"/>
              <w:bottom w:val="single" w:color="000000" w:sz="4" w:space="0"/>
              <w:right w:val="single" w:color="000000" w:sz="4" w:space="0"/>
            </w:tcBorders>
            <w:vAlign w:val="center"/>
          </w:tcPr>
          <w:p w14:paraId="66839BB2">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1套/月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2B9E35D1">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4</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00230991">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618B859E">
        <w:tblPrEx>
          <w:tblCellMar>
            <w:top w:w="0" w:type="dxa"/>
            <w:left w:w="108" w:type="dxa"/>
            <w:bottom w:w="0" w:type="dxa"/>
            <w:right w:w="108" w:type="dxa"/>
          </w:tblCellMar>
        </w:tblPrEx>
        <w:trPr>
          <w:trHeight w:val="28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082A4A35">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31</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42788006">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7EB25594">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加解密服务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0D82AB61">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加解密服务</w:t>
            </w:r>
          </w:p>
        </w:tc>
        <w:tc>
          <w:tcPr>
            <w:tcW w:w="907" w:type="dxa"/>
            <w:tcBorders>
              <w:top w:val="single" w:color="000000" w:sz="4" w:space="0"/>
              <w:left w:val="single" w:color="000000" w:sz="4" w:space="0"/>
              <w:bottom w:val="single" w:color="000000" w:sz="4" w:space="0"/>
              <w:right w:val="single" w:color="000000" w:sz="4" w:space="0"/>
            </w:tcBorders>
            <w:vAlign w:val="center"/>
          </w:tcPr>
          <w:p w14:paraId="457BD545">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1套/月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229CB73F">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4</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629D5620">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11D30AF4">
        <w:tblPrEx>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740FF763">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32</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5605A355">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6A44CF67">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远程运维接入服务（国密）</w:t>
            </w:r>
          </w:p>
        </w:tc>
        <w:tc>
          <w:tcPr>
            <w:tcW w:w="2835" w:type="dxa"/>
            <w:tcBorders>
              <w:top w:val="single" w:color="000000" w:sz="4" w:space="0"/>
              <w:left w:val="single" w:color="000000" w:sz="4" w:space="0"/>
              <w:bottom w:val="single" w:color="000000" w:sz="4" w:space="0"/>
              <w:right w:val="single" w:color="000000" w:sz="4" w:space="0"/>
            </w:tcBorders>
            <w:vAlign w:val="center"/>
          </w:tcPr>
          <w:p w14:paraId="6D8D3273">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远程运维接入服务（国密）</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25C4F4E4">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w:t>
            </w:r>
            <w:r>
              <w:rPr>
                <w:rFonts w:hint="eastAsia" w:ascii="宋体" w:hAnsi="宋体" w:eastAsia="宋体" w:cs="宋体"/>
                <w:color w:val="000000"/>
                <w:kern w:val="0"/>
                <w:sz w:val="24"/>
                <w:szCs w:val="24"/>
                <w:highlight w:val="none"/>
                <w:lang w:val="en-US" w:eastAsia="zh-CN" w:bidi="ar"/>
              </w:rPr>
              <w:t>个授权</w:t>
            </w:r>
            <w:r>
              <w:rPr>
                <w:rFonts w:hint="eastAsia" w:ascii="宋体" w:hAnsi="宋体" w:eastAsia="宋体" w:cs="宋体"/>
                <w:color w:val="000000"/>
                <w:kern w:val="0"/>
                <w:sz w:val="24"/>
                <w:szCs w:val="24"/>
                <w:highlight w:val="none"/>
                <w:lang w:bidi="ar"/>
              </w:rPr>
              <w:t>/月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5C2A89CB">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69713A6F">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0007524E">
        <w:tblPrEx>
          <w:tblCellMar>
            <w:top w:w="0" w:type="dxa"/>
            <w:left w:w="108" w:type="dxa"/>
            <w:bottom w:w="0" w:type="dxa"/>
            <w:right w:w="108" w:type="dxa"/>
          </w:tblCellMar>
        </w:tblPrEx>
        <w:trPr>
          <w:trHeight w:val="28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0B6FAFEE">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33</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72D8674A">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12B87E92">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数据库透明加密服务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6C446034">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数据库透明加密服务</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230834E1">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1套/月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2EF8D8D3">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4</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59E70D5B">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522EC3EF">
        <w:tblPrEx>
          <w:tblCellMar>
            <w:top w:w="0" w:type="dxa"/>
            <w:left w:w="108" w:type="dxa"/>
            <w:bottom w:w="0" w:type="dxa"/>
            <w:right w:w="108" w:type="dxa"/>
          </w:tblCellMar>
        </w:tblPrEx>
        <w:trPr>
          <w:trHeight w:val="87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5B82C196">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34</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76E21202">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112B5EBA">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智能密码钥匙</w:t>
            </w:r>
          </w:p>
        </w:tc>
        <w:tc>
          <w:tcPr>
            <w:tcW w:w="2835" w:type="dxa"/>
            <w:tcBorders>
              <w:top w:val="single" w:color="000000" w:sz="4" w:space="0"/>
              <w:left w:val="single" w:color="000000" w:sz="4" w:space="0"/>
              <w:bottom w:val="single" w:color="000000" w:sz="4" w:space="0"/>
              <w:right w:val="single" w:color="000000" w:sz="4" w:space="0"/>
            </w:tcBorders>
            <w:vAlign w:val="center"/>
          </w:tcPr>
          <w:p w14:paraId="6B5A60CE">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智能密码钥匙</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5A196EF6">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w:t>
            </w:r>
            <w:r>
              <w:rPr>
                <w:rFonts w:hint="eastAsia" w:ascii="宋体" w:hAnsi="宋体" w:eastAsia="宋体" w:cs="宋体"/>
                <w:color w:val="000000"/>
                <w:kern w:val="0"/>
                <w:sz w:val="24"/>
                <w:szCs w:val="24"/>
                <w:highlight w:val="none"/>
                <w:lang w:val="en-US" w:eastAsia="zh-CN" w:bidi="ar"/>
              </w:rPr>
              <w:t>个</w:t>
            </w:r>
            <w:r>
              <w:rPr>
                <w:rFonts w:hint="eastAsia" w:ascii="宋体" w:hAnsi="宋体" w:eastAsia="宋体" w:cs="宋体"/>
                <w:color w:val="000000"/>
                <w:kern w:val="0"/>
                <w:sz w:val="24"/>
                <w:szCs w:val="24"/>
                <w:highlight w:val="none"/>
                <w:lang w:bidi="ar"/>
              </w:rPr>
              <w:t>/月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1E4F0C70">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53B28D32">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517E7301">
        <w:tblPrEx>
          <w:tblCellMar>
            <w:top w:w="0" w:type="dxa"/>
            <w:left w:w="108" w:type="dxa"/>
            <w:bottom w:w="0" w:type="dxa"/>
            <w:right w:w="108" w:type="dxa"/>
          </w:tblCellMar>
        </w:tblPrEx>
        <w:trPr>
          <w:trHeight w:val="28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573A974F">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35</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09FE09D4">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3616B901">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国密浏览器</w:t>
            </w:r>
          </w:p>
        </w:tc>
        <w:tc>
          <w:tcPr>
            <w:tcW w:w="2835" w:type="dxa"/>
            <w:tcBorders>
              <w:top w:val="single" w:color="000000" w:sz="4" w:space="0"/>
              <w:left w:val="single" w:color="000000" w:sz="4" w:space="0"/>
              <w:bottom w:val="single" w:color="000000" w:sz="4" w:space="0"/>
              <w:right w:val="single" w:color="000000" w:sz="4" w:space="0"/>
            </w:tcBorders>
            <w:vAlign w:val="center"/>
          </w:tcPr>
          <w:p w14:paraId="205DB5B3">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国密浏览器</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50DEA5FC">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1套/月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5628E24B">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4759D15C">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72C60ACC">
        <w:tblPrEx>
          <w:tblCellMar>
            <w:top w:w="0" w:type="dxa"/>
            <w:left w:w="108" w:type="dxa"/>
            <w:bottom w:w="0" w:type="dxa"/>
            <w:right w:w="108" w:type="dxa"/>
          </w:tblCellMar>
        </w:tblPrEx>
        <w:trPr>
          <w:trHeight w:val="28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23C9EB37">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36</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6C957469">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418D06CE">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云主机深度监控服务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2955B4BB">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云主机深度监控服务</w:t>
            </w:r>
          </w:p>
        </w:tc>
        <w:tc>
          <w:tcPr>
            <w:tcW w:w="907" w:type="dxa"/>
            <w:tcBorders>
              <w:top w:val="single" w:color="000000" w:sz="4" w:space="0"/>
              <w:left w:val="single" w:color="000000" w:sz="4" w:space="0"/>
              <w:bottom w:val="single" w:color="000000" w:sz="4" w:space="0"/>
              <w:right w:val="single" w:color="000000" w:sz="4" w:space="0"/>
            </w:tcBorders>
            <w:vAlign w:val="center"/>
          </w:tcPr>
          <w:p w14:paraId="5CA55FCC">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1台/月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311A0832">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11</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3DA377C3">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0D8B5478">
        <w:tblPrEx>
          <w:tblCellMar>
            <w:top w:w="0" w:type="dxa"/>
            <w:left w:w="108" w:type="dxa"/>
            <w:bottom w:w="0" w:type="dxa"/>
            <w:right w:w="108" w:type="dxa"/>
          </w:tblCellMar>
        </w:tblPrEx>
        <w:trPr>
          <w:trHeight w:val="112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34486501">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37</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0A6BA711">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282E322F">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主机可信免疫服务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69BB2B4B">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基于可信计算技术对系统运行环境的整体安全状态进行全面监控，对可执行程序以及访问主机用户的行为进行精准的控制，确保合法的用户、合法的进程、合法地访问文件，防止恶意代码、非法入侵等网络安全问题的发生</w:t>
            </w:r>
          </w:p>
        </w:tc>
        <w:tc>
          <w:tcPr>
            <w:tcW w:w="907" w:type="dxa"/>
            <w:tcBorders>
              <w:top w:val="single" w:color="000000" w:sz="4" w:space="0"/>
              <w:left w:val="single" w:color="000000" w:sz="4" w:space="0"/>
              <w:bottom w:val="single" w:color="000000" w:sz="4" w:space="0"/>
              <w:right w:val="single" w:color="000000" w:sz="4" w:space="0"/>
            </w:tcBorders>
            <w:vAlign w:val="center"/>
          </w:tcPr>
          <w:p w14:paraId="46A03F3A">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1台/月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7E40FC15">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33</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5B6E1924">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2475EFF2">
        <w:tblPrEx>
          <w:tblCellMar>
            <w:top w:w="0" w:type="dxa"/>
            <w:left w:w="108" w:type="dxa"/>
            <w:bottom w:w="0" w:type="dxa"/>
            <w:right w:w="108" w:type="dxa"/>
          </w:tblCellMar>
        </w:tblPrEx>
        <w:trPr>
          <w:trHeight w:val="84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5C0AF421">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38</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18FB5ED7">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5CE9F3C6">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云内东西向虚拟化微隔离服务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68B368FC">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配置网络策略，对主机的访问行为进行管控，实时监控异常的网络流量并发出告警，一键隔离失陷主机的网络，防止威胁扩散</w:t>
            </w:r>
          </w:p>
        </w:tc>
        <w:tc>
          <w:tcPr>
            <w:tcW w:w="907" w:type="dxa"/>
            <w:tcBorders>
              <w:top w:val="single" w:color="000000" w:sz="4" w:space="0"/>
              <w:left w:val="single" w:color="000000" w:sz="4" w:space="0"/>
              <w:bottom w:val="single" w:color="000000" w:sz="4" w:space="0"/>
              <w:right w:val="single" w:color="000000" w:sz="4" w:space="0"/>
            </w:tcBorders>
            <w:vAlign w:val="center"/>
          </w:tcPr>
          <w:p w14:paraId="406E53F5">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1台/月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3F13637A">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115</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06FDF4FA">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72FF5951">
        <w:tblPrEx>
          <w:tblCellMar>
            <w:top w:w="0" w:type="dxa"/>
            <w:left w:w="108" w:type="dxa"/>
            <w:bottom w:w="0" w:type="dxa"/>
            <w:right w:w="108" w:type="dxa"/>
          </w:tblCellMar>
        </w:tblPrEx>
        <w:trPr>
          <w:trHeight w:val="171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603E294E">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39</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7BA9B4E9">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50EC645E">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密钥管理服务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13E53DAC">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密钥管理服务支持对密钥的生成、存储、分配、使用与更新、备份与恢复、归档、销毁等全生命周期的管理，为业务应用提供安全、易用的密钥管理机制。</w:t>
            </w:r>
          </w:p>
        </w:tc>
        <w:tc>
          <w:tcPr>
            <w:tcW w:w="907" w:type="dxa"/>
            <w:tcBorders>
              <w:top w:val="single" w:color="000000" w:sz="4" w:space="0"/>
              <w:left w:val="single" w:color="000000" w:sz="4" w:space="0"/>
              <w:bottom w:val="single" w:color="000000" w:sz="4" w:space="0"/>
              <w:right w:val="single" w:color="000000" w:sz="4" w:space="0"/>
            </w:tcBorders>
            <w:vAlign w:val="center"/>
          </w:tcPr>
          <w:p w14:paraId="32087C1F">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1套/月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2A0D20DD">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237D9F8B">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660EC1A7">
        <w:tblPrEx>
          <w:tblCellMar>
            <w:top w:w="0" w:type="dxa"/>
            <w:left w:w="108" w:type="dxa"/>
            <w:bottom w:w="0" w:type="dxa"/>
            <w:right w:w="108" w:type="dxa"/>
          </w:tblCellMar>
        </w:tblPrEx>
        <w:trPr>
          <w:trHeight w:val="84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371292B5">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40</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164659E4">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4187F181">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证书管理服务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07B8E505">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证书管理服务支持对个人证书、单位证书、应用证书、设备证书和服务器证书的托管，并支持证书的申请、签发、下载、冻结、解冻、更新、注销等全生命周期的管理。</w:t>
            </w:r>
          </w:p>
        </w:tc>
        <w:tc>
          <w:tcPr>
            <w:tcW w:w="907" w:type="dxa"/>
            <w:tcBorders>
              <w:top w:val="single" w:color="000000" w:sz="4" w:space="0"/>
              <w:left w:val="single" w:color="000000" w:sz="4" w:space="0"/>
              <w:bottom w:val="single" w:color="000000" w:sz="4" w:space="0"/>
              <w:right w:val="single" w:color="000000" w:sz="4" w:space="0"/>
            </w:tcBorders>
            <w:vAlign w:val="center"/>
          </w:tcPr>
          <w:p w14:paraId="65876BD1">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1套/月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2EE750DE">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391A961C">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4BD0F3A4">
        <w:tblPrEx>
          <w:tblCellMar>
            <w:top w:w="0" w:type="dxa"/>
            <w:left w:w="108" w:type="dxa"/>
            <w:bottom w:w="0" w:type="dxa"/>
            <w:right w:w="108" w:type="dxa"/>
          </w:tblCellMar>
        </w:tblPrEx>
        <w:trPr>
          <w:trHeight w:val="112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7BB7A4B8">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41</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59DA1432">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412C6F61">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统一密码服务网关</w:t>
            </w:r>
          </w:p>
        </w:tc>
        <w:tc>
          <w:tcPr>
            <w:tcW w:w="2835" w:type="dxa"/>
            <w:tcBorders>
              <w:top w:val="single" w:color="000000" w:sz="4" w:space="0"/>
              <w:left w:val="single" w:color="000000" w:sz="4" w:space="0"/>
              <w:bottom w:val="single" w:color="000000" w:sz="4" w:space="0"/>
              <w:right w:val="single" w:color="000000" w:sz="4" w:space="0"/>
            </w:tcBorders>
            <w:vAlign w:val="center"/>
          </w:tcPr>
          <w:p w14:paraId="48644E82">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密码服务网关作为后台服务的对外载体，能够将密码服务进行能力封装，对外提供统一的接入网关访问入口，包括API发布上架、版本迭代、废弃等全生命周期管理，并支持基于API进行应用身份认证授权、API应用情况的实时监控。</w:t>
            </w:r>
          </w:p>
        </w:tc>
        <w:tc>
          <w:tcPr>
            <w:tcW w:w="907" w:type="dxa"/>
            <w:tcBorders>
              <w:top w:val="single" w:color="000000" w:sz="4" w:space="0"/>
              <w:left w:val="single" w:color="000000" w:sz="4" w:space="0"/>
              <w:bottom w:val="single" w:color="000000" w:sz="4" w:space="0"/>
              <w:right w:val="single" w:color="000000" w:sz="4" w:space="0"/>
            </w:tcBorders>
            <w:vAlign w:val="center"/>
          </w:tcPr>
          <w:p w14:paraId="5002E446">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1套/月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2C5670AB">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1B81792E">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2751FB90">
        <w:tblPrEx>
          <w:tblCellMar>
            <w:top w:w="0" w:type="dxa"/>
            <w:left w:w="108" w:type="dxa"/>
            <w:bottom w:w="0" w:type="dxa"/>
            <w:right w:w="108" w:type="dxa"/>
          </w:tblCellMar>
        </w:tblPrEx>
        <w:trPr>
          <w:trHeight w:val="28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77347872">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42</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386DFC71">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4FA594D7">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密码接入服务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1BC99FAD">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面向应用系统提供密码接入管理服务。</w:t>
            </w:r>
          </w:p>
        </w:tc>
        <w:tc>
          <w:tcPr>
            <w:tcW w:w="907" w:type="dxa"/>
            <w:tcBorders>
              <w:top w:val="single" w:color="000000" w:sz="4" w:space="0"/>
              <w:left w:val="single" w:color="000000" w:sz="4" w:space="0"/>
              <w:bottom w:val="single" w:color="000000" w:sz="4" w:space="0"/>
              <w:right w:val="single" w:color="000000" w:sz="4" w:space="0"/>
            </w:tcBorders>
            <w:vAlign w:val="center"/>
          </w:tcPr>
          <w:p w14:paraId="78408FDE">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1套/月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10285DE1">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73D1BE5C">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23EC31A2">
        <w:tblPrEx>
          <w:tblCellMar>
            <w:top w:w="0" w:type="dxa"/>
            <w:left w:w="108" w:type="dxa"/>
            <w:bottom w:w="0" w:type="dxa"/>
            <w:right w:w="108" w:type="dxa"/>
          </w:tblCellMar>
        </w:tblPrEx>
        <w:trPr>
          <w:trHeight w:val="59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4B689CC5">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43</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07B87A81">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39445383">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SSL安全服务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4E3889E3">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基于国密SSL协议构建安全通道，为互联网用户包括医生、患者访问系统构建安全通道。</w:t>
            </w:r>
          </w:p>
        </w:tc>
        <w:tc>
          <w:tcPr>
            <w:tcW w:w="907" w:type="dxa"/>
            <w:tcBorders>
              <w:top w:val="single" w:color="000000" w:sz="4" w:space="0"/>
              <w:left w:val="single" w:color="000000" w:sz="4" w:space="0"/>
              <w:bottom w:val="single" w:color="000000" w:sz="4" w:space="0"/>
              <w:right w:val="single" w:color="000000" w:sz="4" w:space="0"/>
            </w:tcBorders>
            <w:vAlign w:val="center"/>
          </w:tcPr>
          <w:p w14:paraId="604EF5E1">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1套/月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08EE9E6E">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6E5AF028">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6BB12BB2">
        <w:tblPrEx>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043932B0">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44</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1E10E7A9">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610CA579">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SSL安全服务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7806FD51">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基于国密SSL协议构建安全通道，为政务外网用户包括卫健委业务人员等访问系统构建安全通道。</w:t>
            </w:r>
          </w:p>
        </w:tc>
        <w:tc>
          <w:tcPr>
            <w:tcW w:w="907" w:type="dxa"/>
            <w:tcBorders>
              <w:top w:val="single" w:color="000000" w:sz="4" w:space="0"/>
              <w:left w:val="single" w:color="000000" w:sz="4" w:space="0"/>
              <w:bottom w:val="single" w:color="000000" w:sz="4" w:space="0"/>
              <w:right w:val="single" w:color="000000" w:sz="4" w:space="0"/>
            </w:tcBorders>
            <w:vAlign w:val="center"/>
          </w:tcPr>
          <w:p w14:paraId="3685B220">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1套/月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30C91C34">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4ABC62C7">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03142D30">
        <w:tblPrEx>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4E5EB19B">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45</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69C32AF2">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7F8DFACA">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SSL安全服务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5675FCEB">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基于国密SSL协议构建安全通道，为运维人员访问堡垒机构建安全通道。</w:t>
            </w:r>
          </w:p>
        </w:tc>
        <w:tc>
          <w:tcPr>
            <w:tcW w:w="907" w:type="dxa"/>
            <w:tcBorders>
              <w:top w:val="single" w:color="000000" w:sz="4" w:space="0"/>
              <w:left w:val="single" w:color="000000" w:sz="4" w:space="0"/>
              <w:bottom w:val="single" w:color="000000" w:sz="4" w:space="0"/>
              <w:right w:val="single" w:color="000000" w:sz="4" w:space="0"/>
            </w:tcBorders>
            <w:vAlign w:val="center"/>
          </w:tcPr>
          <w:p w14:paraId="6F0B7D0B">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w:t>
            </w:r>
            <w:r>
              <w:rPr>
                <w:rFonts w:hint="eastAsia" w:ascii="宋体" w:hAnsi="宋体" w:eastAsia="宋体" w:cs="宋体"/>
                <w:color w:val="000000"/>
                <w:kern w:val="0"/>
                <w:sz w:val="24"/>
                <w:szCs w:val="24"/>
                <w:highlight w:val="none"/>
                <w:lang w:val="en-US" w:eastAsia="zh-CN" w:bidi="ar"/>
              </w:rPr>
              <w:t>套</w:t>
            </w:r>
            <w:r>
              <w:rPr>
                <w:rFonts w:hint="eastAsia" w:ascii="宋体" w:hAnsi="宋体" w:eastAsia="宋体" w:cs="宋体"/>
                <w:color w:val="000000"/>
                <w:kern w:val="0"/>
                <w:sz w:val="24"/>
                <w:szCs w:val="24"/>
                <w:highlight w:val="none"/>
                <w:lang w:bidi="ar"/>
              </w:rPr>
              <w:t>/月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28D9EF25">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10</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7D1C3BF8">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0C990282">
        <w:tblPrEx>
          <w:tblCellMar>
            <w:top w:w="0" w:type="dxa"/>
            <w:left w:w="108" w:type="dxa"/>
            <w:bottom w:w="0" w:type="dxa"/>
            <w:right w:w="108" w:type="dxa"/>
          </w:tblCellMar>
        </w:tblPrEx>
        <w:trPr>
          <w:trHeight w:val="59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74D878C3">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46</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36416F69">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0EA68915">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身份认证服务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36A0DACB">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提供用户的身份管理、身份认证、授权管理、应用资源访问控制功能，构建安全审计于一体、多信息资源应用整合、集约管理和安全防护的安全基础服务平台。</w:t>
            </w:r>
          </w:p>
        </w:tc>
        <w:tc>
          <w:tcPr>
            <w:tcW w:w="907" w:type="dxa"/>
            <w:tcBorders>
              <w:top w:val="single" w:color="000000" w:sz="4" w:space="0"/>
              <w:left w:val="single" w:color="000000" w:sz="4" w:space="0"/>
              <w:bottom w:val="single" w:color="000000" w:sz="4" w:space="0"/>
              <w:right w:val="single" w:color="000000" w:sz="4" w:space="0"/>
            </w:tcBorders>
            <w:vAlign w:val="center"/>
          </w:tcPr>
          <w:p w14:paraId="76DA5960">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1套/月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43E58E27">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4257049D">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2659DD3B">
        <w:tblPrEx>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4C50DE77">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47</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24F54C83">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72C7CCC1">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签名验签服务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3ABECFE0">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基于数字签名技术对应用系统中关键数据和操作进行签名验签。</w:t>
            </w:r>
          </w:p>
        </w:tc>
        <w:tc>
          <w:tcPr>
            <w:tcW w:w="907" w:type="dxa"/>
            <w:tcBorders>
              <w:top w:val="single" w:color="000000" w:sz="4" w:space="0"/>
              <w:left w:val="single" w:color="000000" w:sz="4" w:space="0"/>
              <w:bottom w:val="single" w:color="000000" w:sz="4" w:space="0"/>
              <w:right w:val="single" w:color="000000" w:sz="4" w:space="0"/>
            </w:tcBorders>
            <w:vAlign w:val="center"/>
          </w:tcPr>
          <w:p w14:paraId="417D932F">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1套/月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2E663859">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27A571D0">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6B0CC4FC">
        <w:tblPrEx>
          <w:tblCellMar>
            <w:top w:w="0" w:type="dxa"/>
            <w:left w:w="108" w:type="dxa"/>
            <w:bottom w:w="0" w:type="dxa"/>
            <w:right w:w="108" w:type="dxa"/>
          </w:tblCellMar>
        </w:tblPrEx>
        <w:trPr>
          <w:trHeight w:val="59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0CD0AE7E">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48</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068F3791">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36A3CDD5">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协同签名服务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0CCA4C1C">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结合密钥管理模块，与移动端可信套件配合，提供移动端和服务端协同运算服务的密码模块，实现可靠电子签名。基于移动端和服务端协同运算的签名产品，为用户提供基于智能移动终端的用户证书管理、身份认证、扫码认证、电子签名、扫码签名、扫码签章的服务。</w:t>
            </w:r>
          </w:p>
        </w:tc>
        <w:tc>
          <w:tcPr>
            <w:tcW w:w="907" w:type="dxa"/>
            <w:tcBorders>
              <w:top w:val="single" w:color="000000" w:sz="4" w:space="0"/>
              <w:left w:val="single" w:color="000000" w:sz="4" w:space="0"/>
              <w:bottom w:val="single" w:color="000000" w:sz="4" w:space="0"/>
              <w:right w:val="single" w:color="000000" w:sz="4" w:space="0"/>
            </w:tcBorders>
            <w:vAlign w:val="center"/>
          </w:tcPr>
          <w:p w14:paraId="0A2FF805">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1套/月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14999B2F">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2CEC3D3E">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5A9A55FE">
        <w:tblPrEx>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7507B04B">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49</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04EF0850">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196AE28A">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时间戳服务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45215444">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基于国家标准时间源，通过PKI技术为应用系统提供安全、可信的时间戳服务。</w:t>
            </w:r>
          </w:p>
        </w:tc>
        <w:tc>
          <w:tcPr>
            <w:tcW w:w="907" w:type="dxa"/>
            <w:tcBorders>
              <w:top w:val="single" w:color="000000" w:sz="4" w:space="0"/>
              <w:left w:val="single" w:color="000000" w:sz="4" w:space="0"/>
              <w:bottom w:val="single" w:color="000000" w:sz="4" w:space="0"/>
              <w:right w:val="single" w:color="000000" w:sz="4" w:space="0"/>
            </w:tcBorders>
            <w:vAlign w:val="center"/>
          </w:tcPr>
          <w:p w14:paraId="64D97564">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1套/月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2A90131E">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173F8FBC">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5FC1427B">
        <w:tblPrEx>
          <w:tblCellMar>
            <w:top w:w="0" w:type="dxa"/>
            <w:left w:w="108" w:type="dxa"/>
            <w:bottom w:w="0" w:type="dxa"/>
            <w:right w:w="108" w:type="dxa"/>
          </w:tblCellMar>
        </w:tblPrEx>
        <w:trPr>
          <w:trHeight w:val="28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14245876">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50</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64011E05">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55C3A278">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加解密服务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2FA9DDF1">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基于国密算法提供数据加解密服务。</w:t>
            </w:r>
          </w:p>
        </w:tc>
        <w:tc>
          <w:tcPr>
            <w:tcW w:w="907" w:type="dxa"/>
            <w:tcBorders>
              <w:top w:val="single" w:color="000000" w:sz="4" w:space="0"/>
              <w:left w:val="single" w:color="000000" w:sz="4" w:space="0"/>
              <w:bottom w:val="single" w:color="000000" w:sz="4" w:space="0"/>
              <w:right w:val="single" w:color="000000" w:sz="4" w:space="0"/>
            </w:tcBorders>
            <w:vAlign w:val="center"/>
          </w:tcPr>
          <w:p w14:paraId="27D5FDE1">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1套/月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410A8E33">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0299B455">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0CC75C3C">
        <w:tblPrEx>
          <w:tblCellMar>
            <w:top w:w="0" w:type="dxa"/>
            <w:left w:w="108" w:type="dxa"/>
            <w:bottom w:w="0" w:type="dxa"/>
            <w:right w:w="108" w:type="dxa"/>
          </w:tblCellMar>
        </w:tblPrEx>
        <w:trPr>
          <w:trHeight w:val="59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6DFFFFE1">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51</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331038E4">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72F94187">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电子签章服务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203B9222">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提供可视化电子签章服务。</w:t>
            </w:r>
          </w:p>
        </w:tc>
        <w:tc>
          <w:tcPr>
            <w:tcW w:w="907" w:type="dxa"/>
            <w:tcBorders>
              <w:top w:val="single" w:color="000000" w:sz="4" w:space="0"/>
              <w:left w:val="single" w:color="000000" w:sz="4" w:space="0"/>
              <w:bottom w:val="single" w:color="000000" w:sz="4" w:space="0"/>
              <w:right w:val="single" w:color="000000" w:sz="4" w:space="0"/>
            </w:tcBorders>
            <w:vAlign w:val="center"/>
          </w:tcPr>
          <w:p w14:paraId="7F5CB0C1">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1套/月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5C31D06A">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7EDB231D">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4D26ECCB">
        <w:tblPrEx>
          <w:tblCellMar>
            <w:top w:w="0" w:type="dxa"/>
            <w:left w:w="108" w:type="dxa"/>
            <w:bottom w:w="0" w:type="dxa"/>
            <w:right w:w="108" w:type="dxa"/>
          </w:tblCellMar>
        </w:tblPrEx>
        <w:trPr>
          <w:trHeight w:val="28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0B127CA4">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52</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4823E3B6">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055A6FAE">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国密浏览器授权服务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73D567F9">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支持国密SSL协议及证书的解析。</w:t>
            </w:r>
          </w:p>
        </w:tc>
        <w:tc>
          <w:tcPr>
            <w:tcW w:w="907" w:type="dxa"/>
            <w:tcBorders>
              <w:top w:val="single" w:color="000000" w:sz="4" w:space="0"/>
              <w:left w:val="single" w:color="000000" w:sz="4" w:space="0"/>
              <w:bottom w:val="single" w:color="000000" w:sz="4" w:space="0"/>
              <w:right w:val="single" w:color="000000" w:sz="4" w:space="0"/>
            </w:tcBorders>
            <w:vAlign w:val="center"/>
          </w:tcPr>
          <w:p w14:paraId="391D3C03">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w:t>
            </w:r>
            <w:r>
              <w:rPr>
                <w:rFonts w:hint="eastAsia" w:ascii="宋体" w:hAnsi="宋体" w:eastAsia="宋体" w:cs="宋体"/>
                <w:color w:val="000000"/>
                <w:kern w:val="0"/>
                <w:sz w:val="24"/>
                <w:szCs w:val="24"/>
                <w:highlight w:val="none"/>
                <w:lang w:val="en-US" w:eastAsia="zh-CN" w:bidi="ar"/>
              </w:rPr>
              <w:t>套</w:t>
            </w:r>
            <w:r>
              <w:rPr>
                <w:rFonts w:hint="eastAsia" w:ascii="宋体" w:hAnsi="宋体" w:eastAsia="宋体" w:cs="宋体"/>
                <w:color w:val="000000"/>
                <w:kern w:val="0"/>
                <w:sz w:val="24"/>
                <w:szCs w:val="24"/>
                <w:highlight w:val="none"/>
                <w:lang w:bidi="ar"/>
              </w:rPr>
              <w:t>/月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2D5B80B7">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10</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52E82559">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61FC573A">
        <w:tblPrEx>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36967035">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53</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02371B1A">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4B94C787">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证书介质服务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5B9E5FBD">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支持PC端应用介质：32位CPU，大于72K字节证书(密钥存储)，支持SM2和RSA证书。</w:t>
            </w:r>
          </w:p>
        </w:tc>
        <w:tc>
          <w:tcPr>
            <w:tcW w:w="907" w:type="dxa"/>
            <w:tcBorders>
              <w:top w:val="single" w:color="000000" w:sz="4" w:space="0"/>
              <w:left w:val="single" w:color="000000" w:sz="4" w:space="0"/>
              <w:bottom w:val="single" w:color="000000" w:sz="4" w:space="0"/>
              <w:right w:val="single" w:color="000000" w:sz="4" w:space="0"/>
            </w:tcBorders>
            <w:vAlign w:val="center"/>
          </w:tcPr>
          <w:p w14:paraId="69BB8A28">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w:t>
            </w:r>
            <w:r>
              <w:rPr>
                <w:rFonts w:hint="eastAsia" w:ascii="宋体" w:hAnsi="宋体" w:eastAsia="宋体" w:cs="宋体"/>
                <w:color w:val="000000"/>
                <w:kern w:val="0"/>
                <w:sz w:val="24"/>
                <w:szCs w:val="24"/>
                <w:highlight w:val="none"/>
                <w:lang w:val="en-US" w:eastAsia="zh-CN" w:bidi="ar"/>
              </w:rPr>
              <w:t>个</w:t>
            </w:r>
            <w:r>
              <w:rPr>
                <w:rFonts w:hint="eastAsia" w:ascii="宋体" w:hAnsi="宋体" w:eastAsia="宋体" w:cs="宋体"/>
                <w:color w:val="000000"/>
                <w:kern w:val="0"/>
                <w:sz w:val="24"/>
                <w:szCs w:val="24"/>
                <w:highlight w:val="none"/>
                <w:lang w:bidi="ar"/>
              </w:rPr>
              <w:t>/月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5886D93B">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146</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02D6DE52">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656E1D03">
        <w:tblPrEx>
          <w:tblCellMar>
            <w:top w:w="0" w:type="dxa"/>
            <w:left w:w="108" w:type="dxa"/>
            <w:bottom w:w="0" w:type="dxa"/>
            <w:right w:w="108" w:type="dxa"/>
          </w:tblCellMar>
        </w:tblPrEx>
        <w:trPr>
          <w:trHeight w:val="84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24CE60B9">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54</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0CA15083">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66E09F0B">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移动端可信套件</w:t>
            </w:r>
          </w:p>
        </w:tc>
        <w:tc>
          <w:tcPr>
            <w:tcW w:w="2835" w:type="dxa"/>
            <w:tcBorders>
              <w:top w:val="single" w:color="000000" w:sz="4" w:space="0"/>
              <w:left w:val="single" w:color="000000" w:sz="4" w:space="0"/>
              <w:bottom w:val="single" w:color="000000" w:sz="4" w:space="0"/>
              <w:right w:val="single" w:color="000000" w:sz="4" w:space="0"/>
            </w:tcBorders>
            <w:vAlign w:val="center"/>
          </w:tcPr>
          <w:p w14:paraId="3BC23172">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与协同签名服务配合，提供移动端接入认证，以及参与主体基于证书的身份认证、证书管理，支持移动端扫码登录、扫码签名，提供移动端可信套件。</w:t>
            </w:r>
          </w:p>
        </w:tc>
        <w:tc>
          <w:tcPr>
            <w:tcW w:w="907" w:type="dxa"/>
            <w:tcBorders>
              <w:top w:val="single" w:color="000000" w:sz="4" w:space="0"/>
              <w:left w:val="single" w:color="000000" w:sz="4" w:space="0"/>
              <w:bottom w:val="single" w:color="000000" w:sz="4" w:space="0"/>
              <w:right w:val="single" w:color="000000" w:sz="4" w:space="0"/>
            </w:tcBorders>
            <w:vAlign w:val="center"/>
          </w:tcPr>
          <w:p w14:paraId="0A06EF71">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1套/月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436D182F">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237D4953">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1C4EAA4E">
        <w:tblPrEx>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3333A8FC">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55</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3B2B5C52">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3AC50F55">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个人数字证书服务包</w:t>
            </w:r>
          </w:p>
        </w:tc>
        <w:tc>
          <w:tcPr>
            <w:tcW w:w="2835" w:type="dxa"/>
            <w:tcBorders>
              <w:top w:val="single" w:color="000000" w:sz="4" w:space="0"/>
              <w:left w:val="single" w:color="000000" w:sz="4" w:space="0"/>
              <w:bottom w:val="single" w:color="000000" w:sz="4" w:space="0"/>
              <w:right w:val="single" w:color="000000" w:sz="4" w:space="0"/>
            </w:tcBorders>
            <w:vAlign w:val="center"/>
          </w:tcPr>
          <w:p w14:paraId="0563C1A9">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服务包包含一年期个人证书服务。提供PC端用户基于数字证书的身份认证。</w:t>
            </w:r>
          </w:p>
        </w:tc>
        <w:tc>
          <w:tcPr>
            <w:tcW w:w="907" w:type="dxa"/>
            <w:tcBorders>
              <w:top w:val="single" w:color="000000" w:sz="4" w:space="0"/>
              <w:left w:val="single" w:color="000000" w:sz="4" w:space="0"/>
              <w:bottom w:val="single" w:color="000000" w:sz="4" w:space="0"/>
              <w:right w:val="single" w:color="000000" w:sz="4" w:space="0"/>
            </w:tcBorders>
            <w:vAlign w:val="center"/>
          </w:tcPr>
          <w:p w14:paraId="6AE99325">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w:t>
            </w:r>
            <w:r>
              <w:rPr>
                <w:rFonts w:hint="eastAsia" w:ascii="宋体" w:hAnsi="宋体" w:eastAsia="宋体" w:cs="宋体"/>
                <w:color w:val="000000"/>
                <w:kern w:val="0"/>
                <w:sz w:val="24"/>
                <w:szCs w:val="24"/>
                <w:highlight w:val="none"/>
                <w:lang w:val="en-US" w:eastAsia="zh-CN" w:bidi="ar"/>
              </w:rPr>
              <w:t>张</w:t>
            </w:r>
            <w:r>
              <w:rPr>
                <w:rFonts w:hint="eastAsia" w:ascii="宋体" w:hAnsi="宋体" w:eastAsia="宋体" w:cs="宋体"/>
                <w:color w:val="000000"/>
                <w:kern w:val="0"/>
                <w:sz w:val="24"/>
                <w:szCs w:val="24"/>
                <w:highlight w:val="none"/>
                <w:lang w:bidi="ar"/>
              </w:rPr>
              <w:t>/月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7D11EA92">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146</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4D16FAE5">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65E835B5">
        <w:tblPrEx>
          <w:tblCellMar>
            <w:top w:w="0" w:type="dxa"/>
            <w:left w:w="108" w:type="dxa"/>
            <w:bottom w:w="0" w:type="dxa"/>
            <w:right w:w="108" w:type="dxa"/>
          </w:tblCellMar>
        </w:tblPrEx>
        <w:trPr>
          <w:trHeight w:val="59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7CA0B20D">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56</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1C50908E">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043D94A5">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数据安全管理服务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19923C1F">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对数据源自动嗅探及管理，进行数据资产的盘点、敏感信息的自动识别、确定敏感数据的分布情况，最终对数据资产进行分类分级。</w:t>
            </w:r>
          </w:p>
        </w:tc>
        <w:tc>
          <w:tcPr>
            <w:tcW w:w="907" w:type="dxa"/>
            <w:tcBorders>
              <w:top w:val="single" w:color="000000" w:sz="4" w:space="0"/>
              <w:left w:val="single" w:color="000000" w:sz="4" w:space="0"/>
              <w:bottom w:val="single" w:color="000000" w:sz="4" w:space="0"/>
              <w:right w:val="single" w:color="000000" w:sz="4" w:space="0"/>
            </w:tcBorders>
            <w:vAlign w:val="center"/>
          </w:tcPr>
          <w:p w14:paraId="02641850">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1台/月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08A7BEA1">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148</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141632BE">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386AD02D">
        <w:tblPrEx>
          <w:tblCellMar>
            <w:top w:w="0" w:type="dxa"/>
            <w:left w:w="108" w:type="dxa"/>
            <w:bottom w:w="0" w:type="dxa"/>
            <w:right w:w="108" w:type="dxa"/>
          </w:tblCellMar>
        </w:tblPrEx>
        <w:trPr>
          <w:trHeight w:val="84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538B34E9">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57</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673FF37C">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7FC7DB9A">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数据库安全保护服务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04E08818">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针对数据库中的敏感数据进行保护，通过表空间防泄漏和列级防泄漏技术，防止内外部操作导库、拖库造成数据泄漏。</w:t>
            </w:r>
          </w:p>
        </w:tc>
        <w:tc>
          <w:tcPr>
            <w:tcW w:w="907" w:type="dxa"/>
            <w:tcBorders>
              <w:top w:val="single" w:color="000000" w:sz="4" w:space="0"/>
              <w:left w:val="single" w:color="000000" w:sz="4" w:space="0"/>
              <w:bottom w:val="single" w:color="000000" w:sz="4" w:space="0"/>
              <w:right w:val="single" w:color="000000" w:sz="4" w:space="0"/>
            </w:tcBorders>
            <w:vAlign w:val="center"/>
          </w:tcPr>
          <w:p w14:paraId="640B402B">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1台/月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2B65C066">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148</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746CAF59">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25AC3D36">
        <w:tblPrEx>
          <w:tblCellMar>
            <w:top w:w="0" w:type="dxa"/>
            <w:left w:w="108" w:type="dxa"/>
            <w:bottom w:w="0" w:type="dxa"/>
            <w:right w:w="108" w:type="dxa"/>
          </w:tblCellMar>
        </w:tblPrEx>
        <w:trPr>
          <w:trHeight w:val="84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68309A48">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58</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348D0460">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19CBFD79">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数据库运维防护服务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30ED5E47">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统一数据库运维入口，实现数据库操作命令及脚本的精细化审计，包括数据库敏感命令的操作限制等数据库运维审计能力。</w:t>
            </w:r>
          </w:p>
        </w:tc>
        <w:tc>
          <w:tcPr>
            <w:tcW w:w="907" w:type="dxa"/>
            <w:tcBorders>
              <w:top w:val="single" w:color="000000" w:sz="4" w:space="0"/>
              <w:left w:val="single" w:color="000000" w:sz="4" w:space="0"/>
              <w:bottom w:val="single" w:color="000000" w:sz="4" w:space="0"/>
              <w:right w:val="single" w:color="000000" w:sz="4" w:space="0"/>
            </w:tcBorders>
            <w:vAlign w:val="center"/>
          </w:tcPr>
          <w:p w14:paraId="68C39050">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1台/月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10748FFB">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148</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5A37FECD">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3338F016">
        <w:tblPrEx>
          <w:tblCellMar>
            <w:top w:w="0" w:type="dxa"/>
            <w:left w:w="108" w:type="dxa"/>
            <w:bottom w:w="0" w:type="dxa"/>
            <w:right w:w="108" w:type="dxa"/>
          </w:tblCellMar>
        </w:tblPrEx>
        <w:trPr>
          <w:trHeight w:val="87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4AD06C91">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59</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6C04A576">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1931E807">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数据库脱敏服务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25BF0BF3">
            <w:pPr>
              <w:widowControl/>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数据库动态脱敏：实时在线数据脱敏，包括数据替换、随机、遮蔽、哈希等脱敏处理能力；</w:t>
            </w:r>
          </w:p>
          <w:p w14:paraId="161A071E">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数据库静态脱敏：基于脱敏任务，对目标数据库中选定待脱敏数据进行脱敏，敏感数据的自动识别和发现。</w:t>
            </w:r>
          </w:p>
        </w:tc>
        <w:tc>
          <w:tcPr>
            <w:tcW w:w="907" w:type="dxa"/>
            <w:tcBorders>
              <w:top w:val="single" w:color="000000" w:sz="4" w:space="0"/>
              <w:left w:val="single" w:color="000000" w:sz="4" w:space="0"/>
              <w:bottom w:val="single" w:color="000000" w:sz="4" w:space="0"/>
              <w:right w:val="single" w:color="000000" w:sz="4" w:space="0"/>
            </w:tcBorders>
            <w:vAlign w:val="center"/>
          </w:tcPr>
          <w:p w14:paraId="2254C44D">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1台/月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312B4604">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148</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6D2343DF">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65FC9BC4">
        <w:tblPrEx>
          <w:tblCellMar>
            <w:top w:w="0" w:type="dxa"/>
            <w:left w:w="108" w:type="dxa"/>
            <w:bottom w:w="0" w:type="dxa"/>
            <w:right w:w="108" w:type="dxa"/>
          </w:tblCellMar>
        </w:tblPrEx>
        <w:trPr>
          <w:trHeight w:val="112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37F0CB87">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60</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11C34743">
            <w:pPr>
              <w:jc w:val="left"/>
              <w:rPr>
                <w:rFonts w:hint="eastAsia" w:ascii="宋体" w:hAnsi="宋体" w:eastAsia="宋体" w:cs="宋体"/>
                <w:color w:val="000000"/>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6FF3F73D">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应用接口风险监测服务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3F5CA555">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对API接口流量、特定协议类型进行完整解析，基于海量日志数据、分布式文件化数据的快速数据定位、特征提取、数据挖掘建模、接口数据分析和接口数据综合展现等技术机制，实现对API接口安全风险的动态识别。</w:t>
            </w:r>
          </w:p>
        </w:tc>
        <w:tc>
          <w:tcPr>
            <w:tcW w:w="907" w:type="dxa"/>
            <w:tcBorders>
              <w:top w:val="single" w:color="000000" w:sz="4" w:space="0"/>
              <w:left w:val="single" w:color="000000" w:sz="4" w:space="0"/>
              <w:bottom w:val="single" w:color="000000" w:sz="4" w:space="0"/>
              <w:right w:val="single" w:color="000000" w:sz="4" w:space="0"/>
            </w:tcBorders>
            <w:vAlign w:val="center"/>
          </w:tcPr>
          <w:p w14:paraId="3A721E8C">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1台/月</w:t>
            </w:r>
          </w:p>
        </w:tc>
        <w:tc>
          <w:tcPr>
            <w:tcW w:w="1056" w:type="dxa"/>
            <w:tcBorders>
              <w:top w:val="single" w:color="000000" w:sz="4" w:space="0"/>
              <w:left w:val="single" w:color="000000" w:sz="4" w:space="0"/>
              <w:bottom w:val="single" w:color="000000" w:sz="4" w:space="0"/>
              <w:right w:val="single" w:color="000000" w:sz="4" w:space="0"/>
            </w:tcBorders>
            <w:vAlign w:val="center"/>
          </w:tcPr>
          <w:p w14:paraId="791ADE09">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196</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1841D95C">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7397C72C">
        <w:tblPrEx>
          <w:tblCellMar>
            <w:top w:w="0" w:type="dxa"/>
            <w:left w:w="108" w:type="dxa"/>
            <w:bottom w:w="0" w:type="dxa"/>
            <w:right w:w="108" w:type="dxa"/>
          </w:tblCellMar>
        </w:tblPrEx>
        <w:trPr>
          <w:trHeight w:val="28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7D88B870">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61</w:t>
            </w:r>
          </w:p>
        </w:tc>
        <w:tc>
          <w:tcPr>
            <w:tcW w:w="737" w:type="dxa"/>
            <w:vMerge w:val="restart"/>
            <w:tcBorders>
              <w:top w:val="single" w:color="000000" w:sz="4" w:space="0"/>
              <w:left w:val="single" w:color="000000" w:sz="4" w:space="0"/>
              <w:bottom w:val="single" w:color="000000" w:sz="4" w:space="0"/>
              <w:right w:val="single" w:color="000000" w:sz="4" w:space="0"/>
            </w:tcBorders>
            <w:noWrap/>
            <w:vAlign w:val="center"/>
          </w:tcPr>
          <w:p w14:paraId="6B5ED5F3">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专网服务</w:t>
            </w:r>
          </w:p>
        </w:tc>
        <w:tc>
          <w:tcPr>
            <w:tcW w:w="1134" w:type="dxa"/>
            <w:vMerge w:val="restart"/>
            <w:tcBorders>
              <w:top w:val="single" w:color="000000" w:sz="4" w:space="0"/>
              <w:left w:val="single" w:color="000000" w:sz="4" w:space="0"/>
              <w:bottom w:val="single" w:color="000000" w:sz="4" w:space="0"/>
              <w:right w:val="single" w:color="000000" w:sz="4" w:space="0"/>
            </w:tcBorders>
            <w:vAlign w:val="center"/>
          </w:tcPr>
          <w:p w14:paraId="26876FCA">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专网服务</w:t>
            </w:r>
          </w:p>
        </w:tc>
        <w:tc>
          <w:tcPr>
            <w:tcW w:w="2835" w:type="dxa"/>
            <w:tcBorders>
              <w:top w:val="single" w:color="000000" w:sz="4" w:space="0"/>
              <w:left w:val="single" w:color="000000" w:sz="4" w:space="0"/>
              <w:bottom w:val="single" w:color="000000" w:sz="4" w:space="0"/>
              <w:right w:val="single" w:color="000000" w:sz="4" w:space="0"/>
            </w:tcBorders>
            <w:vAlign w:val="center"/>
          </w:tcPr>
          <w:p w14:paraId="05EF76A3">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50M专线</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6800F468">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1条/月</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2285EB73">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70</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784B3BEC">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7571771E">
        <w:tblPrEx>
          <w:tblCellMar>
            <w:top w:w="0" w:type="dxa"/>
            <w:left w:w="108" w:type="dxa"/>
            <w:bottom w:w="0" w:type="dxa"/>
            <w:right w:w="108" w:type="dxa"/>
          </w:tblCellMar>
        </w:tblPrEx>
        <w:trPr>
          <w:trHeight w:val="28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3D13818E">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62</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53670AEE">
            <w:pPr>
              <w:jc w:val="left"/>
              <w:rPr>
                <w:rFonts w:hint="eastAsia" w:ascii="宋体" w:hAnsi="宋体" w:eastAsia="宋体" w:cs="宋体"/>
                <w:color w:val="000000"/>
                <w:sz w:val="24"/>
                <w:szCs w:val="24"/>
                <w:highlight w:val="none"/>
              </w:rPr>
            </w:pPr>
          </w:p>
        </w:tc>
        <w:tc>
          <w:tcPr>
            <w:tcW w:w="1134" w:type="dxa"/>
            <w:vMerge w:val="continue"/>
            <w:tcBorders>
              <w:top w:val="single" w:color="000000" w:sz="4" w:space="0"/>
              <w:left w:val="single" w:color="000000" w:sz="4" w:space="0"/>
              <w:bottom w:val="single" w:color="000000" w:sz="4" w:space="0"/>
              <w:right w:val="single" w:color="000000" w:sz="4" w:space="0"/>
            </w:tcBorders>
            <w:vAlign w:val="center"/>
          </w:tcPr>
          <w:p w14:paraId="19BC5DE2">
            <w:pPr>
              <w:jc w:val="left"/>
              <w:rPr>
                <w:rFonts w:hint="eastAsia" w:ascii="宋体" w:hAnsi="宋体" w:eastAsia="宋体" w:cs="宋体"/>
                <w:color w:val="000000"/>
                <w:sz w:val="24"/>
                <w:szCs w:val="24"/>
                <w:highlight w:val="none"/>
              </w:rPr>
            </w:pPr>
          </w:p>
        </w:tc>
        <w:tc>
          <w:tcPr>
            <w:tcW w:w="2835" w:type="dxa"/>
            <w:tcBorders>
              <w:top w:val="single" w:color="000000" w:sz="4" w:space="0"/>
              <w:left w:val="single" w:color="000000" w:sz="4" w:space="0"/>
              <w:bottom w:val="single" w:color="000000" w:sz="4" w:space="0"/>
              <w:right w:val="single" w:color="000000" w:sz="4" w:space="0"/>
            </w:tcBorders>
            <w:vAlign w:val="center"/>
          </w:tcPr>
          <w:p w14:paraId="6B77C920">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100m专线</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1020731F">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1条/月</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38BC44F1">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142</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1EE2824C">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0DAA958F">
        <w:tblPrEx>
          <w:tblCellMar>
            <w:top w:w="0" w:type="dxa"/>
            <w:left w:w="108" w:type="dxa"/>
            <w:bottom w:w="0" w:type="dxa"/>
            <w:right w:w="108" w:type="dxa"/>
          </w:tblCellMar>
        </w:tblPrEx>
        <w:trPr>
          <w:trHeight w:val="28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727961E3">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63</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75CFB91F">
            <w:pPr>
              <w:jc w:val="left"/>
              <w:rPr>
                <w:rFonts w:hint="eastAsia" w:ascii="宋体" w:hAnsi="宋体" w:eastAsia="宋体" w:cs="宋体"/>
                <w:color w:val="000000"/>
                <w:sz w:val="24"/>
                <w:szCs w:val="24"/>
                <w:highlight w:val="none"/>
              </w:rPr>
            </w:pPr>
          </w:p>
        </w:tc>
        <w:tc>
          <w:tcPr>
            <w:tcW w:w="1134" w:type="dxa"/>
            <w:vMerge w:val="continue"/>
            <w:tcBorders>
              <w:top w:val="single" w:color="000000" w:sz="4" w:space="0"/>
              <w:left w:val="single" w:color="000000" w:sz="4" w:space="0"/>
              <w:bottom w:val="single" w:color="000000" w:sz="4" w:space="0"/>
              <w:right w:val="single" w:color="000000" w:sz="4" w:space="0"/>
            </w:tcBorders>
            <w:vAlign w:val="center"/>
          </w:tcPr>
          <w:p w14:paraId="7FC4CB5E">
            <w:pPr>
              <w:jc w:val="left"/>
              <w:rPr>
                <w:rFonts w:hint="eastAsia" w:ascii="宋体" w:hAnsi="宋体" w:eastAsia="宋体" w:cs="宋体"/>
                <w:color w:val="000000"/>
                <w:sz w:val="24"/>
                <w:szCs w:val="24"/>
                <w:highlight w:val="none"/>
              </w:rPr>
            </w:pPr>
          </w:p>
        </w:tc>
        <w:tc>
          <w:tcPr>
            <w:tcW w:w="2835" w:type="dxa"/>
            <w:tcBorders>
              <w:top w:val="single" w:color="000000" w:sz="4" w:space="0"/>
              <w:left w:val="single" w:color="000000" w:sz="4" w:space="0"/>
              <w:bottom w:val="single" w:color="000000" w:sz="4" w:space="0"/>
              <w:right w:val="single" w:color="000000" w:sz="4" w:space="0"/>
            </w:tcBorders>
            <w:vAlign w:val="center"/>
          </w:tcPr>
          <w:p w14:paraId="709AFC6A">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200M专线</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385AB7CD">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1条/月</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4F630C83">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36</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589CEFD0">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r w14:paraId="3FCA2600">
        <w:tblPrEx>
          <w:tblCellMar>
            <w:top w:w="0" w:type="dxa"/>
            <w:left w:w="108" w:type="dxa"/>
            <w:bottom w:w="0" w:type="dxa"/>
            <w:right w:w="108" w:type="dxa"/>
          </w:tblCellMar>
        </w:tblPrEx>
        <w:trPr>
          <w:trHeight w:val="310" w:hRule="atLeast"/>
        </w:trPr>
        <w:tc>
          <w:tcPr>
            <w:tcW w:w="624" w:type="dxa"/>
            <w:tcBorders>
              <w:top w:val="single" w:color="000000" w:sz="4" w:space="0"/>
              <w:left w:val="single" w:color="000000" w:sz="4" w:space="0"/>
              <w:bottom w:val="single" w:color="000000" w:sz="4" w:space="0"/>
              <w:right w:val="single" w:color="000000" w:sz="4" w:space="0"/>
            </w:tcBorders>
            <w:noWrap/>
            <w:vAlign w:val="center"/>
          </w:tcPr>
          <w:p w14:paraId="2DB8D428">
            <w:pPr>
              <w:keepNext w:val="0"/>
              <w:keepLines w:val="0"/>
              <w:widowControl/>
              <w:suppressLineNumbers w:val="0"/>
              <w:jc w:val="left"/>
              <w:textAlignment w:val="center"/>
              <w:rPr>
                <w:rFonts w:hint="eastAsia" w:ascii="宋体" w:hAnsi="宋体" w:eastAsia="宋体" w:cs="宋体"/>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64</w:t>
            </w:r>
          </w:p>
        </w:tc>
        <w:tc>
          <w:tcPr>
            <w:tcW w:w="737" w:type="dxa"/>
            <w:vMerge w:val="continue"/>
            <w:tcBorders>
              <w:top w:val="single" w:color="000000" w:sz="4" w:space="0"/>
              <w:left w:val="single" w:color="000000" w:sz="4" w:space="0"/>
              <w:bottom w:val="single" w:color="000000" w:sz="4" w:space="0"/>
              <w:right w:val="single" w:color="000000" w:sz="4" w:space="0"/>
            </w:tcBorders>
            <w:noWrap/>
            <w:vAlign w:val="center"/>
          </w:tcPr>
          <w:p w14:paraId="5A032002">
            <w:pPr>
              <w:jc w:val="left"/>
              <w:rPr>
                <w:rFonts w:hint="eastAsia" w:ascii="宋体" w:hAnsi="宋体" w:eastAsia="宋体" w:cs="宋体"/>
                <w:color w:val="000000"/>
                <w:sz w:val="24"/>
                <w:szCs w:val="24"/>
                <w:highlight w:val="none"/>
              </w:rPr>
            </w:pPr>
          </w:p>
        </w:tc>
        <w:tc>
          <w:tcPr>
            <w:tcW w:w="1134" w:type="dxa"/>
            <w:vMerge w:val="continue"/>
            <w:tcBorders>
              <w:top w:val="single" w:color="000000" w:sz="4" w:space="0"/>
              <w:left w:val="single" w:color="000000" w:sz="4" w:space="0"/>
              <w:bottom w:val="single" w:color="000000" w:sz="4" w:space="0"/>
              <w:right w:val="single" w:color="000000" w:sz="4" w:space="0"/>
            </w:tcBorders>
            <w:vAlign w:val="center"/>
          </w:tcPr>
          <w:p w14:paraId="2F85EB21">
            <w:pPr>
              <w:jc w:val="left"/>
              <w:rPr>
                <w:rFonts w:hint="eastAsia" w:ascii="宋体" w:hAnsi="宋体" w:eastAsia="宋体" w:cs="宋体"/>
                <w:color w:val="000000"/>
                <w:sz w:val="24"/>
                <w:szCs w:val="24"/>
                <w:highlight w:val="none"/>
              </w:rPr>
            </w:pPr>
          </w:p>
        </w:tc>
        <w:tc>
          <w:tcPr>
            <w:tcW w:w="2835" w:type="dxa"/>
            <w:tcBorders>
              <w:top w:val="single" w:color="000000" w:sz="4" w:space="0"/>
              <w:left w:val="single" w:color="000000" w:sz="4" w:space="0"/>
              <w:bottom w:val="single" w:color="000000" w:sz="4" w:space="0"/>
              <w:right w:val="single" w:color="000000" w:sz="4" w:space="0"/>
            </w:tcBorders>
            <w:vAlign w:val="center"/>
          </w:tcPr>
          <w:p w14:paraId="14B080C6">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300M专线</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0D217283">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1条/月</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746A77CB">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8</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56459500">
            <w:pPr>
              <w:widowControl/>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r>
    </w:tbl>
    <w:p w14:paraId="549AB2FF">
      <w:pPr>
        <w:rPr>
          <w:rFonts w:hint="eastAsia" w:ascii="宋体" w:hAnsi="宋体" w:eastAsia="宋体" w:cs="宋体"/>
          <w:sz w:val="24"/>
          <w:szCs w:val="24"/>
          <w:highlight w:val="none"/>
        </w:rPr>
      </w:pPr>
    </w:p>
    <w:p w14:paraId="0FC78611">
      <w:pPr>
        <w:pStyle w:val="5"/>
        <w:numPr>
          <w:ilvl w:val="1"/>
          <w:numId w:val="1"/>
        </w:numPr>
        <w:rPr>
          <w:rFonts w:hint="eastAsia" w:ascii="宋体" w:hAnsi="宋体" w:eastAsia="宋体" w:cs="宋体"/>
          <w:sz w:val="24"/>
          <w:szCs w:val="24"/>
          <w:highlight w:val="none"/>
          <w:lang w:val="en-US" w:eastAsia="zh-CN"/>
        </w:rPr>
      </w:pPr>
      <w:bookmarkStart w:id="1" w:name="_Toc14505"/>
      <w:r>
        <w:rPr>
          <w:rFonts w:hint="eastAsia" w:ascii="宋体" w:hAnsi="宋体" w:eastAsia="宋体" w:cs="宋体"/>
          <w:sz w:val="24"/>
          <w:szCs w:val="24"/>
          <w:highlight w:val="none"/>
          <w:lang w:val="en-US" w:eastAsia="zh-CN"/>
        </w:rPr>
        <w:t>服务要求</w:t>
      </w:r>
    </w:p>
    <w:p w14:paraId="2863DF27">
      <w:pPr>
        <w:pStyle w:val="6"/>
        <w:numPr>
          <w:ilvl w:val="2"/>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计算服务</w:t>
      </w:r>
    </w:p>
    <w:p w14:paraId="1C5E26EB">
      <w:p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bCs/>
          <w:sz w:val="24"/>
          <w:szCs w:val="24"/>
          <w:highlight w:val="none"/>
        </w:rPr>
        <w:t>按照采购人的具体需求，提供云主机服务，包括：云主机服务、裸金属服务</w:t>
      </w: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lang w:val="en-US" w:eastAsia="zh-CN"/>
        </w:rPr>
        <w:t>基础软件服务</w:t>
      </w:r>
      <w:r>
        <w:rPr>
          <w:rFonts w:hint="eastAsia" w:ascii="宋体" w:hAnsi="宋体" w:eastAsia="宋体" w:cs="宋体"/>
          <w:bCs/>
          <w:sz w:val="24"/>
          <w:szCs w:val="24"/>
          <w:highlight w:val="none"/>
        </w:rPr>
        <w:t>，按需求对CPU及内存进行动态调整，实现合理的计算资源配置。在提供云主机的服务过程中做好与采购人和对应项目应用开发厂商的协调沟通工作。</w:t>
      </w:r>
    </w:p>
    <w:p w14:paraId="6E7AE389">
      <w:pPr>
        <w:pStyle w:val="6"/>
        <w:numPr>
          <w:ilvl w:val="2"/>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存储服务</w:t>
      </w:r>
    </w:p>
    <w:p w14:paraId="339075D1">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按照采购人的具体需求，提供存储服务，包括：高性能存储、普通性能存储、</w:t>
      </w:r>
      <w:r>
        <w:rPr>
          <w:rFonts w:hint="eastAsia" w:ascii="宋体" w:hAnsi="宋体" w:eastAsia="宋体" w:cs="宋体"/>
          <w:bCs/>
          <w:sz w:val="24"/>
          <w:szCs w:val="24"/>
          <w:highlight w:val="none"/>
          <w:lang w:val="en-US" w:eastAsia="zh-CN"/>
        </w:rPr>
        <w:t>对象存储、</w:t>
      </w:r>
      <w:r>
        <w:rPr>
          <w:rFonts w:hint="eastAsia" w:ascii="宋体" w:hAnsi="宋体" w:eastAsia="宋体" w:cs="宋体"/>
          <w:bCs/>
          <w:sz w:val="24"/>
          <w:szCs w:val="24"/>
          <w:highlight w:val="none"/>
        </w:rPr>
        <w:t>静态存储服务，实现合理的存储资源配置。在提供存储的服务过程中需做好采购人和对应项目应用开发厂商的协调沟通工作。</w:t>
      </w:r>
    </w:p>
    <w:p w14:paraId="45B9470F">
      <w:pPr>
        <w:pStyle w:val="6"/>
        <w:numPr>
          <w:ilvl w:val="2"/>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网络服务</w:t>
      </w:r>
    </w:p>
    <w:p w14:paraId="72E8F6E0">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1）提供虚拟专有网络服务、弹性公网IP EIP、互联网链路带宽服务、主机负载均衡服务、NAT网关服务，DNS服务，可以在云管理平台实现按租户进行服务分配。</w:t>
      </w:r>
    </w:p>
    <w:p w14:paraId="24A11E2F">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2）提供相应的网络域名备案服务，配合应用开发厂商提供网络策略配置服务。</w:t>
      </w:r>
    </w:p>
    <w:p w14:paraId="152FE325">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3）远程接入服务，提供互联网远程接入服务，每个账号结合身份验证接入堡垒机维护应用系统。</w:t>
      </w:r>
    </w:p>
    <w:p w14:paraId="371AC683">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4）VPN服务，SSL VPN接入，用户通过SSL VPN访问业务系统。</w:t>
      </w:r>
    </w:p>
    <w:p w14:paraId="40D30EFE">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5）WAF防护服务，在网站前端架设WAF防护服务，保证用户网站对已知安全隐患进行防护，实时升级漏洞补丁，配置防护策略，可起到前端防护作用。</w:t>
      </w:r>
    </w:p>
    <w:p w14:paraId="33C293DA">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6）按采购方实际需要，提供政务外网服务。</w:t>
      </w:r>
    </w:p>
    <w:p w14:paraId="6502FE7E">
      <w:pPr>
        <w:pStyle w:val="6"/>
        <w:numPr>
          <w:ilvl w:val="2"/>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安全服务</w:t>
      </w:r>
    </w:p>
    <w:p w14:paraId="64F55751">
      <w:pPr>
        <w:spacing w:before="183" w:line="359" w:lineRule="auto"/>
        <w:ind w:right="61" w:firstLine="482"/>
        <w:rPr>
          <w:rFonts w:hint="eastAsia" w:ascii="宋体" w:hAnsi="宋体" w:eastAsia="宋体" w:cs="宋体"/>
          <w:spacing w:val="-1"/>
          <w:sz w:val="24"/>
          <w:szCs w:val="24"/>
          <w:highlight w:val="none"/>
        </w:rPr>
      </w:pPr>
      <w:r>
        <w:rPr>
          <w:rFonts w:hint="eastAsia" w:ascii="宋体" w:hAnsi="宋体" w:eastAsia="宋体" w:cs="宋体"/>
          <w:spacing w:val="-1"/>
          <w:sz w:val="24"/>
          <w:szCs w:val="24"/>
          <w:highlight w:val="none"/>
        </w:rPr>
        <w:t>安全是云服务的红线，应按照网络安全等级保护、关键信息基础设施保护、个人信息保护及数据安全保护等要求建设安全技术防护体系和安全管理体系，加强数据的安全管理，采用分级方式进行重点数据保护，防止重要或敏感数据泄露或被滥用，并建立应急处置体系，强化各领域平台安全管控，在深化数据融合应用的同时保障安全。安全服务主要内容包含：</w:t>
      </w:r>
    </w:p>
    <w:p w14:paraId="65391CF6">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所</w:t>
      </w:r>
      <w:r>
        <w:rPr>
          <w:rFonts w:hint="eastAsia" w:ascii="宋体" w:hAnsi="宋体" w:eastAsia="宋体" w:cs="宋体"/>
          <w:bCs/>
          <w:sz w:val="24"/>
          <w:szCs w:val="24"/>
          <w:highlight w:val="none"/>
          <w:lang w:val="en-US" w:eastAsia="zh-CN"/>
        </w:rPr>
        <w:t>投</w:t>
      </w:r>
      <w:r>
        <w:rPr>
          <w:rFonts w:hint="eastAsia" w:ascii="宋体" w:hAnsi="宋体" w:eastAsia="宋体" w:cs="宋体"/>
          <w:bCs/>
          <w:sz w:val="24"/>
          <w:szCs w:val="24"/>
          <w:highlight w:val="none"/>
        </w:rPr>
        <w:t>云平台应根据《国家政务信息化项目建设管理办法》（国办发〔2019〕57号）、《信息安全技术 信息系统密码应用基本要求》（GB/T39786-2021）设计云平台密码应用方案，建设运行密码保障系统。投标人须承诺合同签约后90个自然日内通过商用密码应用安全性评估。</w:t>
      </w:r>
    </w:p>
    <w:p w14:paraId="240D429B">
      <w:pPr>
        <w:pStyle w:val="6"/>
        <w:numPr>
          <w:ilvl w:val="2"/>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云机房及专网服务</w:t>
      </w:r>
    </w:p>
    <w:p w14:paraId="2F3EBB48">
      <w:pPr>
        <w:spacing w:before="67" w:line="360" w:lineRule="auto"/>
        <w:ind w:right="61" w:firstLine="483"/>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投标人需提供满足本项目要求的云机房及专网服务，云机房需要满足A级建设标准要求。按要求、时间开通连接至北京市本地医院/区卫健委等医疗机构的点对点专线，其中：50M专线70条，100M专线142条，200M专线36条，300M专线8条。同时，需提供云机房至</w:t>
      </w:r>
      <w:r>
        <w:rPr>
          <w:rFonts w:hint="eastAsia" w:ascii="宋体" w:hAnsi="宋体" w:eastAsia="宋体" w:cs="宋体"/>
          <w:color w:val="000000"/>
          <w:kern w:val="0"/>
          <w:sz w:val="24"/>
          <w:szCs w:val="24"/>
          <w:highlight w:val="none"/>
          <w:lang w:bidi="ar"/>
        </w:rPr>
        <w:t>国家人工智能应用中试基地（医疗）·北京云池</w:t>
      </w:r>
      <w:r>
        <w:rPr>
          <w:rFonts w:hint="eastAsia" w:ascii="宋体" w:hAnsi="宋体" w:eastAsia="宋体" w:cs="宋体"/>
          <w:spacing w:val="-2"/>
          <w:sz w:val="24"/>
          <w:szCs w:val="24"/>
          <w:highlight w:val="none"/>
        </w:rPr>
        <w:t>、北京市预约挂号平台、政务外网间的网络连接及网络建设方案。</w:t>
      </w:r>
    </w:p>
    <w:p w14:paraId="37DD041B">
      <w:pPr>
        <w:pStyle w:val="5"/>
        <w:numPr>
          <w:ilvl w:val="1"/>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技术指标要求</w:t>
      </w:r>
    </w:p>
    <w:bookmarkEnd w:id="1"/>
    <w:p w14:paraId="7871DDAB">
      <w:pPr>
        <w:pStyle w:val="6"/>
        <w:numPr>
          <w:ilvl w:val="2"/>
          <w:numId w:val="1"/>
        </w:numPr>
        <w:rPr>
          <w:rFonts w:hint="eastAsia" w:ascii="宋体" w:hAnsi="宋体" w:eastAsia="宋体" w:cs="宋体"/>
          <w:sz w:val="24"/>
          <w:szCs w:val="24"/>
          <w:highlight w:val="none"/>
        </w:rPr>
      </w:pPr>
      <w:bookmarkStart w:id="2" w:name="_Toc31277"/>
      <w:r>
        <w:rPr>
          <w:rFonts w:hint="eastAsia" w:ascii="宋体" w:hAnsi="宋体" w:eastAsia="宋体" w:cs="宋体"/>
          <w:sz w:val="24"/>
          <w:szCs w:val="24"/>
          <w:highlight w:val="none"/>
          <w:lang w:val="en-US" w:eastAsia="zh-CN"/>
        </w:rPr>
        <w:t>计算服务</w:t>
      </w:r>
    </w:p>
    <w:p w14:paraId="5B892A7B">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云主机</w:t>
      </w:r>
    </w:p>
    <w:p w14:paraId="4657C6B7">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1)基本管理：具备单台及批量创建、删除、启动、关闭、查看虚拟化主机能力；</w:t>
      </w:r>
    </w:p>
    <w:p w14:paraId="35FA189A">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2)操作管理：支持控制台、API，对虚拟化主机进行基本操作、配置修改、系统重装、密码更改、实例迁移等操作的能力；</w:t>
      </w:r>
    </w:p>
    <w:p w14:paraId="14691041">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3)系统管理：至少支持麒麟、统信系统安装；具备创建前</w:t>
      </w:r>
      <w:r>
        <w:rPr>
          <w:rFonts w:hint="eastAsia" w:ascii="宋体" w:hAnsi="宋体" w:eastAsia="宋体" w:cs="宋体"/>
          <w:bCs/>
          <w:sz w:val="24"/>
          <w:szCs w:val="24"/>
          <w:highlight w:val="none"/>
          <w:lang w:val="en-US" w:eastAsia="zh-CN"/>
        </w:rPr>
        <w:t>/</w:t>
      </w:r>
      <w:r>
        <w:rPr>
          <w:rFonts w:hint="eastAsia" w:ascii="宋体" w:hAnsi="宋体" w:eastAsia="宋体" w:cs="宋体"/>
          <w:bCs/>
          <w:sz w:val="24"/>
          <w:szCs w:val="24"/>
          <w:highlight w:val="none"/>
        </w:rPr>
        <w:t>运行中安装及重装公共镜像</w:t>
      </w:r>
      <w:r>
        <w:rPr>
          <w:rFonts w:hint="eastAsia" w:ascii="宋体" w:hAnsi="宋体" w:eastAsia="宋体" w:cs="宋体"/>
          <w:bCs/>
          <w:sz w:val="24"/>
          <w:szCs w:val="24"/>
          <w:highlight w:val="none"/>
          <w:lang w:val="en-US" w:eastAsia="zh-CN"/>
        </w:rPr>
        <w:t>/</w:t>
      </w:r>
      <w:r>
        <w:rPr>
          <w:rFonts w:hint="eastAsia" w:ascii="宋体" w:hAnsi="宋体" w:eastAsia="宋体" w:cs="宋体"/>
          <w:bCs/>
          <w:sz w:val="24"/>
          <w:szCs w:val="24"/>
          <w:highlight w:val="none"/>
        </w:rPr>
        <w:t>私有镜像的能力；</w:t>
      </w:r>
    </w:p>
    <w:p w14:paraId="71FA2699">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4)配置管理：支持虚拟化主机的CPU、内存配置调整；具备内存</w:t>
      </w:r>
      <w:r>
        <w:rPr>
          <w:rFonts w:hint="eastAsia" w:ascii="宋体" w:hAnsi="宋体" w:eastAsia="宋体" w:cs="宋体"/>
          <w:bCs/>
          <w:sz w:val="24"/>
          <w:szCs w:val="24"/>
          <w:highlight w:val="none"/>
          <w:lang w:val="en-US" w:eastAsia="zh-CN"/>
        </w:rPr>
        <w:t>/</w:t>
      </w:r>
      <w:r>
        <w:rPr>
          <w:rFonts w:hint="eastAsia" w:ascii="宋体" w:hAnsi="宋体" w:eastAsia="宋体" w:cs="宋体"/>
          <w:bCs/>
          <w:sz w:val="24"/>
          <w:szCs w:val="24"/>
          <w:highlight w:val="none"/>
        </w:rPr>
        <w:t>磁盘容量动态调整能力；</w:t>
      </w:r>
    </w:p>
    <w:p w14:paraId="6F0AAA70">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5)密码管理：支持控制台后台及远程登录密码设置，包括普通密码</w:t>
      </w:r>
      <w:r>
        <w:rPr>
          <w:rFonts w:hint="eastAsia" w:ascii="宋体" w:hAnsi="宋体" w:eastAsia="宋体" w:cs="宋体"/>
          <w:bCs/>
          <w:sz w:val="24"/>
          <w:szCs w:val="24"/>
          <w:highlight w:val="none"/>
          <w:lang w:val="en-US" w:eastAsia="zh-CN"/>
        </w:rPr>
        <w:t>/</w:t>
      </w:r>
      <w:r>
        <w:rPr>
          <w:rFonts w:hint="eastAsia" w:ascii="宋体" w:hAnsi="宋体" w:eastAsia="宋体" w:cs="宋体"/>
          <w:bCs/>
          <w:sz w:val="24"/>
          <w:szCs w:val="24"/>
          <w:highlight w:val="none"/>
        </w:rPr>
        <w:t>秘钥对；具备控制台修改虚拟化主机系统密码的能力；</w:t>
      </w:r>
    </w:p>
    <w:p w14:paraId="11DFB7CA">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6)▲迁移能力：支持虚拟化主机实例迁移，具备单实例及多实例的关机冷迁移、在线热迁移、故障自迁移（可设置）；并提供功能截图或官网截图；</w:t>
      </w:r>
    </w:p>
    <w:p w14:paraId="452A4D40">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7)弹性伸缩：可根据通过配置伸缩组、伸缩配置、伸缩规则进行弹性扩张、弹性伸缩；并提供功能截图或官网截图相关证明材料；</w:t>
      </w:r>
    </w:p>
    <w:p w14:paraId="3E84EB5D">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8)资源编排：可定义资源模板，对虚拟化主机等资源进行自动化部署的能力；</w:t>
      </w:r>
    </w:p>
    <w:p w14:paraId="58F2BF2B">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9)云主机vCPU 主频应不低于 2.4GHz；</w:t>
      </w:r>
    </w:p>
    <w:p w14:paraId="4597B339">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裸金属服务</w:t>
      </w:r>
    </w:p>
    <w:p w14:paraId="4947AF33">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1)资源创建：支持创建裸金属服务器，创建时可选择操作系统类型、网卡bond模式、专有网络、弹性公网IP以及设置裸金属服务器的实例名称、登录密码。支持配置IPv6网络</w:t>
      </w:r>
    </w:p>
    <w:p w14:paraId="573C5818">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2)列表查询：支持对创建的裸金属服务器进行查看、管理、搜索及刷新、导出。</w:t>
      </w:r>
    </w:p>
    <w:p w14:paraId="6078B581">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3)开机/关机/重启：支持对单台裸金属服务器进行基本的开机、关机、重启操作。</w:t>
      </w:r>
    </w:p>
    <w:p w14:paraId="508869AF">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4)重置密码：支持对单台裸金属服务器进行重置密码操作。</w:t>
      </w:r>
    </w:p>
    <w:p w14:paraId="3130546B">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5)远程连接：支持通过VNC对裸金属服务器进行远程连接访问。</w:t>
      </w:r>
    </w:p>
    <w:p w14:paraId="2441D87D">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6)格式化/更换操作系统：支持对裸金属服务器进行格式化操作系统、更换操作系统操作。</w:t>
      </w:r>
    </w:p>
    <w:p w14:paraId="3D715F1C">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7)绑定/解绑弹性公网IP：支持对裸金属服务器进行绑定/解绑弹性公网IP的操作。</w:t>
      </w:r>
    </w:p>
    <w:p w14:paraId="214BC5FA">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8)绑定/解绑IPV6带宽：支持绑定，解绑IPV6带宽</w:t>
      </w:r>
    </w:p>
    <w:p w14:paraId="6B9ACC17">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9)详情查看：支持查看单台裸金属服务器的详情信息，包括基本信息、网络信息、监控信息以及操作日志。</w:t>
      </w:r>
    </w:p>
    <w:p w14:paraId="3798296C">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10)监控查看：支持查看裸金属服务器的CPU使用率、内存使用率、云盘使用率、云盘读/写带宽、云盘读/写IOPS、流入速率、流出速率监控信息。</w:t>
      </w:r>
    </w:p>
    <w:p w14:paraId="32F4CA52">
      <w:pPr>
        <w:snapToGrid w:val="0"/>
        <w:spacing w:line="360" w:lineRule="auto"/>
        <w:ind w:firstLine="480" w:firstLineChars="200"/>
        <w:rPr>
          <w:rFonts w:hint="eastAsia" w:ascii="宋体" w:hAnsi="宋体" w:eastAsia="宋体" w:cs="宋体"/>
          <w:spacing w:val="-2"/>
          <w:sz w:val="24"/>
          <w:szCs w:val="24"/>
          <w:highlight w:val="none"/>
        </w:rPr>
      </w:pPr>
      <w:r>
        <w:rPr>
          <w:rFonts w:hint="eastAsia" w:ascii="宋体" w:hAnsi="宋体" w:eastAsia="宋体" w:cs="宋体"/>
          <w:bCs/>
          <w:sz w:val="24"/>
          <w:szCs w:val="24"/>
          <w:highlight w:val="none"/>
        </w:rPr>
        <w:t>11)</w:t>
      </w:r>
      <w:r>
        <w:rPr>
          <w:rFonts w:hint="eastAsia" w:ascii="宋体" w:hAnsi="宋体" w:eastAsia="宋体" w:cs="宋体"/>
          <w:spacing w:val="-2"/>
          <w:sz w:val="24"/>
          <w:szCs w:val="24"/>
          <w:highlight w:val="none"/>
        </w:rPr>
        <w:t>物理服务器</w:t>
      </w:r>
      <w:r>
        <w:rPr>
          <w:rFonts w:hint="eastAsia" w:ascii="宋体" w:hAnsi="宋体" w:eastAsia="宋体" w:cs="宋体"/>
          <w:spacing w:val="-48"/>
          <w:sz w:val="24"/>
          <w:szCs w:val="24"/>
          <w:highlight w:val="none"/>
        </w:rPr>
        <w:t xml:space="preserve"> </w:t>
      </w:r>
      <w:r>
        <w:rPr>
          <w:rFonts w:hint="eastAsia" w:ascii="宋体" w:hAnsi="宋体" w:eastAsia="宋体" w:cs="宋体"/>
          <w:spacing w:val="-2"/>
          <w:sz w:val="24"/>
          <w:szCs w:val="24"/>
          <w:highlight w:val="none"/>
        </w:rPr>
        <w:t>CPU</w:t>
      </w:r>
      <w:r>
        <w:rPr>
          <w:rFonts w:hint="eastAsia" w:ascii="宋体" w:hAnsi="宋体" w:eastAsia="宋体" w:cs="宋体"/>
          <w:spacing w:val="-49"/>
          <w:sz w:val="24"/>
          <w:szCs w:val="24"/>
          <w:highlight w:val="none"/>
        </w:rPr>
        <w:t xml:space="preserve"> </w:t>
      </w:r>
      <w:r>
        <w:rPr>
          <w:rFonts w:hint="eastAsia" w:ascii="宋体" w:hAnsi="宋体" w:eastAsia="宋体" w:cs="宋体"/>
          <w:spacing w:val="-2"/>
          <w:sz w:val="24"/>
          <w:szCs w:val="24"/>
          <w:highlight w:val="none"/>
        </w:rPr>
        <w:t>主频应不低于</w:t>
      </w:r>
      <w:r>
        <w:rPr>
          <w:rFonts w:hint="eastAsia" w:ascii="宋体" w:hAnsi="宋体" w:eastAsia="宋体" w:cs="宋体"/>
          <w:spacing w:val="-54"/>
          <w:sz w:val="24"/>
          <w:szCs w:val="24"/>
          <w:highlight w:val="none"/>
        </w:rPr>
        <w:t xml:space="preserve"> </w:t>
      </w:r>
      <w:r>
        <w:rPr>
          <w:rFonts w:hint="eastAsia" w:ascii="宋体" w:hAnsi="宋体" w:eastAsia="宋体" w:cs="宋体"/>
          <w:spacing w:val="-2"/>
          <w:sz w:val="24"/>
          <w:szCs w:val="24"/>
          <w:highlight w:val="none"/>
        </w:rPr>
        <w:t>2.4GHz；</w:t>
      </w:r>
    </w:p>
    <w:p w14:paraId="32DF4978">
      <w:pPr>
        <w:pStyle w:val="7"/>
        <w:numPr>
          <w:ilvl w:val="3"/>
          <w:numId w:val="1"/>
        </w:numPr>
        <w:bidi w:val="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商用操作系统</w:t>
      </w:r>
    </w:p>
    <w:p w14:paraId="362C1C65">
      <w:pPr>
        <w:rPr>
          <w:rFonts w:hint="eastAsia" w:ascii="宋体" w:hAnsi="宋体" w:eastAsia="宋体" w:cs="宋体"/>
          <w:sz w:val="24"/>
          <w:szCs w:val="24"/>
          <w:highlight w:val="none"/>
        </w:rPr>
      </w:pPr>
    </w:p>
    <w:p w14:paraId="3A992EFB">
      <w:pPr>
        <w:snapToGrid w:val="0"/>
        <w:spacing w:line="360" w:lineRule="auto"/>
        <w:ind w:firstLine="476" w:firstLineChars="200"/>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提供主流商业操作系统服务，支持操作系统的安装部署和各种故障处理。</w:t>
      </w:r>
    </w:p>
    <w:p w14:paraId="01CF7861">
      <w:pPr>
        <w:rPr>
          <w:rFonts w:hint="eastAsia" w:ascii="宋体" w:hAnsi="宋体" w:eastAsia="宋体" w:cs="宋体"/>
          <w:sz w:val="24"/>
          <w:szCs w:val="24"/>
          <w:highlight w:val="none"/>
        </w:rPr>
      </w:pPr>
    </w:p>
    <w:p w14:paraId="0C15BF83">
      <w:pPr>
        <w:pStyle w:val="6"/>
        <w:numPr>
          <w:ilvl w:val="2"/>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存储服务</w:t>
      </w:r>
    </w:p>
    <w:bookmarkEnd w:id="2"/>
    <w:p w14:paraId="351340BC">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高性能存储和普通性能存储</w:t>
      </w:r>
    </w:p>
    <w:p w14:paraId="4B8BA835">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1)采用三副本技术；</w:t>
      </w:r>
    </w:p>
    <w:p w14:paraId="29BC8AC3">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2)虚拟硬盘管理：可创建空虚拟硬盘或通过快照创建虚拟硬盘，可挂载至虚拟化主机实例；支持控制台或API的单块或批量的虚拟硬盘创建、回收、挂载等操作；</w:t>
      </w:r>
    </w:p>
    <w:p w14:paraId="319B414A">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3)虚拟硬盘类型：支持高性能存储、普通</w:t>
      </w:r>
      <w:r>
        <w:rPr>
          <w:rFonts w:hint="eastAsia" w:ascii="宋体" w:hAnsi="宋体" w:eastAsia="宋体" w:cs="宋体"/>
          <w:bCs/>
          <w:sz w:val="24"/>
          <w:szCs w:val="24"/>
          <w:highlight w:val="none"/>
          <w:lang w:val="en-US" w:eastAsia="zh-CN"/>
        </w:rPr>
        <w:t>性</w:t>
      </w:r>
      <w:r>
        <w:rPr>
          <w:rFonts w:hint="eastAsia" w:ascii="宋体" w:hAnsi="宋体" w:eastAsia="宋体" w:cs="宋体"/>
          <w:bCs/>
          <w:sz w:val="24"/>
          <w:szCs w:val="24"/>
          <w:highlight w:val="none"/>
        </w:rPr>
        <w:t>能存储</w:t>
      </w:r>
      <w:r>
        <w:rPr>
          <w:rFonts w:hint="eastAsia" w:ascii="宋体" w:hAnsi="宋体" w:eastAsia="宋体" w:cs="宋体"/>
          <w:bCs/>
          <w:sz w:val="24"/>
          <w:szCs w:val="24"/>
          <w:highlight w:val="none"/>
          <w:lang w:val="en-US" w:eastAsia="zh-CN"/>
        </w:rPr>
        <w:t>类型的</w:t>
      </w:r>
      <w:r>
        <w:rPr>
          <w:rFonts w:hint="eastAsia" w:ascii="宋体" w:hAnsi="宋体" w:eastAsia="宋体" w:cs="宋体"/>
          <w:bCs/>
          <w:sz w:val="24"/>
          <w:szCs w:val="24"/>
          <w:highlight w:val="none"/>
        </w:rPr>
        <w:t>虚拟硬盘分配；</w:t>
      </w:r>
    </w:p>
    <w:p w14:paraId="3F9E77A4">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4)存储集：定义存储集，按业务类型对块存储集群进行划分，实现不同业务、环境之间块存储集群的物理隔离；</w:t>
      </w:r>
    </w:p>
    <w:p w14:paraId="0DE5F75C">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5)虚拟硬盘快照：使用快照能力，对虚拟化主机上硬盘的快照操作，并具备快照一致性、自动快照能力；</w:t>
      </w:r>
    </w:p>
    <w:p w14:paraId="550B6857">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6)虚拟硬盘加密：提供简单安全的加密手段，对新创建虚拟硬盘进行数据加密处理，无法直接通过块存储集群直接查看数据；</w:t>
      </w:r>
    </w:p>
    <w:p w14:paraId="54034782">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7)高性能存储硬盘单盘最大容量要求≥30TB；</w:t>
      </w:r>
    </w:p>
    <w:p w14:paraId="1294E789">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8)▲高性能存储硬盘单盘最大IOPS大于等于25000，读写带宽≥150MB/s，并提供功能截图或官网截图；</w:t>
      </w:r>
    </w:p>
    <w:p w14:paraId="1D4147F9">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9)数据存储持久性不低于99.99%。</w:t>
      </w:r>
    </w:p>
    <w:p w14:paraId="04F7620B">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10）普通性能存储硬盘单盘最大IOPS大于等于2000。</w:t>
      </w:r>
    </w:p>
    <w:p w14:paraId="3A63B955">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对象</w:t>
      </w:r>
      <w:r>
        <w:rPr>
          <w:rFonts w:hint="eastAsia" w:ascii="宋体" w:hAnsi="宋体" w:eastAsia="宋体" w:cs="宋体"/>
          <w:sz w:val="24"/>
          <w:szCs w:val="24"/>
          <w:highlight w:val="none"/>
        </w:rPr>
        <w:t>存储</w:t>
      </w:r>
    </w:p>
    <w:p w14:paraId="09670C1C">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1)桶管理：提供创建、搜索、查看、删除等基本功能，帮助用户便捷的进行桶管理。</w:t>
      </w:r>
    </w:p>
    <w:p w14:paraId="46045265">
      <w:pPr>
        <w:snapToGrid w:val="0"/>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2)目录管理：支持创建多级目录及删除目录</w:t>
      </w:r>
      <w:r>
        <w:rPr>
          <w:rFonts w:hint="eastAsia" w:ascii="宋体" w:hAnsi="宋体" w:eastAsia="宋体" w:cs="宋体"/>
          <w:bCs/>
          <w:sz w:val="24"/>
          <w:szCs w:val="24"/>
          <w:highlight w:val="none"/>
          <w:lang w:eastAsia="zh-CN"/>
        </w:rPr>
        <w:t>。</w:t>
      </w:r>
    </w:p>
    <w:p w14:paraId="03A6AE75">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3)文件管理：支持通过控制台页面进行文件的上传、下载、删除、设置权限、分享、查看详情操作。</w:t>
      </w:r>
    </w:p>
    <w:p w14:paraId="60195983">
      <w:pPr>
        <w:snapToGrid w:val="0"/>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4)碎片管理：查看碎片文件列表，支持删除</w:t>
      </w:r>
      <w:r>
        <w:rPr>
          <w:rFonts w:hint="eastAsia" w:ascii="宋体" w:hAnsi="宋体" w:eastAsia="宋体" w:cs="宋体"/>
          <w:bCs/>
          <w:sz w:val="24"/>
          <w:szCs w:val="24"/>
          <w:highlight w:val="none"/>
          <w:lang w:eastAsia="zh-CN"/>
        </w:rPr>
        <w:t>。</w:t>
      </w:r>
    </w:p>
    <w:p w14:paraId="0916FE0D">
      <w:pPr>
        <w:snapToGrid w:val="0"/>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5)读写权限：</w:t>
      </w:r>
      <w:r>
        <w:rPr>
          <w:rFonts w:hint="eastAsia" w:ascii="宋体" w:hAnsi="宋体" w:eastAsia="宋体" w:cs="宋体"/>
          <w:bCs/>
          <w:sz w:val="24"/>
          <w:szCs w:val="24"/>
          <w:highlight w:val="none"/>
          <w:lang w:val="en-US" w:eastAsia="zh-CN"/>
        </w:rPr>
        <w:t>支持</w:t>
      </w:r>
      <w:r>
        <w:rPr>
          <w:rFonts w:hint="eastAsia" w:ascii="宋体" w:hAnsi="宋体" w:eastAsia="宋体" w:cs="宋体"/>
          <w:bCs/>
          <w:sz w:val="24"/>
          <w:szCs w:val="24"/>
          <w:highlight w:val="none"/>
        </w:rPr>
        <w:t>读写权限设置</w:t>
      </w:r>
      <w:r>
        <w:rPr>
          <w:rFonts w:hint="eastAsia" w:ascii="宋体" w:hAnsi="宋体" w:eastAsia="宋体" w:cs="宋体"/>
          <w:bCs/>
          <w:sz w:val="24"/>
          <w:szCs w:val="24"/>
          <w:highlight w:val="none"/>
          <w:lang w:eastAsia="zh-CN"/>
        </w:rPr>
        <w:t>。</w:t>
      </w:r>
    </w:p>
    <w:p w14:paraId="0D8A904B">
      <w:pPr>
        <w:snapToGrid w:val="0"/>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6)生命周期：用户可以通过生命周期规则来管理对象的生命周期</w:t>
      </w:r>
      <w:r>
        <w:rPr>
          <w:rFonts w:hint="eastAsia" w:ascii="宋体" w:hAnsi="宋体" w:eastAsia="宋体" w:cs="宋体"/>
          <w:bCs/>
          <w:sz w:val="24"/>
          <w:szCs w:val="24"/>
          <w:highlight w:val="none"/>
          <w:lang w:eastAsia="zh-CN"/>
        </w:rPr>
        <w:t>。</w:t>
      </w:r>
    </w:p>
    <w:p w14:paraId="78AA686B">
      <w:pPr>
        <w:snapToGrid w:val="0"/>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7)▲版本控制：开启版本控制特性后，针对数据的覆盖和删除操作将以历史版本的形式保存下来。通过文件（Object）的版本管理，能够将 Bucket 中存储的 Object 恢复至任意时刻的历史版本。并提供功能截图或官网截图</w:t>
      </w:r>
      <w:r>
        <w:rPr>
          <w:rFonts w:hint="eastAsia" w:ascii="宋体" w:hAnsi="宋体" w:eastAsia="宋体" w:cs="宋体"/>
          <w:bCs/>
          <w:sz w:val="24"/>
          <w:szCs w:val="24"/>
          <w:highlight w:val="none"/>
          <w:lang w:eastAsia="zh-CN"/>
        </w:rPr>
        <w:t>。</w:t>
      </w:r>
    </w:p>
    <w:p w14:paraId="4B7958E3">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8)查看资源使用情况：控制台可以查看</w:t>
      </w:r>
      <w:r>
        <w:rPr>
          <w:rFonts w:hint="eastAsia" w:ascii="宋体" w:hAnsi="宋体" w:eastAsia="宋体" w:cs="宋体"/>
          <w:bCs/>
          <w:sz w:val="24"/>
          <w:szCs w:val="24"/>
          <w:highlight w:val="none"/>
          <w:lang w:val="en-US" w:eastAsia="zh-CN"/>
        </w:rPr>
        <w:t>对象</w:t>
      </w:r>
      <w:r>
        <w:rPr>
          <w:rFonts w:hint="eastAsia" w:ascii="宋体" w:hAnsi="宋体" w:eastAsia="宋体" w:cs="宋体"/>
          <w:bCs/>
          <w:sz w:val="24"/>
          <w:szCs w:val="24"/>
          <w:highlight w:val="none"/>
        </w:rPr>
        <w:t>存储的实时统计监控信息。</w:t>
      </w:r>
    </w:p>
    <w:p w14:paraId="3BFB32A5">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9)日志：支持查看操作日志。</w:t>
      </w:r>
    </w:p>
    <w:p w14:paraId="02001596">
      <w:pPr>
        <w:snapToGrid w:val="0"/>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10)▲数据存储持久性≥99.999999999%，业务可用性≥99.98%。并提供功能截图或官网截图</w:t>
      </w:r>
      <w:r>
        <w:rPr>
          <w:rFonts w:hint="eastAsia" w:ascii="宋体" w:hAnsi="宋体" w:eastAsia="宋体" w:cs="宋体"/>
          <w:bCs/>
          <w:sz w:val="24"/>
          <w:szCs w:val="24"/>
          <w:highlight w:val="none"/>
          <w:lang w:eastAsia="zh-CN"/>
        </w:rPr>
        <w:t>。</w:t>
      </w:r>
    </w:p>
    <w:p w14:paraId="416794C4">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静态存储</w:t>
      </w:r>
    </w:p>
    <w:p w14:paraId="4A8791C7">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1)桶管理：提供创建、搜索、查看、删除等基本功能，帮助用户便捷的进行桶管理。</w:t>
      </w:r>
    </w:p>
    <w:p w14:paraId="082F3E9C">
      <w:pPr>
        <w:snapToGrid w:val="0"/>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2)目录管理：支持创建多级目录及删除目录</w:t>
      </w:r>
      <w:r>
        <w:rPr>
          <w:rFonts w:hint="eastAsia" w:ascii="宋体" w:hAnsi="宋体" w:eastAsia="宋体" w:cs="宋体"/>
          <w:bCs/>
          <w:sz w:val="24"/>
          <w:szCs w:val="24"/>
          <w:highlight w:val="none"/>
          <w:lang w:eastAsia="zh-CN"/>
        </w:rPr>
        <w:t>。</w:t>
      </w:r>
    </w:p>
    <w:p w14:paraId="6262025C">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3)文件管理：支持通过控制台页面进行文件的上传、下载、删除、设置权限、分享、查看详情操作。</w:t>
      </w:r>
    </w:p>
    <w:p w14:paraId="14945801">
      <w:pPr>
        <w:snapToGrid w:val="0"/>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4)碎片管理：查看碎片文件列表，支持删除</w:t>
      </w:r>
      <w:r>
        <w:rPr>
          <w:rFonts w:hint="eastAsia" w:ascii="宋体" w:hAnsi="宋体" w:eastAsia="宋体" w:cs="宋体"/>
          <w:bCs/>
          <w:sz w:val="24"/>
          <w:szCs w:val="24"/>
          <w:highlight w:val="none"/>
          <w:lang w:eastAsia="zh-CN"/>
        </w:rPr>
        <w:t>。</w:t>
      </w:r>
    </w:p>
    <w:p w14:paraId="5A437052">
      <w:pPr>
        <w:snapToGrid w:val="0"/>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5)读写权限：</w:t>
      </w:r>
      <w:r>
        <w:rPr>
          <w:rFonts w:hint="eastAsia" w:ascii="宋体" w:hAnsi="宋体" w:eastAsia="宋体" w:cs="宋体"/>
          <w:bCs/>
          <w:sz w:val="24"/>
          <w:szCs w:val="24"/>
          <w:highlight w:val="none"/>
          <w:lang w:val="en-US" w:eastAsia="zh-CN"/>
        </w:rPr>
        <w:t>支持</w:t>
      </w:r>
      <w:r>
        <w:rPr>
          <w:rFonts w:hint="eastAsia" w:ascii="宋体" w:hAnsi="宋体" w:eastAsia="宋体" w:cs="宋体"/>
          <w:bCs/>
          <w:sz w:val="24"/>
          <w:szCs w:val="24"/>
          <w:highlight w:val="none"/>
        </w:rPr>
        <w:t>读写权限设置</w:t>
      </w:r>
      <w:r>
        <w:rPr>
          <w:rFonts w:hint="eastAsia" w:ascii="宋体" w:hAnsi="宋体" w:eastAsia="宋体" w:cs="宋体"/>
          <w:bCs/>
          <w:sz w:val="24"/>
          <w:szCs w:val="24"/>
          <w:highlight w:val="none"/>
          <w:lang w:eastAsia="zh-CN"/>
        </w:rPr>
        <w:t>。</w:t>
      </w:r>
    </w:p>
    <w:p w14:paraId="6664E8AD">
      <w:pPr>
        <w:snapToGrid w:val="0"/>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6)生命周期：用户可以通过生命周期规则来管理对象的生命周期</w:t>
      </w:r>
      <w:r>
        <w:rPr>
          <w:rFonts w:hint="eastAsia" w:ascii="宋体" w:hAnsi="宋体" w:eastAsia="宋体" w:cs="宋体"/>
          <w:bCs/>
          <w:sz w:val="24"/>
          <w:szCs w:val="24"/>
          <w:highlight w:val="none"/>
          <w:lang w:eastAsia="zh-CN"/>
        </w:rPr>
        <w:t>。</w:t>
      </w:r>
    </w:p>
    <w:p w14:paraId="646A20C6">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7</w:t>
      </w:r>
      <w:r>
        <w:rPr>
          <w:rFonts w:hint="eastAsia" w:ascii="宋体" w:hAnsi="宋体" w:eastAsia="宋体" w:cs="宋体"/>
          <w:bCs/>
          <w:sz w:val="24"/>
          <w:szCs w:val="24"/>
          <w:highlight w:val="none"/>
        </w:rPr>
        <w:t>)查看资源使用情况：控制台可以查看静态存储的实时统计监控信息。</w:t>
      </w:r>
    </w:p>
    <w:p w14:paraId="49915D7C">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8</w:t>
      </w:r>
      <w:r>
        <w:rPr>
          <w:rFonts w:hint="eastAsia" w:ascii="宋体" w:hAnsi="宋体" w:eastAsia="宋体" w:cs="宋体"/>
          <w:bCs/>
          <w:sz w:val="24"/>
          <w:szCs w:val="24"/>
          <w:highlight w:val="none"/>
        </w:rPr>
        <w:t>)日志：支持查看操作日志。</w:t>
      </w:r>
    </w:p>
    <w:p w14:paraId="1198023E">
      <w:pPr>
        <w:pStyle w:val="6"/>
        <w:numPr>
          <w:ilvl w:val="2"/>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云</w:t>
      </w:r>
      <w:r>
        <w:rPr>
          <w:rFonts w:hint="eastAsia" w:ascii="宋体" w:hAnsi="宋体" w:eastAsia="宋体" w:cs="宋体"/>
          <w:sz w:val="24"/>
          <w:szCs w:val="24"/>
          <w:highlight w:val="none"/>
        </w:rPr>
        <w:t>网络服务</w:t>
      </w:r>
    </w:p>
    <w:p w14:paraId="1FA606EF">
      <w:pPr>
        <w:rPr>
          <w:rFonts w:hint="eastAsia" w:ascii="宋体" w:hAnsi="宋体" w:eastAsia="宋体" w:cs="宋体"/>
          <w:sz w:val="24"/>
          <w:szCs w:val="24"/>
          <w:highlight w:val="none"/>
        </w:rPr>
      </w:pPr>
    </w:p>
    <w:p w14:paraId="7DC85A66">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虚拟专有网络</w:t>
      </w:r>
    </w:p>
    <w:p w14:paraId="4E153B0D">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1）基本管理：具备创建、删除虚拟专有网络实例能力</w:t>
      </w:r>
    </w:p>
    <w:p w14:paraId="475433F3">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2）自定义网络：可以自定义网段，可以弹性扩展，按需划分子网，并通过灵活配置路由表和路由规则定制化部署业务；同一个私有网络支持多个自定义网段。</w:t>
      </w:r>
    </w:p>
    <w:p w14:paraId="77CD33BA">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3）多种接入方式：可以使用普通公网 IP、弹性公网 IP、NAT 网关、负载均衡等访问 Internet；可以使用云联网、对等连接来访问其它私有网络；可以使用 VPN 连接、专线接入、云联网来访问其他数据中心；可以使用基础网络互通来访问部署在基础网络中的业务。</w:t>
      </w:r>
    </w:p>
    <w:p w14:paraId="4B76A19C">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4）安全管理：基于隧道技术，在物理网络上构造虚拟网络，使用虚拟化技术，实现不同私有网络之间内网完全隔离；提供安全组、网络 ACL 等不同层面的网络访问控制方式。</w:t>
      </w:r>
    </w:p>
    <w:p w14:paraId="6C73BDFD">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5）弹性IP能力：独立的外网弹性IP服务，支持与虚拟化服务器、负载均衡实例、NAT网关、弹性网卡的自绑定。具备动态调配、灵活绑定等能力</w:t>
      </w:r>
    </w:p>
    <w:p w14:paraId="1A468836">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6）支持批量导入、批量导出安全组规则</w:t>
      </w:r>
    </w:p>
    <w:p w14:paraId="7F172380">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弹性公网IP EIP</w:t>
      </w:r>
    </w:p>
    <w:p w14:paraId="5C624663">
      <w:pPr>
        <w:snapToGrid w:val="0"/>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1)创建EIP：通过配置带宽和时长，开通EIP资源</w:t>
      </w:r>
      <w:r>
        <w:rPr>
          <w:rFonts w:hint="eastAsia" w:ascii="宋体" w:hAnsi="宋体" w:eastAsia="宋体" w:cs="宋体"/>
          <w:bCs/>
          <w:sz w:val="24"/>
          <w:szCs w:val="24"/>
          <w:highlight w:val="none"/>
          <w:lang w:eastAsia="zh-CN"/>
        </w:rPr>
        <w:t>。</w:t>
      </w:r>
    </w:p>
    <w:p w14:paraId="64A6523F">
      <w:pPr>
        <w:snapToGrid w:val="0"/>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2)查询EIP：通过EIP名称、ID以及绑定实例信息进行查询</w:t>
      </w:r>
      <w:r>
        <w:rPr>
          <w:rFonts w:hint="eastAsia" w:ascii="宋体" w:hAnsi="宋体" w:eastAsia="宋体" w:cs="宋体"/>
          <w:bCs/>
          <w:sz w:val="24"/>
          <w:szCs w:val="24"/>
          <w:highlight w:val="none"/>
          <w:lang w:eastAsia="zh-CN"/>
        </w:rPr>
        <w:t>。</w:t>
      </w:r>
    </w:p>
    <w:p w14:paraId="1F2F283D">
      <w:pPr>
        <w:snapToGrid w:val="0"/>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3)删除EIP：进行删除操作</w:t>
      </w:r>
      <w:r>
        <w:rPr>
          <w:rFonts w:hint="eastAsia" w:ascii="宋体" w:hAnsi="宋体" w:eastAsia="宋体" w:cs="宋体"/>
          <w:bCs/>
          <w:sz w:val="24"/>
          <w:szCs w:val="24"/>
          <w:highlight w:val="none"/>
          <w:lang w:eastAsia="zh-CN"/>
        </w:rPr>
        <w:t>。</w:t>
      </w:r>
    </w:p>
    <w:p w14:paraId="340E7504">
      <w:pPr>
        <w:snapToGrid w:val="0"/>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4)升配：对EIP实例进行</w:t>
      </w:r>
      <w:r>
        <w:rPr>
          <w:rFonts w:hint="eastAsia" w:ascii="宋体" w:hAnsi="宋体" w:eastAsia="宋体" w:cs="宋体"/>
          <w:bCs/>
          <w:sz w:val="24"/>
          <w:szCs w:val="24"/>
          <w:highlight w:val="none"/>
          <w:lang w:val="en-US" w:eastAsia="zh-CN"/>
        </w:rPr>
        <w:t>带宽升配</w:t>
      </w:r>
      <w:r>
        <w:rPr>
          <w:rFonts w:hint="eastAsia" w:ascii="宋体" w:hAnsi="宋体" w:eastAsia="宋体" w:cs="宋体"/>
          <w:bCs/>
          <w:sz w:val="24"/>
          <w:szCs w:val="24"/>
          <w:highlight w:val="none"/>
        </w:rPr>
        <w:t>操作</w:t>
      </w:r>
      <w:r>
        <w:rPr>
          <w:rFonts w:hint="eastAsia" w:ascii="宋体" w:hAnsi="宋体" w:eastAsia="宋体" w:cs="宋体"/>
          <w:sz w:val="24"/>
          <w:szCs w:val="24"/>
          <w:highlight w:val="none"/>
          <w:lang w:eastAsia="zh-CN"/>
        </w:rPr>
        <w:t>。</w:t>
      </w:r>
    </w:p>
    <w:p w14:paraId="0E0EBBE4">
      <w:pPr>
        <w:snapToGrid w:val="0"/>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5)绑定实例：绑定ECS、裸金属以及负载均衡</w:t>
      </w:r>
      <w:r>
        <w:rPr>
          <w:rFonts w:hint="eastAsia" w:ascii="宋体" w:hAnsi="宋体" w:eastAsia="宋体" w:cs="宋体"/>
          <w:bCs/>
          <w:sz w:val="24"/>
          <w:szCs w:val="24"/>
          <w:highlight w:val="none"/>
          <w:lang w:eastAsia="zh-CN"/>
        </w:rPr>
        <w:t>。</w:t>
      </w:r>
    </w:p>
    <w:p w14:paraId="57AD8E4E">
      <w:pPr>
        <w:snapToGrid w:val="0"/>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6)eip详情页面：可查看eip基本信息、关联资源、监控、日志等信息</w:t>
      </w:r>
      <w:r>
        <w:rPr>
          <w:rFonts w:hint="eastAsia" w:ascii="宋体" w:hAnsi="宋体" w:eastAsia="宋体" w:cs="宋体"/>
          <w:bCs/>
          <w:sz w:val="24"/>
          <w:szCs w:val="24"/>
          <w:highlight w:val="none"/>
          <w:lang w:eastAsia="zh-CN"/>
        </w:rPr>
        <w:t>。</w:t>
      </w:r>
    </w:p>
    <w:p w14:paraId="4B50CB7B">
      <w:pPr>
        <w:snapToGrid w:val="0"/>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7)解绑实例：解绑ECS、裸金属以及负载均衡</w:t>
      </w:r>
      <w:r>
        <w:rPr>
          <w:rFonts w:hint="eastAsia" w:ascii="宋体" w:hAnsi="宋体" w:eastAsia="宋体" w:cs="宋体"/>
          <w:bCs/>
          <w:sz w:val="24"/>
          <w:szCs w:val="24"/>
          <w:highlight w:val="none"/>
          <w:lang w:eastAsia="zh-CN"/>
        </w:rPr>
        <w:t>。</w:t>
      </w:r>
    </w:p>
    <w:p w14:paraId="14341045">
      <w:pPr>
        <w:snapToGrid w:val="0"/>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8)监控：支持查看监控数据</w:t>
      </w:r>
      <w:r>
        <w:rPr>
          <w:rFonts w:hint="eastAsia" w:ascii="宋体" w:hAnsi="宋体" w:eastAsia="宋体" w:cs="宋体"/>
          <w:bCs/>
          <w:sz w:val="24"/>
          <w:szCs w:val="24"/>
          <w:highlight w:val="none"/>
          <w:lang w:eastAsia="zh-CN"/>
        </w:rPr>
        <w:t>。</w:t>
      </w:r>
    </w:p>
    <w:p w14:paraId="1B01B81B">
      <w:pPr>
        <w:snapToGrid w:val="0"/>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9)日志：支持查看操作日志</w:t>
      </w:r>
      <w:r>
        <w:rPr>
          <w:rFonts w:hint="eastAsia" w:ascii="宋体" w:hAnsi="宋体" w:eastAsia="宋体" w:cs="宋体"/>
          <w:bCs/>
          <w:sz w:val="24"/>
          <w:szCs w:val="24"/>
          <w:highlight w:val="none"/>
          <w:lang w:eastAsia="zh-CN"/>
        </w:rPr>
        <w:t>。</w:t>
      </w:r>
    </w:p>
    <w:p w14:paraId="625D0940">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互联网链路带宽服务</w:t>
      </w:r>
    </w:p>
    <w:p w14:paraId="220ED96C">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1)基本管理：支持给EIP分配带宽，支持创建、删除共享带宽，对共享带宽的带宽值进行升配操作，添加、移除EIP。</w:t>
      </w:r>
    </w:p>
    <w:p w14:paraId="75AED1C0">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2)操作日志：支持查看操作日志。</w:t>
      </w:r>
    </w:p>
    <w:p w14:paraId="3DC79B1E">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负载均衡服务</w:t>
      </w:r>
    </w:p>
    <w:p w14:paraId="57A5CBDA">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1)基本管理：具备单</w:t>
      </w:r>
      <w:r>
        <w:rPr>
          <w:rFonts w:hint="eastAsia" w:ascii="宋体" w:hAnsi="宋体" w:eastAsia="宋体" w:cs="宋体"/>
          <w:bCs/>
          <w:sz w:val="24"/>
          <w:szCs w:val="24"/>
          <w:highlight w:val="none"/>
          <w:lang w:val="en-US" w:eastAsia="zh-CN"/>
        </w:rPr>
        <w:t>/</w:t>
      </w:r>
      <w:r>
        <w:rPr>
          <w:rFonts w:hint="eastAsia" w:ascii="宋体" w:hAnsi="宋体" w:eastAsia="宋体" w:cs="宋体"/>
          <w:bCs/>
          <w:sz w:val="24"/>
          <w:szCs w:val="24"/>
          <w:highlight w:val="none"/>
        </w:rPr>
        <w:t>批量创建、删除负载均衡实例能力；具备绑定</w:t>
      </w: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rPr>
        <w:t>解绑负载均衡后端能力</w:t>
      </w:r>
    </w:p>
    <w:p w14:paraId="6004CF8A">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2)▲高可用能力：采用全冗余设计，无单点，支持同城容灾。根据应用负载进行弹性扩容，在流量波动情况下不中断对外服务。并提供功能截图或官网截图；</w:t>
      </w:r>
    </w:p>
    <w:p w14:paraId="2B231D41">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3)▲多协议支持：提供四层（TCP 协议/UDP 协议）和七层（HTTP 协议/HTTPS 协议）负载均衡，并提供功能截图或官网截图；</w:t>
      </w:r>
    </w:p>
    <w:p w14:paraId="3C13B116">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4)单实例并发数上限≥100万条。</w:t>
      </w:r>
    </w:p>
    <w:p w14:paraId="0A74F3F2">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5)每秒查询数上限≥5万。</w:t>
      </w:r>
    </w:p>
    <w:p w14:paraId="3AD5947A">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6)可创建实例数量≥1000。</w:t>
      </w:r>
    </w:p>
    <w:p w14:paraId="22803AED">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NAT网关</w:t>
      </w:r>
    </w:p>
    <w:p w14:paraId="1B4D0450">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1)网络地址转换：可以配置网络地址转换规则，网络地址转换（NAT）可以根据访问流方向进行IP转换和IP端口转换；</w:t>
      </w:r>
    </w:p>
    <w:p w14:paraId="3AA03D93">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2)虚拟专有网内支持NAT网关</w:t>
      </w:r>
    </w:p>
    <w:p w14:paraId="72FF2B0F">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DNS服务</w:t>
      </w:r>
    </w:p>
    <w:p w14:paraId="07AED60D">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1)域名管理：支持创建内网域名、删除域名、查看域名详情，支持关联VPC，更改域名所关联的VPC。</w:t>
      </w:r>
    </w:p>
    <w:p w14:paraId="63C06BBE">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2)记录集管理：支持通过填写主机记录、TTL、记录集类型和值创建记录集，编辑、删除、查询记录集信息</w:t>
      </w:r>
    </w:p>
    <w:p w14:paraId="01D07C11">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3)操作日志：支持查看操作日志</w:t>
      </w:r>
    </w:p>
    <w:p w14:paraId="44AA13D8">
      <w:pPr>
        <w:pStyle w:val="6"/>
        <w:numPr>
          <w:ilvl w:val="2"/>
          <w:numId w:val="1"/>
        </w:numPr>
        <w:ind w:left="567"/>
        <w:rPr>
          <w:rFonts w:hint="eastAsia" w:ascii="宋体" w:hAnsi="宋体" w:eastAsia="宋体" w:cs="宋体"/>
          <w:bCs w:val="0"/>
          <w:color w:val="auto"/>
          <w:sz w:val="24"/>
          <w:szCs w:val="24"/>
          <w:highlight w:val="none"/>
          <w:lang w:val="en-US" w:eastAsia="zh-CN"/>
        </w:rPr>
      </w:pPr>
      <w:bookmarkStart w:id="3" w:name="bookmark17"/>
      <w:bookmarkEnd w:id="3"/>
      <w:r>
        <w:rPr>
          <w:rFonts w:hint="eastAsia" w:ascii="宋体" w:hAnsi="宋体" w:eastAsia="宋体" w:cs="宋体"/>
          <w:bCs w:val="0"/>
          <w:color w:val="auto"/>
          <w:sz w:val="24"/>
          <w:szCs w:val="24"/>
          <w:highlight w:val="none"/>
          <w:lang w:val="en-US" w:eastAsia="zh-CN"/>
        </w:rPr>
        <w:t>备份支持服务</w:t>
      </w:r>
    </w:p>
    <w:p w14:paraId="05B94E7E">
      <w:pPr>
        <w:keepNext w:val="0"/>
        <w:keepLines w:val="0"/>
        <w:widowControl/>
        <w:suppressLineNumbers w:val="0"/>
        <w:spacing w:before="183" w:line="359" w:lineRule="auto"/>
        <w:ind w:right="61" w:firstLine="482"/>
        <w:jc w:val="left"/>
        <w:textAlignment w:val="auto"/>
        <w:rPr>
          <w:rFonts w:hint="eastAsia" w:ascii="宋体" w:hAnsi="宋体" w:eastAsia="宋体" w:cs="宋体"/>
          <w:i w:val="0"/>
          <w:iCs w:val="0"/>
          <w:color w:val="auto"/>
          <w:spacing w:val="-1"/>
          <w:kern w:val="2"/>
          <w:sz w:val="24"/>
          <w:szCs w:val="24"/>
          <w:highlight w:val="none"/>
          <w:u w:val="none"/>
          <w:lang w:val="en-US" w:eastAsia="zh-CN" w:bidi="ar"/>
        </w:rPr>
      </w:pPr>
      <w:r>
        <w:rPr>
          <w:rFonts w:hint="eastAsia" w:ascii="宋体" w:hAnsi="宋体" w:eastAsia="宋体" w:cs="宋体"/>
          <w:i w:val="0"/>
          <w:iCs w:val="0"/>
          <w:color w:val="auto"/>
          <w:spacing w:val="-1"/>
          <w:kern w:val="2"/>
          <w:sz w:val="24"/>
          <w:szCs w:val="24"/>
          <w:highlight w:val="none"/>
          <w:u w:val="none"/>
          <w:lang w:val="en-US" w:eastAsia="zh-CN" w:bidi="ar"/>
        </w:rPr>
        <w:t>为防范云平台数据丢失风险，保障业务系统在云平台上安全稳定运行，投标人在本项目所投云平台之外，须具备同城云池资源作为业务系统备份底座，该云池需具备平滑扩展能力，以支持采购人后续开展业务灾备体系建设，确保在面临突发事件时，核心业务能够快速接管与恢复。</w:t>
      </w:r>
    </w:p>
    <w:p w14:paraId="72C7FAD2">
      <w:pPr>
        <w:keepNext w:val="0"/>
        <w:keepLines w:val="0"/>
        <w:widowControl/>
        <w:suppressLineNumbers w:val="0"/>
        <w:spacing w:before="183" w:line="359" w:lineRule="auto"/>
        <w:ind w:right="61" w:firstLine="482"/>
        <w:jc w:val="left"/>
        <w:textAlignment w:val="auto"/>
        <w:rPr>
          <w:rFonts w:hint="eastAsia" w:ascii="宋体" w:hAnsi="宋体" w:eastAsia="宋体" w:cs="宋体"/>
          <w:i w:val="0"/>
          <w:iCs w:val="0"/>
          <w:color w:val="auto"/>
          <w:spacing w:val="-1"/>
          <w:kern w:val="2"/>
          <w:sz w:val="24"/>
          <w:szCs w:val="24"/>
          <w:highlight w:val="none"/>
          <w:u w:val="none"/>
          <w:lang w:val="en-US" w:eastAsia="zh-CN" w:bidi="ar"/>
        </w:rPr>
      </w:pPr>
      <w:r>
        <w:rPr>
          <w:rFonts w:hint="eastAsia" w:ascii="宋体" w:hAnsi="宋体" w:eastAsia="宋体" w:cs="宋体"/>
          <w:i w:val="0"/>
          <w:iCs w:val="0"/>
          <w:color w:val="auto"/>
          <w:spacing w:val="-1"/>
          <w:kern w:val="2"/>
          <w:sz w:val="24"/>
          <w:szCs w:val="24"/>
          <w:highlight w:val="none"/>
          <w:u w:val="none"/>
          <w:lang w:val="en-US" w:eastAsia="zh-CN" w:bidi="ar"/>
        </w:rPr>
        <w:t>同城备份云池须符合国家网络安全等级保护（等保2.0三级）要求，与生产中心机房物理距离须控制在10-100公里间。</w:t>
      </w:r>
    </w:p>
    <w:p w14:paraId="4D9D9D53">
      <w:pPr>
        <w:keepNext w:val="0"/>
        <w:keepLines w:val="0"/>
        <w:widowControl/>
        <w:spacing w:before="183" w:line="359" w:lineRule="auto"/>
        <w:ind w:right="61" w:firstLine="482"/>
        <w:jc w:val="left"/>
        <w:textAlignment w:val="auto"/>
        <w:rPr>
          <w:rFonts w:hint="eastAsia" w:ascii="宋体" w:hAnsi="宋体" w:eastAsia="宋体" w:cs="宋体"/>
          <w:sz w:val="24"/>
          <w:szCs w:val="24"/>
          <w:highlight w:val="none"/>
        </w:rPr>
      </w:pPr>
      <w:r>
        <w:rPr>
          <w:rFonts w:hint="eastAsia" w:ascii="宋体" w:hAnsi="宋体" w:eastAsia="宋体" w:cs="宋体"/>
          <w:i w:val="0"/>
          <w:iCs w:val="0"/>
          <w:color w:val="auto"/>
          <w:spacing w:val="-1"/>
          <w:kern w:val="2"/>
          <w:sz w:val="24"/>
          <w:szCs w:val="24"/>
          <w:highlight w:val="none"/>
          <w:u w:val="none"/>
          <w:lang w:val="en-US" w:eastAsia="zh-CN" w:bidi="ar"/>
        </w:rPr>
        <w:t>投标人须在投标文件中明确同城备份云池的具体位置，同时提供所投云平台与备份云池之间详细的互联互通及数据同步方案。</w:t>
      </w:r>
    </w:p>
    <w:p w14:paraId="2F5075D5">
      <w:pPr>
        <w:pStyle w:val="6"/>
        <w:numPr>
          <w:ilvl w:val="2"/>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云平台管理能力</w:t>
      </w:r>
    </w:p>
    <w:p w14:paraId="22F601C0">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1)▲平台管理：提供独享的虚拟化资源管理平台，提供虚拟化资源的运营端和租户端服务，包含平台用户管理、消息中心、资源管理等。并提供功能截图或承诺函；</w:t>
      </w:r>
    </w:p>
    <w:p w14:paraId="4F87A046">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2)基础设施：提供物理服务器的生命周期自动化管理，如数据导入、裸机资源发现、服务器OS部署、远程开关机&amp;重启、服务器设备的监控和告警等。</w:t>
      </w:r>
    </w:p>
    <w:p w14:paraId="7507BCC5">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3)运维管理：提供虚拟化资源运维平台，包含CMDB、监控系统、日志平台、作业工具、巡检平台、资源概览、ntp服务等。</w:t>
      </w:r>
    </w:p>
    <w:p w14:paraId="1263BD40">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4)openAPI：提供整体虚拟化资源管理平台与虚拟化资源的API接口能力，支持JAVA、python等常见开发语言。可后期迭代开发添加自定义功能；</w:t>
      </w:r>
    </w:p>
    <w:p w14:paraId="5D45612B">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5)纳管机器规模上限≥500台；</w:t>
      </w:r>
    </w:p>
    <w:p w14:paraId="44273BD5">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6)支持跨租户的资源协同能力，同一个用户可以授权对不同租户下的资源进行全生命周期的管理；</w:t>
      </w:r>
    </w:p>
    <w:p w14:paraId="5E0DB13C">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7)当某个用户账号停用/注销时，支持该用户名下资源不删除，可移交给同租户下其他用户</w:t>
      </w:r>
    </w:p>
    <w:p w14:paraId="336B14F4">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8)支持对用户设置管理范围及权限，可以指定某个用户只能看到某个特定的资源区域；</w:t>
      </w:r>
    </w:p>
    <w:p w14:paraId="39091741">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9)提供多个网络的弹性公网IP能力（如互联网EIP，办公网EIP等），虚拟化服务器或负载均衡等资源可以根据需要，选择挂接不同网络的弹性公网IP实现与对应网络的互通；</w:t>
      </w:r>
    </w:p>
    <w:p w14:paraId="44D7EC81">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10)▲日志管理：支持全量虚拟化产品运行日志采集，支持日志检索、日志筛选、日志导出等功能，并提供功能截图或官网截图；</w:t>
      </w:r>
    </w:p>
    <w:p w14:paraId="7B13214E">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11)▲统一面板：可通过统一面板展示资源、容量、告警、云资源负载、设备负载、配额等统计分析，并提供报表导出能力。并提供功能截图或官网截图；</w:t>
      </w:r>
    </w:p>
    <w:p w14:paraId="404CE525">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12)监控管理：包括全量云平台和云产品的监控能力，包括但不限于基础资源监控（CPU、内存、磁盘容量、网络流量等）、性能监控（慢IO、慢查询、流量堵塞等），监控粒度秒级，存储时长≥1天。</w:t>
      </w:r>
    </w:p>
    <w:p w14:paraId="4BDD053C">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13)监控查询：提供监控面板，支持查询产品的运行状态信息，包括当前状态和影响对象数</w:t>
      </w:r>
    </w:p>
    <w:p w14:paraId="1882B88E">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14)▲告警管理：支持告警策略的新增、删除、修改、查询和告警模板。支持短信、邮件、站内信等多方式订阅；通过自定义告警阈值配置，异常/失败等告警指标自由组合。提供历史调用趋势，供服务阈值配置。并提供功能截图或官网截图；</w:t>
      </w:r>
    </w:p>
    <w:p w14:paraId="1E98F490">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15)▲平台兼容性：云平台应同时支持多芯片的服务器硬件，</w:t>
      </w:r>
      <w:r>
        <w:rPr>
          <w:rFonts w:hint="eastAsia" w:ascii="宋体" w:hAnsi="宋体" w:cs="宋体"/>
          <w:bCs/>
          <w:sz w:val="24"/>
          <w:szCs w:val="24"/>
          <w:highlight w:val="none"/>
          <w:lang w:val="en-US" w:eastAsia="zh-CN"/>
        </w:rPr>
        <w:t>至少</w:t>
      </w:r>
      <w:r>
        <w:rPr>
          <w:rFonts w:hint="eastAsia" w:ascii="宋体" w:hAnsi="宋体" w:eastAsia="宋体" w:cs="宋体"/>
          <w:bCs/>
          <w:sz w:val="24"/>
          <w:szCs w:val="24"/>
          <w:highlight w:val="none"/>
        </w:rPr>
        <w:t>包括海光、飞腾、鲲鹏CPU芯片，并提供互认证证书</w:t>
      </w:r>
      <w:r>
        <w:rPr>
          <w:rFonts w:hint="eastAsia" w:ascii="宋体" w:hAnsi="宋体" w:cs="宋体"/>
          <w:bCs/>
          <w:sz w:val="24"/>
          <w:szCs w:val="24"/>
          <w:highlight w:val="none"/>
          <w:lang w:val="en-US" w:eastAsia="zh-CN"/>
        </w:rPr>
        <w:t>复印件</w:t>
      </w:r>
      <w:r>
        <w:rPr>
          <w:rFonts w:hint="eastAsia" w:ascii="宋体" w:hAnsi="宋体" w:eastAsia="宋体" w:cs="宋体"/>
          <w:bCs/>
          <w:sz w:val="24"/>
          <w:szCs w:val="24"/>
          <w:highlight w:val="none"/>
        </w:rPr>
        <w:t>，加盖</w:t>
      </w:r>
      <w:r>
        <w:rPr>
          <w:rFonts w:hint="eastAsia" w:ascii="宋体" w:hAnsi="宋体" w:cs="宋体"/>
          <w:bCs/>
          <w:sz w:val="24"/>
          <w:szCs w:val="24"/>
          <w:highlight w:val="none"/>
          <w:lang w:val="en-US" w:eastAsia="zh-CN"/>
        </w:rPr>
        <w:t>投标人</w:t>
      </w:r>
      <w:r>
        <w:rPr>
          <w:rFonts w:hint="eastAsia" w:ascii="宋体" w:hAnsi="宋体" w:eastAsia="宋体" w:cs="宋体"/>
          <w:bCs/>
          <w:sz w:val="24"/>
          <w:szCs w:val="24"/>
          <w:highlight w:val="none"/>
        </w:rPr>
        <w:t>公章。</w:t>
      </w:r>
    </w:p>
    <w:p w14:paraId="4D57AFBB">
      <w:pPr>
        <w:pStyle w:val="6"/>
        <w:numPr>
          <w:ilvl w:val="2"/>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安全服务</w:t>
      </w:r>
    </w:p>
    <w:p w14:paraId="5FA3F075">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SSL证书</w:t>
      </w:r>
    </w:p>
    <w:p w14:paraId="56F76D6B">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按照采购人的需求，提供SSL证书服务。</w:t>
      </w:r>
    </w:p>
    <w:p w14:paraId="74F9B742">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云端抗DDOS服务</w:t>
      </w:r>
    </w:p>
    <w:p w14:paraId="0EA754D5">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按照采购人的具体需求，投标人根据流量提供云端抗DDOS服务，避免业务遭受拒绝服务攻击。在提供服务的过程中需做好与采购人和对应项目的应用开发厂商的协调沟通工作。</w:t>
      </w:r>
    </w:p>
    <w:p w14:paraId="5B3C8BB9">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主机杀毒服务</w:t>
      </w:r>
    </w:p>
    <w:p w14:paraId="7E1834B0">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18614F30">
      <w:p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提供恶意代码防护能力，实现病毒、木马、蠕虫、勒索病毒等恶意文件识别、告警与处置，具体功能要求如下：</w:t>
      </w:r>
    </w:p>
    <w:p w14:paraId="6CF0ED2C">
      <w:p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1）恶意代码查杀：支持对对病毒、木马、蠕虫等恶意文件进行识别、隔离、清除；支持病毒特征库云端自动更新。</w:t>
      </w:r>
    </w:p>
    <w:p w14:paraId="2C6E28C5">
      <w:p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2）勒索病毒基础防护：支持诱饵文件监控，对诱饵文件的加密、篡改行为进行识别拦截，阻断勒索病毒加密行为。</w:t>
      </w:r>
    </w:p>
    <w:p w14:paraId="53F14FD7">
      <w:p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3）恶意文件处置：支持对发现的恶意文件隔离、删除，支持告警记录留存，可统计恶意文件查杀数量。</w:t>
      </w:r>
    </w:p>
    <w:p w14:paraId="10B67E94">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sz w:val="24"/>
          <w:szCs w:val="24"/>
          <w:highlight w:val="none"/>
        </w:rPr>
        <w:t>4）集中管理：支持管理中心统一策略下发、杀毒日志集中汇总、病毒告警统一展示。</w:t>
      </w:r>
    </w:p>
    <w:p w14:paraId="629442CA">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主机防护</w:t>
      </w:r>
    </w:p>
    <w:p w14:paraId="608B2FE6">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032934E8">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1）勒索病毒专项防护：支持监控诱饵文件，诱饵文件可被实时监控，当勒索病毒对该文件进行修改或加密操作时进行拦截。</w:t>
      </w:r>
    </w:p>
    <w:p w14:paraId="37BCDC2B">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VPT漏洞排序：采用SSVC决策树的模优先级排序模型，结合漏洞自身属性、外部漏洞情报以及资产暴露面等多个维度，在现有CVSS漏洞评分的基础上进一步消减高危漏洞数量，对发现的漏洞进行优先级排序，包含响应、关注、观察3种结果，辅助用户快速聚焦应该优先关注的漏洞威胁。</w:t>
      </w:r>
    </w:p>
    <w:p w14:paraId="21BB05CD">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3）多维度威胁展示：提供勒索病毒整体防护入口，直观展示最近七天勒索病毒防护效果，包括已处置的恶意文件数量、已拦截可疑行为次数、已阻止的未知进程操作次数、已阻止的暴力破解攻击次数。</w:t>
      </w:r>
    </w:p>
    <w:p w14:paraId="75FB8C05">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4）威胁处置：具备强力专杀云端下发通道，支持在管理端批量下发强力专杀工具到内网各终端，快速响应终端威胁。</w:t>
      </w:r>
    </w:p>
    <w:p w14:paraId="10E8795C">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5）入侵攻击行为检测：支持显示攻击事件命中的ATT&amp;CK相关技术，并对此技术做简要说明。便于用户了解攻击者的操作行为和目的，评估整体影响面。</w:t>
      </w:r>
    </w:p>
    <w:p w14:paraId="427CAEE5">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网页防篡改服务</w:t>
      </w:r>
    </w:p>
    <w:p w14:paraId="789A92E0">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72D66E92">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1）自我保护机制：支持提供自我保护机制，卸载网页防篡改客户端必须有第三方认证码。</w:t>
      </w:r>
    </w:p>
    <w:p w14:paraId="30F13ACC">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2）防篡改模式：支持防护模式和监控模式两种模式的防篡改模式。</w:t>
      </w:r>
    </w:p>
    <w:p w14:paraId="1403BE5E">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3）网页防篡改功能：支持采用基于文件过滤驱动保护技术、事件触发机制相结合方式的网页防篡改功能。</w:t>
      </w:r>
    </w:p>
    <w:p w14:paraId="0380DC1A">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4）恢复机制：支持不依赖访问事件篡改后自动恢复功能，可直接由篡改动作触发恢复机制。</w:t>
      </w:r>
    </w:p>
    <w:p w14:paraId="062E8356">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主机漏洞扫描</w:t>
      </w:r>
    </w:p>
    <w:p w14:paraId="3908C875">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47375BE9">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漏洞管理：支持全局风险统计功能，通过扇形图、条状图、标签、表格等形式直观展示资产风险分布、漏洞风险等级分布、紧急漏洞、风险资产清单等信息，并可查看详情；支持快速进行漏洞验证，验证漏洞有效性。</w:t>
      </w:r>
    </w:p>
    <w:p w14:paraId="4DDA30E9">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2）全面扫描：支持全面扫描、资产发现、系统漏洞扫描、弱口令扫描、WEB漏洞扫描、基线配置核查六种任务类型，其中全面扫描支持系统漏洞扫描、WEB漏洞扫描、弱口令扫描同时执行。</w:t>
      </w:r>
    </w:p>
    <w:p w14:paraId="36AC44D2">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3）合规自检平台：提供检测结果综述分析，按照等保2.0的检测项要求，统计客户业务系统存在的不符合、部分符合、符合、待确认、不适用检测项，直观了解自身业务系统合规情况。</w:t>
      </w:r>
    </w:p>
    <w:p w14:paraId="09B8056B">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4）WEB漏洞扫描：支持行业通用标准OWASP，支持通用WEB漏洞检测，如：SQL注入、XSS、目录遍历、本地/远程文件包含漏洞、安全配置错误、命令执行、敏感信息泄露等。</w:t>
      </w:r>
    </w:p>
    <w:p w14:paraId="3AB6141E">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5）系统漏洞扫描：支持检测的漏洞数大于300000条，兼容CVE、CNCVE、CNNVD、CNVD、Bugtraq等主流标准；支持国产操作系统的漏洞扫描，包括麒麟（Kylin）、华为欧拉（euler）、统信（UnionTech OS）、深度、红旗、中兴新支点（NewStart CGSL）等。</w:t>
      </w:r>
    </w:p>
    <w:p w14:paraId="3B846B75">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主机日志审计服务</w:t>
      </w:r>
    </w:p>
    <w:p w14:paraId="29C3A1C9">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0D880AD7">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1）日志采集：支持通过正则、分隔符、json、xml的可视方式进行自定义规则解析，支持对解析结果字段的新增、合并、映射，以满足除内置解析规则之外未被覆盖的日志类型的解析。</w:t>
      </w:r>
    </w:p>
    <w:p w14:paraId="4052FBAF">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2）日志存储转发：支持对单个/多个日志源批量转发，支持定时转发，可通过syslog和kafka方式转发到第三方平台，同时支持转发已解析日志和原始日志的两种日志。</w:t>
      </w:r>
    </w:p>
    <w:p w14:paraId="35DC1F65">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3）日志传输：支持TLS加密方式进行日志传输，支持日志传输状态、最近同步时间进行监控，可统计每个日志源的今日传输量和传输总量。</w:t>
      </w:r>
    </w:p>
    <w:p w14:paraId="490FEE9A">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4）资产管理：支持资产全生命周期管理，资产入库审核、资产离线风险识别、资产退库、资产数据更新，责任人管理。</w:t>
      </w:r>
    </w:p>
    <w:p w14:paraId="684D9BED">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5）日志分析：支持内置规则作为模板新建规则，支持调整规则等级，支持通过事件的任意字段制定规则创建策略，支持审计策略命中后可以定义告警并通过相应方式转发，如：邮件、短信等。</w:t>
      </w:r>
    </w:p>
    <w:p w14:paraId="438A2380">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数据库审计服务</w:t>
      </w:r>
    </w:p>
    <w:p w14:paraId="46154B32">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2463D545">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业务语句翻译：支持按照业务语句模板进行操作语句翻译，可自定义业务语句模板。自定义语句模板需要包括请求时间、数据库账号、客户端工具、服务端IP、操作对象、操作命令、客户端IP、请求状态、执行时长、影响行数、规则名称、风险等级、二级操作对象、应用端账号、应用端IP。</w:t>
      </w:r>
    </w:p>
    <w:p w14:paraId="4988EE48">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告警处理：支持告警日志审阅，可设置同时审阅规则对同类事件进行同时审阅，同时审阅规则条件包含服务端IP、数据库实例名、数据库账号、客户端IP、匹配规则、操作对象名、操作命令、客户端APP和SQL模板等，支持选择多条告警日志进行批量审阅。</w:t>
      </w:r>
    </w:p>
    <w:p w14:paraId="1C23ED48">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3）日志外发：支持将日志信息（语句信息、会话信息、风险信息等全量审计日志）通过Syslog、Kafka等方式发送到第三方日志管理平台统一管理。</w:t>
      </w:r>
    </w:p>
    <w:p w14:paraId="1EEB51CF">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4）黑白名单：支持定义黑白名单策略，匹配条件至少包括数据库账号、策略周期、来源IP、客户端工具、SQL命令、操作对象名、SQL语句等条件。白名单命中后识别为信任行为，黑名单命中后可识别为非法行为。</w:t>
      </w:r>
    </w:p>
    <w:p w14:paraId="513AD474">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5）自定义规则：支持操作语句系列的组合审计规则，如可根据某一客体的操作行为序列，连续操作了设定的语句序列时进行规则审计告警。</w:t>
      </w:r>
    </w:p>
    <w:p w14:paraId="61BE3816">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云下一代防火墙</w:t>
      </w:r>
    </w:p>
    <w:p w14:paraId="35DA3511">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52F32A6E">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1）智能运营：支持智能运营能力，支持流量日志分析、事件聚合、专家研判，安全事件微信端就可接受预警和处置。</w:t>
      </w:r>
    </w:p>
    <w:p w14:paraId="0BCDE05C">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2）威胁情报网关：支持云端威胁情报功能，支持云端未知威胁主动探测技术，实现5min内未知威胁情报全网设备下发。</w:t>
      </w:r>
    </w:p>
    <w:p w14:paraId="16C47F85">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3）策略有效性分析：支持安全策略有效性分析功能，分析内容至少包括策略冗余分析、策略匹配分析、风险端口风险等内容，提供安全策略优化建议。</w:t>
      </w:r>
    </w:p>
    <w:p w14:paraId="42ED8E4F">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4）访问控制策略：支持基于网络区域、网络对象、MAC地址、服务、应用、域名等维度进行访问控制策略设置。</w:t>
      </w:r>
    </w:p>
    <w:p w14:paraId="6C1A10E0">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5）防病毒：支持对压缩病毒文件进行检测和拦截，压缩层数支持15层及以上。</w:t>
      </w:r>
    </w:p>
    <w:p w14:paraId="1F78EC89">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集中管控</w:t>
      </w:r>
    </w:p>
    <w:p w14:paraId="0E2EB95E">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02C5F49E">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集中运维：支持分布式部署多套安全资源池的集中运维，在主节点上可集中查看分支节点的资源利用率（包括CPU、内存、磁盘利用率），并对授权池服务到期，网络故障以及主机资源不足的节点进行集中告警，支持在主节点上直接管理分支节点。</w:t>
      </w:r>
    </w:p>
    <w:p w14:paraId="1217A2BF">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安全运营中心：支持基于云平台整体视角的安全运营中心，能够统一监测和收集各租户的安全事件，从租户维度实现安全风险统一管理，并且能够通过大屏进行投放，展示安全资源池的运营情况，及租户的安全建设情况。</w:t>
      </w:r>
    </w:p>
    <w:p w14:paraId="687A160A">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系统管理：支持租户安全资源的服务链配置，通过灵活选择源、安全服务节点和目的，完成安全路径的自定义，安全服务节点的先后顺序可灵活调整，配置完成后的安全路径可以在安全架构页面中以图形化的方式呈现。</w:t>
      </w:r>
    </w:p>
    <w:p w14:paraId="4F7A6128">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4）组件分配 支持安全组件分配功能，管理员可直接为各个租户分配安全资源，同时完成关键安全资源的策略初始化。支持安全组件分配功能，管理员可直接为各个租户分配安全资源，同时完成关键安全资源的策略初始化。</w:t>
      </w:r>
    </w:p>
    <w:p w14:paraId="4F2AD6F2">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强身份认证服务</w:t>
      </w:r>
    </w:p>
    <w:p w14:paraId="5DD2ADCC">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53F54521">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1）登录认证：支持基于数字证书登录方式身份认证；</w:t>
      </w:r>
    </w:p>
    <w:p w14:paraId="7EDC9973">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2）国密算法：支持SM2、SM3、SM4等国密算法；</w:t>
      </w:r>
    </w:p>
    <w:p w14:paraId="6ED5264F">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3）单点登录：支持应用系统间的单点登录，支持多种单点登录集成协议，同时也支持认证协议的扩展，支持Oauth 2.0、CAS、OIDC、SAML、JWT等协议；</w:t>
      </w:r>
    </w:p>
    <w:p w14:paraId="518942BF">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4）多要素身份认证：支持多要素身份认证，包括两项实名、两项实人、四项实名、四项实人、手机号三要素身份认证。</w:t>
      </w:r>
    </w:p>
    <w:p w14:paraId="371AEF16">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签名验证服务</w:t>
      </w:r>
    </w:p>
    <w:p w14:paraId="1DFD46D1">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094C2AAF">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1）SM2算法签名验签：支持符合国密规范《GM/T 0003-2012》的SM2算法，支持数据签名验签功能，对关键操作数据进行签名，保证数据的完整性和不可抵赖性；</w:t>
      </w:r>
    </w:p>
    <w:p w14:paraId="77ABAE68">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2）支持根据需要使用托管存储的SM2私钥或外部SM2私钥进行数字签名和验签；</w:t>
      </w:r>
    </w:p>
    <w:p w14:paraId="345CA626">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3）P1</w:t>
      </w: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rPr>
        <w:t>P7签名：支持符合PKI标准的PKCS1、PKCS7签名，可对原文或摘要进行签名计算，摘要算法支持符合国密规范《GM/T 0004-2012》的SM3杂凑算法；PKCS7签名支持attached、detached等多种结构体；</w:t>
      </w:r>
    </w:p>
    <w:p w14:paraId="01BB3FFE">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4）HMAC-SM3：支持国密SM3杂凑算法采用HMAC方式进行数据存储完整性保护；</w:t>
      </w:r>
    </w:p>
    <w:p w14:paraId="082C105A">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5）数字信封：支持基于SM2密码算法的数字信封，支持符合标准规范的PKCS7数字信封构建、数字信封解析，支持由内部密钥保护到外部密钥保护的数字信封转换；</w:t>
      </w:r>
    </w:p>
    <w:p w14:paraId="286132E9">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时间戳服务</w:t>
      </w:r>
    </w:p>
    <w:p w14:paraId="6C83CE0B">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5162BFDD">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安全机制：采用精确的时间源和高强度高标准的安全机制，能够为用户提供精确且不可抵赖的时间戳服务。同时能够通过HTTP协议申请严格遵循国际标准（RFC3161）和RFC2630两种时间戳协议的时间戳，采用标准的时间戳请求、时间戳应答以及时间戳编码格式；</w:t>
      </w:r>
    </w:p>
    <w:p w14:paraId="44A24238">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2）RFC3161标准：支持对数据制作时间戳，时间戳结构符合RFC3161标准；支持验证符合RFC3161标准的时间戳结果；</w:t>
      </w:r>
    </w:p>
    <w:p w14:paraId="1B7C27D2">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3）RFC2630标准：支持对数据制作时间戳，时间戳结构符合RFC2630标准；支持验证符合RFC2630标准的时间戳结果；</w:t>
      </w:r>
    </w:p>
    <w:p w14:paraId="6D52A0A6">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4）时间戳证书生命周期管理：支持通过可视化界面对时间戳签名证书的生命周期进行管理，包括但不限于证书的申请、导入、更新、下载、删除等；</w:t>
      </w:r>
    </w:p>
    <w:p w14:paraId="3FB37ACB">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5）时间戳签名：支持对原文或摘要数据进行时间戳签名，原文数据可指定字符编码，时间戳签名结构体符合国密规范要求；</w:t>
      </w:r>
    </w:p>
    <w:p w14:paraId="7672931B">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6）外部时间源：支持对接可信的外部时间源；</w:t>
      </w:r>
    </w:p>
    <w:p w14:paraId="191AB7D8">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加解密服务</w:t>
      </w:r>
    </w:p>
    <w:p w14:paraId="6052FC77">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406DD8EF">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1）对称与非对称加解密：支持对称与非对称算法的加解密。对称密钥支持符合国密规范《GM/T 0002-2012》的SM4算法加解密；</w:t>
      </w:r>
      <w:r>
        <w:rPr>
          <w:rFonts w:hint="eastAsia" w:ascii="宋体" w:hAnsi="宋体" w:eastAsia="宋体" w:cs="宋体"/>
          <w:bCs/>
          <w:sz w:val="24"/>
          <w:szCs w:val="24"/>
          <w:highlight w:val="none"/>
          <w:lang w:val="en-US" w:eastAsia="zh-CN"/>
        </w:rPr>
        <w:t>非对称密钥支持符合国家标准《GB/T 32918-2016》的SM2算法加解密；</w:t>
      </w:r>
    </w:p>
    <w:p w14:paraId="48BB3376">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2）非对称密钥：支持符合国密规范《GM/T 0003.4-2012》的SM2算法加解密；</w:t>
      </w:r>
    </w:p>
    <w:p w14:paraId="7FC86241">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3）支持基于SM4算法的MAC产生及验证；</w:t>
      </w:r>
    </w:p>
    <w:p w14:paraId="6E98C3B4">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4）支持ECB、CBC等多种加密模式，支持自定义IV偏移量，支持PKCS5Padding、PKCS7Padding方式自动填充补位；</w:t>
      </w:r>
    </w:p>
    <w:p w14:paraId="6923001D">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5）保留格式加密解密：支持FPE(保留格式)的加密解密，包括但不限于姓名、手机号、身份证号以及中英文数字组合类型的文本格式；</w:t>
      </w:r>
    </w:p>
    <w:p w14:paraId="40F111B3">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6）大文件加解密：支持1G以上大文件的加解密；</w:t>
      </w:r>
    </w:p>
    <w:p w14:paraId="543CCCB3">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远程运维接入服务（国密）</w:t>
      </w:r>
    </w:p>
    <w:p w14:paraId="2C1EAE1D">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1B33C14F">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1）支持跨平台运维接入，兼容国产操作系统、负载均衡、存储设备等各类信息化资产。</w:t>
      </w:r>
    </w:p>
    <w:p w14:paraId="39FD1EA1">
      <w:p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bCs/>
          <w:sz w:val="24"/>
          <w:szCs w:val="24"/>
          <w:highlight w:val="none"/>
        </w:rPr>
        <w:t>2）支持外网远程安全接入、内网跨区域运维访问，支持专线、VPN、加密隧道等多种接入方式，全程加密传输，防止运维数据、账号密码、操作报文被窃取、篡改。</w:t>
      </w:r>
    </w:p>
    <w:p w14:paraId="1A8E337C">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数据库透明加密服务</w:t>
      </w:r>
    </w:p>
    <w:p w14:paraId="71188128">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42F5A054">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1）加密方式：支持多种灵活加密方式，满足不同场景下的数据加密需求，包括但不限于套件模式、代理模式、以及API调用模式；</w:t>
      </w:r>
    </w:p>
    <w:p w14:paraId="0AA8AF66">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2）加密算法：支持SM3、SM4(包括 FPE 保留格式加解密)国密算法，并兼容主流国际算法，如AES、DES、RSA等；</w:t>
      </w:r>
    </w:p>
    <w:p w14:paraId="5B32A4D1">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3）数据类型：支持多样化的数据类型，包括但不限于CHAR、VARCHAR、LONGTEXT、TEXT、LONGTEXT、TINYTEXT；</w:t>
      </w:r>
    </w:p>
    <w:p w14:paraId="2CD19800">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4）数据库支持情况：支持主流数据库，包括但不限于达梦、金仓、南大通用GBase、Gauss、OpenGauss等数据库；</w:t>
      </w:r>
    </w:p>
    <w:p w14:paraId="0F8859BF">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5）密钥管理：支持多级密钥管理体系，具有完整的密钥备份机制，支持密钥生成、启用、禁用等全生命周期管理；</w:t>
      </w:r>
    </w:p>
    <w:p w14:paraId="1979F3F1">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6）密文查询：支持密文查询，包括模糊匹配、前缀匹配、后缀匹配等查询方式；</w:t>
      </w:r>
    </w:p>
    <w:p w14:paraId="215134D8">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7）存量数据加解密：支持对存量数据进行加解密操作，并且支持对已加密数据按照业务诉求进行还原恢复；</w:t>
      </w:r>
    </w:p>
    <w:p w14:paraId="7A35EB42">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8）加密模式：支持原列加密和新增列加密两种模式可根据实际的应用场景灵活使用；</w:t>
      </w:r>
    </w:p>
    <w:p w14:paraId="424B84A8">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9）加密配置：需支持可配置的字段级（列）加密，可使用相同密钥或不同密钥；</w:t>
      </w:r>
    </w:p>
    <w:p w14:paraId="58BE845F">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10）SM4加解密能力：需不低于2Gbps。</w:t>
      </w:r>
    </w:p>
    <w:p w14:paraId="26E24FD3">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智能密码钥匙</w:t>
      </w:r>
    </w:p>
    <w:p w14:paraId="551E29BF">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223634C5">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1）支持USB 1.1、USB2.0、USB3.0 接口；</w:t>
      </w:r>
    </w:p>
    <w:p w14:paraId="59A1093C">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2）容量不小于72K 字节；</w:t>
      </w:r>
    </w:p>
    <w:p w14:paraId="73911BA1">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3）具备完善的PIN 校验保护功能；</w:t>
      </w:r>
    </w:p>
    <w:p w14:paraId="0DB29EF6">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4）支持SM2 国产密码算法；</w:t>
      </w:r>
    </w:p>
    <w:p w14:paraId="32165D2F">
      <w:pPr>
        <w:rPr>
          <w:rFonts w:hint="eastAsia" w:ascii="宋体" w:hAnsi="宋体" w:eastAsia="宋体" w:cs="宋体"/>
          <w:sz w:val="24"/>
          <w:szCs w:val="24"/>
          <w:highlight w:val="none"/>
        </w:rPr>
      </w:pPr>
    </w:p>
    <w:p w14:paraId="5D4B4E07">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国密浏览器</w:t>
      </w:r>
    </w:p>
    <w:p w14:paraId="5A73C764">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56506462">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1）标准支持：支持HTTP/1.1、HTTP/2.0协议；</w:t>
      </w:r>
    </w:p>
    <w:p w14:paraId="5A406A33">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2）查看源代码：支持查看源代码功能，可查看网页源代码；需具备开发者工具，支持网页调试能力，包括：网页元素查看和修改，控制台输入输出，源代码查看和调试，网络请求分析，性能分析等；</w:t>
      </w:r>
    </w:p>
    <w:p w14:paraId="29D8191A">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3）适配性检测：支持适配性检测工具，可检测应用与浏览器支持标准的适配性情况；</w:t>
      </w:r>
    </w:p>
    <w:p w14:paraId="119E0245">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4）数据加密：支持本地用户数据加密，防止用户保存的密码被明文导出；</w:t>
      </w:r>
    </w:p>
    <w:p w14:paraId="33158F1C">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5）驱动管理：支持对可信的USB Key驱动的管理和配置，便于浏览器直接进行调用，且只有一个证书时可自动选择；</w:t>
      </w:r>
    </w:p>
    <w:p w14:paraId="1C02C0A6">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6）国密算法：支持国密算法，包括：SM2/SM3/SM4；需支持SSL单/双向协议；需支持最新TLCP标准；</w:t>
      </w:r>
    </w:p>
    <w:p w14:paraId="26061D27">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7）国密协议：支持极速、兼容模式下通过国密协议访问，针对国密网站优先通过国密协议访问；</w:t>
      </w:r>
    </w:p>
    <w:p w14:paraId="6DB06A9E">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8）▲具备《商用密码产品认证证书》；（提供商用密码产品认证证书</w:t>
      </w:r>
      <w:r>
        <w:rPr>
          <w:rFonts w:hint="eastAsia" w:ascii="宋体" w:hAnsi="宋体" w:cs="宋体"/>
          <w:bCs/>
          <w:sz w:val="24"/>
          <w:szCs w:val="24"/>
          <w:highlight w:val="none"/>
          <w:lang w:val="en-US" w:eastAsia="zh-CN"/>
        </w:rPr>
        <w:t>复印件</w:t>
      </w:r>
      <w:r>
        <w:rPr>
          <w:rFonts w:hint="eastAsia" w:ascii="宋体" w:hAnsi="宋体" w:eastAsia="宋体" w:cs="宋体"/>
          <w:bCs/>
          <w:sz w:val="24"/>
          <w:szCs w:val="24"/>
          <w:highlight w:val="none"/>
        </w:rPr>
        <w:t>）。</w:t>
      </w:r>
    </w:p>
    <w:p w14:paraId="29FC6264">
      <w:pPr>
        <w:rPr>
          <w:rFonts w:hint="eastAsia" w:ascii="宋体" w:hAnsi="宋体" w:eastAsia="宋体" w:cs="宋体"/>
          <w:sz w:val="24"/>
          <w:szCs w:val="24"/>
          <w:highlight w:val="none"/>
        </w:rPr>
      </w:pPr>
    </w:p>
    <w:p w14:paraId="7AE3F6E2">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云主机深度监控服务</w:t>
      </w:r>
    </w:p>
    <w:p w14:paraId="6C7E5908">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5A68729F">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按照采购人的有关管理规定及应用系统对主机监控的具体需求，实现7*24小时深度监测云主机资源、硬件设备监控、云平台层应急处置等内容。</w:t>
      </w:r>
    </w:p>
    <w:p w14:paraId="1228C00D">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主机可信免疫服务</w:t>
      </w:r>
    </w:p>
    <w:p w14:paraId="6E9E2D03">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0F1A5D52">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1）▲需支持从内核层面防止自身进程、策略文件、执行模块被非法篡改；具备自身进程鉴别保护机制，防止非法调用操作，具备防止非法卸载功能。（需提供截图证明）</w:t>
      </w:r>
    </w:p>
    <w:p w14:paraId="4EB8F05E">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2</w:t>
      </w:r>
      <w:r>
        <w:rPr>
          <w:rFonts w:hint="eastAsia" w:ascii="宋体" w:hAnsi="宋体" w:eastAsia="宋体" w:cs="宋体"/>
          <w:bCs/>
          <w:sz w:val="24"/>
          <w:szCs w:val="24"/>
          <w:highlight w:val="none"/>
        </w:rPr>
        <w:t>）▲需支持依据业务安全需求等级不同设置防护等级：（1）依据业务安全需求等级不同可设置不同的管控模式；（2）对系统进程主体和注册表等客体的管控可配置。</w:t>
      </w: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rPr>
        <w:t>需提供截图证明</w:t>
      </w: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rPr>
        <w:t>。</w:t>
      </w:r>
    </w:p>
    <w:p w14:paraId="2DE03F6D">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3</w:t>
      </w:r>
      <w:r>
        <w:rPr>
          <w:rFonts w:hint="eastAsia" w:ascii="宋体" w:hAnsi="宋体" w:eastAsia="宋体" w:cs="宋体"/>
          <w:bCs/>
          <w:sz w:val="24"/>
          <w:szCs w:val="24"/>
          <w:highlight w:val="none"/>
        </w:rPr>
        <w:t>）需支持应用程序静态分析功能。可剖析二进制可执行程序，利用特征规则，发掘威胁特征行为，识别灰色应用威胁度。</w:t>
      </w:r>
    </w:p>
    <w:p w14:paraId="5520DB45">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4</w:t>
      </w:r>
      <w:r>
        <w:rPr>
          <w:rFonts w:hint="eastAsia" w:ascii="宋体" w:hAnsi="宋体" w:eastAsia="宋体" w:cs="宋体"/>
          <w:bCs/>
          <w:sz w:val="24"/>
          <w:szCs w:val="24"/>
          <w:highlight w:val="none"/>
        </w:rPr>
        <w:t>）需支持数据映射模板功能，实现告警或审计数据的灵活配置，按照自定义格式与其他平台（如syslog服务器等）共享数据。</w:t>
      </w:r>
    </w:p>
    <w:p w14:paraId="4479A8D2">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5</w:t>
      </w:r>
      <w:r>
        <w:rPr>
          <w:rFonts w:hint="eastAsia" w:ascii="宋体" w:hAnsi="宋体" w:eastAsia="宋体" w:cs="宋体"/>
          <w:bCs/>
          <w:sz w:val="24"/>
          <w:szCs w:val="24"/>
          <w:highlight w:val="none"/>
        </w:rPr>
        <w:t>）需支持对文件的属主、执行权限、修改时间等属性进行保护，防止恶意修改。</w:t>
      </w:r>
    </w:p>
    <w:p w14:paraId="500A8C6C">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6</w:t>
      </w:r>
      <w:r>
        <w:rPr>
          <w:rFonts w:hint="eastAsia" w:ascii="宋体" w:hAnsi="宋体" w:eastAsia="宋体" w:cs="宋体"/>
          <w:bCs/>
          <w:sz w:val="24"/>
          <w:szCs w:val="24"/>
          <w:highlight w:val="none"/>
        </w:rPr>
        <w:t>）需支持对主机中的重要资源（如配置文件、数据文件、口令文件等）的完整性进行保护，出现被篡改时，及时告警并能一键恢复。</w:t>
      </w:r>
    </w:p>
    <w:p w14:paraId="146C9209">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7</w:t>
      </w:r>
      <w:r>
        <w:rPr>
          <w:rFonts w:hint="eastAsia" w:ascii="宋体" w:hAnsi="宋体" w:eastAsia="宋体" w:cs="宋体"/>
          <w:bCs/>
          <w:sz w:val="24"/>
          <w:szCs w:val="24"/>
          <w:highlight w:val="none"/>
        </w:rPr>
        <w:t>）需支持硬件、账户、开机启动程序、共享文件夹、系统服务、进程、驱动、端口等信息的基线设定与比对功能，提供差异值实时告警、展示，精确定位告警信息。</w:t>
      </w:r>
    </w:p>
    <w:p w14:paraId="766DB01C">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8</w:t>
      </w:r>
      <w:r>
        <w:rPr>
          <w:rFonts w:hint="eastAsia" w:ascii="宋体" w:hAnsi="宋体" w:eastAsia="宋体" w:cs="宋体"/>
          <w:bCs/>
          <w:sz w:val="24"/>
          <w:szCs w:val="24"/>
          <w:highlight w:val="none"/>
        </w:rPr>
        <w:t>）需提供基于黑、白、灰名单机制的主机可执行程序（包括驱动、动态库等）安全验证，执行程序启动进行实时的可信校验，校验不通过应拒绝其启动、运行。</w:t>
      </w:r>
    </w:p>
    <w:p w14:paraId="3F3A4A68">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云内东西向虚拟化微隔离服务</w:t>
      </w:r>
    </w:p>
    <w:p w14:paraId="533D7E37">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122F4830">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配置网络策略，对主机的访问行为进行管控，实时监控异常的网络流量并发出告警，一键隔离失陷主机的网络，防止威胁扩散。</w:t>
      </w:r>
    </w:p>
    <w:p w14:paraId="2AA61DC4">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密钥管理服务</w:t>
      </w:r>
    </w:p>
    <w:p w14:paraId="0CEE2D51">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56BE3B3C">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密钥管理服务支持对密钥的生成、存储、分配、使用与更新、备份与恢复、归档、销毁等全生命周期的管理，为业务应用提供安全、易用的密钥管理机制。</w:t>
      </w:r>
    </w:p>
    <w:p w14:paraId="3784835E">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1）生命周期管理：支持密钥的全生命周期管理，包括但不限于密钥的产生、修改、共享、存储、启用、禁用、注销、轮转、归档、恢复、下载、统计等；</w:t>
      </w:r>
    </w:p>
    <w:p w14:paraId="05D5D0C8">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2）密钥安全存储：支持对称密钥和非对称密钥基于多层密钥保护体系的安全存储，不同应用的密钥隔离保存，确保密钥权限范围可控，防止未授权应用获取密钥；</w:t>
      </w:r>
    </w:p>
    <w:p w14:paraId="0EEDEEC3">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3）密钥轮转：支持自定义密钥更新策略，包含自动更新及主动更新；</w:t>
      </w:r>
    </w:p>
    <w:p w14:paraId="401A3D63">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4）密钥归档：支持通过界面方式对即将归档与已归档的密钥进行管理，并对归档的密钥提供长期的安全存储；</w:t>
      </w:r>
    </w:p>
    <w:p w14:paraId="02EE1F63">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5)密钥恢复:支持采用基于密钥加密的方式备份密钥和安全数据，采用基于证书签名的方式保障密钥完整性，备份记录有据可查；</w:t>
      </w:r>
    </w:p>
    <w:p w14:paraId="17F88A13">
      <w:pPr>
        <w:snapToGrid w:val="0"/>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6）▲密钥共享：支持将A业务系统的密钥授权给B业务系统使用。支持密钥授权策略的配置，包括密钥用途、有效期等；（提供</w:t>
      </w:r>
      <w:r>
        <w:rPr>
          <w:rFonts w:hint="eastAsia" w:ascii="宋体" w:hAnsi="宋体" w:cs="宋体"/>
          <w:bCs/>
          <w:sz w:val="24"/>
          <w:highlight w:val="none"/>
          <w:lang w:val="en-US" w:eastAsia="zh-CN"/>
        </w:rPr>
        <w:t>国家认可的认证（检测）机构出具的认证证书（检测报告）复印件</w:t>
      </w:r>
      <w:r>
        <w:rPr>
          <w:rFonts w:hint="eastAsia" w:ascii="宋体" w:hAnsi="宋体" w:eastAsia="宋体" w:cs="宋体"/>
          <w:bCs/>
          <w:sz w:val="24"/>
          <w:szCs w:val="24"/>
          <w:highlight w:val="none"/>
        </w:rPr>
        <w:t>）</w:t>
      </w:r>
      <w:r>
        <w:rPr>
          <w:rFonts w:hint="eastAsia" w:ascii="宋体" w:hAnsi="宋体" w:eastAsia="宋体" w:cs="宋体"/>
          <w:bCs/>
          <w:sz w:val="24"/>
          <w:szCs w:val="24"/>
          <w:highlight w:val="none"/>
          <w:lang w:eastAsia="zh-CN"/>
        </w:rPr>
        <w:t>。</w:t>
      </w:r>
    </w:p>
    <w:p w14:paraId="3EE43D85">
      <w:pPr>
        <w:snapToGrid w:val="0"/>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7）▲密钥统计：支持密钥的统计分析，包括启用、禁用、注销等各个状态下密钥数量、算法等多维度统计；</w:t>
      </w:r>
      <w:r>
        <w:rPr>
          <w:rFonts w:hint="eastAsia" w:ascii="宋体" w:hAnsi="宋体" w:eastAsia="宋体" w:cs="宋体"/>
          <w:bCs/>
          <w:color w:val="auto"/>
          <w:sz w:val="24"/>
          <w:szCs w:val="24"/>
          <w:highlight w:val="none"/>
        </w:rPr>
        <w:t>（</w:t>
      </w:r>
      <w:r>
        <w:rPr>
          <w:rFonts w:hint="eastAsia" w:ascii="宋体" w:hAnsi="宋体" w:cs="宋体"/>
          <w:bCs/>
          <w:sz w:val="24"/>
          <w:highlight w:val="none"/>
          <w:lang w:val="en-US" w:eastAsia="zh-CN"/>
        </w:rPr>
        <w:t>国家认可的认证（检测）机构出具的认证证书（检测报告）复印件</w:t>
      </w:r>
      <w:r>
        <w:rPr>
          <w:rFonts w:hint="eastAsia" w:ascii="宋体" w:hAnsi="宋体" w:eastAsia="宋体" w:cs="宋体"/>
          <w:bCs/>
          <w:color w:val="auto"/>
          <w:sz w:val="24"/>
          <w:szCs w:val="24"/>
          <w:highlight w:val="none"/>
        </w:rPr>
        <w:t>）</w:t>
      </w:r>
      <w:r>
        <w:rPr>
          <w:rFonts w:hint="eastAsia" w:ascii="宋体" w:hAnsi="宋体" w:eastAsia="宋体" w:cs="宋体"/>
          <w:bCs/>
          <w:sz w:val="24"/>
          <w:szCs w:val="24"/>
          <w:highlight w:val="none"/>
          <w:lang w:eastAsia="zh-CN"/>
        </w:rPr>
        <w:t>。</w:t>
      </w:r>
    </w:p>
    <w:p w14:paraId="5D7BF558">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证书管理服务</w:t>
      </w:r>
    </w:p>
    <w:p w14:paraId="21512ABF">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089DBC6C">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证书管理服务支持对个人证书、单位证书、应用证书、设备证书和服务器证书的托管，并支持证书的申请、签发、下载、冻结、解冻、更新、注销等全生命周期的管理。</w:t>
      </w:r>
    </w:p>
    <w:p w14:paraId="4BE12954">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1）证书生命周期管理：支持应用证书的全生命周期管理，包括：证书申请、导入、更新、删除、下载、查询等生命周期管理；</w:t>
      </w:r>
    </w:p>
    <w:p w14:paraId="203619EB">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2）证书有效性验证：支持对证书的有效性验证，包括信任域（根证链）、CRL列表、有效期、证书状态等；</w:t>
      </w:r>
    </w:p>
    <w:p w14:paraId="113666D2">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3）可信根证书链管理：支持对可信根证书链的管理，包括证书链的导入、删除、下载等操作，支持文件上传或base64编码格式证书链导入；</w:t>
      </w:r>
    </w:p>
    <w:p w14:paraId="0BB172AC">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4）CRL管理：支持对CRL进行管理，包括CRL的添加、删除、编辑、下载、在线与离线更新，支持更新策略的配置；</w:t>
      </w:r>
    </w:p>
    <w:p w14:paraId="79147800">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统一密码服务网关</w:t>
      </w:r>
    </w:p>
    <w:p w14:paraId="3C0F0972">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075C9D0F">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密码服务网关作为后台服务的对外载体，能够将密码服务进行能力封装，对外提供统一的接入网关访问入口，包括API发布上架、版本迭代、废弃等全生命周期管理，并支持基于API进行应用身份认证授权、API应用情况的实时监控。</w:t>
      </w:r>
    </w:p>
    <w:p w14:paraId="00EB1F88">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1）统一接口：为各类内部密码服务提供统一的访问入口；</w:t>
      </w:r>
    </w:p>
    <w:p w14:paraId="20732C8E">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2）外部接口：支持注册挂载外部服务接口，实现网关接口的统一管理配置；</w:t>
      </w:r>
    </w:p>
    <w:p w14:paraId="4F906335">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网关概览：提供应用访问密码服务数据的统计分析，支持密码服务的多维度（近1h，近24h，当日，近7日，自定义时间等）请求总量、限流次数、拒绝访问类型、流量统计、HTTP状态码、应用使用密码服务TOP10、单位使用密码服务TOP10等的统计分析图、表展示。</w:t>
      </w:r>
    </w:p>
    <w:p w14:paraId="03032FE1">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4）▲接口配置：支持接口的增删改查等基本配置，包括接口版本、服务路由、授权方式、响应参数、防重放攻击、认证方式、限流熔断、http方法（GET、POST、PUT、DELETE、PATCH）、日志级别等；（提供功能截图）。</w:t>
      </w:r>
    </w:p>
    <w:p w14:paraId="7081760E">
      <w:pPr>
        <w:snapToGrid w:val="0"/>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5）▲IP黑白名单：支持IP黑白名单的配置；（提供</w:t>
      </w:r>
      <w:r>
        <w:rPr>
          <w:rFonts w:hint="eastAsia" w:ascii="宋体" w:hAnsi="宋体" w:cs="宋体"/>
          <w:bCs/>
          <w:sz w:val="24"/>
          <w:highlight w:val="none"/>
          <w:lang w:val="en-US" w:eastAsia="zh-CN"/>
        </w:rPr>
        <w:t>国家认可的认证（检测）机构出具的认证证书（检测报告）复印件</w:t>
      </w:r>
      <w:r>
        <w:rPr>
          <w:rFonts w:hint="eastAsia" w:ascii="宋体" w:hAnsi="宋体" w:eastAsia="宋体" w:cs="宋体"/>
          <w:bCs/>
          <w:sz w:val="24"/>
          <w:szCs w:val="24"/>
          <w:highlight w:val="none"/>
        </w:rPr>
        <w:t>）</w:t>
      </w:r>
      <w:r>
        <w:rPr>
          <w:rFonts w:hint="eastAsia" w:ascii="宋体" w:hAnsi="宋体" w:eastAsia="宋体" w:cs="宋体"/>
          <w:bCs/>
          <w:sz w:val="24"/>
          <w:szCs w:val="24"/>
          <w:highlight w:val="none"/>
          <w:lang w:eastAsia="zh-CN"/>
        </w:rPr>
        <w:t>。</w:t>
      </w:r>
    </w:p>
    <w:p w14:paraId="1BD147A2">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6）▲限流熔断：支持对密码服务限流熔断策略的配置，包括外网限流和内网限流值及限流返回值，支持请求速率、请求数等多种阈值类型；（提供</w:t>
      </w:r>
      <w:r>
        <w:rPr>
          <w:rFonts w:hint="eastAsia" w:ascii="宋体" w:hAnsi="宋体" w:cs="宋体"/>
          <w:bCs/>
          <w:sz w:val="24"/>
          <w:highlight w:val="none"/>
          <w:lang w:val="en-US" w:eastAsia="zh-CN"/>
        </w:rPr>
        <w:t>国家认可的认证（检测）机构出具的认证证书（检测报告）复印件</w:t>
      </w:r>
      <w:r>
        <w:rPr>
          <w:rFonts w:hint="eastAsia" w:ascii="宋体" w:hAnsi="宋体" w:eastAsia="宋体" w:cs="宋体"/>
          <w:bCs/>
          <w:sz w:val="24"/>
          <w:szCs w:val="24"/>
          <w:highlight w:val="none"/>
        </w:rPr>
        <w:t>）。</w:t>
      </w:r>
    </w:p>
    <w:p w14:paraId="4F8B0181">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密码接入服务</w:t>
      </w:r>
    </w:p>
    <w:p w14:paraId="50A32F3E">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73B0F04B">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密码服务网关作为后台服务的对外载体，能够将密码服务进行能力封装，对外提供统一的接入网关访问入口，包括API发布上架、版本迭代、废弃等全生命周期管理，并支持基于API进行应用身份认证授权、API应用情况的实时监控。</w:t>
      </w:r>
    </w:p>
    <w:p w14:paraId="7E341709">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SSL安全服务</w:t>
      </w:r>
    </w:p>
    <w:p w14:paraId="33B73ED6">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5EF58794">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基于国密SSL协议构建安全通道，为互联网用户包括医生、患者访问系统构建安全通道。</w:t>
      </w:r>
    </w:p>
    <w:p w14:paraId="3E6BC06C">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基于国密SSL协议构建安全通道，为政务外网用户包括卫健委业务人员等访问系统构建安全通道。</w:t>
      </w:r>
    </w:p>
    <w:p w14:paraId="670F6AEF">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基于国密SSL协议构建安全通道，为运维人员访问堡垒机构建安全通道。</w:t>
      </w:r>
    </w:p>
    <w:p w14:paraId="1125F0F8">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1）国密算法：支持SM2、SM3、SM4等国密算法；</w:t>
      </w:r>
    </w:p>
    <w:p w14:paraId="257291A3">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2）算法套件：支持ECC_SM4_CBC_SM3、ECDHE_SM4_CBC_SM3、ECC_SM4_GCM_SM3、ECDHE_SM4_GCM_SM3等国密协议套件；</w:t>
      </w:r>
    </w:p>
    <w:p w14:paraId="79C60A3C">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3）支持协议：支持SSL3.0、TLCP、TLS1.0、TLS1.1、TLS1.2、TLS1.3、DTLS、抗量子等协议；</w:t>
      </w:r>
    </w:p>
    <w:p w14:paraId="11F2F2B4">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SSL功能：支持SSL加速、SSL卸载、HTTP压缩、Web高速缓存功能、HTTP请求和响应改写、HTTP内容改写、HTTP反向代理转发和HTTP重定向；支持单双向验证功能，可验证服务器或同时验证客户端证书的有效性；支持HTTPS、TCPS、FTPS、UDPS等安全加密协议；支持对每个虚拟服务配置URL过滤，可根据请求长度、方法、指定变量、控制字符、关键字等条件提供HTTP防护功能，无需编写脚本即可实现；</w:t>
      </w:r>
    </w:p>
    <w:p w14:paraId="1D9955FB">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5）身份认证：支持身份认证功能，支持口令、Ukey证书、协同签名、动态口令、AD、LDAP、Radius、短信验证码、二维码、Token/JWT等多种认证方法；</w:t>
      </w:r>
    </w:p>
    <w:p w14:paraId="4BECA6DD">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6）安全管理：支持管理员三权配置，包括系统管理员、安全管理员、审计管理员；</w:t>
      </w:r>
    </w:p>
    <w:p w14:paraId="397AA4E8">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7）▲具备《商用密码产品认证证书》；（提供商用密码产品认证证书</w:t>
      </w:r>
      <w:r>
        <w:rPr>
          <w:rFonts w:hint="eastAsia" w:ascii="宋体" w:hAnsi="宋体" w:cs="宋体"/>
          <w:bCs/>
          <w:sz w:val="24"/>
          <w:szCs w:val="24"/>
          <w:highlight w:val="none"/>
          <w:lang w:eastAsia="zh-CN"/>
        </w:rPr>
        <w:t>复印件</w:t>
      </w:r>
      <w:r>
        <w:rPr>
          <w:rFonts w:hint="eastAsia" w:ascii="宋体" w:hAnsi="宋体" w:eastAsia="宋体" w:cs="宋体"/>
          <w:bCs/>
          <w:sz w:val="24"/>
          <w:szCs w:val="24"/>
          <w:highlight w:val="none"/>
        </w:rPr>
        <w:t>）。</w:t>
      </w:r>
    </w:p>
    <w:p w14:paraId="0D2F59EB">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身份认证服务</w:t>
      </w:r>
    </w:p>
    <w:p w14:paraId="5FD41CB3">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2C0E7CFE">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提供用户的身份管理、身份认证、授权管理、应用资源访问控制功能，构建安全审计于一体、多信息资源应用整合、集约管理和安全防护的安全基础服务平台。</w:t>
      </w:r>
    </w:p>
    <w:p w14:paraId="09871B87">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1）登录认证：支持基于数字证书登录方式身份认证；</w:t>
      </w:r>
    </w:p>
    <w:p w14:paraId="12B6FA9C">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2）国密算法：支持SM2、SM3、SM4等国密算法；</w:t>
      </w:r>
    </w:p>
    <w:p w14:paraId="1635E05F">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3）单点登录：支持应用系统间的单点登录，支持多种单点登录集成协议，同时也支持认证协议的扩展，支持Oauth 2.0、CAS、OIDC、SAML、JWT等协议；</w:t>
      </w:r>
    </w:p>
    <w:p w14:paraId="4B5A17D2">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4）多要素身份认证：支持多要素身份认证，包括两项实名、两项实人、四项实名、四项实人、手机号三要素身份认证；</w:t>
      </w:r>
    </w:p>
    <w:p w14:paraId="6E641424">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签名验签服务</w:t>
      </w:r>
    </w:p>
    <w:p w14:paraId="5CD55A84">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4DB82D03">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基于数字签名技术对应用系统中关键数据和操作进行签名验签。</w:t>
      </w:r>
    </w:p>
    <w:p w14:paraId="379165CE">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1）SM2算法签名验签：支持符合国密规范《GM/T 0003-2012》的SM2算法，支持数据签名验签功能，对关键操作数据进行签名，保证数据的完整性和不可抵赖性；</w:t>
      </w:r>
    </w:p>
    <w:p w14:paraId="206DBB70">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2）支持根据需要使用托管存储的SM2私钥或外部SM2私钥进行数字签名和验签；</w:t>
      </w:r>
    </w:p>
    <w:p w14:paraId="2899D9EB">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3）P1</w:t>
      </w: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rPr>
        <w:t>P7签名：支持符合PKI标准的PKCS1、PKCS7签名，可对原文或摘要进行签名计算，摘要算法支持符合国密规范《GM/T 0004-2012》的SM3杂凑算法；PKCS7签名支持attached、detached等多种结构体；</w:t>
      </w:r>
    </w:p>
    <w:p w14:paraId="48E54681">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4）HMAC-SM3：支持国密SM3杂凑算法采用HMAC方式进行数据存储完整性保护；</w:t>
      </w:r>
    </w:p>
    <w:p w14:paraId="1125A4AF">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5）数字信封：支持基于SM2密码算法的数字信封，支持符合标准规范的PKCS7数字信封构建、数字信封解析，支持由内部密钥保护到外部密钥保护的数字信封转换；</w:t>
      </w:r>
    </w:p>
    <w:p w14:paraId="563792BF">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协同签名服务</w:t>
      </w:r>
    </w:p>
    <w:p w14:paraId="553B2AE3">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7367FEEF">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结合密钥管理模块，与移动端可信套件配合，提供移动端和服务端协同运算服务的密码模块，实现可靠电子签名。基于移动端和服务端协同运算的签名产品，为用户提供基于智能移动终端的用户证书管理、身份认证、扫码认证、电子签名、扫码签名、扫码签章的服务。</w:t>
      </w:r>
    </w:p>
    <w:p w14:paraId="7A85D910">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1）密钥分割技术：服务符合电子认证业务的合规性，基于协同密钥技术来实现移动端用户私钥的生成和使用，实现移动端认证与签名并保证用户密钥的安全；</w:t>
      </w:r>
    </w:p>
    <w:p w14:paraId="1EC6C065">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2）协同签名：支持个人用户协同证书申请签发、设置证书口令、协同认证、扫码协同签名等功能；</w:t>
      </w:r>
    </w:p>
    <w:p w14:paraId="3CAE8B7F">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3）签名校验：提供restful API的形式接口与业务系统对接，支持接口的签名校验机制，保证待签数据与签名结果的真实性、完整性；</w:t>
      </w:r>
    </w:p>
    <w:p w14:paraId="290691A7">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 支持移动端证书下载；（提供</w:t>
      </w:r>
      <w:r>
        <w:rPr>
          <w:rFonts w:hint="eastAsia" w:ascii="宋体" w:hAnsi="宋体" w:cs="宋体"/>
          <w:bCs/>
          <w:sz w:val="24"/>
          <w:highlight w:val="none"/>
          <w:lang w:val="en-US" w:eastAsia="zh-CN"/>
        </w:rPr>
        <w:t>国家认可的认证（检测）机构出具的认证证书（检测报告）复印件</w:t>
      </w:r>
      <w:r>
        <w:rPr>
          <w:rFonts w:hint="eastAsia" w:ascii="宋体" w:hAnsi="宋体" w:eastAsia="宋体" w:cs="宋体"/>
          <w:bCs/>
          <w:sz w:val="24"/>
          <w:szCs w:val="24"/>
          <w:highlight w:val="none"/>
        </w:rPr>
        <w:t>）</w:t>
      </w:r>
    </w:p>
    <w:p w14:paraId="6F7BF2C7">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5）▲ 支持移动端扫码协同签名；（提供</w:t>
      </w:r>
      <w:r>
        <w:rPr>
          <w:rFonts w:hint="eastAsia" w:ascii="宋体" w:hAnsi="宋体" w:cs="宋体"/>
          <w:bCs/>
          <w:sz w:val="24"/>
          <w:highlight w:val="none"/>
          <w:lang w:val="en-US" w:eastAsia="zh-CN"/>
        </w:rPr>
        <w:t>国家认可的认证（检测）机构出具的认证证书（检测报告）复印件</w:t>
      </w:r>
      <w:r>
        <w:rPr>
          <w:rFonts w:hint="eastAsia" w:ascii="宋体" w:hAnsi="宋体" w:eastAsia="宋体" w:cs="宋体"/>
          <w:bCs/>
          <w:sz w:val="24"/>
          <w:szCs w:val="24"/>
          <w:highlight w:val="none"/>
        </w:rPr>
        <w:t>）</w:t>
      </w:r>
    </w:p>
    <w:p w14:paraId="566C921E">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6）支持在手机上采集用户手写签字信息，自定义手写签章图片；</w:t>
      </w:r>
    </w:p>
    <w:p w14:paraId="5C77B81B">
      <w:pPr>
        <w:snapToGrid w:val="0"/>
        <w:spacing w:line="360" w:lineRule="auto"/>
        <w:ind w:firstLine="480" w:firstLineChars="200"/>
        <w:rPr>
          <w:rFonts w:hint="eastAsia" w:ascii="宋体" w:hAnsi="宋体" w:eastAsia="宋体" w:cs="宋体"/>
          <w:bCs/>
          <w:sz w:val="24"/>
          <w:szCs w:val="24"/>
          <w:highlight w:val="none"/>
        </w:rPr>
      </w:pPr>
    </w:p>
    <w:p w14:paraId="1205F3D2">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时间戳服务</w:t>
      </w:r>
    </w:p>
    <w:p w14:paraId="20195DE0">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03446BE5">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基于国家标准时间源，通过PKI技术为应用系统提供安全、可信的时间戳服务。</w:t>
      </w:r>
    </w:p>
    <w:p w14:paraId="450B4217">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1）规范要求：支持符合国密规范《GM/T 0033-2014》的时间戳服务功能，具有时间戳生成、解析、验证等功能；</w:t>
      </w:r>
    </w:p>
    <w:p w14:paraId="526B8F42">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安全机制：采用精确的时间源和高强度高标准的安全机制，能够为用户提供精确且不可抵赖的时间戳服务；同时能够通过HTTP协议申请严格遵循国际标准（RFC3161）和RFC2630两种时间戳协议的时间戳，采用标准的时间戳请求、时间戳应答以及时间戳编码格式；</w:t>
      </w:r>
    </w:p>
    <w:p w14:paraId="158E4A5B">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3）RFC3161标准：支持对数据制作时间戳，时间戳结构符合RFC3161标准；支持验证符合RFC3161标准的时间戳结果；</w:t>
      </w:r>
    </w:p>
    <w:p w14:paraId="326C7D10">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4）RFC2630标准：支持对数据制作时间戳，时间戳结构符合RFC2630标准；支持验证符合RFC2630标准的时间戳结果；</w:t>
      </w:r>
    </w:p>
    <w:p w14:paraId="60BB3E40">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5）时间戳证书生命周期管理：支持通过可视化界面对时间戳签名证书的生命周期进行管理，包括但不限于证书的申请、导入、更新、下载、删除等；</w:t>
      </w:r>
    </w:p>
    <w:p w14:paraId="12BBA693">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6）时间戳签名：支持对原文或摘要数据进行时间戳签名，原文数据可指定字符编码，时间戳签名结构体符合国密规范要求；</w:t>
      </w:r>
    </w:p>
    <w:p w14:paraId="217F6D19">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7）外部时间源：支持对接可信的外部时间源；</w:t>
      </w:r>
    </w:p>
    <w:p w14:paraId="756F8E7E">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加解密服务</w:t>
      </w:r>
    </w:p>
    <w:p w14:paraId="31C27563">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2FB3495B">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基于国密算法提供数据加解密服务。</w:t>
      </w:r>
    </w:p>
    <w:p w14:paraId="645497A3">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1）对称与非对称加解密：支持对称与非对称算法的加解密。对称密钥支持符合国密规范《GM/T 0002-2012》的SM4算法加解密；</w:t>
      </w:r>
    </w:p>
    <w:p w14:paraId="54737F43">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2）非对称密钥：支持符合国密规范《GM/T 0003.4-2012》的SM2算法加解密；</w:t>
      </w:r>
    </w:p>
    <w:p w14:paraId="39C2A606">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3）支持基于SM4算法的MAC产生及验证；</w:t>
      </w:r>
    </w:p>
    <w:p w14:paraId="5EF48DE3">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4）支持ECB、CBC等多种加密模式，支持自定义IV偏移量，支持PKCS5Padding、PKCS7Padding方式自动填充补位；</w:t>
      </w:r>
    </w:p>
    <w:p w14:paraId="29F3FCDD">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5）保留格式加密解密：支持FPE(保留格式)的加密解密，包括但不限于姓名、手机号、身份证号以及中英文数字组合类型的文本格式；</w:t>
      </w:r>
    </w:p>
    <w:p w14:paraId="64937C04">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6）大文件加解密：支持1G以上大文件的加解密；</w:t>
      </w:r>
    </w:p>
    <w:p w14:paraId="51DC9C33">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电子签章服务</w:t>
      </w:r>
    </w:p>
    <w:p w14:paraId="51410DA7">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5741C866">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提供可视化电子签章服务。</w:t>
      </w:r>
    </w:p>
    <w:p w14:paraId="455EBB6A">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1)提供可视化电子签章服务；</w:t>
      </w:r>
    </w:p>
    <w:p w14:paraId="417F55EC">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2）根据签名样式的要求提供签名采集模板；</w:t>
      </w:r>
    </w:p>
    <w:p w14:paraId="50A4A122">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3)提供采集后的签名调整、清晰度调高等调图服务；</w:t>
      </w:r>
    </w:p>
    <w:p w14:paraId="5C54F160">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4)将制作好的电子签名绑定在个人ukey中；</w:t>
      </w:r>
    </w:p>
    <w:p w14:paraId="6032C973">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国密浏览器授权服务</w:t>
      </w:r>
    </w:p>
    <w:p w14:paraId="504B27B9">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207E1B7B">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支持国密SSL协议及证书的解析。</w:t>
      </w:r>
    </w:p>
    <w:p w14:paraId="12EB9D10">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1）标准支持：支持HTTP/1.1、HTTP/2.0协议、Web Workers、MathML；</w:t>
      </w:r>
    </w:p>
    <w:p w14:paraId="0B86054B">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2）查看源代码：支持查看源代码功能，可查看网页源代码；需具备开发者工具，支持网页调试能力，包括：网页元素查看和修改，控制台输入输出，源代码查看和调试，网络请求分析，性能分析等；</w:t>
      </w:r>
    </w:p>
    <w:p w14:paraId="6F22A00C">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3）适配性检测：支持适配性检测工具，可检测应用与浏览器支持标准的适配性情况；</w:t>
      </w:r>
    </w:p>
    <w:p w14:paraId="0B1A47C5">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4）数据加密：支持本地用户数据加密，防止用户保存的密码被明文导出；</w:t>
      </w:r>
    </w:p>
    <w:p w14:paraId="46F04442">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5）驱动管理：支持对可信的USB Key驱动的管理和配置，便于浏览器直接进行调用，且只有一个证书时可自动选择；</w:t>
      </w:r>
    </w:p>
    <w:p w14:paraId="446C3E92">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6）国密算法：支持国密算法，包括：SM2/SM3/SM4；需支持SSL单/双向协议；需支持最新TLCP标准；</w:t>
      </w:r>
    </w:p>
    <w:p w14:paraId="6905A545">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7）国密协议：支持极速、兼容模式下通过国密协议访问，针对国密网站优先通过国密协议访问；</w:t>
      </w:r>
    </w:p>
    <w:p w14:paraId="7BD98EA8">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8）▲具备《商用密码产品认证证书》。（提供商用密码产品认证证书</w:t>
      </w:r>
      <w:r>
        <w:rPr>
          <w:rFonts w:hint="eastAsia" w:ascii="宋体" w:hAnsi="宋体" w:cs="宋体"/>
          <w:bCs/>
          <w:sz w:val="24"/>
          <w:szCs w:val="24"/>
          <w:highlight w:val="none"/>
          <w:lang w:eastAsia="zh-CN"/>
        </w:rPr>
        <w:t>复印件</w:t>
      </w:r>
      <w:r>
        <w:rPr>
          <w:rFonts w:hint="eastAsia" w:ascii="宋体" w:hAnsi="宋体" w:eastAsia="宋体" w:cs="宋体"/>
          <w:bCs/>
          <w:sz w:val="24"/>
          <w:szCs w:val="24"/>
          <w:highlight w:val="none"/>
        </w:rPr>
        <w:t>）。</w:t>
      </w:r>
    </w:p>
    <w:p w14:paraId="11FCBEB9">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证书介质服务</w:t>
      </w:r>
    </w:p>
    <w:p w14:paraId="29C84441">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177CEE6E">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支持PC端应用介质：32位CPU，大于72K字节证书(密钥存储)，支持SM2和RSA证书。</w:t>
      </w:r>
    </w:p>
    <w:p w14:paraId="6CE69F53">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1）支持USB 1.1、USB2.0、USB3.0 接口；</w:t>
      </w:r>
    </w:p>
    <w:p w14:paraId="06BB10B5">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2）容量不小于72K 字节；</w:t>
      </w:r>
    </w:p>
    <w:p w14:paraId="01D0F344">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3）具备完善的PIN 校验保护功能；</w:t>
      </w:r>
    </w:p>
    <w:p w14:paraId="1F2BB88D">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4）支持SM2 国产密码算法；</w:t>
      </w:r>
    </w:p>
    <w:p w14:paraId="6621342B">
      <w:pPr>
        <w:pStyle w:val="8"/>
        <w:rPr>
          <w:rFonts w:hint="eastAsia" w:ascii="宋体" w:hAnsi="宋体" w:eastAsia="宋体" w:cs="宋体"/>
          <w:sz w:val="24"/>
          <w:szCs w:val="24"/>
          <w:highlight w:val="none"/>
        </w:rPr>
      </w:pPr>
      <w:r>
        <w:rPr>
          <w:rFonts w:hint="eastAsia" w:ascii="宋体" w:hAnsi="宋体" w:eastAsia="宋体" w:cs="宋体"/>
          <w:sz w:val="24"/>
          <w:szCs w:val="24"/>
          <w:highlight w:val="none"/>
        </w:rPr>
        <w:t>5）▲具备《商用密码产品认证证书》。（提供商用密码产品认证证书</w:t>
      </w:r>
      <w:r>
        <w:rPr>
          <w:rFonts w:hint="eastAsia" w:hAnsi="宋体" w:cs="宋体"/>
          <w:sz w:val="24"/>
          <w:szCs w:val="24"/>
          <w:highlight w:val="none"/>
          <w:lang w:eastAsia="zh-CN"/>
        </w:rPr>
        <w:t>复印件</w:t>
      </w:r>
      <w:r>
        <w:rPr>
          <w:rFonts w:hint="eastAsia" w:ascii="宋体" w:hAnsi="宋体" w:eastAsia="宋体" w:cs="宋体"/>
          <w:sz w:val="24"/>
          <w:szCs w:val="24"/>
          <w:highlight w:val="none"/>
        </w:rPr>
        <w:t>）</w:t>
      </w:r>
    </w:p>
    <w:p w14:paraId="0C45353A">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移动端可信套件</w:t>
      </w:r>
    </w:p>
    <w:p w14:paraId="5000DBD0">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7E3CF2BD">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与协同签名服务配合，提供移动端接入认证，以及参与主体基于证书的身份认证、证书管理，支持移动端扫码登录、扫码签名，提供移动端可信套件。</w:t>
      </w:r>
    </w:p>
    <w:p w14:paraId="56B8C648">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1）支持用户移动终端APP集成协同签名移动端SDK，通过内网或外网协同签名系统交互完成签名；</w:t>
      </w:r>
    </w:p>
    <w:p w14:paraId="12BF04AA">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2）支持业务APP集成移动端SDK完成与协同签名系统的联动，实现移动端证书管理、电子签名、扫码签名等功能；</w:t>
      </w:r>
    </w:p>
    <w:p w14:paraId="390E5F39">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个人数字证书服务包</w:t>
      </w:r>
    </w:p>
    <w:p w14:paraId="326271C0">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72AF5424">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服务包包含一年期个人证书服务。提供PC端用户基于数字证书的身份认证。</w:t>
      </w:r>
    </w:p>
    <w:p w14:paraId="139DC26B">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1）身份标识：支持标识个人用户网络身份；</w:t>
      </w:r>
    </w:p>
    <w:p w14:paraId="7F14578B">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2）格式标准：证书格式标准需遵循x．509v3标准；</w:t>
      </w:r>
    </w:p>
    <w:p w14:paraId="4B5E8628">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3）证书介质：支持存放介质：智能USBKey；</w:t>
      </w:r>
    </w:p>
    <w:p w14:paraId="14CC5C23">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4）扩展域：支持自定义证书扩展域管理；</w:t>
      </w:r>
    </w:p>
    <w:p w14:paraId="2AC634A9">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5）▲ 证书颁发机构需满足《中华人民共和国电子签名法》、《中华人民共和国密码法》等法律法规要求，具备《电子认证服务使用密码许可证》证明</w:t>
      </w:r>
      <w:r>
        <w:rPr>
          <w:rFonts w:hint="eastAsia" w:ascii="宋体" w:hAnsi="宋体" w:cs="宋体"/>
          <w:bCs/>
          <w:sz w:val="24"/>
          <w:szCs w:val="24"/>
          <w:highlight w:val="none"/>
          <w:lang w:eastAsia="zh-CN"/>
        </w:rPr>
        <w:t>，</w:t>
      </w:r>
      <w:r>
        <w:rPr>
          <w:rFonts w:hint="eastAsia" w:ascii="宋体" w:hAnsi="宋体" w:cs="宋体"/>
          <w:bCs/>
          <w:sz w:val="24"/>
          <w:szCs w:val="24"/>
          <w:highlight w:val="none"/>
          <w:lang w:val="en-US" w:eastAsia="zh-CN"/>
        </w:rPr>
        <w:t>提供</w:t>
      </w:r>
      <w:r>
        <w:rPr>
          <w:rFonts w:hint="eastAsia" w:ascii="宋体" w:hAnsi="宋体" w:eastAsia="宋体" w:cs="宋体"/>
          <w:bCs/>
          <w:sz w:val="24"/>
          <w:szCs w:val="24"/>
          <w:highlight w:val="none"/>
        </w:rPr>
        <w:t>电子认证服务使用密码许可证</w:t>
      </w:r>
      <w:r>
        <w:rPr>
          <w:rFonts w:hint="eastAsia" w:ascii="宋体" w:hAnsi="宋体" w:cs="宋体"/>
          <w:bCs/>
          <w:sz w:val="24"/>
          <w:szCs w:val="24"/>
          <w:highlight w:val="none"/>
          <w:lang w:val="en-US" w:eastAsia="zh-CN"/>
        </w:rPr>
        <w:t>复印件</w:t>
      </w:r>
      <w:r>
        <w:rPr>
          <w:rFonts w:hint="eastAsia" w:ascii="宋体" w:hAnsi="宋体" w:eastAsia="宋体" w:cs="宋体"/>
          <w:bCs/>
          <w:sz w:val="24"/>
          <w:szCs w:val="24"/>
          <w:highlight w:val="none"/>
        </w:rPr>
        <w:t>。</w:t>
      </w:r>
    </w:p>
    <w:p w14:paraId="7F2F9B7F">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数据安全管理服务</w:t>
      </w:r>
    </w:p>
    <w:p w14:paraId="301735D3">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40DC67B3">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对数据源自动嗅探及管理，进行数据资产的盘点、敏感信息的自动识别、确定敏感数据的分布情况，最终对数据资产进行分类分级。</w:t>
      </w:r>
    </w:p>
    <w:p w14:paraId="43B29656">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需支持自动扫描网内数据库的功能，可以通过指定IP段的搜索，实现数据库的自动发现，可识别基本信息包括：端口号、数据库类型、数据库实例名、数据库服务器IP地址等，支持快速扫描和默认扫描双重扫描模式，通过机器发现和人工确认结合的方式，将发现的数据库纳入数据资产管理系统中。（需提供截图证明）</w:t>
      </w:r>
    </w:p>
    <w:p w14:paraId="4A75A3D0">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支持依据《个人信息安全规范》结合系统内置的敏感数据特征，对数据资产进行自动识别，形成个人信息清单，对个人信息进行统计展示，包括敏感数据占比、敏感数据Top信息，敏感数据变更统计。（需提供截图证明）</w:t>
      </w:r>
    </w:p>
    <w:p w14:paraId="5FB03F42">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3)▲需支持支持达梦（DM）、金仓（KingBase）、南大通用（GBase）、优选等数据库及csv、xls、xlsx等文件类型。（需提供截图证明）</w:t>
      </w:r>
    </w:p>
    <w:p w14:paraId="4A60ABA7">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4)需支持通过账户授权对数据库账户信息和权限信息进行梳理，形成账户清单和权限清单，对数据源中的账户信息和权限信息进行展示。</w:t>
      </w:r>
    </w:p>
    <w:p w14:paraId="398FA3F0">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5)需支持根据行业的业务特点进行数据特征分类分级，对于业务数据根据业务类型进行展示。支持用户修改分类和自定义字段业务类型。</w:t>
      </w:r>
    </w:p>
    <w:p w14:paraId="2BB68D15">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6)需支持依据数据分类分级标准和合规评估策略对数据资产进行合规分析，以“合规”“部分合规”“不合规”整体分析展示，并通过分类和分级两个维度对数据资产合规的详情信息包括数据库-&gt;数据表-&gt;字段、是否合规、防护方式等多个属性进行展示。</w:t>
      </w:r>
    </w:p>
    <w:p w14:paraId="3728B06B">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数据库安全保护服务</w:t>
      </w:r>
    </w:p>
    <w:p w14:paraId="0D43601E">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73371EF0">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针对数据库中的敏感数据进行保护，通过表空间防泄漏和列级防泄漏技术，防止内外部操作导库、拖库造成数据泄漏。</w:t>
      </w:r>
    </w:p>
    <w:p w14:paraId="6D233678">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1）需提供数据加解密、密文索引创建/删除等操作向导。</w:t>
      </w:r>
    </w:p>
    <w:p w14:paraId="638C0128">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2）▲需支持对加密数据使用密文索引技术，提升密文数据检索速率。（需提供截图证明）。</w:t>
      </w:r>
    </w:p>
    <w:p w14:paraId="34349005">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3）▲需支持对密文表进行数据列的添加/删除，添加时可指定列名、数据类型、长度、not null、默认值、注释等。（需提供截图证明）。</w:t>
      </w:r>
    </w:p>
    <w:p w14:paraId="5EC5D37A">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4）需支持通过平台下载密钥。支持对密钥进行周期轮换。</w:t>
      </w:r>
    </w:p>
    <w:p w14:paraId="1013B08B">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5）需支持3DES、AES等国际密码算法，SM4国密算法。</w:t>
      </w:r>
    </w:p>
    <w:p w14:paraId="49FFC97A">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6）需支持对金仓、达梦等数据库的透明加解密。</w:t>
      </w:r>
    </w:p>
    <w:p w14:paraId="249B395E">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数据库运维防护服务</w:t>
      </w:r>
    </w:p>
    <w:p w14:paraId="2BCEE515">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45E5F398">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统一数据库运维入口，实现数据库操作命令及脚本的精细化审计，包括数据库敏感命令的操作限制等数据库运维审计能力。</w:t>
      </w:r>
    </w:p>
    <w:p w14:paraId="3DD5EF1F">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1）▲需支持</w:t>
      </w:r>
      <w:r>
        <w:rPr>
          <w:rFonts w:hint="eastAsia" w:ascii="宋体" w:hAnsi="宋体" w:eastAsia="宋体" w:cs="宋体"/>
          <w:bCs/>
          <w:sz w:val="24"/>
          <w:szCs w:val="24"/>
          <w:highlight w:val="none"/>
          <w:lang w:val="en-US" w:eastAsia="zh-CN"/>
        </w:rPr>
        <w:t>达梦</w:t>
      </w:r>
      <w:r>
        <w:rPr>
          <w:rFonts w:hint="eastAsia" w:ascii="宋体" w:hAnsi="宋体" w:eastAsia="宋体" w:cs="宋体"/>
          <w:bCs/>
          <w:sz w:val="24"/>
          <w:szCs w:val="24"/>
          <w:highlight w:val="none"/>
        </w:rPr>
        <w:t>、</w:t>
      </w:r>
      <w:r>
        <w:rPr>
          <w:rFonts w:hint="eastAsia" w:ascii="宋体" w:hAnsi="宋体" w:eastAsia="宋体" w:cs="宋体"/>
          <w:bCs/>
          <w:sz w:val="24"/>
          <w:szCs w:val="24"/>
          <w:highlight w:val="none"/>
          <w:lang w:val="en-US" w:eastAsia="zh-CN"/>
        </w:rPr>
        <w:t>金仓</w:t>
      </w:r>
      <w:r>
        <w:rPr>
          <w:rFonts w:hint="eastAsia" w:ascii="宋体" w:hAnsi="宋体" w:eastAsia="宋体" w:cs="宋体"/>
          <w:bCs/>
          <w:sz w:val="24"/>
          <w:szCs w:val="24"/>
          <w:highlight w:val="none"/>
        </w:rPr>
        <w:t>、</w:t>
      </w:r>
      <w:r>
        <w:rPr>
          <w:rFonts w:hint="eastAsia" w:ascii="宋体" w:hAnsi="宋体" w:eastAsia="宋体" w:cs="宋体"/>
          <w:sz w:val="24"/>
          <w:szCs w:val="24"/>
          <w:highlight w:val="none"/>
        </w:rPr>
        <w:t>南大通用</w:t>
      </w:r>
      <w:r>
        <w:rPr>
          <w:rFonts w:hint="eastAsia" w:ascii="宋体" w:hAnsi="宋体" w:eastAsia="宋体" w:cs="宋体"/>
          <w:bCs/>
          <w:sz w:val="24"/>
          <w:szCs w:val="24"/>
          <w:highlight w:val="none"/>
        </w:rPr>
        <w:t>8a、</w:t>
      </w:r>
      <w:r>
        <w:rPr>
          <w:rFonts w:hint="eastAsia" w:ascii="宋体" w:hAnsi="宋体" w:eastAsia="宋体" w:cs="宋体"/>
          <w:sz w:val="24"/>
          <w:szCs w:val="24"/>
          <w:highlight w:val="none"/>
        </w:rPr>
        <w:t>南大通用</w:t>
      </w:r>
      <w:r>
        <w:rPr>
          <w:rFonts w:hint="eastAsia" w:ascii="宋体" w:hAnsi="宋体" w:eastAsia="宋体" w:cs="宋体"/>
          <w:bCs/>
          <w:sz w:val="24"/>
          <w:szCs w:val="24"/>
          <w:highlight w:val="none"/>
        </w:rPr>
        <w:t>8s、</w:t>
      </w:r>
      <w:r>
        <w:rPr>
          <w:rFonts w:hint="eastAsia" w:ascii="宋体" w:hAnsi="宋体" w:eastAsia="宋体" w:cs="宋体"/>
          <w:sz w:val="24"/>
          <w:szCs w:val="24"/>
          <w:highlight w:val="none"/>
        </w:rPr>
        <w:t>南大通用</w:t>
      </w:r>
      <w:r>
        <w:rPr>
          <w:rFonts w:hint="eastAsia" w:ascii="宋体" w:hAnsi="宋体" w:eastAsia="宋体" w:cs="宋体"/>
          <w:bCs/>
          <w:sz w:val="24"/>
          <w:szCs w:val="24"/>
          <w:highlight w:val="none"/>
        </w:rPr>
        <w:t>8C、Alisql、TDSQL、瀚高、CirroData、Kaiwu</w:t>
      </w:r>
      <w:r>
        <w:rPr>
          <w:rFonts w:hint="eastAsia" w:ascii="宋体" w:hAnsi="宋体" w:eastAsia="宋体" w:cs="宋体"/>
          <w:bCs/>
          <w:sz w:val="24"/>
          <w:szCs w:val="24"/>
          <w:highlight w:val="none"/>
          <w:lang w:val="en-US" w:eastAsia="zh-CN"/>
        </w:rPr>
        <w:t>DB</w:t>
      </w:r>
      <w:r>
        <w:rPr>
          <w:rFonts w:hint="eastAsia" w:ascii="宋体" w:hAnsi="宋体" w:eastAsia="宋体" w:cs="宋体"/>
          <w:bCs/>
          <w:sz w:val="24"/>
          <w:szCs w:val="24"/>
          <w:highlight w:val="none"/>
        </w:rPr>
        <w:t>等主流数据库。（需提供截图证明）。</w:t>
      </w:r>
    </w:p>
    <w:p w14:paraId="5F66B3BE">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2）需支持网络流量抓包功能，能够帮助管理员分析流量、判断问题，支持根据流量包大小或者时间进行过滤，支持指定IP、指定端口或者全部网络数据进行抓包。</w:t>
      </w:r>
    </w:p>
    <w:p w14:paraId="67EEA7DA">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需支持自定义访问控制规则功能，规则设置条件大于30种，至少包括等级、优先级、响应动作、时间、IP、时间组、数据库账号、主机名、MAC、源程序、系统用户名、数据库账户组、阈值、动作、对象、字段、表、数据库、schema、SQL关键字、结果集关键字、影响行数等。</w:t>
      </w:r>
    </w:p>
    <w:p w14:paraId="6EC30473">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4）需支持统计并展示资产信息，包括数据库数量、数据库账号数量、敏感字段数量。</w:t>
      </w:r>
    </w:p>
    <w:p w14:paraId="25D9BFBA">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5）需支持丰富的备份策略，包括配置备份、系统日志备份以及业务日志备份功能，可以根据需要进行灵活备份，在需要时可以进行数据还原。</w:t>
      </w:r>
    </w:p>
    <w:p w14:paraId="3CB4CA61">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6）▲需支持识别数据信息、敏感数据类型，支持自定义敏感数据识别规则。（需提供截图证明）。</w:t>
      </w:r>
    </w:p>
    <w:p w14:paraId="68C8494E">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7）▲支持自学习功能，可以自动建立访问基线并开展准入管控（需提供截图证明）。</w:t>
      </w:r>
    </w:p>
    <w:p w14:paraId="00488E6C">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数据库脱敏服务</w:t>
      </w:r>
    </w:p>
    <w:p w14:paraId="5FECCDC0">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749D6186">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数据库动态脱敏：实时在线数据脱敏，包括数据替换、随机、遮蔽、哈希等脱敏处理能力；</w:t>
      </w:r>
    </w:p>
    <w:p w14:paraId="15830617">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1）需支持</w:t>
      </w:r>
      <w:r>
        <w:rPr>
          <w:rFonts w:hint="eastAsia" w:ascii="宋体" w:hAnsi="宋体" w:eastAsia="宋体" w:cs="宋体"/>
          <w:bCs/>
          <w:sz w:val="24"/>
          <w:szCs w:val="24"/>
          <w:highlight w:val="none"/>
          <w:lang w:val="en-US" w:eastAsia="zh-CN"/>
        </w:rPr>
        <w:t>达梦</w:t>
      </w:r>
      <w:r>
        <w:rPr>
          <w:rFonts w:hint="eastAsia" w:ascii="宋体" w:hAnsi="宋体" w:eastAsia="宋体" w:cs="宋体"/>
          <w:bCs/>
          <w:sz w:val="24"/>
          <w:szCs w:val="24"/>
          <w:highlight w:val="none"/>
        </w:rPr>
        <w:t>、</w:t>
      </w:r>
      <w:r>
        <w:rPr>
          <w:rFonts w:hint="eastAsia" w:ascii="宋体" w:hAnsi="宋体" w:eastAsia="宋体" w:cs="宋体"/>
          <w:bCs/>
          <w:sz w:val="24"/>
          <w:szCs w:val="24"/>
          <w:highlight w:val="none"/>
          <w:lang w:val="en-US" w:eastAsia="zh-CN"/>
        </w:rPr>
        <w:t>金仓</w:t>
      </w:r>
      <w:r>
        <w:rPr>
          <w:rFonts w:hint="eastAsia" w:ascii="宋体" w:hAnsi="宋体" w:eastAsia="宋体" w:cs="宋体"/>
          <w:bCs/>
          <w:sz w:val="24"/>
          <w:szCs w:val="24"/>
          <w:highlight w:val="none"/>
        </w:rPr>
        <w:t>、</w:t>
      </w:r>
      <w:r>
        <w:rPr>
          <w:rFonts w:hint="eastAsia" w:ascii="宋体" w:hAnsi="宋体" w:eastAsia="宋体" w:cs="宋体"/>
          <w:sz w:val="24"/>
          <w:szCs w:val="24"/>
          <w:highlight w:val="none"/>
        </w:rPr>
        <w:t>南大通用</w:t>
      </w:r>
      <w:r>
        <w:rPr>
          <w:rFonts w:hint="eastAsia" w:ascii="宋体" w:hAnsi="宋体" w:eastAsia="宋体" w:cs="宋体"/>
          <w:bCs/>
          <w:sz w:val="24"/>
          <w:szCs w:val="24"/>
          <w:highlight w:val="none"/>
        </w:rPr>
        <w:t>8a、</w:t>
      </w:r>
      <w:r>
        <w:rPr>
          <w:rFonts w:hint="eastAsia" w:ascii="宋体" w:hAnsi="宋体" w:eastAsia="宋体" w:cs="宋体"/>
          <w:sz w:val="24"/>
          <w:szCs w:val="24"/>
          <w:highlight w:val="none"/>
        </w:rPr>
        <w:t>南大通用</w:t>
      </w:r>
      <w:r>
        <w:rPr>
          <w:rFonts w:hint="eastAsia" w:ascii="宋体" w:hAnsi="宋体" w:eastAsia="宋体" w:cs="宋体"/>
          <w:bCs/>
          <w:sz w:val="24"/>
          <w:szCs w:val="24"/>
          <w:highlight w:val="none"/>
        </w:rPr>
        <w:t>8s、</w:t>
      </w:r>
      <w:r>
        <w:rPr>
          <w:rFonts w:hint="eastAsia" w:ascii="宋体" w:hAnsi="宋体" w:eastAsia="宋体" w:cs="宋体"/>
          <w:sz w:val="24"/>
          <w:szCs w:val="24"/>
          <w:highlight w:val="none"/>
        </w:rPr>
        <w:t>南大通用</w:t>
      </w:r>
      <w:r>
        <w:rPr>
          <w:rFonts w:hint="eastAsia" w:ascii="宋体" w:hAnsi="宋体" w:eastAsia="宋体" w:cs="宋体"/>
          <w:bCs/>
          <w:sz w:val="24"/>
          <w:szCs w:val="24"/>
          <w:highlight w:val="none"/>
        </w:rPr>
        <w:t>8C</w:t>
      </w: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lang w:val="en-US" w:eastAsia="zh-CN"/>
        </w:rPr>
        <w:t>H</w:t>
      </w:r>
      <w:r>
        <w:rPr>
          <w:rFonts w:hint="eastAsia" w:ascii="宋体" w:hAnsi="宋体" w:eastAsia="宋体" w:cs="宋体"/>
          <w:bCs/>
          <w:sz w:val="24"/>
          <w:szCs w:val="24"/>
          <w:highlight w:val="none"/>
        </w:rPr>
        <w:t>igh</w:t>
      </w:r>
      <w:r>
        <w:rPr>
          <w:rFonts w:hint="eastAsia" w:ascii="宋体" w:hAnsi="宋体" w:eastAsia="宋体" w:cs="宋体"/>
          <w:bCs/>
          <w:sz w:val="24"/>
          <w:szCs w:val="24"/>
          <w:highlight w:val="none"/>
          <w:lang w:val="en-US" w:eastAsia="zh-CN"/>
        </w:rPr>
        <w:t>G</w:t>
      </w:r>
      <w:r>
        <w:rPr>
          <w:rFonts w:hint="eastAsia" w:ascii="宋体" w:hAnsi="宋体" w:eastAsia="宋体" w:cs="宋体"/>
          <w:bCs/>
          <w:sz w:val="24"/>
          <w:szCs w:val="24"/>
          <w:highlight w:val="none"/>
        </w:rPr>
        <w:t>o、</w:t>
      </w:r>
      <w:r>
        <w:rPr>
          <w:rFonts w:hint="eastAsia" w:ascii="宋体" w:hAnsi="宋体" w:eastAsia="宋体" w:cs="宋体"/>
          <w:bCs/>
          <w:sz w:val="24"/>
          <w:szCs w:val="24"/>
          <w:highlight w:val="none"/>
          <w:lang w:val="en-US" w:eastAsia="zh-CN"/>
        </w:rPr>
        <w:t>O</w:t>
      </w:r>
      <w:r>
        <w:rPr>
          <w:rFonts w:hint="eastAsia" w:ascii="宋体" w:hAnsi="宋体" w:eastAsia="宋体" w:cs="宋体"/>
          <w:bCs/>
          <w:sz w:val="24"/>
          <w:szCs w:val="24"/>
          <w:highlight w:val="none"/>
        </w:rPr>
        <w:t>scar、</w:t>
      </w:r>
      <w:r>
        <w:rPr>
          <w:rFonts w:hint="eastAsia" w:ascii="宋体" w:hAnsi="宋体" w:eastAsia="宋体" w:cs="宋体"/>
          <w:bCs/>
          <w:sz w:val="24"/>
          <w:szCs w:val="24"/>
          <w:highlight w:val="none"/>
          <w:lang w:val="en-US" w:eastAsia="zh-CN"/>
        </w:rPr>
        <w:t>T</w:t>
      </w:r>
      <w:r>
        <w:rPr>
          <w:rFonts w:hint="eastAsia" w:ascii="宋体" w:hAnsi="宋体" w:eastAsia="宋体" w:cs="宋体"/>
          <w:bCs/>
          <w:sz w:val="24"/>
          <w:szCs w:val="24"/>
          <w:highlight w:val="none"/>
        </w:rPr>
        <w:t>ele</w:t>
      </w:r>
      <w:r>
        <w:rPr>
          <w:rFonts w:hint="eastAsia" w:ascii="宋体" w:hAnsi="宋体" w:eastAsia="宋体" w:cs="宋体"/>
          <w:bCs/>
          <w:sz w:val="24"/>
          <w:szCs w:val="24"/>
          <w:highlight w:val="none"/>
          <w:lang w:val="en-US" w:eastAsia="zh-CN"/>
        </w:rPr>
        <w:t>DB</w:t>
      </w:r>
      <w:r>
        <w:rPr>
          <w:rFonts w:hint="eastAsia" w:ascii="宋体" w:hAnsi="宋体" w:eastAsia="宋体" w:cs="宋体"/>
          <w:bCs/>
          <w:sz w:val="24"/>
          <w:szCs w:val="24"/>
          <w:highlight w:val="none"/>
        </w:rPr>
        <w:t>、KaiwuDB、Doris、行云、</w:t>
      </w:r>
      <w:r>
        <w:rPr>
          <w:rFonts w:hint="eastAsia" w:ascii="宋体" w:hAnsi="宋体" w:eastAsia="宋体" w:cs="宋体"/>
          <w:sz w:val="24"/>
          <w:szCs w:val="24"/>
          <w:highlight w:val="none"/>
        </w:rPr>
        <w:t>CirroData</w:t>
      </w:r>
      <w:r>
        <w:rPr>
          <w:rFonts w:hint="eastAsia" w:ascii="宋体" w:hAnsi="宋体" w:eastAsia="宋体" w:cs="宋体"/>
          <w:bCs/>
          <w:sz w:val="24"/>
          <w:szCs w:val="24"/>
          <w:highlight w:val="none"/>
        </w:rPr>
        <w:t>、</w:t>
      </w:r>
      <w:r>
        <w:rPr>
          <w:rFonts w:hint="eastAsia" w:ascii="宋体" w:hAnsi="宋体" w:eastAsia="宋体" w:cs="宋体"/>
          <w:sz w:val="24"/>
          <w:szCs w:val="24"/>
          <w:highlight w:val="none"/>
        </w:rPr>
        <w:t>AliSQL</w:t>
      </w:r>
      <w:r>
        <w:rPr>
          <w:rFonts w:hint="eastAsia" w:ascii="宋体" w:hAnsi="宋体" w:eastAsia="宋体" w:cs="宋体"/>
          <w:bCs/>
          <w:sz w:val="24"/>
          <w:szCs w:val="24"/>
          <w:highlight w:val="none"/>
        </w:rPr>
        <w:t>、</w:t>
      </w:r>
      <w:r>
        <w:rPr>
          <w:rFonts w:hint="eastAsia" w:ascii="宋体" w:hAnsi="宋体" w:eastAsia="宋体" w:cs="宋体"/>
          <w:sz w:val="24"/>
          <w:szCs w:val="24"/>
          <w:highlight w:val="none"/>
        </w:rPr>
        <w:t>TDSQL</w:t>
      </w:r>
      <w:r>
        <w:rPr>
          <w:rFonts w:hint="eastAsia" w:ascii="宋体" w:hAnsi="宋体" w:eastAsia="宋体" w:cs="宋体"/>
          <w:bCs/>
          <w:sz w:val="24"/>
          <w:szCs w:val="24"/>
          <w:highlight w:val="none"/>
        </w:rPr>
        <w:t>等国内主流数据库。（需提供截图证明）。</w:t>
      </w:r>
    </w:p>
    <w:p w14:paraId="14F6CC6D">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w:t>
      </w: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lang w:val="en-US" w:eastAsia="zh-CN"/>
        </w:rPr>
        <w:t>需</w:t>
      </w:r>
      <w:r>
        <w:rPr>
          <w:rFonts w:hint="eastAsia" w:ascii="宋体" w:hAnsi="宋体" w:eastAsia="宋体" w:cs="宋体"/>
          <w:i w:val="0"/>
          <w:iCs w:val="0"/>
          <w:color w:val="000000"/>
          <w:kern w:val="0"/>
          <w:sz w:val="24"/>
          <w:szCs w:val="24"/>
          <w:highlight w:val="none"/>
          <w:u w:val="none"/>
          <w:lang w:val="en-US" w:eastAsia="zh-CN" w:bidi="ar"/>
        </w:rPr>
        <w:t>支持查看资产的敏感数据发现结果</w:t>
      </w:r>
      <w:r>
        <w:rPr>
          <w:rFonts w:hint="eastAsia" w:ascii="宋体" w:hAnsi="宋体" w:eastAsia="宋体" w:cs="宋体"/>
          <w:bCs/>
          <w:sz w:val="24"/>
          <w:szCs w:val="24"/>
          <w:highlight w:val="none"/>
        </w:rPr>
        <w:t>。</w:t>
      </w:r>
    </w:p>
    <w:p w14:paraId="6745E46C">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3）需支持自定义扩展敏感数据特征，新扩展的敏感数据特征可以通过数据发现功能进行识别。</w:t>
      </w:r>
    </w:p>
    <w:p w14:paraId="7E1A86C9">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4）需支持复杂SQL请求的脱敏，包含但不限于：select *，嵌套和多层嵌套，连接（左连接、右连接、内连接）查询，比较查询、模糊查询、范围查询、分组查询等。</w:t>
      </w:r>
    </w:p>
    <w:p w14:paraId="4A75ACFD">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5）系统支持数据字典功能，满足个性化敏感数据发现需求。</w:t>
      </w:r>
    </w:p>
    <w:p w14:paraId="0A7B2062">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6）API脱敏：支持对API接口调用数据进行脱敏。</w:t>
      </w:r>
    </w:p>
    <w:p w14:paraId="356FE3BC">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7）▲精确脱敏：以SQL改写为核心的脱敏模式，用户可以定义精确脱敏规则；（</w:t>
      </w:r>
      <w:r>
        <w:rPr>
          <w:rFonts w:hint="eastAsia" w:ascii="宋体" w:hAnsi="宋体" w:cs="宋体"/>
          <w:bCs/>
          <w:sz w:val="24"/>
          <w:szCs w:val="24"/>
          <w:highlight w:val="none"/>
          <w:lang w:val="en-US" w:eastAsia="zh-CN"/>
        </w:rPr>
        <w:t>需提</w:t>
      </w:r>
      <w:r>
        <w:rPr>
          <w:rFonts w:hint="eastAsia" w:ascii="宋体" w:hAnsi="宋体" w:eastAsia="宋体" w:cs="宋体"/>
          <w:bCs/>
          <w:sz w:val="24"/>
          <w:szCs w:val="24"/>
          <w:highlight w:val="none"/>
        </w:rPr>
        <w:t>供证明截图）。</w:t>
      </w:r>
    </w:p>
    <w:p w14:paraId="353A7677">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数据库静态脱敏：基于脱敏任务，对目标数据库中选定待脱敏数据进行脱敏，敏感数据的自动识别和发现。</w:t>
      </w:r>
    </w:p>
    <w:p w14:paraId="473CAFA0">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1）▲需支持达梦等主流</w:t>
      </w:r>
      <w:r>
        <w:rPr>
          <w:rFonts w:hint="eastAsia" w:ascii="宋体" w:hAnsi="宋体" w:eastAsia="宋体" w:cs="宋体"/>
          <w:bCs/>
          <w:sz w:val="24"/>
          <w:szCs w:val="24"/>
          <w:highlight w:val="none"/>
          <w:lang w:val="en-US" w:eastAsia="zh-CN"/>
        </w:rPr>
        <w:t>数据库</w:t>
      </w:r>
      <w:r>
        <w:rPr>
          <w:rFonts w:hint="eastAsia" w:ascii="宋体" w:hAnsi="宋体" w:eastAsia="宋体" w:cs="宋体"/>
          <w:bCs/>
          <w:sz w:val="24"/>
          <w:szCs w:val="24"/>
          <w:highlight w:val="none"/>
        </w:rPr>
        <w:t>，支持文件csv、txt、excel、xml、dmp、json、dicm、docx文件等。（需提供截图证明）。</w:t>
      </w:r>
    </w:p>
    <w:p w14:paraId="0DC7E849">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2）需支持库到库、库到文件、文件到文件、文件到库等方式进行脱敏。</w:t>
      </w:r>
    </w:p>
    <w:p w14:paraId="12850A46">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3</w:t>
      </w:r>
      <w:r>
        <w:rPr>
          <w:rFonts w:hint="eastAsia" w:ascii="宋体" w:hAnsi="宋体" w:eastAsia="宋体" w:cs="宋体"/>
          <w:bCs/>
          <w:sz w:val="24"/>
          <w:szCs w:val="24"/>
          <w:highlight w:val="none"/>
        </w:rPr>
        <w:t>）需支持通过FTP,SFTP,NFS协议访问NAS盘中的文件，对存储的数据文件进行脱敏。</w:t>
      </w:r>
    </w:p>
    <w:p w14:paraId="7914A189">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4</w:t>
      </w:r>
      <w:r>
        <w:rPr>
          <w:rFonts w:hint="eastAsia" w:ascii="宋体" w:hAnsi="宋体" w:eastAsia="宋体" w:cs="宋体"/>
          <w:bCs/>
          <w:sz w:val="24"/>
          <w:szCs w:val="24"/>
          <w:highlight w:val="none"/>
        </w:rPr>
        <w:t>）▲需支持增量敏感发现能力、枚举敏感发现算法，敏感发现算法支持互斥性属性。（需提供截图证明）。</w:t>
      </w:r>
    </w:p>
    <w:p w14:paraId="1A83CD2F">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5</w:t>
      </w:r>
      <w:r>
        <w:rPr>
          <w:rFonts w:hint="eastAsia" w:ascii="宋体" w:hAnsi="宋体" w:eastAsia="宋体" w:cs="宋体"/>
          <w:bCs/>
          <w:sz w:val="24"/>
          <w:szCs w:val="24"/>
          <w:highlight w:val="none"/>
        </w:rPr>
        <w:t>）需支持按照需求配置组合发现策略，单张表同时包含组合策略中的多种敏感类型判别为敏感对象。</w:t>
      </w:r>
    </w:p>
    <w:p w14:paraId="65238816">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6</w:t>
      </w:r>
      <w:r>
        <w:rPr>
          <w:rFonts w:hint="eastAsia" w:ascii="宋体" w:hAnsi="宋体" w:eastAsia="宋体" w:cs="宋体"/>
          <w:bCs/>
          <w:sz w:val="24"/>
          <w:szCs w:val="24"/>
          <w:highlight w:val="none"/>
        </w:rPr>
        <w:t>）需支持对多次执行敏感任务对发现结果做比对。</w:t>
      </w:r>
    </w:p>
    <w:p w14:paraId="6A4773CC">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7</w:t>
      </w:r>
      <w:r>
        <w:rPr>
          <w:rFonts w:hint="eastAsia" w:ascii="宋体" w:hAnsi="宋体" w:eastAsia="宋体" w:cs="宋体"/>
          <w:bCs/>
          <w:sz w:val="24"/>
          <w:szCs w:val="24"/>
          <w:highlight w:val="none"/>
        </w:rPr>
        <w:t>）需支持增量脱敏功能，通过配置增量字段（自增、时间及其他类型）实现自动增量脱敏，实现定期调度源库进行增量脱敏。</w:t>
      </w:r>
    </w:p>
    <w:p w14:paraId="04FBAC84">
      <w:p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bCs/>
          <w:sz w:val="24"/>
          <w:szCs w:val="24"/>
          <w:highlight w:val="none"/>
          <w:lang w:val="en-US" w:eastAsia="zh-CN"/>
        </w:rPr>
        <w:t>8</w:t>
      </w:r>
      <w:r>
        <w:rPr>
          <w:rFonts w:hint="eastAsia" w:ascii="宋体" w:hAnsi="宋体" w:eastAsia="宋体" w:cs="宋体"/>
          <w:bCs/>
          <w:sz w:val="24"/>
          <w:szCs w:val="24"/>
          <w:highlight w:val="none"/>
        </w:rPr>
        <w:t>）需支持根据系统资源动态调优管理任务线程，增加脱敏性能。</w:t>
      </w:r>
    </w:p>
    <w:p w14:paraId="2829B838">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应用接口风险监测服务</w:t>
      </w:r>
    </w:p>
    <w:p w14:paraId="7874FCCE">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按照采购人的具体需求，满足如下功能需求：</w:t>
      </w:r>
    </w:p>
    <w:p w14:paraId="36924AE5">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对API接口流量、特定协议类型进行完整解析，基于海量日志数据、分布式文件化数据的快速数据定位、特征提取、数据挖掘建模、接口数据分析和接口数据综合展现等技术机制，实现对API接口安全风险的动态识别。</w:t>
      </w:r>
    </w:p>
    <w:p w14:paraId="1FED22D8">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1）需支持通过域名黑白名单、UserAgent、Content-Type黑白名单、URL后缀黑白名单、源IP黑白名单、目标IP端口黑白名单、响应码黑白名单、URL Path黑白名单等多条件组合进行流量过滤。</w:t>
      </w:r>
    </w:p>
    <w:p w14:paraId="71AA0F1B">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2）需支持基于服务端IP、URL目标、域名、应用名称、用户自定义key、检测位置query/header/cookie等条件配置定向API鉴权识别规则。</w:t>
      </w:r>
    </w:p>
    <w:p w14:paraId="2BF405C5">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需支持通过梳理形成API清单，支持以域名、HOST、标签以及应用维度详细展示API资产信息,展示信息包括但不限于：接口类型、接口路径、数据标签、资产标签、自定义标签、接口状态、所属应用、创建时间、更新时间、域名、HOST信息、参数信息等，并支持跳转到接口画像功能。</w:t>
      </w:r>
    </w:p>
    <w:p w14:paraId="473217BA">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4）▲需支持针对API接口进行访问关系画像,明确展示端到端的可视化拓扑，拓扑支持明确到具体调用次数，且可对单次行为画像拓扑进行图片导出（需提供截图证明）。</w:t>
      </w:r>
    </w:p>
    <w:p w14:paraId="6D682463">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5）需支持对cookie、header、query中的敏感字段进行擦除设置。</w:t>
      </w:r>
    </w:p>
    <w:p w14:paraId="476B5DE6">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6）▲需支持以应用、域名、HOST、客户端IP、用户、事件、标签、应用为维度进行访问行为分析，分析指定时间范围内的请求量趋势、响应码分布、请求域名排行、请求IP排行、客户端分布、客户端地域分布、事件明细分布、事件类型分布等信息。（需提供截图证明）。</w:t>
      </w:r>
    </w:p>
    <w:p w14:paraId="37B9884C">
      <w:pPr>
        <w:pStyle w:val="6"/>
        <w:numPr>
          <w:ilvl w:val="2"/>
          <w:numId w:val="1"/>
        </w:numPr>
        <w:rPr>
          <w:rFonts w:hint="eastAsia" w:ascii="宋体" w:hAnsi="宋体" w:eastAsia="宋体" w:cs="宋体"/>
          <w:sz w:val="24"/>
          <w:szCs w:val="24"/>
          <w:highlight w:val="none"/>
        </w:rPr>
      </w:pPr>
      <w:r>
        <w:rPr>
          <w:rFonts w:hint="eastAsia" w:ascii="宋体" w:hAnsi="宋体" w:eastAsia="宋体" w:cs="宋体"/>
          <w:bCs w:val="0"/>
          <w:sz w:val="24"/>
          <w:szCs w:val="24"/>
          <w:highlight w:val="none"/>
        </w:rPr>
        <w:t>云机房及专网服务</w:t>
      </w:r>
    </w:p>
    <w:p w14:paraId="0861F0B9">
      <w:pPr>
        <w:pStyle w:val="7"/>
        <w:numPr>
          <w:ilvl w:val="3"/>
          <w:numId w:val="1"/>
        </w:numPr>
        <w:rPr>
          <w:rFonts w:hint="eastAsia" w:ascii="宋体" w:hAnsi="宋体" w:eastAsia="宋体" w:cs="宋体"/>
          <w:sz w:val="24"/>
          <w:szCs w:val="24"/>
          <w:highlight w:val="none"/>
        </w:rPr>
      </w:pPr>
      <w:r>
        <w:rPr>
          <w:rFonts w:hint="eastAsia" w:ascii="宋体" w:hAnsi="宋体" w:eastAsia="宋体" w:cs="宋体"/>
          <w:sz w:val="24"/>
          <w:szCs w:val="24"/>
          <w:highlight w:val="none"/>
        </w:rPr>
        <w:t>机房环境要求</w:t>
      </w:r>
    </w:p>
    <w:p w14:paraId="46010302">
      <w:pPr>
        <w:spacing w:before="67" w:line="360" w:lineRule="auto"/>
        <w:ind w:right="61" w:firstLine="42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1)参照《GB 50174-2017 数据中心设计规范》，机房须满足A级建设标准要求；</w:t>
      </w:r>
    </w:p>
    <w:p w14:paraId="6582336E">
      <w:pPr>
        <w:spacing w:before="67" w:line="360" w:lineRule="auto"/>
        <w:ind w:right="61" w:firstLine="42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2)机房空间面积可容纳≥100个42U机柜；</w:t>
      </w:r>
    </w:p>
    <w:p w14:paraId="4FF6C2E8">
      <w:pPr>
        <w:spacing w:before="67" w:line="360" w:lineRule="auto"/>
        <w:ind w:right="61" w:firstLine="42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3)每机柜提供双路不间断供电，电力总功率每机柜不低于4.4KW；</w:t>
      </w:r>
    </w:p>
    <w:p w14:paraId="1A6460BA">
      <w:pPr>
        <w:spacing w:before="67" w:line="360" w:lineRule="auto"/>
        <w:ind w:right="61" w:firstLine="42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4)具备更高供电机柜改造能力；</w:t>
      </w:r>
    </w:p>
    <w:p w14:paraId="77BA6393">
      <w:pPr>
        <w:spacing w:before="67" w:line="360" w:lineRule="auto"/>
        <w:ind w:right="61" w:firstLine="42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5)机房供电：需具备双路市电及发电机组</w:t>
      </w:r>
    </w:p>
    <w:p w14:paraId="524DCFEB">
      <w:pPr>
        <w:spacing w:before="67" w:line="360" w:lineRule="auto"/>
        <w:ind w:right="61" w:firstLine="42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6)电池后备时间：大于30分钟，达到A级标准</w:t>
      </w:r>
    </w:p>
    <w:p w14:paraId="63EB8EDE">
      <w:pPr>
        <w:spacing w:before="67" w:line="360" w:lineRule="auto"/>
        <w:ind w:right="61" w:firstLine="42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7)UPS电源：至少具备1套满足负载的UPS系统，如有两套，需采用并联冗余方式。</w:t>
      </w:r>
    </w:p>
    <w:p w14:paraId="0AC0FDB5">
      <w:pPr>
        <w:spacing w:before="67" w:line="360" w:lineRule="auto"/>
        <w:ind w:right="61" w:firstLine="42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8)精密空调机组：通风、恒温、恒湿</w:t>
      </w:r>
    </w:p>
    <w:p w14:paraId="49C7F561">
      <w:pPr>
        <w:spacing w:before="67" w:line="360" w:lineRule="auto"/>
        <w:ind w:right="61" w:firstLine="42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9)具备网络运行中心（NOC）24小时监测</w:t>
      </w:r>
    </w:p>
    <w:p w14:paraId="01929180">
      <w:pPr>
        <w:pStyle w:val="7"/>
        <w:numPr>
          <w:ilvl w:val="3"/>
          <w:numId w:val="1"/>
        </w:numPr>
        <w:rPr>
          <w:rFonts w:hint="eastAsia" w:ascii="宋体" w:hAnsi="宋体" w:eastAsia="宋体" w:cs="宋体"/>
          <w:bCs/>
          <w:sz w:val="24"/>
          <w:szCs w:val="24"/>
          <w:highlight w:val="none"/>
        </w:rPr>
      </w:pPr>
      <w:r>
        <w:rPr>
          <w:rFonts w:hint="eastAsia" w:ascii="宋体" w:hAnsi="宋体" w:eastAsia="宋体" w:cs="宋体"/>
          <w:bCs/>
          <w:sz w:val="24"/>
          <w:szCs w:val="24"/>
          <w:highlight w:val="none"/>
        </w:rPr>
        <w:t>机房管理要求</w:t>
      </w:r>
    </w:p>
    <w:p w14:paraId="20F4A498">
      <w:pPr>
        <w:spacing w:before="67" w:line="360" w:lineRule="auto"/>
        <w:ind w:right="61" w:firstLine="42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1)机房出入口及内部关键区域需配置门禁系统，防止未经授权访问，并对人员及物品出入机房进行严格管理。所有人员在机房内的行为、活动区间必须预先得到授权。进入机房内的人员必须按审批内容实施操作，严禁超越审批范围或违规操作。未经授权，机房内严禁拍照、录像。出入机房的物品，必须得到授权和核验；</w:t>
      </w:r>
    </w:p>
    <w:p w14:paraId="264C309F">
      <w:pPr>
        <w:spacing w:before="67" w:line="360" w:lineRule="auto"/>
        <w:ind w:right="61" w:firstLine="42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2)机房必须保证7x24小时有人现场值守，机房需设置7x24小时基础设施运行监控系统，所有监控录像必须至少保存 90 天；</w:t>
      </w:r>
    </w:p>
    <w:p w14:paraId="155223B9">
      <w:pPr>
        <w:spacing w:before="67" w:line="360" w:lineRule="auto"/>
        <w:ind w:right="61" w:firstLine="42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3)IT设备相关的机房现场维护需在维护窗口时间进行，除紧急维护外，不得在非维护窗口时间进行实施；</w:t>
      </w:r>
    </w:p>
    <w:p w14:paraId="433BF496">
      <w:pPr>
        <w:spacing w:before="67" w:line="360" w:lineRule="auto"/>
        <w:ind w:right="61" w:firstLine="42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4)应保证对所有基础设施设备定期进行预防性维护，应至少每年对机房区域支持设施进行一次全面检查。所有设备必须有足够的维护保障，关键设备须购买厂商的专业服务；</w:t>
      </w:r>
    </w:p>
    <w:p w14:paraId="3E73BFFA">
      <w:pPr>
        <w:spacing w:before="67" w:line="360" w:lineRule="auto"/>
        <w:ind w:right="61" w:firstLine="42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5)机房应制定配电、暖通、消防、自然灾害等应急预案，并定期进行应急演练；</w:t>
      </w:r>
    </w:p>
    <w:p w14:paraId="02075961">
      <w:pPr>
        <w:pStyle w:val="7"/>
        <w:numPr>
          <w:ilvl w:val="3"/>
          <w:numId w:val="1"/>
        </w:numPr>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专网服务要求</w:t>
      </w:r>
    </w:p>
    <w:p w14:paraId="5B651C05">
      <w:pPr>
        <w:spacing w:before="67" w:line="360" w:lineRule="auto"/>
        <w:ind w:right="61" w:firstLine="42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1)要求投标方提供的电路具有自愈保护功能，租用的电路可用率达到99.99%。投标方提供的网络必须具有很强的安全性，确保业务数据传输的安全，具有完善的安全保障措施。</w:t>
      </w:r>
    </w:p>
    <w:p w14:paraId="3B87EA5B">
      <w:pPr>
        <w:spacing w:before="67" w:line="360" w:lineRule="auto"/>
        <w:ind w:right="61" w:firstLine="42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2)要求全网采用全光纤的接入方式，核心点必须具备两条不同物理路由的光缆资源，安装大容量光端机设备，实现双物理路由的传输保护，组成自愈环网，即在一个方向的光纤断掉后不影响所租电路的正常使用，保护倒换时间小于50ms。分支点也必须采用光缆接入。</w:t>
      </w:r>
    </w:p>
    <w:p w14:paraId="2DCB8099">
      <w:pPr>
        <w:spacing w:before="67" w:line="360" w:lineRule="auto"/>
        <w:ind w:right="61" w:firstLine="42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3)提供256条点对点专线，连接至北京市本地医院/区卫健委等医疗机构，其中：50M专线70条，100M专线142条，200M专线36条，300M专线8条。</w:t>
      </w:r>
    </w:p>
    <w:p w14:paraId="39E4C202">
      <w:pPr>
        <w:spacing w:before="67" w:line="360" w:lineRule="auto"/>
        <w:ind w:right="61" w:firstLine="42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4)</w:t>
      </w:r>
      <w:r>
        <w:rPr>
          <w:rFonts w:hint="eastAsia" w:ascii="宋体" w:hAnsi="宋体" w:eastAsia="宋体" w:cs="宋体"/>
          <w:bCs/>
          <w:sz w:val="24"/>
          <w:szCs w:val="24"/>
          <w:highlight w:val="none"/>
        </w:rPr>
        <w:t>▲</w:t>
      </w:r>
      <w:r>
        <w:rPr>
          <w:rFonts w:hint="eastAsia" w:ascii="宋体" w:hAnsi="宋体" w:eastAsia="宋体" w:cs="宋体"/>
          <w:spacing w:val="-2"/>
          <w:sz w:val="24"/>
          <w:szCs w:val="24"/>
          <w:highlight w:val="none"/>
        </w:rPr>
        <w:t>签订合同后，于</w:t>
      </w:r>
      <w:r>
        <w:rPr>
          <w:rFonts w:hint="eastAsia" w:ascii="宋体" w:hAnsi="宋体" w:eastAsia="宋体" w:cs="宋体"/>
          <w:spacing w:val="-2"/>
          <w:sz w:val="24"/>
          <w:szCs w:val="24"/>
          <w:highlight w:val="none"/>
          <w:lang w:val="en-US" w:eastAsia="zh-CN"/>
        </w:rPr>
        <w:t>10</w:t>
      </w:r>
      <w:r>
        <w:rPr>
          <w:rFonts w:hint="eastAsia" w:ascii="宋体" w:hAnsi="宋体" w:eastAsia="宋体" w:cs="宋体"/>
          <w:spacing w:val="-2"/>
          <w:sz w:val="24"/>
          <w:szCs w:val="24"/>
          <w:highlight w:val="none"/>
        </w:rPr>
        <w:t>个自然日内按照</w:t>
      </w:r>
      <w:r>
        <w:rPr>
          <w:rFonts w:hint="eastAsia" w:ascii="宋体" w:hAnsi="宋体" w:cs="宋体"/>
          <w:spacing w:val="-2"/>
          <w:sz w:val="24"/>
          <w:szCs w:val="24"/>
          <w:highlight w:val="none"/>
          <w:lang w:val="en-US" w:eastAsia="zh-CN"/>
        </w:rPr>
        <w:t>采购人</w:t>
      </w:r>
      <w:r>
        <w:rPr>
          <w:rFonts w:hint="eastAsia" w:ascii="宋体" w:hAnsi="宋体" w:eastAsia="宋体" w:cs="宋体"/>
          <w:spacing w:val="-2"/>
          <w:sz w:val="24"/>
          <w:szCs w:val="24"/>
          <w:highlight w:val="none"/>
        </w:rPr>
        <w:t>要求开通256条专线，</w:t>
      </w:r>
      <w:r>
        <w:rPr>
          <w:rFonts w:hint="eastAsia" w:ascii="宋体" w:hAnsi="宋体" w:cs="宋体"/>
          <w:color w:val="auto"/>
          <w:spacing w:val="-2"/>
          <w:kern w:val="2"/>
          <w:sz w:val="24"/>
          <w:szCs w:val="24"/>
          <w:highlight w:val="none"/>
          <w:lang w:val="en-US" w:eastAsia="zh-CN" w:bidi="ar"/>
        </w:rPr>
        <w:t>并</w:t>
      </w:r>
      <w:r>
        <w:rPr>
          <w:rFonts w:hint="eastAsia" w:ascii="宋体" w:hAnsi="宋体" w:eastAsia="宋体" w:cs="宋体"/>
          <w:color w:val="auto"/>
          <w:spacing w:val="-2"/>
          <w:kern w:val="2"/>
          <w:sz w:val="24"/>
          <w:szCs w:val="24"/>
          <w:highlight w:val="none"/>
          <w:lang w:val="en-US" w:eastAsia="zh-CN" w:bidi="ar"/>
        </w:rPr>
        <w:t>提供加盖投标人公章的承诺函</w:t>
      </w:r>
      <w:r>
        <w:rPr>
          <w:rFonts w:hint="eastAsia" w:ascii="宋体" w:hAnsi="宋体" w:eastAsia="宋体" w:cs="宋体"/>
          <w:spacing w:val="-2"/>
          <w:sz w:val="24"/>
          <w:szCs w:val="24"/>
          <w:highlight w:val="none"/>
        </w:rPr>
        <w:t>。</w:t>
      </w:r>
    </w:p>
    <w:p w14:paraId="304CBEAD">
      <w:pPr>
        <w:spacing w:before="67" w:line="360" w:lineRule="auto"/>
        <w:ind w:right="61" w:firstLine="42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5)要求机房位于北京市辖区内，且具备主备机房，两机房间距离</w:t>
      </w:r>
      <w:r>
        <w:rPr>
          <w:rFonts w:hint="eastAsia" w:ascii="宋体" w:hAnsi="宋体" w:eastAsia="宋体" w:cs="宋体"/>
          <w:color w:val="000000"/>
          <w:kern w:val="0"/>
          <w:sz w:val="24"/>
          <w:szCs w:val="24"/>
          <w:highlight w:val="none"/>
          <w:lang w:bidi="ar"/>
        </w:rPr>
        <w:t>须控制在10-100公里间</w:t>
      </w:r>
      <w:r>
        <w:rPr>
          <w:rFonts w:hint="eastAsia" w:ascii="宋体" w:hAnsi="宋体" w:eastAsia="宋体" w:cs="宋体"/>
          <w:spacing w:val="-2"/>
          <w:sz w:val="24"/>
          <w:szCs w:val="24"/>
          <w:highlight w:val="none"/>
        </w:rPr>
        <w:t>，主机房与</w:t>
      </w:r>
      <w:r>
        <w:rPr>
          <w:rFonts w:hint="eastAsia" w:ascii="宋体" w:hAnsi="宋体" w:eastAsia="宋体" w:cs="宋体"/>
          <w:color w:val="000000"/>
          <w:kern w:val="0"/>
          <w:sz w:val="24"/>
          <w:szCs w:val="24"/>
          <w:highlight w:val="none"/>
          <w:lang w:bidi="ar"/>
        </w:rPr>
        <w:t>国家人工智能应用中试基地（医疗）·北京</w:t>
      </w:r>
      <w:r>
        <w:rPr>
          <w:rFonts w:hint="eastAsia" w:ascii="宋体" w:hAnsi="宋体" w:eastAsia="宋体" w:cs="宋体"/>
          <w:spacing w:val="-2"/>
          <w:sz w:val="24"/>
          <w:szCs w:val="24"/>
          <w:highlight w:val="none"/>
        </w:rPr>
        <w:t>云池能够实现网络联通，并提供低时延方案。</w:t>
      </w:r>
    </w:p>
    <w:p w14:paraId="1AFE914F">
      <w:pPr>
        <w:spacing w:before="67" w:line="360" w:lineRule="auto"/>
        <w:ind w:right="61" w:firstLine="42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6)需负责云池与现有北京市预约挂号平台间的网络链路打通，主备两条专线，每条专线带宽不小于1G。并负责云池与北京市预约挂号统一平台间网络对接、调测，提供对接方案。负责与</w:t>
      </w:r>
      <w:r>
        <w:rPr>
          <w:rFonts w:hint="eastAsia" w:ascii="宋体" w:hAnsi="宋体" w:eastAsia="宋体" w:cs="宋体"/>
          <w:color w:val="000000"/>
          <w:kern w:val="0"/>
          <w:sz w:val="24"/>
          <w:szCs w:val="24"/>
          <w:highlight w:val="none"/>
          <w:lang w:bidi="ar"/>
        </w:rPr>
        <w:t>国家人工智能应用中试基地（医疗）·北京</w:t>
      </w:r>
      <w:r>
        <w:rPr>
          <w:rFonts w:hint="eastAsia" w:ascii="宋体" w:hAnsi="宋体" w:eastAsia="宋体" w:cs="宋体"/>
          <w:spacing w:val="-2"/>
          <w:sz w:val="24"/>
          <w:szCs w:val="24"/>
          <w:highlight w:val="none"/>
        </w:rPr>
        <w:t>云池网络打通，主备两条专线/光纤，若采用专线，每条专线带宽不小于10G。负责与政务外网对接网络链路，并提供调测服务。</w:t>
      </w:r>
    </w:p>
    <w:p w14:paraId="6A387CD2">
      <w:pPr>
        <w:spacing w:before="67" w:line="360" w:lineRule="auto"/>
        <w:ind w:right="61" w:firstLine="42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7)按需为医疗机构提供北斗授时服务，医疗机构可通过专线获取云上NTP北斗时钟。需提供北斗授时网络调测服务，并于10个自然日内覆盖110家医疗机构，且具备全量医疗机构的接入能力。</w:t>
      </w:r>
    </w:p>
    <w:p w14:paraId="6457743D">
      <w:pPr>
        <w:spacing w:before="67" w:line="360" w:lineRule="auto"/>
        <w:ind w:right="61" w:firstLine="42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8)吞吐量（Throughput）： 100%（合格值）</w:t>
      </w:r>
    </w:p>
    <w:p w14:paraId="629CBDA7">
      <w:pPr>
        <w:spacing w:before="67" w:line="360" w:lineRule="auto"/>
        <w:ind w:right="61" w:firstLine="42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9)丢包率（Frame Loss）： ≤0.1%（合格值）</w:t>
      </w:r>
    </w:p>
    <w:p w14:paraId="60E6E390">
      <w:pPr>
        <w:spacing w:before="67" w:line="360" w:lineRule="auto"/>
        <w:ind w:right="61" w:firstLine="42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10)可用率：≥99.99%。</w:t>
      </w:r>
    </w:p>
    <w:p w14:paraId="0B0B7BCB">
      <w:pPr>
        <w:spacing w:before="67" w:line="360" w:lineRule="auto"/>
        <w:ind w:right="61" w:firstLine="42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11)骨干网电路保护倒换时间：≤50ms。</w:t>
      </w:r>
    </w:p>
    <w:p w14:paraId="45185222">
      <w:pPr>
        <w:spacing w:before="67" w:line="360" w:lineRule="auto"/>
        <w:ind w:right="61" w:firstLine="42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1</w:t>
      </w:r>
      <w:r>
        <w:rPr>
          <w:rFonts w:hint="eastAsia" w:ascii="宋体" w:hAnsi="宋体" w:eastAsia="宋体" w:cs="宋体"/>
          <w:spacing w:val="-2"/>
          <w:sz w:val="24"/>
          <w:szCs w:val="24"/>
          <w:highlight w:val="none"/>
          <w:lang w:val="en-US" w:eastAsia="zh-CN"/>
        </w:rPr>
        <w:t>2</w:t>
      </w:r>
      <w:r>
        <w:rPr>
          <w:rFonts w:hint="eastAsia" w:ascii="宋体" w:hAnsi="宋体" w:eastAsia="宋体" w:cs="宋体"/>
          <w:spacing w:val="-2"/>
          <w:sz w:val="24"/>
          <w:szCs w:val="24"/>
          <w:highlight w:val="none"/>
        </w:rPr>
        <w:t>)投标方提供的网络必须具备可扩展能力，能够适应招标方网络结构的变化，具有灵活的带宽伸缩能力，满足业务发展的需要。</w:t>
      </w:r>
    </w:p>
    <w:p w14:paraId="2ECEC85B">
      <w:pPr>
        <w:spacing w:before="67" w:line="360" w:lineRule="auto"/>
        <w:ind w:right="61" w:firstLine="42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1</w:t>
      </w:r>
      <w:r>
        <w:rPr>
          <w:rFonts w:hint="eastAsia" w:ascii="宋体" w:hAnsi="宋体" w:eastAsia="宋体" w:cs="宋体"/>
          <w:spacing w:val="-2"/>
          <w:sz w:val="24"/>
          <w:szCs w:val="24"/>
          <w:highlight w:val="none"/>
          <w:lang w:val="en-US" w:eastAsia="zh-CN"/>
        </w:rPr>
        <w:t>3</w:t>
      </w:r>
      <w:r>
        <w:rPr>
          <w:rFonts w:hint="eastAsia" w:ascii="宋体" w:hAnsi="宋体" w:eastAsia="宋体" w:cs="宋体"/>
          <w:spacing w:val="-2"/>
          <w:sz w:val="24"/>
          <w:szCs w:val="24"/>
          <w:highlight w:val="none"/>
        </w:rPr>
        <w:t>)投标方实现接入链路的端到端全程监控管理，充分保障用户电路的安全可靠性，及电路开通和调配的及时性和灵活性。</w:t>
      </w:r>
    </w:p>
    <w:p w14:paraId="115849E2">
      <w:pPr>
        <w:widowControl/>
        <w:numPr>
          <w:ilvl w:val="-1"/>
          <w:numId w:val="0"/>
        </w:numPr>
        <w:spacing w:before="67" w:line="360" w:lineRule="auto"/>
        <w:ind w:right="61" w:firstLine="420"/>
        <w:jc w:val="left"/>
        <w:textAlignment w:val="auto"/>
        <w:rPr>
          <w:rFonts w:hint="default" w:ascii="宋体" w:hAnsi="宋体" w:eastAsia="宋体" w:cs="宋体"/>
          <w:color w:val="auto"/>
          <w:spacing w:val="-2"/>
          <w:kern w:val="2"/>
          <w:sz w:val="24"/>
          <w:szCs w:val="24"/>
          <w:highlight w:val="none"/>
          <w:lang w:val="en-US" w:eastAsia="zh-CN" w:bidi="ar"/>
        </w:rPr>
      </w:pPr>
      <w:r>
        <w:rPr>
          <w:rFonts w:hint="eastAsia" w:ascii="宋体" w:hAnsi="宋体" w:eastAsia="宋体" w:cs="宋体"/>
          <w:spacing w:val="-2"/>
          <w:kern w:val="2"/>
          <w:sz w:val="24"/>
          <w:szCs w:val="24"/>
          <w:highlight w:val="none"/>
          <w:lang w:val="en-US" w:eastAsia="zh-CN" w:bidi="ar"/>
        </w:rPr>
        <w:t>14）</w:t>
      </w:r>
      <w:r>
        <w:rPr>
          <w:rFonts w:hint="eastAsia" w:ascii="宋体" w:hAnsi="宋体" w:eastAsia="宋体" w:cs="宋体"/>
          <w:bCs/>
          <w:sz w:val="24"/>
          <w:szCs w:val="24"/>
          <w:highlight w:val="none"/>
        </w:rPr>
        <w:t>▲</w:t>
      </w:r>
      <w:r>
        <w:rPr>
          <w:rFonts w:hint="eastAsia" w:ascii="宋体" w:hAnsi="宋体" w:eastAsia="宋体" w:cs="宋体"/>
          <w:color w:val="auto"/>
          <w:spacing w:val="-2"/>
          <w:kern w:val="2"/>
          <w:sz w:val="24"/>
          <w:szCs w:val="24"/>
          <w:highlight w:val="none"/>
          <w:lang w:bidi="ar"/>
        </w:rPr>
        <w:t>网络对接承诺</w:t>
      </w:r>
      <w:r>
        <w:rPr>
          <w:rFonts w:hint="eastAsia" w:ascii="宋体" w:hAnsi="宋体" w:eastAsia="宋体" w:cs="宋体"/>
          <w:spacing w:val="-2"/>
          <w:kern w:val="2"/>
          <w:sz w:val="24"/>
          <w:szCs w:val="24"/>
          <w:highlight w:val="none"/>
          <w:lang w:eastAsia="zh-CN" w:bidi="ar"/>
        </w:rPr>
        <w:t>：</w:t>
      </w:r>
      <w:r>
        <w:rPr>
          <w:rFonts w:hint="eastAsia" w:ascii="宋体" w:hAnsi="宋体" w:eastAsia="宋体" w:cs="宋体"/>
          <w:color w:val="auto"/>
          <w:spacing w:val="-2"/>
          <w:kern w:val="2"/>
          <w:sz w:val="24"/>
          <w:szCs w:val="24"/>
          <w:highlight w:val="none"/>
          <w:lang w:bidi="ar"/>
        </w:rPr>
        <w:t>投标人应承诺完成本项目所投云平台与北京市预约挂号平台、国家人工智能应用中试基地（医疗）·北京云池的对接</w:t>
      </w:r>
      <w:r>
        <w:rPr>
          <w:rFonts w:hint="eastAsia" w:ascii="宋体" w:hAnsi="宋体" w:cs="宋体"/>
          <w:color w:val="auto"/>
          <w:spacing w:val="-2"/>
          <w:kern w:val="2"/>
          <w:sz w:val="24"/>
          <w:szCs w:val="24"/>
          <w:highlight w:val="none"/>
          <w:lang w:eastAsia="zh-CN" w:bidi="ar"/>
        </w:rPr>
        <w:t>，</w:t>
      </w:r>
      <w:r>
        <w:rPr>
          <w:rFonts w:hint="eastAsia" w:ascii="宋体" w:hAnsi="宋体" w:cs="宋体"/>
          <w:color w:val="auto"/>
          <w:spacing w:val="-2"/>
          <w:kern w:val="2"/>
          <w:sz w:val="24"/>
          <w:szCs w:val="24"/>
          <w:highlight w:val="none"/>
          <w:lang w:val="en-US" w:eastAsia="zh-CN" w:bidi="ar"/>
        </w:rPr>
        <w:t>并</w:t>
      </w:r>
      <w:r>
        <w:rPr>
          <w:rFonts w:hint="eastAsia" w:ascii="宋体" w:hAnsi="宋体" w:eastAsia="宋体" w:cs="宋体"/>
          <w:color w:val="auto"/>
          <w:spacing w:val="-2"/>
          <w:kern w:val="2"/>
          <w:sz w:val="24"/>
          <w:szCs w:val="24"/>
          <w:highlight w:val="none"/>
          <w:lang w:val="en-US" w:eastAsia="zh-CN" w:bidi="ar"/>
        </w:rPr>
        <w:t>提供加盖投标人公章的承诺函。</w:t>
      </w:r>
    </w:p>
    <w:p w14:paraId="077601C3">
      <w:pPr>
        <w:pStyle w:val="3"/>
        <w:numPr>
          <w:ilvl w:val="0"/>
          <w:numId w:val="1"/>
        </w:numPr>
        <w:spacing w:before="0"/>
        <w:ind w:left="425" w:right="0" w:hanging="425" w:firstLineChars="0"/>
        <w:rPr>
          <w:rFonts w:hint="eastAsia" w:ascii="宋体" w:hAnsi="宋体" w:eastAsia="宋体" w:cs="宋体"/>
          <w:bCs/>
          <w:spacing w:val="0"/>
          <w:sz w:val="24"/>
          <w:szCs w:val="24"/>
          <w:highlight w:val="none"/>
          <w:lang w:val="en-US" w:eastAsia="zh-CN"/>
        </w:rPr>
      </w:pPr>
      <w:r>
        <w:rPr>
          <w:rFonts w:hint="eastAsia" w:ascii="宋体" w:hAnsi="宋体" w:eastAsia="宋体" w:cs="宋体"/>
          <w:bCs/>
          <w:spacing w:val="0"/>
          <w:sz w:val="24"/>
          <w:szCs w:val="24"/>
          <w:highlight w:val="none"/>
          <w:lang w:val="en-US" w:eastAsia="zh-CN"/>
        </w:rPr>
        <w:t>服务团队要求</w:t>
      </w:r>
    </w:p>
    <w:p w14:paraId="6AADCE92">
      <w:pPr>
        <w:adjustRightInd/>
        <w:spacing w:before="67" w:line="360" w:lineRule="auto"/>
        <w:ind w:right="62" w:firstLine="472" w:firstLineChars="200"/>
        <w:jc w:val="left"/>
        <w:textAlignment w:val="auto"/>
        <w:rPr>
          <w:rFonts w:hint="eastAsia" w:ascii="宋体" w:hAnsi="宋体" w:eastAsia="宋体" w:cs="宋体"/>
          <w:spacing w:val="-2"/>
          <w:kern w:val="2"/>
          <w:sz w:val="24"/>
          <w:szCs w:val="24"/>
          <w:highlight w:val="none"/>
          <w:lang w:val="zh-CN"/>
        </w:rPr>
      </w:pPr>
      <w:r>
        <w:rPr>
          <w:rFonts w:hint="eastAsia" w:ascii="宋体" w:hAnsi="宋体" w:eastAsia="宋体" w:cs="宋体"/>
          <w:spacing w:val="-2"/>
          <w:kern w:val="2"/>
          <w:sz w:val="24"/>
          <w:szCs w:val="24"/>
          <w:highlight w:val="none"/>
          <w:lang w:val="zh-CN"/>
        </w:rPr>
        <w:t>投标人须根据项目要求安排具备相应资质和经验的专业人员从事本项目工作，须确保项目实施队伍的稳定，提供本地化服务。投标人需提供项目团队组织架构、成员名单、成员职责。</w:t>
      </w:r>
    </w:p>
    <w:tbl>
      <w:tblPr>
        <w:tblStyle w:val="10"/>
        <w:tblW w:w="8517" w:type="dxa"/>
        <w:jc w:val="center"/>
        <w:tblLayout w:type="fixed"/>
        <w:tblCellMar>
          <w:top w:w="0" w:type="dxa"/>
          <w:left w:w="108" w:type="dxa"/>
          <w:bottom w:w="0" w:type="dxa"/>
          <w:right w:w="108" w:type="dxa"/>
        </w:tblCellMar>
      </w:tblPr>
      <w:tblGrid>
        <w:gridCol w:w="957"/>
        <w:gridCol w:w="714"/>
        <w:gridCol w:w="1352"/>
        <w:gridCol w:w="1962"/>
        <w:gridCol w:w="3532"/>
      </w:tblGrid>
      <w:tr w14:paraId="0A2F185A">
        <w:tblPrEx>
          <w:tblCellMar>
            <w:top w:w="0" w:type="dxa"/>
            <w:left w:w="108" w:type="dxa"/>
            <w:bottom w:w="0" w:type="dxa"/>
            <w:right w:w="108" w:type="dxa"/>
          </w:tblCellMar>
        </w:tblPrEx>
        <w:trPr>
          <w:trHeight w:val="700" w:hRule="atLeast"/>
          <w:jc w:val="center"/>
        </w:trPr>
        <w:tc>
          <w:tcPr>
            <w:tcW w:w="957" w:type="dxa"/>
            <w:tcBorders>
              <w:top w:val="single" w:color="auto" w:sz="4" w:space="0"/>
              <w:left w:val="single" w:color="auto" w:sz="4" w:space="0"/>
              <w:bottom w:val="single" w:color="auto" w:sz="4" w:space="0"/>
              <w:right w:val="single" w:color="auto" w:sz="4" w:space="0"/>
            </w:tcBorders>
            <w:vAlign w:val="center"/>
          </w:tcPr>
          <w:p w14:paraId="73D636B9">
            <w:pPr>
              <w:adjustRightInd w:val="0"/>
              <w:spacing w:line="360" w:lineRule="auto"/>
              <w:jc w:val="center"/>
              <w:textAlignment w:val="baseline"/>
              <w:rPr>
                <w:rFonts w:hint="eastAsia" w:ascii="宋体" w:hAnsi="宋体" w:eastAsia="宋体" w:cs="宋体"/>
                <w:bCs/>
                <w:sz w:val="24"/>
                <w:szCs w:val="24"/>
                <w:highlight w:val="none"/>
              </w:rPr>
            </w:pPr>
            <w:r>
              <w:rPr>
                <w:rFonts w:hint="eastAsia" w:ascii="宋体" w:hAnsi="宋体" w:eastAsia="宋体" w:cs="宋体"/>
                <w:bCs/>
                <w:sz w:val="24"/>
                <w:szCs w:val="24"/>
                <w:highlight w:val="none"/>
              </w:rPr>
              <w:t>岗位</w:t>
            </w:r>
          </w:p>
        </w:tc>
        <w:tc>
          <w:tcPr>
            <w:tcW w:w="714" w:type="dxa"/>
            <w:tcBorders>
              <w:top w:val="single" w:color="auto" w:sz="4" w:space="0"/>
              <w:left w:val="single" w:color="auto" w:sz="4" w:space="0"/>
              <w:bottom w:val="single" w:color="auto" w:sz="4" w:space="0"/>
              <w:right w:val="single" w:color="auto" w:sz="4" w:space="0"/>
            </w:tcBorders>
            <w:vAlign w:val="center"/>
          </w:tcPr>
          <w:p w14:paraId="4C676C74">
            <w:pPr>
              <w:adjustRightInd w:val="0"/>
              <w:spacing w:line="360" w:lineRule="auto"/>
              <w:jc w:val="center"/>
              <w:textAlignment w:val="baseline"/>
              <w:rPr>
                <w:rFonts w:hint="eastAsia" w:ascii="宋体" w:hAnsi="宋体" w:eastAsia="宋体" w:cs="宋体"/>
                <w:bCs/>
                <w:sz w:val="24"/>
                <w:szCs w:val="24"/>
                <w:highlight w:val="none"/>
              </w:rPr>
            </w:pPr>
            <w:r>
              <w:rPr>
                <w:rFonts w:hint="eastAsia" w:ascii="宋体" w:hAnsi="宋体" w:eastAsia="宋体" w:cs="宋体"/>
                <w:bCs/>
                <w:sz w:val="24"/>
                <w:szCs w:val="24"/>
                <w:highlight w:val="none"/>
              </w:rPr>
              <w:t>数量</w:t>
            </w:r>
          </w:p>
        </w:tc>
        <w:tc>
          <w:tcPr>
            <w:tcW w:w="1352" w:type="dxa"/>
            <w:tcBorders>
              <w:top w:val="single" w:color="auto" w:sz="4" w:space="0"/>
              <w:left w:val="single" w:color="auto" w:sz="4" w:space="0"/>
              <w:bottom w:val="single" w:color="auto" w:sz="4" w:space="0"/>
              <w:right w:val="single" w:color="auto" w:sz="4" w:space="0"/>
            </w:tcBorders>
            <w:vAlign w:val="center"/>
          </w:tcPr>
          <w:p w14:paraId="2DF0DCE8">
            <w:pPr>
              <w:adjustRightInd w:val="0"/>
              <w:spacing w:line="360" w:lineRule="auto"/>
              <w:jc w:val="center"/>
              <w:textAlignment w:val="baseline"/>
              <w:rPr>
                <w:rFonts w:hint="eastAsia" w:ascii="宋体" w:hAnsi="宋体" w:eastAsia="宋体" w:cs="宋体"/>
                <w:bCs/>
                <w:sz w:val="24"/>
                <w:szCs w:val="24"/>
                <w:highlight w:val="none"/>
              </w:rPr>
            </w:pPr>
            <w:r>
              <w:rPr>
                <w:rFonts w:hint="eastAsia" w:ascii="宋体" w:hAnsi="宋体" w:eastAsia="宋体" w:cs="宋体"/>
                <w:bCs/>
                <w:sz w:val="24"/>
                <w:szCs w:val="24"/>
                <w:highlight w:val="none"/>
              </w:rPr>
              <w:t>学历</w:t>
            </w:r>
          </w:p>
        </w:tc>
        <w:tc>
          <w:tcPr>
            <w:tcW w:w="1962" w:type="dxa"/>
            <w:tcBorders>
              <w:top w:val="single" w:color="auto" w:sz="6" w:space="0"/>
              <w:left w:val="single" w:color="auto" w:sz="4" w:space="0"/>
              <w:bottom w:val="single" w:color="auto" w:sz="6" w:space="0"/>
              <w:right w:val="single" w:color="auto" w:sz="6" w:space="0"/>
            </w:tcBorders>
            <w:vAlign w:val="center"/>
          </w:tcPr>
          <w:p w14:paraId="60009459">
            <w:pPr>
              <w:adjustRightInd w:val="0"/>
              <w:spacing w:line="360" w:lineRule="auto"/>
              <w:jc w:val="center"/>
              <w:textAlignment w:val="baseline"/>
              <w:rPr>
                <w:rFonts w:hint="eastAsia" w:ascii="宋体" w:hAnsi="宋体" w:eastAsia="宋体" w:cs="宋体"/>
                <w:bCs/>
                <w:sz w:val="24"/>
                <w:szCs w:val="24"/>
                <w:highlight w:val="none"/>
              </w:rPr>
            </w:pPr>
            <w:r>
              <w:rPr>
                <w:rFonts w:hint="eastAsia" w:ascii="宋体" w:hAnsi="宋体" w:eastAsia="宋体" w:cs="宋体"/>
                <w:bCs/>
                <w:sz w:val="24"/>
                <w:szCs w:val="24"/>
                <w:highlight w:val="none"/>
              </w:rPr>
              <w:t>工作经验</w:t>
            </w:r>
          </w:p>
        </w:tc>
        <w:tc>
          <w:tcPr>
            <w:tcW w:w="3532" w:type="dxa"/>
            <w:tcBorders>
              <w:top w:val="single" w:color="auto" w:sz="6" w:space="0"/>
              <w:left w:val="single" w:color="auto" w:sz="6" w:space="0"/>
              <w:bottom w:val="single" w:color="auto" w:sz="4" w:space="0"/>
              <w:right w:val="single" w:color="auto" w:sz="6" w:space="0"/>
            </w:tcBorders>
            <w:vAlign w:val="center"/>
          </w:tcPr>
          <w:p w14:paraId="0EDAC9B9">
            <w:pPr>
              <w:adjustRightInd/>
              <w:spacing w:line="360" w:lineRule="auto"/>
              <w:jc w:val="center"/>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t>岗位须具备的上岗资格证等要求</w:t>
            </w:r>
          </w:p>
        </w:tc>
      </w:tr>
      <w:tr w14:paraId="038980D4">
        <w:tblPrEx>
          <w:tblCellMar>
            <w:top w:w="0" w:type="dxa"/>
            <w:left w:w="108" w:type="dxa"/>
            <w:bottom w:w="0" w:type="dxa"/>
            <w:right w:w="108" w:type="dxa"/>
          </w:tblCellMar>
        </w:tblPrEx>
        <w:trPr>
          <w:trHeight w:val="1270" w:hRule="atLeast"/>
          <w:jc w:val="center"/>
        </w:trPr>
        <w:tc>
          <w:tcPr>
            <w:tcW w:w="957" w:type="dxa"/>
            <w:tcBorders>
              <w:top w:val="single" w:color="auto" w:sz="4" w:space="0"/>
              <w:left w:val="single" w:color="auto" w:sz="4" w:space="0"/>
              <w:bottom w:val="single" w:color="auto" w:sz="4" w:space="0"/>
              <w:right w:val="single" w:color="auto" w:sz="4" w:space="0"/>
            </w:tcBorders>
            <w:vAlign w:val="center"/>
          </w:tcPr>
          <w:p w14:paraId="521AAFC4">
            <w:pPr>
              <w:adjustRightInd w:val="0"/>
              <w:spacing w:line="360" w:lineRule="auto"/>
              <w:jc w:val="center"/>
              <w:textAlignment w:val="baseline"/>
              <w:rPr>
                <w:rFonts w:hint="eastAsia" w:ascii="宋体" w:hAnsi="宋体" w:eastAsia="宋体" w:cs="宋体"/>
                <w:bCs/>
                <w:sz w:val="24"/>
                <w:szCs w:val="24"/>
                <w:highlight w:val="none"/>
              </w:rPr>
            </w:pPr>
            <w:r>
              <w:rPr>
                <w:rFonts w:hint="eastAsia" w:ascii="宋体" w:hAnsi="宋体" w:eastAsia="宋体" w:cs="宋体"/>
                <w:bCs/>
                <w:sz w:val="24"/>
                <w:szCs w:val="24"/>
                <w:highlight w:val="none"/>
              </w:rPr>
              <w:t>项目</w:t>
            </w:r>
          </w:p>
          <w:p w14:paraId="22AC31BD">
            <w:pPr>
              <w:adjustRightInd w:val="0"/>
              <w:spacing w:line="360" w:lineRule="auto"/>
              <w:jc w:val="center"/>
              <w:textAlignment w:val="baseline"/>
              <w:rPr>
                <w:rFonts w:hint="eastAsia" w:ascii="宋体" w:hAnsi="宋体" w:eastAsia="宋体" w:cs="宋体"/>
                <w:bCs/>
                <w:sz w:val="24"/>
                <w:szCs w:val="24"/>
                <w:highlight w:val="none"/>
              </w:rPr>
            </w:pPr>
            <w:r>
              <w:rPr>
                <w:rFonts w:hint="eastAsia" w:ascii="宋体" w:hAnsi="宋体" w:eastAsia="宋体" w:cs="宋体"/>
                <w:bCs/>
                <w:sz w:val="24"/>
                <w:szCs w:val="24"/>
                <w:highlight w:val="none"/>
              </w:rPr>
              <w:t>经理</w:t>
            </w:r>
          </w:p>
        </w:tc>
        <w:tc>
          <w:tcPr>
            <w:tcW w:w="714" w:type="dxa"/>
            <w:tcBorders>
              <w:top w:val="single" w:color="auto" w:sz="4" w:space="0"/>
              <w:left w:val="single" w:color="auto" w:sz="4" w:space="0"/>
              <w:bottom w:val="single" w:color="auto" w:sz="4" w:space="0"/>
              <w:right w:val="single" w:color="auto" w:sz="4" w:space="0"/>
            </w:tcBorders>
            <w:vAlign w:val="center"/>
          </w:tcPr>
          <w:p w14:paraId="786013DF">
            <w:pPr>
              <w:adjustRightInd w:val="0"/>
              <w:spacing w:line="360" w:lineRule="auto"/>
              <w:jc w:val="center"/>
              <w:textAlignment w:val="baseline"/>
              <w:rPr>
                <w:rFonts w:hint="eastAsia" w:ascii="宋体" w:hAnsi="宋体" w:eastAsia="宋体" w:cs="宋体"/>
                <w:bCs/>
                <w:sz w:val="24"/>
                <w:szCs w:val="24"/>
                <w:highlight w:val="none"/>
              </w:rPr>
            </w:pPr>
            <w:r>
              <w:rPr>
                <w:rFonts w:hint="eastAsia" w:ascii="宋体" w:hAnsi="宋体" w:eastAsia="宋体" w:cs="宋体"/>
                <w:bCs/>
                <w:sz w:val="24"/>
                <w:szCs w:val="24"/>
                <w:highlight w:val="none"/>
              </w:rPr>
              <w:t>1</w:t>
            </w:r>
          </w:p>
        </w:tc>
        <w:tc>
          <w:tcPr>
            <w:tcW w:w="1352" w:type="dxa"/>
            <w:tcBorders>
              <w:top w:val="single" w:color="auto" w:sz="4" w:space="0"/>
              <w:left w:val="single" w:color="auto" w:sz="4" w:space="0"/>
              <w:bottom w:val="single" w:color="auto" w:sz="4" w:space="0"/>
              <w:right w:val="single" w:color="auto" w:sz="4" w:space="0"/>
            </w:tcBorders>
            <w:vAlign w:val="center"/>
          </w:tcPr>
          <w:p w14:paraId="19A87493">
            <w:pPr>
              <w:adjustRightInd w:val="0"/>
              <w:spacing w:line="360" w:lineRule="auto"/>
              <w:jc w:val="center"/>
              <w:textAlignment w:val="baseline"/>
              <w:rPr>
                <w:rFonts w:hint="eastAsia" w:ascii="宋体" w:hAnsi="宋体" w:eastAsia="宋体" w:cs="宋体"/>
                <w:bCs/>
                <w:sz w:val="24"/>
                <w:szCs w:val="24"/>
                <w:highlight w:val="none"/>
              </w:rPr>
            </w:pPr>
            <w:r>
              <w:rPr>
                <w:rFonts w:hint="eastAsia" w:ascii="宋体" w:hAnsi="宋体" w:eastAsia="宋体" w:cs="宋体"/>
                <w:bCs/>
                <w:sz w:val="24"/>
                <w:szCs w:val="24"/>
                <w:highlight w:val="none"/>
              </w:rPr>
              <w:t>本科及以上</w:t>
            </w:r>
          </w:p>
        </w:tc>
        <w:tc>
          <w:tcPr>
            <w:tcW w:w="1962" w:type="dxa"/>
            <w:tcBorders>
              <w:top w:val="single" w:color="auto" w:sz="6" w:space="0"/>
              <w:left w:val="single" w:color="auto" w:sz="4" w:space="0"/>
              <w:bottom w:val="single" w:color="auto" w:sz="6" w:space="0"/>
              <w:right w:val="single" w:color="auto" w:sz="4" w:space="0"/>
            </w:tcBorders>
            <w:vAlign w:val="center"/>
          </w:tcPr>
          <w:p w14:paraId="41439F8F">
            <w:pPr>
              <w:adjustRightInd w:val="0"/>
              <w:spacing w:line="360" w:lineRule="auto"/>
              <w:jc w:val="center"/>
              <w:textAlignment w:val="baseline"/>
              <w:rPr>
                <w:rFonts w:hint="eastAsia" w:ascii="宋体" w:hAnsi="宋体" w:eastAsia="宋体" w:cs="宋体"/>
                <w:bCs/>
                <w:sz w:val="24"/>
                <w:szCs w:val="24"/>
                <w:highlight w:val="none"/>
              </w:rPr>
            </w:pPr>
            <w:r>
              <w:rPr>
                <w:rFonts w:hint="eastAsia" w:ascii="宋体" w:hAnsi="宋体" w:eastAsia="宋体" w:cs="宋体"/>
                <w:bCs/>
                <w:sz w:val="24"/>
                <w:szCs w:val="24"/>
                <w:highlight w:val="none"/>
              </w:rPr>
              <w:t>有5年及以上类似工作经验</w:t>
            </w:r>
          </w:p>
        </w:tc>
        <w:tc>
          <w:tcPr>
            <w:tcW w:w="3532" w:type="dxa"/>
            <w:tcBorders>
              <w:top w:val="single" w:color="auto" w:sz="4" w:space="0"/>
              <w:left w:val="single" w:color="auto" w:sz="4" w:space="0"/>
              <w:bottom w:val="single" w:color="auto" w:sz="4" w:space="0"/>
              <w:right w:val="single" w:color="auto" w:sz="4" w:space="0"/>
            </w:tcBorders>
            <w:vAlign w:val="center"/>
          </w:tcPr>
          <w:p w14:paraId="645FFE64">
            <w:pPr>
              <w:spacing w:line="360" w:lineRule="auto"/>
              <w:rPr>
                <w:rFonts w:hint="eastAsia" w:ascii="宋体" w:hAnsi="宋体" w:eastAsia="宋体" w:cs="宋体"/>
                <w:bCs w:val="0"/>
                <w:sz w:val="24"/>
                <w:szCs w:val="24"/>
                <w:highlight w:val="none"/>
              </w:rPr>
            </w:pPr>
            <w:r>
              <w:rPr>
                <w:rFonts w:hint="eastAsia" w:ascii="宋体" w:hAnsi="宋体" w:eastAsia="宋体" w:cs="宋体"/>
                <w:color w:val="000000"/>
                <w:kern w:val="0"/>
                <w:sz w:val="24"/>
                <w:szCs w:val="24"/>
                <w:highlight w:val="none"/>
                <w:lang w:val="en-US" w:eastAsia="zh-CN" w:bidi="ar"/>
              </w:rPr>
              <w:t>同时</w:t>
            </w:r>
            <w:r>
              <w:rPr>
                <w:rFonts w:hint="eastAsia" w:ascii="宋体" w:hAnsi="宋体" w:eastAsia="宋体" w:cs="宋体"/>
                <w:color w:val="000000"/>
                <w:kern w:val="0"/>
                <w:sz w:val="24"/>
                <w:szCs w:val="24"/>
                <w:highlight w:val="none"/>
                <w:lang w:bidi="ar"/>
              </w:rPr>
              <w:t>具备信息系统项目管理师、系统规划与管理师、系统分析师、网络工程师认证证书</w:t>
            </w:r>
            <w:r>
              <w:rPr>
                <w:rFonts w:hint="eastAsia" w:ascii="宋体" w:hAnsi="宋体" w:eastAsia="宋体" w:cs="宋体"/>
                <w:color w:val="000000"/>
                <w:kern w:val="0"/>
                <w:sz w:val="24"/>
                <w:szCs w:val="24"/>
                <w:highlight w:val="none"/>
                <w:lang w:eastAsia="zh-CN" w:bidi="ar"/>
              </w:rPr>
              <w:t>。</w:t>
            </w:r>
          </w:p>
        </w:tc>
      </w:tr>
      <w:tr w14:paraId="1E716851">
        <w:tblPrEx>
          <w:tblCellMar>
            <w:top w:w="0" w:type="dxa"/>
            <w:left w:w="108" w:type="dxa"/>
            <w:bottom w:w="0" w:type="dxa"/>
            <w:right w:w="108" w:type="dxa"/>
          </w:tblCellMar>
        </w:tblPrEx>
        <w:trPr>
          <w:trHeight w:val="1405" w:hRule="atLeast"/>
          <w:jc w:val="center"/>
        </w:trPr>
        <w:tc>
          <w:tcPr>
            <w:tcW w:w="957" w:type="dxa"/>
            <w:tcBorders>
              <w:top w:val="single" w:color="auto" w:sz="4" w:space="0"/>
              <w:left w:val="single" w:color="auto" w:sz="4" w:space="0"/>
              <w:bottom w:val="single" w:color="auto" w:sz="4" w:space="0"/>
              <w:right w:val="single" w:color="auto" w:sz="4" w:space="0"/>
            </w:tcBorders>
            <w:vAlign w:val="center"/>
          </w:tcPr>
          <w:p w14:paraId="42CBF1ED">
            <w:pPr>
              <w:adjustRightInd w:val="0"/>
              <w:spacing w:line="360" w:lineRule="auto"/>
              <w:jc w:val="center"/>
              <w:textAlignment w:val="baseline"/>
              <w:rPr>
                <w:rFonts w:hint="eastAsia" w:ascii="宋体" w:hAnsi="宋体" w:eastAsia="宋体" w:cs="宋体"/>
                <w:bCs/>
                <w:sz w:val="24"/>
                <w:szCs w:val="24"/>
                <w:highlight w:val="none"/>
              </w:rPr>
            </w:pPr>
            <w:r>
              <w:rPr>
                <w:rFonts w:hint="eastAsia" w:ascii="宋体" w:hAnsi="宋体" w:eastAsia="宋体" w:cs="宋体"/>
                <w:bCs/>
                <w:sz w:val="24"/>
                <w:szCs w:val="24"/>
                <w:highlight w:val="none"/>
              </w:rPr>
              <w:t>技术负责人</w:t>
            </w:r>
          </w:p>
        </w:tc>
        <w:tc>
          <w:tcPr>
            <w:tcW w:w="714" w:type="dxa"/>
            <w:tcBorders>
              <w:top w:val="single" w:color="auto" w:sz="4" w:space="0"/>
              <w:left w:val="single" w:color="auto" w:sz="4" w:space="0"/>
              <w:bottom w:val="single" w:color="auto" w:sz="4" w:space="0"/>
              <w:right w:val="single" w:color="auto" w:sz="4" w:space="0"/>
            </w:tcBorders>
            <w:vAlign w:val="center"/>
          </w:tcPr>
          <w:p w14:paraId="5F75B56F">
            <w:pPr>
              <w:adjustRightInd w:val="0"/>
              <w:spacing w:line="360" w:lineRule="auto"/>
              <w:jc w:val="center"/>
              <w:textAlignment w:val="baseline"/>
              <w:rPr>
                <w:rFonts w:hint="eastAsia" w:ascii="宋体" w:hAnsi="宋体" w:eastAsia="宋体" w:cs="宋体"/>
                <w:bCs/>
                <w:sz w:val="24"/>
                <w:szCs w:val="24"/>
                <w:highlight w:val="none"/>
              </w:rPr>
            </w:pPr>
            <w:r>
              <w:rPr>
                <w:rFonts w:hint="eastAsia" w:ascii="宋体" w:hAnsi="宋体" w:eastAsia="宋体" w:cs="宋体"/>
                <w:bCs/>
                <w:sz w:val="24"/>
                <w:szCs w:val="24"/>
                <w:highlight w:val="none"/>
              </w:rPr>
              <w:t>1</w:t>
            </w:r>
          </w:p>
        </w:tc>
        <w:tc>
          <w:tcPr>
            <w:tcW w:w="1352" w:type="dxa"/>
            <w:tcBorders>
              <w:top w:val="single" w:color="auto" w:sz="4" w:space="0"/>
              <w:left w:val="single" w:color="auto" w:sz="4" w:space="0"/>
              <w:bottom w:val="single" w:color="auto" w:sz="4" w:space="0"/>
              <w:right w:val="single" w:color="auto" w:sz="4" w:space="0"/>
            </w:tcBorders>
            <w:vAlign w:val="center"/>
          </w:tcPr>
          <w:p w14:paraId="1F16A4CF">
            <w:pPr>
              <w:adjustRightInd w:val="0"/>
              <w:spacing w:line="360" w:lineRule="auto"/>
              <w:jc w:val="center"/>
              <w:textAlignment w:val="baseline"/>
              <w:rPr>
                <w:rFonts w:hint="eastAsia" w:ascii="宋体" w:hAnsi="宋体" w:eastAsia="宋体" w:cs="宋体"/>
                <w:bCs/>
                <w:sz w:val="24"/>
                <w:szCs w:val="24"/>
                <w:highlight w:val="none"/>
              </w:rPr>
            </w:pPr>
            <w:r>
              <w:rPr>
                <w:rFonts w:hint="eastAsia" w:ascii="宋体" w:hAnsi="宋体" w:eastAsia="宋体" w:cs="宋体"/>
                <w:bCs/>
                <w:sz w:val="24"/>
                <w:szCs w:val="24"/>
                <w:highlight w:val="none"/>
              </w:rPr>
              <w:t>本科及以上</w:t>
            </w:r>
          </w:p>
        </w:tc>
        <w:tc>
          <w:tcPr>
            <w:tcW w:w="1962" w:type="dxa"/>
            <w:tcBorders>
              <w:top w:val="single" w:color="auto" w:sz="6" w:space="0"/>
              <w:left w:val="single" w:color="auto" w:sz="4" w:space="0"/>
              <w:bottom w:val="single" w:color="auto" w:sz="6" w:space="0"/>
              <w:right w:val="single" w:color="auto" w:sz="4" w:space="0"/>
            </w:tcBorders>
            <w:vAlign w:val="center"/>
          </w:tcPr>
          <w:p w14:paraId="343C4C38">
            <w:pPr>
              <w:adjustRightInd w:val="0"/>
              <w:spacing w:line="360" w:lineRule="auto"/>
              <w:jc w:val="center"/>
              <w:textAlignment w:val="baseline"/>
              <w:rPr>
                <w:rFonts w:hint="eastAsia" w:ascii="宋体" w:hAnsi="宋体" w:eastAsia="宋体" w:cs="宋体"/>
                <w:bCs/>
                <w:sz w:val="24"/>
                <w:szCs w:val="24"/>
                <w:highlight w:val="none"/>
              </w:rPr>
            </w:pPr>
            <w:r>
              <w:rPr>
                <w:rFonts w:hint="eastAsia" w:ascii="宋体" w:hAnsi="宋体" w:eastAsia="宋体" w:cs="宋体"/>
                <w:bCs/>
                <w:sz w:val="24"/>
                <w:szCs w:val="24"/>
                <w:highlight w:val="none"/>
              </w:rPr>
              <w:t>有5年及以上类似工作经验</w:t>
            </w:r>
          </w:p>
        </w:tc>
        <w:tc>
          <w:tcPr>
            <w:tcW w:w="3532" w:type="dxa"/>
            <w:tcBorders>
              <w:top w:val="single" w:color="auto" w:sz="4" w:space="0"/>
              <w:left w:val="single" w:color="auto" w:sz="4" w:space="0"/>
              <w:bottom w:val="single" w:color="auto" w:sz="4" w:space="0"/>
              <w:right w:val="single" w:color="auto" w:sz="4" w:space="0"/>
            </w:tcBorders>
            <w:vAlign w:val="center"/>
          </w:tcPr>
          <w:p w14:paraId="3E8C0D92">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同时具备</w:t>
            </w:r>
            <w:r>
              <w:rPr>
                <w:rFonts w:hint="eastAsia" w:ascii="宋体" w:hAnsi="宋体" w:eastAsia="宋体" w:cs="宋体"/>
                <w:color w:val="000000"/>
                <w:kern w:val="0"/>
                <w:sz w:val="24"/>
                <w:szCs w:val="24"/>
                <w:highlight w:val="none"/>
                <w:lang w:bidi="ar"/>
              </w:rPr>
              <w:t>系统架构设计师、系统分析师</w:t>
            </w:r>
            <w:r>
              <w:rPr>
                <w:rFonts w:hint="eastAsia" w:ascii="宋体" w:hAnsi="宋体" w:eastAsia="宋体" w:cs="宋体"/>
                <w:color w:val="000000"/>
                <w:kern w:val="0"/>
                <w:sz w:val="24"/>
                <w:szCs w:val="24"/>
                <w:highlight w:val="none"/>
                <w:lang w:eastAsia="zh-CN" w:bidi="ar"/>
              </w:rPr>
              <w:t>、数据库系统工程师</w:t>
            </w:r>
            <w:r>
              <w:rPr>
                <w:rFonts w:hint="eastAsia" w:ascii="宋体" w:hAnsi="宋体" w:eastAsia="宋体" w:cs="宋体"/>
                <w:color w:val="000000"/>
                <w:kern w:val="0"/>
                <w:sz w:val="24"/>
                <w:szCs w:val="24"/>
                <w:highlight w:val="none"/>
                <w:lang w:bidi="ar"/>
              </w:rPr>
              <w:t>认证证书</w:t>
            </w:r>
            <w:r>
              <w:rPr>
                <w:rFonts w:hint="eastAsia" w:ascii="宋体" w:hAnsi="宋体" w:eastAsia="宋体" w:cs="宋体"/>
                <w:sz w:val="24"/>
                <w:szCs w:val="24"/>
                <w:highlight w:val="none"/>
              </w:rPr>
              <w:t>。</w:t>
            </w:r>
          </w:p>
        </w:tc>
      </w:tr>
      <w:tr w14:paraId="747BDCBE">
        <w:tblPrEx>
          <w:tblCellMar>
            <w:top w:w="0" w:type="dxa"/>
            <w:left w:w="108" w:type="dxa"/>
            <w:bottom w:w="0" w:type="dxa"/>
            <w:right w:w="108" w:type="dxa"/>
          </w:tblCellMar>
        </w:tblPrEx>
        <w:trPr>
          <w:trHeight w:val="2477" w:hRule="atLeast"/>
          <w:jc w:val="center"/>
        </w:trPr>
        <w:tc>
          <w:tcPr>
            <w:tcW w:w="957" w:type="dxa"/>
            <w:tcBorders>
              <w:top w:val="single" w:color="auto" w:sz="4" w:space="0"/>
              <w:left w:val="single" w:color="auto" w:sz="4" w:space="0"/>
              <w:bottom w:val="single" w:color="auto" w:sz="4" w:space="0"/>
              <w:right w:val="single" w:color="auto" w:sz="4" w:space="0"/>
            </w:tcBorders>
            <w:vAlign w:val="center"/>
          </w:tcPr>
          <w:p w14:paraId="0264463D">
            <w:pPr>
              <w:adjustRightInd w:val="0"/>
              <w:spacing w:line="360" w:lineRule="auto"/>
              <w:jc w:val="center"/>
              <w:textAlignment w:val="baseline"/>
              <w:rPr>
                <w:rFonts w:hint="eastAsia" w:ascii="宋体" w:hAnsi="宋体" w:eastAsia="宋体" w:cs="宋体"/>
                <w:bCs/>
                <w:sz w:val="24"/>
                <w:szCs w:val="24"/>
                <w:highlight w:val="none"/>
              </w:rPr>
            </w:pPr>
            <w:r>
              <w:rPr>
                <w:rFonts w:hint="eastAsia" w:ascii="宋体" w:hAnsi="宋体" w:eastAsia="宋体" w:cs="宋体"/>
                <w:sz w:val="24"/>
                <w:szCs w:val="24"/>
                <w:highlight w:val="none"/>
              </w:rPr>
              <w:t>信息安全负责人</w:t>
            </w:r>
          </w:p>
        </w:tc>
        <w:tc>
          <w:tcPr>
            <w:tcW w:w="714" w:type="dxa"/>
            <w:tcBorders>
              <w:top w:val="single" w:color="auto" w:sz="4" w:space="0"/>
              <w:left w:val="single" w:color="auto" w:sz="4" w:space="0"/>
              <w:bottom w:val="single" w:color="auto" w:sz="4" w:space="0"/>
              <w:right w:val="single" w:color="auto" w:sz="4" w:space="0"/>
            </w:tcBorders>
            <w:vAlign w:val="center"/>
          </w:tcPr>
          <w:p w14:paraId="6008BBBE">
            <w:pPr>
              <w:adjustRightInd w:val="0"/>
              <w:spacing w:line="360" w:lineRule="auto"/>
              <w:jc w:val="center"/>
              <w:textAlignment w:val="baseline"/>
              <w:rPr>
                <w:rFonts w:hint="eastAsia" w:ascii="宋体" w:hAnsi="宋体" w:eastAsia="宋体" w:cs="宋体"/>
                <w:bCs/>
                <w:sz w:val="24"/>
                <w:szCs w:val="24"/>
                <w:highlight w:val="none"/>
              </w:rPr>
            </w:pPr>
            <w:r>
              <w:rPr>
                <w:rFonts w:hint="eastAsia" w:ascii="宋体" w:hAnsi="宋体" w:eastAsia="宋体" w:cs="宋体"/>
                <w:bCs/>
                <w:sz w:val="24"/>
                <w:szCs w:val="24"/>
                <w:highlight w:val="none"/>
              </w:rPr>
              <w:t>1</w:t>
            </w:r>
          </w:p>
        </w:tc>
        <w:tc>
          <w:tcPr>
            <w:tcW w:w="1352" w:type="dxa"/>
            <w:tcBorders>
              <w:top w:val="single" w:color="auto" w:sz="4" w:space="0"/>
              <w:left w:val="single" w:color="auto" w:sz="4" w:space="0"/>
              <w:bottom w:val="single" w:color="auto" w:sz="4" w:space="0"/>
              <w:right w:val="single" w:color="auto" w:sz="4" w:space="0"/>
            </w:tcBorders>
            <w:vAlign w:val="center"/>
          </w:tcPr>
          <w:p w14:paraId="06B76AA4">
            <w:pPr>
              <w:adjustRightInd w:val="0"/>
              <w:spacing w:line="360" w:lineRule="auto"/>
              <w:jc w:val="center"/>
              <w:textAlignment w:val="baseline"/>
              <w:rPr>
                <w:rFonts w:hint="eastAsia" w:ascii="宋体" w:hAnsi="宋体" w:eastAsia="宋体" w:cs="宋体"/>
                <w:bCs/>
                <w:sz w:val="24"/>
                <w:szCs w:val="24"/>
                <w:highlight w:val="none"/>
              </w:rPr>
            </w:pPr>
            <w:r>
              <w:rPr>
                <w:rFonts w:hint="eastAsia" w:ascii="宋体" w:hAnsi="宋体" w:eastAsia="宋体" w:cs="宋体"/>
                <w:bCs/>
                <w:sz w:val="24"/>
                <w:szCs w:val="24"/>
                <w:highlight w:val="none"/>
              </w:rPr>
              <w:t>本科及以上</w:t>
            </w:r>
          </w:p>
        </w:tc>
        <w:tc>
          <w:tcPr>
            <w:tcW w:w="1962" w:type="dxa"/>
            <w:tcBorders>
              <w:top w:val="single" w:color="auto" w:sz="6" w:space="0"/>
              <w:left w:val="single" w:color="auto" w:sz="4" w:space="0"/>
              <w:bottom w:val="single" w:color="auto" w:sz="6" w:space="0"/>
              <w:right w:val="single" w:color="auto" w:sz="4" w:space="0"/>
            </w:tcBorders>
            <w:vAlign w:val="center"/>
          </w:tcPr>
          <w:p w14:paraId="05DC3A47">
            <w:pPr>
              <w:adjustRightInd w:val="0"/>
              <w:spacing w:line="360" w:lineRule="auto"/>
              <w:jc w:val="center"/>
              <w:textAlignment w:val="baseline"/>
              <w:rPr>
                <w:rFonts w:hint="eastAsia" w:ascii="宋体" w:hAnsi="宋体" w:eastAsia="宋体" w:cs="宋体"/>
                <w:bCs/>
                <w:sz w:val="24"/>
                <w:szCs w:val="24"/>
                <w:highlight w:val="none"/>
              </w:rPr>
            </w:pPr>
            <w:r>
              <w:rPr>
                <w:rFonts w:hint="eastAsia" w:ascii="宋体" w:hAnsi="宋体" w:eastAsia="宋体" w:cs="宋体"/>
                <w:bCs/>
                <w:sz w:val="24"/>
                <w:szCs w:val="24"/>
                <w:highlight w:val="none"/>
              </w:rPr>
              <w:t>有5年及以上类似工作经验</w:t>
            </w:r>
          </w:p>
        </w:tc>
        <w:tc>
          <w:tcPr>
            <w:tcW w:w="3532" w:type="dxa"/>
            <w:tcBorders>
              <w:top w:val="single" w:color="auto" w:sz="4" w:space="0"/>
              <w:left w:val="single" w:color="auto" w:sz="4" w:space="0"/>
              <w:bottom w:val="single" w:color="auto" w:sz="4" w:space="0"/>
              <w:right w:val="single" w:color="auto" w:sz="4" w:space="0"/>
            </w:tcBorders>
            <w:vAlign w:val="center"/>
          </w:tcPr>
          <w:p w14:paraId="04F238DE">
            <w:pPr>
              <w:spacing w:line="360"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同时</w:t>
            </w:r>
            <w:r>
              <w:rPr>
                <w:rFonts w:hint="eastAsia" w:ascii="宋体" w:hAnsi="宋体" w:eastAsia="宋体" w:cs="宋体"/>
                <w:sz w:val="24"/>
                <w:szCs w:val="24"/>
                <w:highlight w:val="none"/>
              </w:rPr>
              <w:t>具备</w:t>
            </w:r>
            <w:r>
              <w:rPr>
                <w:rFonts w:hint="eastAsia" w:ascii="宋体" w:hAnsi="宋体" w:eastAsia="宋体" w:cs="宋体"/>
                <w:color w:val="000000"/>
                <w:kern w:val="0"/>
                <w:sz w:val="24"/>
                <w:szCs w:val="24"/>
                <w:highlight w:val="none"/>
                <w:lang w:bidi="ar"/>
              </w:rPr>
              <w:t>信息安全保障人员认证证书(CISAW（专业级</w:t>
            </w:r>
            <w:r>
              <w:rPr>
                <w:rFonts w:hint="eastAsia" w:ascii="宋体" w:hAnsi="宋体" w:eastAsia="宋体" w:cs="宋体"/>
                <w:color w:val="000000"/>
                <w:kern w:val="0"/>
                <w:sz w:val="24"/>
                <w:szCs w:val="24"/>
                <w:highlight w:val="none"/>
                <w:lang w:val="en-US" w:eastAsia="zh-CN" w:bidi="ar"/>
              </w:rPr>
              <w:t>及以上</w:t>
            </w:r>
            <w:r>
              <w:rPr>
                <w:rFonts w:hint="eastAsia" w:ascii="宋体" w:hAnsi="宋体" w:eastAsia="宋体" w:cs="宋体"/>
                <w:color w:val="000000"/>
                <w:kern w:val="0"/>
                <w:sz w:val="24"/>
                <w:szCs w:val="24"/>
                <w:highlight w:val="none"/>
                <w:lang w:bidi="ar"/>
              </w:rPr>
              <w:t>））；注册信息安全工程师认证证书（CISP-CISE）；商用密码应用安全性评估从业人员证书</w:t>
            </w:r>
            <w:r>
              <w:rPr>
                <w:rFonts w:hint="eastAsia" w:ascii="宋体" w:hAnsi="宋体" w:eastAsia="宋体" w:cs="宋体"/>
                <w:sz w:val="24"/>
                <w:szCs w:val="24"/>
                <w:highlight w:val="none"/>
                <w:lang w:eastAsia="zh-CN"/>
              </w:rPr>
              <w:t>。</w:t>
            </w:r>
          </w:p>
        </w:tc>
      </w:tr>
      <w:tr w14:paraId="49FA310A">
        <w:tblPrEx>
          <w:tblCellMar>
            <w:top w:w="0" w:type="dxa"/>
            <w:left w:w="108" w:type="dxa"/>
            <w:bottom w:w="0" w:type="dxa"/>
            <w:right w:w="108" w:type="dxa"/>
          </w:tblCellMar>
        </w:tblPrEx>
        <w:trPr>
          <w:trHeight w:val="325" w:hRule="atLeast"/>
          <w:jc w:val="center"/>
        </w:trPr>
        <w:tc>
          <w:tcPr>
            <w:tcW w:w="957" w:type="dxa"/>
            <w:tcBorders>
              <w:top w:val="single" w:color="auto" w:sz="4" w:space="0"/>
              <w:left w:val="single" w:color="auto" w:sz="4" w:space="0"/>
              <w:bottom w:val="single" w:color="auto" w:sz="4" w:space="0"/>
              <w:right w:val="single" w:color="auto" w:sz="4" w:space="0"/>
            </w:tcBorders>
            <w:vAlign w:val="center"/>
          </w:tcPr>
          <w:p w14:paraId="309D7EDE">
            <w:pPr>
              <w:adjustRightInd w:val="0"/>
              <w:spacing w:line="360" w:lineRule="auto"/>
              <w:jc w:val="center"/>
              <w:textAlignment w:val="baseline"/>
              <w:rPr>
                <w:rFonts w:hint="eastAsia" w:ascii="宋体" w:hAnsi="宋体" w:eastAsia="宋体" w:cs="宋体"/>
                <w:bCs/>
                <w:sz w:val="24"/>
                <w:szCs w:val="24"/>
                <w:highlight w:val="none"/>
              </w:rPr>
            </w:pPr>
            <w:r>
              <w:rPr>
                <w:rFonts w:hint="eastAsia" w:ascii="宋体" w:hAnsi="宋体" w:eastAsia="宋体" w:cs="宋体"/>
                <w:bCs/>
                <w:sz w:val="24"/>
                <w:szCs w:val="24"/>
                <w:highlight w:val="none"/>
              </w:rPr>
              <w:t>项目</w:t>
            </w:r>
          </w:p>
          <w:p w14:paraId="71ACD277">
            <w:pPr>
              <w:adjustRightInd w:val="0"/>
              <w:spacing w:line="360" w:lineRule="auto"/>
              <w:jc w:val="center"/>
              <w:textAlignment w:val="baseline"/>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人员</w:t>
            </w:r>
          </w:p>
        </w:tc>
        <w:tc>
          <w:tcPr>
            <w:tcW w:w="714" w:type="dxa"/>
            <w:tcBorders>
              <w:top w:val="single" w:color="auto" w:sz="4" w:space="0"/>
              <w:left w:val="single" w:color="auto" w:sz="4" w:space="0"/>
              <w:bottom w:val="single" w:color="auto" w:sz="4" w:space="0"/>
              <w:right w:val="single" w:color="auto" w:sz="4" w:space="0"/>
            </w:tcBorders>
            <w:vAlign w:val="center"/>
          </w:tcPr>
          <w:p w14:paraId="25B9BD8C">
            <w:pPr>
              <w:adjustRightInd w:val="0"/>
              <w:spacing w:line="360" w:lineRule="auto"/>
              <w:jc w:val="center"/>
              <w:textAlignment w:val="baseline"/>
              <w:rPr>
                <w:rFonts w:hint="eastAsia" w:ascii="宋体" w:hAnsi="宋体" w:eastAsia="宋体" w:cs="宋体"/>
                <w:bCs/>
                <w:sz w:val="24"/>
                <w:szCs w:val="24"/>
                <w:highlight w:val="none"/>
              </w:rPr>
            </w:pPr>
            <w:r>
              <w:rPr>
                <w:rFonts w:hint="eastAsia" w:ascii="宋体" w:hAnsi="宋体" w:eastAsia="宋体" w:cs="宋体"/>
                <w:bCs/>
                <w:sz w:val="24"/>
                <w:szCs w:val="24"/>
                <w:highlight w:val="none"/>
              </w:rPr>
              <w:t>10</w:t>
            </w:r>
          </w:p>
        </w:tc>
        <w:tc>
          <w:tcPr>
            <w:tcW w:w="1352" w:type="dxa"/>
            <w:tcBorders>
              <w:top w:val="single" w:color="auto" w:sz="4" w:space="0"/>
              <w:left w:val="single" w:color="auto" w:sz="4" w:space="0"/>
              <w:bottom w:val="single" w:color="auto" w:sz="4" w:space="0"/>
              <w:right w:val="single" w:color="auto" w:sz="4" w:space="0"/>
            </w:tcBorders>
            <w:vAlign w:val="center"/>
          </w:tcPr>
          <w:p w14:paraId="4631A6EB">
            <w:pPr>
              <w:adjustRightInd w:val="0"/>
              <w:spacing w:line="360" w:lineRule="auto"/>
              <w:jc w:val="center"/>
              <w:textAlignment w:val="baseline"/>
              <w:rPr>
                <w:rFonts w:hint="eastAsia" w:ascii="宋体" w:hAnsi="宋体" w:eastAsia="宋体" w:cs="宋体"/>
                <w:bCs/>
                <w:sz w:val="24"/>
                <w:szCs w:val="24"/>
                <w:highlight w:val="none"/>
              </w:rPr>
            </w:pPr>
            <w:r>
              <w:rPr>
                <w:rFonts w:hint="eastAsia" w:ascii="宋体" w:hAnsi="宋体" w:eastAsia="宋体" w:cs="宋体"/>
                <w:bCs/>
                <w:sz w:val="24"/>
                <w:szCs w:val="24"/>
                <w:highlight w:val="none"/>
              </w:rPr>
              <w:t>本科及以上</w:t>
            </w:r>
          </w:p>
        </w:tc>
        <w:tc>
          <w:tcPr>
            <w:tcW w:w="1962" w:type="dxa"/>
            <w:tcBorders>
              <w:top w:val="single" w:color="auto" w:sz="6" w:space="0"/>
              <w:left w:val="single" w:color="auto" w:sz="4" w:space="0"/>
              <w:bottom w:val="single" w:color="auto" w:sz="6" w:space="0"/>
              <w:right w:val="single" w:color="auto" w:sz="4" w:space="0"/>
            </w:tcBorders>
            <w:vAlign w:val="center"/>
          </w:tcPr>
          <w:p w14:paraId="6088FE41">
            <w:pPr>
              <w:adjustRightInd w:val="0"/>
              <w:spacing w:line="360" w:lineRule="auto"/>
              <w:jc w:val="center"/>
              <w:textAlignment w:val="baseline"/>
              <w:rPr>
                <w:rFonts w:hint="eastAsia" w:ascii="宋体" w:hAnsi="宋体" w:eastAsia="宋体" w:cs="宋体"/>
                <w:bCs/>
                <w:sz w:val="24"/>
                <w:szCs w:val="24"/>
                <w:highlight w:val="none"/>
              </w:rPr>
            </w:pPr>
            <w:r>
              <w:rPr>
                <w:rFonts w:hint="eastAsia" w:ascii="宋体" w:hAnsi="宋体" w:eastAsia="宋体" w:cs="宋体"/>
                <w:bCs/>
                <w:sz w:val="24"/>
                <w:szCs w:val="24"/>
                <w:highlight w:val="none"/>
              </w:rPr>
              <w:t>有1年及以上类似工作经验</w:t>
            </w:r>
          </w:p>
        </w:tc>
        <w:tc>
          <w:tcPr>
            <w:tcW w:w="3532" w:type="dxa"/>
            <w:tcBorders>
              <w:top w:val="single" w:color="auto" w:sz="4" w:space="0"/>
              <w:left w:val="single" w:color="auto" w:sz="4" w:space="0"/>
              <w:bottom w:val="single" w:color="auto" w:sz="4" w:space="0"/>
              <w:right w:val="single" w:color="auto" w:sz="4" w:space="0"/>
            </w:tcBorders>
            <w:vAlign w:val="center"/>
          </w:tcPr>
          <w:p w14:paraId="0B542D2A">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云计算方向工程师至少2名：均需具备系统架构设计师认证证书。</w:t>
            </w:r>
          </w:p>
          <w:p w14:paraId="2144E292">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网络交换方向工程师至少2名：均需具备网络工程师认证证书。</w:t>
            </w:r>
          </w:p>
          <w:p w14:paraId="4E15074A">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云安全方向工程师至少1名：具有注册信息安全专业人员-云安全工程师（CISP-CSE）认证证书</w:t>
            </w:r>
            <w:r>
              <w:rPr>
                <w:rFonts w:hint="eastAsia" w:ascii="宋体" w:hAnsi="宋体" w:eastAsia="宋体" w:cs="宋体"/>
                <w:sz w:val="24"/>
                <w:szCs w:val="24"/>
                <w:highlight w:val="none"/>
                <w:lang w:eastAsia="zh-CN"/>
              </w:rPr>
              <w:t>。</w:t>
            </w:r>
          </w:p>
          <w:p w14:paraId="689FD2D1">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信息安全方向工程师至少2名：均需具备信息安全工程师认证证书。</w:t>
            </w:r>
          </w:p>
          <w:p w14:paraId="0B2D5FEA">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数据安全方向工程师至少1名：具有数据安全评估师认证证书。</w:t>
            </w:r>
          </w:p>
          <w:p w14:paraId="7FC5AA60">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系统运维方向工程师至少2名：均具有ITSS服务工程师认证证书。</w:t>
            </w:r>
          </w:p>
        </w:tc>
      </w:tr>
    </w:tbl>
    <w:p w14:paraId="07D7BF65">
      <w:pPr>
        <w:pStyle w:val="4"/>
        <w:spacing w:before="67"/>
        <w:ind w:right="62" w:firstLineChars="200"/>
        <w:rPr>
          <w:rFonts w:hint="eastAsia" w:ascii="宋体" w:hAnsi="宋体" w:eastAsia="宋体" w:cs="宋体"/>
          <w:spacing w:val="0"/>
          <w:sz w:val="24"/>
          <w:szCs w:val="24"/>
          <w:highlight w:val="none"/>
          <w:lang w:val="en-US" w:eastAsia="zh-CN"/>
        </w:rPr>
      </w:pPr>
    </w:p>
    <w:p w14:paraId="21582B56">
      <w:pPr>
        <w:rPr>
          <w:rFonts w:hint="eastAsia" w:ascii="宋体" w:hAnsi="宋体" w:eastAsia="宋体" w:cs="宋体"/>
          <w:sz w:val="24"/>
          <w:szCs w:val="24"/>
          <w:highlight w:val="none"/>
        </w:rPr>
      </w:pPr>
    </w:p>
    <w:p w14:paraId="4430BE33">
      <w:pPr>
        <w:pStyle w:val="3"/>
        <w:numPr>
          <w:ilvl w:val="0"/>
          <w:numId w:val="1"/>
        </w:numPr>
        <w:ind w:left="425" w:hanging="425"/>
        <w:outlineLvl w:val="2"/>
        <w:rPr>
          <w:rFonts w:hint="eastAsia" w:ascii="宋体" w:hAnsi="宋体" w:eastAsia="宋体" w:cs="宋体"/>
          <w:bCs/>
          <w:sz w:val="24"/>
          <w:szCs w:val="24"/>
          <w:highlight w:val="none"/>
        </w:rPr>
      </w:pPr>
      <w:r>
        <w:rPr>
          <w:rFonts w:hint="eastAsia" w:ascii="宋体" w:hAnsi="宋体" w:eastAsia="宋体" w:cs="宋体"/>
          <w:bCs/>
          <w:sz w:val="24"/>
          <w:szCs w:val="24"/>
          <w:highlight w:val="none"/>
        </w:rPr>
        <w:t>运维服务</w:t>
      </w:r>
    </w:p>
    <w:p w14:paraId="250437F4">
      <w:pPr>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投标人需提供 7*24 小时运维服务，随时接受客户对系统操作的技术咨询和技术交流，及时解答客户遇到的问题。提供多样化服务渠道，包括但不限于：现场、远程、线上、电话等；在接到故障报修服务要求时，1小时内做出明确响应和安排，4小时内解决故障。</w:t>
      </w:r>
    </w:p>
    <w:p w14:paraId="6974250C">
      <w:pPr>
        <w:snapToGrid w:val="0"/>
        <w:spacing w:line="360" w:lineRule="auto"/>
        <w:ind w:firstLine="472" w:firstLineChars="20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lang w:val="en-US" w:eastAsia="zh-CN"/>
        </w:rPr>
        <w:t>本项目迁移对象为</w:t>
      </w:r>
      <w:r>
        <w:rPr>
          <w:rFonts w:hint="eastAsia" w:ascii="宋体" w:hAnsi="宋体" w:eastAsia="宋体" w:cs="宋体"/>
          <w:spacing w:val="-2"/>
          <w:sz w:val="24"/>
          <w:szCs w:val="24"/>
          <w:highlight w:val="none"/>
        </w:rPr>
        <w:t>全民健康信息平台</w:t>
      </w:r>
      <w:r>
        <w:rPr>
          <w:rFonts w:hint="eastAsia" w:ascii="宋体" w:hAnsi="宋体" w:eastAsia="宋体" w:cs="宋体"/>
          <w:spacing w:val="-2"/>
          <w:sz w:val="24"/>
          <w:szCs w:val="24"/>
          <w:highlight w:val="none"/>
          <w:lang w:eastAsia="zh-CN"/>
        </w:rPr>
        <w:t>，</w:t>
      </w:r>
      <w:r>
        <w:rPr>
          <w:rFonts w:hint="eastAsia" w:ascii="宋体" w:hAnsi="宋体" w:eastAsia="宋体" w:cs="宋体"/>
          <w:spacing w:val="-2"/>
          <w:sz w:val="24"/>
          <w:szCs w:val="24"/>
          <w:highlight w:val="none"/>
        </w:rPr>
        <w:t>包含市医疗健康大数据平台、</w:t>
      </w:r>
      <w:r>
        <w:rPr>
          <w:rFonts w:hint="eastAsia" w:ascii="宋体" w:hAnsi="宋体" w:eastAsia="宋体" w:cs="宋体"/>
          <w:spacing w:val="-2"/>
          <w:sz w:val="24"/>
          <w:szCs w:val="24"/>
          <w:highlight w:val="none"/>
          <w:lang w:val="en-US" w:eastAsia="zh-CN"/>
        </w:rPr>
        <w:t>影像平台</w:t>
      </w:r>
      <w:r>
        <w:rPr>
          <w:rFonts w:hint="eastAsia" w:ascii="宋体" w:hAnsi="宋体" w:eastAsia="宋体" w:cs="宋体"/>
          <w:spacing w:val="-2"/>
          <w:sz w:val="24"/>
          <w:szCs w:val="24"/>
          <w:highlight w:val="none"/>
        </w:rPr>
        <w:t>等业务系统。需支持将以上业务系统迁移至本项目所投的云平台。</w:t>
      </w:r>
      <w:r>
        <w:rPr>
          <w:rFonts w:hint="eastAsia" w:ascii="宋体" w:hAnsi="宋体" w:eastAsia="宋体" w:cs="宋体"/>
          <w:spacing w:val="-2"/>
          <w:sz w:val="24"/>
          <w:szCs w:val="24"/>
          <w:highlight w:val="none"/>
          <w:lang w:val="en-US" w:eastAsia="zh-CN"/>
        </w:rPr>
        <w:t>投标人需提供完整的迁移方案，</w:t>
      </w:r>
      <w:r>
        <w:rPr>
          <w:rFonts w:hint="eastAsia" w:ascii="宋体" w:hAnsi="宋体" w:eastAsia="宋体" w:cs="宋体"/>
          <w:spacing w:val="-2"/>
          <w:sz w:val="24"/>
          <w:szCs w:val="24"/>
          <w:highlight w:val="none"/>
        </w:rPr>
        <w:t>支持虚拟机，数据库、存储等在线迁移能力，包括数据、应用及系统配置全迁移。迁移过程中不影响生产正常工作。支持P2V、异构虚拟化平台下的V2V迁移，支持跨云平台迁移。为确保迁移过程中数据不丢失、系统业务不中断，投标人负责与原服务商进行主动对接，投标人须承诺系统迁移涉及的所有费用（包括但不限于中标人迁移测试阶段的云资源费用，第三方对业务系统的部署、调试费用等）由投标人承担。</w:t>
      </w:r>
    </w:p>
    <w:p w14:paraId="10B85F6C">
      <w:pPr>
        <w:pStyle w:val="3"/>
        <w:numPr>
          <w:ilvl w:val="0"/>
          <w:numId w:val="1"/>
        </w:numPr>
        <w:ind w:left="425" w:hanging="425"/>
        <w:rPr>
          <w:rFonts w:hint="eastAsia" w:ascii="宋体" w:hAnsi="宋体" w:eastAsia="宋体" w:cs="宋体"/>
          <w:sz w:val="24"/>
          <w:szCs w:val="24"/>
          <w:highlight w:val="none"/>
        </w:rPr>
      </w:pPr>
      <w:bookmarkStart w:id="4" w:name="bookmark23"/>
      <w:bookmarkEnd w:id="4"/>
      <w:bookmarkStart w:id="5" w:name="bookmark22"/>
      <w:bookmarkEnd w:id="5"/>
      <w:bookmarkStart w:id="6" w:name="bookmark20"/>
      <w:bookmarkEnd w:id="6"/>
      <w:r>
        <w:rPr>
          <w:rFonts w:hint="eastAsia" w:ascii="宋体" w:hAnsi="宋体" w:eastAsia="宋体" w:cs="宋体"/>
          <w:sz w:val="24"/>
          <w:szCs w:val="24"/>
          <w:highlight w:val="none"/>
        </w:rPr>
        <w:t>培训服务</w:t>
      </w:r>
    </w:p>
    <w:p w14:paraId="1CE20C5B">
      <w:pPr>
        <w:spacing w:before="67" w:line="360" w:lineRule="auto"/>
        <w:ind w:right="62" w:firstLine="472" w:firstLineChars="20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投标人应负责对采购人的管理人员和技术人员进行培训。须根据标书采购内容提出全面、详细的培训方案，包括培训的具体内容、培训地点、培训计划等，并征得采购人同意后实施。培训所产生的一切费用由投标人自理。</w:t>
      </w:r>
    </w:p>
    <w:p w14:paraId="4E272E4C">
      <w:pPr>
        <w:pStyle w:val="3"/>
        <w:numPr>
          <w:ilvl w:val="0"/>
          <w:numId w:val="1"/>
        </w:numPr>
        <w:ind w:left="425" w:hanging="425"/>
        <w:rPr>
          <w:rFonts w:hint="eastAsia" w:ascii="宋体" w:hAnsi="宋体" w:eastAsia="宋体" w:cs="宋体"/>
          <w:b/>
          <w:bCs w:val="0"/>
          <w:sz w:val="24"/>
          <w:szCs w:val="24"/>
          <w:highlight w:val="none"/>
        </w:rPr>
      </w:pPr>
      <w:r>
        <w:rPr>
          <w:rFonts w:hint="eastAsia" w:ascii="宋体" w:hAnsi="宋体" w:eastAsia="宋体" w:cs="宋体"/>
          <w:b/>
          <w:bCs w:val="0"/>
          <w:sz w:val="24"/>
          <w:szCs w:val="24"/>
          <w:highlight w:val="none"/>
        </w:rPr>
        <w:t>验收标准</w:t>
      </w:r>
    </w:p>
    <w:p w14:paraId="56CAB7C9">
      <w:pPr>
        <w:pStyle w:val="5"/>
        <w:numPr>
          <w:ilvl w:val="1"/>
          <w:numId w:val="1"/>
        </w:numPr>
        <w:rPr>
          <w:rFonts w:hint="eastAsia" w:ascii="宋体" w:hAnsi="宋体" w:eastAsia="宋体" w:cs="宋体"/>
          <w:bCs/>
          <w:sz w:val="24"/>
          <w:szCs w:val="24"/>
          <w:highlight w:val="none"/>
        </w:rPr>
      </w:pPr>
      <w:r>
        <w:rPr>
          <w:rFonts w:hint="eastAsia" w:ascii="宋体" w:hAnsi="宋体" w:eastAsia="宋体" w:cs="宋体"/>
          <w:bCs w:val="0"/>
          <w:sz w:val="24"/>
          <w:szCs w:val="24"/>
          <w:highlight w:val="none"/>
        </w:rPr>
        <w:t>服务绩效指标</w:t>
      </w:r>
      <w:r>
        <w:rPr>
          <w:rFonts w:hint="eastAsia" w:ascii="宋体" w:hAnsi="宋体" w:eastAsia="宋体" w:cs="宋体"/>
          <w:bCs/>
          <w:sz w:val="24"/>
          <w:szCs w:val="24"/>
          <w:highlight w:val="none"/>
        </w:rPr>
        <w:t xml:space="preserve"> </w:t>
      </w:r>
    </w:p>
    <w:p w14:paraId="6E4C21D5">
      <w:pPr>
        <w:spacing w:line="360" w:lineRule="auto"/>
        <w:ind w:firstLine="420"/>
        <w:rPr>
          <w:rFonts w:hint="eastAsia" w:ascii="宋体" w:hAnsi="宋体" w:eastAsia="宋体" w:cs="宋体"/>
          <w:bCs/>
          <w:sz w:val="24"/>
          <w:szCs w:val="24"/>
          <w:highlight w:val="none"/>
        </w:rPr>
      </w:pPr>
      <w:r>
        <w:rPr>
          <w:rFonts w:hint="eastAsia" w:ascii="宋体" w:hAnsi="宋体" w:eastAsia="宋体" w:cs="宋体"/>
          <w:bCs/>
          <w:sz w:val="24"/>
          <w:szCs w:val="24"/>
          <w:highlight w:val="none"/>
        </w:rPr>
        <w:t>1）云服务期内整体可用性应不低于99.99%，数据可靠性应不低于99.9999%。</w:t>
      </w:r>
    </w:p>
    <w:p w14:paraId="10350625">
      <w:pPr>
        <w:spacing w:line="360" w:lineRule="auto"/>
        <w:ind w:firstLine="420"/>
        <w:rPr>
          <w:rFonts w:hint="eastAsia" w:ascii="宋体" w:hAnsi="宋体" w:eastAsia="宋体" w:cs="宋体"/>
          <w:bCs/>
          <w:sz w:val="24"/>
          <w:szCs w:val="24"/>
          <w:highlight w:val="none"/>
        </w:rPr>
      </w:pPr>
      <w:r>
        <w:rPr>
          <w:rFonts w:hint="eastAsia" w:ascii="宋体" w:hAnsi="宋体" w:eastAsia="宋体" w:cs="宋体"/>
          <w:bCs/>
          <w:sz w:val="24"/>
          <w:szCs w:val="24"/>
          <w:highlight w:val="none"/>
        </w:rPr>
        <w:t xml:space="preserve">2）故障响应率100%； </w:t>
      </w:r>
    </w:p>
    <w:p w14:paraId="179A813C">
      <w:pPr>
        <w:spacing w:line="360" w:lineRule="auto"/>
        <w:ind w:firstLine="42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3）应急响应时间≤10分钟（重大事件1分钟内响应）</w:t>
      </w:r>
      <w:r>
        <w:rPr>
          <w:rFonts w:hint="eastAsia" w:ascii="宋体" w:hAnsi="宋体" w:eastAsia="宋体" w:cs="宋体"/>
          <w:bCs/>
          <w:sz w:val="24"/>
          <w:szCs w:val="24"/>
          <w:highlight w:val="none"/>
          <w:lang w:eastAsia="zh-CN"/>
        </w:rPr>
        <w:t>。</w:t>
      </w:r>
    </w:p>
    <w:p w14:paraId="62C83A6D">
      <w:pPr>
        <w:pStyle w:val="5"/>
        <w:numPr>
          <w:ilvl w:val="1"/>
          <w:numId w:val="1"/>
        </w:numPr>
        <w:rPr>
          <w:rFonts w:hint="eastAsia" w:ascii="宋体" w:hAnsi="宋体" w:eastAsia="宋体" w:cs="宋体"/>
          <w:bCs/>
          <w:sz w:val="24"/>
          <w:szCs w:val="24"/>
          <w:highlight w:val="none"/>
        </w:rPr>
      </w:pPr>
      <w:r>
        <w:rPr>
          <w:rFonts w:hint="eastAsia" w:ascii="宋体" w:hAnsi="宋体" w:eastAsia="宋体" w:cs="宋体"/>
          <w:bCs/>
          <w:sz w:val="24"/>
          <w:szCs w:val="24"/>
          <w:highlight w:val="none"/>
        </w:rPr>
        <w:t xml:space="preserve">项目验收要求 </w:t>
      </w:r>
    </w:p>
    <w:p w14:paraId="67861B25">
      <w:pPr>
        <w:spacing w:line="360" w:lineRule="auto"/>
        <w:ind w:firstLine="420"/>
        <w:rPr>
          <w:rFonts w:hint="eastAsia" w:ascii="宋体" w:hAnsi="宋体" w:eastAsia="宋体" w:cs="宋体"/>
          <w:bCs/>
          <w:sz w:val="24"/>
          <w:szCs w:val="24"/>
          <w:highlight w:val="none"/>
        </w:rPr>
      </w:pPr>
      <w:r>
        <w:rPr>
          <w:rFonts w:hint="eastAsia" w:ascii="宋体" w:hAnsi="宋体" w:eastAsia="宋体" w:cs="宋体"/>
          <w:bCs/>
          <w:sz w:val="24"/>
          <w:szCs w:val="24"/>
          <w:highlight w:val="none"/>
        </w:rPr>
        <w:t xml:space="preserve">1）投标人所提供的北京市市级政务云基础资源服务应遵循客观、科学、合理的原则，符合《北京市市级政务云管理办法》的相关标准及要求。 </w:t>
      </w:r>
    </w:p>
    <w:p w14:paraId="6B334EF1">
      <w:pPr>
        <w:spacing w:line="360" w:lineRule="auto"/>
        <w:ind w:firstLine="420"/>
        <w:rPr>
          <w:rFonts w:hint="eastAsia" w:ascii="宋体" w:hAnsi="宋体" w:eastAsia="宋体" w:cs="宋体"/>
          <w:bCs/>
          <w:sz w:val="24"/>
          <w:szCs w:val="24"/>
          <w:highlight w:val="none"/>
        </w:rPr>
      </w:pPr>
      <w:r>
        <w:rPr>
          <w:rFonts w:hint="eastAsia" w:ascii="宋体" w:hAnsi="宋体" w:eastAsia="宋体" w:cs="宋体"/>
          <w:bCs/>
          <w:sz w:val="24"/>
          <w:szCs w:val="24"/>
          <w:highlight w:val="none"/>
        </w:rPr>
        <w:t xml:space="preserve">2）投标人所提供资源应满足采购文件规定的要求。保证合同期内系统安全稳定运行，不因硬件故障导致累计服务中断23小时及以上。 </w:t>
      </w:r>
    </w:p>
    <w:p w14:paraId="43489142">
      <w:pPr>
        <w:spacing w:line="360" w:lineRule="auto"/>
        <w:ind w:firstLine="420"/>
        <w:rPr>
          <w:rFonts w:hint="eastAsia" w:ascii="宋体" w:hAnsi="宋体" w:eastAsia="宋体" w:cs="宋体"/>
          <w:bCs/>
          <w:sz w:val="24"/>
          <w:szCs w:val="24"/>
          <w:highlight w:val="none"/>
        </w:rPr>
      </w:pPr>
      <w:r>
        <w:rPr>
          <w:rFonts w:hint="eastAsia" w:ascii="宋体" w:hAnsi="宋体" w:eastAsia="宋体" w:cs="宋体"/>
          <w:bCs/>
          <w:sz w:val="24"/>
          <w:szCs w:val="24"/>
          <w:highlight w:val="none"/>
        </w:rPr>
        <w:t>3）</w:t>
      </w:r>
      <w:r>
        <w:rPr>
          <w:rFonts w:hint="eastAsia" w:ascii="宋体" w:hAnsi="宋体" w:cs="宋体"/>
          <w:bCs/>
          <w:sz w:val="24"/>
          <w:szCs w:val="24"/>
          <w:highlight w:val="none"/>
          <w:lang w:val="en-US" w:eastAsia="zh-CN"/>
        </w:rPr>
        <w:t>中标人应</w:t>
      </w:r>
      <w:r>
        <w:rPr>
          <w:rFonts w:hint="eastAsia" w:ascii="宋体" w:hAnsi="宋体" w:eastAsia="宋体" w:cs="宋体"/>
          <w:bCs/>
          <w:sz w:val="24"/>
          <w:szCs w:val="24"/>
          <w:highlight w:val="none"/>
        </w:rPr>
        <w:t xml:space="preserve">于合同服务期结束后的15个工作日内向采购人提交验收申请及项目验收材料，采购人在收到验收申请后的5个工作日内，确定具体验收日期。投标人应当在采购人指定的验收日前向采购人提交验收报告。验收报告的内容包括，合同规定的各项服务清单，各系统设备运行情况。 </w:t>
      </w:r>
    </w:p>
    <w:p w14:paraId="4D4050EF">
      <w:pPr>
        <w:spacing w:line="360" w:lineRule="auto"/>
        <w:ind w:firstLine="420"/>
        <w:rPr>
          <w:rFonts w:hint="eastAsia" w:ascii="宋体" w:hAnsi="宋体" w:eastAsia="宋体" w:cs="宋体"/>
          <w:bCs/>
          <w:sz w:val="24"/>
          <w:szCs w:val="24"/>
          <w:highlight w:val="none"/>
        </w:rPr>
      </w:pPr>
      <w:r>
        <w:rPr>
          <w:rFonts w:hint="eastAsia" w:ascii="宋体" w:hAnsi="宋体" w:eastAsia="宋体" w:cs="宋体"/>
          <w:bCs/>
          <w:sz w:val="24"/>
          <w:szCs w:val="24"/>
          <w:highlight w:val="none"/>
        </w:rPr>
        <w:t>4）服务期届满后，投标人按照采购人要求完成所有项目，各项记录、报告等文档齐全，无任何系统遗留问题，并通过由采购人组织的专家验收评审，方可通过验收。</w:t>
      </w:r>
    </w:p>
    <w:p w14:paraId="588F6E55">
      <w:pPr>
        <w:pStyle w:val="3"/>
        <w:numPr>
          <w:ilvl w:val="0"/>
          <w:numId w:val="1"/>
        </w:numPr>
        <w:ind w:left="425" w:hanging="425"/>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t>保密要求</w:t>
      </w:r>
    </w:p>
    <w:p w14:paraId="64BFFEA0">
      <w:r>
        <w:rPr>
          <w:rFonts w:hint="eastAsia" w:ascii="宋体" w:hAnsi="宋体" w:eastAsia="宋体" w:cs="宋体"/>
          <w:bCs/>
          <w:sz w:val="24"/>
          <w:szCs w:val="24"/>
          <w:highlight w:val="none"/>
        </w:rPr>
        <w:t>投标人须严格遵守采购人的相关信息安全规定，本项目涉及人员须与投标人签订保密协议，项目中标后本项目服务人员须与采购人签订针对本项目的保密协议，投标人应选派具有良好职业道德的人员参与和从事本项目工作，不得利用系统维护服务时的便利对采购人数据及其他信息擅自修改或透露，投标人须承担相关保密责任。</w:t>
      </w:r>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A140AE"/>
    <w:multiLevelType w:val="singleLevel"/>
    <w:tmpl w:val="A2A140AE"/>
    <w:lvl w:ilvl="0" w:tentative="0">
      <w:start w:val="1"/>
      <w:numFmt w:val="decimal"/>
      <w:lvlText w:val="(%1)"/>
      <w:lvlJc w:val="left"/>
      <w:pPr>
        <w:ind w:left="425" w:hanging="425"/>
      </w:pPr>
      <w:rPr>
        <w:rFonts w:hint="default"/>
      </w:rPr>
    </w:lvl>
  </w:abstractNum>
  <w:abstractNum w:abstractNumId="1">
    <w:nsid w:val="CB9FA60A"/>
    <w:multiLevelType w:val="multilevel"/>
    <w:tmpl w:val="CB9FA60A"/>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
    <w:nsid w:val="EFEB759F"/>
    <w:multiLevelType w:val="singleLevel"/>
    <w:tmpl w:val="EFEB759F"/>
    <w:lvl w:ilvl="0" w:tentative="0">
      <w:start w:val="1"/>
      <w:numFmt w:val="decimal"/>
      <w:lvlText w:val="(%1)"/>
      <w:lvlJc w:val="left"/>
      <w:pPr>
        <w:ind w:left="425" w:hanging="425"/>
      </w:pPr>
      <w:rPr>
        <w:rFonts w:hint="default"/>
      </w:rPr>
    </w:lvl>
  </w:abstractNum>
  <w:abstractNum w:abstractNumId="3">
    <w:nsid w:val="459B15C1"/>
    <w:multiLevelType w:val="singleLevel"/>
    <w:tmpl w:val="459B15C1"/>
    <w:lvl w:ilvl="0" w:tentative="0">
      <w:start w:val="1"/>
      <w:numFmt w:val="decimal"/>
      <w:lvlText w:val="(%1)"/>
      <w:lvlJc w:val="left"/>
      <w:pPr>
        <w:ind w:left="425" w:hanging="425"/>
      </w:pPr>
      <w:rPr>
        <w:rFonts w:hint="default"/>
      </w:rPr>
    </w:lvl>
  </w:abstractNum>
  <w:abstractNum w:abstractNumId="4">
    <w:nsid w:val="5EA07434"/>
    <w:multiLevelType w:val="singleLevel"/>
    <w:tmpl w:val="5EA07434"/>
    <w:lvl w:ilvl="0" w:tentative="0">
      <w:start w:val="1"/>
      <w:numFmt w:val="decimal"/>
      <w:lvlText w:val="(%1)"/>
      <w:lvlJc w:val="left"/>
      <w:pPr>
        <w:ind w:left="425" w:hanging="425"/>
      </w:pPr>
      <w:rPr>
        <w:rFonts w:hint="default"/>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CDC45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3">
    <w:name w:val="heading 3"/>
    <w:basedOn w:val="1"/>
    <w:next w:val="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qFormat/>
    <w:uiPriority w:val="0"/>
    <w:pPr>
      <w:keepNext/>
      <w:keepLines/>
      <w:adjustRightInd w:val="0"/>
      <w:spacing w:before="280" w:after="290" w:line="376" w:lineRule="atLeast"/>
      <w:textAlignment w:val="baseline"/>
      <w:outlineLvl w:val="3"/>
    </w:pPr>
    <w:rPr>
      <w:kern w:val="0"/>
      <w:sz w:val="24"/>
      <w:szCs w:val="20"/>
    </w:rPr>
  </w:style>
  <w:style w:type="paragraph" w:styleId="6">
    <w:name w:val="heading 5"/>
    <w:basedOn w:val="1"/>
    <w:next w:val="4"/>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character" w:default="1" w:styleId="11">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4">
    <w:name w:val="Body Text"/>
    <w:basedOn w:val="1"/>
    <w:next w:val="1"/>
    <w:qFormat/>
    <w:uiPriority w:val="0"/>
    <w:pPr>
      <w:tabs>
        <w:tab w:val="left" w:pos="567"/>
      </w:tabs>
      <w:spacing w:before="120" w:line="22" w:lineRule="atLeast"/>
    </w:pPr>
    <w:rPr>
      <w:rFonts w:ascii="宋体" w:hAnsi="宋体"/>
      <w:sz w:val="24"/>
    </w:rPr>
  </w:style>
  <w:style w:type="paragraph" w:styleId="8">
    <w:name w:val="Normal Indent"/>
    <w:basedOn w:val="1"/>
    <w:qFormat/>
    <w:uiPriority w:val="0"/>
    <w:pPr>
      <w:autoSpaceDE w:val="0"/>
      <w:autoSpaceDN w:val="0"/>
      <w:adjustRightInd w:val="0"/>
      <w:ind w:firstLine="420"/>
      <w:jc w:val="left"/>
    </w:pPr>
    <w:rPr>
      <w:rFonts w:ascii="宋体"/>
      <w:sz w:val="24"/>
    </w:rPr>
  </w:style>
  <w:style w:type="paragraph" w:styleId="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customStyle="1" w:styleId="12">
    <w:name w:val="表头文中"/>
    <w:basedOn w:val="1"/>
    <w:qFormat/>
    <w:uiPriority w:val="0"/>
    <w:pPr>
      <w:tabs>
        <w:tab w:val="left" w:pos="0"/>
      </w:tabs>
      <w:jc w:val="center"/>
    </w:pPr>
    <w:rPr>
      <w:rFonts w:hint="eastAsia"/>
      <w:b/>
      <w:bCs/>
    </w:rPr>
  </w:style>
  <w:style w:type="paragraph" w:customStyle="1" w:styleId="13">
    <w:name w:val="表正文中"/>
    <w:qFormat/>
    <w:uiPriority w:val="0"/>
    <w:pPr>
      <w:spacing w:line="360" w:lineRule="auto"/>
      <w:jc w:val="center"/>
    </w:pPr>
    <w:rPr>
      <w:rFonts w:ascii="宋体" w:hAnsi="宋体"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2026-09-29T10:05:44Z</dcterms:created>
  <dc:creator>zhhx</dc:creator>
  <cp:lastModifiedBy>高</cp:lastModifiedBy>
  <dcterms:modified xsi:type="dcterms:W3CDTF">2026-09-29T10:06:37Z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eyJoZGlkIjoiOTEwNzllZDM2ZTdkZjM5ZWQ4N2U5NWIyN2UyZWUyZGYiLCJ1c2VySWQiOiI0NjYwNDMyMDYifQ==</vt:lpwstr>
  </property>
  <property fmtid="{D5CDD505-2E9C-101B-9397-08002B2CF9AE}" pid="4" name="ICV">
    <vt:lpwstr>4A510E08B0D942E496CB702220DBE1B5_12</vt:lpwstr>
  </property>
</Properties>
</file>