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9FE7D">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r>
        <w:rPr>
          <w:rFonts w:hint="eastAsia" w:ascii="宋体" w:hAnsi="宋体" w:eastAsia="宋体" w:cs="宋体"/>
          <w:b/>
          <w:bCs/>
          <w:sz w:val="36"/>
          <w:szCs w:val="36"/>
          <w:highlight w:val="none"/>
          <w:lang w:val="en-US" w:eastAsia="en-US" w:bidi="ar-SA"/>
        </w:rPr>
        <w:t>采购需求</w:t>
      </w:r>
    </w:p>
    <w:p w14:paraId="7A0DD856">
      <w:pPr>
        <w:rPr>
          <w:rFonts w:ascii="宋体" w:hAnsi="宋体" w:eastAsia="宋体" w:cs="宋体"/>
          <w:highlight w:val="none"/>
        </w:rPr>
      </w:pPr>
    </w:p>
    <w:p w14:paraId="60116CE2">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71C9BA8E">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6"/>
        <w:tblW w:w="83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083"/>
        <w:gridCol w:w="3084"/>
        <w:gridCol w:w="1620"/>
        <w:gridCol w:w="1701"/>
      </w:tblGrid>
      <w:tr w14:paraId="2A005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vAlign w:val="center"/>
          </w:tcPr>
          <w:p w14:paraId="070C8064">
            <w:pPr>
              <w:widowControl w:val="0"/>
              <w:autoSpaceDE w:val="0"/>
              <w:autoSpaceDN w:val="0"/>
              <w:jc w:val="center"/>
              <w:rPr>
                <w:rFonts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1083" w:type="dxa"/>
            <w:tcBorders>
              <w:top w:val="single" w:color="000000" w:sz="4" w:space="0"/>
              <w:left w:val="single" w:color="000000" w:sz="4" w:space="0"/>
              <w:bottom w:val="single" w:color="000000" w:sz="4" w:space="0"/>
              <w:right w:val="single" w:color="000000" w:sz="4" w:space="0"/>
            </w:tcBorders>
            <w:vAlign w:val="center"/>
          </w:tcPr>
          <w:p w14:paraId="0E62ED4D">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品目号</w:t>
            </w:r>
          </w:p>
        </w:tc>
        <w:tc>
          <w:tcPr>
            <w:tcW w:w="3084" w:type="dxa"/>
            <w:tcBorders>
              <w:top w:val="single" w:color="000000" w:sz="4" w:space="0"/>
              <w:left w:val="single" w:color="000000" w:sz="4" w:space="0"/>
              <w:bottom w:val="single" w:color="000000" w:sz="4" w:space="0"/>
              <w:right w:val="single" w:color="000000" w:sz="4" w:space="0"/>
            </w:tcBorders>
            <w:vAlign w:val="center"/>
          </w:tcPr>
          <w:p w14:paraId="01219565">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620" w:type="dxa"/>
            <w:tcBorders>
              <w:top w:val="single" w:color="000000" w:sz="4" w:space="0"/>
              <w:left w:val="single" w:color="000000" w:sz="4" w:space="0"/>
              <w:bottom w:val="single" w:color="000000" w:sz="4" w:space="0"/>
              <w:right w:val="single" w:color="000000" w:sz="4" w:space="0"/>
            </w:tcBorders>
            <w:vAlign w:val="center"/>
          </w:tcPr>
          <w:p w14:paraId="64E85660">
            <w:pPr>
              <w:widowControl w:val="0"/>
              <w:autoSpaceDE w:val="0"/>
              <w:autoSpaceDN w:val="0"/>
              <w:jc w:val="center"/>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tc>
        <w:tc>
          <w:tcPr>
            <w:tcW w:w="1701" w:type="dxa"/>
            <w:tcBorders>
              <w:top w:val="single" w:color="000000" w:sz="4" w:space="0"/>
              <w:left w:val="single" w:color="000000" w:sz="4" w:space="0"/>
              <w:bottom w:val="single" w:color="000000" w:sz="4" w:space="0"/>
              <w:right w:val="single" w:color="000000" w:sz="4" w:space="0"/>
            </w:tcBorders>
            <w:vAlign w:val="center"/>
          </w:tcPr>
          <w:p w14:paraId="70826FE2">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r>
      <w:tr w14:paraId="1739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restart"/>
            <w:tcBorders>
              <w:top w:val="single" w:color="000000" w:sz="4" w:space="0"/>
              <w:left w:val="single" w:color="000000" w:sz="4" w:space="0"/>
              <w:right w:val="single" w:color="000000" w:sz="4" w:space="0"/>
            </w:tcBorders>
            <w:vAlign w:val="center"/>
          </w:tcPr>
          <w:p w14:paraId="6C734CC3">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w:t>
            </w:r>
          </w:p>
        </w:tc>
        <w:tc>
          <w:tcPr>
            <w:tcW w:w="1083" w:type="dxa"/>
            <w:tcBorders>
              <w:top w:val="single" w:color="000000" w:sz="4" w:space="0"/>
              <w:left w:val="single" w:color="000000" w:sz="4" w:space="0"/>
              <w:bottom w:val="single" w:color="000000" w:sz="4" w:space="0"/>
              <w:right w:val="single" w:color="000000" w:sz="4" w:space="0"/>
            </w:tcBorders>
            <w:vAlign w:val="center"/>
          </w:tcPr>
          <w:p w14:paraId="3EE7FB2E">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1-1</w:t>
            </w:r>
          </w:p>
        </w:tc>
        <w:tc>
          <w:tcPr>
            <w:tcW w:w="3084" w:type="dxa"/>
            <w:tcBorders>
              <w:top w:val="single" w:color="000000" w:sz="4" w:space="0"/>
              <w:left w:val="single" w:color="000000" w:sz="4" w:space="0"/>
              <w:bottom w:val="single" w:color="000000" w:sz="4" w:space="0"/>
              <w:right w:val="single" w:color="000000" w:sz="4" w:space="0"/>
            </w:tcBorders>
            <w:vAlign w:val="center"/>
          </w:tcPr>
          <w:p w14:paraId="04B3DA0B">
            <w:pPr>
              <w:adjustRightInd w:val="0"/>
              <w:spacing w:line="520" w:lineRule="exact"/>
              <w:jc w:val="center"/>
              <w:rPr>
                <w:rFonts w:ascii="宋体" w:hAnsi="宋体" w:eastAsia="宋体" w:cs="宋体"/>
                <w:sz w:val="24"/>
                <w:szCs w:val="24"/>
                <w:highlight w:val="none"/>
                <w:lang w:eastAsia="zh-CN"/>
              </w:rPr>
            </w:pPr>
            <w:r>
              <w:rPr>
                <w:rFonts w:hint="eastAsia" w:ascii="宋体" w:hAnsi="宋体" w:eastAsia="宋体" w:cs="宋体"/>
                <w:color w:val="000000"/>
                <w:sz w:val="24"/>
                <w:szCs w:val="24"/>
                <w:highlight w:val="none"/>
              </w:rPr>
              <w:t>超融合一体机</w:t>
            </w:r>
          </w:p>
        </w:tc>
        <w:tc>
          <w:tcPr>
            <w:tcW w:w="1620" w:type="dxa"/>
            <w:tcBorders>
              <w:top w:val="single" w:color="000000" w:sz="4" w:space="0"/>
              <w:left w:val="single" w:color="000000" w:sz="4" w:space="0"/>
              <w:bottom w:val="single" w:color="000000" w:sz="4" w:space="0"/>
              <w:right w:val="single" w:color="000000" w:sz="4" w:space="0"/>
            </w:tcBorders>
            <w:vAlign w:val="center"/>
          </w:tcPr>
          <w:p w14:paraId="460939D9">
            <w:pPr>
              <w:adjustRightInd w:val="0"/>
              <w:spacing w:line="520" w:lineRule="exact"/>
              <w:jc w:val="center"/>
              <w:rPr>
                <w:rFonts w:ascii="宋体" w:hAnsi="宋体" w:eastAsia="宋体" w:cs="宋体"/>
                <w:sz w:val="24"/>
                <w:szCs w:val="24"/>
                <w:highlight w:val="none"/>
              </w:rPr>
            </w:pPr>
            <w:r>
              <w:rPr>
                <w:rFonts w:hint="eastAsia" w:ascii="宋体" w:hAnsi="宋体" w:eastAsia="宋体" w:cs="宋体"/>
                <w:color w:val="000000"/>
                <w:sz w:val="24"/>
                <w:szCs w:val="24"/>
                <w:highlight w:val="none"/>
              </w:rPr>
              <w:t>4台</w:t>
            </w:r>
          </w:p>
        </w:tc>
        <w:tc>
          <w:tcPr>
            <w:tcW w:w="1701" w:type="dxa"/>
            <w:tcBorders>
              <w:top w:val="single" w:color="000000" w:sz="4" w:space="0"/>
              <w:left w:val="single" w:color="000000" w:sz="4" w:space="0"/>
              <w:bottom w:val="single" w:color="000000" w:sz="4" w:space="0"/>
              <w:right w:val="single" w:color="000000" w:sz="4" w:space="0"/>
            </w:tcBorders>
            <w:vAlign w:val="center"/>
          </w:tcPr>
          <w:p w14:paraId="6C339EBD">
            <w:pPr>
              <w:widowControl/>
              <w:jc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否</w:t>
            </w:r>
          </w:p>
        </w:tc>
      </w:tr>
      <w:tr w14:paraId="248D8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vAlign w:val="center"/>
          </w:tcPr>
          <w:p w14:paraId="3AF24FB2">
            <w:pPr>
              <w:widowControl w:val="0"/>
              <w:autoSpaceDE w:val="0"/>
              <w:autoSpaceDN w:val="0"/>
              <w:jc w:val="center"/>
              <w:rPr>
                <w:rFonts w:ascii="宋体" w:hAnsi="宋体" w:eastAsia="宋体" w:cs="宋体"/>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vAlign w:val="center"/>
          </w:tcPr>
          <w:p w14:paraId="4C1071D0">
            <w:pPr>
              <w:widowControl/>
              <w:jc w:val="center"/>
              <w:textAlignment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bidi="ar"/>
              </w:rPr>
              <w:t>1-2</w:t>
            </w:r>
          </w:p>
        </w:tc>
        <w:tc>
          <w:tcPr>
            <w:tcW w:w="3084" w:type="dxa"/>
            <w:tcBorders>
              <w:top w:val="single" w:color="000000" w:sz="4" w:space="0"/>
              <w:left w:val="single" w:color="000000" w:sz="4" w:space="0"/>
              <w:bottom w:val="single" w:color="000000" w:sz="4" w:space="0"/>
              <w:right w:val="single" w:color="000000" w:sz="4" w:space="0"/>
            </w:tcBorders>
            <w:vAlign w:val="center"/>
          </w:tcPr>
          <w:p w14:paraId="3315DB0A">
            <w:pPr>
              <w:adjustRightInd w:val="0"/>
              <w:spacing w:line="520" w:lineRule="exact"/>
              <w:jc w:val="center"/>
              <w:rPr>
                <w:rFonts w:ascii="宋体" w:hAnsi="宋体" w:eastAsia="宋体" w:cs="宋体"/>
                <w:sz w:val="24"/>
                <w:szCs w:val="24"/>
                <w:highlight w:val="none"/>
                <w:lang w:eastAsia="zh-CN"/>
              </w:rPr>
            </w:pPr>
            <w:r>
              <w:rPr>
                <w:rFonts w:hint="eastAsia" w:ascii="宋体" w:hAnsi="宋体" w:eastAsia="宋体" w:cs="宋体"/>
                <w:color w:val="000000"/>
                <w:sz w:val="24"/>
                <w:szCs w:val="24"/>
                <w:highlight w:val="none"/>
              </w:rPr>
              <w:t>配件-内存</w:t>
            </w:r>
          </w:p>
        </w:tc>
        <w:tc>
          <w:tcPr>
            <w:tcW w:w="1620" w:type="dxa"/>
            <w:tcBorders>
              <w:top w:val="single" w:color="000000" w:sz="4" w:space="0"/>
              <w:left w:val="single" w:color="000000" w:sz="4" w:space="0"/>
              <w:bottom w:val="single" w:color="000000" w:sz="4" w:space="0"/>
              <w:right w:val="single" w:color="000000" w:sz="4" w:space="0"/>
            </w:tcBorders>
            <w:vAlign w:val="center"/>
          </w:tcPr>
          <w:p w14:paraId="24979F64">
            <w:pPr>
              <w:adjustRightInd w:val="0"/>
              <w:spacing w:line="520" w:lineRule="exact"/>
              <w:jc w:val="center"/>
              <w:rPr>
                <w:rFonts w:ascii="宋体" w:hAnsi="宋体" w:eastAsia="宋体" w:cs="宋体"/>
                <w:sz w:val="24"/>
                <w:szCs w:val="24"/>
                <w:highlight w:val="none"/>
              </w:rPr>
            </w:pPr>
            <w:r>
              <w:rPr>
                <w:rFonts w:hint="eastAsia" w:ascii="宋体" w:hAnsi="宋体" w:eastAsia="宋体" w:cs="宋体"/>
                <w:color w:val="000000"/>
                <w:sz w:val="24"/>
                <w:szCs w:val="24"/>
                <w:highlight w:val="none"/>
              </w:rPr>
              <w:t>24条</w:t>
            </w:r>
          </w:p>
        </w:tc>
        <w:tc>
          <w:tcPr>
            <w:tcW w:w="1701" w:type="dxa"/>
            <w:tcBorders>
              <w:top w:val="single" w:color="000000" w:sz="4" w:space="0"/>
              <w:left w:val="single" w:color="000000" w:sz="4" w:space="0"/>
              <w:bottom w:val="single" w:color="000000" w:sz="4" w:space="0"/>
              <w:right w:val="single" w:color="000000" w:sz="4" w:space="0"/>
            </w:tcBorders>
            <w:vAlign w:val="center"/>
          </w:tcPr>
          <w:p w14:paraId="1067D772">
            <w:pPr>
              <w:widowControl/>
              <w:jc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否</w:t>
            </w:r>
          </w:p>
        </w:tc>
      </w:tr>
    </w:tbl>
    <w:p w14:paraId="3CE86CD1">
      <w:pPr>
        <w:widowControl w:val="0"/>
        <w:tabs>
          <w:tab w:val="left" w:pos="1197"/>
        </w:tabs>
        <w:autoSpaceDE w:val="0"/>
        <w:autoSpaceDN w:val="0"/>
        <w:spacing w:before="120" w:beforeLines="50" w:line="360" w:lineRule="auto"/>
        <w:ind w:left="0"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1831A370">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57A04ED1">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23382"/>
      <w:bookmarkStart w:id="2" w:name="_Toc24278"/>
      <w:bookmarkStart w:id="3" w:name="_Toc8925"/>
      <w:bookmarkStart w:id="4" w:name="_Toc14802"/>
      <w:bookmarkStart w:id="5" w:name="_Toc256196753"/>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bookmarkStart w:id="6" w:name="_Toc194115436"/>
      <w:bookmarkStart w:id="7" w:name="_Toc19535"/>
      <w:bookmarkStart w:id="8" w:name="_Toc6107"/>
      <w:bookmarkStart w:id="9" w:name="_Toc8853"/>
      <w:bookmarkStart w:id="10" w:name="_Toc30936"/>
      <w:r>
        <w:rPr>
          <w:rFonts w:hint="eastAsia" w:ascii="宋体" w:hAnsi="宋体" w:eastAsia="宋体" w:cs="宋体"/>
          <w:sz w:val="24"/>
          <w:szCs w:val="24"/>
          <w:highlight w:val="none"/>
          <w:lang w:val="en-US" w:eastAsia="zh-CN" w:bidi="ar-SA"/>
        </w:rPr>
        <w:t>合同签订后30天内</w:t>
      </w:r>
    </w:p>
    <w:p w14:paraId="0AD73D83">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北京市朝阳区工体南路8号</w:t>
      </w:r>
    </w:p>
    <w:p w14:paraId="62DF0691">
      <w:pPr>
        <w:widowControl w:val="0"/>
        <w:tabs>
          <w:tab w:val="left" w:pos="1197"/>
        </w:tabs>
        <w:autoSpaceDE w:val="0"/>
        <w:autoSpaceDN w:val="0"/>
        <w:spacing w:before="0" w:line="360" w:lineRule="auto"/>
        <w:ind w:left="0" w:right="233" w:firstLine="0"/>
        <w:jc w:val="both"/>
        <w:rPr>
          <w:rFonts w:ascii="宋体" w:hAnsi="宋体" w:eastAsia="宋体" w:cs="宋体"/>
          <w:bCs/>
          <w:color w:val="000000"/>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r>
        <w:rPr>
          <w:rFonts w:hint="eastAsia" w:ascii="宋体" w:hAnsi="宋体" w:eastAsia="宋体" w:cs="宋体"/>
          <w:bCs/>
          <w:color w:val="000000"/>
          <w:sz w:val="24"/>
          <w:szCs w:val="24"/>
          <w:highlight w:val="none"/>
          <w:lang w:val="en-US" w:eastAsia="zh-CN" w:bidi="ar-SA"/>
        </w:rPr>
        <w:t>详见“拟签订的合同文本”</w:t>
      </w:r>
    </w:p>
    <w:p w14:paraId="39135815">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w:t>
      </w:r>
      <w:bookmarkStart w:id="15" w:name="_GoBack"/>
      <w:bookmarkEnd w:id="15"/>
      <w:r>
        <w:rPr>
          <w:rFonts w:hint="eastAsia" w:ascii="宋体" w:hAnsi="宋体" w:eastAsia="宋体" w:cs="宋体"/>
          <w:b/>
          <w:bCs/>
          <w:sz w:val="24"/>
          <w:szCs w:val="24"/>
          <w:highlight w:val="none"/>
          <w:lang w:val="en-US" w:eastAsia="zh-CN" w:bidi="ar-SA"/>
        </w:rPr>
        <w:t>行）〉的通知》（财办库﹝2020﹞123号））</w:t>
      </w:r>
    </w:p>
    <w:p w14:paraId="1AB3F963">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13D5DB4C">
      <w:pPr>
        <w:spacing w:line="360" w:lineRule="auto"/>
        <w:ind w:firstLine="480" w:firstLineChars="200"/>
        <w:contextualSpacing/>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4.1.设备自安装、调试、验收合格并签署验收文件后开始计算质保期。设备的质保期不得少于36个月。</w:t>
      </w:r>
    </w:p>
    <w:p w14:paraId="3837DD8D">
      <w:pPr>
        <w:spacing w:line="360" w:lineRule="auto"/>
        <w:ind w:firstLine="480" w:firstLineChars="200"/>
        <w:contextualSpacing/>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4.2.质保期内软件免费升级，产品出现质量问题，须予以免费维修或更换。</w:t>
      </w:r>
    </w:p>
    <w:p w14:paraId="026F94A3">
      <w:pPr>
        <w:spacing w:line="360" w:lineRule="auto"/>
        <w:ind w:firstLine="480" w:firstLineChars="200"/>
        <w:contextualSpacing/>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4.3.对质保期内的维修服务，中标人在接到采购人通知后，到达现场无偿负责设备的调试或更换已损坏的零部件，响应时间请投标人在投标文件中明确。</w:t>
      </w:r>
    </w:p>
    <w:p w14:paraId="1D0D28A4">
      <w:pPr>
        <w:spacing w:line="360" w:lineRule="auto"/>
        <w:ind w:firstLine="480" w:firstLineChars="200"/>
        <w:contextualSpacing/>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4.5.质保期内未完成的维修服务，超出质保期后，中标人仍需无偿完成维修服务，并保证设备正常运行。</w:t>
      </w:r>
    </w:p>
    <w:p w14:paraId="41EACD75">
      <w:pPr>
        <w:spacing w:line="360" w:lineRule="auto"/>
        <w:contextualSpacing/>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5.服务要求：本项目要求中标人完成项目所有产品的安装调试工作，项目实施过程中造成医院系统意外中断，影响医院业务正常开展所带来的一切后果及损失由中标人承担。</w:t>
      </w:r>
    </w:p>
    <w:p w14:paraId="3FBE03DC">
      <w:pPr>
        <w:spacing w:line="360" w:lineRule="auto"/>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三、技术要求</w:t>
      </w:r>
    </w:p>
    <w:p w14:paraId="53CAA3DB">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59B4FAC3">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24B81961">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首都医科大学附属北京朝阳医院</w:t>
      </w:r>
      <w:r>
        <w:rPr>
          <w:rFonts w:hint="eastAsia" w:ascii="宋体" w:hAnsi="宋体" w:eastAsia="宋体" w:cs="宋体"/>
          <w:sz w:val="24"/>
          <w:highlight w:val="none"/>
          <w:lang w:eastAsia="zh-CN"/>
        </w:rPr>
        <w:t>配置</w:t>
      </w:r>
      <w:r>
        <w:rPr>
          <w:rFonts w:hint="eastAsia" w:ascii="宋体" w:hAnsi="宋体" w:eastAsia="宋体" w:cs="宋体"/>
          <w:color w:val="000000"/>
          <w:sz w:val="24"/>
          <w:szCs w:val="24"/>
          <w:highlight w:val="none"/>
          <w:lang w:eastAsia="zh-CN"/>
        </w:rPr>
        <w:t>超融合平台硬件扩容</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3AA8FFE1">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3A571A26">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403A4271">
      <w:pPr>
        <w:spacing w:before="120" w:beforeLines="50"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490E4A02">
      <w:pPr>
        <w:widowControl/>
        <w:spacing w:line="360" w:lineRule="auto"/>
        <w:ind w:left="-1"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42CD9BD6">
      <w:pPr>
        <w:widowControl/>
        <w:spacing w:line="360" w:lineRule="auto"/>
        <w:outlineLvl w:val="2"/>
        <w:rPr>
          <w:rFonts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eastAsia="zh-CN"/>
        </w:rPr>
        <w:t>品目1-1：超融合一体机</w:t>
      </w:r>
    </w:p>
    <w:p w14:paraId="6D7AC3C1">
      <w:pPr>
        <w:widowControl w:val="0"/>
        <w:autoSpaceDE w:val="0"/>
        <w:autoSpaceDN w:val="0"/>
        <w:spacing w:before="0" w:line="360" w:lineRule="auto"/>
        <w:ind w:left="0" w:firstLine="480" w:firstLineChars="200"/>
        <w:outlineLvl w:val="3"/>
        <w:rPr>
          <w:rFonts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（1）产品用途：</w:t>
      </w:r>
    </w:p>
    <w:p w14:paraId="5F8E783A">
      <w:pPr>
        <w:widowControl w:val="0"/>
        <w:autoSpaceDE w:val="0"/>
        <w:autoSpaceDN w:val="0"/>
        <w:spacing w:before="0" w:line="360" w:lineRule="auto"/>
        <w:ind w:left="0" w:firstLine="480" w:firstLineChars="200"/>
        <w:rPr>
          <w:rFonts w:ascii="宋体" w:hAnsi="宋体" w:eastAsia="宋体" w:cs="宋体"/>
          <w:color w:val="000000"/>
          <w:sz w:val="24"/>
          <w:szCs w:val="24"/>
          <w:highlight w:val="none"/>
          <w:lang w:val="en-US" w:eastAsia="zh-CN" w:bidi="ar-SA"/>
        </w:rPr>
      </w:pPr>
      <w:r>
        <w:rPr>
          <w:rFonts w:hint="eastAsia" w:ascii="宋体" w:hAnsi="宋体" w:eastAsia="宋体" w:cs="宋体"/>
          <w:sz w:val="24"/>
          <w:szCs w:val="24"/>
          <w:highlight w:val="none"/>
          <w:lang w:val="en-US" w:eastAsia="zh-CN" w:bidi="ar"/>
        </w:rPr>
        <w:t>超融合一体机用于构建虚拟化资源池，整合计算、存储和网络资源，为业务系统提供统一、稳定、高效、可扩展的基础运行平台，满足业务系统部署、资源扩容、数据存储及运维管理需求。</w:t>
      </w:r>
    </w:p>
    <w:p w14:paraId="2EB265CA">
      <w:pPr>
        <w:widowControl w:val="0"/>
        <w:autoSpaceDE w:val="0"/>
        <w:autoSpaceDN w:val="0"/>
        <w:spacing w:before="0" w:line="360" w:lineRule="auto"/>
        <w:ind w:left="0" w:firstLine="480" w:firstLineChars="200"/>
        <w:outlineLvl w:val="3"/>
        <w:rPr>
          <w:rFonts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（2）产品技术参数：</w:t>
      </w:r>
    </w:p>
    <w:tbl>
      <w:tblPr>
        <w:tblStyle w:val="6"/>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862"/>
        <w:gridCol w:w="867"/>
        <w:gridCol w:w="5437"/>
        <w:gridCol w:w="859"/>
      </w:tblGrid>
      <w:tr w14:paraId="6B85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5172D6F6">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序号</w:t>
            </w:r>
          </w:p>
        </w:tc>
        <w:tc>
          <w:tcPr>
            <w:tcW w:w="509" w:type="pct"/>
            <w:vAlign w:val="center"/>
          </w:tcPr>
          <w:p w14:paraId="2AFB327B">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参数类型</w:t>
            </w:r>
          </w:p>
        </w:tc>
        <w:tc>
          <w:tcPr>
            <w:tcW w:w="512" w:type="pct"/>
            <w:vAlign w:val="center"/>
          </w:tcPr>
          <w:p w14:paraId="39631256">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功能项</w:t>
            </w:r>
          </w:p>
        </w:tc>
        <w:tc>
          <w:tcPr>
            <w:tcW w:w="3209" w:type="pct"/>
            <w:vAlign w:val="center"/>
          </w:tcPr>
          <w:p w14:paraId="678E645E">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指标要求</w:t>
            </w:r>
          </w:p>
        </w:tc>
        <w:tc>
          <w:tcPr>
            <w:tcW w:w="507" w:type="pct"/>
            <w:vAlign w:val="center"/>
          </w:tcPr>
          <w:p w14:paraId="2944E699">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是否提供证明材料</w:t>
            </w:r>
          </w:p>
        </w:tc>
      </w:tr>
      <w:tr w14:paraId="00B2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2D40993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509" w:type="pct"/>
            <w:vAlign w:val="center"/>
          </w:tcPr>
          <w:p w14:paraId="407F5D89">
            <w:pPr>
              <w:widowControl/>
              <w:spacing w:line="288" w:lineRule="auto"/>
              <w:jc w:val="center"/>
              <w:rPr>
                <w:rFonts w:ascii="宋体" w:hAnsi="宋体" w:eastAsia="宋体" w:cs="宋体"/>
                <w:color w:val="000000"/>
                <w:sz w:val="24"/>
                <w:szCs w:val="24"/>
                <w:highlight w:val="none"/>
              </w:rPr>
            </w:pPr>
            <w:bookmarkStart w:id="11" w:name="OLE_LINK1"/>
            <w:r>
              <w:rPr>
                <w:rFonts w:hint="eastAsia" w:ascii="宋体" w:hAnsi="宋体" w:eastAsia="宋体" w:cs="宋体"/>
                <w:color w:val="000000"/>
                <w:sz w:val="24"/>
                <w:szCs w:val="24"/>
                <w:highlight w:val="none"/>
              </w:rPr>
              <w:t>★</w:t>
            </w:r>
            <w:bookmarkEnd w:id="11"/>
          </w:p>
        </w:tc>
        <w:tc>
          <w:tcPr>
            <w:tcW w:w="512" w:type="pct"/>
            <w:vAlign w:val="center"/>
          </w:tcPr>
          <w:p w14:paraId="1DBFE38E">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总体要求</w:t>
            </w:r>
          </w:p>
        </w:tc>
        <w:tc>
          <w:tcPr>
            <w:tcW w:w="3209" w:type="pct"/>
            <w:vAlign w:val="center"/>
          </w:tcPr>
          <w:p w14:paraId="55891146">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采用单实例集群部署架构；计算、存储等资源全面池化管理与调配，虚拟化平台具备高可用（HA）功能。</w:t>
            </w:r>
          </w:p>
        </w:tc>
        <w:tc>
          <w:tcPr>
            <w:tcW w:w="507" w:type="pct"/>
            <w:vAlign w:val="center"/>
          </w:tcPr>
          <w:p w14:paraId="4DFB273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7329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29F5D66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p>
        </w:tc>
        <w:tc>
          <w:tcPr>
            <w:tcW w:w="509" w:type="pct"/>
            <w:vAlign w:val="center"/>
          </w:tcPr>
          <w:p w14:paraId="12C61DCE">
            <w:pPr>
              <w:widowControl/>
              <w:spacing w:line="288" w:lineRule="auto"/>
              <w:jc w:val="center"/>
              <w:rPr>
                <w:rFonts w:ascii="宋体" w:hAnsi="宋体" w:eastAsia="宋体" w:cs="宋体"/>
                <w:color w:val="000000"/>
                <w:sz w:val="24"/>
                <w:szCs w:val="24"/>
                <w:highlight w:val="none"/>
              </w:rPr>
            </w:pPr>
            <w:bookmarkStart w:id="12" w:name="OLE_LINK4"/>
            <w:bookmarkStart w:id="13" w:name="OLE_LINK5"/>
            <w:r>
              <w:rPr>
                <w:rFonts w:hint="eastAsia" w:ascii="宋体" w:hAnsi="宋体" w:eastAsia="宋体" w:cs="宋体"/>
                <w:color w:val="000000"/>
                <w:sz w:val="24"/>
                <w:szCs w:val="24"/>
                <w:highlight w:val="none"/>
              </w:rPr>
              <w:t>★</w:t>
            </w:r>
            <w:bookmarkEnd w:id="12"/>
            <w:bookmarkEnd w:id="13"/>
          </w:p>
        </w:tc>
        <w:tc>
          <w:tcPr>
            <w:tcW w:w="512" w:type="pct"/>
            <w:vAlign w:val="center"/>
          </w:tcPr>
          <w:p w14:paraId="39EDE417">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硬件配置</w:t>
            </w:r>
          </w:p>
        </w:tc>
        <w:tc>
          <w:tcPr>
            <w:tcW w:w="3209" w:type="pct"/>
            <w:vAlign w:val="center"/>
          </w:tcPr>
          <w:p w14:paraId="4414678A">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本次采购4节点超融合一体机，每台硬件配置要求如下：</w:t>
            </w:r>
            <w:r>
              <w:rPr>
                <w:rFonts w:hint="eastAsia" w:ascii="宋体" w:hAnsi="宋体" w:eastAsia="宋体" w:cs="宋体"/>
                <w:color w:val="000000"/>
                <w:sz w:val="24"/>
                <w:szCs w:val="24"/>
                <w:highlight w:val="none"/>
                <w:lang w:eastAsia="zh-CN"/>
              </w:rPr>
              <w:br w:type="textWrapping"/>
            </w:r>
            <w:r>
              <w:rPr>
                <w:rFonts w:hint="eastAsia" w:ascii="宋体" w:hAnsi="宋体" w:eastAsia="宋体" w:cs="宋体"/>
                <w:color w:val="000000"/>
                <w:sz w:val="24"/>
                <w:szCs w:val="24"/>
                <w:highlight w:val="none"/>
                <w:lang w:eastAsia="zh-CN"/>
              </w:rPr>
              <w:t>CPU：国产海光架构处理器，单节点CPU性能≥海光 7390，单节点≥2颗</w:t>
            </w:r>
            <w:r>
              <w:rPr>
                <w:rFonts w:hint="eastAsia" w:ascii="宋体" w:hAnsi="宋体" w:eastAsia="宋体" w:cs="宋体"/>
                <w:color w:val="000000"/>
                <w:sz w:val="24"/>
                <w:szCs w:val="24"/>
                <w:highlight w:val="none"/>
                <w:lang w:eastAsia="zh-CN"/>
              </w:rPr>
              <w:br w:type="textWrapping"/>
            </w:r>
            <w:r>
              <w:rPr>
                <w:rFonts w:hint="eastAsia" w:ascii="宋体" w:hAnsi="宋体" w:eastAsia="宋体" w:cs="宋体"/>
                <w:color w:val="000000"/>
                <w:sz w:val="24"/>
                <w:szCs w:val="24"/>
                <w:highlight w:val="none"/>
                <w:lang w:eastAsia="zh-CN"/>
              </w:rPr>
              <w:t>内存：单节点内存总容量≥512GB DDR4，单条容量≥64GB</w:t>
            </w:r>
            <w:r>
              <w:rPr>
                <w:rFonts w:hint="eastAsia" w:ascii="宋体" w:hAnsi="宋体" w:eastAsia="宋体" w:cs="宋体"/>
                <w:color w:val="000000"/>
                <w:sz w:val="24"/>
                <w:szCs w:val="24"/>
                <w:highlight w:val="none"/>
                <w:lang w:eastAsia="zh-CN"/>
              </w:rPr>
              <w:br w:type="textWrapping"/>
            </w:r>
            <w:r>
              <w:rPr>
                <w:rFonts w:hint="eastAsia" w:ascii="宋体" w:hAnsi="宋体" w:eastAsia="宋体" w:cs="宋体"/>
                <w:color w:val="000000"/>
                <w:sz w:val="24"/>
                <w:szCs w:val="24"/>
                <w:highlight w:val="none"/>
                <w:lang w:eastAsia="zh-CN"/>
              </w:rPr>
              <w:t>缓存盘：总裸容量≥7.68TB，单盘≥3.84T，读密集型NVMe U.2 SSD硬盘</w:t>
            </w:r>
            <w:r>
              <w:rPr>
                <w:rFonts w:hint="eastAsia" w:ascii="宋体" w:hAnsi="宋体" w:eastAsia="宋体" w:cs="宋体"/>
                <w:color w:val="000000"/>
                <w:sz w:val="24"/>
                <w:szCs w:val="24"/>
                <w:highlight w:val="none"/>
                <w:lang w:eastAsia="zh-CN"/>
              </w:rPr>
              <w:br w:type="textWrapping"/>
            </w:r>
            <w:r>
              <w:rPr>
                <w:rFonts w:hint="eastAsia" w:ascii="宋体" w:hAnsi="宋体" w:eastAsia="宋体" w:cs="宋体"/>
                <w:color w:val="000000"/>
                <w:sz w:val="24"/>
                <w:szCs w:val="24"/>
                <w:highlight w:val="none"/>
                <w:lang w:eastAsia="zh-CN"/>
              </w:rPr>
              <w:t>系统盘：2 块480G SATA SSD +，配置独立Raid卡，支持Raid0、1；</w:t>
            </w:r>
          </w:p>
          <w:p w14:paraId="2C8346F1">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数据盘：≥8块 8TB HDD硬盘，配置独立Raid卡，支持JBOD模式；</w:t>
            </w:r>
          </w:p>
          <w:p w14:paraId="63919149">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网卡：≥ 1 块四口千兆电口网卡；≥ 2 块双口万兆光口网卡含满配光模块 10G 光模块</w:t>
            </w:r>
            <w:r>
              <w:rPr>
                <w:rFonts w:hint="eastAsia" w:ascii="宋体" w:hAnsi="宋体" w:eastAsia="宋体" w:cs="宋体"/>
                <w:color w:val="000000"/>
                <w:sz w:val="24"/>
                <w:szCs w:val="24"/>
                <w:highlight w:val="none"/>
                <w:lang w:eastAsia="zh-CN"/>
              </w:rPr>
              <w:br w:type="textWrapping"/>
            </w:r>
            <w:r>
              <w:rPr>
                <w:rFonts w:hint="eastAsia" w:ascii="宋体" w:hAnsi="宋体" w:eastAsia="宋体" w:cs="宋体"/>
                <w:color w:val="000000"/>
                <w:sz w:val="24"/>
                <w:szCs w:val="24"/>
                <w:highlight w:val="none"/>
                <w:lang w:eastAsia="zh-CN"/>
              </w:rPr>
              <w:t>硬件维保服务：一体机软硬件维保服务3年，包含硬盘不返回服务。</w:t>
            </w:r>
            <w:r>
              <w:rPr>
                <w:rFonts w:hint="eastAsia" w:ascii="宋体" w:hAnsi="宋体" w:eastAsia="宋体" w:cs="宋体"/>
                <w:color w:val="000000"/>
                <w:sz w:val="24"/>
                <w:szCs w:val="24"/>
                <w:highlight w:val="none"/>
                <w:lang w:eastAsia="zh-CN"/>
              </w:rPr>
              <w:br w:type="textWrapping"/>
            </w:r>
          </w:p>
        </w:tc>
        <w:tc>
          <w:tcPr>
            <w:tcW w:w="507" w:type="pct"/>
            <w:vAlign w:val="center"/>
          </w:tcPr>
          <w:p w14:paraId="0A7D81C0">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1C52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64E57AE8">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p>
        </w:tc>
        <w:tc>
          <w:tcPr>
            <w:tcW w:w="509" w:type="pct"/>
            <w:vAlign w:val="center"/>
          </w:tcPr>
          <w:p w14:paraId="3AF8A50C">
            <w:pPr>
              <w:widowControl/>
              <w:spacing w:line="288" w:lineRule="auto"/>
              <w:jc w:val="center"/>
              <w:rPr>
                <w:rFonts w:ascii="宋体" w:hAnsi="宋体" w:eastAsia="宋体" w:cs="宋体"/>
                <w:color w:val="000000"/>
                <w:sz w:val="24"/>
                <w:szCs w:val="24"/>
                <w:highlight w:val="none"/>
              </w:rPr>
            </w:pPr>
          </w:p>
        </w:tc>
        <w:tc>
          <w:tcPr>
            <w:tcW w:w="512" w:type="pct"/>
            <w:vAlign w:val="center"/>
          </w:tcPr>
          <w:p w14:paraId="7395681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软件资产授权</w:t>
            </w:r>
          </w:p>
        </w:tc>
        <w:tc>
          <w:tcPr>
            <w:tcW w:w="3209" w:type="pct"/>
            <w:vAlign w:val="center"/>
          </w:tcPr>
          <w:p w14:paraId="2F61F98B">
            <w:pPr>
              <w:widowControl/>
              <w:spacing w:line="288" w:lineRule="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超融合软件授权对单台设备不限制每颗cpu核心数、内存容量，保证用户日后基于配件级扩容。交付软件授权为永久授权，且软件授权不锁定硬件，支持将软件 license 转移到其他（Intel、海光、鲲鹏）硬件平台设备。</w:t>
            </w:r>
            <w:r>
              <w:rPr>
                <w:rFonts w:hint="eastAsia" w:ascii="宋体" w:hAnsi="宋体" w:eastAsia="宋体" w:cs="宋体"/>
                <w:color w:val="000000"/>
                <w:sz w:val="24"/>
                <w:szCs w:val="24"/>
                <w:highlight w:val="none"/>
              </w:rPr>
              <w:t>提供原厂盖章证明文件。</w:t>
            </w:r>
          </w:p>
        </w:tc>
        <w:tc>
          <w:tcPr>
            <w:tcW w:w="507" w:type="pct"/>
            <w:vAlign w:val="center"/>
          </w:tcPr>
          <w:p w14:paraId="695E187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3E83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5C4E9F05">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p>
        </w:tc>
        <w:tc>
          <w:tcPr>
            <w:tcW w:w="509" w:type="pct"/>
            <w:noWrap/>
            <w:vAlign w:val="center"/>
          </w:tcPr>
          <w:p w14:paraId="641C5DB0">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6C996A5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平滑扩容</w:t>
            </w:r>
          </w:p>
        </w:tc>
        <w:tc>
          <w:tcPr>
            <w:tcW w:w="3209" w:type="pct"/>
            <w:vAlign w:val="center"/>
          </w:tcPr>
          <w:p w14:paraId="1AD3C6F9">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支持在不中断业务的情况下通过控制台将新节点加入现有集群中，实现存储资源的扩展，将数据重新自动分布至均衡状态。</w:t>
            </w:r>
          </w:p>
        </w:tc>
        <w:tc>
          <w:tcPr>
            <w:tcW w:w="507" w:type="pct"/>
            <w:vAlign w:val="center"/>
          </w:tcPr>
          <w:p w14:paraId="4248025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1063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C01944E">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p>
        </w:tc>
        <w:tc>
          <w:tcPr>
            <w:tcW w:w="509" w:type="pct"/>
            <w:vAlign w:val="center"/>
          </w:tcPr>
          <w:p w14:paraId="5C293C9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0539A86E">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存储策略</w:t>
            </w:r>
          </w:p>
        </w:tc>
        <w:tc>
          <w:tcPr>
            <w:tcW w:w="3209" w:type="pct"/>
            <w:vAlign w:val="center"/>
          </w:tcPr>
          <w:p w14:paraId="17B4AB4B">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支持整合所有节点磁盘为统一存储池，允许不同存储策略(两副本、三副本和纠删码)的虚拟机共享该单一存储池。（提供产品功能截图或官方产品文档证明、并加盖厂商公章）</w:t>
            </w:r>
          </w:p>
        </w:tc>
        <w:tc>
          <w:tcPr>
            <w:tcW w:w="507" w:type="pct"/>
            <w:vAlign w:val="center"/>
          </w:tcPr>
          <w:p w14:paraId="0F703EAB">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0C7E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69EBDE2A">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p>
        </w:tc>
        <w:tc>
          <w:tcPr>
            <w:tcW w:w="509" w:type="pct"/>
            <w:vAlign w:val="center"/>
          </w:tcPr>
          <w:p w14:paraId="331BBC0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069B04E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缓存加速</w:t>
            </w:r>
          </w:p>
        </w:tc>
        <w:tc>
          <w:tcPr>
            <w:tcW w:w="3209" w:type="pct"/>
            <w:vAlign w:val="center"/>
          </w:tcPr>
          <w:p w14:paraId="149394FF">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 SSD 作为读写缓存，加速 I/O 访问性能。系统自动将经常访问的随机数据缓存到 SSD 磁盘上，而将不常用的数据放在 SATA/SAS HDD 数据磁盘上，无需手工干预。</w:t>
            </w:r>
          </w:p>
        </w:tc>
        <w:tc>
          <w:tcPr>
            <w:tcW w:w="507" w:type="pct"/>
            <w:vAlign w:val="center"/>
          </w:tcPr>
          <w:p w14:paraId="5D3D675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4D1B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483B1B29">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p>
        </w:tc>
        <w:tc>
          <w:tcPr>
            <w:tcW w:w="509" w:type="pct"/>
            <w:vAlign w:val="center"/>
          </w:tcPr>
          <w:p w14:paraId="117D51E8">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18E33909">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IOPS管理</w:t>
            </w:r>
          </w:p>
        </w:tc>
        <w:tc>
          <w:tcPr>
            <w:tcW w:w="3209" w:type="pct"/>
            <w:vAlign w:val="center"/>
          </w:tcPr>
          <w:p w14:paraId="29CCCC64">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具备IOPS及带宽数值限速，以单个虚拟机为最小控制单位。</w:t>
            </w:r>
          </w:p>
        </w:tc>
        <w:tc>
          <w:tcPr>
            <w:tcW w:w="507" w:type="pct"/>
            <w:vAlign w:val="center"/>
          </w:tcPr>
          <w:p w14:paraId="1151405C">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6D8C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540DE3D5">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8</w:t>
            </w:r>
          </w:p>
        </w:tc>
        <w:tc>
          <w:tcPr>
            <w:tcW w:w="509" w:type="pct"/>
            <w:vAlign w:val="center"/>
          </w:tcPr>
          <w:p w14:paraId="4E08F25C">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7792978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兼容性要求</w:t>
            </w:r>
          </w:p>
        </w:tc>
        <w:tc>
          <w:tcPr>
            <w:tcW w:w="3209" w:type="pct"/>
            <w:vAlign w:val="center"/>
          </w:tcPr>
          <w:p w14:paraId="183061F3">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分布式存储软件支持和至少2种虚拟化软件融合部署为超融合平台。超融合软件兼容≥5种服务器品牌，并支持融合部署。（提供官网兼容性证明或官方产品文档证明、并加盖厂商公章）</w:t>
            </w:r>
          </w:p>
        </w:tc>
        <w:tc>
          <w:tcPr>
            <w:tcW w:w="507" w:type="pct"/>
            <w:vAlign w:val="center"/>
          </w:tcPr>
          <w:p w14:paraId="3F7138EC">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663A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7CF048C9">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9</w:t>
            </w:r>
          </w:p>
        </w:tc>
        <w:tc>
          <w:tcPr>
            <w:tcW w:w="509" w:type="pct"/>
            <w:vAlign w:val="center"/>
          </w:tcPr>
          <w:p w14:paraId="0F07B35C">
            <w:pPr>
              <w:widowControl/>
              <w:spacing w:line="288" w:lineRule="auto"/>
              <w:jc w:val="center"/>
              <w:rPr>
                <w:rFonts w:ascii="宋体" w:hAnsi="宋体" w:eastAsia="宋体" w:cs="宋体"/>
                <w:color w:val="000000"/>
                <w:sz w:val="24"/>
                <w:szCs w:val="24"/>
                <w:highlight w:val="none"/>
              </w:rPr>
            </w:pPr>
          </w:p>
        </w:tc>
        <w:tc>
          <w:tcPr>
            <w:tcW w:w="512" w:type="pct"/>
            <w:vAlign w:val="center"/>
          </w:tcPr>
          <w:p w14:paraId="6F961126">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一键提升虚拟机副本</w:t>
            </w:r>
          </w:p>
        </w:tc>
        <w:tc>
          <w:tcPr>
            <w:tcW w:w="3209" w:type="pct"/>
            <w:vAlign w:val="center"/>
          </w:tcPr>
          <w:p w14:paraId="6E5954C1">
            <w:pPr>
              <w:widowControl/>
              <w:spacing w:line="288" w:lineRule="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虚拟机及对应的虚拟磁盘写入数据后，可通过图形界面调整副本策略，支持 2 副本虚拟磁盘提升为 3 副本，且保证原有虚拟磁盘中的数据完整性。</w:t>
            </w:r>
            <w:r>
              <w:rPr>
                <w:rFonts w:hint="eastAsia" w:ascii="宋体" w:hAnsi="宋体" w:eastAsia="宋体" w:cs="宋体"/>
                <w:color w:val="000000"/>
                <w:sz w:val="24"/>
                <w:szCs w:val="24"/>
                <w:highlight w:val="none"/>
              </w:rPr>
              <w:t>（提供产品功能截图和官方产品文档证明</w:t>
            </w:r>
            <w:r>
              <w:rPr>
                <w:rFonts w:hint="eastAsia" w:ascii="宋体" w:hAnsi="宋体" w:eastAsia="宋体" w:cs="宋体"/>
                <w:highlight w:val="none"/>
                <w:lang w:eastAsia="zh-CN"/>
              </w:rPr>
              <w:t>、</w:t>
            </w:r>
            <w:r>
              <w:rPr>
                <w:rFonts w:hint="eastAsia" w:ascii="宋体" w:hAnsi="宋体" w:eastAsia="宋体" w:cs="宋体"/>
                <w:sz w:val="24"/>
                <w:szCs w:val="24"/>
                <w:highlight w:val="none"/>
                <w:lang w:eastAsia="zh-CN"/>
              </w:rPr>
              <w:t>并加盖厂商公章</w:t>
            </w:r>
            <w:r>
              <w:rPr>
                <w:rFonts w:hint="eastAsia" w:ascii="宋体" w:hAnsi="宋体" w:eastAsia="宋体" w:cs="宋体"/>
                <w:color w:val="000000"/>
                <w:sz w:val="24"/>
                <w:szCs w:val="24"/>
                <w:highlight w:val="none"/>
              </w:rPr>
              <w:t>）</w:t>
            </w:r>
          </w:p>
        </w:tc>
        <w:tc>
          <w:tcPr>
            <w:tcW w:w="507" w:type="pct"/>
            <w:vAlign w:val="center"/>
          </w:tcPr>
          <w:p w14:paraId="252FEEFF">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1B57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73A4EE10">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w:t>
            </w:r>
          </w:p>
        </w:tc>
        <w:tc>
          <w:tcPr>
            <w:tcW w:w="509" w:type="pct"/>
            <w:vAlign w:val="center"/>
          </w:tcPr>
          <w:p w14:paraId="40BBC93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1194B8B4">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监控功能</w:t>
            </w:r>
          </w:p>
        </w:tc>
        <w:tc>
          <w:tcPr>
            <w:tcW w:w="3209" w:type="pct"/>
            <w:vAlign w:val="center"/>
          </w:tcPr>
          <w:p w14:paraId="001BB747">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具备基本资源监控功能：查看CPU、网络和磁盘实时数据信息；可设置告警阈值；可配置告警通知。具备监控集群节点和虚拟机实时及历史性能数据，呈现视图和图表分析结果。可依据虚拟机历史监控数据分析，识别长期未用虚拟机，判断CPU、内存资源是否过剩或紧张。</w:t>
            </w:r>
          </w:p>
        </w:tc>
        <w:tc>
          <w:tcPr>
            <w:tcW w:w="507" w:type="pct"/>
            <w:vAlign w:val="center"/>
          </w:tcPr>
          <w:p w14:paraId="509F53B7">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0F78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33440182">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p>
        </w:tc>
        <w:tc>
          <w:tcPr>
            <w:tcW w:w="509" w:type="pct"/>
            <w:vAlign w:val="center"/>
          </w:tcPr>
          <w:p w14:paraId="77CD3B5A">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5A64653B">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故障隔离</w:t>
            </w:r>
          </w:p>
        </w:tc>
        <w:tc>
          <w:tcPr>
            <w:tcW w:w="3209" w:type="pct"/>
            <w:vAlign w:val="center"/>
          </w:tcPr>
          <w:p w14:paraId="28DA9BA4">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缓存盘故障仅影响其自身，不影响容量盘正常使用，不降低集群可用容量空间。（提供产品功能截图或官方产品文档证明、并加盖厂商公章）</w:t>
            </w:r>
          </w:p>
        </w:tc>
        <w:tc>
          <w:tcPr>
            <w:tcW w:w="507" w:type="pct"/>
            <w:vAlign w:val="center"/>
          </w:tcPr>
          <w:p w14:paraId="74FFE715">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7643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40537DC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12</w:t>
            </w:r>
          </w:p>
        </w:tc>
        <w:tc>
          <w:tcPr>
            <w:tcW w:w="509" w:type="pct"/>
            <w:vAlign w:val="center"/>
          </w:tcPr>
          <w:p w14:paraId="7C43DDEF">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1103F3E4">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自动巡检</w:t>
            </w:r>
          </w:p>
        </w:tc>
        <w:tc>
          <w:tcPr>
            <w:tcW w:w="3209" w:type="pct"/>
            <w:vAlign w:val="center"/>
          </w:tcPr>
          <w:p w14:paraId="3D97C2A1">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支持集群的自动化巡检。可自定义巡检对象与细项；可图形化展示历史巡检记录、风险项目分布及统计；支持导出巡检报告。</w:t>
            </w:r>
          </w:p>
        </w:tc>
        <w:tc>
          <w:tcPr>
            <w:tcW w:w="507" w:type="pct"/>
            <w:vAlign w:val="center"/>
          </w:tcPr>
          <w:p w14:paraId="42B6BE8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4DB0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1369209">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13</w:t>
            </w:r>
          </w:p>
        </w:tc>
        <w:tc>
          <w:tcPr>
            <w:tcW w:w="509" w:type="pct"/>
            <w:vAlign w:val="center"/>
          </w:tcPr>
          <w:p w14:paraId="578E8FEA">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56263670">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缓存常驻</w:t>
            </w:r>
          </w:p>
        </w:tc>
        <w:tc>
          <w:tcPr>
            <w:tcW w:w="3209" w:type="pct"/>
            <w:vAlign w:val="center"/>
          </w:tcPr>
          <w:p w14:paraId="14C7413B">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支持将虚拟机数据长期保留在缓存中，不交换至机械硬盘，以保障关键业务虚拟机的存储性能不会因为缓存空间不足而降低性能。（提供产品功能截图或官方产品文档证明、并加盖厂商公章）</w:t>
            </w:r>
          </w:p>
        </w:tc>
        <w:tc>
          <w:tcPr>
            <w:tcW w:w="507" w:type="pct"/>
            <w:vAlign w:val="center"/>
          </w:tcPr>
          <w:p w14:paraId="71BAC45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79D8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79C2233A">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14</w:t>
            </w:r>
          </w:p>
        </w:tc>
        <w:tc>
          <w:tcPr>
            <w:tcW w:w="509" w:type="pct"/>
            <w:vAlign w:val="center"/>
          </w:tcPr>
          <w:p w14:paraId="5CDD0FE7">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7411542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机架感知</w:t>
            </w:r>
          </w:p>
        </w:tc>
        <w:tc>
          <w:tcPr>
            <w:tcW w:w="3209" w:type="pct"/>
            <w:vAlign w:val="center"/>
          </w:tcPr>
          <w:p w14:paraId="34809AF3">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具备基于机架拓扑智能分布副本。支持图形界面调整机架位置，后台自动根据拓扑重新分布副本。（提供产品功能截图或官方产品文档证明、并加盖厂商公章）</w:t>
            </w:r>
          </w:p>
        </w:tc>
        <w:tc>
          <w:tcPr>
            <w:tcW w:w="507" w:type="pct"/>
            <w:vAlign w:val="center"/>
          </w:tcPr>
          <w:p w14:paraId="26CFBE7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是</w:t>
            </w:r>
          </w:p>
        </w:tc>
      </w:tr>
      <w:tr w14:paraId="028B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20800F7E">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w:t>
            </w:r>
          </w:p>
        </w:tc>
        <w:tc>
          <w:tcPr>
            <w:tcW w:w="509" w:type="pct"/>
            <w:vAlign w:val="center"/>
          </w:tcPr>
          <w:p w14:paraId="5F4C5734">
            <w:pPr>
              <w:widowControl/>
              <w:spacing w:line="288" w:lineRule="auto"/>
              <w:jc w:val="center"/>
              <w:rPr>
                <w:rFonts w:ascii="宋体" w:hAnsi="宋体" w:eastAsia="宋体" w:cs="宋体"/>
                <w:color w:val="000000"/>
                <w:sz w:val="24"/>
                <w:szCs w:val="24"/>
                <w:highlight w:val="none"/>
              </w:rPr>
            </w:pPr>
          </w:p>
        </w:tc>
        <w:tc>
          <w:tcPr>
            <w:tcW w:w="512" w:type="pct"/>
            <w:vAlign w:val="center"/>
          </w:tcPr>
          <w:p w14:paraId="5A45ED1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文件存储</w:t>
            </w:r>
          </w:p>
        </w:tc>
        <w:tc>
          <w:tcPr>
            <w:tcW w:w="3209" w:type="pct"/>
            <w:vAlign w:val="center"/>
          </w:tcPr>
          <w:p w14:paraId="6E700CD8">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可提供不少于超融合可用容量的分布式文件存储空间授权，不能提供开源或非商用产品，文件存储的容量和性能可按需扩展，任意单节点损坏，NAS 访问都可自动切换，无需手动干预。（提供产品功能截图或官方产品文档证明、并加盖厂商公章）</w:t>
            </w:r>
          </w:p>
        </w:tc>
        <w:tc>
          <w:tcPr>
            <w:tcW w:w="507" w:type="pct"/>
            <w:vAlign w:val="center"/>
          </w:tcPr>
          <w:p w14:paraId="7A327985">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是</w:t>
            </w:r>
          </w:p>
        </w:tc>
      </w:tr>
      <w:tr w14:paraId="29E0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31DFEE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16</w:t>
            </w:r>
          </w:p>
        </w:tc>
        <w:tc>
          <w:tcPr>
            <w:tcW w:w="509" w:type="pct"/>
            <w:vAlign w:val="center"/>
          </w:tcPr>
          <w:p w14:paraId="29A5DEAF">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7A7558C2">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虚拟网络交换机</w:t>
            </w:r>
          </w:p>
        </w:tc>
        <w:tc>
          <w:tcPr>
            <w:tcW w:w="3209" w:type="pct"/>
            <w:vAlign w:val="center"/>
          </w:tcPr>
          <w:p w14:paraId="2785E017">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支持创建分布式虚拟交换机，统一配置集群间不同物理机节点的网卡设备，并支持网卡故障切换以及负载均衡功能，无需授权限制数量</w:t>
            </w:r>
          </w:p>
        </w:tc>
        <w:tc>
          <w:tcPr>
            <w:tcW w:w="507" w:type="pct"/>
            <w:vAlign w:val="center"/>
          </w:tcPr>
          <w:p w14:paraId="120CEC6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74E0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66706BB2">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17</w:t>
            </w:r>
          </w:p>
        </w:tc>
        <w:tc>
          <w:tcPr>
            <w:tcW w:w="509" w:type="pct"/>
            <w:vAlign w:val="center"/>
          </w:tcPr>
          <w:p w14:paraId="1DB2F100">
            <w:pPr>
              <w:widowControl/>
              <w:spacing w:line="288" w:lineRule="auto"/>
              <w:jc w:val="center"/>
              <w:rPr>
                <w:rFonts w:ascii="宋体" w:hAnsi="宋体" w:eastAsia="宋体" w:cs="宋体"/>
                <w:color w:val="000000"/>
                <w:sz w:val="24"/>
                <w:szCs w:val="24"/>
                <w:highlight w:val="none"/>
              </w:rPr>
            </w:pPr>
          </w:p>
        </w:tc>
        <w:tc>
          <w:tcPr>
            <w:tcW w:w="512" w:type="pct"/>
            <w:vAlign w:val="center"/>
          </w:tcPr>
          <w:p w14:paraId="5F661B9F">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虚拟防火墙安全</w:t>
            </w:r>
          </w:p>
        </w:tc>
        <w:tc>
          <w:tcPr>
            <w:tcW w:w="3209" w:type="pct"/>
            <w:vAlign w:val="center"/>
          </w:tcPr>
          <w:p w14:paraId="4BF6F763">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支持创建分布式虚拟防火墙，通过标签 和/或 安全组实现对不连续IP地址的策略简化；统一安全策略的执行效果应做到与虚拟机所在的主机、网段和IP地址无关。虚拟机在不同主机、不同集群之间迁移时，或虚拟机发生高可用恢复（HA）时，既定安全策略应当自动跟随虚拟机，无需重新设置（提供产品功能截图或官方产品文档证明、并加盖厂商公章）</w:t>
            </w:r>
          </w:p>
        </w:tc>
        <w:tc>
          <w:tcPr>
            <w:tcW w:w="507" w:type="pct"/>
            <w:vAlign w:val="center"/>
          </w:tcPr>
          <w:p w14:paraId="39FF78F7">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是</w:t>
            </w:r>
          </w:p>
        </w:tc>
      </w:tr>
      <w:tr w14:paraId="2F4F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DE5167F">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18</w:t>
            </w:r>
          </w:p>
        </w:tc>
        <w:tc>
          <w:tcPr>
            <w:tcW w:w="509" w:type="pct"/>
            <w:vAlign w:val="center"/>
          </w:tcPr>
          <w:p w14:paraId="3D725D3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tc>
        <w:tc>
          <w:tcPr>
            <w:tcW w:w="512" w:type="pct"/>
            <w:vAlign w:val="center"/>
          </w:tcPr>
          <w:p w14:paraId="6A1B7AFD">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防火墙观测审计</w:t>
            </w:r>
          </w:p>
        </w:tc>
        <w:tc>
          <w:tcPr>
            <w:tcW w:w="3209" w:type="pct"/>
            <w:vAlign w:val="center"/>
          </w:tcPr>
          <w:p w14:paraId="5031088F">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配合分布式防火墙进行安全策略的观测与审计，监控策略的执行效果是否符合预期</w:t>
            </w:r>
          </w:p>
        </w:tc>
        <w:tc>
          <w:tcPr>
            <w:tcW w:w="507" w:type="pct"/>
            <w:vAlign w:val="center"/>
          </w:tcPr>
          <w:p w14:paraId="79F62F0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否</w:t>
            </w:r>
          </w:p>
        </w:tc>
      </w:tr>
      <w:tr w14:paraId="46FE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4C7EAA1E">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19</w:t>
            </w:r>
          </w:p>
        </w:tc>
        <w:tc>
          <w:tcPr>
            <w:tcW w:w="509" w:type="pct"/>
            <w:vAlign w:val="center"/>
          </w:tcPr>
          <w:p w14:paraId="5F88DBA1">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1E52B254">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网络安全隔离</w:t>
            </w:r>
          </w:p>
        </w:tc>
        <w:tc>
          <w:tcPr>
            <w:tcW w:w="3209" w:type="pct"/>
            <w:vAlign w:val="center"/>
          </w:tcPr>
          <w:p w14:paraId="12210E74">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支持将可疑、被感染虚拟机设置为“隔离”状态，避免被隔离虚拟机上的安全威胁扩散，并可以对隔离中的虚拟机设置有条件的访问策略，以便进行远程修复。（提供产品功能截图或官方产品文档证明、并加盖厂商公章）</w:t>
            </w:r>
          </w:p>
        </w:tc>
        <w:tc>
          <w:tcPr>
            <w:tcW w:w="507" w:type="pct"/>
            <w:vAlign w:val="center"/>
          </w:tcPr>
          <w:p w14:paraId="7558E277">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是</w:t>
            </w:r>
          </w:p>
        </w:tc>
      </w:tr>
      <w:tr w14:paraId="03C6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0" w:type="pct"/>
            <w:vAlign w:val="center"/>
          </w:tcPr>
          <w:p w14:paraId="19D4582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20</w:t>
            </w:r>
          </w:p>
        </w:tc>
        <w:tc>
          <w:tcPr>
            <w:tcW w:w="509" w:type="pct"/>
            <w:vAlign w:val="center"/>
          </w:tcPr>
          <w:p w14:paraId="675FA5E8">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512" w:type="pct"/>
            <w:vAlign w:val="center"/>
          </w:tcPr>
          <w:p w14:paraId="1624D4D3">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网络流量可视化</w:t>
            </w:r>
          </w:p>
        </w:tc>
        <w:tc>
          <w:tcPr>
            <w:tcW w:w="3209" w:type="pct"/>
            <w:vAlign w:val="center"/>
          </w:tcPr>
          <w:p w14:paraId="1E347D98">
            <w:pPr>
              <w:widowControl/>
              <w:spacing w:line="288" w:lineRule="auto"/>
              <w:rPr>
                <w:rFonts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不需要启用防火墙，流量分析功能可以展示每个数据流的源/目的 IP 地址、协议、源/目的端口号、收/发数据量、包转发率、往返延时等信息，并可以自动关联到虚拟机名、物理主机名、网卡等信息，支持在虚拟机网络上展示数据流的完整路径（提供产品功能截图或官方产品文档证明、并加盖厂商公章）</w:t>
            </w:r>
          </w:p>
        </w:tc>
        <w:tc>
          <w:tcPr>
            <w:tcW w:w="507" w:type="pct"/>
            <w:vAlign w:val="center"/>
          </w:tcPr>
          <w:p w14:paraId="2B01FA74">
            <w:pPr>
              <w:widowControl/>
              <w:spacing w:line="288" w:lineRule="auto"/>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是</w:t>
            </w:r>
          </w:p>
        </w:tc>
      </w:tr>
    </w:tbl>
    <w:p w14:paraId="15F85E77">
      <w:pPr>
        <w:widowControl w:val="0"/>
        <w:autoSpaceDE w:val="0"/>
        <w:autoSpaceDN w:val="0"/>
        <w:spacing w:before="134" w:line="360" w:lineRule="auto"/>
        <w:ind w:left="1196" w:firstLine="480"/>
        <w:rPr>
          <w:rFonts w:ascii="宋体" w:hAnsi="宋体" w:eastAsia="宋体" w:cs="宋体"/>
          <w:color w:val="000000"/>
          <w:sz w:val="24"/>
          <w:szCs w:val="24"/>
          <w:highlight w:val="none"/>
          <w:lang w:val="en-US" w:eastAsia="en-US" w:bidi="ar-SA"/>
        </w:rPr>
      </w:pPr>
    </w:p>
    <w:p w14:paraId="112560F0">
      <w:pPr>
        <w:widowControl/>
        <w:spacing w:line="360" w:lineRule="auto"/>
        <w:outlineLvl w:val="2"/>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品目1-2：</w:t>
      </w:r>
      <w:r>
        <w:rPr>
          <w:rFonts w:hint="eastAsia" w:ascii="宋体" w:hAnsi="宋体" w:eastAsia="宋体" w:cs="宋体"/>
          <w:b/>
          <w:color w:val="000000"/>
          <w:sz w:val="24"/>
          <w:szCs w:val="24"/>
          <w:highlight w:val="none"/>
        </w:rPr>
        <w:t>配件-内存</w:t>
      </w:r>
    </w:p>
    <w:p w14:paraId="0AF732CC">
      <w:pPr>
        <w:widowControl w:val="0"/>
        <w:autoSpaceDE w:val="0"/>
        <w:autoSpaceDN w:val="0"/>
        <w:spacing w:before="0" w:line="360" w:lineRule="auto"/>
        <w:ind w:left="0" w:firstLine="480"/>
        <w:outlineLvl w:val="3"/>
        <w:rPr>
          <w:rFonts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（1）产品用途：</w:t>
      </w:r>
    </w:p>
    <w:p w14:paraId="7DF932C9">
      <w:pPr>
        <w:widowControl/>
        <w:spacing w:line="360" w:lineRule="auto"/>
        <w:ind w:firstLine="480" w:firstLineChars="200"/>
        <w:rPr>
          <w:rFonts w:ascii="宋体" w:hAnsi="宋体" w:eastAsia="宋体" w:cs="宋体"/>
          <w:color w:val="000000"/>
          <w:sz w:val="24"/>
          <w:szCs w:val="24"/>
          <w:highlight w:val="none"/>
          <w:lang w:eastAsia="zh-CN"/>
        </w:rPr>
      </w:pPr>
      <w:r>
        <w:rPr>
          <w:rFonts w:hint="eastAsia" w:ascii="宋体" w:hAnsi="宋体" w:eastAsia="宋体" w:cs="宋体"/>
          <w:sz w:val="24"/>
          <w:szCs w:val="24"/>
          <w:highlight w:val="none"/>
          <w:lang w:eastAsia="zh-CN" w:bidi="ar"/>
        </w:rPr>
        <w:t>内存配件用于服务器业务运行时高速数据缓存，满足业务程序加载、计算任务临时数据读写、虚拟机内存资源调度及系统管理通信等需求。配件应支持多通道冗余适配部署，为业务计算平台提供稳定、高效、可扩展的内存缓存能力，保障业务系统连续稳定运行。</w:t>
      </w:r>
    </w:p>
    <w:p w14:paraId="7C00AAA4">
      <w:pPr>
        <w:widowControl w:val="0"/>
        <w:autoSpaceDE w:val="0"/>
        <w:autoSpaceDN w:val="0"/>
        <w:spacing w:before="0" w:line="360" w:lineRule="auto"/>
        <w:ind w:left="0" w:firstLine="480"/>
        <w:outlineLvl w:val="3"/>
        <w:rPr>
          <w:rFonts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（2）产品技术参数：</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997"/>
        <w:gridCol w:w="1884"/>
        <w:gridCol w:w="3718"/>
        <w:gridCol w:w="1209"/>
      </w:tblGrid>
      <w:tr w14:paraId="5954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pct"/>
            <w:shd w:val="clear" w:color="auto" w:fill="A6A6A6"/>
            <w:vAlign w:val="center"/>
          </w:tcPr>
          <w:p w14:paraId="4D88CF3F">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序号</w:t>
            </w:r>
          </w:p>
        </w:tc>
        <w:tc>
          <w:tcPr>
            <w:tcW w:w="585" w:type="pct"/>
            <w:shd w:val="clear" w:color="auto" w:fill="A6A6A6"/>
            <w:vAlign w:val="center"/>
          </w:tcPr>
          <w:p w14:paraId="1754074B">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重要性</w:t>
            </w:r>
          </w:p>
        </w:tc>
        <w:tc>
          <w:tcPr>
            <w:tcW w:w="1105" w:type="pct"/>
            <w:shd w:val="clear" w:color="auto" w:fill="A6A6A6"/>
            <w:vAlign w:val="center"/>
          </w:tcPr>
          <w:p w14:paraId="03EE9E4C">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技术指标</w:t>
            </w:r>
          </w:p>
        </w:tc>
        <w:tc>
          <w:tcPr>
            <w:tcW w:w="2181" w:type="pct"/>
            <w:shd w:val="clear" w:color="auto" w:fill="A6A6A6"/>
            <w:vAlign w:val="center"/>
          </w:tcPr>
          <w:p w14:paraId="42E10944">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要求</w:t>
            </w:r>
          </w:p>
        </w:tc>
        <w:tc>
          <w:tcPr>
            <w:tcW w:w="709" w:type="pct"/>
            <w:shd w:val="clear" w:color="auto" w:fill="A6A6A6"/>
            <w:vAlign w:val="center"/>
          </w:tcPr>
          <w:p w14:paraId="2792E4CF">
            <w:pPr>
              <w:spacing w:line="360" w:lineRule="auto"/>
              <w:jc w:val="center"/>
              <w:rPr>
                <w:rFonts w:ascii="宋体" w:hAnsi="宋体" w:eastAsia="宋体" w:cs="宋体"/>
                <w:b/>
                <w:sz w:val="24"/>
                <w:szCs w:val="24"/>
                <w:highlight w:val="none"/>
              </w:rPr>
            </w:pPr>
            <w:r>
              <w:rPr>
                <w:rFonts w:hint="eastAsia" w:ascii="宋体" w:hAnsi="宋体" w:eastAsia="宋体" w:cs="宋体"/>
                <w:b/>
                <w:sz w:val="24"/>
                <w:szCs w:val="24"/>
                <w:highlight w:val="none"/>
              </w:rPr>
              <w:t>是否提供证明材料</w:t>
            </w:r>
          </w:p>
        </w:tc>
      </w:tr>
      <w:tr w14:paraId="195B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417" w:type="pct"/>
            <w:vAlign w:val="center"/>
          </w:tcPr>
          <w:p w14:paraId="38202BF5">
            <w:pPr>
              <w:spacing w:line="360" w:lineRule="auto"/>
              <w:jc w:val="center"/>
              <w:rPr>
                <w:rFonts w:ascii="宋体" w:hAnsi="宋体" w:eastAsia="宋体" w:cs="宋体"/>
                <w:bCs/>
                <w:sz w:val="24"/>
                <w:szCs w:val="24"/>
                <w:highlight w:val="none"/>
              </w:rPr>
            </w:pPr>
            <w:r>
              <w:rPr>
                <w:rFonts w:hint="eastAsia" w:ascii="宋体" w:hAnsi="宋体" w:eastAsia="宋体" w:cs="宋体"/>
                <w:bCs/>
                <w:sz w:val="24"/>
                <w:szCs w:val="24"/>
                <w:highlight w:val="none"/>
              </w:rPr>
              <w:t>1</w:t>
            </w:r>
          </w:p>
        </w:tc>
        <w:tc>
          <w:tcPr>
            <w:tcW w:w="585" w:type="pct"/>
            <w:vAlign w:val="center"/>
          </w:tcPr>
          <w:p w14:paraId="56489225">
            <w:pPr>
              <w:spacing w:line="360" w:lineRule="auto"/>
              <w:jc w:val="center"/>
              <w:rPr>
                <w:rFonts w:ascii="宋体" w:hAnsi="宋体" w:eastAsia="宋体" w:cs="宋体"/>
                <w:bCs/>
                <w:sz w:val="24"/>
                <w:szCs w:val="24"/>
                <w:highlight w:val="none"/>
              </w:rPr>
            </w:pPr>
            <w:r>
              <w:rPr>
                <w:rFonts w:hint="eastAsia" w:ascii="宋体" w:hAnsi="宋体" w:eastAsia="宋体" w:cs="宋体"/>
                <w:bCs/>
                <w:sz w:val="24"/>
                <w:szCs w:val="24"/>
                <w:highlight w:val="none"/>
              </w:rPr>
              <w:t>★</w:t>
            </w:r>
          </w:p>
        </w:tc>
        <w:tc>
          <w:tcPr>
            <w:tcW w:w="1105" w:type="pct"/>
            <w:vAlign w:val="center"/>
          </w:tcPr>
          <w:p w14:paraId="5FF0F66E">
            <w:pPr>
              <w:spacing w:line="360" w:lineRule="auto"/>
              <w:jc w:val="center"/>
              <w:rPr>
                <w:rFonts w:ascii="宋体" w:hAnsi="宋体" w:eastAsia="宋体" w:cs="宋体"/>
                <w:bCs/>
                <w:sz w:val="24"/>
                <w:szCs w:val="24"/>
                <w:highlight w:val="none"/>
                <w:lang w:bidi="en-US"/>
              </w:rPr>
            </w:pPr>
            <w:r>
              <w:rPr>
                <w:rFonts w:hint="eastAsia" w:ascii="宋体" w:hAnsi="宋体" w:eastAsia="宋体" w:cs="宋体"/>
                <w:bCs/>
                <w:sz w:val="24"/>
                <w:szCs w:val="24"/>
                <w:highlight w:val="none"/>
                <w:lang w:bidi="en-US"/>
              </w:rPr>
              <w:t>内存规格</w:t>
            </w:r>
          </w:p>
        </w:tc>
        <w:tc>
          <w:tcPr>
            <w:tcW w:w="2181" w:type="pct"/>
            <w:vAlign w:val="center"/>
          </w:tcPr>
          <w:p w14:paraId="35992BE8">
            <w:pPr>
              <w:spacing w:line="360" w:lineRule="auto"/>
              <w:jc w:val="center"/>
              <w:rPr>
                <w:rFonts w:ascii="宋体" w:hAnsi="宋体" w:eastAsia="宋体" w:cs="宋体"/>
                <w:bCs/>
                <w:sz w:val="24"/>
                <w:szCs w:val="24"/>
                <w:highlight w:val="none"/>
                <w:lang w:bidi="en-US"/>
              </w:rPr>
            </w:pPr>
            <w:r>
              <w:rPr>
                <w:rFonts w:hint="eastAsia" w:ascii="宋体" w:hAnsi="宋体" w:eastAsia="宋体" w:cs="宋体"/>
                <w:bCs/>
                <w:sz w:val="24"/>
                <w:szCs w:val="24"/>
                <w:highlight w:val="none"/>
                <w:lang w:bidi="en-US"/>
              </w:rPr>
              <w:t xml:space="preserve"> DDR4-2933MHz </w:t>
            </w:r>
            <w:r>
              <w:rPr>
                <w:rFonts w:hint="eastAsia" w:ascii="宋体" w:hAnsi="宋体" w:eastAsia="宋体" w:cs="宋体"/>
                <w:bCs/>
                <w:kern w:val="20"/>
                <w:sz w:val="24"/>
                <w:szCs w:val="24"/>
                <w:highlight w:val="none"/>
                <w:lang w:val="zh-CN"/>
              </w:rPr>
              <w:t>RDIMM</w:t>
            </w:r>
            <w:r>
              <w:rPr>
                <w:rFonts w:hint="eastAsia" w:ascii="宋体" w:hAnsi="宋体" w:eastAsia="宋体" w:cs="宋体"/>
                <w:bCs/>
                <w:sz w:val="24"/>
                <w:szCs w:val="24"/>
                <w:highlight w:val="none"/>
                <w:lang w:bidi="en-US"/>
              </w:rPr>
              <w:t xml:space="preserve"> 32GB</w:t>
            </w:r>
          </w:p>
        </w:tc>
        <w:tc>
          <w:tcPr>
            <w:tcW w:w="709" w:type="pct"/>
            <w:vAlign w:val="center"/>
          </w:tcPr>
          <w:p w14:paraId="2D45EBA7">
            <w:pPr>
              <w:spacing w:line="360" w:lineRule="auto"/>
              <w:jc w:val="center"/>
              <w:rPr>
                <w:rFonts w:ascii="宋体" w:hAnsi="宋体" w:eastAsia="宋体" w:cs="宋体"/>
                <w:bCs/>
                <w:sz w:val="24"/>
                <w:szCs w:val="24"/>
                <w:highlight w:val="none"/>
                <w:lang w:bidi="en-US"/>
              </w:rPr>
            </w:pPr>
            <w:r>
              <w:rPr>
                <w:rFonts w:hint="eastAsia" w:ascii="宋体" w:hAnsi="宋体" w:eastAsia="宋体" w:cs="宋体"/>
                <w:bCs/>
                <w:sz w:val="24"/>
                <w:szCs w:val="24"/>
                <w:highlight w:val="none"/>
                <w:lang w:bidi="en-US"/>
              </w:rPr>
              <w:t>否</w:t>
            </w:r>
          </w:p>
        </w:tc>
      </w:tr>
    </w:tbl>
    <w:p w14:paraId="0393E022">
      <w:pPr>
        <w:spacing w:line="360" w:lineRule="auto"/>
        <w:rPr>
          <w:rFonts w:ascii="宋体" w:hAnsi="宋体" w:eastAsia="宋体" w:cs="宋体"/>
          <w:b/>
          <w:bCs/>
          <w:color w:val="000000"/>
          <w:sz w:val="24"/>
          <w:szCs w:val="24"/>
          <w:highlight w:val="none"/>
        </w:rPr>
      </w:pPr>
    </w:p>
    <w:p w14:paraId="6998B41C">
      <w:pPr>
        <w:widowControl/>
        <w:adjustRightInd w:val="0"/>
        <w:snapToGrid w:val="0"/>
        <w:spacing w:before="120" w:beforeLines="50" w:line="360" w:lineRule="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42E9335C">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38996A0C">
      <w:pPr>
        <w:tabs>
          <w:tab w:val="left" w:pos="900"/>
        </w:tabs>
        <w:autoSpaceDE/>
        <w:autoSpaceDN/>
        <w:spacing w:line="486" w:lineRule="exact"/>
        <w:ind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75CA3E2E">
      <w:pPr>
        <w:spacing w:before="50"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355F79B8">
      <w:pPr>
        <w:spacing w:before="50"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6BC3FE80">
      <w:pPr>
        <w:spacing w:before="50"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3.供应商应为质保期服务配备充足的技术人员、工具和备件并保证提供的联系方式畅通。</w:t>
      </w:r>
      <w:r>
        <w:rPr>
          <w:rFonts w:hint="eastAsia" w:ascii="宋体" w:hAnsi="宋体" w:eastAsia="宋体" w:cs="宋体"/>
          <w:kern w:val="2"/>
          <w:sz w:val="24"/>
          <w:szCs w:val="24"/>
          <w:highlight w:val="none"/>
          <w:lang w:eastAsia="zh-CN" w:bidi="ar"/>
        </w:rPr>
        <w:t>维保期内的设备发生故障，</w:t>
      </w:r>
      <w:r>
        <w:rPr>
          <w:rFonts w:hint="eastAsia" w:ascii="宋体" w:hAnsi="宋体" w:eastAsia="宋体" w:cs="宋体"/>
          <w:sz w:val="24"/>
          <w:szCs w:val="24"/>
          <w:highlight w:val="none"/>
          <w:lang w:eastAsia="zh-CN"/>
        </w:rPr>
        <w:t>供应商</w:t>
      </w:r>
      <w:r>
        <w:rPr>
          <w:rFonts w:hint="eastAsia" w:ascii="宋体" w:hAnsi="宋体" w:eastAsia="宋体" w:cs="宋体"/>
          <w:kern w:val="2"/>
          <w:sz w:val="24"/>
          <w:szCs w:val="24"/>
          <w:highlight w:val="none"/>
          <w:lang w:eastAsia="zh-CN" w:bidi="ar"/>
        </w:rPr>
        <w:t>为院方提供7天/周×24小时/天全天候原厂维保服务，</w:t>
      </w:r>
      <w:r>
        <w:rPr>
          <w:rFonts w:hint="eastAsia" w:ascii="宋体" w:hAnsi="宋体" w:eastAsia="宋体" w:cs="宋体"/>
          <w:sz w:val="24"/>
          <w:szCs w:val="24"/>
          <w:highlight w:val="none"/>
          <w:lang w:eastAsia="zh-CN"/>
        </w:rPr>
        <w:t>供应商</w:t>
      </w:r>
      <w:r>
        <w:rPr>
          <w:rFonts w:hint="eastAsia" w:ascii="宋体" w:hAnsi="宋体" w:eastAsia="宋体" w:cs="宋体"/>
          <w:kern w:val="2"/>
          <w:sz w:val="24"/>
          <w:szCs w:val="24"/>
          <w:highlight w:val="none"/>
          <w:lang w:eastAsia="zh-CN" w:bidi="ar"/>
        </w:rPr>
        <w:t>在接到院方通知（电话、书面、传真等方式均可）4小时内到达现场并排除故障。若</w:t>
      </w:r>
      <w:r>
        <w:rPr>
          <w:rFonts w:hint="eastAsia" w:ascii="宋体" w:hAnsi="宋体" w:eastAsia="宋体" w:cs="宋体"/>
          <w:sz w:val="24"/>
          <w:szCs w:val="24"/>
          <w:highlight w:val="none"/>
          <w:lang w:eastAsia="zh-CN"/>
        </w:rPr>
        <w:t>供应商</w:t>
      </w:r>
      <w:r>
        <w:rPr>
          <w:rFonts w:hint="eastAsia" w:ascii="宋体" w:hAnsi="宋体" w:eastAsia="宋体" w:cs="宋体"/>
          <w:kern w:val="2"/>
          <w:sz w:val="24"/>
          <w:szCs w:val="24"/>
          <w:highlight w:val="none"/>
          <w:lang w:eastAsia="zh-CN" w:bidi="ar"/>
        </w:rPr>
        <w:t>不能在双方约定的时间内现场维修成功或本合同项下设备需要返厂和返回中标方维修，那么中标方应提供备用机供院方免费使用，直至院方所购买的设备修好能够正常使用为止，备用机的质量不得低于本项目合同项下的设备要求，同时返厂或返回乙方维修的，</w:t>
      </w:r>
      <w:r>
        <w:rPr>
          <w:rFonts w:hint="eastAsia" w:ascii="宋体" w:hAnsi="宋体" w:eastAsia="宋体" w:cs="宋体"/>
          <w:sz w:val="24"/>
          <w:szCs w:val="24"/>
          <w:highlight w:val="none"/>
          <w:lang w:eastAsia="zh-CN"/>
        </w:rPr>
        <w:t>供应商</w:t>
      </w:r>
      <w:r>
        <w:rPr>
          <w:rFonts w:hint="eastAsia" w:ascii="宋体" w:hAnsi="宋体" w:eastAsia="宋体" w:cs="宋体"/>
          <w:kern w:val="2"/>
          <w:sz w:val="24"/>
          <w:szCs w:val="24"/>
          <w:highlight w:val="none"/>
          <w:lang w:eastAsia="zh-CN" w:bidi="ar"/>
        </w:rPr>
        <w:t>应保证在运走设备后</w:t>
      </w:r>
      <w:r>
        <w:rPr>
          <w:rFonts w:hint="eastAsia" w:ascii="宋体" w:hAnsi="宋体" w:eastAsia="宋体" w:cs="宋体"/>
          <w:kern w:val="2"/>
          <w:sz w:val="24"/>
          <w:szCs w:val="24"/>
          <w:highlight w:val="none"/>
          <w:u w:val="single"/>
          <w:lang w:eastAsia="zh-CN" w:bidi="ar"/>
        </w:rPr>
        <w:t>10</w:t>
      </w:r>
      <w:r>
        <w:rPr>
          <w:rFonts w:hint="eastAsia" w:ascii="宋体" w:hAnsi="宋体" w:eastAsia="宋体" w:cs="宋体"/>
          <w:kern w:val="2"/>
          <w:sz w:val="24"/>
          <w:szCs w:val="24"/>
          <w:highlight w:val="none"/>
          <w:lang w:eastAsia="zh-CN" w:bidi="ar"/>
        </w:rPr>
        <w:t>日内维保成功并交付院方。</w:t>
      </w:r>
      <w:r>
        <w:rPr>
          <w:rFonts w:hint="eastAsia" w:ascii="宋体" w:hAnsi="宋体" w:eastAsia="宋体" w:cs="宋体"/>
          <w:sz w:val="24"/>
          <w:szCs w:val="24"/>
          <w:highlight w:val="none"/>
          <w:lang w:eastAsia="zh-CN"/>
        </w:rPr>
        <w:t>如果</w:t>
      </w:r>
      <w:r>
        <w:rPr>
          <w:rFonts w:hint="eastAsia" w:ascii="宋体" w:hAnsi="宋体" w:eastAsia="宋体" w:cs="宋体"/>
          <w:kern w:val="2"/>
          <w:sz w:val="24"/>
          <w:szCs w:val="24"/>
          <w:highlight w:val="none"/>
          <w:lang w:eastAsia="zh-CN" w:bidi="ar"/>
        </w:rPr>
        <w:t>中标方</w:t>
      </w:r>
      <w:r>
        <w:rPr>
          <w:rFonts w:hint="eastAsia" w:ascii="宋体" w:hAnsi="宋体" w:eastAsia="宋体" w:cs="宋体"/>
          <w:sz w:val="24"/>
          <w:szCs w:val="24"/>
          <w:highlight w:val="none"/>
          <w:lang w:eastAsia="zh-CN"/>
        </w:rPr>
        <w:t>未在上述时间内作出响应，</w:t>
      </w:r>
      <w:r>
        <w:rPr>
          <w:rFonts w:hint="eastAsia" w:ascii="宋体" w:hAnsi="宋体" w:eastAsia="宋体" w:cs="宋体"/>
          <w:kern w:val="2"/>
          <w:sz w:val="24"/>
          <w:szCs w:val="24"/>
          <w:highlight w:val="none"/>
          <w:lang w:eastAsia="zh-CN" w:bidi="ar"/>
        </w:rPr>
        <w:t>中标方</w:t>
      </w:r>
      <w:r>
        <w:rPr>
          <w:rFonts w:hint="eastAsia" w:ascii="宋体" w:hAnsi="宋体" w:eastAsia="宋体" w:cs="宋体"/>
          <w:sz w:val="24"/>
          <w:szCs w:val="24"/>
          <w:highlight w:val="none"/>
          <w:lang w:eastAsia="zh-CN"/>
        </w:rPr>
        <w:t>应承担由此发生的全部费用。</w:t>
      </w:r>
    </w:p>
    <w:p w14:paraId="79F08C7C">
      <w:pPr>
        <w:spacing w:before="50"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如供应商技术人员需到合同设备现场进行质保期服务，则院方应免费为卖方技术人员提供工作条件及便利，包括但不限于必要的办公场所、技术资料及出入许可等。卖方技术人员的交通、食宿费用由卖方承担。卖方技术人员应遵守院方施工现场的各项规章制度和安全操作规程，并服从院方的现场管理，如发生任何人身财产损害以及各种意外情况，均由卖方自行负责及处理，与院方无关，同时卖方派驻的人员无论与卖方是否存在劳动劳务关系，如给院方造成各种损失，无论与履行职务是否相关，卖方应承担赔偿等相关法律责任。</w:t>
      </w:r>
    </w:p>
    <w:p w14:paraId="5E5CF2AA">
      <w:pPr>
        <w:spacing w:before="50"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供应商应及时提供质量合格的维保服务，院方有权要求供应商撤换质保维修技术人员，因撤换而产生的费用应由供应商承担。在不影响质保期服务并且征得院方同意的条件下，供应商也可自负费用更换其技术人员。</w:t>
      </w:r>
    </w:p>
    <w:p w14:paraId="68EE75CF">
      <w:pPr>
        <w:spacing w:before="50"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6.供应商应就在施工现场进行质保期服务的情况进行记录，记载合同设备故障发生的时间、原因及解决情况等，由院方签字确认，并在质量保证期结束后提交给院方。</w:t>
      </w:r>
    </w:p>
    <w:p w14:paraId="164F4B16">
      <w:pPr>
        <w:widowControl w:val="0"/>
        <w:autoSpaceDE w:val="0"/>
        <w:autoSpaceDN w:val="0"/>
        <w:spacing w:before="50" w:line="486" w:lineRule="exact"/>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7、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3BC839BB">
      <w:pPr>
        <w:widowControl w:val="0"/>
        <w:autoSpaceDE w:val="0"/>
        <w:autoSpaceDN w:val="0"/>
        <w:spacing w:before="50" w:line="486" w:lineRule="exact"/>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8.货物运输符合的相关国际惯例，试剂、耗材运达所产生的费用由供应商负责。运输途中的货物破损及损失风险由供应商承担，供应商承担运费。</w:t>
      </w:r>
    </w:p>
    <w:p w14:paraId="57CF04B5">
      <w:pPr>
        <w:widowControl w:val="0"/>
        <w:autoSpaceDE w:val="0"/>
        <w:autoSpaceDN w:val="0"/>
        <w:spacing w:before="50" w:line="486" w:lineRule="exact"/>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0649823F">
      <w:pPr>
        <w:widowControl w:val="0"/>
        <w:autoSpaceDE w:val="0"/>
        <w:autoSpaceDN w:val="0"/>
        <w:spacing w:line="486" w:lineRule="exact"/>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36D3E25C">
      <w:pPr>
        <w:tabs>
          <w:tab w:val="left" w:pos="900"/>
        </w:tabs>
        <w:spacing w:before="120"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095E8068">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43B1BF63">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7CF1D36F">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0ECCE1DB">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39E73F88">
      <w:pPr>
        <w:autoSpaceDE/>
        <w:autoSpaceDN/>
        <w:spacing w:before="20" w:line="360" w:lineRule="auto"/>
        <w:ind w:firstLine="480" w:firstLineChars="200"/>
        <w:rPr>
          <w:rFonts w:ascii="宋体" w:hAnsi="宋体" w:eastAsia="宋体" w:cs="宋体"/>
          <w:b/>
          <w:bCs/>
          <w:sz w:val="24"/>
          <w:szCs w:val="24"/>
          <w:highlight w:val="none"/>
          <w:lang w:eastAsia="zh-CN"/>
        </w:rPr>
      </w:pPr>
      <w:r>
        <w:rPr>
          <w:rFonts w:hint="eastAsia" w:ascii="宋体" w:hAnsi="宋体" w:eastAsia="宋体" w:cs="宋体"/>
          <w:sz w:val="24"/>
          <w:szCs w:val="24"/>
          <w:highlight w:val="none"/>
          <w:lang w:eastAsia="zh-CN"/>
        </w:rPr>
        <w:t>5）实施本国产品标准及相关政策：依据《</w:t>
      </w:r>
      <w:r>
        <w:rPr>
          <w:rFonts w:hint="eastAsia" w:ascii="宋体" w:hAnsi="宋体" w:eastAsia="宋体" w:cs="宋体"/>
          <w:sz w:val="24"/>
          <w:szCs w:val="24"/>
          <w:highlight w:val="none"/>
          <w:shd w:val="clear" w:color="auto" w:fill="FFFFFF"/>
          <w:lang w:eastAsia="zh-CN"/>
        </w:rPr>
        <w:t>国务院办公厅关于在政府采购中实施本国产品标准及相关政策的通知</w:t>
      </w:r>
      <w:r>
        <w:rPr>
          <w:rFonts w:hint="eastAsia" w:ascii="宋体" w:hAnsi="宋体" w:eastAsia="宋体" w:cs="宋体"/>
          <w:sz w:val="24"/>
          <w:szCs w:val="24"/>
          <w:highlight w:val="none"/>
          <w:lang w:eastAsia="zh-CN"/>
        </w:rPr>
        <w:t>》（国办发〔2025〕34号）规定，本项目供应商所投产品</w:t>
      </w:r>
      <w:r>
        <w:rPr>
          <w:rFonts w:hint="eastAsia" w:ascii="宋体" w:hAnsi="宋体" w:eastAsia="宋体" w:cs="宋体"/>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sz w:val="24"/>
          <w:szCs w:val="24"/>
          <w:highlight w:val="none"/>
          <w:lang w:eastAsia="zh-CN"/>
        </w:rPr>
        <w:t>供应商应出具招标文件要求的证明材料给予证明，否则评标时不予认可</w:t>
      </w:r>
      <w:r>
        <w:rPr>
          <w:rFonts w:hint="eastAsia" w:ascii="宋体" w:hAnsi="宋体" w:eastAsia="宋体" w:cs="宋体"/>
          <w:sz w:val="24"/>
          <w:szCs w:val="24"/>
          <w:highlight w:val="none"/>
          <w:lang w:eastAsia="zh-CN"/>
        </w:rPr>
        <w:t>。</w:t>
      </w:r>
      <w:r>
        <w:rPr>
          <w:rFonts w:hint="eastAsia" w:ascii="宋体" w:hAnsi="宋体" w:eastAsia="宋体" w:cs="宋体"/>
          <w:b/>
          <w:bCs/>
          <w:sz w:val="24"/>
          <w:szCs w:val="24"/>
          <w:highlight w:val="none"/>
          <w:lang w:eastAsia="zh-CN"/>
        </w:rPr>
        <w:t>供应商应对提交的证明材料真实性负责，</w:t>
      </w:r>
      <w:r>
        <w:rPr>
          <w:rFonts w:hint="eastAsia" w:ascii="宋体" w:hAnsi="宋体" w:eastAsia="宋体" w:cs="宋体"/>
          <w:sz w:val="24"/>
          <w:szCs w:val="24"/>
          <w:highlight w:val="none"/>
          <w:lang w:eastAsia="zh-CN"/>
        </w:rPr>
        <w:t>提交证明材料不真实的，应承担相应的法律责任。</w:t>
      </w:r>
    </w:p>
    <w:p w14:paraId="65A4A0AB">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0021F8DE">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4"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528E88EB">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或“＃”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 xml:space="preserve">。 </w:t>
      </w:r>
    </w:p>
    <w:p w14:paraId="1FA6CD7A">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（3）</w:t>
      </w:r>
      <w:r>
        <w:rPr>
          <w:rFonts w:hint="eastAsia" w:ascii="宋体" w:hAnsi="宋体" w:eastAsia="宋体" w:cs="宋体"/>
          <w:iCs/>
          <w:sz w:val="24"/>
          <w:szCs w:val="24"/>
          <w:highlight w:val="none"/>
          <w:lang w:eastAsia="zh-CN"/>
        </w:rPr>
        <w:t xml:space="preserve">投标人所提供的部件之间及设备之间的连线或接插件均视为设备内部部件，应包含在相应的配置中。 </w:t>
      </w:r>
    </w:p>
    <w:p w14:paraId="10E266F4">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39A6E505">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797691E8">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72573772">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5）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4"/>
    <w:p w14:paraId="7CE41951">
      <w:pPr>
        <w:tabs>
          <w:tab w:val="left" w:pos="900"/>
        </w:tabs>
        <w:spacing w:before="120"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4CED7FAC">
      <w:pPr>
        <w:widowControl w:val="0"/>
        <w:autoSpaceDE w:val="0"/>
        <w:autoSpaceDN w:val="0"/>
        <w:spacing w:line="360" w:lineRule="auto"/>
        <w:ind w:firstLine="480" w:firstLineChars="200"/>
        <w:jc w:val="both"/>
        <w:outlineLvl w:val="9"/>
        <w:rPr>
          <w:rFonts w:ascii="宋体" w:hAnsi="宋体" w:eastAsia="宋体" w:cs="宋体"/>
          <w:b w:val="0"/>
          <w:sz w:val="24"/>
          <w:szCs w:val="24"/>
          <w:highlight w:val="none"/>
          <w:lang w:val="en-US" w:eastAsia="zh-CN" w:bidi="ar-SA"/>
        </w:rPr>
      </w:pPr>
      <w:r>
        <w:rPr>
          <w:rFonts w:hint="eastAsia" w:ascii="宋体" w:hAnsi="宋体" w:eastAsia="宋体" w:cs="宋体"/>
          <w:b w:val="0"/>
          <w:sz w:val="24"/>
          <w:szCs w:val="24"/>
          <w:highlight w:val="none"/>
          <w:lang w:val="en-US" w:eastAsia="zh-CN" w:bidi="ar-SA"/>
        </w:rPr>
        <w:t>1）符合采购人服务范围要求。</w:t>
      </w:r>
    </w:p>
    <w:p w14:paraId="68BD4AB4">
      <w:pPr>
        <w:widowControl w:val="0"/>
        <w:autoSpaceDE w:val="0"/>
        <w:autoSpaceDN w:val="0"/>
        <w:spacing w:line="360" w:lineRule="auto"/>
        <w:ind w:firstLine="480" w:firstLineChars="200"/>
        <w:jc w:val="both"/>
        <w:outlineLvl w:val="9"/>
        <w:rPr>
          <w:rFonts w:ascii="宋体" w:hAnsi="宋体" w:eastAsia="宋体" w:cs="宋体"/>
          <w:b w:val="0"/>
          <w:sz w:val="24"/>
          <w:szCs w:val="24"/>
          <w:highlight w:val="none"/>
          <w:lang w:val="en-US" w:eastAsia="zh-CN" w:bidi="ar-SA"/>
        </w:rPr>
      </w:pPr>
      <w:r>
        <w:rPr>
          <w:rFonts w:hint="eastAsia" w:ascii="宋体" w:hAnsi="宋体" w:eastAsia="宋体" w:cs="宋体"/>
          <w:b w:val="0"/>
          <w:sz w:val="24"/>
          <w:szCs w:val="24"/>
          <w:highlight w:val="none"/>
          <w:lang w:val="en-US" w:eastAsia="zh-CN" w:bidi="ar-SA"/>
        </w:rPr>
        <w:t>2）供应商配置的硬件设备或相关服务符合采购人要求。</w:t>
      </w:r>
    </w:p>
    <w:p w14:paraId="6FF74615">
      <w:pPr>
        <w:widowControl w:val="0"/>
        <w:autoSpaceDE w:val="0"/>
        <w:autoSpaceDN w:val="0"/>
        <w:spacing w:line="360" w:lineRule="auto"/>
        <w:ind w:firstLine="480" w:firstLineChars="200"/>
        <w:jc w:val="both"/>
        <w:outlineLvl w:val="9"/>
        <w:rPr>
          <w:rFonts w:ascii="宋体" w:hAnsi="宋体" w:eastAsia="宋体" w:cs="宋体"/>
          <w:b w:val="0"/>
          <w:sz w:val="24"/>
          <w:szCs w:val="24"/>
          <w:highlight w:val="none"/>
          <w:lang w:val="en-US" w:eastAsia="zh-CN" w:bidi="ar-SA"/>
        </w:rPr>
      </w:pPr>
      <w:r>
        <w:rPr>
          <w:rFonts w:hint="eastAsia" w:ascii="宋体" w:hAnsi="宋体" w:eastAsia="宋体" w:cs="宋体"/>
          <w:b w:val="0"/>
          <w:sz w:val="24"/>
          <w:szCs w:val="24"/>
          <w:highlight w:val="none"/>
          <w:lang w:val="en-US" w:eastAsia="zh-CN" w:bidi="ar-SA"/>
        </w:rPr>
        <w:t>3）完成采购人要求的工作内容。</w:t>
      </w:r>
    </w:p>
    <w:p w14:paraId="6B82AAA9">
      <w:pPr>
        <w:widowControl w:val="0"/>
        <w:autoSpaceDE w:val="0"/>
        <w:autoSpaceDN w:val="0"/>
        <w:spacing w:line="360" w:lineRule="auto"/>
        <w:ind w:firstLine="480" w:firstLineChars="200"/>
        <w:jc w:val="both"/>
        <w:outlineLvl w:val="9"/>
        <w:rPr>
          <w:rFonts w:ascii="宋体" w:hAnsi="宋体" w:eastAsia="宋体" w:cs="宋体"/>
          <w:b w:val="0"/>
          <w:sz w:val="24"/>
          <w:szCs w:val="24"/>
          <w:highlight w:val="none"/>
          <w:lang w:val="en-US" w:eastAsia="zh-CN" w:bidi="ar-SA"/>
        </w:rPr>
      </w:pPr>
      <w:r>
        <w:rPr>
          <w:rFonts w:hint="eastAsia" w:ascii="宋体" w:hAnsi="宋体" w:eastAsia="宋体" w:cs="宋体"/>
          <w:b w:val="0"/>
          <w:sz w:val="24"/>
          <w:szCs w:val="24"/>
          <w:highlight w:val="none"/>
          <w:lang w:val="en-US" w:eastAsia="zh-CN" w:bidi="ar-SA"/>
        </w:rPr>
        <w:t>4）达到采购人要求的服务和质量标准。</w:t>
      </w:r>
    </w:p>
    <w:p w14:paraId="1896FB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7426F5"/>
    <w:rsid w:val="1E1B28A9"/>
    <w:rsid w:val="43917F88"/>
    <w:rsid w:val="4C50175E"/>
    <w:rsid w:val="747426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qFormat/>
    <w:uiPriority w:val="1"/>
    <w:pPr>
      <w:outlineLvl w:val="0"/>
    </w:pPr>
    <w:rPr>
      <w:sz w:val="36"/>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rPr>
      <w:sz w:val="24"/>
      <w:szCs w:val="24"/>
    </w:rPr>
  </w:style>
  <w:style w:type="paragraph" w:styleId="5">
    <w:name w:val="toc 2"/>
    <w:basedOn w:val="1"/>
    <w:next w:val="1"/>
    <w:qFormat/>
    <w:uiPriority w:val="39"/>
    <w:pPr>
      <w:tabs>
        <w:tab w:val="right" w:leader="dot" w:pos="8937"/>
      </w:tabs>
      <w:spacing w:line="312" w:lineRule="auto"/>
      <w:ind w:left="420" w:leftChars="200"/>
    </w:pPr>
  </w:style>
  <w:style w:type="character" w:styleId="8">
    <w:name w:val="Strong"/>
    <w:basedOn w:val="7"/>
    <w:qFormat/>
    <w:uiPriority w:val="0"/>
    <w:rPr>
      <w:b/>
    </w:rPr>
  </w:style>
  <w:style w:type="paragraph" w:customStyle="1" w:styleId="9">
    <w:name w:val="列表段落11"/>
    <w:basedOn w:val="1"/>
    <w:qFormat/>
    <w:uiPriority w:val="1"/>
    <w:pPr>
      <w:spacing w:before="134"/>
      <w:ind w:left="1196" w:hanging="720"/>
    </w:pPr>
    <w:rPr>
      <w:sz w:val="20"/>
    </w:rPr>
  </w:style>
  <w:style w:type="paragraph" w:customStyle="1" w:styleId="10">
    <w:name w:val="Table Paragraph"/>
    <w:basedOn w:val="1"/>
    <w:qFormat/>
    <w:uiPriority w:val="1"/>
  </w:style>
  <w:style w:type="paragraph" w:customStyle="1" w:styleId="11">
    <w:name w:val="正文3"/>
    <w:qFormat/>
    <w:uiPriority w:val="99"/>
    <w:pPr>
      <w:jc w:val="both"/>
    </w:pPr>
    <w:rPr>
      <w:rFonts w:ascii="Calibri" w:hAnsi="Calibri" w:eastAsia="宋体" w:cs="Calibri"/>
      <w:kern w:val="2"/>
      <w:sz w:val="21"/>
      <w:szCs w:val="21"/>
      <w:lang w:val="en-US" w:eastAsia="zh-CN" w:bidi="ar-SA"/>
    </w:rPr>
  </w:style>
  <w:style w:type="paragraph" w:customStyle="1" w:styleId="12">
    <w:name w:val="列出段落1"/>
    <w:basedOn w:val="1"/>
    <w:qFormat/>
    <w:uiPriority w:val="1"/>
    <w:pPr>
      <w:spacing w:before="134"/>
      <w:ind w:left="1196" w:hanging="720"/>
    </w:pPr>
    <w:rPr>
      <w:sz w:val="20"/>
    </w:rPr>
  </w:style>
  <w:style w:type="table" w:customStyle="1" w:styleId="13">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17571</Words>
  <Characters>18817</Characters>
  <Lines>0</Lines>
  <Paragraphs>0</Paragraphs>
  <TotalTime>0</TotalTime>
  <ScaleCrop>false</ScaleCrop>
  <LinksUpToDate>false</LinksUpToDate>
  <CharactersWithSpaces>18885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2026-04-21T07:16:00Z</dcterms:created>
  <dc:creator>张珊。</dc:creator>
  <cp:lastModifiedBy>Serena</cp:lastModifiedBy>
  <dcterms:modified xsi:type="dcterms:W3CDTF">2026-09-24T05:38:22Z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B9378A8C16EF49009FB2C398DD83701D_11</vt:lpwstr>
  </property>
  <property fmtid="{D5CDD505-2E9C-101B-9397-08002B2CF9AE}" pid="4" name="KSOTemplateDocerSaveRecord">
    <vt:lpwstr>eyJoZGlkIjoiMTUxNjU4Y2I1ZTg1ZmY0MTJiZWRhYWQxYzNmOTNlNDEiLCJ1c2VySWQiOiIyMTg5Mjc5NjMifQ==</vt:lpwstr>
  </property>
</Properties>
</file>