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ascii="宋体" w:hAnsi="宋体" w:cs="宋体"/>
          <w:b/>
          <w:bCs/>
          <w:sz w:val="60"/>
          <w:szCs w:val="60"/>
        </w:rPr>
      </w:pPr>
    </w:p>
    <w:p>
      <w:pPr>
        <w:spacing w:before="253" w:line="360" w:lineRule="auto"/>
        <w:jc w:val="center"/>
        <w:outlineLvl w:val="0"/>
        <w:rPr>
          <w:rFonts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ascii="宋体" w:hAnsi="宋体" w:cs="宋体"/>
          <w:b/>
          <w:bCs/>
          <w:spacing w:val="11"/>
          <w:sz w:val="59"/>
          <w:szCs w:val="59"/>
        </w:rPr>
      </w:pPr>
      <w:r>
        <w:rPr>
          <w:rFonts w:hint="eastAsia" w:ascii="宋体" w:hAnsi="宋体" w:cs="宋体"/>
          <w:b/>
          <w:bCs/>
          <w:spacing w:val="11"/>
          <w:sz w:val="59"/>
          <w:szCs w:val="59"/>
        </w:rPr>
        <w:t>公开招标文件</w:t>
      </w:r>
    </w:p>
    <w:p>
      <w:pPr>
        <w:rPr>
          <w:rFonts w:ascii="宋体" w:hAnsi="宋体" w:cs="宋体"/>
        </w:rPr>
      </w:pPr>
    </w:p>
    <w:p>
      <w:pPr>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before="150" w:line="360" w:lineRule="auto"/>
        <w:ind w:left="853"/>
        <w:rPr>
          <w:rFonts w:ascii="宋体" w:hAnsi="宋体" w:cs="宋体"/>
          <w:b/>
          <w:bCs/>
          <w:sz w:val="35"/>
          <w:szCs w:val="35"/>
        </w:rPr>
      </w:pPr>
      <w:r>
        <w:rPr>
          <w:rFonts w:hint="eastAsia" w:ascii="宋体" w:hAnsi="宋体" w:cs="宋体"/>
          <w:b/>
          <w:bCs/>
          <w:spacing w:val="6"/>
          <w:sz w:val="35"/>
          <w:szCs w:val="35"/>
        </w:rPr>
        <w:t>项目名称：督查考评管理服务—首都城市环境建设管理社会公众满意度考核评价项目</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项目编号：11000025210200115939-XM001</w:t>
      </w:r>
      <w:r>
        <w:rPr>
          <w:rFonts w:hint="eastAsia" w:ascii="宋体" w:hAnsi="宋体" w:cs="宋体"/>
          <w:b/>
          <w:bCs/>
          <w:spacing w:val="5"/>
          <w:sz w:val="35"/>
          <w:szCs w:val="35"/>
        </w:rPr>
        <w:t xml:space="preserve"> </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人：北京市城市管理委员会</w:t>
      </w:r>
    </w:p>
    <w:p>
      <w:pPr>
        <w:spacing w:before="150" w:line="360" w:lineRule="auto"/>
        <w:ind w:left="853"/>
        <w:rPr>
          <w:rFonts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ascii="宋体" w:hAnsi="宋体" w:cs="宋体"/>
          <w:b/>
          <w:sz w:val="72"/>
        </w:rPr>
      </w:pPr>
    </w:p>
    <w:p>
      <w:pPr>
        <w:widowControl/>
        <w:jc w:val="left"/>
        <w:rPr>
          <w:rFonts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pPr>
        <w:rPr>
          <w:rFonts w:ascii="宋体" w:hAnsi="宋体" w:cs="宋体"/>
        </w:rPr>
      </w:pPr>
    </w:p>
    <w:p>
      <w:pPr>
        <w:rPr>
          <w:rFonts w:ascii="宋体" w:hAnsi="宋体" w:cs="宋体"/>
        </w:rPr>
      </w:pPr>
    </w:p>
    <w:p>
      <w:pPr>
        <w:rPr>
          <w:rFonts w:ascii="宋体" w:hAnsi="宋体" w:cs="宋体"/>
        </w:rPr>
      </w:pPr>
    </w:p>
    <w:p>
      <w:pPr>
        <w:pStyle w:val="35"/>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5"/>
        <w:spacing w:line="360" w:lineRule="auto"/>
        <w:rPr>
          <w:rFonts w:cs="宋体"/>
          <w:b w:val="0"/>
          <w:sz w:val="21"/>
          <w:szCs w:val="22"/>
        </w:rPr>
      </w:pPr>
      <w:r>
        <w:fldChar w:fldCharType="begin"/>
      </w:r>
      <w:r>
        <w:instrText xml:space="preserve"> HYPERLINK \l "_Toc99301419" </w:instrText>
      </w:r>
      <w:r>
        <w:fldChar w:fldCharType="separate"/>
      </w:r>
      <w:r>
        <w:rPr>
          <w:rStyle w:val="60"/>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cs="宋体"/>
        </w:rPr>
        <w:t>1</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"_Toc99301420" </w:instrText>
      </w:r>
      <w:r>
        <w:fldChar w:fldCharType="separate"/>
      </w:r>
      <w:r>
        <w:rPr>
          <w:rStyle w:val="60"/>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cs="宋体"/>
        </w:rPr>
        <w:t>5</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"_Toc99301421" </w:instrText>
      </w:r>
      <w:r>
        <w:fldChar w:fldCharType="separate"/>
      </w:r>
      <w:r>
        <w:rPr>
          <w:rStyle w:val="60"/>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cs="宋体"/>
        </w:rPr>
        <w:t>23</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"_Toc99301423" </w:instrText>
      </w:r>
      <w:r>
        <w:fldChar w:fldCharType="separate"/>
      </w:r>
      <w:r>
        <w:rPr>
          <w:rStyle w:val="60"/>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cs="宋体"/>
        </w:rPr>
        <w:t>26</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"_Toc99301424" </w:instrText>
      </w:r>
      <w:r>
        <w:fldChar w:fldCharType="separate"/>
      </w:r>
      <w:r>
        <w:rPr>
          <w:rStyle w:val="60"/>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cs="宋体"/>
        </w:rPr>
        <w:t>36</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"_Toc99301425" </w:instrText>
      </w:r>
      <w:r>
        <w:fldChar w:fldCharType="separate"/>
      </w:r>
      <w:r>
        <w:rPr>
          <w:rStyle w:val="60"/>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cs="宋体"/>
        </w:rPr>
        <w:t>44</w:t>
      </w:r>
      <w:r>
        <w:rPr>
          <w:rFonts w:hint="eastAsia" w:cs="宋体"/>
        </w:rPr>
        <w:fldChar w:fldCharType="end"/>
      </w:r>
      <w:r>
        <w:rPr>
          <w:rFonts w:hint="eastAsia" w:cs="宋体"/>
        </w:rPr>
        <w:fldChar w:fldCharType="end"/>
      </w:r>
    </w:p>
    <w:p>
      <w:pPr>
        <w:pStyle w:val="35"/>
        <w:spacing w:line="360" w:lineRule="auto"/>
        <w:rPr>
          <w:rFonts w:cs="宋体"/>
          <w:b w:val="0"/>
          <w:sz w:val="21"/>
          <w:szCs w:val="22"/>
        </w:rPr>
      </w:pPr>
      <w:r>
        <w:fldChar w:fldCharType="begin"/>
      </w:r>
      <w:r>
        <w:instrText xml:space="preserve"> HYPERLINK \l "_Toc99301426" </w:instrText>
      </w:r>
      <w:r>
        <w:fldChar w:fldCharType="separate"/>
      </w:r>
      <w:r>
        <w:rPr>
          <w:rStyle w:val="60"/>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cs="宋体"/>
        </w:rPr>
        <w:t>68</w:t>
      </w:r>
      <w:r>
        <w:rPr>
          <w:rFonts w:hint="eastAsia" w:cs="宋体"/>
        </w:rPr>
        <w:fldChar w:fldCharType="end"/>
      </w:r>
      <w:r>
        <w:rPr>
          <w:rFonts w:hint="eastAsia" w:cs="宋体"/>
        </w:rPr>
        <w:fldChar w:fldCharType="end"/>
      </w:r>
    </w:p>
    <w:p>
      <w:pPr>
        <w:pStyle w:val="35"/>
        <w:spacing w:line="360" w:lineRule="auto"/>
        <w:rPr>
          <w:rFonts w:cs="宋体"/>
          <w:b w:val="0"/>
        </w:rPr>
      </w:pPr>
      <w:r>
        <w:rPr>
          <w:rFonts w:hint="eastAsia" w:cs="宋体"/>
          <w:b w:val="0"/>
        </w:rPr>
        <w:fldChar w:fldCharType="end"/>
      </w:r>
    </w:p>
    <w:p>
      <w:pPr>
        <w:spacing w:line="360" w:lineRule="auto"/>
        <w:jc w:val="center"/>
        <w:outlineLvl w:val="0"/>
        <w:rPr>
          <w:rFonts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ascii="宋体" w:hAnsi="宋体" w:cs="宋体"/>
          <w:sz w:val="32"/>
          <w:szCs w:val="32"/>
        </w:rPr>
      </w:pPr>
    </w:p>
    <w:p>
      <w:pPr>
        <w:pStyle w:val="6"/>
        <w:spacing w:before="0" w:line="360" w:lineRule="auto"/>
        <w:jc w:val="left"/>
        <w:rPr>
          <w:rFonts w:ascii="宋体" w:hAnsi="宋体" w:eastAsia="宋体" w:cs="宋体"/>
          <w:sz w:val="24"/>
          <w:szCs w:val="24"/>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22"/>
        <w:rPr>
          <w:rFonts w:cs="宋体"/>
        </w:rPr>
      </w:pPr>
      <w:r>
        <w:rPr>
          <w:rFonts w:hint="eastAsia" w:cs="宋体"/>
        </w:rPr>
        <w:t>1.项目编号：11000025210200115939-XM001</w:t>
      </w:r>
    </w:p>
    <w:p>
      <w:pPr>
        <w:pStyle w:val="22"/>
        <w:rPr>
          <w:rFonts w:cs="宋体"/>
        </w:rPr>
      </w:pPr>
      <w:r>
        <w:rPr>
          <w:rFonts w:hint="eastAsia" w:cs="宋体"/>
        </w:rPr>
        <w:t>2.项目名称：督查考评管理服务—首都城市环境建设管理社会公众满意度考核评价项目</w:t>
      </w:r>
    </w:p>
    <w:p>
      <w:pPr>
        <w:pStyle w:val="22"/>
        <w:rPr>
          <w:rFonts w:cs="宋体"/>
        </w:rPr>
      </w:pPr>
      <w:r>
        <w:rPr>
          <w:rFonts w:hint="eastAsia" w:cs="宋体"/>
        </w:rPr>
        <w:t>3.项目预算金额：</w:t>
      </w:r>
      <w:r>
        <w:rPr>
          <w:rFonts w:hint="eastAsia" w:cs="宋体"/>
          <w:u w:val="single"/>
        </w:rPr>
        <w:t>271.11024</w:t>
      </w:r>
      <w:r>
        <w:rPr>
          <w:rFonts w:hint="eastAsia" w:cs="宋体"/>
        </w:rPr>
        <w:t>万元、项目最高限价（如有）：</w:t>
      </w:r>
      <w:r>
        <w:rPr>
          <w:rFonts w:hint="eastAsia" w:cs="宋体"/>
          <w:u w:val="single"/>
        </w:rPr>
        <w:t>271.11024</w:t>
      </w:r>
      <w:r>
        <w:rPr>
          <w:rFonts w:hint="eastAsia" w:cs="宋体"/>
        </w:rPr>
        <w:t xml:space="preserve">万元 </w:t>
      </w:r>
    </w:p>
    <w:p>
      <w:pPr>
        <w:spacing w:line="360" w:lineRule="auto"/>
        <w:ind w:firstLine="480" w:firstLineChars="200"/>
        <w:rPr>
          <w:rFonts w:ascii="宋体" w:hAnsi="宋体" w:cs="宋体"/>
          <w:sz w:val="24"/>
        </w:rPr>
      </w:pPr>
      <w:r>
        <w:rPr>
          <w:rFonts w:hint="eastAsia" w:ascii="宋体" w:hAnsi="宋体" w:cs="宋体"/>
          <w:sz w:val="24"/>
        </w:rPr>
        <w:t>4.采购需求：</w:t>
      </w:r>
    </w:p>
    <w:tbl>
      <w:tblPr>
        <w:tblStyle w:val="52"/>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835"/>
        <w:gridCol w:w="2032"/>
        <w:gridCol w:w="995"/>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98" w:type="dxa"/>
            <w:vAlign w:val="center"/>
          </w:tcPr>
          <w:p>
            <w:pPr>
              <w:jc w:val="center"/>
              <w:rPr>
                <w:rFonts w:ascii="宋体" w:hAnsi="宋体" w:cs="宋体"/>
                <w:bCs/>
                <w:sz w:val="24"/>
              </w:rPr>
            </w:pPr>
            <w:r>
              <w:rPr>
                <w:rFonts w:hint="eastAsia" w:ascii="宋体" w:hAnsi="宋体" w:cs="宋体"/>
                <w:bCs/>
                <w:sz w:val="24"/>
              </w:rPr>
              <w:t>包号</w:t>
            </w:r>
          </w:p>
        </w:tc>
        <w:tc>
          <w:tcPr>
            <w:tcW w:w="2835" w:type="dxa"/>
            <w:vAlign w:val="center"/>
          </w:tcPr>
          <w:p>
            <w:pPr>
              <w:jc w:val="center"/>
              <w:rPr>
                <w:rFonts w:ascii="宋体" w:hAnsi="宋体" w:cs="宋体"/>
                <w:bCs/>
                <w:sz w:val="24"/>
              </w:rPr>
            </w:pPr>
            <w:r>
              <w:rPr>
                <w:rFonts w:hint="eastAsia" w:ascii="宋体" w:hAnsi="宋体" w:cs="宋体"/>
                <w:bCs/>
                <w:sz w:val="24"/>
              </w:rPr>
              <w:t>包名称</w:t>
            </w:r>
          </w:p>
        </w:tc>
        <w:tc>
          <w:tcPr>
            <w:tcW w:w="2032" w:type="dxa"/>
            <w:vAlign w:val="center"/>
          </w:tcPr>
          <w:p>
            <w:pPr>
              <w:jc w:val="center"/>
              <w:rPr>
                <w:rFonts w:ascii="宋体" w:hAnsi="宋体" w:cs="宋体"/>
                <w:bCs/>
                <w:sz w:val="24"/>
              </w:rPr>
            </w:pPr>
            <w:r>
              <w:rPr>
                <w:rFonts w:hint="eastAsia" w:ascii="宋体" w:hAnsi="宋体" w:cs="宋体"/>
                <w:bCs/>
                <w:sz w:val="24"/>
              </w:rPr>
              <w:t>采购包预算金额</w:t>
            </w:r>
          </w:p>
          <w:p>
            <w:pPr>
              <w:jc w:val="center"/>
              <w:rPr>
                <w:rFonts w:ascii="宋体" w:hAnsi="宋体" w:cs="宋体"/>
                <w:bCs/>
                <w:sz w:val="24"/>
              </w:rPr>
            </w:pPr>
            <w:r>
              <w:rPr>
                <w:rFonts w:hint="eastAsia" w:ascii="宋体" w:hAnsi="宋体" w:cs="宋体"/>
                <w:bCs/>
                <w:sz w:val="24"/>
              </w:rPr>
              <w:t>（万元）</w:t>
            </w:r>
          </w:p>
        </w:tc>
        <w:tc>
          <w:tcPr>
            <w:tcW w:w="995" w:type="dxa"/>
            <w:vAlign w:val="center"/>
          </w:tcPr>
          <w:p>
            <w:pPr>
              <w:jc w:val="center"/>
              <w:rPr>
                <w:rFonts w:ascii="宋体" w:hAnsi="宋体" w:cs="宋体"/>
                <w:bCs/>
                <w:sz w:val="24"/>
              </w:rPr>
            </w:pPr>
            <w:r>
              <w:rPr>
                <w:rFonts w:hint="eastAsia" w:ascii="宋体" w:hAnsi="宋体" w:cs="宋体"/>
                <w:bCs/>
                <w:sz w:val="24"/>
              </w:rPr>
              <w:t>数量</w:t>
            </w:r>
          </w:p>
        </w:tc>
        <w:tc>
          <w:tcPr>
            <w:tcW w:w="2377" w:type="dxa"/>
            <w:vAlign w:val="center"/>
          </w:tcPr>
          <w:p>
            <w:pPr>
              <w:jc w:val="center"/>
              <w:rPr>
                <w:rFonts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98" w:type="dxa"/>
            <w:vAlign w:val="center"/>
          </w:tcPr>
          <w:p>
            <w:pPr>
              <w:jc w:val="center"/>
              <w:rPr>
                <w:rFonts w:ascii="宋体" w:hAnsi="宋体" w:cs="宋体"/>
                <w:bCs/>
                <w:sz w:val="24"/>
              </w:rPr>
            </w:pPr>
            <w:r>
              <w:rPr>
                <w:rFonts w:hint="eastAsia" w:ascii="宋体" w:hAnsi="宋体" w:cs="宋体"/>
                <w:bCs/>
                <w:sz w:val="24"/>
              </w:rPr>
              <w:t>01</w:t>
            </w:r>
          </w:p>
        </w:tc>
        <w:tc>
          <w:tcPr>
            <w:tcW w:w="2835" w:type="dxa"/>
            <w:vAlign w:val="center"/>
          </w:tcPr>
          <w:p>
            <w:pPr>
              <w:jc w:val="center"/>
              <w:rPr>
                <w:rFonts w:ascii="宋体" w:hAnsi="宋体" w:cs="宋体"/>
                <w:bCs/>
                <w:sz w:val="24"/>
              </w:rPr>
            </w:pPr>
            <w:r>
              <w:rPr>
                <w:rFonts w:hint="eastAsia" w:ascii="宋体" w:hAnsi="宋体" w:cs="宋体"/>
                <w:sz w:val="24"/>
              </w:rPr>
              <w:t>首都城市环境建设管理社会公众满意度考核评价</w:t>
            </w:r>
            <w:r>
              <w:rPr>
                <w:rFonts w:hint="eastAsia" w:ascii="宋体" w:hAnsi="宋体" w:cs="宋体"/>
                <w:bCs/>
                <w:sz w:val="24"/>
              </w:rPr>
              <w:t>项目第一包</w:t>
            </w:r>
          </w:p>
        </w:tc>
        <w:tc>
          <w:tcPr>
            <w:tcW w:w="2032" w:type="dxa"/>
            <w:vAlign w:val="center"/>
          </w:tcPr>
          <w:p>
            <w:pPr>
              <w:jc w:val="center"/>
              <w:rPr>
                <w:rFonts w:ascii="宋体" w:hAnsi="宋体" w:cs="宋体"/>
                <w:bCs/>
                <w:sz w:val="24"/>
              </w:rPr>
            </w:pPr>
            <w:r>
              <w:rPr>
                <w:rFonts w:hint="eastAsia" w:ascii="宋体" w:hAnsi="宋体" w:cs="宋体"/>
                <w:bCs/>
                <w:sz w:val="24"/>
              </w:rPr>
              <w:t>135.55512</w:t>
            </w:r>
          </w:p>
        </w:tc>
        <w:tc>
          <w:tcPr>
            <w:tcW w:w="995" w:type="dxa"/>
            <w:vAlign w:val="center"/>
          </w:tcPr>
          <w:p>
            <w:pPr>
              <w:jc w:val="center"/>
              <w:rPr>
                <w:rFonts w:ascii="宋体" w:hAnsi="宋体" w:cs="宋体"/>
                <w:bCs/>
                <w:sz w:val="24"/>
              </w:rPr>
            </w:pPr>
            <w:r>
              <w:rPr>
                <w:rFonts w:hint="eastAsia" w:ascii="宋体" w:hAnsi="宋体" w:cs="宋体"/>
                <w:bCs/>
                <w:sz w:val="24"/>
              </w:rPr>
              <w:t>1项</w:t>
            </w:r>
          </w:p>
        </w:tc>
        <w:tc>
          <w:tcPr>
            <w:tcW w:w="2377" w:type="dxa"/>
            <w:vAlign w:val="center"/>
          </w:tcPr>
          <w:p>
            <w:pPr>
              <w:jc w:val="center"/>
              <w:rPr>
                <w:rFonts w:ascii="宋体" w:hAnsi="宋体" w:cs="宋体"/>
                <w:kern w:val="0"/>
                <w:sz w:val="24"/>
              </w:rPr>
            </w:pPr>
            <w:r>
              <w:rPr>
                <w:rFonts w:hint="eastAsia" w:ascii="宋体" w:hAnsi="宋体" w:cs="宋体"/>
                <w:sz w:val="24"/>
              </w:rPr>
              <w:t>具体内容详见招标文件第五章。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98" w:type="dxa"/>
            <w:vAlign w:val="center"/>
          </w:tcPr>
          <w:p>
            <w:pPr>
              <w:jc w:val="center"/>
              <w:rPr>
                <w:rFonts w:ascii="宋体" w:hAnsi="宋体" w:cs="宋体"/>
                <w:bCs/>
                <w:sz w:val="24"/>
              </w:rPr>
            </w:pPr>
            <w:r>
              <w:rPr>
                <w:rFonts w:hint="eastAsia" w:ascii="宋体" w:hAnsi="宋体" w:cs="宋体"/>
                <w:bCs/>
                <w:sz w:val="24"/>
              </w:rPr>
              <w:t>02</w:t>
            </w:r>
          </w:p>
        </w:tc>
        <w:tc>
          <w:tcPr>
            <w:tcW w:w="2835" w:type="dxa"/>
            <w:vAlign w:val="center"/>
          </w:tcPr>
          <w:p>
            <w:pPr>
              <w:jc w:val="center"/>
              <w:rPr>
                <w:rFonts w:ascii="宋体" w:hAnsi="宋体" w:cs="宋体"/>
                <w:bCs/>
                <w:sz w:val="24"/>
              </w:rPr>
            </w:pPr>
            <w:r>
              <w:rPr>
                <w:rFonts w:hint="eastAsia" w:ascii="宋体" w:hAnsi="宋体" w:cs="宋体"/>
                <w:sz w:val="24"/>
              </w:rPr>
              <w:t>首都城市环境建设管理社会公众满意度考核评价项目</w:t>
            </w:r>
            <w:r>
              <w:rPr>
                <w:rFonts w:hint="eastAsia" w:ascii="宋体" w:hAnsi="宋体" w:cs="宋体"/>
                <w:bCs/>
                <w:sz w:val="24"/>
              </w:rPr>
              <w:t>第二包</w:t>
            </w:r>
          </w:p>
        </w:tc>
        <w:tc>
          <w:tcPr>
            <w:tcW w:w="2032" w:type="dxa"/>
            <w:vAlign w:val="center"/>
          </w:tcPr>
          <w:p>
            <w:pPr>
              <w:jc w:val="center"/>
              <w:rPr>
                <w:rFonts w:ascii="宋体" w:hAnsi="宋体" w:cs="宋体"/>
                <w:sz w:val="24"/>
              </w:rPr>
            </w:pPr>
            <w:r>
              <w:rPr>
                <w:rFonts w:hint="eastAsia" w:ascii="宋体" w:hAnsi="宋体" w:cs="宋体"/>
                <w:bCs/>
                <w:sz w:val="24"/>
              </w:rPr>
              <w:t>135.55512</w:t>
            </w:r>
          </w:p>
        </w:tc>
        <w:tc>
          <w:tcPr>
            <w:tcW w:w="995" w:type="dxa"/>
            <w:vAlign w:val="center"/>
          </w:tcPr>
          <w:p>
            <w:pPr>
              <w:jc w:val="center"/>
              <w:rPr>
                <w:rFonts w:ascii="宋体" w:hAnsi="宋体" w:cs="宋体"/>
                <w:bCs/>
                <w:sz w:val="24"/>
              </w:rPr>
            </w:pPr>
            <w:r>
              <w:rPr>
                <w:rFonts w:hint="eastAsia" w:ascii="宋体" w:hAnsi="宋体" w:cs="宋体"/>
                <w:bCs/>
                <w:sz w:val="24"/>
              </w:rPr>
              <w:t>1项</w:t>
            </w:r>
          </w:p>
        </w:tc>
        <w:tc>
          <w:tcPr>
            <w:tcW w:w="2377" w:type="dxa"/>
            <w:vAlign w:val="center"/>
          </w:tcPr>
          <w:p>
            <w:pPr>
              <w:jc w:val="center"/>
              <w:rPr>
                <w:rFonts w:ascii="宋体" w:hAnsi="宋体" w:cs="宋体"/>
                <w:sz w:val="24"/>
              </w:rPr>
            </w:pPr>
            <w:r>
              <w:rPr>
                <w:rFonts w:hint="eastAsia" w:ascii="宋体" w:hAnsi="宋体" w:cs="宋体"/>
                <w:sz w:val="24"/>
              </w:rPr>
              <w:t>具体内容详见招标文件第五章。</w:t>
            </w:r>
          </w:p>
        </w:tc>
      </w:tr>
    </w:tbl>
    <w:p>
      <w:pPr>
        <w:pStyle w:val="51"/>
        <w:ind w:firstLine="240"/>
        <w:rPr>
          <w:rFonts w:ascii="宋体" w:hAnsi="宋体" w:cs="宋体"/>
        </w:rPr>
      </w:pPr>
    </w:p>
    <w:p>
      <w:pPr>
        <w:spacing w:line="360" w:lineRule="auto"/>
        <w:ind w:firstLine="480" w:firstLineChars="200"/>
        <w:rPr>
          <w:rFonts w:ascii="宋体" w:hAnsi="宋体" w:cs="宋体"/>
          <w:sz w:val="24"/>
          <w:u w:val="single"/>
        </w:rPr>
      </w:pPr>
      <w:r>
        <w:rPr>
          <w:rFonts w:hint="eastAsia" w:ascii="宋体" w:hAnsi="宋体" w:cs="宋体"/>
          <w:sz w:val="24"/>
        </w:rPr>
        <w:t>5.合同履行期限：2025年11月【1】日至2026年10月【31】日。</w:t>
      </w:r>
    </w:p>
    <w:p>
      <w:pPr>
        <w:spacing w:line="360" w:lineRule="auto"/>
        <w:ind w:firstLine="480" w:firstLineChars="200"/>
        <w:rPr>
          <w:rFonts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ascii="宋体" w:hAnsi="宋体" w:cs="宋体"/>
          <w:sz w:val="24"/>
        </w:rPr>
      </w:pPr>
    </w:p>
    <w:p>
      <w:pPr>
        <w:pStyle w:val="6"/>
        <w:spacing w:before="0" w:line="360" w:lineRule="auto"/>
        <w:jc w:val="left"/>
        <w:rPr>
          <w:rFonts w:ascii="宋体" w:hAnsi="宋体" w:eastAsia="宋体" w:cs="宋体"/>
          <w:sz w:val="24"/>
          <w:szCs w:val="24"/>
        </w:rPr>
      </w:pPr>
      <w:bookmarkStart w:id="7" w:name="_Toc35393791"/>
      <w:bookmarkStart w:id="8" w:name="_Toc28359003"/>
      <w:bookmarkStart w:id="9" w:name="_Toc28359080"/>
      <w:bookmarkStart w:id="10" w:name="_Toc35393622"/>
      <w:r>
        <w:rPr>
          <w:rFonts w:hint="eastAsia" w:ascii="宋体" w:hAnsi="宋体" w:eastAsia="宋体" w:cs="宋体"/>
          <w:sz w:val="24"/>
          <w:szCs w:val="24"/>
        </w:rPr>
        <w:t>二、申请人的资格要求（须同时满足）</w:t>
      </w:r>
      <w:bookmarkEnd w:id="7"/>
      <w:bookmarkEnd w:id="8"/>
      <w:bookmarkEnd w:id="9"/>
      <w:bookmarkEnd w:id="10"/>
    </w:p>
    <w:p>
      <w:pPr>
        <w:pStyle w:val="22"/>
        <w:rPr>
          <w:rFonts w:cs="宋体"/>
        </w:rPr>
      </w:pPr>
      <w:bookmarkStart w:id="11" w:name="_Toc28359004"/>
      <w:bookmarkStart w:id="12" w:name="_Toc28359081"/>
      <w:r>
        <w:rPr>
          <w:rFonts w:hint="eastAsia" w:cs="宋体"/>
        </w:rPr>
        <w:t xml:space="preserve">1.满足《中华人民共和国政府采购法》第二十二条规定； </w:t>
      </w:r>
    </w:p>
    <w:p>
      <w:pPr>
        <w:pStyle w:val="22"/>
        <w:rPr>
          <w:rFonts w:cs="宋体"/>
        </w:rPr>
      </w:pPr>
      <w:r>
        <w:rPr>
          <w:rFonts w:hint="eastAsia" w:cs="宋体"/>
        </w:rPr>
        <w:t>2.落实政府采购政策需满足的资格要求：</w:t>
      </w:r>
    </w:p>
    <w:p>
      <w:pPr>
        <w:pStyle w:val="22"/>
        <w:rPr>
          <w:rFonts w:cs="宋体"/>
        </w:rPr>
      </w:pPr>
      <w:r>
        <w:rPr>
          <w:rFonts w:hint="eastAsia" w:cs="宋体"/>
        </w:rPr>
        <w:t>2.1  中小企业政策</w:t>
      </w:r>
    </w:p>
    <w:p>
      <w:pPr>
        <w:pStyle w:val="22"/>
        <w:rPr>
          <w:rFonts w:cs="宋体"/>
        </w:rPr>
      </w:pPr>
      <w:bookmarkStart w:id="13" w:name="OLE_LINK4"/>
      <w:bookmarkStart w:id="14" w:name="OLE_LINK5"/>
      <w:r>
        <w:rPr>
          <w:rFonts w:hint="eastAsia" w:cs="宋体"/>
        </w:rPr>
        <w:t>□</w:t>
      </w:r>
      <w:bookmarkEnd w:id="13"/>
      <w:bookmarkEnd w:id="14"/>
      <w:r>
        <w:rPr>
          <w:rFonts w:hint="eastAsia" w:cs="宋体"/>
        </w:rPr>
        <w:t>本项目不专门面向中小企业预留采购份额。</w:t>
      </w:r>
    </w:p>
    <w:p>
      <w:pPr>
        <w:pStyle w:val="22"/>
        <w:rPr>
          <w:rFonts w:cs="宋体"/>
        </w:rPr>
      </w:pPr>
      <w:r>
        <w:rPr>
          <w:rFonts w:hint="eastAsia" w:cs="宋体"/>
        </w:rPr>
        <w:t>■本项目专门面向   ■中小  □小微企业  采购。即：提供的货物全部由符合政</w:t>
      </w:r>
    </w:p>
    <w:p>
      <w:pPr>
        <w:pStyle w:val="22"/>
        <w:rPr>
          <w:rFonts w:cs="宋体"/>
        </w:rPr>
      </w:pPr>
      <w:r>
        <w:rPr>
          <w:rFonts w:hint="eastAsia" w:cs="宋体"/>
        </w:rPr>
        <w:t>策要求的小微企业制造、服务全部由符合政策要求的小微企业承接。</w:t>
      </w:r>
    </w:p>
    <w:p>
      <w:pPr>
        <w:pStyle w:val="22"/>
        <w:rPr>
          <w:rFonts w:cs="宋体"/>
        </w:rPr>
      </w:pPr>
      <w:r>
        <w:rPr>
          <w:rFonts w:hint="eastAsia" w:cs="宋体"/>
        </w:rPr>
        <w:t>□本项目预留部分采购项目预算专门面向中小企业采购。对于预留份额，提供的货</w:t>
      </w:r>
    </w:p>
    <w:p>
      <w:pPr>
        <w:pStyle w:val="22"/>
        <w:rPr>
          <w:rFonts w:cs="宋体"/>
        </w:rPr>
      </w:pPr>
      <w:r>
        <w:rPr>
          <w:rFonts w:hint="eastAsia" w:cs="宋体"/>
        </w:rPr>
        <w:t>物由符合政策要求的中小企业制造、服务由符合政策要求的中小企业承接。预留份</w:t>
      </w:r>
    </w:p>
    <w:p>
      <w:pPr>
        <w:pStyle w:val="22"/>
        <w:rPr>
          <w:rFonts w:cs="宋体"/>
        </w:rPr>
      </w:pPr>
      <w:r>
        <w:rPr>
          <w:rFonts w:hint="eastAsia" w:cs="宋体"/>
        </w:rPr>
        <w:t>额通过以下措施进行：</w:t>
      </w:r>
      <w:r>
        <w:rPr>
          <w:rFonts w:hint="eastAsia" w:cs="宋体"/>
          <w:u w:val="single"/>
        </w:rPr>
        <w:t>/</w:t>
      </w:r>
      <w:r>
        <w:rPr>
          <w:rFonts w:hint="eastAsia" w:cs="宋体"/>
        </w:rPr>
        <w:t>。</w:t>
      </w:r>
    </w:p>
    <w:p>
      <w:pPr>
        <w:pStyle w:val="22"/>
        <w:rPr>
          <w:rFonts w:cs="宋体"/>
        </w:rPr>
      </w:pPr>
      <w:r>
        <w:rPr>
          <w:rFonts w:hint="eastAsia" w:cs="宋体"/>
        </w:rPr>
        <w:t>2.2 其它落实政府采购政策的资格要求（如有）：</w:t>
      </w:r>
    </w:p>
    <w:p>
      <w:pPr>
        <w:pStyle w:val="22"/>
        <w:rPr>
          <w:rFonts w:cs="宋体"/>
        </w:rPr>
      </w:pPr>
      <w:r>
        <w:rPr>
          <w:rFonts w:hint="eastAsia" w:cs="宋体"/>
        </w:rPr>
        <w:t>2.2.1单位负责人为同一人或者存在直接控股、管理关系的不同供应商，不得参加同一合同项下的政府采购活动；</w:t>
      </w:r>
    </w:p>
    <w:p>
      <w:pPr>
        <w:pStyle w:val="22"/>
        <w:rPr>
          <w:rFonts w:cs="宋体"/>
        </w:rPr>
      </w:pPr>
      <w:r>
        <w:rPr>
          <w:rFonts w:hint="eastAsia" w:cs="宋体"/>
        </w:rPr>
        <w:t>2.2.2供应商不能被列入“信用中国”网站（</w:t>
      </w:r>
      <w:r>
        <w:fldChar w:fldCharType="begin"/>
      </w:r>
      <w:r>
        <w:instrText xml:space="preserve"> HYPERLINK "http://www.creditchina.gov.cn" </w:instrText>
      </w:r>
      <w:r>
        <w:fldChar w:fldCharType="separate"/>
      </w:r>
      <w:r>
        <w:rPr>
          <w:rStyle w:val="60"/>
          <w:rFonts w:hint="eastAsia" w:cs="宋体"/>
          <w:spacing w:val="2"/>
        </w:rPr>
        <w:t>www.creditchina.gov.cn</w:t>
      </w:r>
      <w:r>
        <w:rPr>
          <w:rStyle w:val="60"/>
          <w:rFonts w:hint="eastAsia" w:cs="宋体"/>
          <w:spacing w:val="2"/>
        </w:rPr>
        <w:fldChar w:fldCharType="end"/>
      </w:r>
      <w:r>
        <w:rPr>
          <w:rFonts w:hint="eastAsia" w:cs="宋体"/>
        </w:rPr>
        <w:t>）失信被</w:t>
      </w:r>
    </w:p>
    <w:p>
      <w:pPr>
        <w:pStyle w:val="22"/>
        <w:rPr>
          <w:rFonts w:cs="宋体"/>
        </w:rPr>
      </w:pPr>
      <w:r>
        <w:rPr>
          <w:rFonts w:hint="eastAsia" w:cs="宋体"/>
        </w:rPr>
        <w:t>执行人、重大税收违法案件当事人名单”和中国政府采购网（</w:t>
      </w:r>
      <w:r>
        <w:fldChar w:fldCharType="begin"/>
      </w:r>
      <w:r>
        <w:instrText xml:space="preserve"> HYPERLINK "http://www.ccgp.gov.cn" </w:instrText>
      </w:r>
      <w:r>
        <w:fldChar w:fldCharType="separate"/>
      </w:r>
      <w:r>
        <w:rPr>
          <w:rStyle w:val="60"/>
          <w:rFonts w:hint="eastAsia" w:cs="宋体"/>
          <w:spacing w:val="2"/>
        </w:rPr>
        <w:t>www.ccgp.gov.cn</w:t>
      </w:r>
      <w:r>
        <w:rPr>
          <w:rStyle w:val="60"/>
          <w:rFonts w:hint="eastAsia" w:cs="宋体"/>
          <w:spacing w:val="2"/>
        </w:rPr>
        <w:fldChar w:fldCharType="end"/>
      </w:r>
      <w:r>
        <w:rPr>
          <w:rFonts w:hint="eastAsia" w:cs="宋体"/>
        </w:rPr>
        <w:t>）政府采购严重违法失信行为记录名单。否则其投标将被拒绝。</w:t>
      </w:r>
    </w:p>
    <w:p>
      <w:pPr>
        <w:pStyle w:val="22"/>
        <w:rPr>
          <w:rFonts w:cs="宋体"/>
        </w:rPr>
      </w:pPr>
      <w:r>
        <w:rPr>
          <w:rFonts w:hint="eastAsia" w:cs="宋体"/>
        </w:rPr>
        <w:t>3.本项目的特定资格要求：</w:t>
      </w:r>
    </w:p>
    <w:p>
      <w:pPr>
        <w:pStyle w:val="22"/>
        <w:rPr>
          <w:rFonts w:cs="宋体"/>
          <w:spacing w:val="-4"/>
        </w:rPr>
      </w:pPr>
      <w:r>
        <w:rPr>
          <w:rFonts w:hint="eastAsia" w:cs="宋体"/>
        </w:rPr>
        <w:t>3.1 本项目是否属于政府购买服务：</w:t>
      </w:r>
    </w:p>
    <w:p>
      <w:pPr>
        <w:pStyle w:val="22"/>
        <w:rPr>
          <w:rFonts w:cs="宋体"/>
          <w:spacing w:val="-4"/>
        </w:rPr>
      </w:pPr>
      <w:r>
        <w:rPr>
          <w:rFonts w:hint="eastAsia" w:cs="宋体"/>
        </w:rPr>
        <w:t>□</w:t>
      </w:r>
      <w:r>
        <w:rPr>
          <w:rFonts w:hint="eastAsia" w:cs="宋体"/>
          <w:spacing w:val="30"/>
        </w:rPr>
        <w:t>否</w:t>
      </w:r>
    </w:p>
    <w:p>
      <w:pPr>
        <w:pStyle w:val="22"/>
        <w:rPr>
          <w:rFonts w:cs="宋体"/>
          <w:spacing w:val="-1"/>
        </w:rPr>
      </w:pPr>
      <w:r>
        <w:rPr>
          <w:rFonts w:hint="eastAsia" w:cs="宋体"/>
        </w:rPr>
        <w:t>■是，公益一类事业单位、使用事业编制且由财政拨款保障</w:t>
      </w:r>
      <w:r>
        <w:rPr>
          <w:rFonts w:hint="eastAsia" w:cs="宋体"/>
          <w:spacing w:val="-1"/>
        </w:rPr>
        <w:t>的群团组织，不得作为</w:t>
      </w:r>
    </w:p>
    <w:p>
      <w:pPr>
        <w:pStyle w:val="22"/>
        <w:rPr>
          <w:rFonts w:cs="宋体"/>
        </w:rPr>
      </w:pPr>
      <w:r>
        <w:rPr>
          <w:rFonts w:hint="eastAsia" w:cs="宋体"/>
        </w:rPr>
        <w:t>承接主体；</w:t>
      </w:r>
    </w:p>
    <w:p>
      <w:pPr>
        <w:pStyle w:val="22"/>
        <w:rPr>
          <w:rFonts w:cs="宋体"/>
        </w:rPr>
      </w:pPr>
      <w:r>
        <w:rPr>
          <w:rFonts w:hint="eastAsia" w:cs="宋体"/>
        </w:rPr>
        <w:t>3.2本项目共分为2个包，采用兼投不兼中原则，每家投标人可参加多个包的投标，但最多只能中标一个包，若投标人两包都参与，根据包号顺序推荐，若第一包中标则第二包可以参与评审但失去推荐资格。</w:t>
      </w:r>
    </w:p>
    <w:p>
      <w:pPr>
        <w:pStyle w:val="22"/>
        <w:rPr>
          <w:rFonts w:cs="宋体"/>
        </w:rPr>
      </w:pPr>
      <w:r>
        <w:rPr>
          <w:rFonts w:hint="eastAsia" w:cs="宋体"/>
        </w:rPr>
        <w:t>3.3投标人参加投标时，各包报价均不能超过各包对应的预算/控制价金额，否则按照无效投标处理。</w:t>
      </w:r>
    </w:p>
    <w:p>
      <w:pPr>
        <w:spacing w:line="360" w:lineRule="auto"/>
        <w:ind w:firstLine="480" w:firstLineChars="200"/>
        <w:rPr>
          <w:rFonts w:ascii="宋体" w:hAnsi="宋体" w:cs="宋体"/>
          <w:i/>
          <w:iCs/>
          <w:sz w:val="24"/>
          <w:u w:val="single"/>
        </w:rPr>
      </w:pPr>
    </w:p>
    <w:bookmarkEnd w:id="11"/>
    <w:bookmarkEnd w:id="12"/>
    <w:p>
      <w:pPr>
        <w:pStyle w:val="6"/>
        <w:widowControl/>
        <w:spacing w:before="0" w:line="360" w:lineRule="auto"/>
        <w:jc w:val="left"/>
        <w:rPr>
          <w:rFonts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1.时间：2025年09月30日至2025年10月13日，每天上午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3.方式：供应商使用CA 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ascii="宋体" w:hAnsi="宋体" w:cs="宋体"/>
          <w:sz w:val="24"/>
        </w:rPr>
      </w:pPr>
    </w:p>
    <w:p>
      <w:pPr>
        <w:pStyle w:val="6"/>
        <w:widowControl/>
        <w:spacing w:before="0" w:line="360" w:lineRule="auto"/>
        <w:jc w:val="left"/>
        <w:rPr>
          <w:rFonts w:ascii="宋体" w:hAnsi="宋体" w:eastAsia="宋体" w:cs="宋体"/>
          <w:sz w:val="24"/>
          <w:szCs w:val="24"/>
        </w:rPr>
      </w:pPr>
      <w:bookmarkStart w:id="17" w:name="_Toc28359082"/>
      <w:bookmarkStart w:id="18" w:name="_Toc28359005"/>
      <w:bookmarkStart w:id="19" w:name="_Toc35393624"/>
      <w:bookmarkStart w:id="20" w:name="_Toc35393793"/>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投标截止时间、开标时间：2025年10月20日</w:t>
      </w:r>
      <w:r>
        <w:rPr>
          <w:rFonts w:hint="eastAsia" w:ascii="宋体" w:hAnsi="宋体" w:cs="宋体"/>
          <w:sz w:val="24"/>
          <w:u w:val="single"/>
          <w:lang w:bidi="ar"/>
        </w:rPr>
        <w:t>9</w:t>
      </w:r>
      <w:r>
        <w:rPr>
          <w:rFonts w:hint="eastAsia" w:ascii="宋体" w:hAnsi="宋体" w:cs="宋体"/>
          <w:sz w:val="24"/>
          <w:lang w:bidi="ar"/>
        </w:rPr>
        <w:t>点</w:t>
      </w:r>
      <w:r>
        <w:rPr>
          <w:rFonts w:hint="eastAsia"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pacing w:val="1"/>
          <w:sz w:val="24"/>
          <w:u w:val="single"/>
        </w:rPr>
        <w:t>北京市京发招标有限公司308会议室</w:t>
      </w:r>
      <w:r>
        <w:rPr>
          <w:rFonts w:hint="eastAsia" w:ascii="宋体" w:hAnsi="宋体" w:cs="宋体"/>
          <w:sz w:val="24"/>
          <w:lang w:val="zh-TW" w:bidi="ar"/>
        </w:rPr>
        <w:t>。</w:t>
      </w:r>
    </w:p>
    <w:p>
      <w:pPr>
        <w:spacing w:line="360" w:lineRule="auto"/>
        <w:ind w:firstLine="480" w:firstLineChars="200"/>
        <w:rPr>
          <w:rFonts w:ascii="宋体" w:hAnsi="宋体" w:cs="宋体"/>
          <w:bCs/>
          <w:sz w:val="24"/>
          <w:u w:val="single"/>
        </w:rPr>
      </w:pPr>
    </w:p>
    <w:p>
      <w:pPr>
        <w:pStyle w:val="6"/>
        <w:spacing w:before="0" w:line="360" w:lineRule="auto"/>
        <w:jc w:val="left"/>
        <w:rPr>
          <w:rFonts w:ascii="宋体" w:hAnsi="宋体" w:eastAsia="宋体" w:cs="宋体"/>
          <w:sz w:val="24"/>
          <w:szCs w:val="24"/>
        </w:rPr>
      </w:pPr>
      <w:bookmarkStart w:id="21" w:name="_Toc28359084"/>
      <w:bookmarkStart w:id="22" w:name="_Toc28359007"/>
      <w:bookmarkStart w:id="23" w:name="_Toc35393794"/>
      <w:bookmarkStart w:id="24" w:name="_Toc35393625"/>
      <w:r>
        <w:rPr>
          <w:rFonts w:hint="eastAsia" w:ascii="宋体" w:hAnsi="宋体" w:eastAsia="宋体" w:cs="宋体"/>
          <w:sz w:val="24"/>
          <w:szCs w:val="24"/>
        </w:rPr>
        <w:t>五、公告期限</w:t>
      </w:r>
      <w:bookmarkEnd w:id="21"/>
      <w:bookmarkEnd w:id="22"/>
      <w:bookmarkEnd w:id="23"/>
      <w:bookmarkEnd w:id="24"/>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ascii="宋体" w:hAnsi="宋体" w:cs="宋体"/>
          <w:kern w:val="0"/>
          <w:sz w:val="24"/>
        </w:rPr>
      </w:pPr>
    </w:p>
    <w:p>
      <w:pPr>
        <w:pStyle w:val="6"/>
        <w:spacing w:before="0" w:line="360" w:lineRule="auto"/>
        <w:jc w:val="left"/>
        <w:rPr>
          <w:rFonts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ascii="宋体" w:hAnsi="宋体" w:cs="宋体"/>
          <w:sz w:val="24"/>
          <w:lang w:bidi="ar"/>
        </w:rPr>
      </w:pPr>
      <w:r>
        <w:rPr>
          <w:rFonts w:hint="eastAsia" w:ascii="宋体" w:hAnsi="宋体" w:cs="宋体"/>
          <w:sz w:val="24"/>
          <w:lang w:bidi="ar"/>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ascii="宋体" w:hAnsi="宋体" w:cs="宋体"/>
          <w:sz w:val="24"/>
        </w:rPr>
      </w:pPr>
    </w:p>
    <w:p>
      <w:pPr>
        <w:pStyle w:val="6"/>
        <w:spacing w:before="0" w:line="360" w:lineRule="auto"/>
        <w:jc w:val="left"/>
        <w:rPr>
          <w:rFonts w:ascii="宋体" w:hAnsi="宋体" w:eastAsia="宋体" w:cs="宋体"/>
          <w:sz w:val="24"/>
          <w:szCs w:val="24"/>
        </w:rPr>
      </w:pPr>
      <w:bookmarkStart w:id="27" w:name="_Toc35393796"/>
      <w:bookmarkStart w:id="28" w:name="_Toc28359008"/>
      <w:bookmarkStart w:id="29" w:name="_Toc35393627"/>
      <w:bookmarkStart w:id="30" w:name="_Toc28359085"/>
      <w:r>
        <w:rPr>
          <w:rFonts w:hint="eastAsia" w:ascii="宋体" w:hAnsi="宋体" w:eastAsia="宋体" w:cs="宋体"/>
          <w:sz w:val="24"/>
          <w:szCs w:val="24"/>
        </w:rPr>
        <w:t>七、对本次招标提出询问，请按以下方式联系。</w:t>
      </w:r>
      <w:bookmarkEnd w:id="27"/>
      <w:bookmarkEnd w:id="28"/>
      <w:bookmarkEnd w:id="29"/>
      <w:bookmarkEnd w:id="30"/>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ascii="宋体" w:hAnsi="宋体" w:cs="宋体"/>
          <w:sz w:val="24"/>
          <w:u w:val="single"/>
        </w:rPr>
      </w:pPr>
      <w:bookmarkStart w:id="31" w:name="_Toc28359009"/>
      <w:bookmarkStart w:id="32" w:name="_Toc28359086"/>
      <w:r>
        <w:rPr>
          <w:rFonts w:hint="eastAsia" w:ascii="宋体" w:hAnsi="宋体" w:cs="宋体"/>
          <w:sz w:val="24"/>
        </w:rPr>
        <w:t>名    称：</w:t>
      </w:r>
      <w:r>
        <w:rPr>
          <w:rFonts w:hint="eastAsia" w:ascii="宋体" w:hAnsi="宋体" w:cs="宋体"/>
          <w:color w:val="000000"/>
          <w:sz w:val="24"/>
          <w:u w:val="single"/>
        </w:rPr>
        <w:t>北京市城市管理委员会</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北京市西城区西单北大街80号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杨老师，010-66058207</w:t>
      </w:r>
    </w:p>
    <w:p>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1"/>
      <w:bookmarkEnd w:id="32"/>
    </w:p>
    <w:p>
      <w:pPr>
        <w:spacing w:line="360" w:lineRule="auto"/>
        <w:ind w:left="1079" w:leftChars="371" w:hanging="300" w:hangingChars="125"/>
        <w:jc w:val="left"/>
        <w:rPr>
          <w:rFonts w:ascii="宋体" w:hAnsi="宋体" w:cs="宋体"/>
          <w:sz w:val="24"/>
          <w:u w:val="single"/>
        </w:rPr>
      </w:pPr>
      <w:bookmarkStart w:id="33" w:name="_Toc28359087"/>
      <w:bookmarkStart w:id="34" w:name="_Toc28359010"/>
      <w:r>
        <w:rPr>
          <w:rFonts w:hint="eastAsia" w:ascii="宋体" w:hAnsi="宋体" w:cs="宋体"/>
          <w:sz w:val="24"/>
        </w:rPr>
        <w:t>名    称：</w:t>
      </w:r>
      <w:r>
        <w:rPr>
          <w:rFonts w:hint="eastAsia" w:ascii="宋体" w:hAnsi="宋体" w:cs="宋体"/>
          <w:color w:val="000000"/>
          <w:sz w:val="24"/>
          <w:u w:val="single"/>
        </w:rPr>
        <w:t>北京市京发招标有限公司</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color w:val="000000"/>
          <w:sz w:val="24"/>
          <w:u w:val="single"/>
        </w:rPr>
        <w:t>北京市东城区崇文门外大街90号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张超、李丁、马若莎010-67169727</w:t>
      </w:r>
    </w:p>
    <w:p>
      <w:pPr>
        <w:spacing w:line="360" w:lineRule="auto"/>
        <w:ind w:firstLine="723" w:firstLineChars="300"/>
        <w:rPr>
          <w:rFonts w:ascii="宋体" w:hAnsi="宋体" w:cs="宋体"/>
          <w:b/>
          <w:sz w:val="24"/>
          <w:u w:val="single"/>
        </w:rPr>
      </w:pPr>
      <w:r>
        <w:rPr>
          <w:rFonts w:hint="eastAsia" w:ascii="宋体" w:hAnsi="宋体" w:cs="宋体"/>
          <w:b/>
          <w:sz w:val="24"/>
        </w:rPr>
        <w:t>3.项目联系方式</w:t>
      </w:r>
      <w:bookmarkEnd w:id="33"/>
      <w:bookmarkEnd w:id="34"/>
    </w:p>
    <w:p>
      <w:pPr>
        <w:pStyle w:val="28"/>
        <w:spacing w:line="360" w:lineRule="auto"/>
        <w:ind w:firstLine="720" w:firstLineChars="300"/>
        <w:rPr>
          <w:rFonts w:hint="default" w:hAnsi="宋体" w:cs="宋体"/>
          <w:sz w:val="24"/>
          <w:szCs w:val="24"/>
          <w:u w:val="single"/>
        </w:rPr>
      </w:pPr>
      <w:r>
        <w:rPr>
          <w:rFonts w:hAnsi="宋体" w:cs="宋体"/>
          <w:sz w:val="24"/>
          <w:szCs w:val="24"/>
        </w:rPr>
        <w:t>项目联系人：</w:t>
      </w:r>
      <w:r>
        <w:rPr>
          <w:rFonts w:hAnsi="宋体" w:cs="宋体"/>
          <w:color w:val="000000"/>
          <w:sz w:val="24"/>
          <w:u w:val="single"/>
        </w:rPr>
        <w:t>张超、李丁、马若莎</w:t>
      </w:r>
    </w:p>
    <w:p>
      <w:pPr>
        <w:pStyle w:val="28"/>
        <w:spacing w:line="360" w:lineRule="auto"/>
        <w:ind w:firstLine="720" w:firstLineChars="300"/>
        <w:rPr>
          <w:rFonts w:hint="default" w:hAnsi="宋体" w:cs="宋体"/>
          <w:sz w:val="24"/>
          <w:szCs w:val="24"/>
          <w:u w:val="single"/>
        </w:rPr>
      </w:pPr>
      <w:r>
        <w:rPr>
          <w:rFonts w:hAnsi="宋体" w:cs="宋体"/>
          <w:sz w:val="24"/>
        </w:rPr>
        <w:t>电      话：</w:t>
      </w:r>
      <w:r>
        <w:rPr>
          <w:rFonts w:hAnsi="宋体" w:cs="宋体"/>
          <w:color w:val="000000"/>
          <w:sz w:val="24"/>
          <w:u w:val="single"/>
        </w:rPr>
        <w:t>010-</w:t>
      </w:r>
      <w:r>
        <w:rPr>
          <w:rFonts w:hAnsi="宋体" w:cs="宋体"/>
          <w:color w:val="000000"/>
          <w:sz w:val="24"/>
          <w:szCs w:val="24"/>
          <w:u w:val="single"/>
        </w:rPr>
        <w:t>67169727</w:t>
      </w:r>
    </w:p>
    <w:p>
      <w:pPr>
        <w:spacing w:line="360" w:lineRule="auto"/>
        <w:ind w:firstLine="4320" w:firstLineChars="1800"/>
        <w:rPr>
          <w:rFonts w:ascii="宋体" w:hAnsi="宋体" w:cs="宋体"/>
          <w:sz w:val="24"/>
        </w:rPr>
      </w:pPr>
      <w:r>
        <w:rPr>
          <w:rFonts w:hint="eastAsia" w:ascii="宋体" w:hAnsi="宋体" w:cs="宋体"/>
          <w:sz w:val="24"/>
        </w:rPr>
        <w:t>发布时间：【2025】年【09】月【</w:t>
      </w:r>
      <w:r>
        <w:rPr>
          <w:rFonts w:hint="eastAsia" w:ascii="宋体" w:hAnsi="宋体" w:cs="宋体"/>
          <w:sz w:val="24"/>
          <w:lang w:val="en-US" w:eastAsia="zh-CN"/>
        </w:rPr>
        <w:t>29</w:t>
      </w:r>
      <w:r>
        <w:rPr>
          <w:rFonts w:hint="eastAsia" w:ascii="宋体" w:hAnsi="宋体" w:cs="宋体"/>
          <w:sz w:val="24"/>
        </w:rPr>
        <w:t>】日</w:t>
      </w:r>
    </w:p>
    <w:p>
      <w:pPr>
        <w:spacing w:line="360" w:lineRule="auto"/>
        <w:jc w:val="center"/>
        <w:outlineLvl w:val="0"/>
        <w:rPr>
          <w:rFonts w:ascii="宋体" w:hAnsi="宋体" w:cs="宋体"/>
          <w:b/>
          <w:sz w:val="32"/>
          <w:szCs w:val="32"/>
        </w:rPr>
      </w:pPr>
      <w:r>
        <w:rPr>
          <w:rFonts w:hint="eastAsia" w:ascii="宋体" w:hAnsi="宋体" w:cs="宋体"/>
          <w:sz w:val="24"/>
        </w:rPr>
        <w:br w:type="page"/>
      </w:r>
      <w:bookmarkStart w:id="35" w:name="_Toc305158928"/>
      <w:bookmarkStart w:id="36" w:name="_Toc127161488"/>
      <w:bookmarkStart w:id="37" w:name="_Toc226965856"/>
      <w:bookmarkStart w:id="38" w:name="_Toc150774783"/>
      <w:bookmarkStart w:id="39" w:name="_Toc264969275"/>
      <w:bookmarkStart w:id="40" w:name="_Toc512937850"/>
      <w:bookmarkStart w:id="41" w:name="_Toc305158854"/>
      <w:bookmarkStart w:id="42" w:name="_Toc353825548"/>
      <w:bookmarkStart w:id="43" w:name="_Toc353873938"/>
      <w:bookmarkStart w:id="44" w:name="_Toc265228423"/>
      <w:bookmarkStart w:id="45" w:name="_Toc127151777"/>
      <w:bookmarkStart w:id="46" w:name="_Toc99301420"/>
      <w:bookmarkStart w:id="47" w:name="_Toc195842950"/>
      <w:r>
        <w:rPr>
          <w:rFonts w:hint="eastAsia" w:ascii="宋体" w:hAnsi="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6"/>
        <w:tabs>
          <w:tab w:val="center" w:pos="4592"/>
          <w:tab w:val="left" w:pos="7860"/>
        </w:tabs>
        <w:spacing w:before="0" w:line="360" w:lineRule="auto"/>
        <w:rPr>
          <w:rFonts w:ascii="宋体" w:hAnsi="宋体" w:eastAsia="宋体" w:cs="宋体"/>
          <w:sz w:val="28"/>
        </w:rPr>
      </w:pPr>
      <w:bookmarkStart w:id="48" w:name="_Toc164608788"/>
      <w:bookmarkStart w:id="49" w:name="_Toc226337215"/>
      <w:bookmarkStart w:id="50" w:name="_Toc150480757"/>
      <w:bookmarkStart w:id="51" w:name="_Toc150774724"/>
      <w:bookmarkStart w:id="52" w:name="_Toc151193617"/>
      <w:bookmarkStart w:id="53" w:name="_Toc164351613"/>
      <w:bookmarkStart w:id="54" w:name="_Toc164608633"/>
      <w:bookmarkStart w:id="55" w:name="_Toc150509270"/>
      <w:bookmarkStart w:id="56" w:name="_Toc127151720"/>
      <w:bookmarkStart w:id="57" w:name="_Toc127161433"/>
      <w:bookmarkStart w:id="58" w:name="_Toc151190146"/>
      <w:bookmarkStart w:id="59" w:name="_Toc520356144"/>
      <w:bookmarkStart w:id="60" w:name="_Toc151193689"/>
      <w:bookmarkStart w:id="61" w:name="_Toc226965709"/>
      <w:bookmarkStart w:id="62" w:name="_Toc151193907"/>
      <w:bookmarkStart w:id="63" w:name="_Toc142311021"/>
      <w:bookmarkStart w:id="64" w:name="_Toc226309763"/>
      <w:bookmarkStart w:id="65" w:name="_Toc164229214"/>
      <w:bookmarkStart w:id="66" w:name="_Toc164229360"/>
      <w:bookmarkStart w:id="67" w:name="_Toc226965792"/>
      <w:bookmarkStart w:id="68" w:name="_Toc149720812"/>
      <w:bookmarkStart w:id="69" w:name="_Toc151193833"/>
      <w:bookmarkStart w:id="70" w:name="_Toc127151519"/>
      <w:bookmarkStart w:id="71" w:name="_Toc195842884"/>
      <w:bookmarkStart w:id="72" w:name="_Toc151193761"/>
      <w:bookmarkStart w:id="73" w:name="_Toc150774619"/>
      <w:r>
        <w:rPr>
          <w:rFonts w:hint="eastAsia" w:ascii="宋体" w:hAnsi="宋体" w:eastAsia="宋体" w:cs="宋体"/>
          <w:sz w:val="28"/>
        </w:rPr>
        <w:t>投标人须知资料表</w:t>
      </w:r>
    </w:p>
    <w:p>
      <w:pPr>
        <w:jc w:val="center"/>
        <w:rPr>
          <w:rFonts w:ascii="宋体" w:hAnsi="宋体" w:cs="宋体"/>
          <w:b/>
          <w:sz w:val="28"/>
          <w:szCs w:val="28"/>
        </w:rPr>
      </w:pPr>
    </w:p>
    <w:p>
      <w:pPr>
        <w:spacing w:line="360" w:lineRule="auto"/>
        <w:ind w:firstLine="480"/>
        <w:rPr>
          <w:rFonts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2"/>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tcPr>
          <w:p>
            <w:pPr>
              <w:autoSpaceDE w:val="0"/>
              <w:autoSpaceDN w:val="0"/>
              <w:spacing w:before="167" w:line="200" w:lineRule="auto"/>
              <w:ind w:left="138"/>
              <w:rPr>
                <w:rFonts w:ascii="宋体" w:hAnsi="宋体" w:cs="宋体"/>
                <w:sz w:val="24"/>
              </w:rPr>
            </w:pPr>
            <w:r>
              <w:rPr>
                <w:rFonts w:hint="eastAsia" w:ascii="宋体" w:hAnsi="宋体" w:cs="宋体"/>
                <w:b/>
                <w:bCs/>
                <w:spacing w:val="-2"/>
                <w:sz w:val="24"/>
              </w:rPr>
              <w:t>条款号</w:t>
            </w:r>
          </w:p>
        </w:tc>
        <w:tc>
          <w:tcPr>
            <w:tcW w:w="1700" w:type="dxa"/>
          </w:tcPr>
          <w:p>
            <w:pPr>
              <w:autoSpaceDE w:val="0"/>
              <w:autoSpaceDN w:val="0"/>
              <w:spacing w:before="166" w:line="202" w:lineRule="auto"/>
              <w:ind w:left="610"/>
              <w:rPr>
                <w:rFonts w:ascii="宋体" w:hAnsi="宋体" w:cs="宋体"/>
                <w:sz w:val="24"/>
              </w:rPr>
            </w:pPr>
            <w:r>
              <w:rPr>
                <w:rFonts w:hint="eastAsia" w:ascii="宋体" w:hAnsi="宋体" w:cs="宋体"/>
                <w:b/>
                <w:bCs/>
                <w:spacing w:val="-3"/>
                <w:sz w:val="24"/>
              </w:rPr>
              <w:t>条目</w:t>
            </w:r>
          </w:p>
        </w:tc>
        <w:tc>
          <w:tcPr>
            <w:tcW w:w="6381" w:type="dxa"/>
          </w:tcPr>
          <w:p>
            <w:pPr>
              <w:autoSpaceDE w:val="0"/>
              <w:autoSpaceDN w:val="0"/>
              <w:spacing w:before="166" w:line="201" w:lineRule="auto"/>
              <w:ind w:left="3557"/>
              <w:rPr>
                <w:rFonts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项目属性</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ascii="宋体" w:hAnsi="宋体" w:cs="宋体"/>
                <w:spacing w:val="-2"/>
                <w:sz w:val="24"/>
              </w:rPr>
            </w:pPr>
            <w:r>
              <w:rPr>
                <w:rFonts w:hint="eastAsia" w:ascii="宋体" w:hAnsi="宋体" w:cs="宋体"/>
                <w:spacing w:val="-2"/>
                <w:sz w:val="24"/>
              </w:rPr>
              <w:t>■服务</w:t>
            </w:r>
          </w:p>
          <w:p>
            <w:pPr>
              <w:autoSpaceDE w:val="0"/>
              <w:autoSpaceDN w:val="0"/>
              <w:spacing w:before="103"/>
              <w:ind w:left="2"/>
              <w:rPr>
                <w:rFonts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科研仪器设备</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ascii="宋体" w:hAnsi="宋体" w:cs="宋体"/>
                <w:spacing w:val="-2"/>
                <w:sz w:val="24"/>
              </w:rPr>
            </w:pPr>
            <w:r>
              <w:rPr>
                <w:rFonts w:hint="eastAsia" w:ascii="宋体" w:hAnsi="宋体" w:cs="宋体"/>
                <w:spacing w:val="-2"/>
                <w:sz w:val="24"/>
              </w:rPr>
              <w:t>□是</w:t>
            </w:r>
          </w:p>
          <w:p>
            <w:pPr>
              <w:autoSpaceDE w:val="0"/>
              <w:autoSpaceDN w:val="0"/>
              <w:spacing w:before="103"/>
              <w:ind w:left="2"/>
              <w:rPr>
                <w:rFonts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2.4</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核心产品</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ascii="宋体" w:hAnsi="宋体" w:cs="宋体"/>
                <w:sz w:val="24"/>
              </w:rPr>
            </w:pPr>
            <w:bookmarkStart w:id="74" w:name="OLE_LINK10"/>
            <w:bookmarkStart w:id="75" w:name="OLE_LINK9"/>
            <w:r>
              <w:rPr>
                <w:rFonts w:hint="eastAsia" w:ascii="宋体" w:hAnsi="宋体" w:cs="宋体"/>
                <w:sz w:val="24"/>
              </w:rPr>
              <w:t>□</w:t>
            </w:r>
            <w:bookmarkEnd w:id="74"/>
            <w:bookmarkEnd w:id="75"/>
            <w:r>
              <w:rPr>
                <w:rFonts w:hint="eastAsia" w:ascii="宋体" w:hAnsi="宋体" w:cs="宋体"/>
                <w:sz w:val="24"/>
              </w:rPr>
              <w:t>本项目__包为单一产品采购项目。</w:t>
            </w:r>
          </w:p>
          <w:p>
            <w:pPr>
              <w:autoSpaceDE w:val="0"/>
              <w:autoSpaceDN w:val="0"/>
              <w:spacing w:before="103"/>
              <w:ind w:left="2"/>
              <w:rPr>
                <w:rFonts w:ascii="宋体" w:hAnsi="宋体" w:cs="宋体"/>
                <w:sz w:val="24"/>
              </w:rPr>
            </w:pPr>
            <w:r>
              <w:rPr>
                <w:rFonts w:hint="eastAsia" w:ascii="宋体" w:hAnsi="宋体" w:cs="宋体"/>
                <w:sz w:val="24"/>
              </w:rPr>
              <w:t>□本项目__包为非单一产品采购项目，核心产品为：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现场考察</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vAlign w:val="center"/>
          </w:tcPr>
          <w:p>
            <w:pPr>
              <w:pStyle w:val="273"/>
              <w:ind w:left="1"/>
              <w:jc w:val="center"/>
              <w:rPr>
                <w:rFonts w:ascii="宋体" w:hAnsi="宋体" w:eastAsia="宋体" w:cs="宋体"/>
                <w:sz w:val="22"/>
              </w:rPr>
            </w:pP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开标前答疑会</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ascii="宋体" w:hAnsi="宋体" w:cs="宋体"/>
                <w:sz w:val="24"/>
              </w:rPr>
            </w:pPr>
            <w:r>
              <w:rPr>
                <w:rFonts w:hint="eastAsia" w:ascii="宋体" w:hAnsi="宋体" w:cs="宋体"/>
                <w:sz w:val="24"/>
              </w:rPr>
              <w:t>□召开，召开时间：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3"/>
              <w:spacing w:before="69" w:line="199" w:lineRule="auto"/>
              <w:ind w:left="1"/>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样品</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投标样品递交：</w:t>
            </w:r>
          </w:p>
          <w:p>
            <w:pPr>
              <w:autoSpaceDE w:val="0"/>
              <w:autoSpaceDN w:val="0"/>
              <w:spacing w:before="103"/>
              <w:ind w:left="2"/>
              <w:rPr>
                <w:rFonts w:ascii="宋体" w:hAnsi="宋体" w:cs="宋体"/>
                <w:sz w:val="24"/>
              </w:rPr>
            </w:pPr>
            <w:r>
              <w:rPr>
                <w:rFonts w:hint="eastAsia" w:ascii="宋体" w:hAnsi="宋体" w:cs="宋体"/>
                <w:sz w:val="24"/>
              </w:rPr>
              <w:t>■不需要</w:t>
            </w:r>
          </w:p>
          <w:p>
            <w:pPr>
              <w:autoSpaceDE w:val="0"/>
              <w:autoSpaceDN w:val="0"/>
              <w:spacing w:before="103"/>
              <w:ind w:left="2"/>
              <w:rPr>
                <w:rFonts w:ascii="宋体" w:hAnsi="宋体" w:cs="宋体"/>
                <w:sz w:val="24"/>
              </w:rPr>
            </w:pPr>
            <w:r>
              <w:rPr>
                <w:rFonts w:hint="eastAsia" w:ascii="宋体" w:hAnsi="宋体" w:cs="宋体"/>
                <w:sz w:val="24"/>
              </w:rPr>
              <w:t>□需要，具体要求如下：</w:t>
            </w:r>
          </w:p>
          <w:p>
            <w:pPr>
              <w:autoSpaceDE w:val="0"/>
              <w:autoSpaceDN w:val="0"/>
              <w:spacing w:before="103"/>
              <w:ind w:left="2"/>
              <w:rPr>
                <w:rFonts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ascii="宋体" w:hAnsi="宋体" w:cs="宋体"/>
                <w:sz w:val="24"/>
              </w:rPr>
            </w:pPr>
            <w:r>
              <w:rPr>
                <w:rFonts w:hint="eastAsia" w:ascii="宋体" w:hAnsi="宋体" w:cs="宋体"/>
                <w:sz w:val="24"/>
              </w:rPr>
              <w:t>□需要</w:t>
            </w:r>
          </w:p>
          <w:p>
            <w:pPr>
              <w:autoSpaceDE w:val="0"/>
              <w:autoSpaceDN w:val="0"/>
              <w:spacing w:before="103"/>
              <w:ind w:left="2"/>
              <w:rPr>
                <w:rFonts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73"/>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5.2.5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标的所属行业</w:t>
            </w:r>
          </w:p>
        </w:tc>
        <w:tc>
          <w:tcPr>
            <w:tcW w:w="6381" w:type="dxa"/>
          </w:tcPr>
          <w:p>
            <w:pPr>
              <w:autoSpaceDE w:val="0"/>
              <w:autoSpaceDN w:val="0"/>
              <w:spacing w:before="45"/>
              <w:ind w:left="108"/>
              <w:rPr>
                <w:rFonts w:ascii="宋体" w:hAnsi="宋体" w:cs="宋体"/>
                <w:sz w:val="24"/>
              </w:rPr>
            </w:pPr>
            <w:r>
              <w:rPr>
                <w:rFonts w:hint="eastAsia" w:ascii="宋体" w:hAnsi="宋体" w:cs="宋体"/>
                <w:spacing w:val="-1"/>
                <w:sz w:val="24"/>
              </w:rPr>
              <w:t>本项目采购标的对应的中小企业划分标准所属行业：</w:t>
            </w:r>
          </w:p>
          <w:tbl>
            <w:tblPr>
              <w:tblStyle w:val="52"/>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pPr>
                    <w:autoSpaceDE w:val="0"/>
                    <w:autoSpaceDN w:val="0"/>
                    <w:spacing w:before="98"/>
                    <w:ind w:left="145"/>
                    <w:rPr>
                      <w:rFonts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1</w:t>
                  </w:r>
                </w:p>
              </w:tc>
              <w:tc>
                <w:tcPr>
                  <w:tcW w:w="3236" w:type="dxa"/>
                  <w:vAlign w:val="center"/>
                </w:tcPr>
                <w:p>
                  <w:pPr>
                    <w:jc w:val="center"/>
                    <w:rPr>
                      <w:rFonts w:ascii="宋体" w:hAnsi="宋体" w:cs="宋体"/>
                      <w:color w:val="000000"/>
                      <w:sz w:val="24"/>
                    </w:rPr>
                  </w:pPr>
                  <w:r>
                    <w:rPr>
                      <w:rFonts w:hint="eastAsia" w:ascii="宋体" w:hAnsi="宋体" w:cs="宋体"/>
                      <w:sz w:val="24"/>
                    </w:rPr>
                    <w:t>首都城市环境建设管理社会公众满意度考核评价</w:t>
                  </w:r>
                  <w:r>
                    <w:rPr>
                      <w:rFonts w:hint="eastAsia" w:ascii="宋体" w:hAnsi="宋体" w:cs="宋体"/>
                      <w:color w:val="000000"/>
                      <w:sz w:val="24"/>
                    </w:rPr>
                    <w:t>项目第一包</w:t>
                  </w:r>
                </w:p>
              </w:tc>
              <w:tc>
                <w:tcPr>
                  <w:tcW w:w="2127" w:type="dxa"/>
                  <w:vAlign w:val="center"/>
                </w:tcPr>
                <w:p>
                  <w:pPr>
                    <w:jc w:val="center"/>
                    <w:rPr>
                      <w:rFonts w:ascii="宋体" w:hAnsi="宋体" w:cs="宋体"/>
                      <w:sz w:val="22"/>
                    </w:rPr>
                  </w:pPr>
                  <w:r>
                    <w:rPr>
                      <w:rFonts w:hint="eastAsia" w:ascii="宋体" w:hAnsi="宋体" w:cs="宋体"/>
                      <w:color w:val="000000"/>
                      <w:sz w:val="24"/>
                    </w:rPr>
                    <w:t>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2</w:t>
                  </w:r>
                </w:p>
              </w:tc>
              <w:tc>
                <w:tcPr>
                  <w:tcW w:w="3236" w:type="dxa"/>
                  <w:vAlign w:val="center"/>
                </w:tcPr>
                <w:p>
                  <w:pPr>
                    <w:jc w:val="center"/>
                    <w:rPr>
                      <w:rFonts w:ascii="宋体" w:hAnsi="宋体" w:cs="宋体"/>
                      <w:color w:val="000000"/>
                      <w:sz w:val="24"/>
                    </w:rPr>
                  </w:pPr>
                  <w:r>
                    <w:rPr>
                      <w:rFonts w:hint="eastAsia" w:ascii="宋体" w:hAnsi="宋体" w:cs="宋体"/>
                      <w:sz w:val="24"/>
                    </w:rPr>
                    <w:t>首都城市环境建设管理社会公众满意度考核评价</w:t>
                  </w:r>
                  <w:r>
                    <w:rPr>
                      <w:rFonts w:hint="eastAsia" w:ascii="宋体" w:hAnsi="宋体" w:cs="宋体"/>
                      <w:color w:val="000000"/>
                      <w:sz w:val="24"/>
                    </w:rPr>
                    <w:t>项目第二包</w:t>
                  </w:r>
                </w:p>
              </w:tc>
              <w:tc>
                <w:tcPr>
                  <w:tcW w:w="2127" w:type="dxa"/>
                  <w:vAlign w:val="center"/>
                </w:tcPr>
                <w:p>
                  <w:pPr>
                    <w:jc w:val="center"/>
                    <w:rPr>
                      <w:rFonts w:ascii="宋体" w:hAnsi="宋体" w:cs="宋体"/>
                      <w:spacing w:val="7"/>
                      <w:sz w:val="24"/>
                    </w:rPr>
                  </w:pPr>
                  <w:r>
                    <w:rPr>
                      <w:rFonts w:hint="eastAsia" w:ascii="宋体" w:hAnsi="宋体" w:cs="宋体"/>
                      <w:color w:val="000000"/>
                      <w:sz w:val="24"/>
                    </w:rPr>
                    <w:t>其他未列明行业</w:t>
                  </w:r>
                </w:p>
              </w:tc>
            </w:tr>
          </w:tbl>
          <w:p>
            <w:pPr>
              <w:pStyle w:val="273"/>
              <w:rPr>
                <w:rFonts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11.2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投标报价</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投标保证金</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投标保证金金额：</w:t>
            </w:r>
          </w:p>
          <w:p>
            <w:pPr>
              <w:autoSpaceDE w:val="0"/>
              <w:autoSpaceDN w:val="0"/>
              <w:spacing w:before="103"/>
              <w:ind w:left="2"/>
              <w:rPr>
                <w:rFonts w:ascii="宋体" w:hAnsi="宋体" w:cs="宋体"/>
                <w:sz w:val="24"/>
              </w:rPr>
            </w:pPr>
            <w:r>
              <w:rPr>
                <w:rFonts w:hint="eastAsia" w:ascii="宋体" w:hAnsi="宋体" w:cs="宋体"/>
                <w:sz w:val="24"/>
              </w:rPr>
              <w:t>第一包：人民币20000元；</w:t>
            </w:r>
          </w:p>
          <w:p>
            <w:pPr>
              <w:autoSpaceDE w:val="0"/>
              <w:autoSpaceDN w:val="0"/>
              <w:spacing w:before="103"/>
              <w:ind w:left="2"/>
              <w:rPr>
                <w:rFonts w:ascii="宋体" w:hAnsi="宋体" w:cs="宋体"/>
              </w:rPr>
            </w:pPr>
            <w:r>
              <w:rPr>
                <w:rFonts w:hint="eastAsia" w:ascii="宋体" w:hAnsi="宋体" w:cs="宋体"/>
                <w:sz w:val="24"/>
              </w:rPr>
              <w:t>第二包：人民币20000元；</w:t>
            </w:r>
          </w:p>
          <w:p>
            <w:pPr>
              <w:autoSpaceDE w:val="0"/>
              <w:autoSpaceDN w:val="0"/>
              <w:spacing w:before="103"/>
              <w:ind w:left="2"/>
              <w:rPr>
                <w:rFonts w:ascii="宋体" w:hAnsi="宋体" w:cs="宋体"/>
                <w:sz w:val="24"/>
              </w:rPr>
            </w:pPr>
            <w:r>
              <w:rPr>
                <w:rFonts w:hint="eastAsia" w:ascii="宋体" w:hAnsi="宋体" w:cs="宋体"/>
                <w:sz w:val="24"/>
              </w:rPr>
              <w:t>投标保证金收受人信息：</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ascii="宋体" w:hAnsi="宋体" w:cs="宋体"/>
                <w:bCs/>
                <w:color w:val="000000"/>
                <w:sz w:val="24"/>
                <w:u w:val="single"/>
              </w:rPr>
            </w:pPr>
            <w:r>
              <w:rPr>
                <w:rFonts w:hint="eastAsia" w:ascii="宋体" w:hAnsi="宋体" w:cs="宋体"/>
                <w:bCs/>
                <w:color w:val="000000"/>
                <w:sz w:val="24"/>
                <w:u w:val="single"/>
              </w:rPr>
              <w:t>账    号：1109 1881 6710 6010 0000 00007。</w:t>
            </w:r>
          </w:p>
          <w:p>
            <w:pPr>
              <w:autoSpaceDE w:val="0"/>
              <w:autoSpaceDN w:val="0"/>
              <w:spacing w:before="103"/>
              <w:ind w:left="2"/>
            </w:pPr>
            <w:r>
              <w:rPr>
                <w:rFonts w:hint="eastAsia" w:ascii="宋体" w:hAnsi="宋体" w:cs="宋体"/>
                <w:sz w:val="24"/>
              </w:rPr>
              <w:t>交纳投标保证金可采用的形式：政府采购法律法规接受的支票、汇票、本票、网上银行支付或者金融机构、担保机构出具的保函等非现金形式。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vAlign w:val="center"/>
          </w:tcPr>
          <w:p>
            <w:pPr>
              <w:pStyle w:val="273"/>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vAlign w:val="center"/>
          </w:tcPr>
          <w:p>
            <w:pPr>
              <w:pStyle w:val="273"/>
              <w:jc w:val="center"/>
              <w:rPr>
                <w:rFonts w:ascii="宋体" w:hAnsi="宋体" w:eastAsia="宋体" w:cs="宋体"/>
                <w:sz w:val="22"/>
              </w:rPr>
            </w:pP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投标保证金可以不予退还的其他情形：</w:t>
            </w:r>
          </w:p>
          <w:p>
            <w:pPr>
              <w:autoSpaceDE w:val="0"/>
              <w:autoSpaceDN w:val="0"/>
              <w:spacing w:before="103"/>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■有，具体情形：</w:t>
            </w:r>
          </w:p>
          <w:p>
            <w:pPr>
              <w:autoSpaceDE w:val="0"/>
              <w:autoSpaceDN w:val="0"/>
              <w:spacing w:before="103"/>
              <w:ind w:left="2"/>
              <w:rPr>
                <w:rFonts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ascii="宋体" w:hAnsi="宋体" w:cs="宋体"/>
                <w:sz w:val="24"/>
                <w:u w:val="single"/>
              </w:rPr>
            </w:pPr>
            <w:r>
              <w:rPr>
                <w:rFonts w:hint="eastAsia" w:ascii="宋体" w:hAnsi="宋体" w:cs="宋体"/>
                <w:sz w:val="24"/>
                <w:u w:val="single"/>
              </w:rPr>
              <w:t>通的；</w:t>
            </w:r>
          </w:p>
          <w:p>
            <w:pPr>
              <w:autoSpaceDE w:val="0"/>
              <w:autoSpaceDN w:val="0"/>
              <w:spacing w:before="103"/>
              <w:ind w:left="2"/>
              <w:rPr>
                <w:rFonts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3"/>
              <w:spacing w:before="75"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13.1</w:t>
            </w:r>
          </w:p>
        </w:tc>
        <w:tc>
          <w:tcPr>
            <w:tcW w:w="1700" w:type="dxa"/>
            <w:vAlign w:val="center"/>
          </w:tcPr>
          <w:p>
            <w:pPr>
              <w:autoSpaceDE w:val="0"/>
              <w:autoSpaceDN w:val="0"/>
              <w:spacing w:before="42" w:line="175" w:lineRule="auto"/>
              <w:ind w:left="2"/>
              <w:jc w:val="center"/>
              <w:rPr>
                <w:rFonts w:ascii="宋体" w:hAnsi="宋体" w:cs="宋体"/>
                <w:sz w:val="24"/>
              </w:rPr>
            </w:pPr>
            <w:r>
              <w:rPr>
                <w:rFonts w:hint="eastAsia" w:ascii="宋体" w:hAnsi="宋体" w:cs="宋体"/>
                <w:spacing w:val="-2"/>
                <w:sz w:val="24"/>
              </w:rPr>
              <w:t>投标有效期</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3"/>
              <w:spacing w:before="73" w:line="202" w:lineRule="auto"/>
              <w:ind w:left="1"/>
              <w:jc w:val="center"/>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pPr>
              <w:autoSpaceDE w:val="0"/>
              <w:autoSpaceDN w:val="0"/>
              <w:spacing w:before="39" w:line="177" w:lineRule="auto"/>
              <w:ind w:left="2"/>
              <w:jc w:val="center"/>
              <w:rPr>
                <w:rFonts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ascii="宋体" w:hAnsi="宋体" w:cs="宋体"/>
                <w:sz w:val="24"/>
              </w:rPr>
            </w:pPr>
            <w:r>
              <w:rPr>
                <w:rFonts w:hint="eastAsia" w:ascii="宋体" w:hAnsi="宋体" w:cs="宋体"/>
                <w:spacing w:val="-1"/>
                <w:sz w:val="24"/>
              </w:rPr>
              <w:t>份数</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22.1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确定中标人</w:t>
            </w:r>
          </w:p>
        </w:tc>
        <w:tc>
          <w:tcPr>
            <w:tcW w:w="6381" w:type="dxa"/>
          </w:tcPr>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■否</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□是</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73"/>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分包</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ascii="宋体" w:hAnsi="宋体" w:cs="宋体"/>
                <w:sz w:val="24"/>
              </w:rPr>
            </w:pPr>
            <w:r>
              <w:rPr>
                <w:rFonts w:hint="eastAsia" w:ascii="宋体" w:hAnsi="宋体" w:cs="宋体"/>
                <w:sz w:val="24"/>
              </w:rPr>
              <w:t>■不允许</w:t>
            </w:r>
          </w:p>
          <w:p>
            <w:pPr>
              <w:autoSpaceDE w:val="0"/>
              <w:autoSpaceDN w:val="0"/>
              <w:spacing w:before="103"/>
              <w:ind w:left="2"/>
              <w:rPr>
                <w:rFonts w:ascii="宋体" w:hAnsi="宋体" w:cs="宋体"/>
                <w:sz w:val="24"/>
              </w:rPr>
            </w:pPr>
            <w:r>
              <w:rPr>
                <w:rFonts w:hint="eastAsia" w:ascii="宋体" w:hAnsi="宋体" w:cs="宋体"/>
                <w:sz w:val="24"/>
              </w:rPr>
              <w:t>□允许，具体要求：</w:t>
            </w:r>
          </w:p>
          <w:p>
            <w:pPr>
              <w:autoSpaceDE w:val="0"/>
              <w:autoSpaceDN w:val="0"/>
              <w:spacing w:before="103"/>
              <w:ind w:left="2"/>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pPr>
              <w:pStyle w:val="273"/>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政采贷</w:t>
            </w:r>
          </w:p>
        </w:tc>
        <w:tc>
          <w:tcPr>
            <w:tcW w:w="6381" w:type="dxa"/>
          </w:tcPr>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73"/>
              <w:spacing w:before="103"/>
              <w:rPr>
                <w:rFonts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73"/>
              <w:spacing w:before="76"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pPr>
              <w:autoSpaceDE w:val="0"/>
              <w:autoSpaceDN w:val="0"/>
              <w:spacing w:before="44" w:line="174" w:lineRule="auto"/>
              <w:ind w:left="2"/>
              <w:jc w:val="center"/>
              <w:rPr>
                <w:rFonts w:ascii="宋体" w:hAnsi="宋体" w:cs="宋体"/>
                <w:sz w:val="24"/>
              </w:rPr>
            </w:pPr>
            <w:r>
              <w:rPr>
                <w:rFonts w:hint="eastAsia" w:ascii="宋体" w:hAnsi="宋体" w:cs="宋体"/>
                <w:spacing w:val="-4"/>
                <w:sz w:val="24"/>
              </w:rPr>
              <w:t>询问</w:t>
            </w:r>
          </w:p>
        </w:tc>
        <w:tc>
          <w:tcPr>
            <w:tcW w:w="6381" w:type="dxa"/>
          </w:tcPr>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fldChar w:fldCharType="begin"/>
            </w:r>
            <w:r>
              <w:instrText xml:space="preserve"> HYPERLINK "mailto:发送至maruosha@126.com" </w:instrText>
            </w:r>
            <w:r>
              <w:fldChar w:fldCharType="separate"/>
            </w:r>
            <w:r>
              <w:rPr>
                <w:rFonts w:hint="eastAsia" w:ascii="宋体" w:hAnsi="宋体" w:eastAsia="宋体" w:cs="宋体"/>
                <w:sz w:val="24"/>
                <w:szCs w:val="24"/>
                <w:u w:val="single"/>
                <w:lang w:eastAsia="zh-CN"/>
              </w:rPr>
              <w:t>发送至</w:t>
            </w:r>
            <w:bookmarkStart w:id="76" w:name="_Hlt188370710"/>
            <w:bookmarkEnd w:id="76"/>
            <w:bookmarkStart w:id="77" w:name="_Hlt188370718"/>
            <w:bookmarkEnd w:id="77"/>
            <w:bookmarkStart w:id="78" w:name="_Hlt188370709"/>
            <w:bookmarkEnd w:id="78"/>
            <w:r>
              <w:rPr>
                <w:rFonts w:hint="eastAsia" w:ascii="宋体" w:hAnsi="宋体" w:eastAsia="宋体" w:cs="宋体"/>
                <w:sz w:val="24"/>
                <w:szCs w:val="24"/>
                <w:u w:val="single"/>
                <w:lang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26.3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联系方式</w:t>
            </w:r>
          </w:p>
        </w:tc>
        <w:tc>
          <w:tcPr>
            <w:tcW w:w="6381" w:type="dxa"/>
          </w:tcPr>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vAlign w:val="center"/>
          </w:tcPr>
          <w:p>
            <w:pPr>
              <w:pStyle w:val="273"/>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代理费</w:t>
            </w:r>
          </w:p>
        </w:tc>
        <w:tc>
          <w:tcPr>
            <w:tcW w:w="6381" w:type="dxa"/>
          </w:tcPr>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3"/>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273"/>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273"/>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273"/>
              <w:spacing w:before="103"/>
              <w:ind w:left="2"/>
              <w:rPr>
                <w:rFonts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273"/>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73"/>
              <w:spacing w:before="103"/>
              <w:ind w:left="2"/>
              <w:rPr>
                <w:rFonts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992" w:type="dxa"/>
            <w:vAlign w:val="center"/>
          </w:tcPr>
          <w:p>
            <w:pPr>
              <w:pStyle w:val="273"/>
              <w:spacing w:before="69" w:line="201" w:lineRule="auto"/>
              <w:ind w:left="1"/>
              <w:jc w:val="center"/>
              <w:rPr>
                <w:rFonts w:ascii="宋体" w:hAnsi="宋体" w:eastAsia="宋体" w:cs="宋体"/>
                <w:spacing w:val="9"/>
                <w:sz w:val="24"/>
                <w:szCs w:val="24"/>
                <w:lang w:eastAsia="zh-CN"/>
              </w:rPr>
            </w:pPr>
          </w:p>
        </w:tc>
        <w:tc>
          <w:tcPr>
            <w:tcW w:w="1700" w:type="dxa"/>
            <w:vAlign w:val="center"/>
          </w:tcPr>
          <w:p>
            <w:pPr>
              <w:autoSpaceDE w:val="0"/>
              <w:autoSpaceDN w:val="0"/>
              <w:spacing w:before="103" w:line="201" w:lineRule="auto"/>
              <w:ind w:left="2"/>
              <w:jc w:val="center"/>
              <w:rPr>
                <w:rFonts w:ascii="宋体" w:hAnsi="宋体" w:cs="宋体"/>
                <w:spacing w:val="-2"/>
                <w:sz w:val="24"/>
              </w:rPr>
            </w:pPr>
            <w:r>
              <w:rPr>
                <w:rFonts w:hint="eastAsia" w:ascii="宋体" w:hAnsi="宋体" w:cs="宋体"/>
                <w:spacing w:val="-2"/>
                <w:sz w:val="24"/>
              </w:rPr>
              <w:t>其他</w:t>
            </w:r>
          </w:p>
        </w:tc>
        <w:tc>
          <w:tcPr>
            <w:tcW w:w="6381" w:type="dxa"/>
          </w:tcPr>
          <w:p>
            <w:pPr>
              <w:pStyle w:val="273"/>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本项目共分为2个包，采用兼投不兼中原则，每家投标人可参加多个包的投标，但最多只能中标一个包，若投标人两包都参与，根据包号顺序推荐，若第一包中标则第二包可以参与评审但失去推荐资格。</w:t>
            </w:r>
          </w:p>
        </w:tc>
      </w:tr>
    </w:tbl>
    <w:p>
      <w:pPr>
        <w:rPr>
          <w:rFonts w:ascii="宋体" w:hAnsi="宋体" w:cs="宋体"/>
        </w:rPr>
      </w:pPr>
    </w:p>
    <w:p>
      <w:pPr>
        <w:tabs>
          <w:tab w:val="left" w:pos="5580"/>
        </w:tabs>
        <w:adjustRightInd w:val="0"/>
        <w:spacing w:line="360" w:lineRule="auto"/>
        <w:jc w:val="distribute"/>
        <w:rPr>
          <w:rFonts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cs="宋体"/>
          <w:b/>
          <w:sz w:val="28"/>
          <w:szCs w:val="28"/>
        </w:rPr>
      </w:pPr>
      <w:bookmarkStart w:id="79" w:name="_Toc353873932"/>
      <w:bookmarkStart w:id="80" w:name="_Toc264969207"/>
      <w:bookmarkStart w:id="81" w:name="_Toc226965790"/>
      <w:bookmarkStart w:id="82" w:name="_Toc195842882"/>
      <w:bookmarkStart w:id="83" w:name="_Toc305158785"/>
      <w:bookmarkStart w:id="84" w:name="_Toc150480755"/>
      <w:bookmarkStart w:id="85" w:name="_Toc353873662"/>
      <w:bookmarkStart w:id="86" w:name="_Toc353825542"/>
      <w:bookmarkStart w:id="87" w:name="_Toc265228355"/>
      <w:bookmarkStart w:id="88" w:name="_Toc142311019"/>
      <w:bookmarkStart w:id="89" w:name="_Toc127151517"/>
      <w:bookmarkStart w:id="90" w:name="_Toc150774722"/>
      <w:bookmarkStart w:id="91" w:name="_Toc226337213"/>
      <w:bookmarkStart w:id="92" w:name="_Toc305158859"/>
      <w:r>
        <w:rPr>
          <w:rFonts w:hint="eastAsia" w:ascii="宋体" w:hAnsi="宋体" w:cs="宋体"/>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6"/>
        <w:tabs>
          <w:tab w:val="center" w:pos="4592"/>
          <w:tab w:val="left" w:pos="7860"/>
        </w:tabs>
        <w:spacing w:before="0" w:line="360" w:lineRule="auto"/>
        <w:jc w:val="left"/>
        <w:rPr>
          <w:rFonts w:ascii="宋体" w:hAnsi="宋体" w:eastAsia="宋体" w:cs="宋体"/>
          <w:sz w:val="28"/>
        </w:rPr>
      </w:pPr>
      <w:bookmarkStart w:id="93" w:name="_Toc127151518"/>
      <w:bookmarkStart w:id="94" w:name="_Toc520356143"/>
      <w:r>
        <w:rPr>
          <w:rFonts w:hint="eastAsia" w:ascii="宋体" w:hAnsi="宋体" w:eastAsia="宋体" w:cs="宋体"/>
          <w:sz w:val="28"/>
        </w:rPr>
        <w:tab/>
      </w:r>
      <w:bookmarkStart w:id="95" w:name="_Toc142311020"/>
      <w:bookmarkStart w:id="96" w:name="_Toc150774723"/>
      <w:bookmarkStart w:id="97" w:name="_Toc151193832"/>
      <w:bookmarkStart w:id="98" w:name="_Toc150480756"/>
      <w:bookmarkStart w:id="99" w:name="_Toc226965791"/>
      <w:bookmarkStart w:id="100" w:name="_Toc264969208"/>
      <w:bookmarkStart w:id="101" w:name="_Toc265228356"/>
      <w:bookmarkStart w:id="102" w:name="_Toc226337214"/>
      <w:bookmarkStart w:id="103" w:name="_Toc151193760"/>
      <w:bookmarkStart w:id="104" w:name="_Toc150774618"/>
      <w:bookmarkStart w:id="105" w:name="_Toc151193688"/>
      <w:bookmarkStart w:id="106" w:name="_Toc226965708"/>
      <w:bookmarkStart w:id="107" w:name="_Toc151193906"/>
      <w:bookmarkStart w:id="108" w:name="_Toc305158786"/>
      <w:bookmarkStart w:id="109" w:name="_Toc226309762"/>
      <w:bookmarkStart w:id="110" w:name="_Toc195842883"/>
      <w:bookmarkStart w:id="111" w:name="_Toc151190145"/>
      <w:bookmarkStart w:id="112" w:name="_Toc151193616"/>
      <w:bookmarkStart w:id="113" w:name="_Toc150509269"/>
      <w:bookmarkStart w:id="114" w:name="_Toc305158860"/>
      <w:r>
        <w:rPr>
          <w:rFonts w:hint="eastAsia" w:ascii="宋体" w:hAnsi="宋体" w:eastAsia="宋体" w:cs="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5" w:name="_Toc264969209"/>
      <w:bookmarkStart w:id="116" w:name="_Toc265228357"/>
      <w:bookmarkStart w:id="117" w:name="_Toc305158861"/>
      <w:bookmarkStart w:id="118" w:name="_Toc305158787"/>
      <w:r>
        <w:rPr>
          <w:rFonts w:hint="eastAsia" w:ascii="宋体" w:hAnsi="宋体" w:cs="宋体"/>
          <w:sz w:val="24"/>
        </w:rPr>
        <w:t>采购人、采购代理机构、投标人</w:t>
      </w:r>
      <w:bookmarkEnd w:id="115"/>
      <w:bookmarkEnd w:id="116"/>
      <w:bookmarkEnd w:id="117"/>
      <w:bookmarkEnd w:id="118"/>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9" w:name="_Toc164229361"/>
      <w:bookmarkStart w:id="120" w:name="_Toc150774725"/>
      <w:bookmarkStart w:id="121" w:name="_Toc142311022"/>
      <w:bookmarkStart w:id="122" w:name="_Toc164351614"/>
      <w:bookmarkStart w:id="123" w:name="_Toc164608789"/>
      <w:bookmarkStart w:id="124" w:name="_Toc265228358"/>
      <w:bookmarkStart w:id="125" w:name="_Toc164608634"/>
      <w:bookmarkStart w:id="126" w:name="_Toc150480758"/>
      <w:bookmarkStart w:id="127" w:name="_Toc151193690"/>
      <w:bookmarkStart w:id="128" w:name="_Toc305158862"/>
      <w:bookmarkStart w:id="129" w:name="_Toc264969210"/>
      <w:bookmarkStart w:id="130" w:name="_Toc151193618"/>
      <w:bookmarkStart w:id="131" w:name="_Toc164229215"/>
      <w:bookmarkStart w:id="132" w:name="_Toc151193834"/>
      <w:bookmarkStart w:id="133" w:name="_Toc151193908"/>
      <w:bookmarkStart w:id="134" w:name="_Toc150509271"/>
      <w:bookmarkStart w:id="135" w:name="_Toc226965793"/>
      <w:bookmarkStart w:id="136" w:name="_Toc151193762"/>
      <w:bookmarkStart w:id="137" w:name="_Toc149720813"/>
      <w:bookmarkStart w:id="138" w:name="_Toc226965710"/>
      <w:bookmarkStart w:id="139" w:name="_Toc226309764"/>
      <w:bookmarkStart w:id="140" w:name="_Toc127161434"/>
      <w:bookmarkStart w:id="141" w:name="_Toc305158788"/>
      <w:bookmarkStart w:id="142" w:name="_Toc226337216"/>
      <w:bookmarkStart w:id="143" w:name="_Toc151190147"/>
      <w:bookmarkStart w:id="144" w:name="_Toc127151721"/>
      <w:bookmarkStart w:id="145" w:name="_Toc150774620"/>
      <w:bookmarkStart w:id="146" w:name="_Toc195842885"/>
      <w:bookmarkStart w:id="147" w:name="_Toc127151520"/>
      <w:r>
        <w:rPr>
          <w:rFonts w:hint="eastAsia" w:ascii="宋体" w:hAnsi="宋体" w:cs="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8" w:name="_Toc265228360"/>
      <w:bookmarkStart w:id="149" w:name="_Toc150509273"/>
      <w:bookmarkStart w:id="150" w:name="_Toc151193620"/>
      <w:bookmarkStart w:id="151" w:name="_Toc151193692"/>
      <w:bookmarkStart w:id="152" w:name="_Toc142311024"/>
      <w:bookmarkStart w:id="153" w:name="_Toc151193836"/>
      <w:bookmarkStart w:id="154" w:name="_Toc150774622"/>
      <w:bookmarkStart w:id="155" w:name="_Toc305158864"/>
      <w:bookmarkStart w:id="156" w:name="_Toc520356146"/>
      <w:bookmarkStart w:id="157" w:name="_Toc195842887"/>
      <w:bookmarkStart w:id="158" w:name="_Toc150774727"/>
      <w:bookmarkStart w:id="159" w:name="_Toc151193910"/>
      <w:bookmarkStart w:id="160" w:name="_Toc151193764"/>
      <w:bookmarkStart w:id="161" w:name="_Toc151190149"/>
      <w:bookmarkStart w:id="162" w:name="_Toc305158790"/>
      <w:bookmarkStart w:id="163" w:name="_Toc226965795"/>
      <w:bookmarkStart w:id="164" w:name="_Toc226337218"/>
      <w:bookmarkStart w:id="165" w:name="_Toc226965712"/>
      <w:bookmarkStart w:id="166" w:name="_Toc264969212"/>
      <w:bookmarkStart w:id="167" w:name="_Toc226309766"/>
      <w:bookmarkStart w:id="168" w:name="_Toc150480760"/>
      <w:bookmarkStart w:id="169" w:name="_Toc127151522"/>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color w:val="000000"/>
          <w:sz w:val="24"/>
        </w:rPr>
        <w:t>商品包装、快递包装政府采购需求标准（试行） 为助力打好污染防治攻坚战，推广使用绿色包装，根据财政部关于印 发《商品包装政府采购需求标准（试行）》、《快递包装政府采购需求 标准（试行）》的通知（财办库〔2020〕123 号），本项目如涉及商 品包装和快递包装的，则其具体要求见第五章《采购需求》。</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s="宋体"/>
          <w:sz w:val="28"/>
        </w:rPr>
      </w:pPr>
      <w:bookmarkStart w:id="170" w:name="_1.8_计量单位"/>
      <w:bookmarkEnd w:id="170"/>
    </w:p>
    <w:p>
      <w:pPr>
        <w:pStyle w:val="6"/>
        <w:spacing w:before="0" w:line="360" w:lineRule="auto"/>
        <w:rPr>
          <w:rFonts w:ascii="宋体" w:hAnsi="宋体" w:eastAsia="宋体" w:cs="宋体"/>
          <w:sz w:val="28"/>
        </w:rPr>
      </w:pPr>
      <w:r>
        <w:rPr>
          <w:rFonts w:hint="eastAsia" w:ascii="宋体" w:hAnsi="宋体" w:eastAsia="宋体" w:cs="宋体"/>
          <w:sz w:val="28"/>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numPr>
          <w:ilvl w:val="0"/>
          <w:numId w:val="10"/>
        </w:numPr>
        <w:tabs>
          <w:tab w:val="left" w:pos="360"/>
        </w:tabs>
        <w:snapToGrid w:val="0"/>
        <w:spacing w:line="360" w:lineRule="auto"/>
        <w:ind w:left="357" w:hanging="357"/>
        <w:outlineLvl w:val="1"/>
        <w:rPr>
          <w:rFonts w:ascii="宋体" w:hAnsi="宋体" w:cs="宋体"/>
          <w:sz w:val="24"/>
        </w:rPr>
      </w:pPr>
      <w:bookmarkStart w:id="171" w:name="_Toc226965796"/>
      <w:bookmarkStart w:id="172" w:name="_Toc142311025"/>
      <w:bookmarkStart w:id="173" w:name="_Toc226965713"/>
      <w:bookmarkStart w:id="174" w:name="_Toc164229364"/>
      <w:bookmarkStart w:id="175" w:name="_Toc305158791"/>
      <w:bookmarkStart w:id="176" w:name="_Toc151193621"/>
      <w:bookmarkStart w:id="177" w:name="_Toc226309767"/>
      <w:bookmarkStart w:id="178" w:name="_Toc150480761"/>
      <w:bookmarkStart w:id="179" w:name="_Toc164229218"/>
      <w:bookmarkStart w:id="180" w:name="_Toc127151523"/>
      <w:bookmarkStart w:id="181" w:name="_Toc150774623"/>
      <w:bookmarkStart w:id="182" w:name="_Toc164608792"/>
      <w:bookmarkStart w:id="183" w:name="_Toc127151724"/>
      <w:bookmarkStart w:id="184" w:name="_Toc150509274"/>
      <w:bookmarkStart w:id="185" w:name="_Toc264969213"/>
      <w:bookmarkStart w:id="186" w:name="_Toc151193911"/>
      <w:bookmarkStart w:id="187" w:name="_Toc149720816"/>
      <w:bookmarkStart w:id="188" w:name="_Toc151193693"/>
      <w:bookmarkStart w:id="189" w:name="_Toc226337219"/>
      <w:bookmarkStart w:id="190" w:name="_Toc195842888"/>
      <w:bookmarkStart w:id="191" w:name="_Toc265228361"/>
      <w:bookmarkStart w:id="192" w:name="_Toc164351617"/>
      <w:bookmarkStart w:id="193" w:name="_Toc150774728"/>
      <w:bookmarkStart w:id="194" w:name="_Toc151193765"/>
      <w:bookmarkStart w:id="195" w:name="_Toc305158865"/>
      <w:bookmarkStart w:id="196" w:name="_Toc151190150"/>
      <w:bookmarkStart w:id="197" w:name="_Toc127161437"/>
      <w:bookmarkStart w:id="198" w:name="_Toc520356147"/>
      <w:bookmarkStart w:id="199" w:name="_Toc151193837"/>
      <w:bookmarkStart w:id="200" w:name="_Toc164608637"/>
      <w:r>
        <w:rPr>
          <w:rFonts w:hint="eastAsia" w:ascii="宋体" w:hAnsi="宋体" w:cs="宋体"/>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s="宋体"/>
          <w:sz w:val="28"/>
        </w:rPr>
      </w:pPr>
      <w:bookmarkStart w:id="201" w:name="_Toc516367020"/>
      <w:bookmarkStart w:id="202" w:name="_Toc226309770"/>
      <w:bookmarkStart w:id="203" w:name="_Toc142311028"/>
      <w:bookmarkStart w:id="204" w:name="_Toc151193914"/>
      <w:bookmarkStart w:id="205" w:name="_Toc226337222"/>
      <w:bookmarkStart w:id="206" w:name="_Toc226965799"/>
      <w:bookmarkStart w:id="207" w:name="_Toc151193624"/>
      <w:bookmarkStart w:id="208" w:name="_Toc151193840"/>
      <w:bookmarkStart w:id="209" w:name="_Toc150774731"/>
      <w:bookmarkStart w:id="210" w:name="_Toc127151526"/>
      <w:bookmarkStart w:id="211" w:name="_Toc195842891"/>
      <w:bookmarkStart w:id="212" w:name="_Toc265228364"/>
      <w:bookmarkStart w:id="213" w:name="_Toc151193696"/>
      <w:bookmarkStart w:id="214" w:name="_Toc226965716"/>
      <w:bookmarkStart w:id="215" w:name="_Toc305158868"/>
      <w:bookmarkStart w:id="216" w:name="_Toc150774626"/>
      <w:bookmarkStart w:id="217" w:name="_Toc305158794"/>
      <w:bookmarkStart w:id="218" w:name="_Toc520356150"/>
      <w:bookmarkStart w:id="219" w:name="_Toc150480764"/>
      <w:bookmarkStart w:id="220" w:name="_Toc150509277"/>
      <w:bookmarkStart w:id="221" w:name="_Toc264969216"/>
      <w:bookmarkStart w:id="222" w:name="_Toc151193768"/>
      <w:bookmarkStart w:id="223" w:name="_Toc151190153"/>
    </w:p>
    <w:p>
      <w:pPr>
        <w:pStyle w:val="6"/>
        <w:spacing w:before="0" w:line="360" w:lineRule="auto"/>
        <w:rPr>
          <w:rFonts w:ascii="宋体" w:hAnsi="宋体" w:eastAsia="宋体" w:cs="宋体"/>
          <w:sz w:val="28"/>
        </w:rPr>
      </w:pPr>
      <w:r>
        <w:rPr>
          <w:rFonts w:hint="eastAsia" w:ascii="宋体" w:hAnsi="宋体" w:eastAsia="宋体" w:cs="宋体"/>
          <w:sz w:val="28"/>
        </w:rPr>
        <w:t>三   投标文件</w:t>
      </w:r>
      <w:bookmarkEnd w:id="201"/>
      <w:r>
        <w:rPr>
          <w:rFonts w:hint="eastAsia" w:ascii="宋体" w:hAnsi="宋体" w:eastAsia="宋体" w:cs="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10"/>
        </w:numPr>
        <w:tabs>
          <w:tab w:val="left" w:pos="360"/>
        </w:tabs>
        <w:snapToGrid w:val="0"/>
        <w:spacing w:line="360" w:lineRule="auto"/>
        <w:ind w:left="357" w:hanging="357"/>
        <w:outlineLvl w:val="1"/>
        <w:rPr>
          <w:rFonts w:ascii="宋体" w:hAnsi="宋体" w:cs="宋体"/>
          <w:sz w:val="24"/>
        </w:rPr>
      </w:pPr>
      <w:bookmarkStart w:id="224" w:name="_Toc226965800"/>
      <w:bookmarkStart w:id="225" w:name="_Toc151193769"/>
      <w:bookmarkStart w:id="226" w:name="_Toc151193915"/>
      <w:bookmarkStart w:id="227" w:name="_Toc149720820"/>
      <w:bookmarkStart w:id="228" w:name="_Toc164351621"/>
      <w:bookmarkStart w:id="229" w:name="_Toc151190154"/>
      <w:bookmarkStart w:id="230" w:name="_Toc195842892"/>
      <w:bookmarkStart w:id="231" w:name="_Toc305158795"/>
      <w:bookmarkStart w:id="232" w:name="_Toc164229222"/>
      <w:bookmarkStart w:id="233" w:name="_Toc164608641"/>
      <w:bookmarkStart w:id="234" w:name="_Toc305158869"/>
      <w:bookmarkStart w:id="235" w:name="_Toc226965717"/>
      <w:bookmarkStart w:id="236" w:name="_Toc151193841"/>
      <w:bookmarkStart w:id="237" w:name="_Toc150774732"/>
      <w:bookmarkStart w:id="238" w:name="_Toc264969217"/>
      <w:bookmarkStart w:id="239" w:name="_Toc150509278"/>
      <w:bookmarkStart w:id="240" w:name="_Toc151193697"/>
      <w:bookmarkStart w:id="241" w:name="_Toc151193625"/>
      <w:bookmarkStart w:id="242" w:name="_Toc127151527"/>
      <w:bookmarkStart w:id="243" w:name="_Toc226337223"/>
      <w:bookmarkStart w:id="244" w:name="_Toc150480765"/>
      <w:bookmarkStart w:id="245" w:name="_Toc142311029"/>
      <w:bookmarkStart w:id="246" w:name="_Toc520356151"/>
      <w:bookmarkStart w:id="247" w:name="_Toc226309771"/>
      <w:bookmarkStart w:id="248" w:name="_Toc127161441"/>
      <w:bookmarkStart w:id="249" w:name="_Toc164608796"/>
      <w:bookmarkStart w:id="250" w:name="_Toc127151728"/>
      <w:bookmarkStart w:id="251" w:name="_Toc150774627"/>
      <w:bookmarkStart w:id="252" w:name="_Toc516367021"/>
      <w:bookmarkStart w:id="253" w:name="_Toc265228365"/>
      <w:bookmarkStart w:id="254" w:name="_Toc164229368"/>
      <w:r>
        <w:rPr>
          <w:rFonts w:hint="eastAsia" w:ascii="宋体" w:hAnsi="宋体" w:cs="宋体"/>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ascii="宋体" w:hAnsi="宋体" w:cs="宋体"/>
          <w:sz w:val="24"/>
        </w:rPr>
      </w:pPr>
      <w:bookmarkStart w:id="255" w:name="_Ref467306676"/>
      <w:bookmarkStart w:id="256" w:name="_Ref467306195"/>
      <w:bookmarkStart w:id="257" w:name="_Toc516367022"/>
      <w:bookmarkStart w:id="258" w:name="_Toc226965801"/>
      <w:bookmarkStart w:id="259" w:name="_Toc127151729"/>
      <w:bookmarkStart w:id="260" w:name="_Toc127151528"/>
      <w:bookmarkStart w:id="261" w:name="_Toc150774733"/>
      <w:bookmarkStart w:id="262" w:name="_Toc164351622"/>
      <w:bookmarkStart w:id="263" w:name="_Toc151193842"/>
      <w:bookmarkStart w:id="264" w:name="_Toc226309772"/>
      <w:bookmarkStart w:id="265" w:name="_Toc164608642"/>
      <w:bookmarkStart w:id="266" w:name="_Toc226965718"/>
      <w:bookmarkStart w:id="267" w:name="_Toc142311030"/>
      <w:bookmarkStart w:id="268" w:name="_Toc305158870"/>
      <w:bookmarkStart w:id="269" w:name="_Toc520356152"/>
      <w:bookmarkStart w:id="270" w:name="_Toc127161442"/>
      <w:bookmarkStart w:id="271" w:name="_Toc151193916"/>
      <w:bookmarkStart w:id="272" w:name="_Toc149720821"/>
      <w:bookmarkStart w:id="273" w:name="_Toc265228366"/>
      <w:bookmarkStart w:id="274" w:name="_Toc150774628"/>
      <w:bookmarkStart w:id="275" w:name="_Toc151193770"/>
      <w:bookmarkStart w:id="276" w:name="_Toc305158796"/>
      <w:bookmarkStart w:id="277" w:name="_Toc164229369"/>
      <w:bookmarkStart w:id="278" w:name="_Toc151190155"/>
      <w:bookmarkStart w:id="279" w:name="_Toc151193626"/>
      <w:bookmarkStart w:id="280" w:name="_Toc226337224"/>
      <w:bookmarkStart w:id="281" w:name="_Toc150509279"/>
      <w:bookmarkStart w:id="282" w:name="_Toc195842893"/>
      <w:bookmarkStart w:id="283" w:name="_Toc264969218"/>
      <w:bookmarkStart w:id="284" w:name="_Toc151193698"/>
      <w:bookmarkStart w:id="285" w:name="_Toc150480766"/>
      <w:bookmarkStart w:id="286" w:name="_Toc164608797"/>
      <w:bookmarkStart w:id="287" w:name="_Toc164229223"/>
      <w:r>
        <w:rPr>
          <w:rFonts w:hint="eastAsia" w:ascii="宋体" w:hAnsi="宋体" w:cs="宋体"/>
          <w:sz w:val="24"/>
        </w:rPr>
        <w:t>投标文件</w:t>
      </w:r>
      <w:bookmarkEnd w:id="255"/>
      <w:bookmarkEnd w:id="256"/>
      <w:bookmarkEnd w:id="257"/>
      <w:r>
        <w:rPr>
          <w:rFonts w:hint="eastAsia" w:ascii="宋体" w:hAnsi="宋体" w:cs="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1"/>
          <w:numId w:val="10"/>
        </w:numPr>
        <w:tabs>
          <w:tab w:val="left" w:pos="1080"/>
          <w:tab w:val="left" w:pos="2014"/>
        </w:tabs>
        <w:snapToGrid w:val="0"/>
        <w:spacing w:line="360" w:lineRule="auto"/>
        <w:ind w:left="1077" w:hanging="720"/>
        <w:rPr>
          <w:rFonts w:ascii="宋体" w:hAnsi="宋体" w:cs="宋体"/>
          <w:sz w:val="24"/>
        </w:rPr>
      </w:pPr>
      <w:bookmarkStart w:id="288"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8"/>
    </w:p>
    <w:p>
      <w:pPr>
        <w:numPr>
          <w:ilvl w:val="0"/>
          <w:numId w:val="10"/>
        </w:numPr>
        <w:tabs>
          <w:tab w:val="left" w:pos="360"/>
        </w:tabs>
        <w:snapToGrid w:val="0"/>
        <w:spacing w:line="360" w:lineRule="auto"/>
        <w:ind w:left="357" w:hanging="357"/>
        <w:outlineLvl w:val="1"/>
        <w:rPr>
          <w:rFonts w:ascii="宋体" w:hAnsi="宋体" w:cs="宋体"/>
          <w:sz w:val="24"/>
        </w:rPr>
      </w:pPr>
      <w:bookmarkStart w:id="289" w:name="_Toc151193772"/>
      <w:bookmarkStart w:id="290" w:name="_Toc164351624"/>
      <w:bookmarkStart w:id="291" w:name="_Toc127161444"/>
      <w:bookmarkStart w:id="292" w:name="_Toc142311032"/>
      <w:bookmarkStart w:id="293" w:name="_Toc127151530"/>
      <w:bookmarkStart w:id="294" w:name="_Toc195842895"/>
      <w:bookmarkStart w:id="295" w:name="_Toc151193918"/>
      <w:bookmarkStart w:id="296" w:name="_Toc150774630"/>
      <w:bookmarkStart w:id="297" w:name="_Toc150774735"/>
      <w:bookmarkStart w:id="298" w:name="_Toc151193628"/>
      <w:bookmarkStart w:id="299" w:name="_Toc127151731"/>
      <w:bookmarkStart w:id="300" w:name="_Toc164229225"/>
      <w:bookmarkStart w:id="301" w:name="_Toc150480768"/>
      <w:bookmarkStart w:id="302" w:name="_Toc520356155"/>
      <w:bookmarkStart w:id="303" w:name="_Toc164608799"/>
      <w:bookmarkStart w:id="304" w:name="_Toc151193700"/>
      <w:bookmarkStart w:id="305" w:name="_Toc149720823"/>
      <w:bookmarkStart w:id="306" w:name="_Toc151190157"/>
      <w:bookmarkStart w:id="307" w:name="_Toc164608644"/>
      <w:bookmarkStart w:id="308" w:name="_Toc164229371"/>
      <w:bookmarkStart w:id="309" w:name="_Toc150509281"/>
      <w:bookmarkStart w:id="310" w:name="_Toc151193844"/>
      <w:r>
        <w:rPr>
          <w:rFonts w:hint="eastAsia" w:ascii="宋体" w:hAnsi="宋体" w:cs="宋体"/>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11" w:name="_Toc305158873"/>
      <w:bookmarkStart w:id="312" w:name="_Toc150774631"/>
      <w:bookmarkStart w:id="313" w:name="_Toc142311033"/>
      <w:bookmarkStart w:id="314" w:name="_Toc127161445"/>
      <w:bookmarkStart w:id="315" w:name="_Toc150509282"/>
      <w:bookmarkStart w:id="316" w:name="_Toc127151531"/>
      <w:bookmarkStart w:id="317" w:name="_Toc164351625"/>
      <w:bookmarkStart w:id="318" w:name="_Toc265228369"/>
      <w:bookmarkStart w:id="319" w:name="_Ref467306513"/>
      <w:bookmarkStart w:id="320" w:name="_Toc305158799"/>
      <w:bookmarkStart w:id="321" w:name="_Toc226337227"/>
      <w:bookmarkStart w:id="322" w:name="_Toc226965721"/>
      <w:bookmarkStart w:id="323" w:name="_Toc127151732"/>
      <w:bookmarkStart w:id="324" w:name="_Toc150774736"/>
      <w:bookmarkStart w:id="325" w:name="_Toc264969221"/>
      <w:bookmarkStart w:id="326" w:name="_Toc149720824"/>
      <w:bookmarkStart w:id="327" w:name="_Toc151193919"/>
      <w:bookmarkStart w:id="328" w:name="_Toc164229226"/>
      <w:bookmarkStart w:id="329" w:name="_Toc195842896"/>
      <w:bookmarkStart w:id="330" w:name="_Toc151193845"/>
      <w:bookmarkStart w:id="331" w:name="_Toc151193629"/>
      <w:bookmarkStart w:id="332" w:name="_Toc151193773"/>
      <w:bookmarkStart w:id="333" w:name="_Toc164229372"/>
      <w:bookmarkStart w:id="334" w:name="_Toc520356156"/>
      <w:bookmarkStart w:id="335" w:name="_Toc151190158"/>
      <w:bookmarkStart w:id="336" w:name="_Toc164608800"/>
      <w:bookmarkStart w:id="337" w:name="_Toc151193701"/>
      <w:bookmarkStart w:id="338" w:name="_Toc164608645"/>
      <w:bookmarkStart w:id="339" w:name="_Toc150480769"/>
      <w:bookmarkStart w:id="340" w:name="_Toc226309775"/>
      <w:bookmarkStart w:id="341" w:name="_Toc226965804"/>
      <w:r>
        <w:rPr>
          <w:rFonts w:hint="eastAsia" w:ascii="宋体" w:hAnsi="宋体" w:cs="宋体"/>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numPr>
          <w:ilvl w:val="1"/>
          <w:numId w:val="10"/>
        </w:numPr>
        <w:tabs>
          <w:tab w:val="left" w:pos="1080"/>
          <w:tab w:val="left" w:pos="2014"/>
        </w:tabs>
        <w:snapToGrid w:val="0"/>
        <w:spacing w:line="360" w:lineRule="auto"/>
        <w:ind w:left="1077" w:hanging="720"/>
        <w:rPr>
          <w:rFonts w:ascii="宋体" w:hAnsi="宋体" w:cs="宋体"/>
          <w:sz w:val="24"/>
        </w:rPr>
      </w:pPr>
      <w:bookmarkStart w:id="342" w:name="_Ref467306302"/>
      <w:r>
        <w:rPr>
          <w:rFonts w:hint="eastAsia" w:ascii="宋体" w:hAnsi="宋体" w:cs="宋体"/>
          <w:sz w:val="24"/>
        </w:rPr>
        <w:t>投标人应按《投标人须知资料表》中规定的金额及要求交纳投标保证金</w:t>
      </w:r>
      <w:bookmarkEnd w:id="342"/>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ascii="宋体" w:hAnsi="宋体" w:cs="宋体"/>
          <w:sz w:val="24"/>
        </w:rPr>
      </w:pPr>
      <w:bookmarkStart w:id="343" w:name="_Toc151190159"/>
      <w:bookmarkStart w:id="344" w:name="_Toc164229373"/>
      <w:bookmarkStart w:id="345" w:name="_Toc226337228"/>
      <w:bookmarkStart w:id="346" w:name="_Toc305158874"/>
      <w:bookmarkStart w:id="347" w:name="_Toc151193630"/>
      <w:bookmarkStart w:id="348" w:name="_Toc151193702"/>
      <w:bookmarkStart w:id="349" w:name="_Toc195842897"/>
      <w:bookmarkStart w:id="350" w:name="_Toc164608801"/>
      <w:bookmarkStart w:id="351" w:name="_Toc150480770"/>
      <w:bookmarkStart w:id="352" w:name="_Toc226965805"/>
      <w:bookmarkStart w:id="353" w:name="_Toc305158800"/>
      <w:bookmarkStart w:id="354" w:name="_Toc151193846"/>
      <w:bookmarkStart w:id="355" w:name="_Toc127151532"/>
      <w:bookmarkStart w:id="356" w:name="_Toc226309776"/>
      <w:bookmarkStart w:id="357" w:name="_Toc127161446"/>
      <w:bookmarkStart w:id="358" w:name="_Toc151193774"/>
      <w:bookmarkStart w:id="359" w:name="_Toc127151733"/>
      <w:bookmarkStart w:id="360" w:name="_Toc265228370"/>
      <w:bookmarkStart w:id="361" w:name="_Toc164608646"/>
      <w:bookmarkStart w:id="362" w:name="_Toc151193920"/>
      <w:bookmarkStart w:id="363" w:name="_Toc226965722"/>
      <w:bookmarkStart w:id="364" w:name="_Toc164351626"/>
      <w:bookmarkStart w:id="365" w:name="_Toc520356157"/>
      <w:bookmarkStart w:id="366" w:name="_Toc264969222"/>
      <w:bookmarkStart w:id="367" w:name="_Toc149720825"/>
      <w:bookmarkStart w:id="368" w:name="_Toc142311034"/>
      <w:bookmarkStart w:id="369" w:name="_Toc150509283"/>
      <w:bookmarkStart w:id="370" w:name="_Toc150774737"/>
      <w:bookmarkStart w:id="371" w:name="_Toc150774632"/>
      <w:bookmarkStart w:id="372" w:name="_Toc164229227"/>
      <w:r>
        <w:rPr>
          <w:rFonts w:hint="eastAsia" w:ascii="宋体" w:hAnsi="宋体" w:cs="宋体"/>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73" w:name="_Toc226965806"/>
      <w:bookmarkStart w:id="374" w:name="_Toc264969223"/>
      <w:bookmarkStart w:id="375" w:name="_Toc195842898"/>
      <w:bookmarkStart w:id="376" w:name="_Toc127151533"/>
      <w:bookmarkStart w:id="377" w:name="_Toc150774738"/>
      <w:bookmarkStart w:id="378" w:name="_Toc164229228"/>
      <w:bookmarkStart w:id="379" w:name="_Toc305158875"/>
      <w:bookmarkStart w:id="380" w:name="_Toc149720826"/>
      <w:bookmarkStart w:id="381" w:name="_Toc226965723"/>
      <w:bookmarkStart w:id="382" w:name="_Toc226337229"/>
      <w:bookmarkStart w:id="383" w:name="_Toc150509284"/>
      <w:bookmarkStart w:id="384" w:name="_Toc151193631"/>
      <w:bookmarkStart w:id="385" w:name="_Toc150774633"/>
      <w:bookmarkStart w:id="386" w:name="_Toc151193847"/>
      <w:bookmarkStart w:id="387" w:name="_Toc127151734"/>
      <w:bookmarkStart w:id="388" w:name="_Toc164229374"/>
      <w:bookmarkStart w:id="389" w:name="_Toc520356158"/>
      <w:bookmarkStart w:id="390" w:name="_Toc164351627"/>
      <w:bookmarkStart w:id="391" w:name="_Toc305158801"/>
      <w:bookmarkStart w:id="392" w:name="_Toc151193775"/>
      <w:bookmarkStart w:id="393" w:name="_Toc164608647"/>
      <w:bookmarkStart w:id="394" w:name="_Toc142311035"/>
      <w:bookmarkStart w:id="395" w:name="_Toc265228371"/>
      <w:bookmarkStart w:id="396" w:name="_Toc151190160"/>
      <w:bookmarkStart w:id="397" w:name="_Toc164608802"/>
      <w:bookmarkStart w:id="398" w:name="_Toc151193921"/>
      <w:bookmarkStart w:id="399" w:name="_Toc150480771"/>
      <w:bookmarkStart w:id="400" w:name="_Toc226309777"/>
      <w:bookmarkStart w:id="401" w:name="_Toc151193703"/>
      <w:bookmarkStart w:id="402" w:name="_Toc127161447"/>
      <w:r>
        <w:rPr>
          <w:rFonts w:hint="eastAsia" w:ascii="宋体" w:hAnsi="宋体" w:cs="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bookmarkStart w:id="403" w:name="_Toc150774634"/>
      <w:bookmarkStart w:id="404" w:name="_Toc265228372"/>
      <w:bookmarkStart w:id="405" w:name="_Toc150509285"/>
      <w:bookmarkStart w:id="406" w:name="_Toc226337230"/>
      <w:bookmarkStart w:id="407" w:name="_Toc226965724"/>
      <w:bookmarkStart w:id="408" w:name="_Toc151193704"/>
      <w:bookmarkStart w:id="409" w:name="_Toc151193922"/>
      <w:bookmarkStart w:id="410" w:name="_Toc150480772"/>
      <w:bookmarkStart w:id="411" w:name="_Toc195842899"/>
      <w:bookmarkStart w:id="412" w:name="_Toc226309778"/>
      <w:bookmarkStart w:id="413" w:name="_Toc151190161"/>
      <w:bookmarkStart w:id="414" w:name="_Toc264969224"/>
      <w:bookmarkStart w:id="415" w:name="_Toc305158802"/>
      <w:bookmarkStart w:id="416" w:name="_Toc151193848"/>
      <w:bookmarkStart w:id="417" w:name="_Toc226965807"/>
      <w:bookmarkStart w:id="418" w:name="_Toc127151534"/>
      <w:bookmarkStart w:id="419" w:name="_Toc151193632"/>
      <w:bookmarkStart w:id="420" w:name="_Toc520356159"/>
      <w:bookmarkStart w:id="421" w:name="_Toc151193776"/>
      <w:bookmarkStart w:id="422" w:name="_Toc305158876"/>
      <w:bookmarkStart w:id="423" w:name="_Toc142311036"/>
      <w:bookmarkStart w:id="424" w:name="_Toc150774739"/>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ascii="宋体" w:hAnsi="宋体" w:cs="宋体"/>
        </w:rPr>
      </w:pPr>
    </w:p>
    <w:p>
      <w:pPr>
        <w:pStyle w:val="6"/>
        <w:spacing w:before="0" w:line="360" w:lineRule="auto"/>
        <w:rPr>
          <w:rFonts w:ascii="宋体" w:hAnsi="宋体" w:eastAsia="宋体" w:cs="宋体"/>
          <w:sz w:val="28"/>
        </w:rPr>
      </w:pPr>
      <w:r>
        <w:rPr>
          <w:rFonts w:hint="eastAsia" w:ascii="宋体" w:hAnsi="宋体" w:eastAsia="宋体" w:cs="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numPr>
          <w:ilvl w:val="0"/>
          <w:numId w:val="10"/>
        </w:numPr>
        <w:tabs>
          <w:tab w:val="left" w:pos="360"/>
        </w:tabs>
        <w:snapToGrid w:val="0"/>
        <w:spacing w:line="360" w:lineRule="auto"/>
        <w:ind w:left="357" w:hanging="357"/>
        <w:outlineLvl w:val="1"/>
        <w:rPr>
          <w:rFonts w:ascii="宋体" w:hAnsi="宋体" w:cs="宋体"/>
          <w:sz w:val="24"/>
        </w:rPr>
      </w:pPr>
      <w:bookmarkStart w:id="425" w:name="_Toc520356160"/>
      <w:bookmarkStart w:id="426" w:name="_Toc305158877"/>
      <w:bookmarkStart w:id="427" w:name="_Toc164229376"/>
      <w:bookmarkStart w:id="428" w:name="_Toc226309779"/>
      <w:bookmarkStart w:id="429" w:name="_Toc164608649"/>
      <w:bookmarkStart w:id="430" w:name="_Toc226965725"/>
      <w:bookmarkStart w:id="431" w:name="_Toc226965808"/>
      <w:bookmarkStart w:id="432" w:name="_Toc150774635"/>
      <w:bookmarkStart w:id="433" w:name="_Toc195842900"/>
      <w:bookmarkStart w:id="434" w:name="_Toc142311037"/>
      <w:bookmarkStart w:id="435" w:name="_Toc127151535"/>
      <w:bookmarkStart w:id="436" w:name="_Toc264969225"/>
      <w:bookmarkStart w:id="437" w:name="_Toc149720828"/>
      <w:bookmarkStart w:id="438" w:name="_Toc151190162"/>
      <w:bookmarkStart w:id="439" w:name="_Toc151193777"/>
      <w:bookmarkStart w:id="440" w:name="_Toc150509286"/>
      <w:bookmarkStart w:id="441" w:name="_Toc151193633"/>
      <w:bookmarkStart w:id="442" w:name="_Toc305158803"/>
      <w:bookmarkStart w:id="443" w:name="_Toc164351629"/>
      <w:bookmarkStart w:id="444" w:name="_Toc151193923"/>
      <w:bookmarkStart w:id="445" w:name="_Toc226337231"/>
      <w:bookmarkStart w:id="446" w:name="_Toc164229230"/>
      <w:bookmarkStart w:id="447" w:name="_Toc150774740"/>
      <w:bookmarkStart w:id="448" w:name="_Toc127151736"/>
      <w:bookmarkStart w:id="449" w:name="_Toc164608804"/>
      <w:bookmarkStart w:id="450" w:name="_Toc127161449"/>
      <w:bookmarkStart w:id="451" w:name="_Toc151193705"/>
      <w:bookmarkStart w:id="452" w:name="_Toc150480773"/>
      <w:bookmarkStart w:id="453" w:name="_Toc265228373"/>
      <w:bookmarkStart w:id="454" w:name="_Toc151193849"/>
      <w:r>
        <w:rPr>
          <w:rFonts w:hint="eastAsia" w:ascii="宋体" w:hAnsi="宋体" w:cs="宋体"/>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455" w:name="_Toc142311038"/>
      <w:bookmarkStart w:id="456" w:name="_Toc151193850"/>
      <w:bookmarkStart w:id="457" w:name="_Toc150774741"/>
      <w:bookmarkStart w:id="458" w:name="_Toc164229377"/>
      <w:bookmarkStart w:id="459" w:name="_Toc265228374"/>
      <w:bookmarkStart w:id="460" w:name="_Toc149720829"/>
      <w:bookmarkStart w:id="461" w:name="_Toc164608650"/>
      <w:bookmarkStart w:id="462" w:name="_Toc164229231"/>
      <w:bookmarkStart w:id="463" w:name="_Toc305158878"/>
      <w:bookmarkStart w:id="464" w:name="_Toc150480774"/>
      <w:bookmarkStart w:id="465" w:name="_Toc226337232"/>
      <w:bookmarkStart w:id="466" w:name="_Toc150774636"/>
      <w:bookmarkStart w:id="467" w:name="_Toc127151536"/>
      <w:bookmarkStart w:id="468" w:name="_Toc151193634"/>
      <w:bookmarkStart w:id="469" w:name="_Toc151193706"/>
      <w:bookmarkStart w:id="470" w:name="_Toc127161450"/>
      <w:bookmarkStart w:id="471" w:name="_Toc164351630"/>
      <w:bookmarkStart w:id="472" w:name="_Toc195842901"/>
      <w:bookmarkStart w:id="473" w:name="_Toc151193778"/>
      <w:bookmarkStart w:id="474" w:name="_Toc164608805"/>
      <w:bookmarkStart w:id="475" w:name="_Toc127151737"/>
      <w:bookmarkStart w:id="476" w:name="_Toc151190163"/>
      <w:bookmarkStart w:id="477" w:name="_Toc305158804"/>
      <w:bookmarkStart w:id="478" w:name="_Toc226309780"/>
      <w:bookmarkStart w:id="479" w:name="_Toc520356161"/>
      <w:bookmarkStart w:id="480" w:name="_Toc226965726"/>
      <w:bookmarkStart w:id="481" w:name="_Toc150509287"/>
      <w:bookmarkStart w:id="482" w:name="_Toc226965809"/>
      <w:bookmarkStart w:id="483" w:name="_Toc264969226"/>
      <w:bookmarkStart w:id="484" w:name="_Toc151193924"/>
      <w:r>
        <w:rPr>
          <w:rFonts w:hint="eastAsia" w:ascii="宋体" w:hAnsi="宋体" w:cs="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ascii="宋体" w:hAnsi="宋体" w:cs="宋体"/>
          <w:sz w:val="24"/>
        </w:rPr>
      </w:pPr>
      <w:bookmarkStart w:id="485" w:name="_Toc127161451"/>
      <w:bookmarkStart w:id="486" w:name="_Toc127151738"/>
      <w:bookmarkStart w:id="487" w:name="_Toc150774637"/>
      <w:bookmarkStart w:id="488" w:name="_Toc150509288"/>
      <w:bookmarkStart w:id="489" w:name="_Toc164229232"/>
      <w:bookmarkStart w:id="490" w:name="_Toc142311039"/>
      <w:bookmarkStart w:id="491" w:name="_Toc264969227"/>
      <w:bookmarkStart w:id="492" w:name="_Toc164608651"/>
      <w:bookmarkStart w:id="493" w:name="_Toc195842902"/>
      <w:bookmarkStart w:id="494" w:name="_Toc305158805"/>
      <w:bookmarkStart w:id="495" w:name="_Toc164351631"/>
      <w:bookmarkStart w:id="496" w:name="_Toc520356162"/>
      <w:bookmarkStart w:id="497" w:name="_Toc226337233"/>
      <w:bookmarkStart w:id="498" w:name="_Toc151190164"/>
      <w:bookmarkStart w:id="499" w:name="_Toc127151537"/>
      <w:bookmarkStart w:id="500" w:name="_Toc151193707"/>
      <w:bookmarkStart w:id="501" w:name="_Toc150480775"/>
      <w:bookmarkStart w:id="502" w:name="_Toc150774742"/>
      <w:bookmarkStart w:id="503" w:name="_Toc305158879"/>
      <w:bookmarkStart w:id="504" w:name="_Toc151193925"/>
      <w:bookmarkStart w:id="505" w:name="_Toc164229378"/>
      <w:bookmarkStart w:id="506" w:name="_Toc151193851"/>
      <w:bookmarkStart w:id="507" w:name="_Toc151193779"/>
      <w:bookmarkStart w:id="508" w:name="_Toc226965810"/>
      <w:bookmarkStart w:id="509" w:name="_Toc226309781"/>
      <w:bookmarkStart w:id="510" w:name="_Toc151193635"/>
      <w:bookmarkStart w:id="511" w:name="_Toc265228375"/>
      <w:bookmarkStart w:id="512" w:name="_Toc226965727"/>
      <w:bookmarkStart w:id="513" w:name="_Toc149720830"/>
      <w:bookmarkStart w:id="514" w:name="_Toc164608806"/>
      <w:r>
        <w:rPr>
          <w:rFonts w:hint="eastAsia" w:ascii="宋体" w:hAnsi="宋体" w:cs="宋体"/>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ascii="宋体" w:hAnsi="宋体" w:cs="宋体"/>
          <w:sz w:val="24"/>
        </w:rPr>
      </w:pPr>
    </w:p>
    <w:p>
      <w:pPr>
        <w:pStyle w:val="6"/>
        <w:spacing w:before="0" w:line="360" w:lineRule="auto"/>
        <w:rPr>
          <w:rFonts w:ascii="宋体" w:hAnsi="宋体" w:eastAsia="宋体" w:cs="宋体"/>
          <w:color w:val="000000"/>
          <w:sz w:val="28"/>
        </w:rPr>
      </w:pPr>
      <w:bookmarkStart w:id="515" w:name="_Toc151193926"/>
      <w:bookmarkStart w:id="516" w:name="_Toc142311040"/>
      <w:bookmarkStart w:id="517" w:name="_Toc150480776"/>
      <w:bookmarkStart w:id="518" w:name="_Toc151193780"/>
      <w:bookmarkStart w:id="519" w:name="_Toc151190165"/>
      <w:bookmarkStart w:id="520" w:name="_Toc150774638"/>
      <w:bookmarkStart w:id="521" w:name="_Toc264969228"/>
      <w:bookmarkStart w:id="522" w:name="_Toc226965811"/>
      <w:bookmarkStart w:id="523" w:name="_Toc265228376"/>
      <w:bookmarkStart w:id="524" w:name="_Toc226309782"/>
      <w:bookmarkStart w:id="525" w:name="_Toc151193636"/>
      <w:bookmarkStart w:id="526" w:name="_Toc195842903"/>
      <w:bookmarkStart w:id="527" w:name="_Toc305158806"/>
      <w:bookmarkStart w:id="528" w:name="_Toc127151538"/>
      <w:bookmarkStart w:id="529" w:name="_Toc150509289"/>
      <w:bookmarkStart w:id="530" w:name="_Toc150774743"/>
      <w:bookmarkStart w:id="531" w:name="_Toc151193852"/>
      <w:bookmarkStart w:id="532" w:name="_Toc305158880"/>
      <w:bookmarkStart w:id="533" w:name="_Toc226337234"/>
      <w:bookmarkStart w:id="534" w:name="_Toc226965728"/>
      <w:bookmarkStart w:id="535" w:name="_Toc151193708"/>
      <w:bookmarkStart w:id="536" w:name="_Toc520356163"/>
      <w:r>
        <w:rPr>
          <w:rFonts w:hint="eastAsia" w:ascii="宋体" w:hAnsi="宋体" w:eastAsia="宋体" w:cs="宋体"/>
          <w:color w:val="000000"/>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numPr>
          <w:ilvl w:val="0"/>
          <w:numId w:val="10"/>
        </w:numPr>
        <w:tabs>
          <w:tab w:val="left" w:pos="360"/>
        </w:tabs>
        <w:snapToGrid w:val="0"/>
        <w:spacing w:line="360" w:lineRule="auto"/>
        <w:ind w:left="357" w:hanging="357"/>
        <w:outlineLvl w:val="1"/>
        <w:rPr>
          <w:rFonts w:ascii="宋体" w:hAnsi="宋体" w:cs="宋体"/>
          <w:color w:val="000000"/>
          <w:sz w:val="24"/>
        </w:rPr>
      </w:pPr>
      <w:bookmarkStart w:id="537" w:name="_Toc164229380"/>
      <w:bookmarkStart w:id="538" w:name="_Toc127151740"/>
      <w:bookmarkStart w:id="539" w:name="_Toc520356164"/>
      <w:bookmarkStart w:id="540" w:name="_Toc150509290"/>
      <w:bookmarkStart w:id="541" w:name="_Toc150774639"/>
      <w:bookmarkStart w:id="542" w:name="_Toc151193709"/>
      <w:bookmarkStart w:id="543" w:name="_Toc151193853"/>
      <w:bookmarkStart w:id="544" w:name="_Toc150480777"/>
      <w:bookmarkStart w:id="545" w:name="_Toc265228377"/>
      <w:bookmarkStart w:id="546" w:name="_Toc142311041"/>
      <w:bookmarkStart w:id="547" w:name="_Toc226965812"/>
      <w:bookmarkStart w:id="548" w:name="_Toc226965729"/>
      <w:bookmarkStart w:id="549" w:name="_Toc151193927"/>
      <w:bookmarkStart w:id="550" w:name="_Toc164608808"/>
      <w:bookmarkStart w:id="551" w:name="_Toc149720832"/>
      <w:bookmarkStart w:id="552" w:name="_Toc305158807"/>
      <w:bookmarkStart w:id="553" w:name="_Toc164608653"/>
      <w:bookmarkStart w:id="554" w:name="_Toc164229234"/>
      <w:bookmarkStart w:id="555" w:name="_Toc127151539"/>
      <w:bookmarkStart w:id="556" w:name="_Toc264969229"/>
      <w:bookmarkStart w:id="557" w:name="_Toc164351633"/>
      <w:bookmarkStart w:id="558" w:name="_Toc127161453"/>
      <w:bookmarkStart w:id="559" w:name="_Toc150774744"/>
      <w:bookmarkStart w:id="560" w:name="_Toc151193781"/>
      <w:bookmarkStart w:id="561" w:name="_Toc151190166"/>
      <w:bookmarkStart w:id="562" w:name="_Toc151193637"/>
      <w:bookmarkStart w:id="563" w:name="_Toc226309783"/>
      <w:bookmarkStart w:id="564" w:name="_Toc305158881"/>
      <w:bookmarkStart w:id="565" w:name="_Toc226337235"/>
      <w:bookmarkStart w:id="566" w:name="_Toc195842904"/>
      <w:r>
        <w:rPr>
          <w:rFonts w:hint="eastAsia" w:ascii="宋体" w:hAnsi="宋体" w:cs="宋体"/>
          <w:color w:val="000000"/>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7"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7"/>
    <w:p>
      <w:pPr>
        <w:numPr>
          <w:ilvl w:val="0"/>
          <w:numId w:val="10"/>
        </w:numPr>
        <w:tabs>
          <w:tab w:val="left" w:pos="360"/>
        </w:tabs>
        <w:snapToGrid w:val="0"/>
        <w:spacing w:line="360" w:lineRule="auto"/>
        <w:ind w:left="357" w:hanging="357"/>
        <w:outlineLvl w:val="1"/>
        <w:rPr>
          <w:rFonts w:ascii="宋体" w:hAnsi="宋体" w:cs="宋体"/>
          <w:sz w:val="24"/>
        </w:rPr>
      </w:pPr>
      <w:bookmarkStart w:id="568" w:name="_Toc150774640"/>
      <w:bookmarkStart w:id="569" w:name="_Toc151193638"/>
      <w:bookmarkStart w:id="570" w:name="_Toc264969230"/>
      <w:bookmarkStart w:id="571" w:name="_Toc265228378"/>
      <w:bookmarkStart w:id="572" w:name="_Toc305158882"/>
      <w:bookmarkStart w:id="573" w:name="_Toc151193782"/>
      <w:bookmarkStart w:id="574" w:name="_Toc127151540"/>
      <w:bookmarkStart w:id="575" w:name="_Toc195842905"/>
      <w:bookmarkStart w:id="576" w:name="_Toc127161454"/>
      <w:bookmarkStart w:id="577" w:name="_Toc151190167"/>
      <w:bookmarkStart w:id="578" w:name="_Toc164229235"/>
      <w:bookmarkStart w:id="579" w:name="_Toc305158808"/>
      <w:bookmarkStart w:id="580" w:name="_Toc226337236"/>
      <w:bookmarkStart w:id="581" w:name="_Toc151193854"/>
      <w:bookmarkStart w:id="582" w:name="_Toc150480778"/>
      <w:bookmarkStart w:id="583" w:name="_Toc150509291"/>
      <w:bookmarkStart w:id="584" w:name="_Toc226309784"/>
      <w:bookmarkStart w:id="585" w:name="_Toc127151741"/>
      <w:bookmarkStart w:id="586" w:name="_Toc164608809"/>
      <w:bookmarkStart w:id="587" w:name="_Toc151193710"/>
      <w:bookmarkStart w:id="588" w:name="_Toc164351634"/>
      <w:bookmarkStart w:id="589" w:name="_Toc226965813"/>
      <w:bookmarkStart w:id="590" w:name="_Toc164608654"/>
      <w:bookmarkStart w:id="591" w:name="_Toc150774745"/>
      <w:bookmarkStart w:id="592" w:name="_Toc226965730"/>
      <w:bookmarkStart w:id="593" w:name="_Toc149720833"/>
      <w:bookmarkStart w:id="594" w:name="_Toc142311042"/>
      <w:bookmarkStart w:id="595" w:name="_Toc151193928"/>
      <w:bookmarkStart w:id="596" w:name="_Toc164229381"/>
      <w:r>
        <w:rPr>
          <w:rFonts w:hint="eastAsia" w:ascii="宋体" w:hAnsi="宋体" w:cs="宋体"/>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7" w:name="_Toc52035616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ascii="宋体" w:hAnsi="宋体" w:cs="宋体"/>
          <w:sz w:val="24"/>
        </w:rPr>
      </w:pPr>
    </w:p>
    <w:p>
      <w:pPr>
        <w:pStyle w:val="6"/>
        <w:spacing w:before="0" w:line="360" w:lineRule="auto"/>
        <w:rPr>
          <w:rFonts w:ascii="宋体" w:hAnsi="宋体" w:eastAsia="宋体" w:cs="宋体"/>
          <w:sz w:val="28"/>
        </w:rPr>
      </w:pPr>
      <w:bookmarkStart w:id="599" w:name="_Toc150774750"/>
      <w:bookmarkStart w:id="600" w:name="_Toc226337241"/>
      <w:bookmarkStart w:id="601" w:name="_Toc264969235"/>
      <w:bookmarkStart w:id="602" w:name="_Toc151190172"/>
      <w:bookmarkStart w:id="603" w:name="_Toc151193933"/>
      <w:bookmarkStart w:id="604" w:name="_Toc150774645"/>
      <w:bookmarkStart w:id="605" w:name="_Toc127151545"/>
      <w:bookmarkStart w:id="606" w:name="_Toc151193643"/>
      <w:bookmarkStart w:id="607" w:name="_Toc305158887"/>
      <w:bookmarkStart w:id="608" w:name="_Toc150480783"/>
      <w:bookmarkStart w:id="609" w:name="_Toc226965735"/>
      <w:bookmarkStart w:id="610" w:name="_Toc151193859"/>
      <w:bookmarkStart w:id="611" w:name="_Toc265228383"/>
      <w:bookmarkStart w:id="612" w:name="_Toc142311047"/>
      <w:bookmarkStart w:id="613" w:name="_Toc151193715"/>
      <w:bookmarkStart w:id="614" w:name="_Toc226965818"/>
      <w:bookmarkStart w:id="615" w:name="_Toc195842910"/>
      <w:bookmarkStart w:id="616" w:name="_Toc150509296"/>
      <w:bookmarkStart w:id="617" w:name="_Toc305158813"/>
      <w:bookmarkStart w:id="618" w:name="_Toc226309789"/>
      <w:bookmarkStart w:id="619" w:name="_Toc151193787"/>
      <w:r>
        <w:rPr>
          <w:rFonts w:hint="eastAsia" w:ascii="宋体" w:hAnsi="宋体" w:eastAsia="宋体" w:cs="宋体"/>
          <w:sz w:val="28"/>
        </w:rPr>
        <w:t xml:space="preserve">六   </w:t>
      </w:r>
      <w:bookmarkEnd w:id="598"/>
      <w:r>
        <w:rPr>
          <w:rFonts w:hint="eastAsia" w:ascii="宋体" w:hAnsi="宋体" w:eastAsia="宋体" w:cs="宋体"/>
          <w:sz w:val="28"/>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64229388"/>
      <w:bookmarkStart w:id="621" w:name="_Toc151190174"/>
      <w:bookmarkStart w:id="622" w:name="_Toc127151547"/>
      <w:bookmarkStart w:id="623" w:name="_Toc164608816"/>
      <w:bookmarkStart w:id="624" w:name="_Toc142311049"/>
      <w:bookmarkStart w:id="625" w:name="_Toc226965820"/>
      <w:bookmarkStart w:id="626" w:name="_Toc151193935"/>
      <w:bookmarkStart w:id="627" w:name="_Toc305158815"/>
      <w:bookmarkStart w:id="628" w:name="_Toc151193861"/>
      <w:bookmarkStart w:id="629" w:name="_Toc150774647"/>
      <w:bookmarkStart w:id="630" w:name="_Toc265228385"/>
      <w:bookmarkStart w:id="631" w:name="_Toc164351641"/>
      <w:bookmarkStart w:id="632" w:name="_Toc150509298"/>
      <w:bookmarkStart w:id="633" w:name="_Toc195842912"/>
      <w:bookmarkStart w:id="634" w:name="_Toc149720840"/>
      <w:bookmarkStart w:id="635" w:name="_Toc127151748"/>
      <w:bookmarkStart w:id="636" w:name="_Toc226337243"/>
      <w:bookmarkStart w:id="637" w:name="_Toc164229242"/>
      <w:bookmarkStart w:id="638" w:name="_Toc164608661"/>
      <w:bookmarkStart w:id="639" w:name="_Toc305158889"/>
      <w:bookmarkStart w:id="640" w:name="_Toc226965737"/>
      <w:bookmarkStart w:id="641" w:name="_Toc150774752"/>
      <w:bookmarkStart w:id="642" w:name="_Toc127161461"/>
      <w:bookmarkStart w:id="643" w:name="_Toc226309791"/>
      <w:bookmarkStart w:id="644" w:name="_Toc151193717"/>
      <w:bookmarkStart w:id="645" w:name="_Toc264969237"/>
      <w:bookmarkStart w:id="646" w:name="_Toc150480785"/>
      <w:bookmarkStart w:id="647" w:name="_Toc151193645"/>
      <w:bookmarkStart w:id="648" w:name="_Toc15119378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ascii="宋体" w:hAnsi="宋体" w:cs="宋体"/>
          <w:sz w:val="24"/>
        </w:rPr>
      </w:pPr>
      <w:bookmarkStart w:id="649" w:name="_Toc305158891"/>
      <w:bookmarkStart w:id="650" w:name="_Toc305158817"/>
      <w:bookmarkStart w:id="651" w:name="_Toc164229390"/>
      <w:bookmarkStart w:id="652" w:name="_Toc151193719"/>
      <w:bookmarkStart w:id="653" w:name="_Toc164351643"/>
      <w:bookmarkStart w:id="654" w:name="_Toc226337245"/>
      <w:bookmarkStart w:id="655" w:name="_Toc142311051"/>
      <w:bookmarkStart w:id="656" w:name="_Toc150774754"/>
      <w:bookmarkStart w:id="657" w:name="_Toc149720842"/>
      <w:bookmarkStart w:id="658" w:name="_Toc150509300"/>
      <w:bookmarkStart w:id="659" w:name="_Toc127161463"/>
      <w:bookmarkStart w:id="660" w:name="_Toc151193791"/>
      <w:bookmarkStart w:id="661" w:name="_Toc127151549"/>
      <w:bookmarkStart w:id="662" w:name="_Toc151193647"/>
      <w:bookmarkStart w:id="663" w:name="_Toc264969239"/>
      <w:bookmarkStart w:id="664" w:name="_Toc164229244"/>
      <w:bookmarkStart w:id="665" w:name="_Toc127151750"/>
      <w:bookmarkStart w:id="666" w:name="_Toc226965822"/>
      <w:bookmarkStart w:id="667" w:name="_Toc151190176"/>
      <w:bookmarkStart w:id="668" w:name="_Toc164608818"/>
      <w:bookmarkStart w:id="669" w:name="_Toc164608663"/>
      <w:bookmarkStart w:id="670" w:name="_Toc151193937"/>
      <w:bookmarkStart w:id="671" w:name="_Toc151193863"/>
      <w:bookmarkStart w:id="672" w:name="_Toc226309793"/>
      <w:bookmarkStart w:id="673" w:name="_Toc226965739"/>
      <w:bookmarkStart w:id="674" w:name="_Toc150480787"/>
      <w:bookmarkStart w:id="675" w:name="_Toc150774649"/>
      <w:bookmarkStart w:id="676" w:name="_Toc265228387"/>
      <w:bookmarkStart w:id="677" w:name="_Toc195842914"/>
      <w:bookmarkStart w:id="678" w:name="_Ref467307090"/>
      <w:bookmarkStart w:id="679" w:name="_Toc520356176"/>
      <w:bookmarkStart w:id="680" w:name="_Ref467306425"/>
      <w:r>
        <w:rPr>
          <w:rFonts w:hint="eastAsia" w:ascii="宋体" w:hAnsi="宋体" w:cs="宋体"/>
          <w:sz w:val="24"/>
        </w:rPr>
        <w:t>中标公告与中标通知书</w:t>
      </w:r>
      <w:bookmarkEnd w:id="649"/>
      <w:bookmarkEnd w:id="650"/>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Pr>
        <w:numPr>
          <w:ilvl w:val="0"/>
          <w:numId w:val="10"/>
        </w:numPr>
        <w:tabs>
          <w:tab w:val="left" w:pos="360"/>
        </w:tabs>
        <w:snapToGrid w:val="0"/>
        <w:spacing w:line="360" w:lineRule="auto"/>
        <w:ind w:left="357" w:hanging="357"/>
        <w:outlineLvl w:val="1"/>
        <w:rPr>
          <w:rFonts w:ascii="宋体" w:hAnsi="宋体" w:cs="宋体"/>
          <w:sz w:val="24"/>
        </w:rPr>
      </w:pPr>
      <w:bookmarkStart w:id="681" w:name="_Toc520356175"/>
      <w:bookmarkStart w:id="682" w:name="_Toc264969240"/>
      <w:bookmarkStart w:id="683" w:name="_Toc164608819"/>
      <w:bookmarkStart w:id="684" w:name="_Toc127151751"/>
      <w:bookmarkStart w:id="685" w:name="_Toc127151550"/>
      <w:bookmarkStart w:id="686" w:name="_Toc265228388"/>
      <w:bookmarkStart w:id="687" w:name="_Toc226309794"/>
      <w:bookmarkStart w:id="688" w:name="_Toc151193648"/>
      <w:bookmarkStart w:id="689" w:name="_Toc149720843"/>
      <w:bookmarkStart w:id="690" w:name="_Toc305158818"/>
      <w:bookmarkStart w:id="691" w:name="_Toc164229391"/>
      <w:bookmarkStart w:id="692" w:name="_Toc150774650"/>
      <w:bookmarkStart w:id="693" w:name="_Toc226965740"/>
      <w:bookmarkStart w:id="694" w:name="_Toc226337246"/>
      <w:bookmarkStart w:id="695" w:name="_Toc151193864"/>
      <w:bookmarkStart w:id="696" w:name="_Toc164229245"/>
      <w:bookmarkStart w:id="697" w:name="_Toc142311052"/>
      <w:bookmarkStart w:id="698" w:name="_Toc164351644"/>
      <w:bookmarkStart w:id="699" w:name="_Toc226965823"/>
      <w:bookmarkStart w:id="700" w:name="_Toc150509301"/>
      <w:bookmarkStart w:id="701" w:name="_Toc164608664"/>
      <w:bookmarkStart w:id="702" w:name="_Toc150774755"/>
      <w:bookmarkStart w:id="703" w:name="_Ref467306377"/>
      <w:bookmarkStart w:id="704" w:name="_Toc151193720"/>
      <w:bookmarkStart w:id="705" w:name="_Ref467306978"/>
      <w:bookmarkStart w:id="706" w:name="_Toc151193792"/>
      <w:bookmarkStart w:id="707" w:name="_Toc151190177"/>
      <w:bookmarkStart w:id="708" w:name="_Toc195842915"/>
      <w:bookmarkStart w:id="709" w:name="_Ref467307204"/>
      <w:bookmarkStart w:id="710" w:name="_Toc151193938"/>
      <w:bookmarkStart w:id="711" w:name="_Toc150480788"/>
      <w:bookmarkStart w:id="712" w:name="_Toc305158892"/>
      <w:bookmarkStart w:id="713" w:name="_Toc127161464"/>
      <w:bookmarkStart w:id="714" w:name="_Ref467307062"/>
      <w:r>
        <w:rPr>
          <w:rFonts w:hint="eastAsia" w:ascii="宋体" w:hAnsi="宋体" w:cs="宋体"/>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 ”融资指引：详见《投标人须知资料表》。</w:t>
      </w:r>
    </w:p>
    <w:bookmarkEnd w:id="678"/>
    <w:bookmarkEnd w:id="679"/>
    <w:bookmarkEnd w:id="680"/>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0"/>
        </w:numPr>
        <w:snapToGrid w:val="0"/>
        <w:spacing w:line="360" w:lineRule="auto"/>
        <w:rPr>
          <w:rFonts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w:t>
      </w:r>
    </w:p>
    <w:p>
      <w:pPr>
        <w:tabs>
          <w:tab w:val="left" w:pos="900"/>
          <w:tab w:val="left" w:pos="1080"/>
          <w:tab w:val="left" w:pos="1589"/>
        </w:tabs>
        <w:snapToGrid w:val="0"/>
        <w:spacing w:line="360" w:lineRule="auto"/>
        <w:rPr>
          <w:rFonts w:ascii="宋体" w:hAnsi="宋体" w:cs="宋体"/>
          <w:sz w:val="24"/>
        </w:rPr>
      </w:pPr>
    </w:p>
    <w:p>
      <w:pPr>
        <w:tabs>
          <w:tab w:val="left" w:pos="360"/>
          <w:tab w:val="left" w:pos="1080"/>
        </w:tabs>
        <w:snapToGrid w:val="0"/>
        <w:spacing w:line="360" w:lineRule="auto"/>
        <w:ind w:left="360"/>
        <w:rPr>
          <w:rFonts w:ascii="宋体" w:hAnsi="宋体" w:cs="宋体"/>
          <w:sz w:val="24"/>
        </w:rPr>
      </w:pPr>
    </w:p>
    <w:p>
      <w:pPr>
        <w:spacing w:line="360" w:lineRule="auto"/>
        <w:jc w:val="center"/>
        <w:outlineLvl w:val="0"/>
        <w:rPr>
          <w:rFonts w:ascii="宋体" w:hAnsi="宋体" w:cs="宋体"/>
          <w:b/>
          <w:sz w:val="36"/>
          <w:szCs w:val="36"/>
        </w:rPr>
      </w:pPr>
      <w:bookmarkStart w:id="715" w:name="_Toc226965827"/>
      <w:bookmarkStart w:id="716" w:name="_Toc142311056"/>
      <w:bookmarkStart w:id="717" w:name="_Toc305158896"/>
      <w:bookmarkStart w:id="718" w:name="_Toc127151554"/>
      <w:bookmarkStart w:id="719" w:name="_Toc353873934"/>
      <w:bookmarkStart w:id="720" w:name="_Toc264969244"/>
      <w:bookmarkStart w:id="721" w:name="_Toc150480792"/>
      <w:bookmarkStart w:id="722" w:name="_Toc150774759"/>
      <w:bookmarkStart w:id="723" w:name="_Toc305158822"/>
      <w:bookmarkStart w:id="724" w:name="_Toc353873664"/>
      <w:bookmarkStart w:id="725" w:name="_Toc226337250"/>
      <w:bookmarkStart w:id="726" w:name="_Toc265228392"/>
      <w:bookmarkStart w:id="727" w:name="_Toc353825544"/>
      <w:r>
        <w:rPr>
          <w:rFonts w:hint="eastAsia" w:ascii="宋体" w:hAnsi="宋体" w:cs="宋体"/>
          <w:sz w:val="24"/>
        </w:rPr>
        <w:br w:type="page"/>
      </w:r>
      <w:bookmarkStart w:id="728" w:name="_Toc99301421"/>
      <w:r>
        <w:rPr>
          <w:rFonts w:hint="eastAsia" w:ascii="宋体" w:hAnsi="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cs="宋体"/>
          <w:b/>
          <w:sz w:val="36"/>
          <w:szCs w:val="36"/>
        </w:rPr>
        <w:t>资格审查</w:t>
      </w:r>
      <w:bookmarkEnd w:id="728"/>
      <w:bookmarkStart w:id="729" w:name="_Toc487900382"/>
    </w:p>
    <w:p>
      <w:pPr>
        <w:tabs>
          <w:tab w:val="left" w:pos="360"/>
          <w:tab w:val="left" w:pos="900"/>
        </w:tabs>
        <w:snapToGrid w:val="0"/>
        <w:spacing w:line="360" w:lineRule="auto"/>
        <w:jc w:val="center"/>
        <w:outlineLvl w:val="1"/>
        <w:rPr>
          <w:rFonts w:ascii="宋体" w:hAnsi="宋体" w:cs="宋体"/>
          <w:b/>
          <w:sz w:val="24"/>
        </w:rPr>
      </w:pPr>
      <w:bookmarkStart w:id="730" w:name="_Toc99301422"/>
      <w:r>
        <w:rPr>
          <w:rFonts w:hint="eastAsia" w:ascii="宋体" w:hAnsi="宋体" w:cs="宋体"/>
          <w:b/>
          <w:sz w:val="24"/>
        </w:rPr>
        <w:t>一、资格审查程序</w:t>
      </w:r>
      <w:bookmarkEnd w:id="730"/>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b/>
                <w:sz w:val="24"/>
              </w:rPr>
            </w:pPr>
            <w:bookmarkStart w:id="731" w:name="_Hlt487972895"/>
            <w:bookmarkEnd w:id="731"/>
            <w:r>
              <w:rPr>
                <w:rFonts w:hint="eastAsia" w:ascii="宋体" w:hAnsi="宋体" w:cs="宋体"/>
                <w:b/>
                <w:sz w:val="24"/>
              </w:rPr>
              <w:t>序号</w:t>
            </w:r>
          </w:p>
        </w:tc>
        <w:tc>
          <w:tcPr>
            <w:tcW w:w="1715" w:type="dxa"/>
            <w:vAlign w:val="center"/>
          </w:tcPr>
          <w:p>
            <w:pPr>
              <w:tabs>
                <w:tab w:val="left" w:pos="1080"/>
              </w:tabs>
              <w:snapToGrid w:val="0"/>
              <w:jc w:val="center"/>
              <w:rPr>
                <w:rFonts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vAlign w:val="center"/>
          </w:tcPr>
          <w:p>
            <w:pPr>
              <w:tabs>
                <w:tab w:val="left" w:pos="1080"/>
              </w:tabs>
              <w:snapToGrid w:val="0"/>
              <w:rPr>
                <w:rFonts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 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ascii="宋体" w:hAnsi="宋体" w:cs="宋体"/>
                <w:sz w:val="24"/>
              </w:rPr>
            </w:pPr>
            <w:r>
              <w:rPr>
                <w:rFonts w:hint="eastAsia" w:ascii="宋体" w:hAnsi="宋体" w:cs="宋体"/>
                <w:sz w:val="24"/>
              </w:rPr>
              <w:t>对于预留份额专门面向中小企业采购的项目 （包），组成联合体或者接受分包合同的中小 企业与联合体内其他企业 、分包企业之间不 得存在直接控股、管理关系。</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本项目的特定资格要求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提供《联合协议》原件</w:t>
            </w:r>
          </w:p>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w:t>
            </w:r>
          </w:p>
          <w:p>
            <w:pPr>
              <w:tabs>
                <w:tab w:val="left" w:pos="1080"/>
              </w:tabs>
              <w:snapToGrid w:val="0"/>
              <w:rPr>
                <w:rFonts w:ascii="宋体" w:hAnsi="宋体" w:cs="宋体"/>
                <w:sz w:val="24"/>
              </w:rPr>
            </w:pPr>
            <w:r>
              <w:rPr>
                <w:rFonts w:hint="eastAsia" w:ascii="宋体" w:hAnsi="宋体" w:cs="宋体"/>
                <w:sz w:val="24"/>
              </w:rPr>
              <w:t>文件格式》</w:t>
            </w:r>
          </w:p>
          <w:p>
            <w:pPr>
              <w:tabs>
                <w:tab w:val="left" w:pos="1080"/>
              </w:tabs>
              <w:snapToGrid w:val="0"/>
              <w:rPr>
                <w:rFonts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kern w:val="0"/>
                <w:sz w:val="24"/>
              </w:rPr>
              <w:t>按照招标文件的规定提交投标保证金。</w:t>
            </w:r>
          </w:p>
        </w:tc>
        <w:tc>
          <w:tcPr>
            <w:tcW w:w="1840" w:type="dxa"/>
            <w:vAlign w:val="center"/>
          </w:tcPr>
          <w:p>
            <w:pPr>
              <w:tabs>
                <w:tab w:val="left" w:pos="1080"/>
              </w:tabs>
              <w:snapToGrid w:val="0"/>
              <w:rPr>
                <w:rFonts w:ascii="宋体" w:hAnsi="宋体" w:cs="宋体"/>
                <w:sz w:val="24"/>
              </w:rPr>
            </w:pPr>
          </w:p>
        </w:tc>
        <w:bookmarkStart w:id="732" w:name="_Hlt487900425"/>
        <w:bookmarkStart w:id="733"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vAlign w:val="center"/>
          </w:tcPr>
          <w:p>
            <w:pPr>
              <w:tabs>
                <w:tab w:val="left" w:pos="1080"/>
              </w:tabs>
              <w:snapToGrid w:val="0"/>
              <w:rPr>
                <w:rFonts w:ascii="宋体" w:hAnsi="宋体" w:cs="宋体"/>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9"/>
      <w:bookmarkEnd w:id="732"/>
      <w:bookmarkEnd w:id="733"/>
    </w:tbl>
    <w:p>
      <w:pPr>
        <w:widowControl/>
        <w:jc w:val="left"/>
        <w:rPr>
          <w:rFonts w:ascii="宋体" w:hAnsi="宋体" w:cs="宋体"/>
          <w:sz w:val="24"/>
        </w:rPr>
      </w:pPr>
      <w:bookmarkStart w:id="734" w:name="_Toc353825550"/>
      <w:bookmarkStart w:id="735" w:name="_Toc353873940"/>
      <w:bookmarkStart w:id="736" w:name="_Toc226965858"/>
      <w:bookmarkStart w:id="737" w:name="_Toc127161490"/>
      <w:bookmarkStart w:id="738" w:name="_Toc127151779"/>
    </w:p>
    <w:p>
      <w:pPr>
        <w:spacing w:line="360" w:lineRule="auto"/>
        <w:jc w:val="center"/>
        <w:outlineLvl w:val="0"/>
        <w:rPr>
          <w:rFonts w:ascii="宋体" w:hAnsi="宋体" w:cs="宋体"/>
          <w:b/>
          <w:sz w:val="36"/>
          <w:szCs w:val="36"/>
        </w:rPr>
      </w:pPr>
      <w:bookmarkStart w:id="739" w:name="_Toc99301423"/>
      <w:r>
        <w:rPr>
          <w:rFonts w:hint="eastAsia" w:ascii="宋体" w:hAnsi="宋体" w:cs="宋体"/>
          <w:b/>
          <w:sz w:val="36"/>
          <w:szCs w:val="36"/>
        </w:rPr>
        <w:t xml:space="preserve">第四章   </w:t>
      </w:r>
      <w:bookmarkEnd w:id="734"/>
      <w:bookmarkEnd w:id="735"/>
      <w:bookmarkEnd w:id="736"/>
      <w:bookmarkEnd w:id="737"/>
      <w:bookmarkEnd w:id="738"/>
      <w:bookmarkStart w:id="740" w:name="_Hlt164229061"/>
      <w:bookmarkEnd w:id="740"/>
      <w:r>
        <w:rPr>
          <w:rFonts w:hint="eastAsia" w:ascii="宋体" w:hAnsi="宋体" w:cs="宋体"/>
          <w:b/>
          <w:sz w:val="36"/>
          <w:szCs w:val="36"/>
        </w:rPr>
        <w:t>评标程序、评标方法和评标标准</w:t>
      </w:r>
      <w:bookmarkEnd w:id="739"/>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ascii="宋体" w:hAnsi="宋体" w:cs="宋体"/>
          <w:sz w:val="24"/>
        </w:rPr>
      </w:pPr>
      <w:bookmarkStart w:id="741" w:name="_Toc226965814"/>
      <w:bookmarkStart w:id="742" w:name="_Toc127151742"/>
      <w:bookmarkStart w:id="743" w:name="_Toc151193639"/>
      <w:bookmarkStart w:id="744" w:name="_Toc305158809"/>
      <w:bookmarkStart w:id="745" w:name="_Toc127161455"/>
      <w:bookmarkStart w:id="746" w:name="_Toc264969231"/>
      <w:bookmarkStart w:id="747" w:name="_Toc226309785"/>
      <w:bookmarkStart w:id="748" w:name="_Toc151193855"/>
      <w:bookmarkStart w:id="749" w:name="_Toc305158883"/>
      <w:bookmarkStart w:id="750" w:name="_Toc150774641"/>
      <w:bookmarkStart w:id="751" w:name="_Toc150509292"/>
      <w:bookmarkStart w:id="752" w:name="_Toc164608810"/>
      <w:bookmarkStart w:id="753" w:name="_Toc164229382"/>
      <w:bookmarkStart w:id="754" w:name="_Toc164229236"/>
      <w:bookmarkStart w:id="755" w:name="_Toc164351635"/>
      <w:bookmarkStart w:id="756" w:name="_Toc150774746"/>
      <w:bookmarkStart w:id="757" w:name="_Toc226965731"/>
      <w:bookmarkStart w:id="758" w:name="_Toc265228379"/>
      <w:bookmarkStart w:id="759" w:name="_Toc151193929"/>
      <w:bookmarkStart w:id="760" w:name="_Toc151193711"/>
      <w:bookmarkStart w:id="761" w:name="_Toc142311043"/>
      <w:bookmarkStart w:id="762" w:name="_Toc151190168"/>
      <w:bookmarkStart w:id="763" w:name="_Toc226337237"/>
      <w:bookmarkStart w:id="764" w:name="_Toc149720834"/>
      <w:bookmarkStart w:id="765" w:name="_Toc150480779"/>
      <w:bookmarkStart w:id="766" w:name="_Toc195842906"/>
      <w:bookmarkStart w:id="767" w:name="_Toc164608655"/>
      <w:bookmarkStart w:id="768" w:name="_Toc127151541"/>
      <w:bookmarkStart w:id="769" w:name="_Toc151193783"/>
      <w:bookmarkStart w:id="770" w:name="_Toc353825551"/>
      <w:bookmarkStart w:id="771" w:name="_Toc353873941"/>
      <w:bookmarkStart w:id="772" w:name="_Toc226965828"/>
      <w:bookmarkStart w:id="773" w:name="_Toc305158897"/>
      <w:bookmarkStart w:id="774" w:name="_Toc264969245"/>
      <w:bookmarkStart w:id="775" w:name="_Toc150774760"/>
      <w:bookmarkStart w:id="776" w:name="_Toc226337251"/>
      <w:bookmarkStart w:id="777" w:name="_Toc265228393"/>
      <w:bookmarkStart w:id="778" w:name="_Toc353873665"/>
      <w:bookmarkStart w:id="779" w:name="_Toc142311057"/>
      <w:bookmarkStart w:id="780" w:name="_Toc353825545"/>
      <w:bookmarkStart w:id="781" w:name="_Toc195842920"/>
      <w:bookmarkStart w:id="782" w:name="_Toc305158823"/>
      <w:bookmarkStart w:id="783" w:name="_Toc353873935"/>
      <w:bookmarkStart w:id="784" w:name="_Toc150480793"/>
      <w:bookmarkStart w:id="785" w:name="_Toc127151555"/>
      <w:r>
        <w:rPr>
          <w:rFonts w:hint="eastAsia" w:ascii="宋体" w:hAnsi="宋体" w:cs="宋体"/>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6" w:name="_Toc5203561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ascii="宋体" w:hAnsi="宋体" w:cs="宋体"/>
          <w:b/>
          <w:color w:val="000000"/>
          <w:sz w:val="24"/>
        </w:rPr>
      </w:pPr>
      <w:r>
        <w:rPr>
          <w:rFonts w:hint="eastAsia" w:ascii="宋体" w:hAnsi="宋体" w:cs="宋体"/>
          <w:b/>
          <w:sz w:val="24"/>
        </w:rPr>
        <w:t>符合性审查要求</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975"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审查因素</w:t>
            </w:r>
          </w:p>
        </w:tc>
        <w:tc>
          <w:tcPr>
            <w:tcW w:w="3621"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授权委托书</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投标完整性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投标报价</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报价唯一性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投标有效期</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实质性格式</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★号条款响应</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如本项目（包）非因 “落实政府采购政策 ”亦允许分包，且供应 商拟进行分包时，必须提供 ；否则无须提供；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1"/>
                <w:sz w:val="24"/>
              </w:rPr>
              <w:t>分包其他要求</w:t>
            </w:r>
            <w:r>
              <w:rPr>
                <w:rFonts w:hint="eastAsia" w:ascii="宋体" w:hAnsi="宋体" w:cs="宋体"/>
                <w:sz w:val="24"/>
              </w:rPr>
              <w:t xml:space="preserve"> </w:t>
            </w:r>
            <w:r>
              <w:rPr>
                <w:rFonts w:hint="eastAsia" w:ascii="宋体" w:hAnsi="宋体" w:cs="宋体"/>
                <w:spacing w:val="3"/>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报价的修正（如有）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报价合理性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进口产品</w:t>
            </w:r>
          </w:p>
          <w:p>
            <w:pPr>
              <w:widowControl/>
              <w:jc w:val="left"/>
              <w:rPr>
                <w:rFonts w:ascii="宋体" w:hAnsi="宋体" w:cs="宋体"/>
                <w:color w:val="000000"/>
                <w:kern w:val="0"/>
                <w:sz w:val="24"/>
              </w:rPr>
            </w:pPr>
            <w:r>
              <w:rPr>
                <w:rFonts w:hint="eastAsia" w:ascii="宋体" w:hAnsi="宋体" w:cs="宋体"/>
                <w:color w:val="000000"/>
                <w:kern w:val="0"/>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公平竞争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串通投标</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不存在《政府采购货物和服务招标投标管理办法》视为投标人   串通投标的情形：（一）不同投标人的投标文件由同一单位或者个人编制；（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附加条件</w:t>
            </w:r>
          </w:p>
        </w:tc>
        <w:tc>
          <w:tcPr>
            <w:tcW w:w="3621"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其他无效情形</w:t>
            </w:r>
          </w:p>
        </w:tc>
        <w:tc>
          <w:tcPr>
            <w:tcW w:w="3621" w:type="pct"/>
            <w:vAlign w:val="center"/>
          </w:tcPr>
          <w:p>
            <w:pPr>
              <w:widowControl/>
              <w:jc w:val="left"/>
              <w:rPr>
                <w:rFonts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0"/>
      <w:bookmarkEnd w:id="771"/>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7" w:name="_Toc264969236"/>
      <w:bookmarkStart w:id="788" w:name="_Toc164608660"/>
      <w:bookmarkStart w:id="789" w:name="_Toc151190173"/>
      <w:bookmarkStart w:id="790" w:name="_Toc149720839"/>
      <w:bookmarkStart w:id="791" w:name="_Ref467307010"/>
      <w:bookmarkStart w:id="792" w:name="_Toc151193644"/>
      <w:bookmarkStart w:id="793" w:name="_Toc142311048"/>
      <w:bookmarkStart w:id="794" w:name="_Toc226965736"/>
      <w:bookmarkStart w:id="795" w:name="_Toc151193788"/>
      <w:bookmarkStart w:id="796" w:name="_Toc226309790"/>
      <w:bookmarkStart w:id="797" w:name="_Toc150774646"/>
      <w:bookmarkStart w:id="798" w:name="_Toc127151546"/>
      <w:bookmarkStart w:id="799" w:name="_Toc164351640"/>
      <w:bookmarkStart w:id="800" w:name="_Toc195842911"/>
      <w:bookmarkStart w:id="801" w:name="_Toc151193716"/>
      <w:bookmarkStart w:id="802" w:name="_Toc164229241"/>
      <w:bookmarkStart w:id="803" w:name="_Toc151193860"/>
      <w:bookmarkStart w:id="804" w:name="_Toc265228384"/>
      <w:bookmarkStart w:id="805" w:name="_Toc127151747"/>
      <w:bookmarkStart w:id="806" w:name="_Toc150509297"/>
      <w:bookmarkStart w:id="807" w:name="_Toc305158814"/>
      <w:bookmarkStart w:id="808" w:name="_Toc150480784"/>
      <w:bookmarkStart w:id="809" w:name="_Toc164229387"/>
      <w:bookmarkStart w:id="810" w:name="_Toc127161460"/>
      <w:bookmarkStart w:id="811" w:name="_Toc520356170"/>
      <w:bookmarkStart w:id="812" w:name="_Toc150774751"/>
      <w:bookmarkStart w:id="813" w:name="_Toc305158888"/>
      <w:bookmarkStart w:id="814" w:name="_Toc226965819"/>
      <w:bookmarkStart w:id="815" w:name="_Toc164608815"/>
      <w:bookmarkStart w:id="816" w:name="_Toc226337242"/>
      <w:bookmarkStart w:id="817" w:name="_Toc151193934"/>
      <w:r>
        <w:rPr>
          <w:rFonts w:hint="eastAsia" w:ascii="宋体" w:hAnsi="宋体" w:cs="宋体"/>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如果是得分相同的情况，以投标报价最低的获得中标人推荐资格。得分且投标报价均相同的 ，以技术部分得分高者为中标人推荐资格。</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tbl>
      <w:tblPr>
        <w:tblStyle w:val="52"/>
        <w:tblW w:w="90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00"/>
        <w:gridCol w:w="6015"/>
        <w:gridCol w:w="742"/>
        <w:gridCol w:w="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708"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序号</w:t>
            </w:r>
          </w:p>
        </w:tc>
        <w:tc>
          <w:tcPr>
            <w:tcW w:w="900"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评审因素</w:t>
            </w:r>
          </w:p>
        </w:tc>
        <w:tc>
          <w:tcPr>
            <w:tcW w:w="6015"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评分细则</w:t>
            </w:r>
          </w:p>
        </w:tc>
        <w:tc>
          <w:tcPr>
            <w:tcW w:w="742"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分值</w:t>
            </w:r>
          </w:p>
          <w:p>
            <w:pPr>
              <w:adjustRightInd w:val="0"/>
              <w:snapToGrid w:val="0"/>
              <w:jc w:val="center"/>
              <w:textAlignment w:val="baseline"/>
              <w:rPr>
                <w:rFonts w:ascii="宋体" w:hAnsi="宋体" w:cs="宋体"/>
                <w:b/>
                <w:kern w:val="0"/>
                <w:sz w:val="24"/>
              </w:rPr>
            </w:pPr>
            <w:r>
              <w:rPr>
                <w:rFonts w:hint="eastAsia" w:ascii="宋体" w:hAnsi="宋体" w:cs="宋体"/>
                <w:b/>
                <w:kern w:val="0"/>
                <w:sz w:val="24"/>
              </w:rPr>
              <w:t>（分）</w:t>
            </w:r>
          </w:p>
        </w:tc>
        <w:tc>
          <w:tcPr>
            <w:tcW w:w="711"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权重</w:t>
            </w:r>
          </w:p>
          <w:p>
            <w:pPr>
              <w:adjustRightInd w:val="0"/>
              <w:snapToGrid w:val="0"/>
              <w:jc w:val="center"/>
              <w:textAlignment w:val="baseline"/>
              <w:rPr>
                <w:rFonts w:ascii="宋体" w:hAnsi="宋体" w:cs="宋体"/>
                <w:b/>
                <w:kern w:val="0"/>
                <w:sz w:val="24"/>
              </w:rPr>
            </w:pPr>
            <w:r>
              <w:rPr>
                <w:rFonts w:hint="eastAsia" w:ascii="宋体" w:hAnsi="宋体" w:cs="宋体"/>
                <w:b/>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708"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一</w:t>
            </w:r>
          </w:p>
        </w:tc>
        <w:tc>
          <w:tcPr>
            <w:tcW w:w="7657" w:type="dxa"/>
            <w:gridSpan w:val="3"/>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技术部分（合计75分）</w:t>
            </w:r>
          </w:p>
        </w:tc>
        <w:tc>
          <w:tcPr>
            <w:tcW w:w="711" w:type="dxa"/>
            <w:vAlign w:val="center"/>
          </w:tcPr>
          <w:p>
            <w:pPr>
              <w:adjustRightInd w:val="0"/>
              <w:snapToGrid w:val="0"/>
              <w:jc w:val="center"/>
              <w:textAlignment w:val="baseline"/>
              <w:rPr>
                <w:rFonts w:ascii="宋体" w:hAnsi="宋体" w:cs="宋体"/>
                <w:b/>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708"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需求理解和分析</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对首都城市环境建设管理社会公众满意度调查和环境抽查需求理解透彻、全面、合理， 项目计划书设计完整、详细合理得8分；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对需求理解较透彻、较全面、较合理， 项目计划书设计较完整、较详细合理得5分；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对需求理解不够透彻、不够全面、不够合理， 项目计划书设计不够完整、不够详细合理得2分；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其它的得0分。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8分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5" w:hRule="atLeast"/>
        </w:trPr>
        <w:tc>
          <w:tcPr>
            <w:tcW w:w="708" w:type="dxa"/>
            <w:vAlign w:val="center"/>
          </w:tcPr>
          <w:p>
            <w:pPr>
              <w:jc w:val="center"/>
              <w:rPr>
                <w:rFonts w:ascii="宋体" w:hAnsi="宋体" w:cs="宋体"/>
                <w:kern w:val="0"/>
                <w:sz w:val="24"/>
              </w:rPr>
            </w:pPr>
            <w:r>
              <w:rPr>
                <w:rFonts w:hint="eastAsia" w:ascii="宋体" w:hAnsi="宋体" w:cs="宋体"/>
                <w:kern w:val="0"/>
                <w:sz w:val="24"/>
              </w:rPr>
              <w:t>2</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项目总体</w:t>
            </w:r>
          </w:p>
          <w:p>
            <w:pPr>
              <w:adjustRightInd w:val="0"/>
              <w:snapToGrid w:val="0"/>
              <w:jc w:val="center"/>
              <w:textAlignment w:val="baseline"/>
              <w:rPr>
                <w:rFonts w:ascii="宋体" w:hAnsi="宋体" w:cs="宋体"/>
                <w:kern w:val="0"/>
                <w:sz w:val="24"/>
              </w:rPr>
            </w:pPr>
            <w:r>
              <w:rPr>
                <w:rFonts w:hint="eastAsia" w:ascii="宋体" w:hAnsi="宋体" w:cs="宋体"/>
                <w:kern w:val="0"/>
                <w:sz w:val="24"/>
              </w:rPr>
              <w:t>方案</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本项目需统筹执行首都城市环境建设管理问卷调查和环境抽查，根据投标人阐述的以下内容进行评分：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总体方案思路清晰，覆盖所有调查检查范围、人群，细致完整，表述准确，得10分；统筹本项目总体任务基本合理，思路基本清晰，调查检查范围、人群基本覆盖，表述基本准确，得8分；统筹本项目总体方案个别内容有缺失，表述个别有偏差，得4分；未能统筹本项目总体任务，任务内容梳理缺失较多，各项工作具体内容不全面，得2分；未提供统筹本项目总体任务情况的，得0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建立项目团队总体运行和抽查检查工作机制及流程图。根据投标人阐述的满意度调查和环境抽查工作运行机制进行评分：</w:t>
            </w:r>
          </w:p>
          <w:p>
            <w:pPr>
              <w:adjustRightInd w:val="0"/>
              <w:snapToGrid w:val="0"/>
              <w:jc w:val="left"/>
              <w:textAlignment w:val="baseline"/>
              <w:rPr>
                <w:rFonts w:ascii="宋体" w:hAnsi="宋体" w:cs="宋体"/>
                <w:kern w:val="0"/>
                <w:sz w:val="24"/>
              </w:rPr>
            </w:pPr>
            <w:r>
              <w:rPr>
                <w:rFonts w:hint="eastAsia" w:ascii="宋体" w:hAnsi="宋体" w:cs="宋体"/>
                <w:kern w:val="0"/>
                <w:sz w:val="24"/>
              </w:rPr>
              <w:t>运行机制设计科学合理，流程清晰完整，涵盖前期准备、问卷调查、分析汇总、质量复核全流程，各环节衔接顺畅、责任明确，得5分；运行机制基本完整，主要环节齐备但部分细节需完善，得3分；运行机制设计存在明显缺陷，流程逻辑混乱或关键环节缺失，得1分。未提供相关内容不得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15分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708" w:type="dxa"/>
            <w:vAlign w:val="center"/>
          </w:tcPr>
          <w:p>
            <w:pPr>
              <w:jc w:val="center"/>
              <w:rPr>
                <w:rFonts w:ascii="宋体" w:hAnsi="宋体" w:cs="宋体"/>
                <w:kern w:val="0"/>
                <w:sz w:val="24"/>
              </w:rPr>
            </w:pPr>
            <w:r>
              <w:rPr>
                <w:rFonts w:hint="eastAsia" w:ascii="宋体" w:hAnsi="宋体" w:cs="宋体"/>
                <w:kern w:val="0"/>
                <w:sz w:val="24"/>
              </w:rPr>
              <w:t>3</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项目团队</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保障一定数量的团队人员，投入到项目的人员数量及结构合理：</w:t>
            </w:r>
          </w:p>
          <w:p>
            <w:pPr>
              <w:adjustRightInd w:val="0"/>
              <w:snapToGrid w:val="0"/>
              <w:jc w:val="left"/>
              <w:textAlignment w:val="baseline"/>
              <w:rPr>
                <w:rFonts w:ascii="宋体" w:hAnsi="宋体" w:cs="宋体"/>
                <w:kern w:val="0"/>
                <w:sz w:val="24"/>
              </w:rPr>
            </w:pPr>
            <w:r>
              <w:rPr>
                <w:rFonts w:hint="eastAsia" w:ascii="宋体" w:hAnsi="宋体" w:cs="宋体"/>
                <w:kern w:val="0"/>
                <w:sz w:val="24"/>
              </w:rPr>
              <w:t>项目成员组织架构清晰，工作任务分配合理，人员具有统计分析、政策分析、公共管理、社会调查、经济分析等专业知识背景，能覆盖并满足所有业务需求，总体工作量分析详尽，各岗位工作量测算依据充分得10分；团队分工基本明确，人员专业知识背景一般，分配基本合理，基本满足业务需求，工作量测算基本合理得7分；团队分工基本明确，人员专业知识背景一般，工作量测算和分配依据不充分，满足部分业务需求得3分；团队人员分工不清，人员专业知识背景不足，经验较差，未提供工作量测算和分配依据得0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注：需提供包括不限于项目团队投入人员学历证书、职业技能资格证书等。</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708" w:type="dxa"/>
            <w:vAlign w:val="center"/>
          </w:tcPr>
          <w:p>
            <w:pPr>
              <w:jc w:val="center"/>
              <w:rPr>
                <w:rFonts w:ascii="宋体" w:hAnsi="宋体" w:cs="宋体"/>
                <w:kern w:val="0"/>
                <w:sz w:val="24"/>
              </w:rPr>
            </w:pPr>
            <w:r>
              <w:rPr>
                <w:rFonts w:hint="eastAsia" w:ascii="宋体" w:hAnsi="宋体" w:cs="宋体"/>
                <w:kern w:val="0"/>
                <w:sz w:val="24"/>
              </w:rPr>
              <w:t>4</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抽样方案</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抽样方案完整、明确，抽样方法与各个区的人口总量和人口结构相结合，且科学合理、可操作性强，得5分；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抽样方案较完整、较明确，抽样方法与各区的人口特征相结合，科学合理性较好，可操作性较好，得3分；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抽样方案基本完整明确，抽样方法与各区的人口特征相结合，但缺乏一定的科学合理性，可操作性一般得1                                                                                  分；其它的得0分。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5分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4" w:hRule="atLeast"/>
        </w:trPr>
        <w:tc>
          <w:tcPr>
            <w:tcW w:w="708" w:type="dxa"/>
            <w:vAlign w:val="center"/>
          </w:tcPr>
          <w:p>
            <w:pPr>
              <w:jc w:val="center"/>
              <w:rPr>
                <w:rFonts w:ascii="宋体" w:hAnsi="宋体" w:cs="宋体"/>
                <w:kern w:val="0"/>
                <w:sz w:val="24"/>
              </w:rPr>
            </w:pPr>
            <w:r>
              <w:rPr>
                <w:rFonts w:hint="eastAsia" w:ascii="宋体" w:hAnsi="宋体" w:cs="宋体"/>
                <w:kern w:val="0"/>
                <w:sz w:val="24"/>
              </w:rPr>
              <w:t>5</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调查问卷</w:t>
            </w:r>
          </w:p>
          <w:p>
            <w:pPr>
              <w:adjustRightInd w:val="0"/>
              <w:snapToGrid w:val="0"/>
              <w:jc w:val="center"/>
              <w:textAlignment w:val="baseline"/>
              <w:rPr>
                <w:rFonts w:ascii="宋体" w:hAnsi="宋体" w:cs="宋体"/>
                <w:kern w:val="0"/>
                <w:sz w:val="24"/>
              </w:rPr>
            </w:pPr>
            <w:r>
              <w:rPr>
                <w:rFonts w:hint="eastAsia" w:ascii="宋体" w:hAnsi="宋体" w:cs="宋体"/>
                <w:kern w:val="0"/>
                <w:sz w:val="24"/>
              </w:rPr>
              <w:t>设计</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1、内容：问卷内容全面，重点突出，体现季度差异，得6分；内容较全面，有重点，季度差异有所体现，得4分；内容基本全面，但无重点或季度差异不明显，得2分；其它的得0分。</w:t>
            </w:r>
          </w:p>
          <w:p>
            <w:pPr>
              <w:adjustRightInd w:val="0"/>
              <w:snapToGrid w:val="0"/>
              <w:jc w:val="left"/>
              <w:textAlignment w:val="baseline"/>
            </w:pPr>
            <w:r>
              <w:rPr>
                <w:rFonts w:hint="eastAsia" w:ascii="宋体" w:hAnsi="宋体" w:cs="宋体"/>
                <w:kern w:val="0"/>
                <w:sz w:val="24"/>
              </w:rPr>
              <w:t>2、结构：问卷结构清晰，跳转关系明确，得4分；结构较清晰、跳转关系较明确，得3分；问卷结构不清晰，或跳转关系不明确，得1分；问卷结构不清晰，跳转关系不明确，得0分。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708" w:type="dxa"/>
            <w:vAlign w:val="center"/>
          </w:tcPr>
          <w:p>
            <w:pPr>
              <w:jc w:val="center"/>
              <w:rPr>
                <w:rFonts w:ascii="宋体" w:hAnsi="宋体" w:cs="宋体"/>
                <w:kern w:val="0"/>
                <w:sz w:val="24"/>
              </w:rPr>
            </w:pPr>
            <w:r>
              <w:rPr>
                <w:rFonts w:hint="eastAsia" w:ascii="宋体" w:hAnsi="宋体" w:cs="宋体"/>
                <w:kern w:val="0"/>
                <w:sz w:val="24"/>
              </w:rPr>
              <w:t>6</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环境问题抽查方案</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环境问题抽查方案实施流程清晰、安排合理、人员分工明确、服务保障措施完整，具体检查点位（具体到每个区）细致完整，得6分；</w:t>
            </w:r>
          </w:p>
          <w:p>
            <w:pPr>
              <w:adjustRightInd w:val="0"/>
              <w:snapToGrid w:val="0"/>
              <w:jc w:val="left"/>
              <w:textAlignment w:val="baseline"/>
              <w:rPr>
                <w:rFonts w:ascii="宋体" w:hAnsi="宋体" w:cs="宋体"/>
                <w:kern w:val="0"/>
                <w:sz w:val="24"/>
              </w:rPr>
            </w:pPr>
            <w:r>
              <w:rPr>
                <w:rFonts w:hint="eastAsia" w:ascii="宋体" w:hAnsi="宋体" w:cs="宋体"/>
                <w:kern w:val="0"/>
                <w:sz w:val="24"/>
              </w:rPr>
              <w:t>环境问题抽查方案实施流程比较清晰、安排比较合理、人员分工比较明确、服务保障措施比较完整得4分；</w:t>
            </w:r>
          </w:p>
          <w:p>
            <w:pPr>
              <w:adjustRightInd w:val="0"/>
              <w:snapToGrid w:val="0"/>
              <w:jc w:val="left"/>
              <w:textAlignment w:val="baseline"/>
              <w:rPr>
                <w:rFonts w:ascii="宋体" w:hAnsi="宋体" w:cs="宋体"/>
                <w:kern w:val="0"/>
                <w:sz w:val="24"/>
              </w:rPr>
            </w:pPr>
            <w:r>
              <w:rPr>
                <w:rFonts w:hint="eastAsia" w:ascii="宋体" w:hAnsi="宋体" w:cs="宋体"/>
                <w:kern w:val="0"/>
                <w:sz w:val="24"/>
              </w:rPr>
              <w:t>环境问题抽查方案实施流程不够清晰、安排不够合理、人员分工不够明确、服务保障措施不够完整得2分；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其它的得0分。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6分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4" w:hRule="atLeast"/>
        </w:trPr>
        <w:tc>
          <w:tcPr>
            <w:tcW w:w="708" w:type="dxa"/>
            <w:vAlign w:val="center"/>
          </w:tcPr>
          <w:p>
            <w:pPr>
              <w:jc w:val="center"/>
              <w:rPr>
                <w:rFonts w:ascii="宋体" w:hAnsi="宋体" w:cs="宋体"/>
                <w:kern w:val="0"/>
                <w:sz w:val="24"/>
              </w:rPr>
            </w:pPr>
            <w:r>
              <w:rPr>
                <w:rFonts w:hint="eastAsia" w:ascii="宋体" w:hAnsi="宋体" w:cs="宋体"/>
                <w:kern w:val="0"/>
                <w:sz w:val="24"/>
              </w:rPr>
              <w:t>7</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成果输出</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提供具有参考价值的调查报告。内容全面覆盖总体分析、问题区域分布、问题类型剖析、区域画像描绘、问题原因剖析及对策建议，得5分；能够基本覆盖需求，具备数据分析能力并提供可视化展示，得3分；仅能提供基础数据汇总和简单分析，报告类型覆盖不全，可视化程度低得1分；未提供有效工作报告模板或数据分析方案，完全无法满足台账和报告编制要求的，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5分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6" w:hRule="atLeast"/>
        </w:trPr>
        <w:tc>
          <w:tcPr>
            <w:tcW w:w="708" w:type="dxa"/>
            <w:vAlign w:val="center"/>
          </w:tcPr>
          <w:p>
            <w:pPr>
              <w:widowControl/>
              <w:numPr>
                <w:ilvl w:val="255"/>
                <w:numId w:val="0"/>
              </w:numPr>
              <w:adjustRightInd w:val="0"/>
              <w:snapToGrid w:val="0"/>
              <w:jc w:val="center"/>
              <w:textAlignment w:val="baseline"/>
              <w:rPr>
                <w:rFonts w:ascii="宋体" w:hAnsi="宋体" w:cs="宋体"/>
                <w:sz w:val="24"/>
              </w:rPr>
            </w:pPr>
            <w:r>
              <w:rPr>
                <w:rFonts w:hint="eastAsia" w:ascii="宋体" w:hAnsi="宋体" w:cs="宋体"/>
                <w:sz w:val="24"/>
              </w:rPr>
              <w:t>8</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质量控制</w:t>
            </w:r>
          </w:p>
          <w:p>
            <w:pPr>
              <w:adjustRightInd w:val="0"/>
              <w:snapToGrid w:val="0"/>
              <w:jc w:val="center"/>
              <w:textAlignment w:val="baseline"/>
              <w:rPr>
                <w:rFonts w:ascii="宋体" w:hAnsi="宋体" w:cs="宋体"/>
                <w:kern w:val="0"/>
                <w:sz w:val="24"/>
              </w:rPr>
            </w:pPr>
            <w:r>
              <w:rPr>
                <w:rFonts w:hint="eastAsia" w:ascii="宋体" w:hAnsi="宋体" w:cs="宋体"/>
                <w:kern w:val="0"/>
                <w:sz w:val="24"/>
              </w:rPr>
              <w:t>方案</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质量控制方案包括不限于调查问卷、研究报告、环境抽查质量控制和监督方案。</w:t>
            </w:r>
          </w:p>
          <w:p>
            <w:pPr>
              <w:adjustRightInd w:val="0"/>
              <w:snapToGrid w:val="0"/>
              <w:jc w:val="left"/>
              <w:textAlignment w:val="baseline"/>
              <w:rPr>
                <w:rFonts w:ascii="宋体" w:hAnsi="宋体" w:cs="宋体"/>
                <w:kern w:val="0"/>
                <w:sz w:val="24"/>
              </w:rPr>
            </w:pPr>
            <w:r>
              <w:rPr>
                <w:rFonts w:hint="eastAsia" w:ascii="宋体" w:hAnsi="宋体" w:cs="宋体"/>
                <w:kern w:val="0"/>
                <w:sz w:val="24"/>
              </w:rPr>
              <w:t>质量控制方案完整， 质量控制方法可操作性非常强，可有效保证项目质量，得6分；</w:t>
            </w:r>
          </w:p>
          <w:p>
            <w:pPr>
              <w:adjustRightInd w:val="0"/>
              <w:snapToGrid w:val="0"/>
              <w:jc w:val="left"/>
              <w:textAlignment w:val="baseline"/>
              <w:rPr>
                <w:rFonts w:ascii="宋体" w:hAnsi="宋体" w:cs="宋体"/>
                <w:kern w:val="0"/>
                <w:sz w:val="24"/>
              </w:rPr>
            </w:pPr>
            <w:r>
              <w:rPr>
                <w:rFonts w:hint="eastAsia" w:ascii="宋体" w:hAnsi="宋体" w:cs="宋体"/>
                <w:kern w:val="0"/>
                <w:sz w:val="24"/>
              </w:rPr>
              <w:t>质量控制方案较完整， 质量控制方法可操作性较好， 较能保证项目质量，得4分；</w:t>
            </w:r>
          </w:p>
          <w:p>
            <w:pPr>
              <w:adjustRightInd w:val="0"/>
              <w:snapToGrid w:val="0"/>
              <w:jc w:val="left"/>
              <w:textAlignment w:val="baseline"/>
              <w:rPr>
                <w:rFonts w:ascii="宋体" w:hAnsi="宋体" w:cs="宋体"/>
                <w:kern w:val="0"/>
                <w:sz w:val="24"/>
              </w:rPr>
            </w:pPr>
            <w:r>
              <w:rPr>
                <w:rFonts w:hint="eastAsia" w:ascii="宋体" w:hAnsi="宋体" w:cs="宋体"/>
                <w:kern w:val="0"/>
                <w:sz w:val="24"/>
              </w:rPr>
              <w:t>质量控制方案不够完整，质量控制方法可操作性一般，项目质量保证不全，得2分；</w:t>
            </w:r>
          </w:p>
          <w:p>
            <w:pPr>
              <w:adjustRightInd w:val="0"/>
              <w:snapToGrid w:val="0"/>
              <w:jc w:val="left"/>
              <w:textAlignment w:val="baseline"/>
              <w:rPr>
                <w:rFonts w:ascii="宋体" w:hAnsi="宋体" w:cs="宋体"/>
                <w:kern w:val="0"/>
                <w:sz w:val="24"/>
              </w:rPr>
            </w:pPr>
            <w:r>
              <w:rPr>
                <w:rFonts w:hint="eastAsia" w:ascii="宋体" w:hAnsi="宋体" w:cs="宋体"/>
                <w:kern w:val="0"/>
                <w:sz w:val="24"/>
              </w:rPr>
              <w:t>其它的得0分。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6分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trPr>
        <w:tc>
          <w:tcPr>
            <w:tcW w:w="708" w:type="dxa"/>
            <w:vAlign w:val="center"/>
          </w:tcPr>
          <w:p>
            <w:pPr>
              <w:widowControl/>
              <w:numPr>
                <w:ilvl w:val="255"/>
                <w:numId w:val="0"/>
              </w:numPr>
              <w:adjustRightInd w:val="0"/>
              <w:snapToGrid w:val="0"/>
              <w:jc w:val="center"/>
              <w:textAlignment w:val="baseline"/>
              <w:rPr>
                <w:rFonts w:ascii="宋体" w:hAnsi="宋体" w:cs="宋体"/>
                <w:sz w:val="24"/>
              </w:rPr>
            </w:pPr>
            <w:r>
              <w:rPr>
                <w:rFonts w:hint="eastAsia" w:ascii="宋体" w:hAnsi="宋体" w:cs="宋体"/>
                <w:sz w:val="24"/>
              </w:rPr>
              <w:t>9</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试调查和检查报告及数据统计分析系统演示</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有试调查、检查报告及数据调查系统或统计系统或分析系统，报告结构清晰、图文并茂，数据调查统计分析系统有科学的数据分析方法，系统完善度高，分析形成切实可行的对策建议，得10分；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有试调查、检查报告及数据调查统计分析系统，报告结构合理，数据调查统计分析系统基本符合要求，分析对策建议可行性一般得7分；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有试调查、检查报告，但没有数据调查统计分析系统，分析形成切实可行的对策建议得5分；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有试调查、检查报告，但没有数据调查统计分析系统，分析对策建议缺乏可行性得2分；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无试调查、检查报告及数据调查统计分析系统或调查报告不符合要求得0分。</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708"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二</w:t>
            </w:r>
          </w:p>
        </w:tc>
        <w:tc>
          <w:tcPr>
            <w:tcW w:w="7657" w:type="dxa"/>
            <w:gridSpan w:val="3"/>
            <w:vAlign w:val="center"/>
          </w:tcPr>
          <w:p>
            <w:pPr>
              <w:adjustRightInd w:val="0"/>
              <w:snapToGrid w:val="0"/>
              <w:jc w:val="center"/>
              <w:textAlignment w:val="baseline"/>
              <w:rPr>
                <w:rFonts w:ascii="宋体" w:hAnsi="宋体" w:cs="宋体"/>
                <w:kern w:val="0"/>
                <w:sz w:val="24"/>
              </w:rPr>
            </w:pPr>
            <w:r>
              <w:rPr>
                <w:rFonts w:hint="eastAsia" w:ascii="宋体" w:hAnsi="宋体" w:cs="宋体"/>
                <w:b/>
                <w:kern w:val="0"/>
                <w:sz w:val="24"/>
              </w:rPr>
              <w:t>商务部分（合计15分）</w:t>
            </w:r>
          </w:p>
        </w:tc>
        <w:tc>
          <w:tcPr>
            <w:tcW w:w="711" w:type="dxa"/>
            <w:vAlign w:val="center"/>
          </w:tcPr>
          <w:p>
            <w:pPr>
              <w:adjustRightInd w:val="0"/>
              <w:snapToGrid w:val="0"/>
              <w:jc w:val="center"/>
              <w:textAlignment w:val="baseline"/>
              <w:rPr>
                <w:rFonts w:ascii="宋体" w:hAnsi="宋体" w:cs="宋体"/>
                <w:b/>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8" w:hRule="atLeast"/>
        </w:trPr>
        <w:tc>
          <w:tcPr>
            <w:tcW w:w="708" w:type="dxa"/>
            <w:vAlign w:val="center"/>
          </w:tcPr>
          <w:p>
            <w:pPr>
              <w:adjustRightInd w:val="0"/>
              <w:snapToGrid w:val="0"/>
              <w:ind w:left="420" w:hanging="420"/>
              <w:jc w:val="center"/>
              <w:textAlignment w:val="baseline"/>
              <w:rPr>
                <w:rFonts w:ascii="宋体" w:hAnsi="宋体" w:cs="宋体"/>
                <w:sz w:val="24"/>
              </w:rPr>
            </w:pPr>
            <w:r>
              <w:rPr>
                <w:rFonts w:hint="eastAsia" w:ascii="宋体" w:hAnsi="宋体" w:cs="宋体"/>
                <w:sz w:val="24"/>
              </w:rPr>
              <w:t>1</w:t>
            </w:r>
          </w:p>
        </w:tc>
        <w:tc>
          <w:tcPr>
            <w:tcW w:w="900" w:type="dxa"/>
            <w:vAlign w:val="center"/>
          </w:tcPr>
          <w:p>
            <w:pPr>
              <w:adjustRightInd w:val="0"/>
              <w:snapToGrid w:val="0"/>
              <w:jc w:val="center"/>
              <w:textAlignment w:val="baseline"/>
              <w:rPr>
                <w:rFonts w:ascii="宋体" w:hAnsi="宋体" w:cs="宋体"/>
                <w:color w:val="000000"/>
                <w:kern w:val="0"/>
                <w:sz w:val="24"/>
              </w:rPr>
            </w:pPr>
            <w:r>
              <w:rPr>
                <w:rFonts w:ascii="宋体" w:hAnsi="宋体" w:cs="宋体"/>
                <w:kern w:val="0"/>
                <w:sz w:val="24"/>
              </w:rPr>
              <w:t>公司</w:t>
            </w:r>
            <w:r>
              <w:rPr>
                <w:rFonts w:hint="eastAsia" w:ascii="宋体" w:hAnsi="宋体" w:cs="宋体"/>
                <w:kern w:val="0"/>
                <w:sz w:val="24"/>
              </w:rPr>
              <w:t>业绩</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供应商自2022年1月1日（签订合同日期为准）至今，承担过直辖市或省会城市区级及区级以上同类型满意度、社情民意调查和环境检查等项目，每提供1个合格业绩证明，得2分，满分8分。注：业绩证明材料应提供合同复印件，合同内容应包括但不限于：双方单位名称、委托金额、委托内容、签署盖章页等。</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8分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708" w:type="dxa"/>
            <w:vAlign w:val="center"/>
          </w:tcPr>
          <w:p>
            <w:pPr>
              <w:adjustRightInd w:val="0"/>
              <w:snapToGrid w:val="0"/>
              <w:ind w:left="420" w:hanging="420"/>
              <w:jc w:val="center"/>
              <w:textAlignment w:val="baseline"/>
              <w:rPr>
                <w:rFonts w:ascii="宋体" w:hAnsi="宋体" w:cs="宋体"/>
                <w:sz w:val="24"/>
              </w:rPr>
            </w:pPr>
            <w:r>
              <w:rPr>
                <w:rFonts w:hint="eastAsia" w:ascii="宋体" w:hAnsi="宋体" w:cs="宋体"/>
                <w:sz w:val="24"/>
              </w:rPr>
              <w:t>2</w:t>
            </w:r>
          </w:p>
        </w:tc>
        <w:tc>
          <w:tcPr>
            <w:tcW w:w="900" w:type="dxa"/>
            <w:vAlign w:val="center"/>
          </w:tcPr>
          <w:p>
            <w:pPr>
              <w:adjustRightInd w:val="0"/>
              <w:snapToGrid w:val="0"/>
              <w:jc w:val="center"/>
              <w:textAlignment w:val="baseline"/>
              <w:rPr>
                <w:rFonts w:ascii="宋体" w:hAnsi="宋体" w:cs="宋体"/>
                <w:color w:val="000000"/>
                <w:kern w:val="0"/>
                <w:sz w:val="24"/>
              </w:rPr>
            </w:pPr>
            <w:r>
              <w:rPr>
                <w:rFonts w:ascii="宋体" w:hAnsi="宋体" w:cs="宋体"/>
                <w:color w:val="000000"/>
                <w:kern w:val="0"/>
                <w:sz w:val="24"/>
              </w:rPr>
              <w:t>项目</w:t>
            </w:r>
            <w:r>
              <w:rPr>
                <w:rFonts w:hint="eastAsia" w:ascii="宋体" w:hAnsi="宋体" w:cs="宋体"/>
                <w:color w:val="000000"/>
                <w:kern w:val="0"/>
                <w:sz w:val="24"/>
              </w:rPr>
              <w:t>负责人</w:t>
            </w:r>
          </w:p>
          <w:p>
            <w:pPr>
              <w:adjustRightInd w:val="0"/>
              <w:snapToGrid w:val="0"/>
              <w:jc w:val="center"/>
              <w:textAlignment w:val="baseline"/>
              <w:rPr>
                <w:rFonts w:ascii="宋体" w:hAnsi="宋体" w:cs="宋体"/>
                <w:kern w:val="0"/>
                <w:sz w:val="24"/>
              </w:rPr>
            </w:pPr>
            <w:r>
              <w:rPr>
                <w:rFonts w:ascii="宋体" w:hAnsi="宋体" w:cs="宋体"/>
                <w:color w:val="000000"/>
                <w:kern w:val="0"/>
                <w:sz w:val="24"/>
              </w:rPr>
              <w:t>资质</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项目负责人自2022年1月1日（签订合同日期为准）至今，承担过同类型满意度、社情民意调查和城市管理、环境建设管理项目，每提供1个合格业绩证明，得1分，最多得3分。</w:t>
            </w:r>
          </w:p>
          <w:p>
            <w:pPr>
              <w:adjustRightInd w:val="0"/>
              <w:snapToGrid w:val="0"/>
              <w:jc w:val="left"/>
              <w:textAlignment w:val="baseline"/>
              <w:rPr>
                <w:rFonts w:ascii="宋体" w:hAnsi="宋体" w:cs="宋体"/>
                <w:kern w:val="0"/>
                <w:sz w:val="24"/>
              </w:rPr>
            </w:pPr>
            <w:r>
              <w:rPr>
                <w:rFonts w:hint="eastAsia" w:ascii="宋体" w:hAnsi="宋体" w:cs="宋体"/>
                <w:kern w:val="0"/>
                <w:sz w:val="24"/>
              </w:rPr>
              <w:t>项目负责人具备环境工程师、城市环境卫生监测管理技术员等环境工程类或城市环境监测类相关专业证书，得2分。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注：（1）提供项目负责人近三个月（不含投标截止日所在月）任意一个月在投标人所在单位缴纳的社保证明材料。否则不得分。</w:t>
            </w:r>
          </w:p>
          <w:p>
            <w:pPr>
              <w:adjustRightInd w:val="0"/>
              <w:snapToGrid w:val="0"/>
              <w:jc w:val="left"/>
              <w:textAlignment w:val="baseline"/>
              <w:rPr>
                <w:rFonts w:ascii="宋体" w:hAnsi="宋体" w:cs="宋体"/>
                <w:kern w:val="0"/>
                <w:sz w:val="24"/>
              </w:rPr>
            </w:pPr>
            <w:r>
              <w:rPr>
                <w:rFonts w:hint="eastAsia" w:ascii="宋体" w:hAnsi="宋体" w:cs="宋体"/>
                <w:kern w:val="0"/>
                <w:sz w:val="24"/>
              </w:rPr>
              <w:t>（2）业绩证明材料应提供合同复印件，合同内容应包括但不限于：双方单位名称、委托金额、委托内容、项目负责人名字、签署盖章页等；如合同不能体现项目负责人姓名的，以用户证明为准（日期以用户证明出具日期为准）。</w:t>
            </w:r>
          </w:p>
          <w:p>
            <w:pPr>
              <w:adjustRightInd w:val="0"/>
              <w:snapToGrid w:val="0"/>
              <w:jc w:val="left"/>
              <w:textAlignment w:val="baseline"/>
              <w:rPr>
                <w:rFonts w:ascii="宋体" w:hAnsi="宋体" w:cs="宋体"/>
                <w:kern w:val="0"/>
                <w:sz w:val="24"/>
              </w:rPr>
            </w:pPr>
            <w:r>
              <w:rPr>
                <w:rFonts w:hint="eastAsia" w:ascii="宋体" w:hAnsi="宋体" w:cs="宋体"/>
                <w:kern w:val="0"/>
                <w:sz w:val="24"/>
              </w:rPr>
              <w:t>（3）单位业绩与项目负责人业绩重复的不重复计分。</w:t>
            </w:r>
          </w:p>
          <w:p>
            <w:pPr>
              <w:adjustRightInd w:val="0"/>
              <w:snapToGrid w:val="0"/>
              <w:jc w:val="left"/>
              <w:textAlignment w:val="baseline"/>
              <w:rPr>
                <w:rFonts w:ascii="宋体" w:hAnsi="宋体" w:cs="宋体"/>
                <w:kern w:val="0"/>
                <w:sz w:val="24"/>
              </w:rPr>
            </w:pPr>
            <w:r>
              <w:rPr>
                <w:rFonts w:hint="eastAsia" w:ascii="宋体" w:hAnsi="宋体" w:cs="宋体"/>
                <w:kern w:val="0"/>
                <w:sz w:val="24"/>
              </w:rPr>
              <w:t>（4）专业证书证明材料需提供国家</w:t>
            </w:r>
            <w:bookmarkStart w:id="975" w:name="_GoBack"/>
            <w:bookmarkEnd w:id="975"/>
            <w:r>
              <w:rPr>
                <w:rFonts w:hint="eastAsia" w:ascii="宋体" w:hAnsi="宋体" w:cs="宋体"/>
                <w:kern w:val="0"/>
                <w:sz w:val="24"/>
              </w:rPr>
              <w:t>行业协会级以上机构颁发的证书复印件，且可通过官方指定网络平台查询真伪，确保证书真实有效。</w:t>
            </w:r>
          </w:p>
        </w:tc>
        <w:tc>
          <w:tcPr>
            <w:tcW w:w="742"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5分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6" w:hRule="atLeast"/>
        </w:trPr>
        <w:tc>
          <w:tcPr>
            <w:tcW w:w="708" w:type="dxa"/>
            <w:vAlign w:val="center"/>
          </w:tcPr>
          <w:p>
            <w:pPr>
              <w:numPr>
                <w:ilvl w:val="255"/>
                <w:numId w:val="0"/>
              </w:numPr>
              <w:adjustRightInd w:val="0"/>
              <w:snapToGrid w:val="0"/>
              <w:jc w:val="center"/>
              <w:textAlignment w:val="baseline"/>
              <w:rPr>
                <w:rFonts w:ascii="宋体" w:hAnsi="宋体" w:cs="宋体"/>
                <w:sz w:val="24"/>
              </w:rPr>
            </w:pPr>
            <w:r>
              <w:rPr>
                <w:rFonts w:hint="eastAsia" w:ascii="宋体" w:hAnsi="宋体" w:cs="宋体"/>
                <w:sz w:val="24"/>
              </w:rPr>
              <w:t>3</w:t>
            </w:r>
          </w:p>
        </w:tc>
        <w:tc>
          <w:tcPr>
            <w:tcW w:w="900" w:type="dxa"/>
            <w:vAlign w:val="center"/>
          </w:tcPr>
          <w:p>
            <w:pPr>
              <w:adjustRightInd w:val="0"/>
              <w:snapToGrid w:val="0"/>
              <w:jc w:val="center"/>
              <w:textAlignment w:val="baseline"/>
              <w:rPr>
                <w:rFonts w:ascii="宋体" w:hAnsi="宋体" w:cs="宋体"/>
                <w:color w:val="000000"/>
                <w:kern w:val="0"/>
                <w:sz w:val="24"/>
              </w:rPr>
            </w:pPr>
            <w:r>
              <w:rPr>
                <w:rFonts w:ascii="宋体" w:hAnsi="宋体" w:cs="宋体"/>
                <w:kern w:val="0"/>
                <w:sz w:val="24"/>
              </w:rPr>
              <w:t>公司</w:t>
            </w:r>
            <w:r>
              <w:rPr>
                <w:rFonts w:hint="eastAsia" w:ascii="宋体" w:hAnsi="宋体" w:cs="宋体"/>
                <w:kern w:val="0"/>
                <w:sz w:val="24"/>
              </w:rPr>
              <w:t>资质</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1.具有有效的环境管理体系认证的得1分。</w:t>
            </w:r>
          </w:p>
          <w:p>
            <w:pPr>
              <w:adjustRightInd w:val="0"/>
              <w:snapToGrid w:val="0"/>
              <w:jc w:val="left"/>
              <w:textAlignment w:val="baseline"/>
              <w:rPr>
                <w:rFonts w:ascii="宋体" w:hAnsi="宋体" w:cs="宋体"/>
                <w:kern w:val="0"/>
                <w:sz w:val="24"/>
              </w:rPr>
            </w:pPr>
            <w:r>
              <w:rPr>
                <w:rFonts w:hint="eastAsia" w:ascii="宋体" w:hAnsi="宋体" w:cs="宋体"/>
                <w:kern w:val="0"/>
                <w:sz w:val="24"/>
              </w:rPr>
              <w:t>2.具有有效的质量管理体系认证的得1分；</w:t>
            </w:r>
          </w:p>
          <w:p>
            <w:pPr>
              <w:adjustRightInd w:val="0"/>
              <w:snapToGrid w:val="0"/>
              <w:jc w:val="left"/>
              <w:textAlignment w:val="baseline"/>
              <w:rPr>
                <w:rFonts w:ascii="宋体" w:hAnsi="宋体" w:cs="宋体"/>
                <w:kern w:val="0"/>
                <w:sz w:val="24"/>
              </w:rPr>
            </w:pPr>
            <w:r>
              <w:rPr>
                <w:rFonts w:hint="eastAsia" w:ascii="宋体" w:hAnsi="宋体" w:cs="宋体"/>
                <w:kern w:val="0"/>
                <w:sz w:val="24"/>
              </w:rPr>
              <w:t>3.具有有效的职业健康安全管理体系认证的得1分。</w:t>
            </w:r>
          </w:p>
          <w:p>
            <w:pPr>
              <w:adjustRightInd w:val="0"/>
              <w:snapToGrid w:val="0"/>
              <w:jc w:val="left"/>
              <w:textAlignment w:val="baseline"/>
              <w:rPr>
                <w:rFonts w:ascii="宋体" w:hAnsi="宋体" w:cs="宋体"/>
                <w:kern w:val="0"/>
                <w:sz w:val="24"/>
              </w:rPr>
            </w:pPr>
            <w:r>
              <w:rPr>
                <w:rFonts w:hint="eastAsia" w:ascii="宋体" w:hAnsi="宋体" w:cs="宋体"/>
                <w:kern w:val="0"/>
                <w:sz w:val="24"/>
              </w:rPr>
              <w:t>注：最多得2分，应提供相关证明复印件，否则不得分。</w:t>
            </w:r>
          </w:p>
        </w:tc>
        <w:tc>
          <w:tcPr>
            <w:tcW w:w="742"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2分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8"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三</w:t>
            </w:r>
          </w:p>
        </w:tc>
        <w:tc>
          <w:tcPr>
            <w:tcW w:w="8368" w:type="dxa"/>
            <w:gridSpan w:val="4"/>
            <w:vAlign w:val="center"/>
          </w:tcPr>
          <w:p>
            <w:pPr>
              <w:adjustRightInd w:val="0"/>
              <w:snapToGrid w:val="0"/>
              <w:jc w:val="center"/>
              <w:textAlignment w:val="baseline"/>
              <w:rPr>
                <w:rFonts w:ascii="宋体" w:hAnsi="宋体" w:cs="宋体"/>
                <w:kern w:val="0"/>
                <w:sz w:val="24"/>
              </w:rPr>
            </w:pPr>
            <w:r>
              <w:rPr>
                <w:rFonts w:hint="eastAsia" w:ascii="宋体" w:hAnsi="宋体" w:cs="宋体"/>
                <w:b/>
                <w:kern w:val="0"/>
                <w:sz w:val="24"/>
              </w:rPr>
              <w:t>价格部分（合计10分）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708" w:type="dxa"/>
            <w:vAlign w:val="center"/>
          </w:tcPr>
          <w:p>
            <w:pPr>
              <w:numPr>
                <w:ilvl w:val="255"/>
                <w:numId w:val="0"/>
              </w:numPr>
              <w:jc w:val="center"/>
              <w:rPr>
                <w:rFonts w:ascii="宋体" w:hAnsi="宋体" w:cs="宋体"/>
                <w:sz w:val="24"/>
              </w:rPr>
            </w:pPr>
            <w:r>
              <w:rPr>
                <w:rFonts w:hint="eastAsia" w:ascii="宋体" w:hAnsi="宋体" w:cs="宋体"/>
                <w:sz w:val="24"/>
              </w:rPr>
              <w:t>1</w:t>
            </w:r>
          </w:p>
        </w:tc>
        <w:tc>
          <w:tcPr>
            <w:tcW w:w="900"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投标报价</w:t>
            </w:r>
          </w:p>
        </w:tc>
        <w:tc>
          <w:tcPr>
            <w:tcW w:w="6015" w:type="dxa"/>
            <w:vAlign w:val="center"/>
          </w:tcPr>
          <w:p>
            <w:pPr>
              <w:adjustRightInd w:val="0"/>
              <w:snapToGrid w:val="0"/>
              <w:jc w:val="left"/>
              <w:textAlignment w:val="baseline"/>
              <w:rPr>
                <w:rFonts w:ascii="宋体" w:hAnsi="宋体" w:cs="宋体"/>
                <w:kern w:val="0"/>
                <w:sz w:val="24"/>
              </w:rPr>
            </w:pPr>
            <w:r>
              <w:rPr>
                <w:rFonts w:hint="eastAsia" w:ascii="宋体" w:hAnsi="宋体" w:cs="宋体"/>
                <w:kern w:val="0"/>
                <w:sz w:val="24"/>
              </w:rPr>
              <w:t>价格分采用低价优先法计算，即满足招标文件要求且投标价格最低的投标报价为评标基准价，其价格分为满分。其他投标人的价格分统一按照下列公式计算：</w:t>
            </w:r>
          </w:p>
          <w:p>
            <w:pPr>
              <w:adjustRightInd w:val="0"/>
              <w:snapToGrid w:val="0"/>
              <w:jc w:val="left"/>
              <w:textAlignment w:val="baseline"/>
              <w:rPr>
                <w:rFonts w:ascii="宋体" w:hAnsi="宋体" w:cs="宋体"/>
                <w:kern w:val="0"/>
                <w:sz w:val="24"/>
              </w:rPr>
            </w:pPr>
            <w:r>
              <w:rPr>
                <w:rFonts w:hint="eastAsia" w:ascii="宋体" w:hAnsi="宋体" w:cs="宋体"/>
                <w:kern w:val="0"/>
                <w:sz w:val="24"/>
              </w:rPr>
              <w:t>投标报价得分= (评标基准价/投标报价)×10%×100</w:t>
            </w:r>
          </w:p>
          <w:p>
            <w:pPr>
              <w:adjustRightInd w:val="0"/>
              <w:snapToGrid w:val="0"/>
              <w:jc w:val="left"/>
              <w:textAlignment w:val="baseline"/>
              <w:rPr>
                <w:rFonts w:ascii="宋体" w:hAnsi="宋体" w:cs="宋体"/>
                <w:kern w:val="0"/>
                <w:sz w:val="24"/>
              </w:rPr>
            </w:pPr>
            <w:r>
              <w:rPr>
                <w:rFonts w:hint="eastAsia" w:ascii="宋体" w:hAnsi="宋体" w:cs="宋体"/>
                <w:kern w:val="0"/>
                <w:sz w:val="24"/>
              </w:rPr>
              <w:t>备注：</w:t>
            </w:r>
          </w:p>
          <w:p>
            <w:pPr>
              <w:adjustRightInd w:val="0"/>
              <w:snapToGrid w:val="0"/>
              <w:jc w:val="left"/>
              <w:textAlignment w:val="baseline"/>
              <w:rPr>
                <w:rFonts w:ascii="宋体" w:hAnsi="宋体" w:cs="宋体"/>
                <w:kern w:val="0"/>
                <w:sz w:val="24"/>
              </w:rPr>
            </w:pPr>
            <w:r>
              <w:rPr>
                <w:rFonts w:hint="eastAsia" w:ascii="宋体" w:hAnsi="宋体" w:cs="宋体"/>
                <w:kern w:val="0"/>
                <w:sz w:val="24"/>
              </w:rPr>
              <w:t>1.因落实政府采购政策进行价格调整的，以调整后的价格计算评标基准价和投标报价,详见《价格扣除》。</w:t>
            </w:r>
          </w:p>
          <w:p>
            <w:pPr>
              <w:adjustRightInd w:val="0"/>
              <w:snapToGrid w:val="0"/>
              <w:jc w:val="left"/>
              <w:textAlignment w:val="baseline"/>
              <w:rPr>
                <w:rFonts w:ascii="宋体" w:hAnsi="宋体" w:cs="宋体"/>
                <w:kern w:val="0"/>
                <w:sz w:val="24"/>
              </w:rPr>
            </w:pPr>
            <w:r>
              <w:rPr>
                <w:rFonts w:hint="eastAsia" w:ascii="宋体" w:hAnsi="宋体" w:cs="宋体"/>
                <w:kern w:val="0"/>
                <w:sz w:val="24"/>
              </w:rPr>
              <w:t>2.投标报价</w:t>
            </w:r>
            <w:r>
              <w:rPr>
                <w:rFonts w:hint="eastAsia" w:ascii="宋体" w:hAnsi="宋体" w:cs="宋体"/>
                <w:bCs/>
                <w:kern w:val="0"/>
                <w:sz w:val="24"/>
              </w:rPr>
              <w:t>得分四舍五入后，</w:t>
            </w:r>
            <w:r>
              <w:rPr>
                <w:rFonts w:hint="eastAsia" w:ascii="宋体" w:hAnsi="宋体" w:cs="宋体"/>
                <w:kern w:val="0"/>
                <w:sz w:val="24"/>
              </w:rPr>
              <w:t>小数点后保留两位有效数</w:t>
            </w:r>
            <w:r>
              <w:rPr>
                <w:rFonts w:hint="eastAsia" w:ascii="宋体" w:hAnsi="宋体" w:cs="宋体"/>
                <w:bCs/>
                <w:kern w:val="0"/>
                <w:sz w:val="24"/>
              </w:rPr>
              <w:t>。</w:t>
            </w:r>
          </w:p>
        </w:tc>
        <w:tc>
          <w:tcPr>
            <w:tcW w:w="742"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10分</w:t>
            </w:r>
          </w:p>
        </w:tc>
        <w:tc>
          <w:tcPr>
            <w:tcW w:w="711" w:type="dxa"/>
            <w:vAlign w:val="center"/>
          </w:tcPr>
          <w:p>
            <w:pPr>
              <w:adjustRightInd w:val="0"/>
              <w:snapToGrid w:val="0"/>
              <w:jc w:val="center"/>
              <w:textAlignment w:val="baseline"/>
              <w:rPr>
                <w:rFonts w:ascii="宋体" w:hAnsi="宋体" w:cs="宋体"/>
                <w:kern w:val="0"/>
                <w:sz w:val="24"/>
              </w:rPr>
            </w:pPr>
            <w:r>
              <w:rPr>
                <w:rFonts w:hint="eastAsia" w:ascii="宋体" w:hAnsi="宋体" w:cs="宋体"/>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7623" w:type="dxa"/>
            <w:gridSpan w:val="3"/>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合计</w:t>
            </w:r>
          </w:p>
        </w:tc>
        <w:tc>
          <w:tcPr>
            <w:tcW w:w="742"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100分</w:t>
            </w:r>
          </w:p>
        </w:tc>
        <w:tc>
          <w:tcPr>
            <w:tcW w:w="711" w:type="dxa"/>
            <w:vAlign w:val="center"/>
          </w:tcPr>
          <w:p>
            <w:pPr>
              <w:adjustRightInd w:val="0"/>
              <w:snapToGrid w:val="0"/>
              <w:jc w:val="center"/>
              <w:textAlignment w:val="baseline"/>
              <w:rPr>
                <w:rFonts w:ascii="宋体" w:hAnsi="宋体" w:cs="宋体"/>
                <w:b/>
                <w:kern w:val="0"/>
                <w:sz w:val="24"/>
              </w:rPr>
            </w:pPr>
            <w:r>
              <w:rPr>
                <w:rFonts w:hint="eastAsia" w:ascii="宋体" w:hAnsi="宋体" w:cs="宋体"/>
                <w:b/>
                <w:kern w:val="0"/>
                <w:sz w:val="24"/>
              </w:rPr>
              <w:t xml:space="preserve">100% </w:t>
            </w:r>
          </w:p>
        </w:tc>
      </w:tr>
    </w:tbl>
    <w:p>
      <w:pPr>
        <w:tabs>
          <w:tab w:val="left" w:pos="360"/>
          <w:tab w:val="left" w:pos="1080"/>
        </w:tabs>
        <w:snapToGrid w:val="0"/>
        <w:spacing w:line="360" w:lineRule="auto"/>
        <w:ind w:left="1080"/>
        <w:rPr>
          <w:rFonts w:ascii="宋体" w:hAnsi="宋体" w:cs="宋体"/>
          <w:color w:val="000000"/>
          <w:sz w:val="24"/>
        </w:rPr>
      </w:pPr>
    </w:p>
    <w:p>
      <w:pPr>
        <w:spacing w:line="360" w:lineRule="auto"/>
        <w:jc w:val="center"/>
        <w:outlineLvl w:val="0"/>
        <w:rPr>
          <w:rFonts w:ascii="宋体" w:hAnsi="宋体" w:cs="宋体"/>
          <w:sz w:val="24"/>
        </w:rPr>
      </w:pPr>
      <w:bookmarkStart w:id="818" w:name="_Toc99301424"/>
      <w:r>
        <w:rPr>
          <w:rFonts w:hint="eastAsia" w:ascii="宋体" w:hAnsi="宋体" w:cs="宋体"/>
          <w:b/>
          <w:sz w:val="36"/>
          <w:szCs w:val="36"/>
        </w:rPr>
        <w:br w:type="page"/>
      </w:r>
      <w:r>
        <w:rPr>
          <w:rFonts w:hint="eastAsia" w:ascii="宋体" w:hAnsi="宋体" w:cs="宋体"/>
          <w:b/>
          <w:sz w:val="36"/>
          <w:szCs w:val="36"/>
        </w:rPr>
        <w:t>第五章   采购需求</w:t>
      </w:r>
      <w:bookmarkEnd w:id="818"/>
    </w:p>
    <w:p>
      <w:pPr>
        <w:numPr>
          <w:ilvl w:val="0"/>
          <w:numId w:val="18"/>
        </w:numPr>
        <w:tabs>
          <w:tab w:val="left" w:pos="540"/>
        </w:tabs>
        <w:snapToGrid w:val="0"/>
        <w:spacing w:line="360" w:lineRule="auto"/>
        <w:outlineLvl w:val="3"/>
        <w:rPr>
          <w:rFonts w:ascii="宋体" w:hAnsi="宋体" w:cs="宋体"/>
          <w:b/>
          <w:sz w:val="24"/>
        </w:rPr>
      </w:pPr>
      <w:r>
        <w:rPr>
          <w:rFonts w:hint="eastAsia" w:ascii="宋体" w:hAnsi="宋体" w:cs="宋体"/>
          <w:b/>
          <w:sz w:val="24"/>
        </w:rPr>
        <w:t>有关说明</w:t>
      </w:r>
    </w:p>
    <w:p>
      <w:pPr>
        <w:tabs>
          <w:tab w:val="left" w:pos="567"/>
        </w:tabs>
        <w:snapToGrid w:val="0"/>
        <w:spacing w:line="360" w:lineRule="auto"/>
        <w:ind w:firstLine="480" w:firstLineChars="200"/>
        <w:rPr>
          <w:rFonts w:ascii="宋体" w:hAnsi="宋体" w:cs="宋体"/>
          <w:bCs/>
          <w:sz w:val="24"/>
        </w:rPr>
      </w:pPr>
      <w:r>
        <w:rPr>
          <w:rFonts w:hint="eastAsia" w:ascii="宋体" w:hAnsi="宋体" w:cs="宋体"/>
          <w:sz w:val="24"/>
          <w:shd w:val="clear" w:color="auto" w:fill="FFFFFF"/>
        </w:rPr>
        <w:t>本项目所提采购需求为覆盖全市的整体项目需求，根据工作需要，分为两个包，由两个包供应商共同完成项目任务。第一包、第二包采购需求无根本性区别，相对均衡分布工作任务和调查（检查）区域。投标人需对本项目采购标的的所有需求进行整体投标，任何只对本项目采购标的其中一部分内容、数量进行投标都被视为无效投标。</w:t>
      </w:r>
    </w:p>
    <w:p>
      <w:pPr>
        <w:numPr>
          <w:ilvl w:val="0"/>
          <w:numId w:val="18"/>
        </w:numPr>
        <w:tabs>
          <w:tab w:val="left" w:pos="540"/>
        </w:tabs>
        <w:snapToGrid w:val="0"/>
        <w:spacing w:line="360" w:lineRule="auto"/>
        <w:outlineLvl w:val="3"/>
        <w:rPr>
          <w:rFonts w:ascii="宋体" w:hAnsi="宋体" w:cs="宋体"/>
          <w:b/>
          <w:sz w:val="24"/>
        </w:rPr>
      </w:pPr>
      <w:r>
        <w:rPr>
          <w:rFonts w:hint="eastAsia" w:ascii="宋体" w:hAnsi="宋体" w:cs="宋体"/>
          <w:b/>
          <w:sz w:val="24"/>
        </w:rPr>
        <w:t>采购项目一览表</w:t>
      </w:r>
    </w:p>
    <w:tbl>
      <w:tblPr>
        <w:tblStyle w:val="52"/>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92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2335" w:type="dxa"/>
            <w:tcBorders>
              <w:top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服务内容</w:t>
            </w:r>
          </w:p>
        </w:tc>
        <w:tc>
          <w:tcPr>
            <w:tcW w:w="3923" w:type="dxa"/>
            <w:tcBorders>
              <w:top w:val="single" w:color="auto" w:sz="12" w:space="0"/>
              <w:left w:val="single" w:color="auto" w:sz="4" w:space="0"/>
              <w:right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服务地点（范围）</w:t>
            </w:r>
          </w:p>
        </w:tc>
        <w:tc>
          <w:tcPr>
            <w:tcW w:w="2700" w:type="dxa"/>
            <w:tcBorders>
              <w:top w:val="single" w:color="auto" w:sz="12" w:space="0"/>
              <w:left w:val="single" w:color="auto" w:sz="4" w:space="0"/>
              <w:right w:val="single" w:color="auto" w:sz="12" w:space="0"/>
            </w:tcBorders>
            <w:shd w:val="clear" w:color="auto" w:fill="EEECE1"/>
            <w:vAlign w:val="center"/>
          </w:tcPr>
          <w:p>
            <w:pPr>
              <w:snapToGrid w:val="0"/>
              <w:spacing w:line="360" w:lineRule="auto"/>
              <w:jc w:val="center"/>
              <w:rPr>
                <w:rFonts w:ascii="宋体" w:hAnsi="宋体" w:cs="宋体"/>
                <w:b/>
                <w:sz w:val="24"/>
              </w:rPr>
            </w:pPr>
            <w:r>
              <w:rPr>
                <w:rFonts w:hint="eastAsia" w:ascii="宋体" w:hAnsi="宋体" w:cs="宋体"/>
                <w:b/>
                <w:sz w:val="24"/>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335" w:type="dxa"/>
            <w:tcBorders>
              <w:bottom w:val="single" w:color="auto" w:sz="12" w:space="0"/>
            </w:tcBorders>
            <w:vAlign w:val="center"/>
          </w:tcPr>
          <w:p>
            <w:pPr>
              <w:snapToGrid w:val="0"/>
              <w:spacing w:line="360" w:lineRule="auto"/>
              <w:ind w:left="-2"/>
              <w:jc w:val="center"/>
              <w:rPr>
                <w:rFonts w:ascii="宋体" w:hAnsi="宋体" w:cs="宋体"/>
                <w:bCs/>
                <w:sz w:val="24"/>
              </w:rPr>
            </w:pPr>
            <w:r>
              <w:rPr>
                <w:rFonts w:hint="eastAsia" w:ascii="宋体" w:hAnsi="宋体" w:cs="宋体"/>
                <w:sz w:val="24"/>
              </w:rPr>
              <w:t>首都城市环境建设管理社会公众满意度考核评价</w:t>
            </w:r>
          </w:p>
        </w:tc>
        <w:tc>
          <w:tcPr>
            <w:tcW w:w="3923" w:type="dxa"/>
            <w:tcBorders>
              <w:left w:val="single" w:color="auto" w:sz="4" w:space="0"/>
              <w:bottom w:val="single" w:color="auto" w:sz="12" w:space="0"/>
              <w:right w:val="single" w:color="auto" w:sz="12" w:space="0"/>
            </w:tcBorders>
            <w:vAlign w:val="center"/>
          </w:tcPr>
          <w:p>
            <w:pPr>
              <w:pStyle w:val="672"/>
              <w:keepNext w:val="0"/>
              <w:snapToGrid w:val="0"/>
              <w:spacing w:before="0" w:after="0" w:line="360" w:lineRule="auto"/>
              <w:ind w:left="-2"/>
              <w:textAlignment w:val="auto"/>
              <w:rPr>
                <w:rFonts w:ascii="宋体" w:hAnsi="宋体" w:cs="宋体"/>
                <w:snapToGrid/>
                <w:spacing w:val="0"/>
                <w:szCs w:val="24"/>
              </w:rPr>
            </w:pPr>
            <w:r>
              <w:rPr>
                <w:rFonts w:hint="eastAsia" w:ascii="宋体" w:hAnsi="宋体" w:cs="宋体"/>
                <w:szCs w:val="24"/>
              </w:rPr>
              <w:t>核心区和城市副中心、中心城区、平原新城、生态涵养区</w:t>
            </w:r>
          </w:p>
        </w:tc>
        <w:tc>
          <w:tcPr>
            <w:tcW w:w="2700" w:type="dxa"/>
            <w:tcBorders>
              <w:left w:val="single" w:color="auto" w:sz="4" w:space="0"/>
              <w:bottom w:val="single" w:color="auto" w:sz="12" w:space="0"/>
              <w:right w:val="single" w:color="auto" w:sz="12" w:space="0"/>
            </w:tcBorders>
            <w:vAlign w:val="center"/>
          </w:tcPr>
          <w:p>
            <w:pPr>
              <w:pStyle w:val="672"/>
              <w:keepNext w:val="0"/>
              <w:snapToGrid w:val="0"/>
              <w:spacing w:before="0" w:after="0" w:line="360" w:lineRule="auto"/>
              <w:ind w:left="-2"/>
              <w:textAlignment w:val="auto"/>
              <w:rPr>
                <w:rFonts w:ascii="宋体" w:hAnsi="宋体" w:cs="宋体"/>
                <w:snapToGrid/>
                <w:spacing w:val="0"/>
                <w:szCs w:val="24"/>
              </w:rPr>
            </w:pPr>
            <w:r>
              <w:rPr>
                <w:rFonts w:hint="eastAsia" w:ascii="宋体" w:hAnsi="宋体" w:cs="宋体"/>
              </w:rPr>
              <w:t>2025年11月至2026年10月</w:t>
            </w:r>
          </w:p>
        </w:tc>
      </w:tr>
    </w:tbl>
    <w:p/>
    <w:p/>
    <w:tbl>
      <w:tblPr>
        <w:tblStyle w:val="52"/>
        <w:tblW w:w="89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77"/>
        <w:gridCol w:w="1787"/>
        <w:gridCol w:w="1915"/>
        <w:gridCol w:w="2310"/>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48"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包组号</w:t>
            </w:r>
          </w:p>
        </w:tc>
        <w:tc>
          <w:tcPr>
            <w:tcW w:w="1077"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服务内容</w:t>
            </w:r>
          </w:p>
        </w:tc>
        <w:tc>
          <w:tcPr>
            <w:tcW w:w="1787"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最高限价</w:t>
            </w:r>
          </w:p>
          <w:p>
            <w:pPr>
              <w:snapToGrid w:val="0"/>
              <w:spacing w:line="440" w:lineRule="exact"/>
              <w:jc w:val="center"/>
              <w:rPr>
                <w:rFonts w:ascii="宋体" w:hAnsi="宋体" w:cs="宋体"/>
                <w:b/>
                <w:sz w:val="24"/>
              </w:rPr>
            </w:pPr>
            <w:r>
              <w:rPr>
                <w:rFonts w:hint="eastAsia" w:ascii="宋体" w:hAnsi="宋体" w:cs="宋体"/>
                <w:b/>
                <w:sz w:val="24"/>
              </w:rPr>
              <w:t>（人民币  元）</w:t>
            </w:r>
          </w:p>
        </w:tc>
        <w:tc>
          <w:tcPr>
            <w:tcW w:w="1915"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服务地点（范围）</w:t>
            </w:r>
          </w:p>
        </w:tc>
        <w:tc>
          <w:tcPr>
            <w:tcW w:w="2310"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履行期限</w:t>
            </w:r>
          </w:p>
        </w:tc>
        <w:tc>
          <w:tcPr>
            <w:tcW w:w="1139"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所属行业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restart"/>
            <w:tcBorders>
              <w:tl2br w:val="nil"/>
              <w:tr2bl w:val="nil"/>
            </w:tcBorders>
            <w:vAlign w:val="center"/>
          </w:tcPr>
          <w:p>
            <w:pPr>
              <w:snapToGrid w:val="0"/>
              <w:spacing w:line="440" w:lineRule="exact"/>
              <w:jc w:val="center"/>
              <w:rPr>
                <w:rFonts w:ascii="宋体" w:hAnsi="宋体" w:cs="宋体"/>
                <w:sz w:val="24"/>
              </w:rPr>
            </w:pPr>
            <w:r>
              <w:rPr>
                <w:rFonts w:hint="eastAsia" w:ascii="宋体" w:hAnsi="宋体" w:cs="宋体"/>
                <w:sz w:val="24"/>
              </w:rPr>
              <w:t>一</w:t>
            </w:r>
          </w:p>
        </w:tc>
        <w:tc>
          <w:tcPr>
            <w:tcW w:w="1077" w:type="dxa"/>
            <w:vMerge w:val="restart"/>
            <w:tcBorders>
              <w:tl2br w:val="nil"/>
              <w:tr2bl w:val="nil"/>
            </w:tcBorders>
            <w:vAlign w:val="center"/>
          </w:tcPr>
          <w:p>
            <w:pPr>
              <w:snapToGrid w:val="0"/>
              <w:spacing w:line="440" w:lineRule="exact"/>
              <w:jc w:val="center"/>
              <w:rPr>
                <w:rFonts w:ascii="宋体" w:hAnsi="宋体" w:cs="宋体"/>
                <w:bCs/>
                <w:sz w:val="24"/>
              </w:rPr>
            </w:pPr>
            <w:r>
              <w:rPr>
                <w:rFonts w:hint="eastAsia" w:ascii="宋体" w:hAnsi="宋体" w:cs="宋体"/>
                <w:bCs/>
                <w:sz w:val="24"/>
              </w:rPr>
              <w:t>首都城市环境建设管理社会公众满意度考核评价（一）</w:t>
            </w:r>
          </w:p>
        </w:tc>
        <w:tc>
          <w:tcPr>
            <w:tcW w:w="1787" w:type="dxa"/>
            <w:vMerge w:val="restart"/>
            <w:tcBorders>
              <w:tl2br w:val="nil"/>
              <w:tr2bl w:val="nil"/>
            </w:tcBorders>
            <w:vAlign w:val="center"/>
          </w:tcPr>
          <w:p>
            <w:pPr>
              <w:snapToGrid w:val="0"/>
              <w:spacing w:line="440" w:lineRule="exact"/>
              <w:jc w:val="center"/>
              <w:rPr>
                <w:rFonts w:ascii="宋体" w:hAnsi="宋体" w:cs="宋体"/>
                <w:bCs/>
                <w:sz w:val="24"/>
              </w:rPr>
            </w:pPr>
            <w:r>
              <w:rPr>
                <w:rFonts w:hint="eastAsia" w:ascii="宋体" w:hAnsi="宋体" w:cs="宋体"/>
                <w:bCs/>
                <w:sz w:val="24"/>
              </w:rPr>
              <w:t>1355551.2</w:t>
            </w:r>
          </w:p>
        </w:tc>
        <w:tc>
          <w:tcPr>
            <w:tcW w:w="1915" w:type="dxa"/>
            <w:vMerge w:val="restart"/>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rPr>
              <w:t>核心区和城市副中心+中心城区</w:t>
            </w: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2025年11月至2025年12月</w:t>
            </w:r>
          </w:p>
        </w:tc>
        <w:tc>
          <w:tcPr>
            <w:tcW w:w="1139"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snapToGrid/>
                <w:spacing w:val="0"/>
                <w:szCs w:val="24"/>
              </w:rPr>
              <w:t>社会调查服务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snapToGrid w:val="0"/>
              <w:spacing w:line="440" w:lineRule="exact"/>
              <w:jc w:val="center"/>
              <w:rPr>
                <w:rFonts w:ascii="宋体" w:hAnsi="宋体" w:cs="宋体"/>
                <w:sz w:val="24"/>
              </w:rPr>
            </w:pPr>
          </w:p>
        </w:tc>
        <w:tc>
          <w:tcPr>
            <w:tcW w:w="1077" w:type="dxa"/>
            <w:vMerge w:val="continue"/>
            <w:tcBorders>
              <w:tl2br w:val="nil"/>
              <w:tr2bl w:val="nil"/>
            </w:tcBorders>
            <w:vAlign w:val="center"/>
          </w:tcPr>
          <w:p>
            <w:pPr>
              <w:snapToGrid w:val="0"/>
              <w:spacing w:line="440" w:lineRule="exact"/>
              <w:jc w:val="center"/>
              <w:rPr>
                <w:rFonts w:ascii="宋体" w:hAnsi="宋体" w:cs="宋体"/>
                <w:sz w:val="24"/>
              </w:rPr>
            </w:pPr>
          </w:p>
        </w:tc>
        <w:tc>
          <w:tcPr>
            <w:tcW w:w="1787" w:type="dxa"/>
            <w:vMerge w:val="continue"/>
            <w:tcBorders>
              <w:tl2br w:val="nil"/>
              <w:tr2bl w:val="nil"/>
            </w:tcBorders>
            <w:vAlign w:val="center"/>
          </w:tcPr>
          <w:p>
            <w:pPr>
              <w:snapToGrid w:val="0"/>
              <w:spacing w:line="440" w:lineRule="exact"/>
              <w:jc w:val="center"/>
              <w:rPr>
                <w:rFonts w:ascii="宋体" w:hAnsi="宋体" w:cs="宋体"/>
                <w:sz w:val="24"/>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2026年4月至2026年6月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snapToGrid/>
                <w:spacing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07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78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2026年10月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07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78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915" w:type="dxa"/>
            <w:vMerge w:val="restart"/>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rPr>
              <w:t>平原新城+生态涵养区</w:t>
            </w:r>
          </w:p>
        </w:tc>
        <w:tc>
          <w:tcPr>
            <w:tcW w:w="2310" w:type="dxa"/>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snapToGrid/>
                <w:spacing w:val="0"/>
                <w:szCs w:val="24"/>
              </w:rPr>
              <w:t>2026年1月至2026年3月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07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787"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2026年7月至2026年9月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restart"/>
            <w:tcBorders>
              <w:tl2br w:val="nil"/>
              <w:tr2bl w:val="nil"/>
            </w:tcBorders>
            <w:vAlign w:val="center"/>
          </w:tcPr>
          <w:p>
            <w:pPr>
              <w:snapToGrid w:val="0"/>
              <w:spacing w:line="440" w:lineRule="exact"/>
              <w:jc w:val="center"/>
              <w:rPr>
                <w:rFonts w:ascii="宋体" w:hAnsi="宋体" w:cs="宋体"/>
                <w:sz w:val="24"/>
              </w:rPr>
            </w:pPr>
            <w:r>
              <w:rPr>
                <w:rFonts w:hint="eastAsia" w:ascii="宋体" w:hAnsi="宋体" w:cs="宋体"/>
                <w:sz w:val="24"/>
              </w:rPr>
              <w:t>二</w:t>
            </w:r>
          </w:p>
        </w:tc>
        <w:tc>
          <w:tcPr>
            <w:tcW w:w="1077" w:type="dxa"/>
            <w:vMerge w:val="restart"/>
            <w:tcBorders>
              <w:tl2br w:val="nil"/>
              <w:tr2bl w:val="nil"/>
            </w:tcBorders>
            <w:vAlign w:val="center"/>
          </w:tcPr>
          <w:p>
            <w:pPr>
              <w:snapToGrid w:val="0"/>
              <w:spacing w:line="440" w:lineRule="exact"/>
              <w:jc w:val="center"/>
              <w:rPr>
                <w:rFonts w:ascii="宋体" w:hAnsi="宋体" w:cs="宋体"/>
                <w:sz w:val="24"/>
              </w:rPr>
            </w:pPr>
            <w:r>
              <w:rPr>
                <w:rFonts w:hint="eastAsia" w:ascii="宋体" w:hAnsi="宋体" w:cs="宋体"/>
                <w:sz w:val="24"/>
              </w:rPr>
              <w:t>首都城市环境建设管理社会公众满意度考核评价（二）</w:t>
            </w:r>
          </w:p>
        </w:tc>
        <w:tc>
          <w:tcPr>
            <w:tcW w:w="1787" w:type="dxa"/>
            <w:vMerge w:val="restart"/>
            <w:tcBorders>
              <w:tl2br w:val="nil"/>
              <w:tr2bl w:val="nil"/>
            </w:tcBorders>
            <w:vAlign w:val="center"/>
          </w:tcPr>
          <w:p>
            <w:pPr>
              <w:snapToGrid w:val="0"/>
              <w:spacing w:line="440" w:lineRule="exact"/>
              <w:jc w:val="center"/>
              <w:rPr>
                <w:rFonts w:ascii="宋体" w:hAnsi="宋体" w:cs="宋体"/>
                <w:bCs/>
                <w:sz w:val="24"/>
              </w:rPr>
            </w:pPr>
            <w:r>
              <w:rPr>
                <w:rFonts w:hint="eastAsia" w:ascii="宋体" w:hAnsi="宋体" w:cs="宋体"/>
                <w:bCs/>
                <w:sz w:val="24"/>
              </w:rPr>
              <w:t>1355551.2</w:t>
            </w:r>
          </w:p>
        </w:tc>
        <w:tc>
          <w:tcPr>
            <w:tcW w:w="1915" w:type="dxa"/>
            <w:vMerge w:val="restart"/>
            <w:tcBorders>
              <w:tl2br w:val="nil"/>
              <w:tr2bl w:val="nil"/>
            </w:tcBorders>
            <w:vAlign w:val="center"/>
          </w:tcPr>
          <w:p>
            <w:pPr>
              <w:pStyle w:val="672"/>
              <w:snapToGrid w:val="0"/>
              <w:spacing w:before="0" w:after="0" w:line="440" w:lineRule="exact"/>
              <w:rPr>
                <w:rFonts w:ascii="宋体" w:hAnsi="宋体" w:cs="宋体"/>
                <w:szCs w:val="24"/>
              </w:rPr>
            </w:pPr>
            <w:r>
              <w:rPr>
                <w:rFonts w:hint="eastAsia" w:ascii="宋体" w:hAnsi="宋体" w:cs="宋体"/>
              </w:rPr>
              <w:t>核心区和城市副中心+中心城区</w:t>
            </w:r>
          </w:p>
        </w:tc>
        <w:tc>
          <w:tcPr>
            <w:tcW w:w="2310" w:type="dxa"/>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snapToGrid/>
                <w:spacing w:val="0"/>
                <w:szCs w:val="24"/>
              </w:rPr>
              <w:t>2026年1月至2026年3月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snapToGrid w:val="0"/>
              <w:spacing w:line="440" w:lineRule="exact"/>
              <w:jc w:val="center"/>
              <w:rPr>
                <w:rFonts w:ascii="宋体" w:hAnsi="宋体" w:cs="宋体"/>
                <w:sz w:val="24"/>
              </w:rPr>
            </w:pPr>
          </w:p>
        </w:tc>
        <w:tc>
          <w:tcPr>
            <w:tcW w:w="1077" w:type="dxa"/>
            <w:vMerge w:val="continue"/>
            <w:tcBorders>
              <w:tl2br w:val="nil"/>
              <w:tr2bl w:val="nil"/>
            </w:tcBorders>
            <w:vAlign w:val="center"/>
          </w:tcPr>
          <w:p>
            <w:pPr>
              <w:snapToGrid w:val="0"/>
              <w:spacing w:line="440" w:lineRule="exact"/>
              <w:jc w:val="center"/>
              <w:rPr>
                <w:rFonts w:ascii="宋体" w:hAnsi="宋体" w:cs="宋体"/>
                <w:sz w:val="24"/>
              </w:rPr>
            </w:pPr>
          </w:p>
        </w:tc>
        <w:tc>
          <w:tcPr>
            <w:tcW w:w="1787" w:type="dxa"/>
            <w:vMerge w:val="continue"/>
            <w:tcBorders>
              <w:tl2br w:val="nil"/>
              <w:tr2bl w:val="nil"/>
            </w:tcBorders>
            <w:vAlign w:val="center"/>
          </w:tcPr>
          <w:p>
            <w:pPr>
              <w:snapToGrid w:val="0"/>
              <w:spacing w:line="440" w:lineRule="exact"/>
              <w:jc w:val="center"/>
              <w:rPr>
                <w:rFonts w:ascii="宋体" w:hAnsi="宋体" w:cs="宋体"/>
                <w:sz w:val="24"/>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2026年7月至2026年9月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snapToGrid w:val="0"/>
              <w:spacing w:line="440" w:lineRule="exact"/>
              <w:jc w:val="center"/>
              <w:rPr>
                <w:rFonts w:ascii="宋体" w:hAnsi="宋体" w:cs="宋体"/>
                <w:sz w:val="24"/>
              </w:rPr>
            </w:pPr>
          </w:p>
        </w:tc>
        <w:tc>
          <w:tcPr>
            <w:tcW w:w="1077" w:type="dxa"/>
            <w:vMerge w:val="continue"/>
            <w:tcBorders>
              <w:tl2br w:val="nil"/>
              <w:tr2bl w:val="nil"/>
            </w:tcBorders>
            <w:vAlign w:val="center"/>
          </w:tcPr>
          <w:p>
            <w:pPr>
              <w:snapToGrid w:val="0"/>
              <w:spacing w:line="440" w:lineRule="exact"/>
              <w:jc w:val="center"/>
              <w:rPr>
                <w:rFonts w:ascii="宋体" w:hAnsi="宋体" w:cs="宋体"/>
                <w:sz w:val="24"/>
              </w:rPr>
            </w:pPr>
          </w:p>
        </w:tc>
        <w:tc>
          <w:tcPr>
            <w:tcW w:w="1787" w:type="dxa"/>
            <w:vMerge w:val="continue"/>
            <w:tcBorders>
              <w:tl2br w:val="nil"/>
              <w:tr2bl w:val="nil"/>
            </w:tcBorders>
            <w:vAlign w:val="center"/>
          </w:tcPr>
          <w:p>
            <w:pPr>
              <w:snapToGrid w:val="0"/>
              <w:spacing w:line="440" w:lineRule="exact"/>
              <w:jc w:val="center"/>
              <w:rPr>
                <w:rFonts w:ascii="宋体" w:hAnsi="宋体" w:cs="宋体"/>
                <w:sz w:val="24"/>
              </w:rPr>
            </w:pPr>
          </w:p>
        </w:tc>
        <w:tc>
          <w:tcPr>
            <w:tcW w:w="1915"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平原新城+生态涵养区</w:t>
            </w: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2025年11月至2025年12月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snapToGrid w:val="0"/>
              <w:spacing w:line="440" w:lineRule="exact"/>
              <w:jc w:val="center"/>
              <w:rPr>
                <w:rFonts w:ascii="宋体" w:hAnsi="宋体" w:cs="宋体"/>
                <w:sz w:val="24"/>
              </w:rPr>
            </w:pPr>
          </w:p>
        </w:tc>
        <w:tc>
          <w:tcPr>
            <w:tcW w:w="1077" w:type="dxa"/>
            <w:vMerge w:val="continue"/>
            <w:tcBorders>
              <w:tl2br w:val="nil"/>
              <w:tr2bl w:val="nil"/>
            </w:tcBorders>
            <w:vAlign w:val="center"/>
          </w:tcPr>
          <w:p>
            <w:pPr>
              <w:snapToGrid w:val="0"/>
              <w:spacing w:line="440" w:lineRule="exact"/>
              <w:jc w:val="center"/>
              <w:rPr>
                <w:rFonts w:ascii="宋体" w:hAnsi="宋体" w:cs="宋体"/>
                <w:sz w:val="24"/>
              </w:rPr>
            </w:pPr>
          </w:p>
        </w:tc>
        <w:tc>
          <w:tcPr>
            <w:tcW w:w="1787" w:type="dxa"/>
            <w:vMerge w:val="continue"/>
            <w:tcBorders>
              <w:tl2br w:val="nil"/>
              <w:tr2bl w:val="nil"/>
            </w:tcBorders>
            <w:vAlign w:val="center"/>
          </w:tcPr>
          <w:p>
            <w:pPr>
              <w:snapToGrid w:val="0"/>
              <w:spacing w:line="440" w:lineRule="exact"/>
              <w:jc w:val="center"/>
              <w:rPr>
                <w:rFonts w:ascii="宋体" w:hAnsi="宋体" w:cs="宋体"/>
                <w:sz w:val="24"/>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2026年4月至2026年6月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48" w:type="dxa"/>
            <w:vMerge w:val="continue"/>
            <w:tcBorders>
              <w:tl2br w:val="nil"/>
              <w:tr2bl w:val="nil"/>
            </w:tcBorders>
            <w:vAlign w:val="center"/>
          </w:tcPr>
          <w:p>
            <w:pPr>
              <w:snapToGrid w:val="0"/>
              <w:spacing w:line="440" w:lineRule="exact"/>
              <w:jc w:val="center"/>
              <w:rPr>
                <w:rFonts w:ascii="宋体" w:hAnsi="宋体" w:cs="宋体"/>
                <w:sz w:val="24"/>
              </w:rPr>
            </w:pPr>
          </w:p>
        </w:tc>
        <w:tc>
          <w:tcPr>
            <w:tcW w:w="1077" w:type="dxa"/>
            <w:vMerge w:val="continue"/>
            <w:tcBorders>
              <w:tl2br w:val="nil"/>
              <w:tr2bl w:val="nil"/>
            </w:tcBorders>
            <w:vAlign w:val="center"/>
          </w:tcPr>
          <w:p>
            <w:pPr>
              <w:snapToGrid w:val="0"/>
              <w:spacing w:line="440" w:lineRule="exact"/>
              <w:jc w:val="center"/>
              <w:rPr>
                <w:rFonts w:ascii="宋体" w:hAnsi="宋体" w:cs="宋体"/>
                <w:sz w:val="24"/>
              </w:rPr>
            </w:pPr>
          </w:p>
        </w:tc>
        <w:tc>
          <w:tcPr>
            <w:tcW w:w="1787" w:type="dxa"/>
            <w:vMerge w:val="continue"/>
            <w:tcBorders>
              <w:tl2br w:val="nil"/>
              <w:tr2bl w:val="nil"/>
            </w:tcBorders>
            <w:vAlign w:val="center"/>
          </w:tcPr>
          <w:p>
            <w:pPr>
              <w:snapToGrid w:val="0"/>
              <w:spacing w:line="440" w:lineRule="exact"/>
              <w:jc w:val="center"/>
              <w:rPr>
                <w:rFonts w:ascii="宋体" w:hAnsi="宋体" w:cs="宋体"/>
                <w:sz w:val="24"/>
              </w:rPr>
            </w:pPr>
          </w:p>
        </w:tc>
        <w:tc>
          <w:tcPr>
            <w:tcW w:w="1915"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2310"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2026年10月</w:t>
            </w:r>
          </w:p>
        </w:tc>
        <w:tc>
          <w:tcPr>
            <w:tcW w:w="1139" w:type="dxa"/>
            <w:vMerge w:val="continue"/>
            <w:tcBorders>
              <w:tl2br w:val="nil"/>
              <w:tr2bl w:val="nil"/>
            </w:tcBorders>
            <w:vAlign w:val="center"/>
          </w:tcPr>
          <w:p>
            <w:pPr>
              <w:pStyle w:val="672"/>
              <w:snapToGrid w:val="0"/>
              <w:spacing w:before="0" w:after="0" w:line="440" w:lineRule="exac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976" w:type="dxa"/>
            <w:gridSpan w:val="6"/>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b/>
              </w:rPr>
              <w:t>服务地点（范围）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核心区和城市副中心</w:t>
            </w: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东城区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西城区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napToGrid w:val="0"/>
                <w:spacing w:val="20"/>
                <w:sz w:val="24"/>
                <w:szCs w:val="20"/>
              </w:rPr>
            </w:pPr>
            <w:r>
              <w:rPr>
                <w:rFonts w:hint="eastAsia" w:ascii="宋体" w:hAnsi="宋体" w:cs="宋体"/>
                <w:sz w:val="24"/>
              </w:rPr>
              <w:t>通州区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中心城区</w:t>
            </w: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朝阳区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海淀区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丰台区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石景山区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平原新城</w:t>
            </w: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房山区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顺义区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昌平区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大兴区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北京经济技术开发区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生态涵养区</w:t>
            </w: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门头沟区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怀柔区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平谷区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密云区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612" w:type="dxa"/>
            <w:gridSpan w:val="3"/>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gridSpan w:val="3"/>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延庆区</w:t>
            </w:r>
          </w:p>
        </w:tc>
      </w:tr>
    </w:tbl>
    <w:p>
      <w:pPr>
        <w:tabs>
          <w:tab w:val="left" w:pos="540"/>
        </w:tabs>
        <w:snapToGrid w:val="0"/>
        <w:spacing w:line="360" w:lineRule="auto"/>
        <w:ind w:left="420"/>
        <w:rPr>
          <w:rFonts w:ascii="宋体" w:hAnsi="宋体" w:cs="宋体"/>
          <w:b/>
          <w:sz w:val="24"/>
        </w:rPr>
        <w:sectPr>
          <w:headerReference r:id="rId14" w:type="default"/>
          <w:footerReference r:id="rId15" w:type="default"/>
          <w:pgSz w:w="11906" w:h="16838"/>
          <w:pgMar w:top="1440" w:right="1474" w:bottom="1440" w:left="1587" w:header="851" w:footer="992" w:gutter="0"/>
          <w:cols w:space="720" w:num="1"/>
          <w:docGrid w:type="lines" w:linePitch="312" w:charSpace="0"/>
        </w:sectPr>
      </w:pPr>
    </w:p>
    <w:p>
      <w:pPr>
        <w:numPr>
          <w:ilvl w:val="0"/>
          <w:numId w:val="18"/>
        </w:numPr>
        <w:tabs>
          <w:tab w:val="left" w:pos="540"/>
        </w:tabs>
        <w:snapToGrid w:val="0"/>
        <w:spacing w:line="360" w:lineRule="auto"/>
        <w:outlineLvl w:val="3"/>
        <w:rPr>
          <w:rFonts w:ascii="宋体" w:hAnsi="宋体" w:cs="宋体"/>
          <w:b/>
          <w:sz w:val="24"/>
        </w:rPr>
      </w:pPr>
      <w:r>
        <w:rPr>
          <w:rFonts w:hint="eastAsia" w:ascii="宋体" w:hAnsi="宋体" w:cs="宋体"/>
          <w:b/>
          <w:sz w:val="24"/>
        </w:rPr>
        <w:t>项目要求</w:t>
      </w:r>
    </w:p>
    <w:p>
      <w:pPr>
        <w:pStyle w:val="660"/>
        <w:numPr>
          <w:ilvl w:val="0"/>
          <w:numId w:val="19"/>
        </w:numPr>
        <w:tabs>
          <w:tab w:val="left" w:pos="630"/>
        </w:tabs>
        <w:autoSpaceDE w:val="0"/>
        <w:autoSpaceDN w:val="0"/>
        <w:snapToGrid w:val="0"/>
        <w:spacing w:line="360" w:lineRule="auto"/>
        <w:ind w:left="-2" w:firstLine="0" w:firstLineChars="0"/>
        <w:rPr>
          <w:rFonts w:ascii="宋体" w:hAnsi="宋体" w:cs="宋体"/>
          <w:b/>
          <w:bCs/>
        </w:rPr>
      </w:pPr>
      <w:r>
        <w:rPr>
          <w:rFonts w:hint="eastAsia" w:ascii="宋体" w:hAnsi="宋体" w:cs="宋体"/>
          <w:b/>
          <w:bCs/>
        </w:rPr>
        <w:t>项目概况</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为深入贯彻习近平总书记对北京重要讲话精神，落实《北京城市总体规划(2016年-2035年)》，加快推动形成有效的超大城市治理体系，北京市城市管理委员会拟开展2026年</w:t>
      </w:r>
      <w:r>
        <w:rPr>
          <w:rFonts w:hint="eastAsia" w:ascii="宋体" w:hAnsi="宋体" w:cs="宋体"/>
          <w:sz w:val="24"/>
        </w:rPr>
        <w:t>首都城市环境建设管理社会公众满意度调查工作</w:t>
      </w:r>
      <w:r>
        <w:rPr>
          <w:rFonts w:hint="eastAsia" w:ascii="宋体" w:hAnsi="宋体" w:cs="宋体"/>
          <w:sz w:val="24"/>
          <w:shd w:val="clear" w:color="auto" w:fill="FFFFFF"/>
        </w:rPr>
        <w:t>，包括社会公众满意度问卷调查和环境建设管理问题抽查，充分了解首都市民对城市环境建设管理的满意度、意见和建议等，推动群众关注的城市管理热点问题、难点问题、焦点问题有效解决，实现共建共治共享，不断提升城市管理水平。</w:t>
      </w:r>
    </w:p>
    <w:p>
      <w:pPr>
        <w:pStyle w:val="660"/>
        <w:numPr>
          <w:ilvl w:val="0"/>
          <w:numId w:val="19"/>
        </w:numPr>
        <w:tabs>
          <w:tab w:val="left" w:pos="630"/>
        </w:tabs>
        <w:autoSpaceDE w:val="0"/>
        <w:autoSpaceDN w:val="0"/>
        <w:snapToGrid w:val="0"/>
        <w:spacing w:line="360" w:lineRule="auto"/>
        <w:ind w:left="-2" w:firstLine="0" w:firstLineChars="0"/>
        <w:rPr>
          <w:rFonts w:ascii="宋体" w:hAnsi="宋体" w:cs="宋体"/>
          <w:b/>
          <w:bCs/>
        </w:rPr>
      </w:pPr>
      <w:r>
        <w:rPr>
          <w:rFonts w:hint="eastAsia" w:ascii="宋体" w:hAnsi="宋体" w:cs="宋体"/>
          <w:b/>
          <w:bCs/>
        </w:rPr>
        <w:t>服务要求</w:t>
      </w:r>
    </w:p>
    <w:p>
      <w:pPr>
        <w:numPr>
          <w:ilvl w:val="1"/>
          <w:numId w:val="20"/>
        </w:numPr>
        <w:autoSpaceDE w:val="0"/>
        <w:autoSpaceDN w:val="0"/>
        <w:snapToGrid w:val="0"/>
        <w:spacing w:line="360" w:lineRule="auto"/>
        <w:ind w:left="0" w:firstLine="220" w:firstLineChars="92"/>
        <w:rPr>
          <w:rFonts w:ascii="宋体" w:hAnsi="宋体" w:cs="宋体"/>
          <w:sz w:val="24"/>
        </w:rPr>
      </w:pPr>
      <w:r>
        <w:rPr>
          <w:rFonts w:hint="eastAsia" w:ascii="宋体" w:hAnsi="宋体" w:cs="宋体"/>
          <w:sz w:val="24"/>
          <w:lang w:eastAsia="zh-TW"/>
        </w:rPr>
        <w:t>实施原则</w:t>
      </w:r>
      <w:r>
        <w:rPr>
          <w:rFonts w:hint="eastAsia" w:ascii="宋体" w:hAnsi="宋体" w:cs="宋体"/>
          <w:sz w:val="24"/>
        </w:rPr>
        <w:t>：</w:t>
      </w:r>
    </w:p>
    <w:p>
      <w:pPr>
        <w:autoSpaceDE w:val="0"/>
        <w:autoSpaceDN w:val="0"/>
        <w:snapToGrid w:val="0"/>
        <w:spacing w:line="360" w:lineRule="auto"/>
        <w:ind w:left="-2"/>
        <w:rPr>
          <w:rFonts w:ascii="宋体" w:hAnsi="宋体" w:cs="宋体"/>
          <w:sz w:val="24"/>
        </w:rPr>
      </w:pPr>
      <w:r>
        <w:rPr>
          <w:rFonts w:hint="eastAsia" w:ascii="宋体" w:hAnsi="宋体" w:cs="宋体"/>
          <w:spacing w:val="1"/>
          <w:sz w:val="24"/>
        </w:rPr>
        <w:t>投标人遵循“科学严谨、突出</w:t>
      </w:r>
      <w:r>
        <w:rPr>
          <w:rFonts w:hint="eastAsia" w:ascii="宋体" w:hAnsi="宋体" w:cs="宋体"/>
          <w:sz w:val="24"/>
        </w:rPr>
        <w:t>重点、专业高效、协调推进”的原则开展调查</w:t>
      </w:r>
      <w:r>
        <w:rPr>
          <w:rFonts w:hint="eastAsia" w:ascii="宋体" w:hAnsi="宋体" w:cs="宋体"/>
          <w:spacing w:val="-8"/>
          <w:sz w:val="24"/>
        </w:rPr>
        <w:t>研</w:t>
      </w:r>
      <w:r>
        <w:rPr>
          <w:rFonts w:hint="eastAsia" w:ascii="宋体" w:hAnsi="宋体" w:cs="宋体"/>
          <w:spacing w:val="-7"/>
          <w:sz w:val="24"/>
        </w:rPr>
        <w:t>究工作。</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工作方式：</w:t>
      </w:r>
    </w:p>
    <w:p>
      <w:pPr>
        <w:tabs>
          <w:tab w:val="left" w:pos="851"/>
        </w:tabs>
        <w:autoSpaceDE w:val="0"/>
        <w:autoSpaceDN w:val="0"/>
        <w:snapToGrid w:val="0"/>
        <w:spacing w:line="360" w:lineRule="auto"/>
        <w:ind w:left="-2" w:firstLine="480" w:firstLineChars="200"/>
        <w:rPr>
          <w:rFonts w:ascii="宋体" w:hAnsi="宋体" w:cs="宋体"/>
          <w:sz w:val="24"/>
        </w:rPr>
      </w:pPr>
      <w:r>
        <w:rPr>
          <w:rFonts w:hint="eastAsia" w:ascii="宋体" w:hAnsi="宋体" w:cs="宋体"/>
          <w:sz w:val="24"/>
          <w:shd w:val="clear" w:color="auto" w:fill="FFFFFF"/>
        </w:rPr>
        <w:t>（1）文献研究：设计调查问卷、调查指标和撰写分析报告时，需参考有关城市环境建设的各种文献(如专题调研资料、统计资料等)，进行系统而有针对性地收集、整理、分析研</w:t>
      </w:r>
      <w:r>
        <w:rPr>
          <w:rFonts w:hint="eastAsia" w:ascii="宋体" w:hAnsi="宋体" w:cs="宋体"/>
          <w:spacing w:val="-5"/>
          <w:sz w:val="24"/>
        </w:rPr>
        <w:t>究。</w:t>
      </w:r>
    </w:p>
    <w:p>
      <w:pPr>
        <w:tabs>
          <w:tab w:val="left" w:pos="851"/>
        </w:tabs>
        <w:autoSpaceDE w:val="0"/>
        <w:autoSpaceDN w:val="0"/>
        <w:snapToGrid w:val="0"/>
        <w:spacing w:line="360" w:lineRule="auto"/>
        <w:ind w:left="-2" w:firstLine="492" w:firstLineChars="200"/>
        <w:rPr>
          <w:rFonts w:ascii="宋体" w:hAnsi="宋体" w:cs="宋体"/>
          <w:sz w:val="24"/>
        </w:rPr>
      </w:pPr>
      <w:r>
        <w:rPr>
          <w:rFonts w:hint="eastAsia" w:ascii="宋体" w:hAnsi="宋体" w:cs="宋体"/>
          <w:spacing w:val="3"/>
          <w:sz w:val="24"/>
        </w:rPr>
        <w:t>（2）专家评审：调查工作方案和分析报告需经行业专家评审，保证调查工作的专业性</w:t>
      </w:r>
      <w:r>
        <w:rPr>
          <w:rFonts w:hint="eastAsia" w:ascii="宋体" w:hAnsi="宋体" w:cs="宋体"/>
          <w:spacing w:val="-2"/>
          <w:sz w:val="24"/>
        </w:rPr>
        <w:t>。</w:t>
      </w:r>
    </w:p>
    <w:p>
      <w:pPr>
        <w:spacing w:line="360" w:lineRule="auto"/>
        <w:ind w:left="-2" w:firstLine="492" w:firstLineChars="200"/>
        <w:rPr>
          <w:rFonts w:ascii="宋体" w:hAnsi="宋体" w:cs="宋体"/>
          <w:sz w:val="24"/>
        </w:rPr>
      </w:pPr>
      <w:r>
        <w:rPr>
          <w:rFonts w:hint="eastAsia" w:ascii="宋体" w:hAnsi="宋体" w:cs="宋体"/>
          <w:spacing w:val="3"/>
          <w:sz w:val="24"/>
        </w:rPr>
        <w:t>（3）抽样调查：根据</w:t>
      </w:r>
      <w:r>
        <w:rPr>
          <w:rFonts w:hint="eastAsia" w:ascii="宋体" w:hAnsi="宋体" w:cs="宋体"/>
          <w:spacing w:val="-6"/>
          <w:sz w:val="24"/>
        </w:rPr>
        <w:t>人口规模确定样</w:t>
      </w:r>
      <w:r>
        <w:rPr>
          <w:rFonts w:hint="eastAsia" w:ascii="宋体" w:hAnsi="宋体" w:cs="宋体"/>
          <w:spacing w:val="-3"/>
          <w:sz w:val="24"/>
        </w:rPr>
        <w:t>本量，样本结构应与各区的常住人口结构相匹配</w:t>
      </w:r>
      <w:r>
        <w:rPr>
          <w:rFonts w:hint="eastAsia" w:ascii="宋体" w:hAnsi="宋体" w:cs="宋体"/>
          <w:spacing w:val="-6"/>
          <w:sz w:val="24"/>
        </w:rPr>
        <w:t>。调查方式包括但不限于实地拦访、电话调查、网络调查等。</w:t>
      </w:r>
      <w:r>
        <w:rPr>
          <w:rFonts w:hint="eastAsia" w:ascii="宋体" w:hAnsi="宋体" w:cs="宋体"/>
          <w:spacing w:val="3"/>
          <w:sz w:val="24"/>
        </w:rPr>
        <w:t>确保抽样具有足够代表性，保证调查结果的科学有效性。</w:t>
      </w:r>
    </w:p>
    <w:p>
      <w:pPr>
        <w:tabs>
          <w:tab w:val="left" w:pos="851"/>
        </w:tabs>
        <w:autoSpaceDE w:val="0"/>
        <w:autoSpaceDN w:val="0"/>
        <w:snapToGrid w:val="0"/>
        <w:spacing w:line="360" w:lineRule="auto"/>
        <w:ind w:left="-2" w:firstLine="492" w:firstLineChars="200"/>
        <w:rPr>
          <w:rFonts w:ascii="宋体" w:hAnsi="宋体" w:cs="宋体"/>
          <w:spacing w:val="3"/>
          <w:sz w:val="24"/>
        </w:rPr>
      </w:pPr>
      <w:r>
        <w:rPr>
          <w:rFonts w:hint="eastAsia" w:ascii="宋体" w:hAnsi="宋体" w:cs="宋体"/>
          <w:spacing w:val="3"/>
          <w:sz w:val="24"/>
        </w:rPr>
        <w:t>（4）</w:t>
      </w:r>
      <w:r>
        <w:rPr>
          <w:rFonts w:hint="eastAsia" w:ascii="宋体" w:hAnsi="宋体" w:cs="宋体"/>
          <w:sz w:val="24"/>
          <w:shd w:val="clear" w:color="auto" w:fill="FFFFFF"/>
        </w:rPr>
        <w:t>环境问题复核：对“一网统管”系统综合检查数据进行复核，按照功能区内相对均衡的原则，每个月每区抽查同等数量的道路进行线下抽样复查。同时撰写季度综合环境问题报告，对各区环境问题情况进行精准画像。</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工作内容：</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（1）根据工作需要，分别制定满意度调</w:t>
      </w:r>
      <w:r>
        <w:rPr>
          <w:rFonts w:hint="eastAsia" w:ascii="宋体" w:hAnsi="宋体" w:cs="宋体"/>
          <w:sz w:val="24"/>
        </w:rPr>
        <w:t>查和环境问题复核工作计划</w:t>
      </w:r>
      <w:r>
        <w:rPr>
          <w:rFonts w:hint="eastAsia" w:ascii="宋体" w:hAnsi="宋体" w:cs="宋体"/>
          <w:sz w:val="24"/>
          <w:shd w:val="clear" w:color="auto" w:fill="FFFFFF"/>
        </w:rPr>
        <w:t>和工作方案，其中满意度调查方案应包含调查方法、范围、对象、、调查问卷内容、团队人员配置、数据采集流程、实施时间、调查对象抽样表等；</w:t>
      </w:r>
      <w:r>
        <w:rPr>
          <w:rFonts w:hint="eastAsia" w:ascii="宋体" w:hAnsi="宋体" w:cs="宋体"/>
          <w:sz w:val="24"/>
        </w:rPr>
        <w:t>环境问题复核方案应包含复核对象选取原则</w:t>
      </w:r>
      <w:r>
        <w:rPr>
          <w:rFonts w:hint="eastAsia" w:ascii="宋体" w:hAnsi="宋体" w:cs="宋体"/>
          <w:sz w:val="24"/>
          <w:shd w:val="clear" w:color="auto" w:fill="FFFFFF"/>
        </w:rPr>
        <w:t>、复核数量、复核点位、复核实施流程、团队人员配置等。</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（2）结合季节性特点、城市管理重点工作，有针对性地设计满意度调查问卷，内容包括但不限于环境卫生、城市家具、背街小巷、垃圾分类、燃气安全入户、城市道路等。</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（3）对调查和环境复核人员进行专业的业务培训。</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（4）调查和环境复核按月开展，每天进行，并根据首都城市环境建设管理重点工作、“一网统管”系统综合检查数据开展线上、线下复查。</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（5）按季度汇总调查数据，数据范围为上季度末月21日至本季度末月20日，形成专业、科学的季度、半年度和年度数据分析报告。同时撰写季度综合环境问题报告，对各区环境问题情况进行精准画像。</w:t>
      </w:r>
    </w:p>
    <w:p>
      <w:pPr>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（6）根据工作需要，提供专项任务等其他相关业务支撑。</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工作范围：</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1）调查对象：北京市16个区和北京经济技术开发区年龄、居住1年及以上的城乡居民，包括户籍人口和外地在京常住人口。需对周边环境建设管理状况较为熟悉，能够对周边环境状况给予较为符合实际的评价；需具备良好的表达能力，能够独立正确表达自己的想法和意见；需涵盖不同年龄、性别、文化程度、收入水平的群体，对不同特征的人群进行配额控制，以便科学地反映城市环境建设管理情况。</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（2）调查范围：北京市行政辖区范围内。</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质量控制：</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投标人需设计严格的质量控制和监督方案，并建立科学、可操作的质量控制方案，确保调查问卷的有效性和代表性，同时保证检查问题能较为客观地反映区域环境特征。</w:t>
      </w:r>
    </w:p>
    <w:p>
      <w:pPr>
        <w:tabs>
          <w:tab w:val="left" w:pos="851"/>
        </w:tabs>
        <w:autoSpaceDE w:val="0"/>
        <w:autoSpaceDN w:val="0"/>
        <w:snapToGrid w:val="0"/>
        <w:spacing w:line="360" w:lineRule="auto"/>
        <w:ind w:left="-2"/>
        <w:rPr>
          <w:rFonts w:ascii="宋体" w:hAnsi="宋体" w:cs="宋体"/>
          <w:sz w:val="24"/>
          <w:shd w:val="clear" w:color="auto" w:fill="FFFFFF"/>
        </w:rPr>
      </w:pPr>
      <w:r>
        <w:rPr>
          <w:rFonts w:hint="eastAsia" w:ascii="宋体" w:hAnsi="宋体" w:cs="宋体"/>
          <w:sz w:val="24"/>
          <w:shd w:val="clear" w:color="auto" w:fill="FFFFFF"/>
        </w:rPr>
        <w:t>满意度调查全市报告需由权威统计部门主导分析编写（最低满足半年报告及全年报告）。</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color w:val="000000"/>
          <w:kern w:val="0"/>
          <w:sz w:val="24"/>
        </w:rPr>
        <w:t>★</w:t>
      </w:r>
      <w:r>
        <w:rPr>
          <w:rFonts w:hint="eastAsia" w:ascii="宋体" w:hAnsi="宋体" w:cs="宋体"/>
          <w:sz w:val="24"/>
          <w:lang w:eastAsia="zh-TW"/>
        </w:rPr>
        <w:t>工作成果</w:t>
      </w:r>
      <w:r>
        <w:rPr>
          <w:rFonts w:hint="eastAsia" w:ascii="宋体" w:hAnsi="宋体" w:cs="宋体"/>
          <w:sz w:val="24"/>
        </w:rPr>
        <w:t>（第一包、第二包任务量基本相同）</w:t>
      </w:r>
      <w:r>
        <w:rPr>
          <w:rFonts w:hint="eastAsia" w:ascii="宋体" w:hAnsi="宋体" w:cs="宋体"/>
          <w:sz w:val="24"/>
          <w:lang w:eastAsia="zh-TW"/>
        </w:rPr>
        <w:t>：</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（1）有效调查样本（</w:t>
      </w:r>
      <w:r>
        <w:rPr>
          <w:rFonts w:hint="eastAsia" w:ascii="宋体" w:hAnsi="宋体" w:cs="宋体"/>
          <w:sz w:val="24"/>
        </w:rPr>
        <w:t>两包合计</w:t>
      </w:r>
      <w:r>
        <w:rPr>
          <w:rFonts w:hint="eastAsia" w:ascii="宋体" w:hAnsi="宋体" w:cs="宋体"/>
          <w:sz w:val="24"/>
          <w:shd w:val="clear" w:color="auto" w:fill="FFFFFF"/>
        </w:rPr>
        <w:t>）：样本量需满足每区和全市调查统计需要，不少于5777个/月/全市，需要电子化保存每份调查问卷。</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（2）有效环境建设管理抽查环境问题台账（</w:t>
      </w:r>
      <w:r>
        <w:rPr>
          <w:rFonts w:hint="eastAsia" w:ascii="宋体" w:hAnsi="宋体" w:cs="宋体"/>
          <w:sz w:val="24"/>
        </w:rPr>
        <w:t>两包合计</w:t>
      </w:r>
      <w:r>
        <w:rPr>
          <w:rFonts w:hint="eastAsia" w:ascii="宋体" w:hAnsi="宋体" w:cs="宋体"/>
          <w:sz w:val="24"/>
          <w:shd w:val="clear" w:color="auto" w:fill="FFFFFF"/>
        </w:rPr>
        <w:t>）：抽查工作年度需覆盖全部街道（乡镇）（约343个街道（乡镇）和1900个社区（村）），同时满足不少于1000条道路/季度/全市、80个街道（乡镇）/月/全市。</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（3）原始数据库，包含全部有效调查问卷录音、电子存档、环境问题照片等，以包括但不限于移动硬盘的方式提交。</w:t>
      </w:r>
    </w:p>
    <w:p>
      <w:pPr>
        <w:tabs>
          <w:tab w:val="left" w:pos="851"/>
        </w:tabs>
        <w:autoSpaceDE w:val="0"/>
        <w:autoSpaceDN w:val="0"/>
        <w:snapToGrid w:val="0"/>
        <w:spacing w:line="560" w:lineRule="exact"/>
        <w:ind w:left="-2" w:firstLine="480" w:firstLineChars="200"/>
        <w:rPr>
          <w:rFonts w:ascii="宋体" w:hAnsi="宋体" w:cs="宋体"/>
          <w:sz w:val="24"/>
          <w:shd w:val="clear" w:color="auto" w:fill="FFFFFF"/>
        </w:rPr>
      </w:pPr>
      <w:r>
        <w:rPr>
          <w:rFonts w:hint="eastAsia" w:ascii="宋体" w:hAnsi="宋体" w:cs="宋体"/>
          <w:sz w:val="24"/>
          <w:shd w:val="clear" w:color="auto" w:fill="FFFFFF"/>
        </w:rPr>
        <w:t>（4）</w:t>
      </w:r>
      <w:r>
        <w:rPr>
          <w:rFonts w:hint="eastAsia" w:ascii="宋体" w:hAnsi="宋体" w:cs="宋体"/>
          <w:sz w:val="24"/>
        </w:rPr>
        <w:t>季度综合环境问题报告</w:t>
      </w:r>
      <w:r>
        <w:rPr>
          <w:rFonts w:hint="eastAsia" w:ascii="宋体" w:hAnsi="宋体" w:cs="宋体"/>
          <w:sz w:val="24"/>
          <w:shd w:val="clear" w:color="auto" w:fill="FFFFFF"/>
        </w:rPr>
        <w:t>。</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报告需结合重点工作、检查重点，分析本季度“一网统管”系统综合检查数据，内容覆盖总体分析、问题区域分布、同比环比分析、区域画像描绘、对策建议等，报告要条理清晰、突出重点、简洁美观、图文并茂。</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（5）提供公众满意度调查季度、半年、年度报告：</w:t>
      </w:r>
    </w:p>
    <w:p>
      <w:pPr>
        <w:tabs>
          <w:tab w:val="left" w:pos="851"/>
        </w:tabs>
        <w:autoSpaceDE w:val="0"/>
        <w:autoSpaceDN w:val="0"/>
        <w:snapToGrid w:val="0"/>
        <w:spacing w:line="360" w:lineRule="auto"/>
        <w:ind w:left="-2" w:firstLine="480" w:firstLineChars="200"/>
        <w:rPr>
          <w:rFonts w:ascii="宋体" w:hAnsi="宋体" w:cs="宋体"/>
          <w:sz w:val="24"/>
          <w:shd w:val="clear" w:color="auto" w:fill="FFFFFF"/>
        </w:rPr>
      </w:pPr>
      <w:r>
        <w:rPr>
          <w:rFonts w:hint="eastAsia" w:ascii="宋体" w:hAnsi="宋体" w:cs="宋体"/>
          <w:sz w:val="24"/>
          <w:shd w:val="clear" w:color="auto" w:fill="FFFFFF"/>
        </w:rPr>
        <w:t>需按照调查区域按时提交全市报告和各区（16区和北京经济技术开发区）分报告。其中年度报告和半年度报告需由权威统计部门主导分析编写。</w:t>
      </w:r>
    </w:p>
    <w:p>
      <w:pPr>
        <w:tabs>
          <w:tab w:val="left" w:pos="851"/>
        </w:tabs>
        <w:autoSpaceDE w:val="0"/>
        <w:autoSpaceDN w:val="0"/>
        <w:snapToGrid w:val="0"/>
        <w:spacing w:line="360" w:lineRule="auto"/>
        <w:ind w:left="-2" w:firstLine="432" w:firstLineChars="200"/>
        <w:rPr>
          <w:rFonts w:ascii="宋体" w:hAnsi="宋体" w:cs="宋体"/>
          <w:spacing w:val="-12"/>
          <w:sz w:val="24"/>
        </w:rPr>
      </w:pPr>
      <w:r>
        <w:rPr>
          <w:rFonts w:hint="eastAsia" w:ascii="宋体" w:hAnsi="宋体" w:cs="宋体"/>
          <w:spacing w:val="-12"/>
          <w:sz w:val="24"/>
        </w:rPr>
        <w:t>报告要求</w:t>
      </w:r>
      <w:r>
        <w:rPr>
          <w:rFonts w:hint="eastAsia" w:ascii="宋体" w:hAnsi="宋体" w:cs="宋体"/>
          <w:sz w:val="24"/>
        </w:rPr>
        <w:t>对调查数据进行深度分析</w:t>
      </w:r>
      <w:r>
        <w:rPr>
          <w:rFonts w:hint="eastAsia" w:ascii="宋体" w:hAnsi="宋体" w:cs="宋体"/>
          <w:spacing w:val="-12"/>
          <w:sz w:val="24"/>
        </w:rPr>
        <w:t>，分析内容需包括各季度、各年度数据同比、环比分析，全市、各区主要问题，评分较低或问题较多街道（乡镇）、切实可行的对策建议等。报告要条理清晰、突出重点、简洁美观、图文并茂，并按需要制作相关汇报PPT。</w:t>
      </w:r>
    </w:p>
    <w:p>
      <w:pPr>
        <w:tabs>
          <w:tab w:val="left" w:pos="851"/>
        </w:tabs>
        <w:autoSpaceDE w:val="0"/>
        <w:autoSpaceDN w:val="0"/>
        <w:snapToGrid w:val="0"/>
        <w:spacing w:line="360" w:lineRule="auto"/>
        <w:ind w:left="-2" w:firstLine="480" w:firstLineChars="200"/>
        <w:rPr>
          <w:rFonts w:ascii="宋体" w:hAnsi="宋体" w:cs="宋体"/>
          <w:sz w:val="24"/>
        </w:rPr>
      </w:pPr>
      <w:r>
        <w:rPr>
          <w:rFonts w:hint="eastAsia" w:ascii="宋体" w:hAnsi="宋体" w:cs="宋体"/>
          <w:sz w:val="24"/>
        </w:rPr>
        <w:t>按照季度、半年、全年全彩印刷报告，全市报告每份印刷10份，各区分报告每份印刷4份。</w:t>
      </w:r>
    </w:p>
    <w:p>
      <w:pPr>
        <w:pStyle w:val="2"/>
        <w:spacing w:after="0" w:line="360" w:lineRule="auto"/>
        <w:ind w:left="-2" w:leftChars="0" w:firstLine="0" w:firstLineChars="0"/>
        <w:rPr>
          <w:rFonts w:ascii="宋体" w:hAnsi="宋体" w:cs="宋体"/>
          <w:spacing w:val="17"/>
        </w:rPr>
      </w:pPr>
      <w:r>
        <w:rPr>
          <w:rFonts w:hint="eastAsia" w:ascii="宋体" w:hAnsi="宋体" w:cs="宋体"/>
          <w:spacing w:val="17"/>
        </w:rPr>
        <w:t>成果提交形式和时限：</w:t>
      </w:r>
    </w:p>
    <w:tbl>
      <w:tblPr>
        <w:tblStyle w:val="52"/>
        <w:tblW w:w="4997" w:type="pct"/>
        <w:tblInd w:w="0" w:type="dxa"/>
        <w:tblLayout w:type="autofit"/>
        <w:tblCellMar>
          <w:top w:w="0" w:type="dxa"/>
          <w:left w:w="108" w:type="dxa"/>
          <w:bottom w:w="0" w:type="dxa"/>
          <w:right w:w="108" w:type="dxa"/>
        </w:tblCellMar>
      </w:tblPr>
      <w:tblGrid>
        <w:gridCol w:w="909"/>
        <w:gridCol w:w="780"/>
        <w:gridCol w:w="4036"/>
        <w:gridCol w:w="1486"/>
        <w:gridCol w:w="2071"/>
      </w:tblGrid>
      <w:tr>
        <w:tblPrEx>
          <w:tblCellMar>
            <w:top w:w="0" w:type="dxa"/>
            <w:left w:w="108" w:type="dxa"/>
            <w:bottom w:w="0" w:type="dxa"/>
            <w:right w:w="108" w:type="dxa"/>
          </w:tblCellMar>
        </w:tblPrEx>
        <w:trPr>
          <w:trHeight w:val="1260" w:hRule="atLeast"/>
          <w:tblHeader/>
        </w:trPr>
        <w:tc>
          <w:tcPr>
            <w:tcW w:w="490"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地区范围</w:t>
            </w:r>
          </w:p>
        </w:tc>
        <w:tc>
          <w:tcPr>
            <w:tcW w:w="420"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时间范围</w:t>
            </w:r>
          </w:p>
        </w:tc>
        <w:tc>
          <w:tcPr>
            <w:tcW w:w="2173"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报告名称</w:t>
            </w:r>
          </w:p>
        </w:tc>
        <w:tc>
          <w:tcPr>
            <w:tcW w:w="800" w:type="pct"/>
            <w:tcBorders>
              <w:top w:val="single" w:color="auto" w:sz="4" w:space="0"/>
              <w:left w:val="single" w:color="000000" w:sz="4" w:space="0"/>
              <w:bottom w:val="single" w:color="000000" w:sz="4" w:space="0"/>
              <w:right w:val="single" w:color="auto" w:sz="4" w:space="0"/>
            </w:tcBorders>
            <w:vAlign w:val="center"/>
          </w:tcPr>
          <w:p>
            <w:pPr>
              <w:widowControl/>
              <w:spacing w:line="300" w:lineRule="exact"/>
              <w:ind w:left="-2"/>
              <w:jc w:val="center"/>
              <w:textAlignment w:val="center"/>
              <w:rPr>
                <w:rFonts w:ascii="宋体" w:hAnsi="宋体" w:cs="宋体"/>
                <w:sz w:val="22"/>
                <w:szCs w:val="22"/>
              </w:rPr>
            </w:pPr>
            <w:r>
              <w:rPr>
                <w:rFonts w:hint="eastAsia" w:ascii="宋体" w:hAnsi="宋体" w:cs="宋体"/>
                <w:sz w:val="22"/>
                <w:szCs w:val="22"/>
              </w:rPr>
              <w:t>提交形式</w:t>
            </w:r>
          </w:p>
        </w:tc>
        <w:tc>
          <w:tcPr>
            <w:tcW w:w="1115" w:type="pct"/>
            <w:tcBorders>
              <w:top w:val="single" w:color="auto" w:sz="4" w:space="0"/>
              <w:left w:val="single" w:color="000000" w:sz="4" w:space="0"/>
              <w:bottom w:val="single" w:color="000000" w:sz="4" w:space="0"/>
              <w:right w:val="single" w:color="auto" w:sz="4" w:space="0"/>
            </w:tcBorders>
            <w:vAlign w:val="center"/>
          </w:tcPr>
          <w:p>
            <w:pPr>
              <w:widowControl/>
              <w:spacing w:line="300" w:lineRule="exact"/>
              <w:ind w:left="-2"/>
              <w:jc w:val="center"/>
              <w:textAlignment w:val="center"/>
              <w:rPr>
                <w:rFonts w:ascii="宋体" w:hAnsi="宋体" w:cs="宋体"/>
                <w:sz w:val="22"/>
                <w:szCs w:val="22"/>
                <w:lang w:bidi="ar"/>
              </w:rPr>
            </w:pPr>
            <w:r>
              <w:rPr>
                <w:rFonts w:hint="eastAsia" w:ascii="宋体" w:hAnsi="宋体" w:cs="宋体"/>
                <w:sz w:val="22"/>
                <w:szCs w:val="22"/>
                <w:lang w:bidi="ar"/>
              </w:rPr>
              <w:t>提交时间</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lang w:bidi="ar"/>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lang w:bidi="ar"/>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lang w:bidi="ar"/>
              </w:rPr>
            </w:pPr>
            <w:r>
              <w:rPr>
                <w:rFonts w:hint="eastAsia" w:ascii="宋体" w:hAnsi="宋体" w:cs="宋体"/>
                <w:sz w:val="24"/>
                <w:lang w:bidi="ar"/>
              </w:rPr>
              <w:t>【2025年第四季度、2026年第一季度、2026年第二季度、2026年第三季度、2026年第四季度】满意度调查项目计划书</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2025年11月15日、2026年1月10日、2026年4月10日、2026年7月10日、2026年10月10日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《【2025年第四季度、2026年第一季度、2026年第二季度、2026年第三季度】【】区首都城市环境建设管理社会公众满意度调查报告》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2026年1月15日、2026年4月15日、2026年7月15日、2026年10月15日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《【2025年第四季度、2026年第一季度、2026年第二季度、2026年第三季度】首都城市环境建设管理社会公众满意度调查报告》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2026年1月15日、2026年4月15日、2026年7月15日、2026年10月15日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《2025年【】区首都城市环境建设管理社会公众满意度调查报告》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2026年1月20日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《2025年首都城市环境建设管理社会公众满意度调查报告》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2026年1月20日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半年度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《2026年上半年【】区首都城市环境建设管理社会公众满意度调查报告》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2026年7月20日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半年度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《2026年上半年首都城市环境建设管理社会公众满意度调查报告》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2026年7月20日</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每月各区调查问卷录音、电子化记录等原始数据库</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ind w:left="-2"/>
              <w:jc w:val="center"/>
              <w:rPr>
                <w:rFonts w:ascii="宋体" w:hAnsi="宋体" w:cs="宋体"/>
                <w:sz w:val="22"/>
                <w:szCs w:val="22"/>
              </w:rPr>
            </w:pPr>
            <w:r>
              <w:rPr>
                <w:rFonts w:hint="eastAsia" w:ascii="宋体" w:hAnsi="宋体" w:cs="宋体"/>
                <w:sz w:val="22"/>
                <w:szCs w:val="22"/>
              </w:rPr>
              <w:t>每月10日前提交上月原始数据库</w:t>
            </w:r>
          </w:p>
        </w:tc>
      </w:tr>
      <w:tr>
        <w:tblPrEx>
          <w:tblCellMar>
            <w:top w:w="0" w:type="dxa"/>
            <w:left w:w="108" w:type="dxa"/>
            <w:bottom w:w="0" w:type="dxa"/>
            <w:right w:w="108" w:type="dxa"/>
          </w:tblCellMar>
        </w:tblPrEx>
        <w:trPr>
          <w:trHeight w:val="945"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每月各区首都城市环境建设管理抽查检查计划</w:t>
            </w:r>
          </w:p>
        </w:tc>
        <w:tc>
          <w:tcPr>
            <w:tcW w:w="800"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每月18日前提交次月抽查计划</w:t>
            </w:r>
          </w:p>
        </w:tc>
      </w:tr>
      <w:tr>
        <w:tblPrEx>
          <w:tblCellMar>
            <w:top w:w="0" w:type="dxa"/>
            <w:left w:w="108" w:type="dxa"/>
            <w:bottom w:w="0" w:type="dxa"/>
            <w:right w:w="108" w:type="dxa"/>
          </w:tblCellMar>
        </w:tblPrEx>
        <w:trPr>
          <w:trHeight w:val="63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每月各区首都城市环境建设管理复查情况台账</w:t>
            </w:r>
          </w:p>
        </w:tc>
        <w:tc>
          <w:tcPr>
            <w:tcW w:w="800"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每月25日前提交当月复查台账</w:t>
            </w:r>
          </w:p>
        </w:tc>
      </w:tr>
      <w:tr>
        <w:tblPrEx>
          <w:tblCellMar>
            <w:top w:w="0" w:type="dxa"/>
            <w:left w:w="108" w:type="dxa"/>
            <w:bottom w:w="0" w:type="dxa"/>
            <w:right w:w="108" w:type="dxa"/>
          </w:tblCellMar>
        </w:tblPrEx>
        <w:trPr>
          <w:trHeight w:val="63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left="-2"/>
              <w:textAlignment w:val="center"/>
              <w:rPr>
                <w:rFonts w:ascii="宋体" w:hAnsi="宋体" w:cs="宋体"/>
                <w:sz w:val="24"/>
              </w:rPr>
            </w:pPr>
            <w:r>
              <w:rPr>
                <w:rFonts w:hint="eastAsia" w:ascii="宋体" w:hAnsi="宋体" w:cs="宋体"/>
                <w:sz w:val="24"/>
                <w:lang w:bidi="ar"/>
              </w:rPr>
              <w:t>每季度各区首都城市环境建设管理复查情况报告</w:t>
            </w:r>
          </w:p>
        </w:tc>
        <w:tc>
          <w:tcPr>
            <w:tcW w:w="800"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ind w:left="-2"/>
              <w:jc w:val="center"/>
              <w:rPr>
                <w:rFonts w:ascii="宋体" w:hAnsi="宋体" w:cs="宋体"/>
                <w:sz w:val="22"/>
                <w:szCs w:val="22"/>
              </w:rPr>
            </w:pPr>
            <w:r>
              <w:rPr>
                <w:rFonts w:hint="eastAsia" w:ascii="宋体" w:hAnsi="宋体" w:cs="宋体"/>
                <w:sz w:val="22"/>
                <w:szCs w:val="22"/>
              </w:rPr>
              <w:t>每季度末月25日</w:t>
            </w:r>
          </w:p>
        </w:tc>
      </w:tr>
    </w:tbl>
    <w:p>
      <w:pPr>
        <w:pStyle w:val="2"/>
        <w:ind w:left="-2" w:leftChars="0" w:firstLine="0" w:firstLineChars="0"/>
        <w:rPr>
          <w:rFonts w:ascii="宋体" w:hAnsi="宋体" w:cs="宋体"/>
        </w:rPr>
      </w:pP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试调查演示</w:t>
      </w:r>
    </w:p>
    <w:p>
      <w:pPr>
        <w:tabs>
          <w:tab w:val="left" w:pos="567"/>
        </w:tabs>
        <w:snapToGrid w:val="0"/>
        <w:spacing w:line="360" w:lineRule="auto"/>
        <w:ind w:left="-2" w:firstLine="480" w:firstLineChars="200"/>
        <w:rPr>
          <w:rFonts w:ascii="宋体" w:hAnsi="宋体" w:cs="宋体"/>
          <w:sz w:val="24"/>
        </w:rPr>
      </w:pPr>
      <w:r>
        <w:rPr>
          <w:rFonts w:hint="eastAsia" w:ascii="宋体" w:hAnsi="宋体" w:cs="宋体"/>
          <w:sz w:val="24"/>
        </w:rPr>
        <w:t>投标人须对照本项目全部需求，</w:t>
      </w:r>
      <w:r>
        <w:rPr>
          <w:rFonts w:hint="eastAsia" w:ascii="宋体" w:hAnsi="宋体" w:cs="宋体"/>
          <w:sz w:val="24"/>
          <w:highlight w:val="none"/>
        </w:rPr>
        <w:t>2025年09月30日-10月17日内</w:t>
      </w:r>
      <w:r>
        <w:rPr>
          <w:rFonts w:hint="eastAsia" w:ascii="宋体" w:hAnsi="宋体" w:cs="宋体"/>
          <w:sz w:val="24"/>
        </w:rPr>
        <w:t>，结合采购需求相关内容开展满意度试调查和环境问题检查（</w:t>
      </w:r>
      <w:r>
        <w:rPr>
          <w:rFonts w:hint="eastAsia" w:ascii="宋体" w:hAnsi="宋体" w:cs="宋体"/>
          <w:sz w:val="24"/>
          <w:lang w:eastAsia="zh-TW"/>
        </w:rPr>
        <w:t>试调查</w:t>
      </w:r>
      <w:r>
        <w:rPr>
          <w:rFonts w:hint="eastAsia" w:ascii="宋体" w:hAnsi="宋体" w:cs="宋体"/>
          <w:sz w:val="24"/>
        </w:rPr>
        <w:t>无具体复查区域，可自行选取区域开展检查）。试调查须独立自主完成，要覆盖所有需求，形成综合分析报告</w:t>
      </w:r>
      <w:r>
        <w:rPr>
          <w:rFonts w:hint="eastAsia" w:ascii="宋体" w:hAnsi="宋体" w:cs="宋体"/>
          <w:spacing w:val="-7"/>
          <w:sz w:val="24"/>
        </w:rPr>
        <w:t>（可以以一个区的数据为例）</w:t>
      </w:r>
      <w:r>
        <w:rPr>
          <w:rFonts w:hint="eastAsia" w:ascii="宋体" w:hAnsi="宋体" w:cs="宋体"/>
          <w:sz w:val="24"/>
        </w:rPr>
        <w:t>。报告必须独立自主编制，实事求是，数据真实，客观、完整、准确，不存在抄袭、挪用他人成果等行为，报告内容至少包含但不限于结果分析、问题分析、市民诉求及相应的对策建议等。</w:t>
      </w:r>
    </w:p>
    <w:p>
      <w:pPr>
        <w:tabs>
          <w:tab w:val="left" w:pos="567"/>
        </w:tabs>
        <w:snapToGrid w:val="0"/>
        <w:spacing w:line="360" w:lineRule="auto"/>
        <w:ind w:left="-2" w:firstLine="480" w:firstLineChars="200"/>
        <w:rPr>
          <w:rFonts w:ascii="宋体" w:hAnsi="宋体" w:cs="宋体"/>
          <w:sz w:val="24"/>
        </w:rPr>
      </w:pPr>
      <w:r>
        <w:rPr>
          <w:rFonts w:hint="eastAsia" w:ascii="宋体" w:hAnsi="宋体" w:cs="宋体"/>
          <w:sz w:val="24"/>
        </w:rPr>
        <w:t>试检查报告应提供PDF文字版（3000字以内）和演示版（多媒体、幻灯片、视频形式均可，5分钟以内）。演示版需刻录光盘及U盘，由代理机构工作人员按照投标人递交投标文件的签到顺序播放。</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售后服务</w:t>
      </w:r>
    </w:p>
    <w:p>
      <w:pPr>
        <w:spacing w:line="360" w:lineRule="auto"/>
        <w:ind w:left="-2" w:firstLine="464" w:firstLineChars="200"/>
        <w:rPr>
          <w:rFonts w:ascii="宋体" w:hAnsi="宋体" w:cs="宋体"/>
          <w:sz w:val="24"/>
        </w:rPr>
      </w:pPr>
      <w:r>
        <w:rPr>
          <w:rFonts w:hint="eastAsia" w:ascii="宋体" w:hAnsi="宋体" w:cs="宋体"/>
          <w:spacing w:val="-4"/>
          <w:sz w:val="24"/>
        </w:rPr>
        <w:t>本项目的质量保证期为2年</w:t>
      </w:r>
      <w:r>
        <w:rPr>
          <w:rFonts w:hint="eastAsia" w:ascii="宋体" w:hAnsi="宋体" w:cs="宋体"/>
          <w:spacing w:val="-2"/>
          <w:sz w:val="24"/>
        </w:rPr>
        <w:t>，自北京市城市管理委员会签发项目验收证书之</w:t>
      </w:r>
      <w:r>
        <w:rPr>
          <w:rFonts w:hint="eastAsia" w:ascii="宋体" w:hAnsi="宋体" w:cs="宋体"/>
          <w:spacing w:val="-6"/>
          <w:sz w:val="24"/>
        </w:rPr>
        <w:t>日起算。在保证期内发现服务质量缺陷的，投标人承诺按照北京市城市管理委</w:t>
      </w:r>
      <w:r>
        <w:rPr>
          <w:rFonts w:hint="eastAsia" w:ascii="宋体" w:hAnsi="宋体" w:cs="宋体"/>
          <w:spacing w:val="-5"/>
          <w:sz w:val="24"/>
        </w:rPr>
        <w:t>员</w:t>
      </w:r>
      <w:r>
        <w:rPr>
          <w:rFonts w:hint="eastAsia" w:ascii="宋体" w:hAnsi="宋体" w:cs="宋体"/>
          <w:spacing w:val="-6"/>
          <w:sz w:val="24"/>
        </w:rPr>
        <w:t>会要求重新提供技术咨询服务或者采取补救措施，并且不因此减免投标人的违</w:t>
      </w:r>
      <w:r>
        <w:rPr>
          <w:rFonts w:hint="eastAsia" w:ascii="宋体" w:hAnsi="宋体" w:cs="宋体"/>
          <w:spacing w:val="-5"/>
          <w:sz w:val="24"/>
        </w:rPr>
        <w:t>约</w:t>
      </w:r>
      <w:r>
        <w:rPr>
          <w:rFonts w:hint="eastAsia" w:ascii="宋体" w:hAnsi="宋体" w:cs="宋体"/>
          <w:spacing w:val="-11"/>
          <w:sz w:val="24"/>
        </w:rPr>
        <w:t>责</w:t>
      </w:r>
      <w:r>
        <w:rPr>
          <w:rFonts w:hint="eastAsia" w:ascii="宋体" w:hAnsi="宋体" w:cs="宋体"/>
          <w:spacing w:val="-9"/>
          <w:sz w:val="24"/>
        </w:rPr>
        <w:t>任。</w:t>
      </w:r>
    </w:p>
    <w:p>
      <w:pPr>
        <w:numPr>
          <w:ilvl w:val="1"/>
          <w:numId w:val="20"/>
        </w:numPr>
        <w:autoSpaceDE w:val="0"/>
        <w:autoSpaceDN w:val="0"/>
        <w:snapToGrid w:val="0"/>
        <w:spacing w:line="360" w:lineRule="auto"/>
        <w:ind w:left="0" w:firstLine="220" w:firstLineChars="92"/>
        <w:rPr>
          <w:rFonts w:ascii="宋体" w:hAnsi="宋体" w:cs="宋体"/>
          <w:sz w:val="24"/>
          <w:lang w:eastAsia="zh-TW"/>
        </w:rPr>
      </w:pPr>
      <w:r>
        <w:rPr>
          <w:rFonts w:hint="eastAsia" w:ascii="宋体" w:hAnsi="宋体" w:cs="宋体"/>
          <w:sz w:val="24"/>
          <w:lang w:eastAsia="zh-TW"/>
        </w:rPr>
        <w:t>其他要求</w:t>
      </w:r>
    </w:p>
    <w:p>
      <w:pPr>
        <w:tabs>
          <w:tab w:val="left" w:pos="851"/>
        </w:tabs>
        <w:autoSpaceDE w:val="0"/>
        <w:autoSpaceDN w:val="0"/>
        <w:snapToGrid w:val="0"/>
        <w:spacing w:line="360" w:lineRule="auto"/>
        <w:ind w:left="-2" w:firstLine="500" w:firstLineChars="200"/>
        <w:rPr>
          <w:rFonts w:ascii="宋体" w:hAnsi="宋体" w:cs="宋体"/>
          <w:sz w:val="24"/>
        </w:rPr>
      </w:pPr>
      <w:r>
        <w:rPr>
          <w:rFonts w:hint="eastAsia" w:ascii="宋体" w:hAnsi="宋体" w:cs="宋体"/>
          <w:spacing w:val="5"/>
          <w:sz w:val="24"/>
        </w:rPr>
        <w:t>（1）在调查过程中受访者均应自愿接受调查采访，不受强迫。</w:t>
      </w:r>
    </w:p>
    <w:p>
      <w:pPr>
        <w:tabs>
          <w:tab w:val="left" w:pos="851"/>
        </w:tabs>
        <w:autoSpaceDE w:val="0"/>
        <w:autoSpaceDN w:val="0"/>
        <w:snapToGrid w:val="0"/>
        <w:spacing w:line="360" w:lineRule="auto"/>
        <w:ind w:left="-2" w:firstLine="500" w:firstLineChars="200"/>
        <w:rPr>
          <w:rFonts w:ascii="宋体" w:hAnsi="宋体" w:cs="宋体"/>
          <w:sz w:val="24"/>
        </w:rPr>
      </w:pPr>
      <w:r>
        <w:rPr>
          <w:rFonts w:hint="eastAsia" w:ascii="宋体" w:hAnsi="宋体" w:cs="宋体"/>
          <w:spacing w:val="5"/>
          <w:sz w:val="24"/>
        </w:rPr>
        <w:t>（2）</w:t>
      </w:r>
      <w:r>
        <w:rPr>
          <w:rFonts w:hint="eastAsia" w:ascii="宋体" w:hAnsi="宋体" w:cs="宋体"/>
          <w:spacing w:val="6"/>
          <w:sz w:val="24"/>
        </w:rPr>
        <w:t>上述需提</w:t>
      </w:r>
      <w:r>
        <w:rPr>
          <w:rFonts w:hint="eastAsia" w:ascii="宋体" w:hAnsi="宋体" w:cs="宋体"/>
          <w:spacing w:val="3"/>
          <w:sz w:val="24"/>
        </w:rPr>
        <w:t>交的各项材料应充分保障</w:t>
      </w:r>
      <w:r>
        <w:rPr>
          <w:rFonts w:hint="eastAsia" w:ascii="宋体" w:hAnsi="宋体" w:cs="宋体"/>
          <w:spacing w:val="5"/>
          <w:sz w:val="24"/>
        </w:rPr>
        <w:t>受访者</w:t>
      </w:r>
      <w:r>
        <w:rPr>
          <w:rFonts w:hint="eastAsia" w:ascii="宋体" w:hAnsi="宋体" w:cs="宋体"/>
          <w:spacing w:val="3"/>
          <w:sz w:val="24"/>
        </w:rPr>
        <w:t>的姓名权、肖像权以及相关隐</w:t>
      </w:r>
      <w:r>
        <w:rPr>
          <w:rFonts w:hint="eastAsia" w:ascii="宋体" w:hAnsi="宋体" w:cs="宋体"/>
          <w:spacing w:val="-2"/>
          <w:sz w:val="24"/>
        </w:rPr>
        <w:t>私，在未经受访者同意</w:t>
      </w:r>
      <w:r>
        <w:rPr>
          <w:rFonts w:hint="eastAsia" w:ascii="宋体" w:hAnsi="宋体" w:cs="宋体"/>
          <w:spacing w:val="-1"/>
          <w:sz w:val="24"/>
        </w:rPr>
        <w:t>的情况下，不得在上述材料中体现受访者的真实资料。</w:t>
      </w:r>
    </w:p>
    <w:p>
      <w:pPr>
        <w:tabs>
          <w:tab w:val="left" w:pos="851"/>
        </w:tabs>
        <w:autoSpaceDE w:val="0"/>
        <w:autoSpaceDN w:val="0"/>
        <w:snapToGrid w:val="0"/>
        <w:spacing w:line="360" w:lineRule="auto"/>
        <w:ind w:left="-2" w:firstLine="500" w:firstLineChars="200"/>
        <w:rPr>
          <w:rFonts w:ascii="宋体" w:hAnsi="宋体" w:cs="宋体"/>
          <w:sz w:val="24"/>
        </w:rPr>
      </w:pPr>
      <w:r>
        <w:rPr>
          <w:rFonts w:hint="eastAsia" w:ascii="宋体" w:hAnsi="宋体" w:cs="宋体"/>
          <w:spacing w:val="5"/>
          <w:sz w:val="24"/>
        </w:rPr>
        <w:t>（3）</w:t>
      </w:r>
      <w:r>
        <w:rPr>
          <w:rFonts w:hint="eastAsia" w:ascii="宋体" w:hAnsi="宋体" w:cs="宋体"/>
          <w:spacing w:val="4"/>
          <w:sz w:val="24"/>
        </w:rPr>
        <w:t>需提交的材料不得侵犯</w:t>
      </w:r>
      <w:r>
        <w:rPr>
          <w:rFonts w:hint="eastAsia" w:ascii="宋体" w:hAnsi="宋体" w:cs="宋体"/>
          <w:spacing w:val="2"/>
          <w:sz w:val="24"/>
        </w:rPr>
        <w:t>任何第三方的知识产权，如需引用第三方的数据、</w:t>
      </w:r>
      <w:r>
        <w:rPr>
          <w:rFonts w:hint="eastAsia" w:ascii="宋体" w:hAnsi="宋体" w:cs="宋体"/>
          <w:spacing w:val="-13"/>
          <w:sz w:val="24"/>
        </w:rPr>
        <w:t>论</w:t>
      </w:r>
      <w:r>
        <w:rPr>
          <w:rFonts w:hint="eastAsia" w:ascii="宋体" w:hAnsi="宋体" w:cs="宋体"/>
          <w:spacing w:val="-9"/>
          <w:sz w:val="24"/>
        </w:rPr>
        <w:t>述，应保证真实、合法并做出标注，且每份应提交的材料中引用内容量不得超</w:t>
      </w:r>
      <w:r>
        <w:rPr>
          <w:rFonts w:hint="eastAsia" w:ascii="宋体" w:hAnsi="宋体" w:cs="宋体"/>
          <w:spacing w:val="-11"/>
          <w:sz w:val="24"/>
        </w:rPr>
        <w:t>过</w:t>
      </w:r>
      <w:r>
        <w:rPr>
          <w:rFonts w:hint="eastAsia" w:ascii="宋体" w:hAnsi="宋体" w:cs="宋体"/>
          <w:spacing w:val="-6"/>
          <w:sz w:val="24"/>
        </w:rPr>
        <w:t>该材料总量的5%。</w:t>
      </w:r>
    </w:p>
    <w:p>
      <w:pPr>
        <w:tabs>
          <w:tab w:val="left" w:pos="851"/>
        </w:tabs>
        <w:autoSpaceDE w:val="0"/>
        <w:autoSpaceDN w:val="0"/>
        <w:snapToGrid w:val="0"/>
        <w:spacing w:line="360" w:lineRule="auto"/>
        <w:ind w:left="-2" w:firstLine="500" w:firstLineChars="200"/>
        <w:rPr>
          <w:rFonts w:ascii="宋体" w:hAnsi="宋体" w:cs="宋体"/>
          <w:sz w:val="24"/>
        </w:rPr>
      </w:pPr>
      <w:r>
        <w:rPr>
          <w:rFonts w:hint="eastAsia" w:ascii="宋体" w:hAnsi="宋体" w:cs="宋体"/>
          <w:spacing w:val="5"/>
          <w:sz w:val="24"/>
        </w:rPr>
        <w:t>（4）</w:t>
      </w:r>
      <w:r>
        <w:rPr>
          <w:rFonts w:hint="eastAsia" w:ascii="宋体" w:hAnsi="宋体" w:cs="宋体"/>
          <w:spacing w:val="6"/>
          <w:sz w:val="24"/>
        </w:rPr>
        <w:t>调查及研</w:t>
      </w:r>
      <w:r>
        <w:rPr>
          <w:rFonts w:hint="eastAsia" w:ascii="宋体" w:hAnsi="宋体" w:cs="宋体"/>
          <w:spacing w:val="3"/>
          <w:sz w:val="24"/>
        </w:rPr>
        <w:t>究成果相关文件的所有权归北京市城市管理委员会所有，投标方</w:t>
      </w:r>
      <w:r>
        <w:rPr>
          <w:rFonts w:hint="eastAsia" w:ascii="宋体" w:hAnsi="宋体" w:cs="宋体"/>
          <w:spacing w:val="-2"/>
          <w:sz w:val="24"/>
        </w:rPr>
        <w:t>若在其他研究成果中使用，需经北</w:t>
      </w:r>
      <w:r>
        <w:rPr>
          <w:rFonts w:hint="eastAsia" w:ascii="宋体" w:hAnsi="宋体" w:cs="宋体"/>
          <w:spacing w:val="-1"/>
          <w:sz w:val="24"/>
        </w:rPr>
        <w:t>京市城市管理委员会书面正式同意。</w:t>
      </w:r>
    </w:p>
    <w:p>
      <w:pPr>
        <w:numPr>
          <w:ilvl w:val="0"/>
          <w:numId w:val="18"/>
        </w:numPr>
        <w:tabs>
          <w:tab w:val="left" w:pos="540"/>
          <w:tab w:val="clear" w:pos="420"/>
        </w:tabs>
        <w:snapToGrid w:val="0"/>
        <w:spacing w:line="360" w:lineRule="auto"/>
        <w:ind w:left="-2" w:firstLine="0"/>
        <w:outlineLvl w:val="3"/>
        <w:rPr>
          <w:rFonts w:ascii="宋体" w:hAnsi="宋体" w:cs="宋体"/>
          <w:b/>
          <w:sz w:val="24"/>
        </w:rPr>
      </w:pPr>
      <w:bookmarkStart w:id="819" w:name="_Toc10650"/>
      <w:r>
        <w:rPr>
          <w:rFonts w:hint="eastAsia" w:ascii="宋体" w:hAnsi="宋体" w:cs="宋体"/>
          <w:b/>
          <w:sz w:val="24"/>
        </w:rPr>
        <w:t>其他要求</w:t>
      </w:r>
      <w:bookmarkEnd w:id="819"/>
    </w:p>
    <w:p>
      <w:pPr>
        <w:tabs>
          <w:tab w:val="left" w:pos="851"/>
        </w:tabs>
        <w:autoSpaceDE w:val="0"/>
        <w:autoSpaceDN w:val="0"/>
        <w:snapToGrid w:val="0"/>
        <w:spacing w:line="360" w:lineRule="auto"/>
        <w:ind w:left="-2" w:firstLine="500" w:firstLineChars="200"/>
        <w:rPr>
          <w:rFonts w:ascii="宋体" w:hAnsi="宋体" w:cs="宋体"/>
          <w:spacing w:val="5"/>
          <w:sz w:val="24"/>
        </w:rPr>
      </w:pPr>
      <w:r>
        <w:rPr>
          <w:rFonts w:hint="eastAsia" w:ascii="宋体" w:hAnsi="宋体" w:cs="宋体"/>
          <w:spacing w:val="5"/>
          <w:sz w:val="24"/>
        </w:rPr>
        <w:t>（1）中标人应当建立本次采购项目的台账，建立健全财务报告制度，按要求向采购人提供项目实施资金的使用情况、项目执行情况、成果总结等相关的材料。</w:t>
      </w:r>
    </w:p>
    <w:p>
      <w:pPr>
        <w:tabs>
          <w:tab w:val="left" w:pos="851"/>
        </w:tabs>
        <w:autoSpaceDE w:val="0"/>
        <w:autoSpaceDN w:val="0"/>
        <w:snapToGrid w:val="0"/>
        <w:spacing w:line="360" w:lineRule="auto"/>
        <w:ind w:left="-2" w:firstLine="500" w:firstLineChars="200"/>
        <w:rPr>
          <w:rFonts w:ascii="宋体" w:hAnsi="宋体" w:cs="宋体"/>
          <w:spacing w:val="5"/>
          <w:sz w:val="24"/>
        </w:rPr>
      </w:pPr>
      <w:r>
        <w:rPr>
          <w:rFonts w:hint="eastAsia" w:ascii="宋体" w:hAnsi="宋体" w:cs="宋体"/>
          <w:spacing w:val="5"/>
          <w:sz w:val="24"/>
        </w:rPr>
        <w:t>（2）中标人应当严格遵守相关财务规定，规范管理和使用本次政府购买服务项目资金。</w:t>
      </w:r>
    </w:p>
    <w:p>
      <w:pPr>
        <w:tabs>
          <w:tab w:val="left" w:pos="851"/>
        </w:tabs>
        <w:autoSpaceDE w:val="0"/>
        <w:autoSpaceDN w:val="0"/>
        <w:snapToGrid w:val="0"/>
        <w:spacing w:line="360" w:lineRule="auto"/>
        <w:ind w:left="-2" w:firstLine="500" w:firstLineChars="200"/>
        <w:rPr>
          <w:rFonts w:ascii="宋体" w:hAnsi="宋体" w:cs="宋体"/>
          <w:spacing w:val="5"/>
          <w:sz w:val="24"/>
        </w:rPr>
      </w:pPr>
      <w:r>
        <w:rPr>
          <w:rFonts w:hint="eastAsia" w:ascii="宋体" w:hAnsi="宋体" w:cs="宋体"/>
          <w:spacing w:val="5"/>
          <w:sz w:val="24"/>
        </w:rPr>
        <w:t>（3）中标人应当积极配合相关部门对资金使用情况进行监督检查与绩效评价。</w:t>
      </w:r>
    </w:p>
    <w:p>
      <w:pPr>
        <w:numPr>
          <w:ilvl w:val="0"/>
          <w:numId w:val="18"/>
        </w:numPr>
        <w:tabs>
          <w:tab w:val="left" w:pos="540"/>
          <w:tab w:val="clear" w:pos="420"/>
        </w:tabs>
        <w:snapToGrid w:val="0"/>
        <w:spacing w:line="360" w:lineRule="auto"/>
        <w:ind w:left="-2" w:firstLine="0"/>
        <w:outlineLvl w:val="3"/>
        <w:rPr>
          <w:rFonts w:ascii="宋体" w:hAnsi="宋体" w:cs="宋体"/>
          <w:b/>
          <w:sz w:val="24"/>
          <w:lang w:eastAsia="zh-TW"/>
        </w:rPr>
      </w:pPr>
      <w:bookmarkStart w:id="820" w:name="_Toc25428"/>
      <w:r>
        <w:rPr>
          <w:rFonts w:hint="eastAsia" w:ascii="宋体" w:hAnsi="宋体" w:cs="宋体"/>
          <w:b/>
          <w:sz w:val="24"/>
        </w:rPr>
        <w:t>商务</w:t>
      </w:r>
      <w:r>
        <w:rPr>
          <w:rFonts w:hint="eastAsia" w:ascii="宋体" w:hAnsi="宋体" w:cs="宋体"/>
          <w:b/>
          <w:sz w:val="24"/>
          <w:lang w:eastAsia="zh-TW"/>
        </w:rPr>
        <w:t>要求</w:t>
      </w:r>
      <w:bookmarkEnd w:id="820"/>
    </w:p>
    <w:p>
      <w:pPr>
        <w:pStyle w:val="660"/>
        <w:snapToGrid w:val="0"/>
        <w:spacing w:line="360" w:lineRule="auto"/>
        <w:ind w:left="-2" w:firstLine="0" w:firstLineChars="0"/>
        <w:rPr>
          <w:rFonts w:ascii="宋体" w:hAnsi="宋体" w:cs="宋体"/>
          <w:b/>
          <w:bCs/>
        </w:rPr>
      </w:pPr>
      <w:r>
        <w:rPr>
          <w:rFonts w:hint="eastAsia" w:ascii="宋体" w:hAnsi="宋体" w:cs="宋体"/>
          <w:b/>
          <w:bCs/>
        </w:rPr>
        <w:t>（1）采购项目交付（实施）的时间（期限）和地点（范围）</w:t>
      </w:r>
    </w:p>
    <w:p>
      <w:pPr>
        <w:snapToGrid w:val="0"/>
        <w:spacing w:line="360" w:lineRule="auto"/>
        <w:ind w:firstLine="480" w:firstLineChars="200"/>
        <w:rPr>
          <w:rFonts w:ascii="宋体" w:hAnsi="宋体" w:cs="宋体"/>
          <w:sz w:val="24"/>
        </w:rPr>
      </w:pPr>
      <w:r>
        <w:rPr>
          <w:rFonts w:hint="eastAsia" w:ascii="宋体" w:hAnsi="宋体" w:cs="宋体"/>
          <w:sz w:val="24"/>
        </w:rPr>
        <w:t>1.交付（实施）的时间（期限）：2025年11月1日至2026年10月31日。</w:t>
      </w:r>
    </w:p>
    <w:p>
      <w:pPr>
        <w:snapToGrid w:val="0"/>
        <w:spacing w:line="360" w:lineRule="auto"/>
        <w:ind w:left="-2" w:firstLine="480" w:firstLineChars="200"/>
        <w:rPr>
          <w:rFonts w:ascii="宋体" w:hAnsi="宋体" w:cs="宋体"/>
          <w:sz w:val="24"/>
        </w:rPr>
      </w:pPr>
      <w:r>
        <w:rPr>
          <w:rFonts w:hint="eastAsia" w:ascii="宋体" w:hAnsi="宋体" w:cs="宋体"/>
          <w:sz w:val="24"/>
        </w:rPr>
        <w:t>2.交付（实施）的地点（范围）：采购人指定地点</w:t>
      </w:r>
    </w:p>
    <w:p>
      <w:pPr>
        <w:pStyle w:val="660"/>
        <w:snapToGrid w:val="0"/>
        <w:spacing w:line="360" w:lineRule="auto"/>
        <w:ind w:left="-2" w:firstLine="0" w:firstLineChars="0"/>
        <w:rPr>
          <w:rFonts w:ascii="宋体" w:hAnsi="宋体" w:cs="宋体"/>
          <w:b/>
          <w:bCs/>
        </w:rPr>
      </w:pPr>
      <w:r>
        <w:rPr>
          <w:rFonts w:hint="eastAsia" w:ascii="宋体" w:hAnsi="宋体" w:cs="宋体"/>
          <w:b/>
          <w:bCs/>
        </w:rPr>
        <w:t>（2）验收及标准</w:t>
      </w:r>
    </w:p>
    <w:p>
      <w:pPr>
        <w:pStyle w:val="28"/>
        <w:tabs>
          <w:tab w:val="left" w:pos="540"/>
        </w:tabs>
        <w:snapToGrid w:val="0"/>
        <w:spacing w:line="360" w:lineRule="auto"/>
        <w:ind w:left="-2" w:firstLine="480" w:firstLineChars="200"/>
        <w:rPr>
          <w:rFonts w:hint="default" w:hAnsi="宋体" w:cs="宋体"/>
          <w:b/>
          <w:sz w:val="24"/>
          <w:szCs w:val="24"/>
        </w:rPr>
      </w:pPr>
      <w:r>
        <w:rPr>
          <w:rFonts w:hAnsi="宋体" w:cs="宋体"/>
          <w:sz w:val="24"/>
          <w:szCs w:val="24"/>
        </w:rPr>
        <w:t>完成全部合同约定的服务内容且采购人收到验收申请后</w:t>
      </w:r>
      <w:r>
        <w:rPr>
          <w:rFonts w:hAnsi="宋体" w:cs="宋体"/>
          <w:sz w:val="24"/>
          <w:szCs w:val="24"/>
          <w:u w:val="single"/>
        </w:rPr>
        <w:t>60日</w:t>
      </w:r>
      <w:r>
        <w:rPr>
          <w:rFonts w:hAnsi="宋体" w:cs="宋体"/>
          <w:sz w:val="24"/>
          <w:szCs w:val="24"/>
        </w:rPr>
        <w:t>内进行验收。</w:t>
      </w:r>
    </w:p>
    <w:p>
      <w:pPr>
        <w:pStyle w:val="660"/>
        <w:snapToGrid w:val="0"/>
        <w:spacing w:line="360" w:lineRule="auto"/>
        <w:ind w:left="-2" w:firstLine="0" w:firstLineChars="0"/>
        <w:rPr>
          <w:rFonts w:ascii="宋体" w:hAnsi="宋体" w:cs="宋体"/>
          <w:b/>
          <w:bCs/>
        </w:rPr>
      </w:pPr>
      <w:r>
        <w:rPr>
          <w:rFonts w:hint="eastAsia" w:ascii="宋体" w:hAnsi="宋体" w:cs="宋体"/>
          <w:b/>
          <w:bCs/>
        </w:rPr>
        <w:t>（3）售后服务要求</w:t>
      </w:r>
    </w:p>
    <w:p>
      <w:pPr>
        <w:snapToGrid w:val="0"/>
        <w:spacing w:line="360" w:lineRule="auto"/>
        <w:ind w:left="-2" w:firstLine="480" w:firstLineChars="200"/>
        <w:rPr>
          <w:rFonts w:ascii="宋体" w:hAnsi="宋体" w:cs="宋体"/>
          <w:sz w:val="24"/>
        </w:rPr>
      </w:pPr>
      <w:r>
        <w:rPr>
          <w:rFonts w:hint="eastAsia" w:ascii="宋体" w:hAnsi="宋体" w:cs="宋体"/>
          <w:sz w:val="24"/>
        </w:rPr>
        <w:t>1.项目终验后，中标供应商应提供</w:t>
      </w:r>
      <w:r>
        <w:rPr>
          <w:rFonts w:hint="eastAsia" w:ascii="宋体" w:hAnsi="宋体" w:cs="宋体"/>
          <w:sz w:val="24"/>
          <w:u w:val="single"/>
        </w:rPr>
        <w:t>2</w:t>
      </w:r>
      <w:r>
        <w:rPr>
          <w:rFonts w:hint="eastAsia" w:ascii="宋体" w:hAnsi="宋体" w:cs="宋体"/>
          <w:sz w:val="24"/>
        </w:rPr>
        <w:t>年的免费售后服务，提供技术支持，保证顺利运行系统。</w:t>
      </w:r>
    </w:p>
    <w:p>
      <w:pPr>
        <w:snapToGrid w:val="0"/>
        <w:spacing w:line="360" w:lineRule="auto"/>
        <w:ind w:left="-2" w:firstLine="480" w:firstLineChars="200"/>
        <w:rPr>
          <w:rFonts w:ascii="宋体" w:hAnsi="宋体" w:cs="宋体"/>
          <w:sz w:val="24"/>
        </w:rPr>
      </w:pPr>
      <w:r>
        <w:rPr>
          <w:rFonts w:hint="eastAsia" w:ascii="宋体" w:hAnsi="宋体" w:cs="宋体"/>
          <w:sz w:val="24"/>
        </w:rPr>
        <w:t>2.对于电话方式无法解决的问题，中标人必须在</w:t>
      </w:r>
      <w:r>
        <w:rPr>
          <w:rFonts w:hint="eastAsia" w:ascii="宋体" w:hAnsi="宋体" w:cs="宋体"/>
          <w:sz w:val="24"/>
          <w:u w:val="single"/>
        </w:rPr>
        <w:t>4</w:t>
      </w:r>
      <w:r>
        <w:rPr>
          <w:rFonts w:hint="eastAsia" w:ascii="宋体" w:hAnsi="宋体" w:cs="宋体"/>
          <w:sz w:val="24"/>
        </w:rPr>
        <w:t>小时之内派员到现场维护。</w:t>
      </w:r>
    </w:p>
    <w:p>
      <w:pPr>
        <w:numPr>
          <w:ilvl w:val="0"/>
          <w:numId w:val="18"/>
        </w:numPr>
        <w:tabs>
          <w:tab w:val="left" w:pos="540"/>
          <w:tab w:val="clear" w:pos="420"/>
        </w:tabs>
        <w:snapToGrid w:val="0"/>
        <w:spacing w:line="360" w:lineRule="auto"/>
        <w:ind w:left="-2" w:firstLine="0"/>
        <w:outlineLvl w:val="3"/>
        <w:rPr>
          <w:rFonts w:ascii="宋体" w:hAnsi="宋体" w:cs="宋体"/>
          <w:b/>
          <w:sz w:val="24"/>
        </w:rPr>
      </w:pPr>
      <w:r>
        <w:rPr>
          <w:rFonts w:hint="eastAsia" w:ascii="宋体" w:hAnsi="宋体" w:cs="宋体"/>
          <w:b/>
          <w:sz w:val="24"/>
        </w:rPr>
        <w:t>付款及结算方式</w:t>
      </w:r>
    </w:p>
    <w:p>
      <w:pPr>
        <w:tabs>
          <w:tab w:val="left" w:pos="567"/>
        </w:tabs>
        <w:autoSpaceDE w:val="0"/>
        <w:autoSpaceDN w:val="0"/>
        <w:snapToGrid w:val="0"/>
        <w:spacing w:line="360" w:lineRule="auto"/>
        <w:ind w:left="-2" w:firstLine="240" w:firstLineChars="100"/>
        <w:rPr>
          <w:rFonts w:ascii="宋体" w:hAnsi="宋体" w:cs="宋体"/>
          <w:sz w:val="24"/>
        </w:rPr>
      </w:pPr>
      <w:r>
        <w:rPr>
          <w:rFonts w:hint="eastAsia" w:ascii="宋体" w:hAnsi="宋体" w:cs="宋体"/>
          <w:sz w:val="24"/>
        </w:rPr>
        <w:t>合同款支付：</w:t>
      </w:r>
    </w:p>
    <w:p>
      <w:pPr>
        <w:spacing w:line="360" w:lineRule="auto"/>
        <w:ind w:firstLine="480" w:firstLineChars="200"/>
        <w:contextualSpacing/>
        <w:jc w:val="left"/>
        <w:rPr>
          <w:rFonts w:ascii="宋体" w:hAnsi="宋体" w:cs="宋体"/>
          <w:sz w:val="24"/>
        </w:rPr>
      </w:pPr>
      <w:r>
        <w:rPr>
          <w:rFonts w:hint="eastAsia" w:ascii="宋体" w:hAnsi="宋体" w:cs="宋体"/>
          <w:sz w:val="24"/>
        </w:rPr>
        <w:t>（1）</w:t>
      </w:r>
      <w:r>
        <w:rPr>
          <w:rFonts w:hint="eastAsia" w:ascii="宋体" w:hAnsi="宋体" w:cs="宋体"/>
          <w:kern w:val="1"/>
          <w:sz w:val="24"/>
        </w:rPr>
        <w:t>甲方</w:t>
      </w:r>
      <w:r>
        <w:rPr>
          <w:rFonts w:hint="eastAsia" w:ascii="宋体" w:hAnsi="宋体" w:cs="宋体"/>
          <w:sz w:val="24"/>
        </w:rPr>
        <w:t>每次</w:t>
      </w:r>
      <w:r>
        <w:rPr>
          <w:rFonts w:hint="eastAsia" w:ascii="宋体" w:hAnsi="宋体" w:cs="宋体"/>
          <w:sz w:val="24"/>
          <w:lang w:eastAsia="zh-TW"/>
        </w:rPr>
        <w:t>按合同支付款项前，中标人</w:t>
      </w:r>
      <w:r>
        <w:rPr>
          <w:rFonts w:hint="eastAsia" w:ascii="宋体" w:hAnsi="宋体" w:cs="宋体"/>
          <w:sz w:val="24"/>
        </w:rPr>
        <w:t>应</w:t>
      </w:r>
      <w:r>
        <w:rPr>
          <w:rFonts w:hint="eastAsia" w:ascii="宋体" w:hAnsi="宋体" w:cs="宋体"/>
          <w:sz w:val="24"/>
          <w:lang w:eastAsia="zh-TW"/>
        </w:rPr>
        <w:t>向采购人提供与支付金额相符的有效发票，且收款方、出具发票方、合同乙方均必须与中标人名称一致；</w:t>
      </w:r>
    </w:p>
    <w:p>
      <w:pPr>
        <w:spacing w:line="360" w:lineRule="auto"/>
        <w:ind w:firstLine="480" w:firstLineChars="200"/>
        <w:contextualSpacing/>
        <w:jc w:val="left"/>
        <w:rPr>
          <w:rFonts w:ascii="宋体" w:hAnsi="宋体" w:cs="宋体"/>
          <w:kern w:val="1"/>
          <w:sz w:val="24"/>
        </w:rPr>
      </w:pPr>
      <w:r>
        <w:rPr>
          <w:rFonts w:hint="eastAsia" w:ascii="宋体" w:hAnsi="宋体" w:cs="宋体"/>
          <w:sz w:val="24"/>
        </w:rPr>
        <w:t>（2）</w:t>
      </w:r>
      <w:r>
        <w:rPr>
          <w:rFonts w:hint="eastAsia" w:ascii="宋体" w:hAnsi="宋体" w:cs="宋体"/>
          <w:kern w:val="1"/>
          <w:sz w:val="24"/>
        </w:rPr>
        <w:t>甲方</w:t>
      </w:r>
      <w:r>
        <w:rPr>
          <w:rFonts w:hint="eastAsia" w:ascii="宋体" w:hAnsi="宋体" w:cs="宋体"/>
          <w:sz w:val="24"/>
        </w:rPr>
        <w:t>每次</w:t>
      </w:r>
      <w:r>
        <w:rPr>
          <w:rFonts w:hint="eastAsia" w:ascii="宋体" w:hAnsi="宋体" w:cs="宋体"/>
          <w:sz w:val="24"/>
          <w:lang w:eastAsia="zh-TW"/>
        </w:rPr>
        <w:t>按合同支付款项前</w:t>
      </w:r>
      <w:r>
        <w:rPr>
          <w:rFonts w:hint="eastAsia" w:ascii="宋体" w:hAnsi="宋体" w:cs="宋体"/>
          <w:kern w:val="1"/>
          <w:sz w:val="24"/>
        </w:rPr>
        <w:t>，乙方应向甲方出具等额合法有效的增值税普通发票，如乙方迟延提交发票，则甲方有权迟延付款，甲方不因此承担任何违约责任。</w:t>
      </w:r>
    </w:p>
    <w:p>
      <w:pPr>
        <w:spacing w:line="360" w:lineRule="auto"/>
        <w:ind w:firstLine="480" w:firstLineChars="200"/>
        <w:contextualSpacing/>
        <w:jc w:val="left"/>
        <w:rPr>
          <w:rFonts w:ascii="宋体" w:hAnsi="宋体" w:cs="宋体"/>
          <w:kern w:val="1"/>
          <w:sz w:val="24"/>
        </w:rPr>
      </w:pPr>
      <w:r>
        <w:rPr>
          <w:rFonts w:hint="eastAsia" w:ascii="宋体" w:hAnsi="宋体" w:cs="宋体"/>
          <w:sz w:val="24"/>
        </w:rPr>
        <w:t>（3）</w:t>
      </w:r>
      <w:r>
        <w:rPr>
          <w:rFonts w:hint="eastAsia" w:ascii="宋体" w:hAnsi="宋体" w:cs="宋体"/>
          <w:kern w:val="1"/>
          <w:sz w:val="24"/>
        </w:rPr>
        <w:t>甲方付款时，如遇市财政国库结算等特殊时期，最终付款按照市财政有关规定执行。如因此造成迟延付款，则甲方不承担任何违约责任。</w:t>
      </w:r>
    </w:p>
    <w:p>
      <w:pPr>
        <w:spacing w:line="360" w:lineRule="auto"/>
        <w:ind w:firstLine="480" w:firstLineChars="200"/>
        <w:contextualSpacing/>
        <w:jc w:val="left"/>
        <w:rPr>
          <w:rFonts w:ascii="宋体" w:hAnsi="宋体" w:cs="宋体"/>
          <w:sz w:val="24"/>
        </w:rPr>
      </w:pPr>
      <w:r>
        <w:rPr>
          <w:rFonts w:hint="eastAsia" w:ascii="宋体" w:hAnsi="宋体" w:cs="宋体"/>
          <w:sz w:val="24"/>
        </w:rPr>
        <w:t>（4）违约责任：</w:t>
      </w:r>
      <w:r>
        <w:rPr>
          <w:rFonts w:hint="eastAsia" w:ascii="宋体" w:hAnsi="宋体" w:cs="宋体"/>
          <w:sz w:val="24"/>
          <w:lang w:eastAsia="zh-TW"/>
        </w:rPr>
        <w:t>采购人</w:t>
      </w:r>
      <w:r>
        <w:rPr>
          <w:rFonts w:hint="eastAsia" w:ascii="宋体" w:hAnsi="宋体" w:cs="宋体"/>
          <w:sz w:val="24"/>
        </w:rPr>
        <w:t>无正当理由</w:t>
      </w:r>
      <w:r>
        <w:rPr>
          <w:rFonts w:hint="eastAsia" w:ascii="宋体" w:hAnsi="宋体" w:cs="宋体"/>
          <w:sz w:val="24"/>
          <w:lang w:eastAsia="zh-TW"/>
        </w:rPr>
        <w:t>逾期</w:t>
      </w:r>
      <w:r>
        <w:rPr>
          <w:rFonts w:hint="eastAsia" w:ascii="宋体" w:hAnsi="宋体" w:cs="宋体"/>
          <w:sz w:val="24"/>
        </w:rPr>
        <w:t>支付合同款项</w:t>
      </w:r>
      <w:r>
        <w:rPr>
          <w:rFonts w:hint="eastAsia" w:ascii="宋体" w:hAnsi="宋体" w:cs="宋体"/>
          <w:sz w:val="24"/>
          <w:lang w:eastAsia="zh-TW"/>
        </w:rPr>
        <w:t>的，除应当</w:t>
      </w:r>
      <w:r>
        <w:rPr>
          <w:rFonts w:hint="eastAsia" w:ascii="宋体" w:hAnsi="宋体" w:cs="宋体"/>
          <w:sz w:val="24"/>
        </w:rPr>
        <w:t>支付合同款项</w:t>
      </w:r>
      <w:r>
        <w:rPr>
          <w:rFonts w:hint="eastAsia" w:ascii="宋体" w:hAnsi="宋体" w:cs="宋体"/>
          <w:sz w:val="24"/>
          <w:lang w:eastAsia="zh-TW"/>
        </w:rPr>
        <w:t>外，还应当每日按合同总价的3‰向</w:t>
      </w:r>
      <w:r>
        <w:rPr>
          <w:rFonts w:hint="eastAsia" w:ascii="宋体" w:hAnsi="宋体" w:cs="宋体"/>
          <w:sz w:val="24"/>
        </w:rPr>
        <w:t>中标人</w:t>
      </w:r>
      <w:r>
        <w:rPr>
          <w:rFonts w:hint="eastAsia" w:ascii="宋体" w:hAnsi="宋体" w:cs="宋体"/>
          <w:sz w:val="24"/>
          <w:lang w:eastAsia="zh-TW"/>
        </w:rPr>
        <w:t>偿付违约金，但因中标人自身原因导致无法及时</w:t>
      </w:r>
      <w:r>
        <w:rPr>
          <w:rFonts w:hint="eastAsia" w:ascii="宋体" w:hAnsi="宋体" w:cs="宋体"/>
          <w:sz w:val="24"/>
        </w:rPr>
        <w:t>支付</w:t>
      </w:r>
      <w:r>
        <w:rPr>
          <w:rFonts w:hint="eastAsia" w:ascii="宋体" w:hAnsi="宋体" w:cs="宋体"/>
          <w:sz w:val="24"/>
          <w:lang w:eastAsia="zh-TW"/>
        </w:rPr>
        <w:t>的除外</w:t>
      </w:r>
      <w:r>
        <w:rPr>
          <w:rFonts w:hint="eastAsia" w:ascii="宋体" w:hAnsi="宋体" w:cs="宋体"/>
          <w:sz w:val="24"/>
        </w:rPr>
        <w:t>，且违约金最高不得超过应付未付金额的【3】%。</w:t>
      </w:r>
    </w:p>
    <w:p>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b/>
          <w:sz w:val="36"/>
          <w:szCs w:val="36"/>
        </w:rPr>
        <w:t xml:space="preserve"> </w:t>
      </w:r>
    </w:p>
    <w:p>
      <w:pPr>
        <w:spacing w:line="360" w:lineRule="auto"/>
        <w:jc w:val="center"/>
        <w:outlineLvl w:val="0"/>
        <w:rPr>
          <w:rFonts w:ascii="宋体" w:hAnsi="宋体" w:cs="宋体"/>
          <w:b/>
          <w:sz w:val="36"/>
          <w:szCs w:val="36"/>
        </w:rPr>
      </w:pPr>
      <w:bookmarkStart w:id="821" w:name="_Toc99301425"/>
      <w:r>
        <w:rPr>
          <w:rFonts w:hint="eastAsia" w:ascii="宋体" w:hAnsi="宋体" w:cs="宋体"/>
          <w:b/>
          <w:sz w:val="36"/>
          <w:szCs w:val="36"/>
        </w:rPr>
        <w:t>第六章   拟签订的合同文本</w:t>
      </w:r>
      <w:bookmarkEnd w:id="821"/>
    </w:p>
    <w:p>
      <w:pPr>
        <w:tabs>
          <w:tab w:val="left" w:pos="900"/>
          <w:tab w:val="left" w:pos="1080"/>
        </w:tabs>
        <w:snapToGrid w:val="0"/>
        <w:spacing w:line="360" w:lineRule="auto"/>
        <w:rPr>
          <w:rFonts w:ascii="宋体" w:hAnsi="宋体" w:cs="宋体"/>
          <w:kern w:val="0"/>
          <w:sz w:val="18"/>
          <w:szCs w:val="18"/>
        </w:rPr>
      </w:pPr>
    </w:p>
    <w:p>
      <w:pPr>
        <w:tabs>
          <w:tab w:val="left" w:pos="900"/>
          <w:tab w:val="left" w:pos="1080"/>
        </w:tabs>
        <w:snapToGrid w:val="0"/>
        <w:spacing w:line="360" w:lineRule="auto"/>
        <w:rPr>
          <w:rFonts w:ascii="宋体" w:hAnsi="宋体" w:cs="宋体"/>
          <w:kern w:val="0"/>
          <w:sz w:val="18"/>
          <w:szCs w:val="18"/>
        </w:rPr>
      </w:pPr>
    </w:p>
    <w:p>
      <w:pPr>
        <w:pStyle w:val="22"/>
        <w:rPr>
          <w:rFonts w:cs="宋体"/>
        </w:rPr>
      </w:pPr>
      <w:r>
        <w:rPr>
          <w:rFonts w:hint="eastAsia" w:cs="宋体"/>
        </w:rPr>
        <w:t>说明：</w:t>
      </w:r>
    </w:p>
    <w:p>
      <w:pPr>
        <w:pStyle w:val="22"/>
        <w:rPr>
          <w:rFonts w:cs="宋体"/>
        </w:rPr>
      </w:pPr>
      <w:bookmarkStart w:id="822" w:name="OLE_LINK32"/>
      <w:bookmarkStart w:id="823" w:name="OLE_LINK33"/>
      <w:r>
        <w:rPr>
          <w:rFonts w:hint="eastAsia" w:cs="宋体"/>
          <w:spacing w:val="2"/>
        </w:rPr>
        <w:t>1.</w:t>
      </w:r>
      <w:r>
        <w:rPr>
          <w:rFonts w:hint="eastAsia" w:cs="宋体"/>
        </w:rPr>
        <w:t xml:space="preserve">  </w:t>
      </w:r>
      <w:r>
        <w:rPr>
          <w:rFonts w:hint="eastAsia" w:cs="宋体"/>
          <w:spacing w:val="2"/>
        </w:rPr>
        <w:t>为更大力度激发市场活力和社会创造力，增强发展动力，按照《北</w:t>
      </w:r>
      <w:r>
        <w:rPr>
          <w:rFonts w:hint="eastAsia" w:cs="宋体"/>
          <w:spacing w:val="1"/>
        </w:rPr>
        <w:t xml:space="preserve">京市全面优化营 </w:t>
      </w:r>
      <w:r>
        <w:rPr>
          <w:rFonts w:hint="eastAsia" w:cs="宋体"/>
        </w:rPr>
        <w:t>商环境助力企业高质量发展实施方案》（京政办发〔2023〕8号）部署，进一步加强</w:t>
      </w:r>
      <w:r>
        <w:rPr>
          <w:rFonts w:hint="eastAsia" w:cs="宋体"/>
          <w:spacing w:val="1"/>
        </w:rPr>
        <w:t>政府采购合同线上融资“一站式</w:t>
      </w:r>
      <w:r>
        <w:rPr>
          <w:rFonts w:hint="eastAsia" w:cs="宋体"/>
          <w:spacing w:val="-51"/>
        </w:rPr>
        <w:t xml:space="preserve"> </w:t>
      </w:r>
      <w:r>
        <w:rPr>
          <w:rFonts w:hint="eastAsia" w:cs="宋体"/>
          <w:spacing w:val="1"/>
        </w:rPr>
        <w:t>”服务（以下简称“政采贷”</w:t>
      </w:r>
      <w:r>
        <w:rPr>
          <w:rFonts w:hint="eastAsia" w:cs="宋体"/>
          <w:spacing w:val="-28"/>
        </w:rPr>
        <w:t>），</w:t>
      </w:r>
      <w:r>
        <w:rPr>
          <w:rFonts w:hint="eastAsia" w:cs="宋体"/>
          <w:spacing w:val="1"/>
        </w:rPr>
        <w:t>北京市财政局、中国人民</w:t>
      </w:r>
      <w:r>
        <w:rPr>
          <w:rFonts w:hint="eastAsia" w:cs="宋体"/>
          <w:spacing w:val="-1"/>
        </w:rPr>
        <w:t>银行营业管理部联合发布《关于推进政府采购合同线</w:t>
      </w:r>
      <w:r>
        <w:rPr>
          <w:rFonts w:hint="eastAsia" w:cs="宋体"/>
          <w:spacing w:val="-2"/>
        </w:rPr>
        <w:t>上融资有关工作的通知》（京财采</w:t>
      </w:r>
      <w:r>
        <w:rPr>
          <w:rFonts w:hint="eastAsia" w:cs="宋体"/>
        </w:rPr>
        <w:t xml:space="preserve"> 购〔2023〕637 号）。有需求的供应商，可按上述通知要求办理“</w:t>
      </w:r>
      <w:r>
        <w:rPr>
          <w:rFonts w:hint="eastAsia" w:cs="宋体"/>
          <w:spacing w:val="2"/>
        </w:rPr>
        <w:t>政采贷”。采购人应</w:t>
      </w:r>
      <w:r>
        <w:rPr>
          <w:rFonts w:hint="eastAsia" w:cs="宋体"/>
          <w:spacing w:val="-1"/>
        </w:rPr>
        <w:t>积极配合供应商获得政府采购合同融资贷款，无特殊</w:t>
      </w:r>
      <w:r>
        <w:rPr>
          <w:rFonts w:hint="eastAsia" w:cs="宋体"/>
          <w:spacing w:val="-2"/>
        </w:rPr>
        <w:t>原因，应在收到供应商因融资需要</w:t>
      </w:r>
      <w:r>
        <w:rPr>
          <w:rFonts w:hint="eastAsia" w:cs="宋体"/>
        </w:rPr>
        <w:t xml:space="preserve"> 发起的变更收款账户申请后10个工作日内确认通过。</w:t>
      </w:r>
    </w:p>
    <w:p>
      <w:pPr>
        <w:pStyle w:val="22"/>
        <w:rPr>
          <w:rFonts w:cs="宋体"/>
        </w:rPr>
      </w:pPr>
      <w:r>
        <w:rPr>
          <w:rFonts w:hint="eastAsia" w:cs="宋体"/>
        </w:rPr>
        <w:t>2.采购人应严格按照要求，在中标、成交通知书发出之日起30日内签订采</w:t>
      </w:r>
      <w:r>
        <w:rPr>
          <w:rFonts w:hint="eastAsia" w:cs="宋体"/>
          <w:spacing w:val="-2"/>
        </w:rPr>
        <w:t>购合同，鼓</w:t>
      </w:r>
      <w:r>
        <w:rPr>
          <w:rFonts w:hint="eastAsia" w:cs="宋体"/>
        </w:rPr>
        <w:t>励采购人在线签订电子合同，完善电子签章管理、合同</w:t>
      </w:r>
      <w:r>
        <w:rPr>
          <w:rFonts w:hint="eastAsia" w:cs="宋体"/>
          <w:spacing w:val="-2"/>
        </w:rPr>
        <w:t>审核等配套内控机制，进一步缩</w:t>
      </w:r>
      <w:r>
        <w:rPr>
          <w:rFonts w:hint="eastAsia" w:cs="宋体"/>
        </w:rPr>
        <w:t>短合同签订期限。</w:t>
      </w:r>
    </w:p>
    <w:p>
      <w:pPr>
        <w:pStyle w:val="22"/>
        <w:rPr>
          <w:rFonts w:cs="宋体"/>
        </w:rPr>
      </w:pPr>
      <w:r>
        <w:rPr>
          <w:rFonts w:hint="eastAsia" w:cs="宋体"/>
        </w:rPr>
        <w:t>3.</w:t>
      </w:r>
      <w:r>
        <w:rPr>
          <w:rFonts w:hint="eastAsia" w:cs="宋体"/>
          <w:spacing w:val="46"/>
        </w:rPr>
        <w:t xml:space="preserve"> </w:t>
      </w:r>
      <w:r>
        <w:rPr>
          <w:rFonts w:hint="eastAsia" w:cs="宋体"/>
        </w:rPr>
        <w:t>合同类型按照民法典规定的典型合同类别，结合采购标的的实际情况确定</w:t>
      </w:r>
      <w:r>
        <w:rPr>
          <w:rFonts w:hint="eastAsia" w:cs="宋体"/>
          <w:spacing w:val="-41"/>
        </w:rPr>
        <w:t xml:space="preserve"> </w:t>
      </w:r>
      <w:r>
        <w:rPr>
          <w:rFonts w:hint="eastAsia" w:cs="宋体"/>
        </w:rPr>
        <w:t>。合同文本应当符合民法典及《政府采购需求管理办法》（财库〔2021〕22号）的要求，包含</w:t>
      </w:r>
      <w:r>
        <w:rPr>
          <w:rFonts w:hint="eastAsia" w:cs="宋体"/>
          <w:spacing w:val="-5"/>
        </w:rPr>
        <w:t>法定必备条款和采购需求的所有内容，并至少包括以下内容：标的名称，</w:t>
      </w:r>
      <w:r>
        <w:rPr>
          <w:rFonts w:hint="eastAsia" w:cs="宋体"/>
          <w:spacing w:val="-6"/>
        </w:rPr>
        <w:t>采购标的质量、</w:t>
      </w:r>
      <w:r>
        <w:rPr>
          <w:rFonts w:hint="eastAsia" w:cs="宋体"/>
          <w:spacing w:val="-2"/>
        </w:rPr>
        <w:t>数量（规模</w:t>
      </w:r>
      <w:r>
        <w:rPr>
          <w:rFonts w:hint="eastAsia" w:cs="宋体"/>
          <w:spacing w:val="-3"/>
        </w:rPr>
        <w:t>），</w:t>
      </w:r>
      <w:r>
        <w:rPr>
          <w:rFonts w:hint="eastAsia" w:cs="宋体"/>
          <w:spacing w:val="-2"/>
        </w:rPr>
        <w:t>履行时间（期限）、地点和方式，包装方式，价款或者报酬</w:t>
      </w:r>
      <w:r>
        <w:rPr>
          <w:rFonts w:hint="eastAsia" w:cs="宋体"/>
          <w:spacing w:val="-42"/>
        </w:rPr>
        <w:t xml:space="preserve"> </w:t>
      </w:r>
      <w:r>
        <w:rPr>
          <w:rFonts w:hint="eastAsia" w:cs="宋体"/>
          <w:spacing w:val="-2"/>
        </w:rPr>
        <w:t>、付款进度</w:t>
      </w:r>
      <w:r>
        <w:rPr>
          <w:rFonts w:hint="eastAsia" w:cs="宋体"/>
          <w:spacing w:val="-1"/>
        </w:rPr>
        <w:t>安排、资金支付方式，验收、交付标准和方法，质量</w:t>
      </w:r>
      <w:r>
        <w:rPr>
          <w:rFonts w:hint="eastAsia" w:cs="宋体"/>
          <w:spacing w:val="-2"/>
        </w:rPr>
        <w:t>保修范围和保修期，违约责任与解</w:t>
      </w:r>
      <w:r>
        <w:rPr>
          <w:rFonts w:hint="eastAsia" w:cs="宋体"/>
          <w:spacing w:val="-1"/>
        </w:rPr>
        <w:t>决争议的方法等。</w:t>
      </w:r>
    </w:p>
    <w:p>
      <w:pPr>
        <w:pStyle w:val="22"/>
        <w:rPr>
          <w:rFonts w:cs="宋体"/>
        </w:rPr>
      </w:pPr>
      <w:r>
        <w:rPr>
          <w:rFonts w:hint="eastAsia" w:cs="宋体"/>
        </w:rPr>
        <w:t>4.</w:t>
      </w:r>
      <w:r>
        <w:rPr>
          <w:rFonts w:hint="eastAsia" w:cs="宋体"/>
          <w:spacing w:val="58"/>
        </w:rPr>
        <w:t xml:space="preserve"> </w:t>
      </w:r>
      <w:r>
        <w:rPr>
          <w:rFonts w:hint="eastAsia" w:cs="宋体"/>
        </w:rPr>
        <w:t>合同条款中应规定，乙方完全遵守《中华人民共和国妇女权益保障法》</w:t>
      </w:r>
      <w:r>
        <w:rPr>
          <w:rFonts w:hint="eastAsia" w:cs="宋体"/>
          <w:spacing w:val="-1"/>
        </w:rPr>
        <w:t>中关于“劳动和社会保障权益”</w:t>
      </w:r>
      <w:r>
        <w:rPr>
          <w:rFonts w:hint="eastAsia" w:cs="宋体"/>
          <w:spacing w:val="-45"/>
        </w:rPr>
        <w:t xml:space="preserve"> </w:t>
      </w:r>
      <w:r>
        <w:rPr>
          <w:rFonts w:hint="eastAsia" w:cs="宋体"/>
          <w:spacing w:val="-1"/>
        </w:rPr>
        <w:t>的有关要求。</w:t>
      </w:r>
    </w:p>
    <w:p>
      <w:pPr>
        <w:pStyle w:val="22"/>
        <w:rPr>
          <w:rFonts w:cs="宋体"/>
        </w:rPr>
      </w:pPr>
      <w:r>
        <w:rPr>
          <w:rFonts w:hint="eastAsia" w:cs="宋体"/>
        </w:rPr>
        <w:t>5.</w:t>
      </w:r>
      <w:r>
        <w:rPr>
          <w:rFonts w:hint="eastAsia" w:cs="宋体"/>
          <w:spacing w:val="62"/>
        </w:rPr>
        <w:t xml:space="preserve"> </w:t>
      </w:r>
      <w:r>
        <w:rPr>
          <w:rFonts w:hint="eastAsia" w:cs="宋体"/>
        </w:rPr>
        <w:t>政府采购合同应当约定资金支付的方式</w:t>
      </w:r>
      <w:r>
        <w:rPr>
          <w:rFonts w:hint="eastAsia" w:cs="宋体"/>
          <w:spacing w:val="-43"/>
        </w:rPr>
        <w:t xml:space="preserve"> </w:t>
      </w:r>
      <w:r>
        <w:rPr>
          <w:rFonts w:hint="eastAsia" w:cs="宋体"/>
        </w:rPr>
        <w:t>、时间和条件，</w:t>
      </w:r>
      <w:r>
        <w:rPr>
          <w:rFonts w:hint="eastAsia" w:cs="宋体"/>
          <w:spacing w:val="-49"/>
        </w:rPr>
        <w:t xml:space="preserve"> </w:t>
      </w:r>
      <w:r>
        <w:rPr>
          <w:rFonts w:hint="eastAsia" w:cs="宋体"/>
        </w:rPr>
        <w:t>明确逾期支付资金的违约责任。对于满足合同约定支付条件的，采购人原则上应当自收到发票后10个工作日内将</w:t>
      </w:r>
      <w:r>
        <w:rPr>
          <w:rFonts w:hint="eastAsia" w:cs="宋体"/>
          <w:spacing w:val="-4"/>
        </w:rPr>
        <w:t>资金支付到合同约定的供应商账户，鼓励采购人完善内部流程</w:t>
      </w:r>
      <w:r>
        <w:rPr>
          <w:rFonts w:hint="eastAsia" w:cs="宋体"/>
          <w:spacing w:val="-17"/>
        </w:rPr>
        <w:t xml:space="preserve"> </w:t>
      </w:r>
      <w:r>
        <w:rPr>
          <w:rFonts w:hint="eastAsia" w:cs="宋体"/>
          <w:spacing w:val="-4"/>
        </w:rPr>
        <w:t>，自收到发票后1个工作</w:t>
      </w:r>
      <w:r>
        <w:rPr>
          <w:rFonts w:hint="eastAsia" w:cs="宋体"/>
          <w:spacing w:val="-1"/>
        </w:rPr>
        <w:t>日内完成资金支付事宜。采购人和供应商对资金支付</w:t>
      </w:r>
      <w:r>
        <w:rPr>
          <w:rFonts w:hint="eastAsia" w:cs="宋体"/>
          <w:spacing w:val="-2"/>
        </w:rPr>
        <w:t>产生争议的，应当按照法律规定和</w:t>
      </w:r>
      <w:r>
        <w:rPr>
          <w:rFonts w:hint="eastAsia" w:cs="宋体"/>
          <w:spacing w:val="-1"/>
        </w:rPr>
        <w:t>合同约定及时解决，保证资金支付效率。</w:t>
      </w:r>
    </w:p>
    <w:p>
      <w:pPr>
        <w:pStyle w:val="22"/>
        <w:rPr>
          <w:rFonts w:cs="宋体"/>
        </w:rPr>
      </w:pPr>
      <w:r>
        <w:rPr>
          <w:rFonts w:hint="eastAsia" w:cs="宋体"/>
        </w:rPr>
        <w:t>6.</w:t>
      </w:r>
      <w:r>
        <w:rPr>
          <w:rFonts w:hint="eastAsia" w:cs="宋体"/>
          <w:spacing w:val="61"/>
        </w:rPr>
        <w:t xml:space="preserve"> </w:t>
      </w:r>
      <w:r>
        <w:rPr>
          <w:rFonts w:hint="eastAsia" w:cs="宋体"/>
        </w:rPr>
        <w:t>履约验收方案应当在合同中约定。履约验收方案要明确履约验收的主体、时间</w:t>
      </w:r>
      <w:r>
        <w:rPr>
          <w:rFonts w:hint="eastAsia" w:cs="宋体"/>
          <w:spacing w:val="-43"/>
        </w:rPr>
        <w:t xml:space="preserve"> </w:t>
      </w:r>
      <w:r>
        <w:rPr>
          <w:rFonts w:hint="eastAsia" w:cs="宋体"/>
        </w:rPr>
        <w:t>、方式、程序、内容和验收标准等事项。采购人、采购代</w:t>
      </w:r>
      <w:r>
        <w:rPr>
          <w:rFonts w:hint="eastAsia" w:cs="宋体"/>
          <w:spacing w:val="-2"/>
        </w:rPr>
        <w:t>理机构可以邀请参加本项目的其他</w:t>
      </w:r>
      <w:r>
        <w:rPr>
          <w:rFonts w:hint="eastAsia" w:cs="宋体"/>
        </w:rPr>
        <w:t>供应商或者第三方专业机构及专家参与验收，相关验</w:t>
      </w:r>
      <w:r>
        <w:rPr>
          <w:rFonts w:hint="eastAsia" w:cs="宋体"/>
          <w:spacing w:val="-2"/>
        </w:rPr>
        <w:t>收意见作为验收的参考资料。政府</w:t>
      </w:r>
      <w:r>
        <w:rPr>
          <w:rFonts w:hint="eastAsia" w:cs="宋体"/>
        </w:rPr>
        <w:t>向社会公众提供的公共服务项目，验收时应当邀请服</w:t>
      </w:r>
      <w:r>
        <w:rPr>
          <w:rFonts w:hint="eastAsia" w:cs="宋体"/>
          <w:spacing w:val="-2"/>
        </w:rPr>
        <w:t>务对象参与并出具意见，验收结果</w:t>
      </w:r>
      <w:r>
        <w:rPr>
          <w:rFonts w:hint="eastAsia" w:cs="宋体"/>
        </w:rPr>
        <w:t>应当向社会公告。</w:t>
      </w:r>
    </w:p>
    <w:bookmarkEnd w:id="822"/>
    <w:bookmarkEnd w:id="823"/>
    <w:p>
      <w:pPr>
        <w:spacing w:line="360" w:lineRule="auto"/>
        <w:ind w:firstLine="520" w:firstLineChars="250"/>
        <w:contextualSpacing/>
        <w:rPr>
          <w:rFonts w:ascii="宋体" w:hAnsi="宋体" w:cs="宋体"/>
          <w:sz w:val="24"/>
        </w:rPr>
      </w:pPr>
      <w:r>
        <w:rPr>
          <w:rFonts w:hint="eastAsia" w:ascii="宋体" w:hAnsi="宋体" w:cs="宋体"/>
          <w:spacing w:val="-1"/>
        </w:rPr>
        <w:br w:type="page"/>
      </w:r>
    </w:p>
    <w:p>
      <w:pPr>
        <w:jc w:val="center"/>
        <w:rPr>
          <w:rFonts w:ascii="宋体" w:hAnsi="宋体" w:cs="宋体"/>
        </w:rPr>
      </w:pPr>
      <w:r>
        <w:rPr>
          <w:rFonts w:hint="eastAsia" w:ascii="宋体" w:hAnsi="宋体" w:cs="宋体"/>
          <w:b/>
          <w:sz w:val="24"/>
          <w:szCs w:val="32"/>
        </w:rPr>
        <w:t>（最终合同以双方正式签订合同文本为准）</w:t>
      </w:r>
    </w:p>
    <w:p>
      <w:pPr>
        <w:wordWrap w:val="0"/>
        <w:snapToGrid w:val="0"/>
        <w:spacing w:line="360" w:lineRule="auto"/>
        <w:jc w:val="right"/>
        <w:rPr>
          <w:rFonts w:ascii="宋体" w:hAnsi="宋体" w:cs="宋体"/>
          <w:sz w:val="24"/>
        </w:rPr>
      </w:pPr>
      <w:bookmarkStart w:id="824" w:name="_Hlk129426889"/>
      <w:bookmarkEnd w:id="824"/>
      <w:r>
        <w:rPr>
          <w:rFonts w:hint="eastAsia" w:ascii="宋体" w:hAnsi="宋体" w:cs="宋体"/>
          <w:sz w:val="24"/>
        </w:rPr>
        <w:t xml:space="preserve">合同编号：              </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36"/>
          <w:szCs w:val="36"/>
        </w:rPr>
      </w:pPr>
    </w:p>
    <w:p>
      <w:pPr>
        <w:snapToGrid w:val="0"/>
        <w:spacing w:line="360" w:lineRule="auto"/>
        <w:jc w:val="center"/>
        <w:rPr>
          <w:rFonts w:ascii="宋体" w:hAnsi="宋体" w:cs="宋体"/>
          <w:b/>
          <w:sz w:val="36"/>
          <w:szCs w:val="36"/>
        </w:rPr>
      </w:pPr>
      <w:r>
        <w:rPr>
          <w:rFonts w:hint="eastAsia" w:ascii="宋体" w:hAnsi="宋体" w:cs="宋体"/>
          <w:b/>
          <w:sz w:val="36"/>
          <w:szCs w:val="36"/>
        </w:rPr>
        <w:t>北京市城市管理委员会</w:t>
      </w:r>
    </w:p>
    <w:p>
      <w:pPr>
        <w:spacing w:line="360" w:lineRule="auto"/>
        <w:jc w:val="center"/>
        <w:rPr>
          <w:rFonts w:ascii="宋体" w:hAnsi="宋体" w:cs="宋体"/>
          <w:b/>
          <w:sz w:val="36"/>
          <w:szCs w:val="36"/>
        </w:rPr>
      </w:pPr>
      <w:r>
        <w:rPr>
          <w:rFonts w:hint="eastAsia" w:ascii="宋体" w:hAnsi="宋体" w:cs="宋体"/>
          <w:b/>
          <w:sz w:val="36"/>
          <w:szCs w:val="36"/>
        </w:rPr>
        <w:t>督查考评管理服务—首都城市环境建设管理社会公众</w:t>
      </w:r>
    </w:p>
    <w:p>
      <w:pPr>
        <w:spacing w:line="360" w:lineRule="auto"/>
        <w:jc w:val="center"/>
        <w:rPr>
          <w:rFonts w:ascii="宋体" w:hAnsi="宋体" w:cs="宋体"/>
          <w:b/>
          <w:sz w:val="36"/>
          <w:szCs w:val="36"/>
        </w:rPr>
      </w:pPr>
      <w:r>
        <w:rPr>
          <w:rFonts w:hint="eastAsia" w:ascii="宋体" w:hAnsi="宋体" w:cs="宋体"/>
          <w:b/>
          <w:sz w:val="36"/>
          <w:szCs w:val="36"/>
        </w:rPr>
        <w:t>满意度调查项目委托合同</w:t>
      </w:r>
    </w:p>
    <w:p>
      <w:pPr>
        <w:spacing w:line="360" w:lineRule="auto"/>
        <w:jc w:val="center"/>
        <w:rPr>
          <w:rFonts w:ascii="宋体" w:hAnsi="宋体" w:cs="宋体"/>
          <w:b/>
          <w:sz w:val="36"/>
          <w:szCs w:val="36"/>
        </w:rPr>
      </w:pPr>
    </w:p>
    <w:p>
      <w:pPr>
        <w:spacing w:line="360" w:lineRule="auto"/>
        <w:rPr>
          <w:rFonts w:ascii="宋体" w:hAnsi="宋体" w:cs="宋体"/>
          <w:sz w:val="32"/>
          <w:szCs w:val="32"/>
        </w:rPr>
      </w:pPr>
    </w:p>
    <w:p>
      <w:pPr>
        <w:snapToGrid w:val="0"/>
        <w:spacing w:line="360" w:lineRule="auto"/>
        <w:ind w:left="1781" w:leftChars="134" w:hanging="1500" w:hangingChars="500"/>
        <w:rPr>
          <w:rFonts w:ascii="宋体" w:hAnsi="宋体" w:cs="宋体"/>
          <w:sz w:val="30"/>
          <w:szCs w:val="30"/>
          <w:u w:val="single"/>
        </w:rPr>
      </w:pPr>
      <w:r>
        <w:rPr>
          <w:rFonts w:hint="eastAsia" w:ascii="宋体" w:hAnsi="宋体" w:cs="宋体"/>
          <w:sz w:val="30"/>
          <w:szCs w:val="30"/>
        </w:rPr>
        <w:t>项目名称：</w:t>
      </w:r>
      <w:r>
        <w:rPr>
          <w:rFonts w:hint="eastAsia" w:ascii="宋体" w:hAnsi="宋体" w:cs="宋体"/>
          <w:sz w:val="30"/>
          <w:szCs w:val="30"/>
          <w:u w:val="single"/>
        </w:rPr>
        <w:t>督查考评管理服务—首都城市环境建设管理社会公众满意度考核评价项目</w:t>
      </w:r>
    </w:p>
    <w:p>
      <w:pPr>
        <w:snapToGrid w:val="0"/>
        <w:spacing w:line="360" w:lineRule="auto"/>
        <w:ind w:firstLine="300" w:firstLineChars="100"/>
        <w:rPr>
          <w:rFonts w:ascii="宋体" w:hAnsi="宋体" w:cs="宋体"/>
          <w:sz w:val="30"/>
          <w:szCs w:val="30"/>
          <w:u w:val="single"/>
        </w:rPr>
      </w:pPr>
      <w:r>
        <w:rPr>
          <w:rFonts w:hint="eastAsia" w:ascii="宋体" w:hAnsi="宋体" w:cs="宋体"/>
          <w:sz w:val="30"/>
          <w:szCs w:val="30"/>
        </w:rPr>
        <w:t>委托单位（甲方）：</w:t>
      </w:r>
      <w:r>
        <w:rPr>
          <w:rFonts w:hint="eastAsia" w:ascii="宋体" w:hAnsi="宋体" w:cs="宋体"/>
          <w:sz w:val="30"/>
          <w:szCs w:val="30"/>
          <w:u w:val="single"/>
        </w:rPr>
        <w:t>北京市城市管理委员会</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法定代表人：</w:t>
      </w:r>
      <w:r>
        <w:rPr>
          <w:rFonts w:hint="eastAsia" w:ascii="宋体" w:hAnsi="宋体" w:cs="宋体"/>
          <w:sz w:val="30"/>
          <w:szCs w:val="30"/>
          <w:u w:val="single"/>
        </w:rPr>
        <w:t>陈青</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地址：</w:t>
      </w:r>
      <w:r>
        <w:rPr>
          <w:rFonts w:hint="eastAsia" w:ascii="宋体" w:hAnsi="宋体" w:cs="宋体"/>
          <w:sz w:val="30"/>
          <w:szCs w:val="30"/>
          <w:u w:val="single"/>
        </w:rPr>
        <w:t>北京市西城区西单北大街80号</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电话：</w:t>
      </w:r>
      <w:r>
        <w:rPr>
          <w:rFonts w:hint="eastAsia" w:ascii="宋体" w:hAnsi="宋体" w:cs="宋体"/>
          <w:sz w:val="30"/>
          <w:szCs w:val="30"/>
          <w:u w:val="single"/>
        </w:rPr>
        <w:t>010-66011988</w:t>
      </w:r>
    </w:p>
    <w:p>
      <w:pPr>
        <w:tabs>
          <w:tab w:val="left" w:pos="567"/>
        </w:tabs>
        <w:spacing w:after="120"/>
        <w:ind w:firstLine="240" w:firstLineChars="100"/>
        <w:rPr>
          <w:sz w:val="24"/>
        </w:rPr>
      </w:pP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受托单位（乙方）：</w:t>
      </w:r>
      <w:r>
        <w:rPr>
          <w:rFonts w:hint="eastAsia" w:ascii="宋体" w:hAnsi="宋体" w:cs="宋体"/>
          <w:sz w:val="30"/>
          <w:szCs w:val="30"/>
          <w:u w:val="single"/>
        </w:rPr>
        <w:t xml:space="preserve">                 </w:t>
      </w:r>
      <w:r>
        <w:rPr>
          <w:rFonts w:hint="eastAsia" w:ascii="宋体" w:hAnsi="宋体" w:cs="宋体"/>
          <w:sz w:val="30"/>
          <w:szCs w:val="30"/>
        </w:rPr>
        <w:t xml:space="preserve">    </w:t>
      </w:r>
    </w:p>
    <w:p>
      <w:pPr>
        <w:snapToGrid w:val="0"/>
        <w:spacing w:line="360" w:lineRule="auto"/>
        <w:ind w:firstLine="300" w:firstLineChars="100"/>
        <w:rPr>
          <w:rFonts w:ascii="宋体" w:hAnsi="宋体" w:cs="宋体"/>
          <w:sz w:val="30"/>
          <w:szCs w:val="30"/>
          <w:u w:val="single"/>
        </w:rPr>
      </w:pPr>
      <w:r>
        <w:rPr>
          <w:rFonts w:hint="eastAsia" w:ascii="宋体" w:hAnsi="宋体" w:cs="宋体"/>
          <w:sz w:val="30"/>
          <w:szCs w:val="30"/>
        </w:rPr>
        <w:t>法定代表人：</w:t>
      </w:r>
      <w:r>
        <w:rPr>
          <w:rFonts w:hint="eastAsia" w:ascii="宋体" w:hAnsi="宋体" w:cs="宋体"/>
          <w:sz w:val="30"/>
          <w:szCs w:val="30"/>
          <w:u w:val="single"/>
        </w:rPr>
        <w:t xml:space="preserve">                       </w:t>
      </w:r>
    </w:p>
    <w:p>
      <w:pPr>
        <w:snapToGrid w:val="0"/>
        <w:spacing w:line="360" w:lineRule="auto"/>
        <w:ind w:firstLine="300" w:firstLineChars="100"/>
        <w:rPr>
          <w:rFonts w:ascii="宋体" w:hAnsi="宋体" w:cs="宋体"/>
          <w:sz w:val="30"/>
          <w:szCs w:val="30"/>
        </w:rPr>
      </w:pPr>
      <w:r>
        <w:rPr>
          <w:rFonts w:hint="eastAsia" w:ascii="宋体" w:hAnsi="宋体" w:cs="宋体"/>
          <w:sz w:val="30"/>
          <w:szCs w:val="30"/>
        </w:rPr>
        <w:t>地址：</w:t>
      </w:r>
      <w:r>
        <w:rPr>
          <w:rFonts w:hint="eastAsia" w:ascii="宋体" w:hAnsi="宋体" w:cs="宋体"/>
          <w:sz w:val="30"/>
          <w:szCs w:val="30"/>
          <w:u w:val="single"/>
        </w:rPr>
        <w:t xml:space="preserve">                           </w:t>
      </w:r>
    </w:p>
    <w:p>
      <w:pPr>
        <w:snapToGrid w:val="0"/>
        <w:spacing w:line="360" w:lineRule="auto"/>
        <w:ind w:firstLine="300" w:firstLineChars="100"/>
        <w:rPr>
          <w:rFonts w:ascii="宋体" w:hAnsi="宋体" w:cs="宋体"/>
          <w:sz w:val="30"/>
          <w:szCs w:val="30"/>
          <w:u w:val="single"/>
        </w:rPr>
      </w:pPr>
      <w:r>
        <w:rPr>
          <w:rFonts w:hint="eastAsia" w:ascii="宋体" w:hAnsi="宋体" w:cs="宋体"/>
          <w:sz w:val="30"/>
          <w:szCs w:val="30"/>
        </w:rPr>
        <w:t>电话：</w:t>
      </w:r>
      <w:r>
        <w:rPr>
          <w:rFonts w:hint="eastAsia" w:ascii="宋体" w:hAnsi="宋体" w:cs="宋体"/>
          <w:sz w:val="30"/>
          <w:szCs w:val="30"/>
          <w:u w:val="single"/>
        </w:rPr>
        <w:t xml:space="preserve">                            </w:t>
      </w:r>
    </w:p>
    <w:p>
      <w:pPr>
        <w:snapToGrid w:val="0"/>
        <w:spacing w:line="360" w:lineRule="auto"/>
        <w:ind w:firstLine="300" w:firstLineChars="100"/>
        <w:rPr>
          <w:rFonts w:ascii="宋体" w:hAnsi="宋体" w:cs="宋体"/>
          <w:sz w:val="30"/>
          <w:szCs w:val="30"/>
        </w:rPr>
      </w:pPr>
      <w:r>
        <w:rPr>
          <w:rFonts w:hint="eastAsia" w:ascii="宋体" w:hAnsi="宋体" w:cs="宋体"/>
          <w:sz w:val="30"/>
          <w:szCs w:val="30"/>
          <w:u w:val="single"/>
        </w:rPr>
        <w:t xml:space="preserve"> </w:t>
      </w:r>
    </w:p>
    <w:p>
      <w:pPr>
        <w:widowControl/>
        <w:suppressAutoHyphens/>
        <w:spacing w:before="100" w:after="100"/>
        <w:ind w:left="200" w:right="200" w:firstLine="480"/>
        <w:rPr>
          <w:rFonts w:ascii="宋体" w:hAnsi="宋体" w:cs="宋体"/>
          <w:color w:val="000000"/>
          <w:kern w:val="1"/>
          <w:sz w:val="24"/>
          <w:lang w:eastAsia="ar-SA"/>
        </w:rPr>
      </w:pPr>
    </w:p>
    <w:p>
      <w:pPr>
        <w:widowControl/>
        <w:suppressAutoHyphens/>
        <w:spacing w:before="100" w:after="100"/>
        <w:ind w:left="198" w:right="198"/>
        <w:jc w:val="center"/>
        <w:rPr>
          <w:rFonts w:ascii="宋体" w:hAnsi="宋体" w:cs="宋体"/>
          <w:b/>
          <w:color w:val="000000"/>
          <w:kern w:val="1"/>
          <w:sz w:val="24"/>
          <w:lang w:eastAsia="ar-SA"/>
        </w:rPr>
      </w:pPr>
      <w:r>
        <w:rPr>
          <w:rFonts w:hint="eastAsia" w:ascii="宋体" w:hAnsi="宋体" w:cs="宋体"/>
          <w:color w:val="000000"/>
          <w:kern w:val="1"/>
          <w:sz w:val="24"/>
          <w:lang w:eastAsia="ar-SA"/>
        </w:rPr>
        <w:br w:type="page"/>
      </w:r>
      <w:r>
        <w:rPr>
          <w:rFonts w:hint="eastAsia" w:ascii="宋体" w:hAnsi="宋体" w:cs="宋体"/>
          <w:color w:val="000000"/>
          <w:kern w:val="1"/>
          <w:sz w:val="24"/>
          <w:lang w:eastAsia="ar-SA"/>
        </w:rPr>
        <w:t>项目合同书填写说明</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1.本合同书系北京市城市管理委员会为管理由市城市管理委员会立项、并由北京市财政拨款支持的研究项目而制定。“甲方”为市城市管理委员会，“乙方”为项目承担单位。</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2. 本合同书填写内容涉及到名称，要写清全称。不填内容的栏目，均用“──”表示。确认所填信息完整无误后直接打印（A4）。要求双面打印，左侧装订。</w:t>
      </w:r>
    </w:p>
    <w:p>
      <w:pPr>
        <w:tabs>
          <w:tab w:val="left" w:pos="567"/>
        </w:tabs>
        <w:spacing w:before="120" w:line="360" w:lineRule="auto"/>
        <w:ind w:firstLine="480" w:firstLineChars="200"/>
        <w:rPr>
          <w:rFonts w:ascii="宋体" w:hAnsi="宋体" w:cs="宋体"/>
          <w:sz w:val="24"/>
        </w:rPr>
      </w:pPr>
      <w:r>
        <w:rPr>
          <w:rFonts w:hint="eastAsia" w:ascii="宋体" w:hAnsi="宋体" w:cs="宋体"/>
          <w:sz w:val="24"/>
        </w:rPr>
        <w:t>3.本合同书一式陆份，其中市城市管理委员会叁份；项目承担单位叁份。上报时附电子版壹份。</w:t>
      </w:r>
    </w:p>
    <w:p>
      <w:pPr>
        <w:tabs>
          <w:tab w:val="left" w:pos="567"/>
        </w:tabs>
        <w:spacing w:before="120" w:line="360" w:lineRule="auto"/>
        <w:ind w:firstLine="480" w:firstLineChars="200"/>
        <w:rPr>
          <w:rFonts w:ascii="宋体" w:hAnsi="宋体" w:cs="宋体"/>
          <w:b/>
          <w:sz w:val="24"/>
        </w:rPr>
      </w:pPr>
      <w:r>
        <w:rPr>
          <w:rFonts w:hint="eastAsia" w:ascii="宋体" w:hAnsi="宋体" w:cs="宋体"/>
          <w:sz w:val="24"/>
        </w:rPr>
        <w:t>4.本合同书“密级”和“编号”由市城市管理委员会确定。</w:t>
      </w:r>
    </w:p>
    <w:p>
      <w:pPr>
        <w:spacing w:line="360" w:lineRule="auto"/>
        <w:jc w:val="center"/>
        <w:outlineLvl w:val="1"/>
        <w:rPr>
          <w:rFonts w:ascii="宋体" w:hAnsi="宋体" w:cs="宋体"/>
          <w:b/>
          <w:sz w:val="24"/>
        </w:rPr>
      </w:pPr>
      <w:r>
        <w:rPr>
          <w:rFonts w:hint="eastAsia" w:ascii="宋体" w:hAnsi="宋体" w:cs="宋体"/>
          <w:b/>
          <w:sz w:val="24"/>
        </w:rPr>
        <w:br w:type="page"/>
      </w:r>
      <w:r>
        <w:rPr>
          <w:rFonts w:hint="eastAsia" w:ascii="宋体" w:hAnsi="宋体" w:cs="宋体"/>
          <w:b/>
          <w:sz w:val="24"/>
        </w:rPr>
        <w:t>通用条款</w:t>
      </w:r>
    </w:p>
    <w:p>
      <w:pPr>
        <w:spacing w:line="360" w:lineRule="auto"/>
        <w:ind w:firstLine="482" w:firstLineChars="200"/>
        <w:contextualSpacing/>
        <w:rPr>
          <w:rFonts w:ascii="宋体" w:hAnsi="宋体" w:cs="宋体"/>
          <w:b/>
          <w:sz w:val="24"/>
        </w:rPr>
      </w:pPr>
    </w:p>
    <w:p>
      <w:pPr>
        <w:spacing w:line="360" w:lineRule="auto"/>
        <w:ind w:firstLine="482" w:firstLineChars="200"/>
        <w:contextualSpacing/>
        <w:outlineLvl w:val="2"/>
        <w:rPr>
          <w:rFonts w:ascii="宋体" w:hAnsi="宋体" w:cs="宋体"/>
          <w:b/>
          <w:bCs/>
          <w:spacing w:val="21"/>
          <w:sz w:val="24"/>
        </w:rPr>
      </w:pPr>
      <w:r>
        <w:rPr>
          <w:rFonts w:hint="eastAsia" w:ascii="宋体" w:hAnsi="宋体" w:cs="宋体"/>
          <w:b/>
          <w:sz w:val="24"/>
        </w:rPr>
        <w:t>1.</w:t>
      </w:r>
      <w:r>
        <w:rPr>
          <w:rFonts w:hint="eastAsia" w:ascii="宋体" w:hAnsi="宋体" w:cs="宋体"/>
          <w:b/>
          <w:bCs/>
          <w:spacing w:val="21"/>
          <w:sz w:val="24"/>
        </w:rPr>
        <w:t>总则</w:t>
      </w:r>
    </w:p>
    <w:p>
      <w:pPr>
        <w:spacing w:line="360" w:lineRule="auto"/>
        <w:ind w:firstLine="480" w:firstLineChars="200"/>
        <w:contextualSpacing/>
        <w:rPr>
          <w:rFonts w:ascii="宋体" w:hAnsi="宋体" w:cs="宋体"/>
          <w:sz w:val="24"/>
        </w:rPr>
      </w:pPr>
      <w:r>
        <w:rPr>
          <w:rFonts w:hint="eastAsia" w:ascii="宋体" w:hAnsi="宋体" w:cs="宋体"/>
          <w:sz w:val="24"/>
        </w:rPr>
        <w:t>甲、乙双方本着平等、自愿、有偿、诚实信用的原则，就乙方为甲方提供受托项目服务事宜，经协商一致，依据我国有关法律、法规的规定，签订本合同，并由双方共同遵守。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2.项目内容、目标、服务方式、具体要求和实施方案等</w:t>
      </w:r>
    </w:p>
    <w:p>
      <w:pPr>
        <w:spacing w:line="360" w:lineRule="auto"/>
        <w:ind w:firstLine="480" w:firstLineChars="200"/>
        <w:contextualSpacing/>
        <w:rPr>
          <w:rFonts w:ascii="宋体" w:hAnsi="宋体" w:cs="宋体"/>
          <w:sz w:val="24"/>
        </w:rPr>
      </w:pPr>
      <w:r>
        <w:rPr>
          <w:rFonts w:hint="eastAsia" w:ascii="宋体" w:hAnsi="宋体" w:cs="宋体"/>
          <w:sz w:val="24"/>
        </w:rPr>
        <w:t>项目内容、目标、服务方式、要求等见专用条款。</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3.服务费用及付款方式</w:t>
      </w:r>
    </w:p>
    <w:p>
      <w:pPr>
        <w:spacing w:line="360" w:lineRule="auto"/>
        <w:ind w:firstLine="480" w:firstLineChars="200"/>
        <w:contextualSpacing/>
        <w:rPr>
          <w:rFonts w:ascii="宋体" w:hAnsi="宋体" w:cs="宋体"/>
          <w:bCs/>
          <w:sz w:val="24"/>
        </w:rPr>
      </w:pPr>
      <w:r>
        <w:rPr>
          <w:rFonts w:hint="eastAsia" w:ascii="宋体" w:hAnsi="宋体" w:cs="宋体"/>
          <w:bCs/>
          <w:sz w:val="24"/>
        </w:rPr>
        <w:t>项目服务费用及付款方式见专用条款。</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4.甲乙双方权利与义务</w:t>
      </w:r>
    </w:p>
    <w:p>
      <w:pPr>
        <w:suppressAutoHyphens/>
        <w:spacing w:line="360" w:lineRule="auto"/>
        <w:ind w:firstLine="482" w:firstLineChars="200"/>
        <w:contextualSpacing/>
        <w:rPr>
          <w:rFonts w:ascii="宋体" w:hAnsi="宋体" w:cs="宋体"/>
          <w:kern w:val="1"/>
          <w:sz w:val="24"/>
        </w:rPr>
      </w:pPr>
      <w:r>
        <w:rPr>
          <w:rFonts w:hint="eastAsia" w:ascii="宋体" w:hAnsi="宋体" w:cs="宋体"/>
          <w:b/>
          <w:kern w:val="1"/>
          <w:sz w:val="24"/>
        </w:rPr>
        <w:t>4.1</w:t>
      </w:r>
      <w:r>
        <w:rPr>
          <w:rFonts w:hint="eastAsia" w:ascii="宋体" w:hAnsi="宋体" w:cs="宋体"/>
          <w:b/>
          <w:kern w:val="1"/>
          <w:sz w:val="24"/>
          <w:lang w:eastAsia="ar-SA"/>
        </w:rPr>
        <w:t>甲方</w:t>
      </w:r>
      <w:r>
        <w:rPr>
          <w:rFonts w:hint="eastAsia" w:ascii="宋体" w:hAnsi="宋体" w:cs="宋体"/>
          <w:b/>
          <w:kern w:val="1"/>
          <w:sz w:val="24"/>
        </w:rPr>
        <w:t>的权利与义务</w:t>
      </w:r>
    </w:p>
    <w:p>
      <w:pPr>
        <w:suppressAutoHyphens/>
        <w:spacing w:line="360" w:lineRule="auto"/>
        <w:ind w:firstLine="720" w:firstLineChars="300"/>
        <w:contextualSpacing/>
        <w:rPr>
          <w:rFonts w:ascii="宋体" w:hAnsi="宋体" w:cs="宋体"/>
          <w:kern w:val="1"/>
          <w:sz w:val="24"/>
        </w:rPr>
      </w:pPr>
      <w:r>
        <w:rPr>
          <w:rFonts w:hint="eastAsia" w:ascii="宋体" w:hAnsi="宋体" w:cs="宋体"/>
          <w:kern w:val="1"/>
          <w:sz w:val="24"/>
        </w:rPr>
        <w:t>4.1.1</w:t>
      </w:r>
      <w:r>
        <w:rPr>
          <w:rFonts w:hint="eastAsia" w:ascii="宋体" w:hAnsi="宋体" w:cs="宋体"/>
          <w:kern w:val="1"/>
          <w:sz w:val="24"/>
          <w:lang w:eastAsia="ar-SA"/>
        </w:rPr>
        <w:t>甲方有权提出或更改项目实施的目标、内容、服务方式、项目成果等具体要求。乙方应按照甲方要求进行项目实施，由于甲方更改要求导致项目进度延迟或工作量大幅增加的，经双方协商，另行签订补充协议，可以延迟项目进度</w:t>
      </w:r>
      <w:r>
        <w:rPr>
          <w:rFonts w:hint="eastAsia" w:ascii="宋体" w:hAnsi="宋体" w:cs="宋体"/>
          <w:kern w:val="1"/>
          <w:sz w:val="24"/>
        </w:rPr>
        <w:t>，但完成项目所需经费不予增加</w:t>
      </w:r>
      <w:r>
        <w:rPr>
          <w:rFonts w:hint="eastAsia" w:ascii="宋体" w:hAnsi="宋体" w:cs="宋体"/>
          <w:kern w:val="1"/>
          <w:sz w:val="24"/>
          <w:lang w:eastAsia="ar-SA"/>
        </w:rPr>
        <w:t>。</w:t>
      </w:r>
    </w:p>
    <w:p>
      <w:pPr>
        <w:suppressAutoHyphens/>
        <w:spacing w:line="360" w:lineRule="auto"/>
        <w:ind w:firstLine="720" w:firstLineChars="300"/>
        <w:contextualSpacing/>
        <w:rPr>
          <w:rFonts w:ascii="宋体" w:hAnsi="宋体" w:cs="宋体"/>
          <w:kern w:val="1"/>
          <w:sz w:val="24"/>
        </w:rPr>
      </w:pPr>
      <w:r>
        <w:rPr>
          <w:rFonts w:hint="eastAsia" w:ascii="宋体" w:hAnsi="宋体" w:cs="宋体"/>
          <w:kern w:val="1"/>
          <w:sz w:val="24"/>
        </w:rPr>
        <w:t>4.1.</w:t>
      </w:r>
      <w:r>
        <w:rPr>
          <w:rFonts w:hint="eastAsia" w:ascii="宋体" w:hAnsi="宋体" w:cs="宋体"/>
          <w:kern w:val="1"/>
          <w:sz w:val="24"/>
          <w:lang w:eastAsia="ar-SA"/>
        </w:rPr>
        <w:t>2甲方有权组织或委托有关机构对本项目进行评估。甲方可</w:t>
      </w:r>
      <w:r>
        <w:rPr>
          <w:rFonts w:hint="eastAsia" w:ascii="宋体" w:hAnsi="宋体" w:cs="宋体"/>
          <w:kern w:val="1"/>
          <w:sz w:val="24"/>
        </w:rPr>
        <w:t>参</w:t>
      </w:r>
      <w:r>
        <w:rPr>
          <w:rFonts w:hint="eastAsia" w:ascii="宋体" w:hAnsi="宋体" w:cs="宋体"/>
          <w:kern w:val="1"/>
          <w:sz w:val="24"/>
          <w:lang w:eastAsia="ar-SA"/>
        </w:rPr>
        <w:t>照该评估结果决定调整或撤销项目，甲方有权视具体情况要求乙方部分或者全部归还所拨经费和物资，并不承担任何违约责任。</w:t>
      </w:r>
    </w:p>
    <w:p>
      <w:pPr>
        <w:spacing w:line="360" w:lineRule="auto"/>
        <w:ind w:firstLine="720" w:firstLineChars="300"/>
        <w:contextualSpacing/>
        <w:rPr>
          <w:rFonts w:ascii="宋体" w:hAnsi="宋体" w:cs="宋体"/>
          <w:snapToGrid w:val="0"/>
          <w:sz w:val="24"/>
        </w:rPr>
      </w:pPr>
      <w:r>
        <w:rPr>
          <w:rFonts w:hint="eastAsia" w:ascii="宋体" w:hAnsi="宋体" w:cs="宋体"/>
          <w:sz w:val="24"/>
        </w:rPr>
        <w:t>4.1.3</w:t>
      </w:r>
      <w:r>
        <w:rPr>
          <w:rFonts w:hint="eastAsia" w:ascii="宋体" w:hAnsi="宋体" w:cs="宋体"/>
          <w:snapToGrid w:val="0"/>
          <w:sz w:val="24"/>
        </w:rPr>
        <w:t>负责联络、协调项目工作中的有关事项，指导和参与有关项目工作。负责协调有关各方提供乙方开展项目工作所需主要资料和有关的配合工作。</w:t>
      </w:r>
    </w:p>
    <w:p>
      <w:pPr>
        <w:suppressAutoHyphens/>
        <w:spacing w:line="360" w:lineRule="auto"/>
        <w:ind w:firstLine="720" w:firstLineChars="300"/>
        <w:contextualSpacing/>
        <w:rPr>
          <w:rFonts w:ascii="宋体" w:hAnsi="宋体" w:cs="宋体"/>
          <w:kern w:val="1"/>
          <w:sz w:val="24"/>
          <w:lang w:eastAsia="ar-SA"/>
        </w:rPr>
      </w:pPr>
      <w:r>
        <w:rPr>
          <w:rFonts w:hint="eastAsia" w:ascii="宋体" w:hAnsi="宋体" w:cs="宋体"/>
          <w:kern w:val="1"/>
          <w:sz w:val="24"/>
        </w:rPr>
        <w:t>4.1.4</w:t>
      </w:r>
      <w:r>
        <w:rPr>
          <w:rFonts w:hint="eastAsia" w:ascii="宋体" w:hAnsi="宋体" w:cs="宋体"/>
          <w:snapToGrid w:val="0"/>
          <w:kern w:val="0"/>
          <w:sz w:val="24"/>
        </w:rPr>
        <w:t>甲方</w:t>
      </w:r>
      <w:r>
        <w:rPr>
          <w:rFonts w:hint="eastAsia" w:ascii="宋体" w:hAnsi="宋体" w:cs="宋体"/>
          <w:snapToGrid w:val="0"/>
          <w:kern w:val="0"/>
          <w:sz w:val="24"/>
          <w:lang w:eastAsia="ar-SA"/>
        </w:rPr>
        <w:t>有对乙方履行合同情况进行指导、监督、检查的权利</w:t>
      </w:r>
      <w:r>
        <w:rPr>
          <w:rFonts w:hint="eastAsia" w:ascii="宋体" w:hAnsi="宋体" w:cs="宋体"/>
          <w:kern w:val="1"/>
          <w:sz w:val="24"/>
        </w:rPr>
        <w:t>，</w:t>
      </w:r>
      <w:r>
        <w:rPr>
          <w:rFonts w:hint="eastAsia" w:ascii="宋体" w:hAnsi="宋体" w:cs="宋体"/>
          <w:kern w:val="1"/>
          <w:sz w:val="24"/>
          <w:lang w:eastAsia="ar-SA"/>
        </w:rPr>
        <w:t>甲方可根据需要，随时抽查乙方项目进展情况，</w:t>
      </w:r>
      <w:r>
        <w:rPr>
          <w:rFonts w:hint="eastAsia" w:ascii="宋体" w:hAnsi="宋体" w:cs="宋体"/>
          <w:kern w:val="1"/>
          <w:sz w:val="24"/>
        </w:rPr>
        <w:t>并提出整改意见，</w:t>
      </w:r>
      <w:r>
        <w:rPr>
          <w:rFonts w:hint="eastAsia" w:ascii="宋体" w:hAnsi="宋体" w:cs="宋体"/>
          <w:kern w:val="1"/>
          <w:sz w:val="24"/>
          <w:lang w:eastAsia="ar-SA"/>
        </w:rPr>
        <w:t>乙方应予以配合。</w:t>
      </w:r>
    </w:p>
    <w:p>
      <w:pPr>
        <w:spacing w:line="360" w:lineRule="auto"/>
        <w:ind w:firstLine="720" w:firstLineChars="300"/>
        <w:contextualSpacing/>
        <w:rPr>
          <w:rFonts w:ascii="宋体" w:hAnsi="宋体" w:cs="宋体"/>
          <w:snapToGrid w:val="0"/>
          <w:sz w:val="24"/>
        </w:rPr>
      </w:pPr>
      <w:r>
        <w:rPr>
          <w:rFonts w:hint="eastAsia" w:ascii="宋体" w:hAnsi="宋体" w:cs="宋体"/>
          <w:sz w:val="24"/>
        </w:rPr>
        <w:t>4.1.5</w:t>
      </w:r>
      <w:r>
        <w:rPr>
          <w:rFonts w:hint="eastAsia" w:ascii="宋体" w:hAnsi="宋体" w:cs="宋体"/>
          <w:snapToGrid w:val="0"/>
          <w:sz w:val="24"/>
        </w:rPr>
        <w:t>甲方有要求乙方在约定期限内提交符合合同约定条件的项目成果的权利。</w:t>
      </w:r>
      <w:r>
        <w:rPr>
          <w:rFonts w:hint="eastAsia" w:ascii="宋体" w:hAnsi="宋体" w:cs="宋体"/>
          <w:sz w:val="24"/>
        </w:rPr>
        <w:t>甲方有权组织相关专家对项目成果进行评审、验收。</w:t>
      </w:r>
    </w:p>
    <w:p>
      <w:pPr>
        <w:suppressAutoHyphens/>
        <w:spacing w:line="360" w:lineRule="auto"/>
        <w:ind w:firstLine="720" w:firstLineChars="300"/>
        <w:contextualSpacing/>
        <w:rPr>
          <w:rFonts w:ascii="宋体" w:hAnsi="宋体" w:cs="宋体"/>
          <w:kern w:val="1"/>
          <w:sz w:val="24"/>
          <w:lang w:eastAsia="ar-SA"/>
        </w:rPr>
      </w:pPr>
      <w:r>
        <w:rPr>
          <w:rFonts w:hint="eastAsia" w:ascii="宋体" w:hAnsi="宋体" w:cs="宋体"/>
          <w:kern w:val="1"/>
          <w:sz w:val="24"/>
        </w:rPr>
        <w:t>4.1.6</w:t>
      </w:r>
      <w:r>
        <w:rPr>
          <w:rFonts w:hint="eastAsia" w:ascii="宋体" w:hAnsi="宋体" w:cs="宋体"/>
          <w:kern w:val="1"/>
          <w:sz w:val="24"/>
          <w:lang w:eastAsia="ar-SA"/>
        </w:rPr>
        <w:t>甲方有权要求乙方更换甲方认为不称职的工作人员，乙方应在接到甲方要求后_</w:t>
      </w:r>
      <w:r>
        <w:rPr>
          <w:rFonts w:hint="eastAsia" w:ascii="宋体" w:hAnsi="宋体" w:cs="宋体"/>
          <w:kern w:val="1"/>
          <w:sz w:val="24"/>
          <w:u w:val="single"/>
          <w:lang w:eastAsia="ar-SA"/>
        </w:rPr>
        <w:t>_</w:t>
      </w:r>
      <w:r>
        <w:rPr>
          <w:rFonts w:hint="eastAsia" w:ascii="宋体" w:hAnsi="宋体" w:cs="宋体"/>
          <w:kern w:val="1"/>
          <w:sz w:val="24"/>
          <w:u w:val="single"/>
        </w:rPr>
        <w:t>5</w:t>
      </w:r>
      <w:r>
        <w:rPr>
          <w:rFonts w:hint="eastAsia" w:ascii="宋体" w:hAnsi="宋体" w:cs="宋体"/>
          <w:kern w:val="1"/>
          <w:sz w:val="24"/>
          <w:lang w:eastAsia="ar-SA"/>
        </w:rPr>
        <w:t>_日内更换经甲方认</w:t>
      </w:r>
      <w:r>
        <w:rPr>
          <w:rFonts w:hint="eastAsia" w:ascii="宋体" w:hAnsi="宋体" w:cs="宋体"/>
          <w:kern w:val="1"/>
          <w:sz w:val="24"/>
        </w:rPr>
        <w:t>为不称职</w:t>
      </w:r>
      <w:r>
        <w:rPr>
          <w:rFonts w:hint="eastAsia" w:ascii="宋体" w:hAnsi="宋体" w:cs="宋体"/>
          <w:kern w:val="1"/>
          <w:sz w:val="24"/>
          <w:lang w:eastAsia="ar-SA"/>
        </w:rPr>
        <w:t>的工作人员。</w:t>
      </w:r>
    </w:p>
    <w:p>
      <w:pPr>
        <w:suppressAutoHyphens/>
        <w:spacing w:line="360" w:lineRule="auto"/>
        <w:ind w:firstLine="720" w:firstLineChars="300"/>
        <w:contextualSpacing/>
        <w:rPr>
          <w:rFonts w:ascii="宋体" w:hAnsi="宋体" w:cs="宋体"/>
          <w:kern w:val="1"/>
          <w:sz w:val="24"/>
          <w:lang w:eastAsia="ar-SA"/>
        </w:rPr>
      </w:pPr>
      <w:r>
        <w:rPr>
          <w:rFonts w:hint="eastAsia" w:ascii="宋体" w:hAnsi="宋体" w:cs="宋体"/>
          <w:kern w:val="1"/>
          <w:sz w:val="24"/>
        </w:rPr>
        <w:t>4.1.7</w:t>
      </w:r>
      <w:r>
        <w:rPr>
          <w:rFonts w:hint="eastAsia" w:ascii="宋体" w:hAnsi="宋体" w:cs="宋体"/>
          <w:kern w:val="1"/>
          <w:sz w:val="24"/>
          <w:lang w:eastAsia="ar-SA"/>
        </w:rPr>
        <w:t>甲方有权视情况随时</w:t>
      </w:r>
      <w:r>
        <w:rPr>
          <w:rFonts w:hint="eastAsia" w:ascii="宋体" w:hAnsi="宋体" w:cs="宋体"/>
          <w:kern w:val="1"/>
          <w:sz w:val="24"/>
        </w:rPr>
        <w:t>解除</w:t>
      </w:r>
      <w:r>
        <w:rPr>
          <w:rFonts w:hint="eastAsia" w:ascii="宋体" w:hAnsi="宋体" w:cs="宋体"/>
          <w:kern w:val="1"/>
          <w:sz w:val="24"/>
          <w:lang w:eastAsia="ar-SA"/>
        </w:rPr>
        <w:t>本项目，解除本合同</w:t>
      </w:r>
      <w:r>
        <w:rPr>
          <w:rFonts w:hint="eastAsia" w:ascii="宋体" w:hAnsi="宋体" w:cs="宋体"/>
          <w:kern w:val="1"/>
          <w:sz w:val="24"/>
        </w:rPr>
        <w:t>且不承担任何违约责任</w:t>
      </w:r>
      <w:r>
        <w:rPr>
          <w:rFonts w:hint="eastAsia" w:ascii="宋体" w:hAnsi="宋体" w:cs="宋体"/>
          <w:kern w:val="1"/>
          <w:sz w:val="24"/>
          <w:lang w:eastAsia="ar-SA"/>
        </w:rPr>
        <w:t>，但如乙方无违约行为，甲方应按照已经发生的实际工作量支付乙方报酬，实际</w:t>
      </w:r>
      <w:r>
        <w:rPr>
          <w:rFonts w:hint="eastAsia" w:ascii="宋体" w:hAnsi="宋体" w:cs="宋体"/>
          <w:kern w:val="1"/>
          <w:sz w:val="24"/>
        </w:rPr>
        <w:t>工作量以甲方指定的评估机构的评估结果为准，评估机构费用从实际工作量对应的费用中扣除</w:t>
      </w:r>
      <w:r>
        <w:rPr>
          <w:rFonts w:hint="eastAsia" w:ascii="宋体" w:hAnsi="宋体" w:cs="宋体"/>
          <w:kern w:val="1"/>
          <w:sz w:val="24"/>
          <w:lang w:eastAsia="ar-SA"/>
        </w:rPr>
        <w:t>。</w:t>
      </w:r>
    </w:p>
    <w:p>
      <w:pPr>
        <w:suppressAutoHyphens/>
        <w:spacing w:line="360" w:lineRule="auto"/>
        <w:ind w:firstLine="720" w:firstLineChars="300"/>
        <w:contextualSpacing/>
        <w:rPr>
          <w:rFonts w:ascii="宋体" w:hAnsi="宋体" w:cs="宋体"/>
          <w:kern w:val="1"/>
          <w:sz w:val="24"/>
        </w:rPr>
      </w:pPr>
      <w:r>
        <w:rPr>
          <w:rFonts w:hint="eastAsia" w:ascii="宋体" w:hAnsi="宋体" w:cs="宋体"/>
          <w:kern w:val="1"/>
          <w:sz w:val="24"/>
        </w:rPr>
        <w:t>4.1.8甲方对乙方提供的服务有监督权利，有权对乙方提供服务过程中是否存在借承接政府购买服务之机变相设置寻租收费行为开展检查、抽查、调查等形式的监督。如：违规培训、捆绑销售产品、评审考核虚假承诺等。</w:t>
      </w:r>
    </w:p>
    <w:p>
      <w:pPr>
        <w:suppressAutoHyphens/>
        <w:spacing w:line="360" w:lineRule="auto"/>
        <w:ind w:firstLine="720" w:firstLineChars="300"/>
        <w:contextualSpacing/>
        <w:rPr>
          <w:rFonts w:ascii="宋体" w:hAnsi="宋体" w:cs="宋体"/>
          <w:kern w:val="1"/>
          <w:sz w:val="24"/>
        </w:rPr>
      </w:pPr>
      <w:r>
        <w:rPr>
          <w:rFonts w:hint="eastAsia" w:ascii="宋体" w:hAnsi="宋体" w:cs="宋体"/>
          <w:kern w:val="1"/>
          <w:sz w:val="24"/>
        </w:rPr>
        <w:t>4.1.9</w:t>
      </w:r>
      <w:r>
        <w:rPr>
          <w:rFonts w:hint="eastAsia" w:ascii="宋体" w:hAnsi="宋体" w:cs="宋体"/>
          <w:kern w:val="1"/>
          <w:sz w:val="24"/>
          <w:lang w:eastAsia="ar-SA"/>
        </w:rPr>
        <w:t>甲方应当及时按合同约定向乙方核拨项目经费。</w:t>
      </w:r>
    </w:p>
    <w:p>
      <w:pPr>
        <w:suppressAutoHyphens/>
        <w:spacing w:line="360" w:lineRule="auto"/>
        <w:ind w:firstLine="482" w:firstLineChars="200"/>
        <w:contextualSpacing/>
        <w:rPr>
          <w:rFonts w:ascii="宋体" w:hAnsi="宋体" w:cs="宋体"/>
          <w:kern w:val="1"/>
          <w:sz w:val="24"/>
        </w:rPr>
      </w:pPr>
      <w:r>
        <w:rPr>
          <w:rFonts w:hint="eastAsia" w:ascii="宋体" w:hAnsi="宋体" w:cs="宋体"/>
          <w:b/>
          <w:kern w:val="1"/>
          <w:sz w:val="24"/>
        </w:rPr>
        <w:t>4.2</w:t>
      </w:r>
      <w:r>
        <w:rPr>
          <w:rFonts w:hint="eastAsia" w:ascii="宋体" w:hAnsi="宋体" w:cs="宋体"/>
          <w:b/>
          <w:kern w:val="1"/>
          <w:sz w:val="24"/>
          <w:lang w:eastAsia="ar-SA"/>
        </w:rPr>
        <w:t>乙方的</w:t>
      </w:r>
      <w:r>
        <w:rPr>
          <w:rFonts w:hint="eastAsia" w:ascii="宋体" w:hAnsi="宋体" w:cs="宋体"/>
          <w:b/>
          <w:kern w:val="1"/>
          <w:sz w:val="24"/>
        </w:rPr>
        <w:t>权利与义务</w:t>
      </w:r>
    </w:p>
    <w:p>
      <w:pPr>
        <w:spacing w:line="360" w:lineRule="auto"/>
        <w:ind w:firstLine="720" w:firstLineChars="300"/>
        <w:contextualSpacing/>
        <w:rPr>
          <w:rFonts w:ascii="宋体" w:hAnsi="宋体" w:cs="宋体"/>
          <w:snapToGrid w:val="0"/>
          <w:sz w:val="24"/>
        </w:rPr>
      </w:pPr>
      <w:r>
        <w:rPr>
          <w:rFonts w:hint="eastAsia" w:ascii="宋体" w:hAnsi="宋体" w:cs="宋体"/>
          <w:sz w:val="24"/>
        </w:rPr>
        <w:t>4.2.1乙方应按照北京市城市管理委员会相关管理文件中的规定对项目经费进行管理，</w:t>
      </w:r>
      <w:r>
        <w:rPr>
          <w:rFonts w:hint="eastAsia" w:ascii="宋体" w:hAnsi="宋体" w:cs="宋体"/>
          <w:snapToGrid w:val="0"/>
          <w:sz w:val="24"/>
        </w:rPr>
        <w:t>单独核算，专款专用。在本合同工作范围内合理安排工作和使用合同经费。</w:t>
      </w:r>
    </w:p>
    <w:p>
      <w:pPr>
        <w:spacing w:line="360" w:lineRule="auto"/>
        <w:ind w:firstLine="720" w:firstLineChars="300"/>
        <w:contextualSpacing/>
        <w:rPr>
          <w:rFonts w:ascii="宋体" w:hAnsi="宋体" w:cs="宋体"/>
          <w:snapToGrid w:val="0"/>
          <w:sz w:val="24"/>
        </w:rPr>
      </w:pPr>
      <w:r>
        <w:rPr>
          <w:rFonts w:hint="eastAsia" w:ascii="宋体" w:hAnsi="宋体" w:cs="宋体"/>
          <w:sz w:val="24"/>
        </w:rPr>
        <w:t>4.2.2负责本项目的组织实施，按时高质地完成本合同约定的项目工作，并有义务对甲方组织的管理工作（如监理、评估）提供支持。</w:t>
      </w:r>
      <w:r>
        <w:rPr>
          <w:rFonts w:hint="eastAsia" w:ascii="宋体" w:hAnsi="宋体" w:cs="宋体"/>
          <w:snapToGrid w:val="0"/>
          <w:sz w:val="24"/>
        </w:rPr>
        <w:t>接受甲方及甲方其他专家顾问的指导，有按甲方要求和安排修改完善项目成果的义务。</w:t>
      </w:r>
    </w:p>
    <w:p>
      <w:pPr>
        <w:spacing w:line="360" w:lineRule="auto"/>
        <w:ind w:firstLine="720" w:firstLineChars="300"/>
        <w:contextualSpacing/>
        <w:rPr>
          <w:rFonts w:ascii="宋体" w:hAnsi="宋体" w:cs="宋体"/>
          <w:sz w:val="24"/>
        </w:rPr>
      </w:pPr>
      <w:r>
        <w:rPr>
          <w:rFonts w:hint="eastAsia" w:ascii="宋体" w:hAnsi="宋体" w:cs="宋体"/>
          <w:sz w:val="24"/>
        </w:rPr>
        <w:t>4.2.3本项目在实施过程中如果取得重大进展、重要突破或发生其它重大事情，应及时书面向甲方报告，与本项目有关的一切问题最终均由甲方决定；如果因遭遇不可抗力因素或其它原因影响本项目的执行，致使项目需要调整或者撤销时，乙方应当及时向甲方提交书面报告，经甲方确定处理意见后执行。</w:t>
      </w:r>
    </w:p>
    <w:p>
      <w:pPr>
        <w:spacing w:line="360" w:lineRule="auto"/>
        <w:ind w:firstLine="720" w:firstLineChars="300"/>
        <w:contextualSpacing/>
        <w:rPr>
          <w:rFonts w:ascii="宋体" w:hAnsi="宋体" w:cs="宋体"/>
          <w:sz w:val="24"/>
        </w:rPr>
      </w:pPr>
      <w:r>
        <w:rPr>
          <w:rFonts w:hint="eastAsia" w:ascii="宋体" w:hAnsi="宋体" w:cs="宋体"/>
          <w:sz w:val="24"/>
        </w:rPr>
        <w:t>4.2.4如项目需要乙方自筹资金的，乙方不能自筹足够的资金，影响项目的完成或不履行协议或不能保证项目所拨经费专款专用，甲方有权责令乙方部分或全部退还所拨经费和物资。</w:t>
      </w:r>
    </w:p>
    <w:p>
      <w:pPr>
        <w:spacing w:line="360" w:lineRule="auto"/>
        <w:ind w:firstLine="720" w:firstLineChars="300"/>
        <w:contextualSpacing/>
        <w:rPr>
          <w:rFonts w:ascii="宋体" w:hAnsi="宋体" w:cs="宋体"/>
          <w:sz w:val="24"/>
        </w:rPr>
      </w:pPr>
      <w:r>
        <w:rPr>
          <w:rFonts w:hint="eastAsia" w:ascii="宋体" w:hAnsi="宋体" w:cs="宋体"/>
          <w:sz w:val="24"/>
        </w:rPr>
        <w:t>4.2.5乙方必须保证项目负责人及主要参加人员的相对稳定，其他人员变动率不超过20%。在合同执行过程中，如遇特殊原因需变动的，乙方须提前20个工作日提出书面申请，经甲方书面同意后方可变动，否则，按乙方违约处理。（项目负责人姓名：</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360" w:lineRule="auto"/>
        <w:ind w:firstLine="720" w:firstLineChars="300"/>
        <w:contextualSpacing/>
        <w:rPr>
          <w:rFonts w:ascii="宋体" w:hAnsi="宋体" w:cs="宋体"/>
          <w:sz w:val="24"/>
        </w:rPr>
      </w:pPr>
      <w:r>
        <w:rPr>
          <w:rFonts w:hint="eastAsia" w:ascii="宋体" w:hAnsi="宋体" w:cs="宋体"/>
          <w:sz w:val="24"/>
        </w:rPr>
        <w:t>4.2.6</w:t>
      </w:r>
      <w:r>
        <w:rPr>
          <w:rFonts w:hint="eastAsia" w:ascii="宋体" w:hAnsi="宋体" w:cs="宋体"/>
          <w:snapToGrid w:val="0"/>
          <w:sz w:val="24"/>
        </w:rPr>
        <w:t>在甲方许可下有要求乙方及有关方面提供必要资料和配合工作的权利。</w:t>
      </w:r>
      <w:r>
        <w:rPr>
          <w:rFonts w:hint="eastAsia" w:ascii="宋体" w:hAnsi="宋体" w:cs="宋体"/>
          <w:sz w:val="24"/>
        </w:rPr>
        <w:t>乙方要求甲方提供必要的技术资料、工作条件与协助事项的，应事先列明清单，并经甲方书面认可。合同解除后或甲方要求时，乙方应于合同解除或者项目履行完毕或者甲方提出要求【3】日内将全部资料和/或复印件返还甲方。</w:t>
      </w:r>
    </w:p>
    <w:p>
      <w:pPr>
        <w:spacing w:line="360" w:lineRule="auto"/>
        <w:ind w:firstLine="720" w:firstLineChars="300"/>
        <w:contextualSpacing/>
        <w:rPr>
          <w:rFonts w:ascii="宋体" w:hAnsi="宋体" w:cs="宋体"/>
          <w:sz w:val="24"/>
        </w:rPr>
      </w:pPr>
      <w:r>
        <w:rPr>
          <w:rFonts w:hint="eastAsia" w:ascii="宋体" w:hAnsi="宋体" w:cs="宋体"/>
          <w:sz w:val="24"/>
        </w:rPr>
        <w:t>4.2.7乙方应对</w:t>
      </w:r>
      <w:r>
        <w:rPr>
          <w:rFonts w:hint="eastAsia" w:ascii="宋体" w:hAnsi="宋体" w:cs="宋体"/>
          <w:snapToGrid w:val="0"/>
          <w:sz w:val="24"/>
        </w:rPr>
        <w:t>在合同履行过程中知悉的以及</w:t>
      </w:r>
      <w:r>
        <w:rPr>
          <w:rFonts w:hint="eastAsia" w:ascii="宋体" w:hAnsi="宋体" w:cs="宋体"/>
          <w:sz w:val="24"/>
        </w:rPr>
        <w:t>甲方提供的技术情报、资料、数据、信息等承担保密义务，不得泄露给第三方或挪作他用。该保密义务不因合同的变更、解除或解除而免除，直至保密信息已依法公开后止。合同解除或甲方要求时，乙方应及时将前述技术情报、资料、数据、信息等归还甲方，且不得泄漏或进行任何商业用途。</w:t>
      </w:r>
    </w:p>
    <w:p>
      <w:pPr>
        <w:spacing w:line="360" w:lineRule="auto"/>
        <w:ind w:firstLine="720" w:firstLineChars="300"/>
        <w:contextualSpacing/>
        <w:rPr>
          <w:rFonts w:ascii="宋体" w:hAnsi="宋体" w:cs="宋体"/>
          <w:sz w:val="24"/>
        </w:rPr>
      </w:pPr>
      <w:r>
        <w:rPr>
          <w:rFonts w:hint="eastAsia" w:ascii="宋体" w:hAnsi="宋体" w:cs="宋体"/>
          <w:sz w:val="24"/>
        </w:rPr>
        <w:t>4.2.8乙方应</w:t>
      </w:r>
      <w:r>
        <w:rPr>
          <w:rFonts w:hint="eastAsia" w:ascii="宋体" w:hAnsi="宋体" w:cs="宋体"/>
          <w:snapToGrid w:val="0"/>
          <w:sz w:val="24"/>
        </w:rPr>
        <w:t>利用自己的技术知识，独立、按时完成项目工作，且提交的项目成果必须达到合同约定的要求。乙方</w:t>
      </w:r>
      <w:r>
        <w:rPr>
          <w:rFonts w:hint="eastAsia" w:ascii="宋体" w:hAnsi="宋体" w:cs="宋体"/>
          <w:sz w:val="24"/>
        </w:rPr>
        <w:t>未经甲方事先书面同意，不得转让、转包、分包本项目部分或全部内容给任何第三人，如确需分包，须经甲方事先书面同意，乙方应将相关协议提交甲方备案。否则甲方有权解除本合同，并要求乙方支付合同总价款10%违约金。</w:t>
      </w:r>
    </w:p>
    <w:p>
      <w:pPr>
        <w:spacing w:line="360" w:lineRule="auto"/>
        <w:ind w:firstLine="720" w:firstLineChars="300"/>
        <w:contextualSpacing/>
        <w:rPr>
          <w:rFonts w:ascii="宋体" w:hAnsi="宋体" w:cs="宋体"/>
          <w:sz w:val="24"/>
        </w:rPr>
      </w:pPr>
      <w:r>
        <w:rPr>
          <w:rFonts w:hint="eastAsia" w:ascii="宋体" w:hAnsi="宋体" w:cs="宋体"/>
          <w:sz w:val="24"/>
        </w:rPr>
        <w:t>4.2.9乙方应按本合同约定的进度完成本项目，按本合同提交阶段性成果，并每__</w:t>
      </w:r>
      <w:r>
        <w:rPr>
          <w:rFonts w:hint="eastAsia" w:ascii="宋体" w:hAnsi="宋体" w:cs="宋体"/>
          <w:sz w:val="24"/>
          <w:u w:val="single"/>
        </w:rPr>
        <w:t>1</w:t>
      </w:r>
      <w:r>
        <w:rPr>
          <w:rFonts w:hint="eastAsia" w:ascii="宋体" w:hAnsi="宋体" w:cs="宋体"/>
          <w:sz w:val="24"/>
        </w:rPr>
        <w:t>个月提交一份项目执行情况书面报告，当本项目完成时，【7】日内提交项目验收所需的有关材料。</w:t>
      </w:r>
    </w:p>
    <w:p>
      <w:pPr>
        <w:spacing w:line="360" w:lineRule="auto"/>
        <w:ind w:firstLine="720" w:firstLineChars="300"/>
        <w:contextualSpacing/>
        <w:rPr>
          <w:rFonts w:ascii="宋体" w:hAnsi="宋体" w:cs="宋体"/>
          <w:sz w:val="24"/>
        </w:rPr>
      </w:pPr>
      <w:r>
        <w:rPr>
          <w:rFonts w:hint="eastAsia" w:ascii="宋体" w:hAnsi="宋体" w:cs="宋体"/>
          <w:sz w:val="24"/>
        </w:rPr>
        <w:t>4.2.10</w:t>
      </w:r>
      <w:r>
        <w:rPr>
          <w:rFonts w:hint="eastAsia" w:ascii="宋体" w:hAnsi="宋体" w:cs="宋体"/>
          <w:snapToGrid w:val="0"/>
          <w:sz w:val="24"/>
        </w:rPr>
        <w:t>协助甲方收集有关资料，负责整理、保存所有项目成果，项目工作结束后全部移交给甲方。</w:t>
      </w:r>
      <w:r>
        <w:rPr>
          <w:rFonts w:hint="eastAsia" w:ascii="宋体" w:hAnsi="宋体" w:cs="宋体"/>
          <w:sz w:val="24"/>
        </w:rPr>
        <w:t>甲方或有关机构对本项目进行验收、评估、审计的，乙方应积极配合。乙方应保证严格按照约定合法履行本项目约定的义务，如在验收、评估或审计中出现任何问题，由乙方承担全部责任。</w:t>
      </w:r>
    </w:p>
    <w:p>
      <w:pPr>
        <w:spacing w:line="360" w:lineRule="auto"/>
        <w:ind w:firstLine="720" w:firstLineChars="300"/>
        <w:contextualSpacing/>
        <w:rPr>
          <w:rFonts w:ascii="宋体" w:hAnsi="宋体" w:cs="宋体"/>
          <w:sz w:val="24"/>
        </w:rPr>
      </w:pPr>
      <w:r>
        <w:rPr>
          <w:rFonts w:hint="eastAsia" w:ascii="宋体" w:hAnsi="宋体" w:cs="宋体"/>
          <w:sz w:val="24"/>
        </w:rPr>
        <w:t>4.2.11乙方开展业务应做到廉洁自律，遵守职业道德，不得借承接政府购买服务之机吃拿卡要、违规开展额外收费培训、服务、认证等。</w:t>
      </w:r>
    </w:p>
    <w:p>
      <w:pPr>
        <w:autoSpaceDE w:val="0"/>
        <w:autoSpaceDN w:val="0"/>
        <w:adjustRightInd w:val="0"/>
        <w:spacing w:line="360" w:lineRule="auto"/>
        <w:ind w:firstLine="720" w:firstLineChars="300"/>
        <w:jc w:val="left"/>
        <w:rPr>
          <w:rFonts w:ascii="宋体" w:hAnsi="宋体" w:cs="宋体"/>
          <w:snapToGrid w:val="0"/>
          <w:sz w:val="24"/>
        </w:rPr>
      </w:pPr>
      <w:r>
        <w:rPr>
          <w:rFonts w:hint="eastAsia" w:ascii="宋体" w:hAnsi="宋体" w:cs="宋体"/>
          <w:snapToGrid w:val="0"/>
          <w:sz w:val="24"/>
        </w:rPr>
        <w:t>4.2.12 向甲方提供与本项目有关的能力证明资料，作为本合同的附件。</w:t>
      </w:r>
    </w:p>
    <w:p>
      <w:pPr>
        <w:autoSpaceDE w:val="0"/>
        <w:autoSpaceDN w:val="0"/>
        <w:adjustRightInd w:val="0"/>
        <w:spacing w:line="360" w:lineRule="auto"/>
        <w:ind w:firstLine="720" w:firstLineChars="300"/>
        <w:jc w:val="left"/>
        <w:rPr>
          <w:rFonts w:ascii="宋体" w:hAnsi="宋体" w:cs="宋体"/>
          <w:snapToGrid w:val="0"/>
          <w:sz w:val="24"/>
        </w:rPr>
      </w:pPr>
      <w:r>
        <w:rPr>
          <w:rFonts w:hint="eastAsia" w:ascii="宋体" w:hAnsi="宋体" w:cs="宋体"/>
          <w:snapToGrid w:val="0"/>
          <w:sz w:val="24"/>
        </w:rPr>
        <w:t>4.2.13 进行研究时应当遵守甲方管理制度，承担因自身防范措施不力而造成的人身财物的损失和相应责任（包括对甲方现场人员及财物的损毁和侵害）。</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5.知识产权条款</w:t>
      </w:r>
    </w:p>
    <w:p>
      <w:pPr>
        <w:spacing w:line="360" w:lineRule="auto"/>
        <w:ind w:firstLine="480" w:firstLineChars="200"/>
        <w:contextualSpacing/>
        <w:rPr>
          <w:rFonts w:ascii="宋体" w:hAnsi="宋体" w:cs="宋体"/>
          <w:sz w:val="24"/>
        </w:rPr>
      </w:pPr>
      <w:r>
        <w:rPr>
          <w:rFonts w:hint="eastAsia" w:ascii="宋体" w:hAnsi="宋体" w:cs="宋体"/>
          <w:sz w:val="24"/>
        </w:rPr>
        <w:t>5.1乙方完成本项目取得的成果的知识产权归甲方所有，如著作、论文、研究报告等，甲方有权自己使用、引用、发表、向第三方转让等。乙方非经甲方事先书面同意，不得自行使用项目成果及将其内容提供给其他任何第三人，不得将项目成果用于合同之外的其他目的。</w:t>
      </w:r>
    </w:p>
    <w:p>
      <w:pPr>
        <w:spacing w:line="360" w:lineRule="auto"/>
        <w:ind w:firstLine="480" w:firstLineChars="200"/>
        <w:contextualSpacing/>
        <w:rPr>
          <w:rFonts w:ascii="宋体" w:hAnsi="宋体" w:cs="宋体"/>
          <w:sz w:val="24"/>
        </w:rPr>
      </w:pPr>
      <w:r>
        <w:rPr>
          <w:rFonts w:hint="eastAsia" w:ascii="宋体" w:hAnsi="宋体" w:cs="宋体"/>
          <w:sz w:val="24"/>
        </w:rPr>
        <w:t>5.2本项目过程中产生的项目成果以及甲方在该项目成果的基础上完成的新成果归甲方所有。</w:t>
      </w:r>
    </w:p>
    <w:p>
      <w:pPr>
        <w:spacing w:line="360" w:lineRule="auto"/>
        <w:ind w:firstLine="480" w:firstLineChars="200"/>
        <w:contextualSpacing/>
        <w:rPr>
          <w:rFonts w:ascii="宋体" w:hAnsi="宋体" w:cs="宋体"/>
          <w:sz w:val="24"/>
        </w:rPr>
      </w:pPr>
      <w:r>
        <w:rPr>
          <w:rFonts w:hint="eastAsia" w:ascii="宋体" w:hAnsi="宋体" w:cs="宋体"/>
          <w:sz w:val="24"/>
        </w:rPr>
        <w:t>5.3乙方保证在履行合同的过程中，不得侵犯任何第三方的合法权益，包括但不限于知识产权、所有权等，否则须承担由此产生的全部责任，并赔偿甲方因此受到的损失。如第三方向甲方提出诉讼，法院判令甲方承担责任的，甲方有权向乙方全额追偿。</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6. 验收条款</w:t>
      </w:r>
    </w:p>
    <w:p>
      <w:pPr>
        <w:spacing w:line="360" w:lineRule="auto"/>
        <w:ind w:firstLine="480" w:firstLineChars="200"/>
        <w:contextualSpacing/>
        <w:rPr>
          <w:rFonts w:ascii="宋体" w:hAnsi="宋体" w:cs="宋体"/>
          <w:sz w:val="24"/>
        </w:rPr>
      </w:pPr>
      <w:r>
        <w:rPr>
          <w:rFonts w:hint="eastAsia" w:ascii="宋体" w:hAnsi="宋体" w:cs="宋体"/>
          <w:sz w:val="24"/>
        </w:rPr>
        <w:t>6.1验收和考核程序依照北京市城市管理委员会相关工作程序执行。</w:t>
      </w:r>
    </w:p>
    <w:p>
      <w:pPr>
        <w:spacing w:line="360" w:lineRule="auto"/>
        <w:ind w:firstLine="480" w:firstLineChars="200"/>
        <w:contextualSpacing/>
        <w:rPr>
          <w:rFonts w:ascii="宋体" w:hAnsi="宋体" w:cs="宋体"/>
          <w:sz w:val="24"/>
        </w:rPr>
      </w:pPr>
      <w:r>
        <w:rPr>
          <w:rFonts w:hint="eastAsia" w:ascii="宋体" w:hAnsi="宋体" w:cs="宋体"/>
          <w:sz w:val="24"/>
        </w:rPr>
        <w:t>6.2项目进行期间，甲方有权视情况对乙方项目进程以及阶段性成果进行评估，并根据评估结果，甲方有权做出以下任一决定，乙方均表示认可。乙方如有违约行为，以下决定并不排除乙方违约责任的承担：</w:t>
      </w:r>
    </w:p>
    <w:p>
      <w:pPr>
        <w:spacing w:line="360" w:lineRule="auto"/>
        <w:ind w:firstLine="720" w:firstLineChars="300"/>
        <w:contextualSpacing/>
        <w:rPr>
          <w:rFonts w:ascii="宋体" w:hAnsi="宋体" w:cs="宋体"/>
          <w:sz w:val="24"/>
        </w:rPr>
      </w:pPr>
      <w:r>
        <w:rPr>
          <w:rFonts w:hint="eastAsia" w:ascii="宋体" w:hAnsi="宋体" w:cs="宋体"/>
          <w:sz w:val="24"/>
        </w:rPr>
        <w:t>6.2.1认可乙方工作；</w:t>
      </w:r>
    </w:p>
    <w:p>
      <w:pPr>
        <w:spacing w:line="360" w:lineRule="auto"/>
        <w:ind w:firstLine="720" w:firstLineChars="300"/>
        <w:contextualSpacing/>
        <w:rPr>
          <w:rFonts w:ascii="宋体" w:hAnsi="宋体" w:cs="宋体"/>
          <w:b/>
          <w:sz w:val="24"/>
        </w:rPr>
      </w:pPr>
      <w:r>
        <w:rPr>
          <w:rFonts w:hint="eastAsia" w:ascii="宋体" w:hAnsi="宋体" w:cs="宋体"/>
          <w:sz w:val="24"/>
        </w:rPr>
        <w:t>6.2.2出具项目整改意见要求乙方整改；</w:t>
      </w:r>
    </w:p>
    <w:p>
      <w:pPr>
        <w:widowControl/>
        <w:spacing w:line="360" w:lineRule="auto"/>
        <w:ind w:firstLine="720" w:firstLineChars="300"/>
        <w:contextualSpacing/>
        <w:rPr>
          <w:rFonts w:ascii="宋体" w:hAnsi="宋体" w:cs="宋体"/>
          <w:b/>
          <w:kern w:val="0"/>
          <w:sz w:val="24"/>
        </w:rPr>
      </w:pPr>
      <w:r>
        <w:rPr>
          <w:rFonts w:hint="eastAsia" w:ascii="宋体" w:hAnsi="宋体" w:cs="宋体"/>
          <w:kern w:val="0"/>
          <w:sz w:val="24"/>
        </w:rPr>
        <w:t>6.2.3解除本合同，按照乙方实际工作数量和质量支付工作报酬；</w:t>
      </w:r>
    </w:p>
    <w:p>
      <w:pPr>
        <w:widowControl/>
        <w:spacing w:line="360" w:lineRule="auto"/>
        <w:ind w:firstLine="720" w:firstLineChars="300"/>
        <w:contextualSpacing/>
        <w:rPr>
          <w:rFonts w:ascii="宋体" w:hAnsi="宋体" w:cs="宋体"/>
          <w:b/>
          <w:kern w:val="0"/>
          <w:sz w:val="24"/>
        </w:rPr>
      </w:pPr>
      <w:r>
        <w:rPr>
          <w:rFonts w:hint="eastAsia" w:ascii="宋体" w:hAnsi="宋体" w:cs="宋体"/>
          <w:kern w:val="0"/>
          <w:sz w:val="24"/>
        </w:rPr>
        <w:t>6.2.4解除本合同，乙方应退还甲方已付款项。</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6.3项目初验：乙方按照本合同及附件要求提交项目初步成果，甲方初验后，乙方根据甲方的意见对项目初步成果进行修改并按期提交修改后的项目成果进行项目终验。</w:t>
      </w:r>
    </w:p>
    <w:p>
      <w:pPr>
        <w:widowControl/>
        <w:spacing w:line="360" w:lineRule="auto"/>
        <w:ind w:firstLine="480" w:firstLineChars="200"/>
        <w:contextualSpacing/>
        <w:rPr>
          <w:rFonts w:ascii="宋体" w:hAnsi="宋体" w:cs="宋体"/>
          <w:kern w:val="0"/>
          <w:sz w:val="24"/>
        </w:rPr>
      </w:pPr>
      <w:r>
        <w:rPr>
          <w:rFonts w:hint="eastAsia" w:ascii="宋体" w:hAnsi="宋体" w:cs="宋体"/>
          <w:kern w:val="0"/>
          <w:sz w:val="24"/>
        </w:rPr>
        <w:t>6.4项目终验：</w:t>
      </w:r>
    </w:p>
    <w:p>
      <w:pPr>
        <w:widowControl/>
        <w:spacing w:line="360" w:lineRule="auto"/>
        <w:ind w:firstLine="720" w:firstLineChars="300"/>
        <w:contextualSpacing/>
        <w:rPr>
          <w:rFonts w:ascii="宋体" w:hAnsi="宋体" w:cs="宋体"/>
          <w:kern w:val="0"/>
          <w:sz w:val="24"/>
        </w:rPr>
      </w:pPr>
      <w:r>
        <w:rPr>
          <w:rFonts w:hint="eastAsia" w:ascii="宋体" w:hAnsi="宋体" w:cs="宋体"/>
          <w:kern w:val="0"/>
          <w:sz w:val="24"/>
        </w:rPr>
        <w:t>6.4.1项目成果提交后，甲方有权组织专家对项目成果进行专家评审。专家评审小组根据合同约定、项目需求等对项目成果进行评审，并出具评审意见书。对包含大量实地调研或问卷调研的项目，乙方应同时向甲方提供相应的原始调研资料及上述材料的电子文件。</w:t>
      </w:r>
    </w:p>
    <w:p>
      <w:pPr>
        <w:widowControl/>
        <w:spacing w:line="360" w:lineRule="auto"/>
        <w:ind w:firstLine="720" w:firstLineChars="300"/>
        <w:contextualSpacing/>
        <w:rPr>
          <w:rFonts w:ascii="宋体" w:hAnsi="宋体" w:cs="宋体"/>
          <w:kern w:val="0"/>
          <w:sz w:val="24"/>
        </w:rPr>
      </w:pPr>
      <w:r>
        <w:rPr>
          <w:rFonts w:hint="eastAsia" w:ascii="宋体" w:hAnsi="宋体" w:cs="宋体"/>
          <w:kern w:val="0"/>
          <w:sz w:val="24"/>
        </w:rPr>
        <w:t>6.4.2项目成果如需修改，乙方应根据甲方及专家评审意见对项目成果【3】日内进行修改完善，直至甲方满意为止。甲方对项目成果认可后，参照专家评审意见出具项目验收证书，项目视为最终验收合格。</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7. 违约责任</w:t>
      </w:r>
    </w:p>
    <w:p>
      <w:pPr>
        <w:spacing w:line="360" w:lineRule="auto"/>
        <w:ind w:firstLine="480" w:firstLineChars="200"/>
        <w:contextualSpacing/>
        <w:rPr>
          <w:rFonts w:ascii="宋体" w:hAnsi="宋体" w:cs="宋体"/>
          <w:sz w:val="24"/>
        </w:rPr>
      </w:pPr>
      <w:r>
        <w:rPr>
          <w:rFonts w:hint="eastAsia" w:ascii="宋体" w:hAnsi="宋体" w:cs="宋体"/>
          <w:sz w:val="24"/>
        </w:rPr>
        <w:t>7.1除本合同另有约定外，乙方违反合同约定义务的，经甲方书面催告后</w:t>
      </w:r>
      <w:r>
        <w:rPr>
          <w:rFonts w:hint="eastAsia" w:ascii="宋体" w:hAnsi="宋体" w:cs="宋体"/>
          <w:sz w:val="24"/>
          <w:u w:val="single"/>
        </w:rPr>
        <w:t xml:space="preserve"> 10 </w:t>
      </w:r>
      <w:r>
        <w:rPr>
          <w:rFonts w:hint="eastAsia" w:ascii="宋体" w:hAnsi="宋体" w:cs="宋体"/>
          <w:sz w:val="24"/>
        </w:rPr>
        <w:t>日内仍未整改或整改后仍不符合合同约定的，甲方有权单方解除合同，乙方应退还甲方所支付全部款项，向甲方支付合同金额</w:t>
      </w:r>
      <w:r>
        <w:rPr>
          <w:rFonts w:hint="eastAsia" w:ascii="宋体" w:hAnsi="宋体" w:cs="宋体"/>
          <w:sz w:val="24"/>
          <w:u w:val="single"/>
        </w:rPr>
        <w:t xml:space="preserve"> 10% </w:t>
      </w:r>
      <w:r>
        <w:rPr>
          <w:rFonts w:hint="eastAsia" w:ascii="宋体" w:hAnsi="宋体" w:cs="宋体"/>
          <w:sz w:val="24"/>
        </w:rPr>
        <w:t>的违约金，并要求乙方移交全部资料及未完成成果，违约金不足以弥补甲方损失的，乙方应予以补足。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7.2乙方未按合同约定履行合同义务的，每延迟一日须向甲方支付合同金额</w:t>
      </w:r>
      <w:r>
        <w:rPr>
          <w:rFonts w:hint="eastAsia" w:ascii="宋体" w:hAnsi="宋体" w:cs="宋体"/>
          <w:sz w:val="24"/>
          <w:u w:val="single"/>
        </w:rPr>
        <w:t xml:space="preserve"> 3</w:t>
      </w:r>
      <w:r>
        <w:rPr>
          <w:rFonts w:hint="eastAsia" w:ascii="宋体" w:hAnsi="宋体" w:cs="宋体"/>
          <w:sz w:val="24"/>
        </w:rPr>
        <w:t>‰的延迟履行违约金，达到合同金额的5%以上时，甲方有权单方解除合同，要求乙方移交全部资料及未完成成果，乙方应退还甲方所支付全部款项，并支付甲方合同金额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%的违约金，违约金不足以弥补甲方损失的，乙方应予以补足，同时甲方保留追究乙方相关责任的权利。</w:t>
      </w:r>
    </w:p>
    <w:p>
      <w:pPr>
        <w:spacing w:line="360" w:lineRule="auto"/>
        <w:ind w:firstLine="480" w:firstLineChars="200"/>
        <w:contextualSpacing/>
        <w:rPr>
          <w:rFonts w:ascii="宋体" w:hAnsi="宋体" w:cs="宋体"/>
          <w:sz w:val="24"/>
        </w:rPr>
      </w:pPr>
      <w:r>
        <w:rPr>
          <w:rFonts w:hint="eastAsia" w:ascii="宋体" w:hAnsi="宋体" w:cs="宋体"/>
          <w:sz w:val="24"/>
        </w:rPr>
        <w:t>7.3乙方违反合同有关的保密、知识产权约定的，包括但不限于泄露检查工作信息、跑风漏气、向检查工作关联方进行利益输送等，应向甲方支付合同金额</w:t>
      </w:r>
      <w:r>
        <w:rPr>
          <w:rFonts w:hint="eastAsia" w:ascii="宋体" w:hAnsi="宋体" w:cs="宋体"/>
          <w:sz w:val="24"/>
          <w:u w:val="single"/>
        </w:rPr>
        <w:t>10%</w:t>
      </w:r>
      <w:r>
        <w:rPr>
          <w:rFonts w:hint="eastAsia" w:ascii="宋体" w:hAnsi="宋体" w:cs="宋体"/>
          <w:sz w:val="24"/>
        </w:rPr>
        <w:t>的违约金，甲方有权单方解除合同，要求乙方移交全部资料及未完成成果，乙方应退还甲方所支付全部款项，违约金不足以弥补甲方损失的，乙方应予以补足，并保留追究的权利。</w:t>
      </w:r>
    </w:p>
    <w:p>
      <w:pPr>
        <w:spacing w:line="360" w:lineRule="auto"/>
        <w:ind w:firstLine="480" w:firstLineChars="200"/>
        <w:contextualSpacing/>
        <w:rPr>
          <w:rFonts w:ascii="宋体" w:hAnsi="宋体" w:cs="宋体"/>
          <w:sz w:val="24"/>
        </w:rPr>
      </w:pPr>
      <w:r>
        <w:rPr>
          <w:rFonts w:hint="eastAsia" w:ascii="宋体" w:hAnsi="宋体" w:cs="宋体"/>
          <w:sz w:val="24"/>
        </w:rPr>
        <w:t>7.4乙方交付的项目成果两次未能通过甲方验收、出现错误或质量缺陷的，</w:t>
      </w:r>
      <w:bookmarkStart w:id="825" w:name="_Hlk34724637"/>
      <w:r>
        <w:rPr>
          <w:rFonts w:hint="eastAsia" w:ascii="宋体" w:hAnsi="宋体" w:cs="宋体"/>
          <w:sz w:val="24"/>
        </w:rPr>
        <w:t>乙方应支付甲方合同金额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%的违约金，违约金不足以弥补甲方损失的，乙方应予以补足。同时，甲方有权单方解除本合同，要求乙方返还已付款项。</w:t>
      </w:r>
      <w:bookmarkEnd w:id="825"/>
    </w:p>
    <w:p>
      <w:pPr>
        <w:spacing w:line="360" w:lineRule="auto"/>
        <w:ind w:firstLine="480" w:firstLineChars="200"/>
        <w:contextualSpacing/>
        <w:rPr>
          <w:rFonts w:ascii="宋体" w:hAnsi="宋体" w:cs="宋体"/>
          <w:sz w:val="24"/>
        </w:rPr>
      </w:pPr>
      <w:r>
        <w:rPr>
          <w:rFonts w:hint="eastAsia" w:ascii="宋体" w:hAnsi="宋体" w:cs="宋体"/>
          <w:sz w:val="24"/>
        </w:rPr>
        <w:t>7.5乙方在履行合同过程中故意弄虚作假的，包括但不限于虚构编造工作材料、违反学术规范、道德等，甲方有权单方解除合同，乙方应向甲方支付合同金额</w:t>
      </w:r>
      <w:r>
        <w:rPr>
          <w:rFonts w:hint="eastAsia" w:ascii="宋体" w:hAnsi="宋体" w:cs="宋体"/>
          <w:sz w:val="24"/>
          <w:u w:val="single"/>
        </w:rPr>
        <w:t xml:space="preserve"> 10 </w:t>
      </w:r>
      <w:r>
        <w:rPr>
          <w:rFonts w:hint="eastAsia" w:ascii="宋体" w:hAnsi="宋体" w:cs="宋体"/>
          <w:sz w:val="24"/>
        </w:rPr>
        <w:t>%的违约金，并要求乙方移交全部资料及未完成成果，乙方应退还甲方所支付全部款项，违约金不足以弥补甲方损失的，乙方应予以补足。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7.6乙方违反本协议有关单独核算、专款专用等经费管理约定的，甲方有权单方解除协议，要求乙方移交全部资料及成果（包括未完成部分），乙方应退还甲方所支付全部款项，并应向甲方支付合同金额</w:t>
      </w:r>
      <w:r>
        <w:rPr>
          <w:rFonts w:hint="eastAsia" w:ascii="宋体" w:hAnsi="宋体" w:cs="宋体"/>
          <w:sz w:val="24"/>
          <w:u w:val="single"/>
        </w:rPr>
        <w:t xml:space="preserve"> 10 </w:t>
      </w:r>
      <w:r>
        <w:rPr>
          <w:rFonts w:hint="eastAsia" w:ascii="宋体" w:hAnsi="宋体" w:cs="宋体"/>
          <w:sz w:val="24"/>
        </w:rPr>
        <w:t>%的违约金，违约金不足以弥补甲方损失的，乙方应予以补足。</w:t>
      </w:r>
    </w:p>
    <w:p>
      <w:pPr>
        <w:spacing w:line="360" w:lineRule="auto"/>
        <w:ind w:firstLine="480" w:firstLineChars="200"/>
        <w:contextualSpacing/>
        <w:rPr>
          <w:rFonts w:ascii="宋体" w:hAnsi="宋体" w:cs="宋体"/>
          <w:sz w:val="24"/>
        </w:rPr>
      </w:pPr>
      <w:r>
        <w:rPr>
          <w:rFonts w:hint="eastAsia" w:ascii="宋体" w:hAnsi="宋体" w:cs="宋体"/>
          <w:sz w:val="24"/>
        </w:rPr>
        <w:t>7.7未经甲方书面许可，乙方不得将本合同项下的权利义务的全部或部分转让或转委托给第三方，否则乙方因此所获得的收益归甲方所有。同时，乙方应支付甲方合同金额10%的违约金；违约金不足以弥补甲方损失的，乙方应予以补足。同时，甲方有权单方解除本合同，要求乙方返还已付款项。</w:t>
      </w:r>
    </w:p>
    <w:p>
      <w:pPr>
        <w:spacing w:line="360" w:lineRule="auto"/>
        <w:ind w:firstLine="480" w:firstLineChars="200"/>
        <w:contextualSpacing/>
        <w:rPr>
          <w:rFonts w:ascii="宋体" w:hAnsi="宋体" w:cs="宋体"/>
          <w:sz w:val="24"/>
        </w:rPr>
      </w:pPr>
      <w:r>
        <w:rPr>
          <w:rFonts w:hint="eastAsia" w:ascii="宋体" w:hAnsi="宋体" w:cs="宋体"/>
          <w:sz w:val="24"/>
        </w:rPr>
        <w:t>7.8乙方保证在本合同项下向甲方提交的全部服务及工作成果均真实有效、合法合规，且不侵犯任何第三方的合法权益。否则，乙方应自行与第三方交涉并承担由此发生的一切责任、费用和经济赔偿。同时，乙方应支付甲方合同金额10%的违约金，违约金不足以弥补甲方损失的，乙方应予以补足。同时，甲方有权单方解除本合同，要求乙方返还已付款项。</w:t>
      </w:r>
    </w:p>
    <w:p>
      <w:pPr>
        <w:spacing w:line="360" w:lineRule="auto"/>
        <w:ind w:firstLine="480" w:firstLineChars="200"/>
        <w:contextualSpacing/>
        <w:rPr>
          <w:rFonts w:ascii="宋体" w:hAnsi="宋体" w:cs="宋体"/>
          <w:sz w:val="24"/>
        </w:rPr>
      </w:pPr>
      <w:r>
        <w:rPr>
          <w:rFonts w:hint="eastAsia" w:ascii="宋体" w:hAnsi="宋体" w:cs="宋体"/>
          <w:sz w:val="24"/>
        </w:rPr>
        <w:t>7.9乙方基于本合同应向甲方支付的任何费用（包括但不限于损失赔偿费用、违约金等），甲方均有权在向乙方支付合同款项时予以扣除。</w:t>
      </w:r>
    </w:p>
    <w:p>
      <w:pPr>
        <w:spacing w:line="360" w:lineRule="auto"/>
        <w:ind w:firstLine="480" w:firstLineChars="200"/>
        <w:contextualSpacing/>
        <w:rPr>
          <w:rFonts w:ascii="宋体" w:hAnsi="宋体" w:cs="宋体"/>
          <w:sz w:val="24"/>
        </w:rPr>
      </w:pPr>
      <w:r>
        <w:rPr>
          <w:rFonts w:hint="eastAsia" w:ascii="宋体" w:hAnsi="宋体" w:cs="宋体"/>
          <w:sz w:val="24"/>
        </w:rPr>
        <w:t>7.10 本合同所约定的甲方损失包括但不限于甲方经济利益的减损、可得利益等。</w:t>
      </w:r>
    </w:p>
    <w:p>
      <w:pPr>
        <w:spacing w:line="360" w:lineRule="auto"/>
        <w:ind w:firstLine="480" w:firstLineChars="200"/>
        <w:contextualSpacing/>
        <w:rPr>
          <w:rFonts w:ascii="宋体" w:hAnsi="宋体" w:cs="宋体"/>
          <w:sz w:val="24"/>
        </w:rPr>
      </w:pPr>
      <w:r>
        <w:rPr>
          <w:rFonts w:hint="eastAsia" w:ascii="宋体" w:hAnsi="宋体" w:cs="宋体"/>
          <w:sz w:val="24"/>
        </w:rPr>
        <w:t>7.11乙方违反本合同约定，甲方为向乙方主张权利而支付的调查取证、评估费、鉴定费、公证费用、甲方为寻求救济所支付的诉讼费、保全费、财产保全担保费或财产保全担保保险费、律师代理费、咨询费和法院执行费用、调查取证费、差旅费等全部损失及费用等均由乙方承担。</w:t>
      </w:r>
    </w:p>
    <w:p>
      <w:pPr>
        <w:spacing w:line="360" w:lineRule="auto"/>
        <w:ind w:firstLine="480" w:firstLineChars="200"/>
        <w:contextualSpacing/>
        <w:rPr>
          <w:rFonts w:ascii="宋体" w:hAnsi="宋体" w:cs="宋体"/>
          <w:sz w:val="24"/>
        </w:rPr>
      </w:pPr>
      <w:r>
        <w:rPr>
          <w:rFonts w:hint="eastAsia" w:ascii="宋体" w:hAnsi="宋体" w:cs="宋体"/>
          <w:sz w:val="24"/>
        </w:rPr>
        <w:t>7.12因市财政国库结算等特殊时期，造成甲方延迟付款时，不视为甲方构成违约，甲方不承担任何法律责任，乙方仍需按照合同约定履行义务。</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8. 不可抗力</w:t>
      </w:r>
    </w:p>
    <w:p>
      <w:pPr>
        <w:spacing w:line="360" w:lineRule="auto"/>
        <w:ind w:firstLine="480" w:firstLineChars="200"/>
        <w:contextualSpacing/>
        <w:rPr>
          <w:rFonts w:ascii="宋体" w:hAnsi="宋体" w:cs="宋体"/>
          <w:sz w:val="24"/>
        </w:rPr>
      </w:pPr>
      <w:r>
        <w:rPr>
          <w:rFonts w:hint="eastAsia" w:ascii="宋体" w:hAnsi="宋体" w:cs="宋体"/>
          <w:sz w:val="24"/>
        </w:rPr>
        <w:t>8.1合同双方的任何一方，如由于不能预见、不能避免、不能克服的不可抗力情况发生，影响项目工作如期完成，如自然灾害（如风暴、洪水等），战争等原因，则经双方协商，甲乙双方可要求变更约定事项，顺时延迟本合同或解除本合同。双方互不承担违约责任。</w:t>
      </w:r>
    </w:p>
    <w:p>
      <w:pPr>
        <w:spacing w:line="360" w:lineRule="auto"/>
        <w:ind w:firstLine="480" w:firstLineChars="200"/>
        <w:contextualSpacing/>
        <w:rPr>
          <w:rFonts w:ascii="宋体" w:hAnsi="宋体" w:cs="宋体"/>
          <w:sz w:val="24"/>
        </w:rPr>
      </w:pPr>
      <w:r>
        <w:rPr>
          <w:rFonts w:hint="eastAsia" w:ascii="宋体" w:hAnsi="宋体" w:cs="宋体"/>
          <w:sz w:val="24"/>
        </w:rPr>
        <w:t>8.2有不可抗力的事故发生，发生方应立刻将所发生的不可抗力的事故情况以书面形式通知另一方，并在__</w:t>
      </w:r>
      <w:r>
        <w:rPr>
          <w:rFonts w:hint="eastAsia" w:ascii="宋体" w:hAnsi="宋体" w:cs="宋体"/>
          <w:sz w:val="24"/>
          <w:u w:val="single"/>
        </w:rPr>
        <w:t>20</w:t>
      </w:r>
      <w:r>
        <w:rPr>
          <w:rFonts w:hint="eastAsia" w:ascii="宋体" w:hAnsi="宋体" w:cs="宋体"/>
          <w:sz w:val="24"/>
        </w:rPr>
        <w:t>__日内将有权机关出具的证明文件提交另一方认可。</w:t>
      </w:r>
    </w:p>
    <w:p>
      <w:pPr>
        <w:spacing w:line="360" w:lineRule="auto"/>
        <w:ind w:firstLine="480" w:firstLineChars="200"/>
        <w:contextualSpacing/>
        <w:rPr>
          <w:rFonts w:ascii="宋体" w:hAnsi="宋体" w:cs="宋体"/>
          <w:sz w:val="24"/>
        </w:rPr>
      </w:pPr>
      <w:r>
        <w:rPr>
          <w:rFonts w:hint="eastAsia" w:ascii="宋体" w:hAnsi="宋体" w:cs="宋体"/>
          <w:sz w:val="24"/>
        </w:rPr>
        <w:t>8.3发生不可抗力的，双方应积极采取措施避免损失的进一步扩大，否则责任方须就损失扩大的部分承担赔偿责任。一方发生延迟履行等违约情形后发生不可抗力的，不免除其责任。</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9. 争议解决条款</w:t>
      </w:r>
    </w:p>
    <w:p>
      <w:pPr>
        <w:spacing w:line="360" w:lineRule="auto"/>
        <w:ind w:firstLine="480" w:firstLineChars="200"/>
        <w:contextualSpacing/>
        <w:rPr>
          <w:rFonts w:ascii="宋体" w:hAnsi="宋体" w:cs="宋体"/>
          <w:sz w:val="24"/>
        </w:rPr>
      </w:pPr>
      <w:r>
        <w:rPr>
          <w:rFonts w:hint="eastAsia" w:ascii="宋体" w:hAnsi="宋体" w:cs="宋体"/>
          <w:sz w:val="24"/>
        </w:rPr>
        <w:t>对本合同履行过程中发生的或与本合同有关的一切争议，双方应本着平等互利的原则协商解决，协商不成的，双方选择以下第</w:t>
      </w:r>
      <w:r>
        <w:rPr>
          <w:rFonts w:hint="eastAsia" w:ascii="宋体" w:hAnsi="宋体" w:cs="宋体"/>
          <w:sz w:val="24"/>
          <w:u w:val="single"/>
        </w:rPr>
        <w:t>9.2</w:t>
      </w:r>
      <w:r>
        <w:rPr>
          <w:rFonts w:hint="eastAsia" w:ascii="宋体" w:hAnsi="宋体" w:cs="宋体"/>
          <w:sz w:val="24"/>
        </w:rPr>
        <w:t>种争议解决方式：</w:t>
      </w:r>
    </w:p>
    <w:p>
      <w:pPr>
        <w:spacing w:line="360" w:lineRule="auto"/>
        <w:ind w:firstLine="480" w:firstLineChars="200"/>
        <w:contextualSpacing/>
        <w:rPr>
          <w:rFonts w:ascii="宋体" w:hAnsi="宋体" w:cs="宋体"/>
          <w:sz w:val="24"/>
        </w:rPr>
      </w:pPr>
      <w:r>
        <w:rPr>
          <w:rFonts w:hint="eastAsia" w:ascii="宋体" w:hAnsi="宋体" w:cs="宋体"/>
          <w:sz w:val="24"/>
        </w:rPr>
        <w:t>9.1由</w:t>
      </w:r>
      <w:r>
        <w:rPr>
          <w:rFonts w:hint="eastAsia" w:ascii="宋体" w:hAnsi="宋体" w:cs="宋体"/>
          <w:sz w:val="24"/>
          <w:u w:val="single"/>
        </w:rPr>
        <w:t>北京</w:t>
      </w:r>
      <w:r>
        <w:rPr>
          <w:rFonts w:hint="eastAsia" w:ascii="宋体" w:hAnsi="宋体" w:cs="宋体"/>
          <w:sz w:val="24"/>
        </w:rPr>
        <w:t>仲裁委员会仲裁 。</w:t>
      </w:r>
    </w:p>
    <w:p>
      <w:pPr>
        <w:spacing w:line="360" w:lineRule="auto"/>
        <w:ind w:firstLine="480" w:firstLineChars="200"/>
        <w:contextualSpacing/>
        <w:rPr>
          <w:rFonts w:ascii="宋体" w:hAnsi="宋体" w:cs="宋体"/>
          <w:sz w:val="24"/>
        </w:rPr>
      </w:pPr>
      <w:r>
        <w:rPr>
          <w:rFonts w:hint="eastAsia" w:ascii="宋体" w:hAnsi="宋体" w:cs="宋体"/>
          <w:sz w:val="24"/>
        </w:rPr>
        <w:t>9.2向甲方所在地有管辖权的人民法院起诉。</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10.合同条款修订、履行、通知、沟通</w:t>
      </w:r>
    </w:p>
    <w:p>
      <w:pPr>
        <w:spacing w:line="360" w:lineRule="auto"/>
        <w:ind w:firstLine="480" w:firstLineChars="200"/>
        <w:contextualSpacing/>
        <w:rPr>
          <w:rFonts w:ascii="宋体" w:hAnsi="宋体" w:cs="宋体"/>
          <w:sz w:val="24"/>
        </w:rPr>
      </w:pPr>
      <w:r>
        <w:rPr>
          <w:rFonts w:hint="eastAsia" w:ascii="宋体" w:hAnsi="宋体" w:cs="宋体"/>
          <w:sz w:val="24"/>
        </w:rPr>
        <w:t>10.1本合同的所有修改应在双方都同意的基础上，以双方法定代表人或授权代表签字并加盖公章的书面形式修正；</w:t>
      </w:r>
    </w:p>
    <w:p>
      <w:pPr>
        <w:spacing w:line="360" w:lineRule="auto"/>
        <w:ind w:firstLine="480" w:firstLineChars="200"/>
        <w:contextualSpacing/>
        <w:rPr>
          <w:rFonts w:ascii="宋体" w:hAnsi="宋体" w:cs="宋体"/>
          <w:sz w:val="24"/>
        </w:rPr>
      </w:pPr>
      <w:r>
        <w:rPr>
          <w:rFonts w:hint="eastAsia" w:ascii="宋体" w:hAnsi="宋体" w:cs="宋体"/>
          <w:sz w:val="24"/>
        </w:rPr>
        <w:t>10.2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11. 通知</w:t>
      </w:r>
    </w:p>
    <w:p>
      <w:pPr>
        <w:spacing w:line="360" w:lineRule="auto"/>
        <w:ind w:firstLine="480" w:firstLineChars="200"/>
        <w:contextualSpacing/>
        <w:rPr>
          <w:rFonts w:ascii="宋体" w:hAnsi="宋体" w:cs="宋体"/>
          <w:sz w:val="24"/>
        </w:rPr>
      </w:pPr>
      <w:r>
        <w:rPr>
          <w:rFonts w:hint="eastAsia" w:ascii="宋体" w:hAnsi="宋体" w:cs="宋体"/>
          <w:sz w:val="24"/>
        </w:rPr>
        <w:t>11.1本合同任何一方给另一方的通知，都应以书面形式发送到本合同双方确认的地址，</w:t>
      </w:r>
      <w:r>
        <w:rPr>
          <w:rFonts w:hint="eastAsia" w:ascii="宋体" w:hAnsi="宋体" w:cs="宋体"/>
          <w:snapToGrid w:val="0"/>
          <w:sz w:val="24"/>
        </w:rPr>
        <w:t>送达约定在专用条款详细约定，专用条款未约定或约定不全的以以下内容为准：</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11.1.1专人</w:t>
      </w:r>
      <w:r>
        <w:rPr>
          <w:rFonts w:hint="eastAsia" w:ascii="宋体" w:hAnsi="宋体" w:cs="宋体"/>
          <w:sz w:val="24"/>
        </w:rPr>
        <w:t>递送</w:t>
      </w:r>
      <w:r>
        <w:rPr>
          <w:rFonts w:hint="eastAsia" w:ascii="宋体" w:hAnsi="宋体" w:cs="宋体"/>
          <w:snapToGrid w:val="0"/>
          <w:sz w:val="24"/>
        </w:rPr>
        <w:t>之日视为送达之日；</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11.1.2邮递以邮政部门可以证明的收到日视为送达之日；</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11.1.3电子邮件、传真以顺利发出当天后的第一个工作日视为送达之日。</w:t>
      </w:r>
    </w:p>
    <w:p>
      <w:pPr>
        <w:spacing w:line="360" w:lineRule="auto"/>
        <w:ind w:firstLine="480" w:firstLineChars="200"/>
        <w:contextualSpacing/>
        <w:rPr>
          <w:rFonts w:ascii="宋体" w:hAnsi="宋体" w:cs="宋体"/>
          <w:sz w:val="24"/>
        </w:rPr>
      </w:pPr>
      <w:r>
        <w:rPr>
          <w:rFonts w:hint="eastAsia" w:ascii="宋体" w:hAnsi="宋体" w:cs="宋体"/>
          <w:sz w:val="24"/>
        </w:rPr>
        <w:t>11.2一方以电子邮件或传真方式发送的通知，应在发送后，随即将原件以挂号邮寄或专人递送给对方。</w:t>
      </w:r>
    </w:p>
    <w:p>
      <w:pPr>
        <w:spacing w:line="360" w:lineRule="auto"/>
        <w:ind w:firstLine="480" w:firstLineChars="200"/>
        <w:contextualSpacing/>
        <w:rPr>
          <w:rFonts w:ascii="宋体" w:hAnsi="宋体" w:cs="宋体"/>
          <w:sz w:val="24"/>
        </w:rPr>
      </w:pPr>
      <w:r>
        <w:rPr>
          <w:rFonts w:hint="eastAsia" w:ascii="宋体" w:hAnsi="宋体" w:cs="宋体"/>
          <w:sz w:val="24"/>
        </w:rPr>
        <w:t>11.3任何一方地址、负责人、联系方式、银行账号等的变更均应自变更之日起</w:t>
      </w:r>
      <w:r>
        <w:rPr>
          <w:rFonts w:hint="eastAsia" w:ascii="宋体" w:hAnsi="宋体" w:cs="宋体"/>
          <w:bCs/>
          <w:sz w:val="24"/>
          <w:u w:val="single"/>
        </w:rPr>
        <w:t>30</w:t>
      </w:r>
      <w:r>
        <w:rPr>
          <w:rFonts w:hint="eastAsia" w:ascii="宋体" w:hAnsi="宋体" w:cs="宋体"/>
          <w:sz w:val="24"/>
        </w:rPr>
        <w:t>日内书面通知对方，否则，变更方应当承担不利后果，并赔偿给对方造成的损失。</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12.保密条款</w:t>
      </w:r>
    </w:p>
    <w:p>
      <w:pPr>
        <w:spacing w:line="360" w:lineRule="auto"/>
        <w:ind w:firstLine="480" w:firstLineChars="200"/>
        <w:contextualSpacing/>
        <w:rPr>
          <w:rFonts w:ascii="宋体" w:hAnsi="宋体" w:cs="宋体"/>
          <w:sz w:val="24"/>
        </w:rPr>
      </w:pPr>
      <w:r>
        <w:rPr>
          <w:rFonts w:hint="eastAsia" w:ascii="宋体" w:hAnsi="宋体" w:cs="宋体"/>
          <w:sz w:val="24"/>
        </w:rPr>
        <w:t>12.1一方由于签署或履行本合同了解、接触或获得到的对方资料、信息均应保守秘密，非经对方书面同意，任何一方不得向第三方泄露；如若泄露，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12.2双方应采取一切合理措施使保密内容免于散发、传播、披露、复制、滥用及被无关人员接触；如出现前述情况，违约方承担由此产生的全部责任，并赔偿守约方因此受到的一切损失；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12.3双方应承诺其与本合同相关人员对触及的保密信息保密，双方各自对其人员就此条款的违约行为承担法律责任。</w:t>
      </w:r>
    </w:p>
    <w:p>
      <w:pPr>
        <w:spacing w:line="360" w:lineRule="auto"/>
        <w:ind w:firstLine="480" w:firstLineChars="200"/>
        <w:contextualSpacing/>
        <w:rPr>
          <w:rFonts w:ascii="宋体" w:hAnsi="宋体" w:cs="宋体"/>
          <w:sz w:val="24"/>
        </w:rPr>
      </w:pPr>
      <w:r>
        <w:rPr>
          <w:rFonts w:hint="eastAsia" w:ascii="宋体" w:hAnsi="宋体" w:cs="宋体"/>
          <w:sz w:val="24"/>
        </w:rPr>
        <w:t>12.4本条规定持续有效，不因本合同解除而失效。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13. 合同生效、其它</w:t>
      </w:r>
    </w:p>
    <w:p>
      <w:pPr>
        <w:spacing w:line="360" w:lineRule="auto"/>
        <w:ind w:firstLine="480" w:firstLineChars="200"/>
        <w:contextualSpacing/>
        <w:rPr>
          <w:rFonts w:ascii="宋体" w:hAnsi="宋体" w:cs="宋体"/>
          <w:sz w:val="24"/>
          <w:lang w:val="en-GB"/>
        </w:rPr>
      </w:pPr>
      <w:r>
        <w:rPr>
          <w:rFonts w:hint="eastAsia" w:ascii="宋体" w:hAnsi="宋体" w:cs="宋体"/>
          <w:sz w:val="24"/>
        </w:rPr>
        <w:t>13.1本合同或与本合同相关的附件经合同双方法定代表人或委托代理人签字并加盖公章后生效；</w:t>
      </w:r>
    </w:p>
    <w:p>
      <w:pPr>
        <w:spacing w:line="360" w:lineRule="auto"/>
        <w:ind w:firstLine="480" w:firstLineChars="200"/>
        <w:contextualSpacing/>
        <w:rPr>
          <w:rFonts w:ascii="宋体" w:hAnsi="宋体" w:cs="宋体"/>
          <w:sz w:val="24"/>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w:t>
      </w:r>
      <w:r>
        <w:rPr>
          <w:rFonts w:hint="eastAsia" w:ascii="宋体" w:hAnsi="宋体" w:cs="宋体"/>
          <w:sz w:val="24"/>
        </w:rPr>
        <w:t>本合同书与合同相关的附件均一式陆份，其中甲方叁份，乙方持叁份，均具有同等法律效力；</w:t>
      </w:r>
    </w:p>
    <w:p>
      <w:pPr>
        <w:spacing w:line="360" w:lineRule="auto"/>
        <w:ind w:firstLine="480" w:firstLineChars="200"/>
        <w:contextualSpacing/>
        <w:rPr>
          <w:rFonts w:ascii="宋体" w:hAnsi="宋体" w:cs="宋体"/>
          <w:sz w:val="24"/>
        </w:rPr>
      </w:pPr>
      <w:r>
        <w:rPr>
          <w:rFonts w:hint="eastAsia" w:ascii="宋体" w:hAnsi="宋体" w:cs="宋体"/>
          <w:sz w:val="24"/>
        </w:rPr>
        <w:t>13.3本合同之附件、补充合同具有与本合同同等的法律效力。除双方在补充合同中特别约定外，补充合同效力优先于本合同，补充合同生效以双方代表签字并加盖公章为准；</w:t>
      </w:r>
    </w:p>
    <w:p>
      <w:pPr>
        <w:spacing w:line="360" w:lineRule="auto"/>
        <w:ind w:firstLine="480" w:firstLineChars="200"/>
        <w:contextualSpacing/>
        <w:rPr>
          <w:rFonts w:ascii="宋体" w:hAnsi="宋体" w:cs="宋体"/>
          <w:sz w:val="24"/>
        </w:rPr>
      </w:pPr>
      <w:r>
        <w:rPr>
          <w:rFonts w:hint="eastAsia" w:ascii="宋体" w:hAnsi="宋体" w:cs="宋体"/>
          <w:sz w:val="24"/>
        </w:rPr>
        <w:t>13.4本合同包含合同双方所有意向，取代双方在此之前与本合同相关的一切口头或书面合同；</w:t>
      </w:r>
    </w:p>
    <w:p>
      <w:pPr>
        <w:spacing w:line="360" w:lineRule="auto"/>
        <w:ind w:firstLine="480" w:firstLineChars="200"/>
        <w:contextualSpacing/>
        <w:rPr>
          <w:rFonts w:ascii="宋体" w:hAnsi="宋体" w:cs="宋体"/>
          <w:sz w:val="24"/>
        </w:rPr>
      </w:pPr>
      <w:r>
        <w:rPr>
          <w:rFonts w:hint="eastAsia" w:ascii="宋体" w:hAnsi="宋体" w:cs="宋体"/>
          <w:sz w:val="24"/>
        </w:rPr>
        <w:t>13.5由乙方为本合同督查考评管理服务-首都城市环境建设管理综合检查项目编制的工作成果所产生的知识产权属于甲方，乙方不得以任何方式将本项目资料的全部或部分复制、传播、转让或以其他方式泄露给其他单位或个人。否则，甲方有权解除合同，乙方应退还全部款项，并应当向甲方支付合同金额10%的赔偿金，违约金不足以弥补甲方全部损失的，乙方应当予以补足。</w:t>
      </w:r>
    </w:p>
    <w:p>
      <w:pPr>
        <w:spacing w:line="360" w:lineRule="auto"/>
        <w:ind w:firstLine="480" w:firstLineChars="200"/>
        <w:contextualSpacing/>
        <w:rPr>
          <w:rFonts w:ascii="宋体" w:hAnsi="宋体" w:cs="宋体"/>
          <w:sz w:val="24"/>
        </w:rPr>
      </w:pPr>
      <w:r>
        <w:rPr>
          <w:rFonts w:hint="eastAsia" w:ascii="宋体" w:hAnsi="宋体" w:cs="宋体"/>
          <w:sz w:val="24"/>
        </w:rPr>
        <w:t>13.6本</w:t>
      </w:r>
      <w:r>
        <w:rPr>
          <w:rFonts w:hint="eastAsia" w:ascii="宋体" w:hAnsi="宋体" w:cs="宋体"/>
          <w:sz w:val="24"/>
          <w:lang w:val="en-GB"/>
        </w:rPr>
        <w:t>合同的章节的标题、目录是为了合同索引方便而设，不影响任何条款的结构或解释。</w:t>
      </w:r>
    </w:p>
    <w:p>
      <w:pPr>
        <w:spacing w:line="360" w:lineRule="auto"/>
        <w:ind w:firstLine="200"/>
        <w:contextualSpacing/>
        <w:rPr>
          <w:rFonts w:ascii="宋体" w:hAnsi="宋体" w:cs="宋体"/>
          <w:b/>
          <w:bCs/>
          <w:color w:val="0070C0"/>
          <w:sz w:val="24"/>
        </w:rPr>
      </w:pPr>
      <w:r>
        <w:rPr>
          <w:rFonts w:hint="eastAsia" w:ascii="宋体" w:hAnsi="宋体" w:cs="宋体"/>
          <w:sz w:val="24"/>
        </w:rPr>
        <w:br w:type="page"/>
      </w:r>
    </w:p>
    <w:p>
      <w:pPr>
        <w:spacing w:line="360" w:lineRule="auto"/>
        <w:jc w:val="center"/>
        <w:outlineLvl w:val="1"/>
        <w:rPr>
          <w:rFonts w:ascii="宋体" w:hAnsi="宋体" w:cs="宋体"/>
          <w:b/>
          <w:sz w:val="24"/>
        </w:rPr>
      </w:pPr>
      <w:r>
        <w:rPr>
          <w:rFonts w:hint="eastAsia" w:ascii="宋体" w:hAnsi="宋体" w:cs="宋体"/>
          <w:b/>
          <w:sz w:val="24"/>
        </w:rPr>
        <w:t>专用条款</w:t>
      </w:r>
    </w:p>
    <w:p>
      <w:pPr>
        <w:spacing w:line="360" w:lineRule="auto"/>
        <w:ind w:firstLine="480" w:firstLineChars="200"/>
        <w:contextualSpacing/>
        <w:rPr>
          <w:rFonts w:ascii="宋体" w:hAnsi="宋体" w:cs="宋体"/>
          <w:sz w:val="24"/>
        </w:rPr>
      </w:pPr>
      <w:r>
        <w:rPr>
          <w:rFonts w:hint="eastAsia" w:ascii="宋体" w:hAnsi="宋体" w:cs="宋体"/>
          <w:sz w:val="24"/>
        </w:rPr>
        <w:t>合同专用条款是合同通用条款的补充和修改。如果两者之间有抵触，应以专用条款为准。专用条款未作约定的，以通用条款为准。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2.项目内容、目标、服务方式、具体要求和实施方案等</w:t>
      </w:r>
    </w:p>
    <w:p>
      <w:pPr>
        <w:snapToGrid w:val="0"/>
        <w:spacing w:line="360" w:lineRule="auto"/>
        <w:ind w:firstLine="482" w:firstLineChars="200"/>
        <w:rPr>
          <w:rFonts w:ascii="宋体" w:hAnsi="宋体" w:cs="宋体"/>
          <w:sz w:val="30"/>
          <w:szCs w:val="30"/>
          <w:u w:val="single"/>
        </w:rPr>
      </w:pPr>
      <w:r>
        <w:rPr>
          <w:rFonts w:hint="eastAsia" w:ascii="宋体" w:hAnsi="宋体" w:cs="宋体"/>
          <w:b/>
          <w:sz w:val="24"/>
        </w:rPr>
        <w:t>2.1项目名称：督查考评管理服务—首都城市环境建设管理社会公众满意度考核评价项目</w:t>
      </w:r>
    </w:p>
    <w:p>
      <w:pPr>
        <w:spacing w:line="360" w:lineRule="auto"/>
        <w:ind w:firstLine="482" w:firstLineChars="200"/>
        <w:contextualSpacing/>
        <w:rPr>
          <w:rFonts w:ascii="宋体" w:hAnsi="宋体" w:cs="宋体"/>
          <w:b/>
          <w:sz w:val="24"/>
          <w:u w:val="single"/>
        </w:rPr>
      </w:pPr>
      <w:r>
        <w:rPr>
          <w:rFonts w:hint="eastAsia" w:ascii="宋体" w:hAnsi="宋体" w:cs="宋体"/>
          <w:b/>
          <w:sz w:val="24"/>
        </w:rPr>
        <w:t>2.2服务地点（范围）及履约期限：</w:t>
      </w:r>
      <w:r>
        <w:rPr>
          <w:rFonts w:hint="eastAsia" w:ascii="宋体" w:hAnsi="宋体" w:cs="宋体"/>
          <w:b/>
          <w:sz w:val="24"/>
          <w:u w:val="single"/>
        </w:rPr>
        <w:t xml:space="preserve"> 北京市16区和经开区，分为四个组。 </w:t>
      </w:r>
    </w:p>
    <w:tbl>
      <w:tblPr>
        <w:tblStyle w:val="52"/>
        <w:tblW w:w="90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481"/>
        <w:gridCol w:w="4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360"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包组号</w:t>
            </w:r>
          </w:p>
        </w:tc>
        <w:tc>
          <w:tcPr>
            <w:tcW w:w="3481"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服务地点（范围）</w:t>
            </w:r>
          </w:p>
        </w:tc>
        <w:tc>
          <w:tcPr>
            <w:tcW w:w="4198" w:type="dxa"/>
            <w:tcBorders>
              <w:tl2br w:val="nil"/>
              <w:tr2bl w:val="nil"/>
            </w:tcBorders>
            <w:shd w:val="clear" w:color="auto" w:fill="EEECE1"/>
            <w:vAlign w:val="center"/>
          </w:tcPr>
          <w:p>
            <w:pPr>
              <w:snapToGrid w:val="0"/>
              <w:spacing w:line="440" w:lineRule="exact"/>
              <w:jc w:val="center"/>
              <w:rPr>
                <w:rFonts w:ascii="宋体" w:hAnsi="宋体" w:cs="宋体"/>
                <w:b/>
                <w:sz w:val="24"/>
              </w:rPr>
            </w:pPr>
            <w:r>
              <w:rPr>
                <w:rFonts w:hint="eastAsia" w:ascii="宋体" w:hAnsi="宋体" w:cs="宋体"/>
                <w:b/>
                <w:sz w:val="24"/>
              </w:rPr>
              <w:t>履行期限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restart"/>
            <w:tcBorders>
              <w:tl2br w:val="nil"/>
              <w:tr2bl w:val="nil"/>
            </w:tcBorders>
            <w:vAlign w:val="center"/>
          </w:tcPr>
          <w:p>
            <w:pPr>
              <w:snapToGrid w:val="0"/>
              <w:spacing w:line="440" w:lineRule="exact"/>
              <w:jc w:val="center"/>
              <w:rPr>
                <w:rFonts w:ascii="宋体" w:hAnsi="宋体" w:cs="宋体"/>
                <w:sz w:val="24"/>
              </w:rPr>
            </w:pPr>
            <w:r>
              <w:rPr>
                <w:rFonts w:hint="eastAsia" w:ascii="宋体" w:hAnsi="宋体" w:cs="宋体"/>
                <w:sz w:val="24"/>
              </w:rPr>
              <w:t>一</w:t>
            </w:r>
          </w:p>
        </w:tc>
        <w:tc>
          <w:tcPr>
            <w:tcW w:w="3481" w:type="dxa"/>
            <w:vMerge w:val="restart"/>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rPr>
              <w:t>核心区和城市副中心+中心城区</w:t>
            </w: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2025年11月至2025年12月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snapToGrid w:val="0"/>
              <w:spacing w:line="440" w:lineRule="exact"/>
              <w:jc w:val="center"/>
              <w:rPr>
                <w:rFonts w:ascii="宋体" w:hAnsi="宋体" w:cs="宋体"/>
                <w:sz w:val="24"/>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2026年4月至2026年6月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2026年10月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3481" w:type="dxa"/>
            <w:vMerge w:val="restart"/>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rPr>
              <w:t>平原新城+生态涵养区</w:t>
            </w:r>
          </w:p>
        </w:tc>
        <w:tc>
          <w:tcPr>
            <w:tcW w:w="4198" w:type="dxa"/>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snapToGrid/>
                <w:spacing w:val="0"/>
                <w:szCs w:val="24"/>
              </w:rPr>
              <w:t>2026年1月至2026年3月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2026年7月至2026年9月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restart"/>
            <w:tcBorders>
              <w:tl2br w:val="nil"/>
              <w:tr2bl w:val="nil"/>
            </w:tcBorders>
            <w:vAlign w:val="center"/>
          </w:tcPr>
          <w:p>
            <w:pPr>
              <w:snapToGrid w:val="0"/>
              <w:spacing w:line="440" w:lineRule="exact"/>
              <w:jc w:val="center"/>
              <w:rPr>
                <w:rFonts w:ascii="宋体" w:hAnsi="宋体" w:cs="宋体"/>
                <w:sz w:val="24"/>
              </w:rPr>
            </w:pPr>
            <w:r>
              <w:rPr>
                <w:rFonts w:hint="eastAsia" w:ascii="宋体" w:hAnsi="宋体" w:cs="宋体"/>
                <w:sz w:val="24"/>
              </w:rPr>
              <w:t>二</w:t>
            </w:r>
          </w:p>
        </w:tc>
        <w:tc>
          <w:tcPr>
            <w:tcW w:w="3481" w:type="dxa"/>
            <w:vMerge w:val="restart"/>
            <w:tcBorders>
              <w:tl2br w:val="nil"/>
              <w:tr2bl w:val="nil"/>
            </w:tcBorders>
            <w:vAlign w:val="center"/>
          </w:tcPr>
          <w:p>
            <w:pPr>
              <w:pStyle w:val="672"/>
              <w:snapToGrid w:val="0"/>
              <w:spacing w:before="0" w:after="0" w:line="440" w:lineRule="exact"/>
              <w:rPr>
                <w:rFonts w:ascii="宋体" w:hAnsi="宋体" w:cs="宋体"/>
                <w:szCs w:val="24"/>
              </w:rPr>
            </w:pPr>
            <w:r>
              <w:rPr>
                <w:rFonts w:hint="eastAsia" w:ascii="宋体" w:hAnsi="宋体" w:cs="宋体"/>
              </w:rPr>
              <w:t>核心区和城市副中心+中心城区</w:t>
            </w:r>
          </w:p>
        </w:tc>
        <w:tc>
          <w:tcPr>
            <w:tcW w:w="4198" w:type="dxa"/>
            <w:tcBorders>
              <w:tl2br w:val="nil"/>
              <w:tr2bl w:val="nil"/>
            </w:tcBorders>
            <w:vAlign w:val="center"/>
          </w:tcPr>
          <w:p>
            <w:pPr>
              <w:pStyle w:val="672"/>
              <w:snapToGrid w:val="0"/>
              <w:spacing w:before="0" w:after="0" w:line="440" w:lineRule="exact"/>
              <w:rPr>
                <w:rFonts w:ascii="宋体" w:hAnsi="宋体" w:cs="宋体"/>
                <w:snapToGrid/>
                <w:spacing w:val="0"/>
                <w:szCs w:val="24"/>
              </w:rPr>
            </w:pPr>
            <w:r>
              <w:rPr>
                <w:rFonts w:hint="eastAsia" w:ascii="宋体" w:hAnsi="宋体" w:cs="宋体"/>
                <w:snapToGrid/>
                <w:spacing w:val="0"/>
                <w:szCs w:val="24"/>
              </w:rPr>
              <w:t>2026年1月至2026年3月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snapToGrid w:val="0"/>
              <w:spacing w:line="440" w:lineRule="exact"/>
              <w:jc w:val="center"/>
              <w:rPr>
                <w:rFonts w:ascii="宋体" w:hAnsi="宋体" w:cs="宋体"/>
                <w:sz w:val="24"/>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2026年7月至2026年9月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snapToGrid w:val="0"/>
              <w:spacing w:line="440" w:lineRule="exact"/>
              <w:jc w:val="center"/>
              <w:rPr>
                <w:rFonts w:ascii="宋体" w:hAnsi="宋体" w:cs="宋体"/>
                <w:sz w:val="24"/>
              </w:rPr>
            </w:pPr>
          </w:p>
        </w:tc>
        <w:tc>
          <w:tcPr>
            <w:tcW w:w="3481"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平原新城+生态涵养区</w:t>
            </w: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2025年11月至2025年12月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snapToGrid w:val="0"/>
              <w:spacing w:line="440" w:lineRule="exact"/>
              <w:jc w:val="center"/>
              <w:rPr>
                <w:rFonts w:ascii="宋体" w:hAnsi="宋体" w:cs="宋体"/>
                <w:sz w:val="24"/>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2026年4月至2026年6月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360" w:type="dxa"/>
            <w:vMerge w:val="continue"/>
            <w:tcBorders>
              <w:tl2br w:val="nil"/>
              <w:tr2bl w:val="nil"/>
            </w:tcBorders>
            <w:vAlign w:val="center"/>
          </w:tcPr>
          <w:p>
            <w:pPr>
              <w:snapToGrid w:val="0"/>
              <w:spacing w:line="440" w:lineRule="exact"/>
              <w:jc w:val="center"/>
              <w:rPr>
                <w:rFonts w:ascii="宋体" w:hAnsi="宋体" w:cs="宋体"/>
                <w:sz w:val="24"/>
              </w:rPr>
            </w:pPr>
          </w:p>
        </w:tc>
        <w:tc>
          <w:tcPr>
            <w:tcW w:w="3481"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4198" w:type="dxa"/>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2026年10月</w:t>
            </w:r>
          </w:p>
        </w:tc>
      </w:tr>
    </w:tbl>
    <w:p>
      <w:pPr>
        <w:spacing w:line="360" w:lineRule="auto"/>
        <w:ind w:firstLine="482" w:firstLineChars="200"/>
        <w:contextualSpacing/>
        <w:rPr>
          <w:rFonts w:ascii="宋体" w:hAnsi="宋体" w:cs="宋体"/>
          <w:b/>
          <w:sz w:val="24"/>
          <w:u w:val="single"/>
        </w:rPr>
      </w:pPr>
    </w:p>
    <w:tbl>
      <w:tblPr>
        <w:tblStyle w:val="52"/>
        <w:tblW w:w="89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5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976" w:type="dxa"/>
            <w:gridSpan w:val="2"/>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b/>
              </w:rPr>
              <w:t>服务地点（范围）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核心区和城市副中心</w:t>
            </w: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东城区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西城区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napToGrid w:val="0"/>
                <w:spacing w:val="20"/>
                <w:sz w:val="24"/>
                <w:szCs w:val="20"/>
              </w:rPr>
            </w:pPr>
            <w:r>
              <w:rPr>
                <w:rFonts w:hint="eastAsia" w:ascii="宋体" w:hAnsi="宋体" w:cs="宋体"/>
                <w:sz w:val="24"/>
              </w:rPr>
              <w:t>通州区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中心城区</w:t>
            </w: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朝阳区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海淀区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丰台区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pStyle w:val="672"/>
              <w:snapToGrid w:val="0"/>
              <w:spacing w:before="0" w:after="0" w:line="440" w:lineRule="exact"/>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石景山区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平原新城</w:t>
            </w: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房山区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顺义区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昌平区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大兴区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北京经济技术开发区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restart"/>
            <w:tcBorders>
              <w:tl2br w:val="nil"/>
              <w:tr2bl w:val="nil"/>
            </w:tcBorders>
            <w:vAlign w:val="center"/>
          </w:tcPr>
          <w:p>
            <w:pPr>
              <w:pStyle w:val="672"/>
              <w:snapToGrid w:val="0"/>
              <w:spacing w:before="0" w:after="0" w:line="440" w:lineRule="exact"/>
              <w:rPr>
                <w:rFonts w:ascii="宋体" w:hAnsi="宋体" w:cs="宋体"/>
              </w:rPr>
            </w:pPr>
            <w:r>
              <w:rPr>
                <w:rFonts w:hint="eastAsia" w:ascii="宋体" w:hAnsi="宋体" w:cs="宋体"/>
              </w:rPr>
              <w:t>生态涵养区</w:t>
            </w: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门头沟区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怀柔区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平谷区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密云区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612" w:type="dxa"/>
            <w:vMerge w:val="continue"/>
            <w:tcBorders>
              <w:tl2br w:val="nil"/>
              <w:tr2bl w:val="nil"/>
            </w:tcBorders>
            <w:vAlign w:val="center"/>
          </w:tcPr>
          <w:p>
            <w:pPr>
              <w:snapToGrid w:val="0"/>
              <w:spacing w:line="440" w:lineRule="exact"/>
              <w:ind w:left="142"/>
              <w:jc w:val="center"/>
              <w:rPr>
                <w:rFonts w:ascii="宋体" w:hAnsi="宋体" w:cs="宋体"/>
                <w:sz w:val="24"/>
              </w:rPr>
            </w:pPr>
          </w:p>
        </w:tc>
        <w:tc>
          <w:tcPr>
            <w:tcW w:w="5364" w:type="dxa"/>
            <w:tcBorders>
              <w:tl2br w:val="nil"/>
              <w:tr2bl w:val="nil"/>
            </w:tcBorders>
            <w:vAlign w:val="center"/>
          </w:tcPr>
          <w:p>
            <w:pPr>
              <w:snapToGrid w:val="0"/>
              <w:spacing w:line="440" w:lineRule="exact"/>
              <w:ind w:left="142"/>
              <w:jc w:val="center"/>
              <w:rPr>
                <w:rFonts w:ascii="宋体" w:hAnsi="宋体" w:cs="宋体"/>
                <w:sz w:val="24"/>
              </w:rPr>
            </w:pPr>
            <w:r>
              <w:rPr>
                <w:rFonts w:hint="eastAsia" w:ascii="宋体" w:hAnsi="宋体" w:cs="宋体"/>
                <w:sz w:val="24"/>
              </w:rPr>
              <w:t>延庆区</w:t>
            </w:r>
          </w:p>
        </w:tc>
      </w:tr>
    </w:tbl>
    <w:p>
      <w:pPr>
        <w:pStyle w:val="2"/>
        <w:ind w:firstLine="480"/>
      </w:pPr>
    </w:p>
    <w:p>
      <w:pPr>
        <w:spacing w:line="360" w:lineRule="auto"/>
        <w:ind w:firstLine="482" w:firstLineChars="200"/>
        <w:contextualSpacing/>
        <w:rPr>
          <w:rFonts w:ascii="宋体" w:hAnsi="宋体" w:cs="宋体"/>
          <w:b/>
          <w:sz w:val="24"/>
        </w:rPr>
      </w:pPr>
      <w:r>
        <w:rPr>
          <w:rFonts w:hint="eastAsia" w:ascii="宋体" w:hAnsi="宋体" w:cs="宋体"/>
          <w:b/>
          <w:sz w:val="24"/>
        </w:rPr>
        <w:t>2.3乙方取得项目方式：</w:t>
      </w:r>
      <w:r>
        <w:rPr>
          <w:rFonts w:hint="eastAsia" w:ascii="宋体" w:hAnsi="宋体" w:cs="宋体"/>
          <w:b/>
          <w:sz w:val="24"/>
        </w:rPr>
        <w:sym w:font="Wingdings 2" w:char="0052"/>
      </w:r>
      <w:r>
        <w:rPr>
          <w:rFonts w:hint="eastAsia" w:ascii="宋体" w:hAnsi="宋体" w:cs="宋体"/>
          <w:b/>
          <w:sz w:val="24"/>
        </w:rPr>
        <w:t xml:space="preserve">公开招标 □遴选 </w:t>
      </w:r>
      <w:r>
        <w:rPr>
          <w:rFonts w:hint="eastAsia" w:ascii="宋体" w:hAnsi="宋体" w:cs="宋体"/>
          <w:b/>
          <w:sz w:val="24"/>
        </w:rPr>
        <w:sym w:font="Wingdings 2" w:char="00A3"/>
      </w:r>
      <w:r>
        <w:rPr>
          <w:rFonts w:hint="eastAsia" w:ascii="宋体" w:hAnsi="宋体" w:cs="宋体"/>
          <w:b/>
          <w:sz w:val="24"/>
        </w:rPr>
        <w:t>公开征集 □直接委托。</w:t>
      </w:r>
    </w:p>
    <w:p>
      <w:pPr>
        <w:spacing w:line="360" w:lineRule="auto"/>
        <w:ind w:firstLine="482" w:firstLineChars="200"/>
        <w:contextualSpacing/>
        <w:rPr>
          <w:rFonts w:ascii="宋体" w:hAnsi="宋体" w:cs="宋体"/>
          <w:b/>
          <w:sz w:val="24"/>
        </w:rPr>
      </w:pPr>
      <w:r>
        <w:rPr>
          <w:rFonts w:hint="eastAsia" w:ascii="宋体" w:hAnsi="宋体" w:cs="宋体"/>
          <w:b/>
          <w:sz w:val="24"/>
        </w:rPr>
        <w:t>2.4项目概况</w:t>
      </w:r>
    </w:p>
    <w:p>
      <w:pPr>
        <w:pStyle w:val="2"/>
        <w:ind w:firstLine="480"/>
      </w:pPr>
      <w:r>
        <w:rPr>
          <w:rFonts w:hint="eastAsia" w:ascii="宋体" w:hAnsi="宋体" w:cs="宋体"/>
          <w:shd w:val="clear" w:color="auto" w:fill="FFFFFF"/>
        </w:rPr>
        <w:t>为深入贯彻习近平总书记对北京重要讲话精神，落实《北京城市总体规划(2016年-2035年)》，加快推动形成有效的超大城市治理体系，北京市城市管理委员会拟开展2026年</w:t>
      </w:r>
      <w:r>
        <w:rPr>
          <w:rFonts w:hint="eastAsia" w:ascii="宋体" w:hAnsi="宋体" w:cs="宋体"/>
        </w:rPr>
        <w:t>首都城市环境建设管理社会公众满意度调查工作</w:t>
      </w:r>
      <w:r>
        <w:rPr>
          <w:rFonts w:hint="eastAsia" w:ascii="宋体" w:hAnsi="宋体" w:cs="宋体"/>
          <w:shd w:val="clear" w:color="auto" w:fill="FFFFFF"/>
        </w:rPr>
        <w:t>，包括社会公众满意度问卷调查和环境建设管理问题抽查，充分了解首都市民对城市环境建设管理的满意度、意见和建议等，推动群众关注的城市管理热点问题、难点问题、焦点问题有效解决，实现共建共治共享，不断提升城市管理水平。</w:t>
      </w:r>
    </w:p>
    <w:p>
      <w:pPr>
        <w:spacing w:line="360" w:lineRule="auto"/>
        <w:ind w:firstLine="482" w:firstLineChars="200"/>
        <w:contextualSpacing/>
        <w:jc w:val="left"/>
        <w:rPr>
          <w:rFonts w:ascii="宋体" w:hAnsi="宋体" w:cs="宋体"/>
          <w:b/>
          <w:bCs/>
          <w:sz w:val="24"/>
        </w:rPr>
      </w:pPr>
      <w:r>
        <w:rPr>
          <w:rFonts w:hint="eastAsia" w:ascii="宋体" w:hAnsi="宋体" w:cs="宋体"/>
          <w:b/>
          <w:bCs/>
          <w:sz w:val="24"/>
        </w:rPr>
        <w:t>2.5项目要求</w:t>
      </w:r>
    </w:p>
    <w:p>
      <w:pPr>
        <w:numPr>
          <w:ilvl w:val="255"/>
          <w:numId w:val="0"/>
        </w:numPr>
        <w:autoSpaceDE w:val="0"/>
        <w:autoSpaceDN w:val="0"/>
        <w:snapToGrid w:val="0"/>
        <w:spacing w:line="360" w:lineRule="auto"/>
        <w:ind w:left="200"/>
        <w:rPr>
          <w:rFonts w:ascii="宋体" w:hAnsi="宋体" w:cs="宋体"/>
          <w:sz w:val="24"/>
        </w:rPr>
      </w:pPr>
      <w:r>
        <w:rPr>
          <w:rFonts w:hint="eastAsia" w:ascii="宋体" w:hAnsi="宋体" w:cs="宋体"/>
          <w:sz w:val="24"/>
        </w:rPr>
        <w:t>2.5.1</w:t>
      </w:r>
      <w:r>
        <w:rPr>
          <w:rFonts w:hint="eastAsia" w:ascii="宋体" w:hAnsi="宋体" w:cs="宋体"/>
          <w:sz w:val="24"/>
          <w:lang w:eastAsia="zh-TW"/>
        </w:rPr>
        <w:t>实施原则</w:t>
      </w:r>
      <w:r>
        <w:rPr>
          <w:rFonts w:hint="eastAsia" w:ascii="宋体" w:hAnsi="宋体" w:cs="宋体"/>
          <w:sz w:val="24"/>
        </w:rPr>
        <w:t>：</w:t>
      </w:r>
    </w:p>
    <w:p>
      <w:pPr>
        <w:autoSpaceDE w:val="0"/>
        <w:autoSpaceDN w:val="0"/>
        <w:snapToGrid w:val="0"/>
        <w:spacing w:line="360" w:lineRule="auto"/>
        <w:ind w:left="200"/>
        <w:rPr>
          <w:rFonts w:ascii="宋体" w:hAnsi="宋体" w:cs="宋体"/>
          <w:sz w:val="24"/>
        </w:rPr>
      </w:pPr>
      <w:r>
        <w:rPr>
          <w:rFonts w:hint="eastAsia" w:ascii="宋体" w:hAnsi="宋体" w:cs="宋体"/>
          <w:spacing w:val="1"/>
          <w:sz w:val="24"/>
        </w:rPr>
        <w:t>投标人遵循“科学严谨、突出</w:t>
      </w:r>
      <w:r>
        <w:rPr>
          <w:rFonts w:hint="eastAsia" w:ascii="宋体" w:hAnsi="宋体" w:cs="宋体"/>
          <w:sz w:val="24"/>
        </w:rPr>
        <w:t>重点、专业高效、协调推进”的原则开展调查</w:t>
      </w:r>
      <w:r>
        <w:rPr>
          <w:rFonts w:hint="eastAsia" w:ascii="宋体" w:hAnsi="宋体" w:cs="宋体"/>
          <w:spacing w:val="-8"/>
          <w:sz w:val="24"/>
        </w:rPr>
        <w:t>研</w:t>
      </w:r>
      <w:r>
        <w:rPr>
          <w:rFonts w:hint="eastAsia" w:ascii="宋体" w:hAnsi="宋体" w:cs="宋体"/>
          <w:spacing w:val="-7"/>
          <w:sz w:val="24"/>
        </w:rPr>
        <w:t>究工作。</w:t>
      </w:r>
    </w:p>
    <w:p>
      <w:pPr>
        <w:numPr>
          <w:ilvl w:val="255"/>
          <w:numId w:val="0"/>
        </w:numPr>
        <w:autoSpaceDE w:val="0"/>
        <w:autoSpaceDN w:val="0"/>
        <w:snapToGrid w:val="0"/>
        <w:spacing w:line="360" w:lineRule="auto"/>
        <w:ind w:left="200"/>
        <w:rPr>
          <w:rFonts w:ascii="宋体" w:hAnsi="宋体" w:cs="宋体"/>
          <w:sz w:val="24"/>
        </w:rPr>
      </w:pPr>
      <w:r>
        <w:rPr>
          <w:rFonts w:hint="eastAsia" w:ascii="宋体" w:hAnsi="宋体" w:cs="宋体"/>
          <w:spacing w:val="-8"/>
          <w:sz w:val="24"/>
        </w:rPr>
        <w:t>2.5.1.1工作方式：</w:t>
      </w:r>
    </w:p>
    <w:p>
      <w:pPr>
        <w:tabs>
          <w:tab w:val="left" w:pos="851"/>
        </w:tabs>
        <w:autoSpaceDE w:val="0"/>
        <w:autoSpaceDN w:val="0"/>
        <w:snapToGrid w:val="0"/>
        <w:spacing w:line="360" w:lineRule="auto"/>
        <w:ind w:firstLine="480" w:firstLineChars="200"/>
        <w:rPr>
          <w:rFonts w:ascii="宋体" w:hAnsi="宋体" w:cs="宋体"/>
          <w:sz w:val="24"/>
        </w:rPr>
      </w:pPr>
      <w:r>
        <w:rPr>
          <w:rFonts w:hint="eastAsia" w:ascii="宋体" w:hAnsi="宋体" w:cs="宋体"/>
          <w:sz w:val="24"/>
          <w:shd w:val="clear" w:color="auto" w:fill="FFFFFF"/>
        </w:rPr>
        <w:t>（1）文献研究：设计调查问卷、调查指标和撰写分析报告时，需参考有关城市环境建设的各种文献(如专题调研资料、统计资料等)，进行系统而有针对性地收集、整理、分析研</w:t>
      </w:r>
      <w:r>
        <w:rPr>
          <w:rFonts w:hint="eastAsia" w:ascii="宋体" w:hAnsi="宋体" w:cs="宋体"/>
          <w:spacing w:val="-5"/>
          <w:sz w:val="24"/>
        </w:rPr>
        <w:t>究。</w:t>
      </w:r>
    </w:p>
    <w:p>
      <w:pPr>
        <w:tabs>
          <w:tab w:val="left" w:pos="851"/>
        </w:tabs>
        <w:autoSpaceDE w:val="0"/>
        <w:autoSpaceDN w:val="0"/>
        <w:snapToGrid w:val="0"/>
        <w:spacing w:line="360" w:lineRule="auto"/>
        <w:ind w:firstLine="492" w:firstLineChars="200"/>
        <w:rPr>
          <w:rFonts w:ascii="宋体" w:hAnsi="宋体" w:cs="宋体"/>
          <w:sz w:val="24"/>
        </w:rPr>
      </w:pPr>
      <w:r>
        <w:rPr>
          <w:rFonts w:hint="eastAsia" w:ascii="宋体" w:hAnsi="宋体" w:cs="宋体"/>
          <w:spacing w:val="3"/>
          <w:sz w:val="24"/>
        </w:rPr>
        <w:t>（2）专家评审：调查工作方案和分析报告需经行业专家评审，保证调查工作的专业性</w:t>
      </w:r>
      <w:r>
        <w:rPr>
          <w:rFonts w:hint="eastAsia" w:ascii="宋体" w:hAnsi="宋体" w:cs="宋体"/>
          <w:spacing w:val="-2"/>
          <w:sz w:val="24"/>
        </w:rPr>
        <w:t>。</w:t>
      </w:r>
    </w:p>
    <w:p>
      <w:pPr>
        <w:spacing w:line="360" w:lineRule="auto"/>
        <w:ind w:firstLine="492" w:firstLineChars="200"/>
        <w:rPr>
          <w:rFonts w:ascii="宋体" w:hAnsi="宋体" w:cs="宋体"/>
          <w:sz w:val="24"/>
        </w:rPr>
      </w:pPr>
      <w:r>
        <w:rPr>
          <w:rFonts w:hint="eastAsia" w:ascii="宋体" w:hAnsi="宋体" w:cs="宋体"/>
          <w:spacing w:val="3"/>
          <w:sz w:val="24"/>
        </w:rPr>
        <w:t>（3）抽样调查：根据</w:t>
      </w:r>
      <w:r>
        <w:rPr>
          <w:rFonts w:hint="eastAsia" w:ascii="宋体" w:hAnsi="宋体" w:cs="宋体"/>
          <w:spacing w:val="-6"/>
          <w:sz w:val="24"/>
        </w:rPr>
        <w:t>人口规模确定样</w:t>
      </w:r>
      <w:r>
        <w:rPr>
          <w:rFonts w:hint="eastAsia" w:ascii="宋体" w:hAnsi="宋体" w:cs="宋体"/>
          <w:spacing w:val="-3"/>
          <w:sz w:val="24"/>
        </w:rPr>
        <w:t>本量，样本结构应与各区的常住人口结构相匹配</w:t>
      </w:r>
      <w:r>
        <w:rPr>
          <w:rFonts w:hint="eastAsia" w:ascii="宋体" w:hAnsi="宋体" w:cs="宋体"/>
          <w:spacing w:val="-6"/>
          <w:sz w:val="24"/>
        </w:rPr>
        <w:t>。调查方式包括但不限于实地拦访、电话调查、网络调查等。</w:t>
      </w:r>
      <w:r>
        <w:rPr>
          <w:rFonts w:hint="eastAsia" w:ascii="宋体" w:hAnsi="宋体" w:cs="宋体"/>
          <w:spacing w:val="3"/>
          <w:sz w:val="24"/>
        </w:rPr>
        <w:t>确保抽样具有足够代表性，保证调查结果的科学有效性。</w:t>
      </w:r>
    </w:p>
    <w:p>
      <w:pPr>
        <w:tabs>
          <w:tab w:val="left" w:pos="851"/>
        </w:tabs>
        <w:autoSpaceDE w:val="0"/>
        <w:autoSpaceDN w:val="0"/>
        <w:snapToGrid w:val="0"/>
        <w:spacing w:line="360" w:lineRule="auto"/>
        <w:ind w:firstLine="492" w:firstLineChars="200"/>
        <w:rPr>
          <w:rFonts w:ascii="宋体" w:hAnsi="宋体" w:cs="宋体"/>
          <w:spacing w:val="3"/>
          <w:sz w:val="24"/>
        </w:rPr>
      </w:pPr>
      <w:r>
        <w:rPr>
          <w:rFonts w:hint="eastAsia" w:ascii="宋体" w:hAnsi="宋体" w:cs="宋体"/>
          <w:spacing w:val="3"/>
          <w:sz w:val="24"/>
        </w:rPr>
        <w:t>（4）环境问题抽查：结合首都环境建设管理当月台账上的环境问题，选取有代表性的区域和点位，开展环境问题抽查检查，协助完成每月分析报告。</w:t>
      </w:r>
    </w:p>
    <w:p>
      <w:pPr>
        <w:numPr>
          <w:ilvl w:val="255"/>
          <w:numId w:val="0"/>
        </w:numPr>
        <w:autoSpaceDE w:val="0"/>
        <w:autoSpaceDN w:val="0"/>
        <w:snapToGrid w:val="0"/>
        <w:spacing w:line="360" w:lineRule="auto"/>
        <w:ind w:left="200"/>
        <w:rPr>
          <w:rFonts w:ascii="宋体" w:hAnsi="宋体" w:cs="宋体"/>
          <w:sz w:val="24"/>
          <w:lang w:eastAsia="zh-TW"/>
        </w:rPr>
      </w:pPr>
      <w:r>
        <w:rPr>
          <w:rFonts w:hint="eastAsia" w:ascii="宋体" w:hAnsi="宋体" w:cs="宋体"/>
          <w:sz w:val="24"/>
        </w:rPr>
        <w:t>2.5.1.2工作</w:t>
      </w:r>
      <w:r>
        <w:rPr>
          <w:rFonts w:hint="eastAsia" w:ascii="宋体" w:hAnsi="宋体" w:cs="宋体"/>
          <w:sz w:val="24"/>
          <w:lang w:eastAsia="zh-TW"/>
        </w:rPr>
        <w:t>内容</w:t>
      </w:r>
      <w:r>
        <w:rPr>
          <w:rFonts w:hint="eastAsia" w:ascii="宋体" w:hAnsi="宋体" w:cs="宋体"/>
          <w:sz w:val="24"/>
        </w:rPr>
        <w:t>：</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（1）根据工作需要，制定工作计划和工作方案，明确调满意度查和环境问题抽查方法、范围、对象、指标、研究人员配置、数据采集流程、实施时间、抽样表、数据分析工作等。</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（2）对调查和环境抽查人员进行专业的业务培训。</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（3）调查和环境抽查按月开展，每天进行，并根据首都城市环境建设管理重点工作、综合检查提供的线索开展针对性调查和抽查。</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（4）按季度汇总调查数据，数据范围为上季度末月21日至本季度末月20日，形成专业、科学的季度、半年度和年度数据分析报告。按月汇总环境抽查情况，形成月度抽查报告。</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（5）根据工作需要，提供专项任务等其他相关业务支撑。</w:t>
      </w:r>
    </w:p>
    <w:p>
      <w:pPr>
        <w:numPr>
          <w:ilvl w:val="255"/>
          <w:numId w:val="0"/>
        </w:numPr>
        <w:autoSpaceDE w:val="0"/>
        <w:autoSpaceDN w:val="0"/>
        <w:snapToGrid w:val="0"/>
        <w:spacing w:line="360" w:lineRule="auto"/>
        <w:ind w:left="200"/>
        <w:rPr>
          <w:rFonts w:ascii="宋体" w:hAnsi="宋体" w:cs="宋体"/>
          <w:sz w:val="24"/>
          <w:shd w:val="clear" w:color="auto" w:fill="FFFFFF"/>
        </w:rPr>
      </w:pPr>
      <w:r>
        <w:rPr>
          <w:rFonts w:hint="eastAsia" w:ascii="宋体" w:hAnsi="宋体" w:cs="宋体"/>
          <w:sz w:val="24"/>
          <w:shd w:val="clear" w:color="auto" w:fill="FFFFFF"/>
        </w:rPr>
        <w:t>2.5.1.3工作范围：</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调查对象：北京市16个区和北京经济技术开发区年龄、居住1年及以上的城乡居民，包括户籍人口和外地在京常住人口。需对周边环境建设管理状况较为熟悉，能够对周边环境状况给予较为符合实际的评价；需具备良好的表达能力，能够独立正确表达自己的想法和意见；需涵盖不同年龄、性别、文化程度、收入水平的群体，对不同特征的人群进行配额控制，以便科学地反映城市环境建设管理情况。</w:t>
      </w:r>
    </w:p>
    <w:p>
      <w:pPr>
        <w:tabs>
          <w:tab w:val="left" w:pos="851"/>
        </w:tabs>
        <w:autoSpaceDE w:val="0"/>
        <w:autoSpaceDN w:val="0"/>
        <w:snapToGrid w:val="0"/>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（2）调查范围：北京市行政辖区范围内。</w:t>
      </w:r>
    </w:p>
    <w:p>
      <w:pPr>
        <w:numPr>
          <w:ilvl w:val="255"/>
          <w:numId w:val="0"/>
        </w:numPr>
        <w:autoSpaceDE w:val="0"/>
        <w:autoSpaceDN w:val="0"/>
        <w:snapToGrid w:val="0"/>
        <w:spacing w:line="360" w:lineRule="auto"/>
        <w:ind w:left="200"/>
        <w:rPr>
          <w:rFonts w:ascii="宋体" w:hAnsi="宋体" w:cs="宋体"/>
          <w:sz w:val="24"/>
        </w:rPr>
      </w:pPr>
      <w:r>
        <w:rPr>
          <w:rFonts w:hint="eastAsia" w:ascii="宋体" w:hAnsi="宋体" w:cs="宋体"/>
          <w:spacing w:val="-8"/>
          <w:sz w:val="24"/>
        </w:rPr>
        <w:t>2.5.1.4质量控制：</w:t>
      </w:r>
    </w:p>
    <w:p>
      <w:pPr>
        <w:spacing w:line="360" w:lineRule="auto"/>
        <w:ind w:left="22" w:right="8" w:firstLine="481"/>
        <w:rPr>
          <w:rFonts w:ascii="宋体" w:hAnsi="宋体" w:cs="宋体"/>
          <w:spacing w:val="-7"/>
          <w:sz w:val="24"/>
        </w:rPr>
      </w:pPr>
      <w:r>
        <w:rPr>
          <w:rFonts w:hint="eastAsia" w:ascii="宋体" w:hAnsi="宋体" w:cs="宋体"/>
          <w:spacing w:val="-12"/>
          <w:sz w:val="24"/>
        </w:rPr>
        <w:t>投标</w:t>
      </w:r>
      <w:r>
        <w:rPr>
          <w:rFonts w:hint="eastAsia" w:ascii="宋体" w:hAnsi="宋体" w:cs="宋体"/>
          <w:spacing w:val="-9"/>
          <w:sz w:val="24"/>
        </w:rPr>
        <w:t>人</w:t>
      </w:r>
      <w:r>
        <w:rPr>
          <w:rFonts w:hint="eastAsia" w:ascii="宋体" w:hAnsi="宋体" w:cs="宋体"/>
          <w:spacing w:val="-6"/>
          <w:sz w:val="24"/>
        </w:rPr>
        <w:t>需设计严格的质量控制和监督方案，</w:t>
      </w:r>
      <w:r>
        <w:rPr>
          <w:rFonts w:hint="eastAsia" w:ascii="宋体" w:hAnsi="宋体" w:cs="宋体"/>
          <w:spacing w:val="-9"/>
          <w:sz w:val="24"/>
        </w:rPr>
        <w:t>并建立科学、可操作的质量控制方案，确保调查问卷的有效性和</w:t>
      </w:r>
      <w:r>
        <w:rPr>
          <w:rFonts w:hint="eastAsia" w:ascii="宋体" w:hAnsi="宋体" w:cs="宋体"/>
          <w:spacing w:val="-7"/>
          <w:sz w:val="24"/>
        </w:rPr>
        <w:t>代表性，同时保证检查问题能较为客观地反映区域环境特征。</w:t>
      </w:r>
    </w:p>
    <w:p>
      <w:pPr>
        <w:spacing w:line="360" w:lineRule="auto"/>
        <w:ind w:left="22" w:right="8" w:firstLine="481"/>
        <w:rPr>
          <w:rFonts w:ascii="宋体" w:hAnsi="宋体" w:cs="宋体"/>
          <w:spacing w:val="-12"/>
          <w:sz w:val="24"/>
        </w:rPr>
      </w:pPr>
      <w:r>
        <w:rPr>
          <w:rFonts w:hint="eastAsia" w:ascii="宋体" w:hAnsi="宋体" w:cs="宋体"/>
          <w:spacing w:val="-12"/>
          <w:sz w:val="24"/>
        </w:rPr>
        <w:t>满意度调查全市报告需由权威统计部门主导分析编写（最低满足半年报告及全年报告）。</w:t>
      </w:r>
    </w:p>
    <w:p>
      <w:pPr>
        <w:spacing w:line="360" w:lineRule="auto"/>
        <w:ind w:firstLine="482" w:firstLineChars="200"/>
        <w:contextualSpacing/>
        <w:jc w:val="left"/>
        <w:rPr>
          <w:rFonts w:ascii="宋体" w:hAnsi="宋体" w:cs="宋体"/>
          <w:b/>
          <w:bCs/>
          <w:sz w:val="24"/>
        </w:rPr>
      </w:pPr>
      <w:r>
        <w:rPr>
          <w:rFonts w:hint="eastAsia" w:ascii="宋体" w:hAnsi="宋体" w:cs="宋体"/>
          <w:b/>
          <w:bCs/>
          <w:sz w:val="24"/>
        </w:rPr>
        <w:t>2.6项目成果</w:t>
      </w:r>
      <w:r>
        <w:rPr>
          <w:rFonts w:hint="eastAsia" w:ascii="宋体" w:hAnsi="宋体" w:cs="宋体"/>
          <w:sz w:val="24"/>
        </w:rPr>
        <w:t>（第一包、第二包任务量基本相同）</w:t>
      </w:r>
    </w:p>
    <w:p>
      <w:pPr>
        <w:spacing w:line="360" w:lineRule="auto"/>
        <w:ind w:left="22" w:right="8" w:firstLine="481"/>
        <w:rPr>
          <w:rFonts w:ascii="宋体" w:hAnsi="宋体" w:cs="宋体"/>
          <w:spacing w:val="-12"/>
          <w:sz w:val="24"/>
        </w:rPr>
      </w:pPr>
      <w:r>
        <w:rPr>
          <w:rFonts w:hint="eastAsia" w:ascii="宋体" w:hAnsi="宋体" w:cs="宋体"/>
          <w:spacing w:val="-12"/>
          <w:sz w:val="24"/>
        </w:rPr>
        <w:t>（1）有效调查样本</w:t>
      </w:r>
      <w:r>
        <w:rPr>
          <w:rFonts w:hint="eastAsia" w:ascii="宋体" w:hAnsi="宋体" w:cs="宋体"/>
          <w:sz w:val="24"/>
          <w:shd w:val="clear" w:color="auto" w:fill="FFFFFF"/>
        </w:rPr>
        <w:t>（</w:t>
      </w:r>
      <w:r>
        <w:rPr>
          <w:rFonts w:hint="eastAsia" w:ascii="宋体" w:hAnsi="宋体" w:cs="宋体"/>
          <w:sz w:val="24"/>
        </w:rPr>
        <w:t>两包合计</w:t>
      </w:r>
      <w:r>
        <w:rPr>
          <w:rFonts w:hint="eastAsia" w:ascii="宋体" w:hAnsi="宋体" w:cs="宋体"/>
          <w:sz w:val="24"/>
          <w:shd w:val="clear" w:color="auto" w:fill="FFFFFF"/>
        </w:rPr>
        <w:t>）</w:t>
      </w:r>
      <w:r>
        <w:rPr>
          <w:rFonts w:hint="eastAsia" w:ascii="宋体" w:hAnsi="宋体" w:cs="宋体"/>
          <w:spacing w:val="-12"/>
          <w:sz w:val="24"/>
        </w:rPr>
        <w:t>：样本量需满足每区和全市调查统计需要，并不少于5777个/月/全市，并且每包不少于2889个/月，需要电子化保存每份调查问卷。</w:t>
      </w:r>
    </w:p>
    <w:p>
      <w:pPr>
        <w:spacing w:line="360" w:lineRule="auto"/>
        <w:ind w:left="22" w:right="8" w:firstLine="481"/>
        <w:rPr>
          <w:rFonts w:ascii="宋体" w:hAnsi="宋体" w:cs="宋体"/>
          <w:spacing w:val="-12"/>
          <w:sz w:val="24"/>
        </w:rPr>
      </w:pPr>
      <w:r>
        <w:rPr>
          <w:rFonts w:hint="eastAsia" w:ascii="宋体" w:hAnsi="宋体" w:cs="宋体"/>
          <w:spacing w:val="-12"/>
          <w:sz w:val="24"/>
        </w:rPr>
        <w:t>（2）有效环境建设管理抽查环境问题台账</w:t>
      </w:r>
      <w:r>
        <w:rPr>
          <w:rFonts w:hint="eastAsia" w:ascii="宋体" w:hAnsi="宋体" w:cs="宋体"/>
          <w:sz w:val="24"/>
          <w:shd w:val="clear" w:color="auto" w:fill="FFFFFF"/>
        </w:rPr>
        <w:t>（</w:t>
      </w:r>
      <w:r>
        <w:rPr>
          <w:rFonts w:hint="eastAsia" w:ascii="宋体" w:hAnsi="宋体" w:cs="宋体"/>
          <w:sz w:val="24"/>
        </w:rPr>
        <w:t>两包合计</w:t>
      </w:r>
      <w:r>
        <w:rPr>
          <w:rFonts w:hint="eastAsia" w:ascii="宋体" w:hAnsi="宋体" w:cs="宋体"/>
          <w:sz w:val="24"/>
          <w:shd w:val="clear" w:color="auto" w:fill="FFFFFF"/>
        </w:rPr>
        <w:t>）</w:t>
      </w:r>
      <w:r>
        <w:rPr>
          <w:rFonts w:hint="eastAsia" w:ascii="宋体" w:hAnsi="宋体" w:cs="宋体"/>
          <w:spacing w:val="-12"/>
          <w:sz w:val="24"/>
        </w:rPr>
        <w:t>：抽查工作年度需覆盖全部街道（乡镇）（约343个街道（乡镇）和1900个社区（村）），同时满足不少于1000条道路/季度/全市，并且每包不少于500条道路/季度；80个街道（乡镇）/月/全市，并且每包不少于40个街道（乡镇）/月。</w:t>
      </w:r>
    </w:p>
    <w:p>
      <w:pPr>
        <w:spacing w:line="360" w:lineRule="auto"/>
        <w:ind w:left="22" w:right="8" w:firstLine="481"/>
        <w:rPr>
          <w:rFonts w:ascii="宋体" w:hAnsi="宋体" w:cs="宋体"/>
          <w:spacing w:val="-12"/>
          <w:sz w:val="24"/>
        </w:rPr>
      </w:pPr>
      <w:r>
        <w:rPr>
          <w:rFonts w:hint="eastAsia" w:ascii="宋体" w:hAnsi="宋体" w:cs="宋体"/>
          <w:spacing w:val="-12"/>
          <w:sz w:val="24"/>
        </w:rPr>
        <w:t>（3）原始数据库，包含全部有效调查问卷录音、电子存档、环境问题照片等，以包括但不限于移动硬盘的方式提交。</w:t>
      </w:r>
    </w:p>
    <w:p>
      <w:pPr>
        <w:spacing w:line="360" w:lineRule="auto"/>
        <w:ind w:left="22" w:right="8" w:firstLine="481"/>
        <w:rPr>
          <w:rFonts w:ascii="宋体" w:hAnsi="宋体" w:cs="宋体"/>
          <w:spacing w:val="-12"/>
          <w:sz w:val="24"/>
        </w:rPr>
      </w:pPr>
      <w:r>
        <w:rPr>
          <w:rFonts w:hint="eastAsia" w:ascii="宋体" w:hAnsi="宋体" w:cs="宋体"/>
          <w:spacing w:val="-12"/>
          <w:sz w:val="24"/>
        </w:rPr>
        <w:t>（4）环境问题抽查工作计划、台账、实地抽查月度报告。</w:t>
      </w:r>
    </w:p>
    <w:p>
      <w:pPr>
        <w:spacing w:line="360" w:lineRule="auto"/>
        <w:ind w:left="22" w:right="8" w:firstLine="481"/>
        <w:rPr>
          <w:rFonts w:ascii="宋体" w:hAnsi="宋体" w:cs="宋体"/>
          <w:spacing w:val="-12"/>
          <w:sz w:val="24"/>
        </w:rPr>
      </w:pPr>
      <w:r>
        <w:rPr>
          <w:rFonts w:hint="eastAsia" w:ascii="宋体" w:hAnsi="宋体" w:cs="宋体"/>
          <w:spacing w:val="-12"/>
          <w:sz w:val="24"/>
        </w:rPr>
        <w:t>（5）提供公众满意度调查季度、半年、年度报告：</w:t>
      </w:r>
    </w:p>
    <w:p>
      <w:pPr>
        <w:spacing w:line="360" w:lineRule="auto"/>
        <w:ind w:left="22" w:right="8" w:firstLine="481"/>
        <w:rPr>
          <w:rFonts w:ascii="宋体" w:hAnsi="宋体" w:cs="宋体"/>
          <w:spacing w:val="-12"/>
          <w:sz w:val="24"/>
        </w:rPr>
      </w:pPr>
      <w:r>
        <w:rPr>
          <w:rFonts w:hint="eastAsia" w:ascii="宋体" w:hAnsi="宋体" w:cs="宋体"/>
          <w:spacing w:val="-12"/>
          <w:sz w:val="24"/>
        </w:rPr>
        <w:t>需按照调查区域按时提交全市报告和各区（16区和北京经济技术开发区）分报告。其中年度报告和半年度报告需由权威统计部门主导分析编写。</w:t>
      </w:r>
    </w:p>
    <w:p>
      <w:pPr>
        <w:spacing w:line="360" w:lineRule="auto"/>
        <w:ind w:left="22" w:right="8" w:firstLine="481"/>
        <w:rPr>
          <w:rFonts w:ascii="宋体" w:hAnsi="宋体" w:cs="宋体"/>
          <w:spacing w:val="-12"/>
          <w:sz w:val="24"/>
        </w:rPr>
      </w:pPr>
      <w:r>
        <w:rPr>
          <w:rFonts w:hint="eastAsia" w:ascii="宋体" w:hAnsi="宋体" w:cs="宋体"/>
          <w:spacing w:val="-12"/>
          <w:sz w:val="24"/>
        </w:rPr>
        <w:t>报告要求对调查和检查数据进行深度分析，分析内容需包括各季度、各年度数据同比、环比分析，全市、各区主要问题，评分较低或问题较多街道（乡镇）、切实可行的对策建议等。报告要条理清晰、突出重点、简洁美观、图文并茂，并按需要制作相关汇报PPT。</w:t>
      </w:r>
    </w:p>
    <w:p>
      <w:pPr>
        <w:spacing w:line="360" w:lineRule="auto"/>
        <w:ind w:left="22" w:right="8" w:firstLine="481"/>
        <w:rPr>
          <w:rFonts w:ascii="宋体" w:hAnsi="宋体" w:cs="宋体"/>
          <w:spacing w:val="-12"/>
          <w:sz w:val="24"/>
        </w:rPr>
      </w:pPr>
      <w:r>
        <w:rPr>
          <w:rFonts w:hint="eastAsia" w:ascii="宋体" w:hAnsi="宋体" w:cs="宋体"/>
          <w:spacing w:val="-12"/>
          <w:sz w:val="24"/>
        </w:rPr>
        <w:t>按照季度、半年、全年全彩印刷报告，全市报告每份印刷10份，各区分报告每份印刷4份。</w:t>
      </w:r>
    </w:p>
    <w:p>
      <w:pPr>
        <w:spacing w:line="360" w:lineRule="auto"/>
        <w:ind w:left="22" w:right="8" w:firstLine="481"/>
        <w:rPr>
          <w:rFonts w:ascii="宋体" w:hAnsi="宋体" w:cs="宋体"/>
          <w:spacing w:val="-12"/>
          <w:sz w:val="24"/>
        </w:rPr>
      </w:pPr>
      <w:r>
        <w:rPr>
          <w:rFonts w:hint="eastAsia" w:ascii="宋体" w:hAnsi="宋体" w:cs="宋体"/>
          <w:spacing w:val="-12"/>
          <w:sz w:val="24"/>
        </w:rPr>
        <w:t>成果提交形式和时限：</w:t>
      </w:r>
    </w:p>
    <w:tbl>
      <w:tblPr>
        <w:tblStyle w:val="52"/>
        <w:tblW w:w="4997" w:type="pct"/>
        <w:tblInd w:w="0" w:type="dxa"/>
        <w:tblLayout w:type="autofit"/>
        <w:tblCellMar>
          <w:top w:w="0" w:type="dxa"/>
          <w:left w:w="108" w:type="dxa"/>
          <w:bottom w:w="0" w:type="dxa"/>
          <w:right w:w="108" w:type="dxa"/>
        </w:tblCellMar>
      </w:tblPr>
      <w:tblGrid>
        <w:gridCol w:w="909"/>
        <w:gridCol w:w="780"/>
        <w:gridCol w:w="4036"/>
        <w:gridCol w:w="1486"/>
        <w:gridCol w:w="2071"/>
      </w:tblGrid>
      <w:tr>
        <w:tblPrEx>
          <w:tblCellMar>
            <w:top w:w="0" w:type="dxa"/>
            <w:left w:w="108" w:type="dxa"/>
            <w:bottom w:w="0" w:type="dxa"/>
            <w:right w:w="108" w:type="dxa"/>
          </w:tblCellMar>
        </w:tblPrEx>
        <w:trPr>
          <w:trHeight w:val="1260" w:hRule="atLeast"/>
          <w:tblHeader/>
        </w:trPr>
        <w:tc>
          <w:tcPr>
            <w:tcW w:w="490"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地区范围</w:t>
            </w:r>
          </w:p>
        </w:tc>
        <w:tc>
          <w:tcPr>
            <w:tcW w:w="420"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时间范围</w:t>
            </w:r>
          </w:p>
        </w:tc>
        <w:tc>
          <w:tcPr>
            <w:tcW w:w="2173"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报告名称</w:t>
            </w:r>
          </w:p>
        </w:tc>
        <w:tc>
          <w:tcPr>
            <w:tcW w:w="800" w:type="pct"/>
            <w:tcBorders>
              <w:top w:val="single" w:color="auto"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rFonts w:ascii="宋体" w:hAnsi="宋体" w:cs="宋体"/>
                <w:sz w:val="22"/>
                <w:szCs w:val="22"/>
              </w:rPr>
            </w:pPr>
            <w:r>
              <w:rPr>
                <w:rFonts w:hint="eastAsia" w:ascii="宋体" w:hAnsi="宋体" w:cs="宋体"/>
                <w:sz w:val="22"/>
                <w:szCs w:val="22"/>
              </w:rPr>
              <w:t>提交形式</w:t>
            </w:r>
          </w:p>
        </w:tc>
        <w:tc>
          <w:tcPr>
            <w:tcW w:w="1115" w:type="pct"/>
            <w:tcBorders>
              <w:top w:val="single" w:color="auto"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rFonts w:ascii="宋体" w:hAnsi="宋体" w:cs="宋体"/>
                <w:sz w:val="22"/>
                <w:szCs w:val="22"/>
                <w:lang w:bidi="ar"/>
              </w:rPr>
            </w:pPr>
            <w:r>
              <w:rPr>
                <w:rFonts w:hint="eastAsia" w:ascii="宋体" w:hAnsi="宋体" w:cs="宋体"/>
                <w:sz w:val="22"/>
                <w:szCs w:val="22"/>
                <w:lang w:bidi="ar"/>
              </w:rPr>
              <w:t>提交时间</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lang w:bidi="ar"/>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lang w:bidi="ar"/>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lang w:bidi="ar"/>
              </w:rPr>
            </w:pPr>
            <w:r>
              <w:rPr>
                <w:rFonts w:hint="eastAsia" w:ascii="宋体" w:hAnsi="宋体" w:cs="宋体"/>
                <w:sz w:val="24"/>
                <w:lang w:bidi="ar"/>
              </w:rPr>
              <w:t>【2025年第四季度、2026年第一季度、2026年第二季度、2026年第三季度、2026年第四季度】满意度调查项目计划书</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2025年11月15日、2026年1月10日、2026年4月10日、2026年7月10日、2026年10月10日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《【2025年第四季度、2026年第一季度、2026年第二季度、2026年第三季度】【】区首都城市环境建设管理社会公众满意度调查报告》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2026年1月15日、2026年4月15日、2026年7月15日、2026年10月15日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季度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《【2025年第四季度、2026年第一季度、2026年第二季度、2026年第三季度】首都城市环境建设管理社会公众满意度调查报告》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2026年1月15日、2026年4月15日、2026年7月15日、2026年10月15日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《2025年【】区首都城市环境建设管理社会公众满意度调查报告》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2026年1月20日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《2025年首都城市环境建设管理社会公众满意度调查报告》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2026年1月20日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半年度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《2026年上半年【】区首都城市环境建设管理社会公众满意度调查报告》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2026年7月20日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全市</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半年度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《2026年上半年首都城市环境建设管理社会公众满意度调查报告》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电子版+纸质版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2026年7月20日</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每月各区调查问卷录音、电子化记录等原始数据库</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每月10日前提交上月原始数据库</w:t>
            </w:r>
          </w:p>
        </w:tc>
      </w:tr>
      <w:tr>
        <w:tblPrEx>
          <w:tblCellMar>
            <w:top w:w="0" w:type="dxa"/>
            <w:left w:w="108" w:type="dxa"/>
            <w:bottom w:w="0" w:type="dxa"/>
            <w:right w:w="108" w:type="dxa"/>
          </w:tblCellMar>
        </w:tblPrEx>
        <w:trPr>
          <w:trHeight w:val="945"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每月各区首都城市环境建设管理抽查检查计划</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每月10日前提交当月抽查计划</w:t>
            </w:r>
          </w:p>
        </w:tc>
      </w:tr>
      <w:tr>
        <w:tblPrEx>
          <w:tblCellMar>
            <w:top w:w="0" w:type="dxa"/>
            <w:left w:w="108" w:type="dxa"/>
            <w:bottom w:w="0" w:type="dxa"/>
            <w:right w:w="108" w:type="dxa"/>
          </w:tblCellMar>
        </w:tblPrEx>
        <w:trPr>
          <w:trHeight w:val="630"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每月各区首都城市环境建设管理抽查检查台账</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每月25日前提交当月抽查台账</w:t>
            </w:r>
          </w:p>
        </w:tc>
      </w:tr>
      <w:tr>
        <w:tblPrEx>
          <w:tblCellMar>
            <w:top w:w="0" w:type="dxa"/>
            <w:left w:w="108" w:type="dxa"/>
            <w:bottom w:w="0" w:type="dxa"/>
            <w:right w:w="108" w:type="dxa"/>
          </w:tblCellMar>
        </w:tblPrEx>
        <w:trPr>
          <w:trHeight w:val="630" w:hRule="atLeast"/>
          <w:tblHeader/>
        </w:trPr>
        <w:tc>
          <w:tcPr>
            <w:tcW w:w="49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16区+经开区</w:t>
            </w:r>
          </w:p>
        </w:tc>
        <w:tc>
          <w:tcPr>
            <w:tcW w:w="420"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月度</w:t>
            </w:r>
          </w:p>
        </w:tc>
        <w:tc>
          <w:tcPr>
            <w:tcW w:w="217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lang w:bidi="ar"/>
              </w:rPr>
              <w:t>每月各区首都城市环境建设管理抽查检查报告</w:t>
            </w:r>
          </w:p>
        </w:tc>
        <w:tc>
          <w:tcPr>
            <w:tcW w:w="800"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电子版</w:t>
            </w:r>
          </w:p>
        </w:tc>
        <w:tc>
          <w:tcPr>
            <w:tcW w:w="1115" w:type="pct"/>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每月30日前提交当月抽查报告</w:t>
            </w:r>
          </w:p>
        </w:tc>
      </w:tr>
    </w:tbl>
    <w:p>
      <w:pPr>
        <w:pStyle w:val="2"/>
        <w:ind w:firstLine="480"/>
      </w:pPr>
    </w:p>
    <w:p>
      <w:pPr>
        <w:spacing w:line="360" w:lineRule="auto"/>
        <w:ind w:firstLine="482" w:firstLineChars="200"/>
        <w:contextualSpacing/>
        <w:jc w:val="left"/>
        <w:rPr>
          <w:rFonts w:ascii="宋体" w:hAnsi="宋体" w:cs="宋体"/>
          <w:b/>
          <w:bCs/>
          <w:sz w:val="24"/>
        </w:rPr>
      </w:pPr>
      <w:r>
        <w:rPr>
          <w:rFonts w:hint="eastAsia" w:ascii="宋体" w:hAnsi="宋体" w:cs="宋体"/>
          <w:b/>
          <w:bCs/>
          <w:sz w:val="24"/>
        </w:rPr>
        <w:t>2.7其他要求</w:t>
      </w:r>
    </w:p>
    <w:p>
      <w:pPr>
        <w:spacing w:line="360" w:lineRule="auto"/>
        <w:ind w:firstLine="480" w:firstLineChars="200"/>
        <w:contextualSpacing/>
        <w:jc w:val="left"/>
        <w:rPr>
          <w:rFonts w:ascii="宋体" w:hAnsi="宋体" w:cs="宋体"/>
          <w:sz w:val="24"/>
        </w:rPr>
      </w:pPr>
      <w:r>
        <w:rPr>
          <w:rFonts w:hint="eastAsia" w:ascii="宋体" w:hAnsi="宋体" w:cs="宋体"/>
          <w:sz w:val="24"/>
        </w:rPr>
        <w:t>（1）在调查过程中受访者均应自愿接受调查采访，不受强迫。</w:t>
      </w:r>
    </w:p>
    <w:p>
      <w:pPr>
        <w:spacing w:line="360" w:lineRule="auto"/>
        <w:ind w:firstLine="480" w:firstLineChars="200"/>
        <w:contextualSpacing/>
        <w:jc w:val="left"/>
        <w:rPr>
          <w:rFonts w:ascii="宋体" w:hAnsi="宋体" w:cs="宋体"/>
          <w:sz w:val="24"/>
        </w:rPr>
      </w:pPr>
      <w:r>
        <w:rPr>
          <w:rFonts w:hint="eastAsia" w:ascii="宋体" w:hAnsi="宋体" w:cs="宋体"/>
          <w:sz w:val="24"/>
        </w:rPr>
        <w:t>（2）上述需提交的各项材料应充分保障受访者的姓名权、肖像权以及相关隐私，在未经受访者同意的情况下，不得在上述材料中体现受访者的真实资料。</w:t>
      </w:r>
    </w:p>
    <w:p>
      <w:pPr>
        <w:spacing w:line="360" w:lineRule="auto"/>
        <w:ind w:firstLine="480" w:firstLineChars="200"/>
        <w:contextualSpacing/>
        <w:jc w:val="left"/>
        <w:rPr>
          <w:rFonts w:ascii="宋体" w:hAnsi="宋体" w:cs="宋体"/>
          <w:sz w:val="24"/>
        </w:rPr>
      </w:pPr>
      <w:r>
        <w:rPr>
          <w:rFonts w:hint="eastAsia" w:ascii="宋体" w:hAnsi="宋体" w:cs="宋体"/>
          <w:sz w:val="24"/>
        </w:rPr>
        <w:t>（3）需提交的材料不得侵犯任何第三方的知识产权，如需引用第三方的数据、论述，应保证真实、合法并做出标注，且每份应提交的材料中引用内容量不得超过该材料总量的5%。</w:t>
      </w:r>
    </w:p>
    <w:p>
      <w:pPr>
        <w:spacing w:line="360" w:lineRule="auto"/>
        <w:ind w:firstLine="480" w:firstLineChars="200"/>
        <w:contextualSpacing/>
        <w:jc w:val="left"/>
        <w:rPr>
          <w:rFonts w:ascii="宋体" w:hAnsi="宋体" w:cs="宋体"/>
          <w:sz w:val="24"/>
        </w:rPr>
      </w:pPr>
      <w:r>
        <w:rPr>
          <w:rFonts w:hint="eastAsia" w:ascii="宋体" w:hAnsi="宋体" w:cs="宋体"/>
          <w:sz w:val="24"/>
        </w:rPr>
        <w:t>（4）调查及研究成果相关文件的所有权归北京市城市管理委员会所有，投标方若在其他研究成果中使用，需经北京市城市管理委员会书面正式同意。</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3.服务费用及付款方式</w:t>
      </w:r>
    </w:p>
    <w:p>
      <w:pPr>
        <w:spacing w:line="360" w:lineRule="auto"/>
        <w:ind w:firstLine="480" w:firstLineChars="200"/>
        <w:contextualSpacing/>
        <w:jc w:val="left"/>
        <w:rPr>
          <w:rFonts w:ascii="宋体" w:hAnsi="宋体" w:cs="宋体"/>
          <w:sz w:val="24"/>
        </w:rPr>
      </w:pPr>
      <w:r>
        <w:rPr>
          <w:rFonts w:hint="eastAsia" w:ascii="宋体" w:hAnsi="宋体" w:cs="宋体"/>
          <w:sz w:val="24"/>
        </w:rPr>
        <w:t>3.1本项目费用为人民币</w:t>
      </w:r>
      <w:r>
        <w:rPr>
          <w:rFonts w:hint="eastAsia" w:ascii="宋体" w:hAnsi="宋体" w:cs="宋体"/>
          <w:sz w:val="24"/>
          <w:u w:val="single"/>
        </w:rPr>
        <w:t xml:space="preserve">      元</w:t>
      </w:r>
      <w:r>
        <w:rPr>
          <w:rFonts w:hint="eastAsia" w:ascii="宋体" w:hAnsi="宋体" w:cs="宋体"/>
          <w:sz w:val="24"/>
        </w:rPr>
        <w:t>，含税（大写：</w:t>
      </w:r>
      <w:r>
        <w:rPr>
          <w:rFonts w:hint="eastAsia" w:ascii="宋体" w:hAnsi="宋体"/>
          <w:sz w:val="24"/>
          <w:u w:val="single"/>
        </w:rPr>
        <w:t xml:space="preserve">    </w:t>
      </w:r>
      <w:r>
        <w:rPr>
          <w:rFonts w:hint="eastAsia" w:ascii="宋体" w:hAnsi="宋体" w:cs="宋体"/>
          <w:sz w:val="24"/>
        </w:rPr>
        <w:t>）。此费用为甲方需向乙方支付的全部款项，除此之外，甲方无须向乙方另外支付本合同规定之外的任何费用。</w:t>
      </w:r>
    </w:p>
    <w:p>
      <w:pPr>
        <w:spacing w:line="360" w:lineRule="auto"/>
        <w:ind w:firstLine="480" w:firstLineChars="200"/>
        <w:contextualSpacing/>
        <w:jc w:val="left"/>
        <w:rPr>
          <w:rFonts w:ascii="宋体" w:hAnsi="宋体" w:cs="宋体"/>
          <w:sz w:val="24"/>
        </w:rPr>
      </w:pPr>
      <w:r>
        <w:rPr>
          <w:rFonts w:hint="eastAsia" w:ascii="宋体" w:hAnsi="宋体" w:cs="宋体"/>
          <w:sz w:val="24"/>
        </w:rPr>
        <w:t>3.2项目费用支付方式：合同签订后30个工作日内，甲方向乙方支付合同金额的50%，即人民币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）；2026年4月底前支付合同总金额的30%，即人民币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）；2026年11月乙方提交全部成果并经甲方验收合格，且乙方在合同有效期内未发生违约行为，甲方支付剩余合同金额，即人民币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）；验收不合格的按验收管理办法扣除相应服务费用。验收办法见附件。</w:t>
      </w:r>
    </w:p>
    <w:p>
      <w:pPr>
        <w:spacing w:line="360" w:lineRule="auto"/>
        <w:ind w:firstLine="480" w:firstLineChars="200"/>
        <w:contextualSpacing/>
        <w:jc w:val="left"/>
        <w:rPr>
          <w:rFonts w:ascii="宋体" w:hAnsi="宋体" w:cs="宋体"/>
          <w:sz w:val="24"/>
        </w:rPr>
      </w:pPr>
      <w:r>
        <w:rPr>
          <w:rFonts w:hint="eastAsia" w:ascii="宋体" w:hAnsi="宋体" w:cs="宋体"/>
          <w:sz w:val="24"/>
        </w:rPr>
        <w:t>3.3</w:t>
      </w:r>
      <w:r>
        <w:rPr>
          <w:rFonts w:hint="eastAsia" w:ascii="宋体" w:hAnsi="宋体" w:cs="宋体"/>
          <w:kern w:val="1"/>
          <w:sz w:val="24"/>
        </w:rPr>
        <w:t>甲方</w:t>
      </w:r>
      <w:r>
        <w:rPr>
          <w:rFonts w:hint="eastAsia" w:ascii="宋体" w:hAnsi="宋体" w:cs="宋体"/>
          <w:sz w:val="24"/>
        </w:rPr>
        <w:t>每次</w:t>
      </w:r>
      <w:r>
        <w:rPr>
          <w:rFonts w:hint="eastAsia" w:ascii="宋体" w:hAnsi="宋体" w:cs="宋体"/>
          <w:sz w:val="24"/>
          <w:lang w:eastAsia="zh-TW"/>
        </w:rPr>
        <w:t>按合同支付款项前，中标人</w:t>
      </w:r>
      <w:r>
        <w:rPr>
          <w:rFonts w:hint="eastAsia" w:ascii="宋体" w:hAnsi="宋体" w:cs="宋体"/>
          <w:sz w:val="24"/>
        </w:rPr>
        <w:t>应</w:t>
      </w:r>
      <w:r>
        <w:rPr>
          <w:rFonts w:hint="eastAsia" w:ascii="宋体" w:hAnsi="宋体" w:cs="宋体"/>
          <w:sz w:val="24"/>
          <w:lang w:eastAsia="zh-TW"/>
        </w:rPr>
        <w:t>向采购人提供与支付金额相符的有效发票，且收款方、出具发票方、合同乙方均必须与中标人名称一致；</w:t>
      </w:r>
    </w:p>
    <w:p>
      <w:pPr>
        <w:spacing w:line="360" w:lineRule="auto"/>
        <w:ind w:firstLine="480" w:firstLineChars="200"/>
        <w:contextualSpacing/>
        <w:jc w:val="left"/>
        <w:rPr>
          <w:rFonts w:ascii="宋体" w:hAnsi="宋体" w:cs="宋体"/>
          <w:kern w:val="1"/>
          <w:sz w:val="24"/>
        </w:rPr>
      </w:pPr>
      <w:r>
        <w:rPr>
          <w:rFonts w:hint="eastAsia" w:ascii="宋体" w:hAnsi="宋体" w:cs="宋体"/>
          <w:sz w:val="24"/>
        </w:rPr>
        <w:t>3.4</w:t>
      </w:r>
      <w:r>
        <w:rPr>
          <w:rFonts w:hint="eastAsia" w:ascii="宋体" w:hAnsi="宋体" w:cs="宋体"/>
          <w:kern w:val="1"/>
          <w:sz w:val="24"/>
        </w:rPr>
        <w:t>甲方</w:t>
      </w:r>
      <w:r>
        <w:rPr>
          <w:rFonts w:hint="eastAsia" w:ascii="宋体" w:hAnsi="宋体" w:cs="宋体"/>
          <w:sz w:val="24"/>
        </w:rPr>
        <w:t>每次</w:t>
      </w:r>
      <w:r>
        <w:rPr>
          <w:rFonts w:hint="eastAsia" w:ascii="宋体" w:hAnsi="宋体" w:cs="宋体"/>
          <w:sz w:val="24"/>
          <w:lang w:eastAsia="zh-TW"/>
        </w:rPr>
        <w:t>按合同支付款项前</w:t>
      </w:r>
      <w:r>
        <w:rPr>
          <w:rFonts w:hint="eastAsia" w:ascii="宋体" w:hAnsi="宋体" w:cs="宋体"/>
          <w:kern w:val="1"/>
          <w:sz w:val="24"/>
        </w:rPr>
        <w:t>，乙方应向甲方出具等额合法有效的增值税普通发票，如乙方迟延提交发票，则甲方有权迟延付款，甲方不因此承担任何违约责任。</w:t>
      </w:r>
    </w:p>
    <w:p>
      <w:pPr>
        <w:spacing w:line="360" w:lineRule="auto"/>
        <w:ind w:firstLine="480" w:firstLineChars="200"/>
        <w:contextualSpacing/>
        <w:jc w:val="left"/>
        <w:rPr>
          <w:rFonts w:ascii="宋体" w:hAnsi="宋体" w:cs="宋体"/>
          <w:kern w:val="1"/>
          <w:sz w:val="24"/>
        </w:rPr>
      </w:pPr>
      <w:r>
        <w:rPr>
          <w:rFonts w:hint="eastAsia" w:ascii="宋体" w:hAnsi="宋体" w:cs="宋体"/>
          <w:kern w:val="1"/>
          <w:sz w:val="24"/>
        </w:rPr>
        <w:t>3.5甲方付款时，如遇市财政国库结算等特殊时期，最终付款按照市财政有关规定执行。如因此造成迟延付款，则甲方不承担任何违约责任。</w:t>
      </w:r>
    </w:p>
    <w:p>
      <w:pPr>
        <w:spacing w:line="360" w:lineRule="auto"/>
        <w:ind w:firstLine="480" w:firstLineChars="200"/>
        <w:contextualSpacing/>
        <w:jc w:val="left"/>
        <w:rPr>
          <w:rFonts w:ascii="宋体" w:hAnsi="宋体" w:cs="宋体"/>
          <w:sz w:val="24"/>
        </w:rPr>
      </w:pPr>
      <w:r>
        <w:rPr>
          <w:rFonts w:hint="eastAsia" w:ascii="宋体" w:hAnsi="宋体" w:cs="宋体"/>
          <w:sz w:val="24"/>
        </w:rPr>
        <w:t>3.6违约责任：</w:t>
      </w:r>
      <w:r>
        <w:rPr>
          <w:rFonts w:hint="eastAsia" w:ascii="宋体" w:hAnsi="宋体" w:cs="宋体"/>
          <w:sz w:val="24"/>
          <w:lang w:eastAsia="zh-TW"/>
        </w:rPr>
        <w:t>采购人</w:t>
      </w:r>
      <w:r>
        <w:rPr>
          <w:rFonts w:hint="eastAsia" w:ascii="宋体" w:hAnsi="宋体" w:cs="宋体"/>
          <w:sz w:val="24"/>
        </w:rPr>
        <w:t>无正当理由</w:t>
      </w:r>
      <w:r>
        <w:rPr>
          <w:rFonts w:hint="eastAsia" w:ascii="宋体" w:hAnsi="宋体" w:cs="宋体"/>
          <w:sz w:val="24"/>
          <w:lang w:eastAsia="zh-TW"/>
        </w:rPr>
        <w:t>逾期</w:t>
      </w:r>
      <w:r>
        <w:rPr>
          <w:rFonts w:hint="eastAsia" w:ascii="宋体" w:hAnsi="宋体" w:cs="宋体"/>
          <w:sz w:val="24"/>
        </w:rPr>
        <w:t>支付合同款项</w:t>
      </w:r>
      <w:r>
        <w:rPr>
          <w:rFonts w:hint="eastAsia" w:ascii="宋体" w:hAnsi="宋体" w:cs="宋体"/>
          <w:sz w:val="24"/>
          <w:lang w:eastAsia="zh-TW"/>
        </w:rPr>
        <w:t>的，除应当</w:t>
      </w:r>
      <w:r>
        <w:rPr>
          <w:rFonts w:hint="eastAsia" w:ascii="宋体" w:hAnsi="宋体" w:cs="宋体"/>
          <w:sz w:val="24"/>
        </w:rPr>
        <w:t>支付合同款项</w:t>
      </w:r>
      <w:r>
        <w:rPr>
          <w:rFonts w:hint="eastAsia" w:ascii="宋体" w:hAnsi="宋体" w:cs="宋体"/>
          <w:sz w:val="24"/>
          <w:lang w:eastAsia="zh-TW"/>
        </w:rPr>
        <w:t>外，还应当每日按合同总价的3‰向</w:t>
      </w:r>
      <w:r>
        <w:rPr>
          <w:rFonts w:hint="eastAsia" w:ascii="宋体" w:hAnsi="宋体" w:cs="宋体"/>
          <w:sz w:val="24"/>
        </w:rPr>
        <w:t>中标人</w:t>
      </w:r>
      <w:r>
        <w:rPr>
          <w:rFonts w:hint="eastAsia" w:ascii="宋体" w:hAnsi="宋体" w:cs="宋体"/>
          <w:sz w:val="24"/>
          <w:lang w:eastAsia="zh-TW"/>
        </w:rPr>
        <w:t>偿付违约金，但因中标人自身原因导致无法及时</w:t>
      </w:r>
      <w:r>
        <w:rPr>
          <w:rFonts w:hint="eastAsia" w:ascii="宋体" w:hAnsi="宋体" w:cs="宋体"/>
          <w:sz w:val="24"/>
        </w:rPr>
        <w:t>支付</w:t>
      </w:r>
      <w:r>
        <w:rPr>
          <w:rFonts w:hint="eastAsia" w:ascii="宋体" w:hAnsi="宋体" w:cs="宋体"/>
          <w:sz w:val="24"/>
          <w:lang w:eastAsia="zh-TW"/>
        </w:rPr>
        <w:t>的除外</w:t>
      </w:r>
      <w:r>
        <w:rPr>
          <w:rFonts w:hint="eastAsia" w:ascii="宋体" w:hAnsi="宋体" w:cs="宋体"/>
          <w:sz w:val="24"/>
        </w:rPr>
        <w:t>，且违约金最高不得超过应付未付金额的【】%。（按财务处要求，提前书面沟通）</w:t>
      </w:r>
    </w:p>
    <w:p>
      <w:pPr>
        <w:spacing w:line="360" w:lineRule="auto"/>
        <w:ind w:firstLine="480" w:firstLineChars="200"/>
        <w:contextualSpacing/>
        <w:jc w:val="left"/>
        <w:rPr>
          <w:rFonts w:ascii="宋体" w:hAnsi="宋体" w:cs="宋体"/>
          <w:sz w:val="24"/>
        </w:rPr>
      </w:pPr>
      <w:r>
        <w:rPr>
          <w:rFonts w:hint="eastAsia" w:ascii="宋体" w:hAnsi="宋体" w:cs="宋体"/>
          <w:sz w:val="24"/>
        </w:rPr>
        <w:t>3.7乙方账户信息：</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账户名称：XX公司；</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开户银行：</w:t>
      </w:r>
      <w:r>
        <w:rPr>
          <w:rFonts w:hint="eastAsia" w:ascii="Arial" w:hAnsi="Arial" w:cs="Arial"/>
          <w:color w:val="000000"/>
          <w:sz w:val="23"/>
          <w:szCs w:val="23"/>
          <w:u w:val="single"/>
          <w:shd w:val="clear" w:color="auto" w:fill="FFFFFF"/>
        </w:rPr>
        <w:t xml:space="preserve">                      </w:t>
      </w:r>
      <w:r>
        <w:rPr>
          <w:rFonts w:hint="eastAsia" w:ascii="宋体" w:hAnsi="宋体" w:cs="宋体"/>
          <w:sz w:val="24"/>
        </w:rPr>
        <w:t>；</w:t>
      </w:r>
    </w:p>
    <w:p>
      <w:pPr>
        <w:spacing w:line="360" w:lineRule="auto"/>
        <w:ind w:left="720" w:hanging="720" w:hangingChars="300"/>
        <w:contextualSpacing/>
        <w:rPr>
          <w:rFonts w:ascii="宋体" w:hAnsi="宋体" w:cs="宋体"/>
          <w:sz w:val="24"/>
        </w:rPr>
      </w:pP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contextualSpacing/>
        <w:rPr>
          <w:rFonts w:ascii="宋体" w:hAnsi="宋体" w:cs="宋体"/>
          <w:kern w:val="1"/>
          <w:sz w:val="24"/>
        </w:rPr>
      </w:pPr>
      <w:r>
        <w:rPr>
          <w:rFonts w:hint="eastAsia" w:ascii="宋体" w:hAnsi="宋体" w:cs="宋体"/>
          <w:kern w:val="1"/>
          <w:sz w:val="24"/>
        </w:rPr>
        <w:t>乙方保证账户信息真实、准确，否则由此导致的错付、无法支付等所有法律后果均由乙方自行承担。</w:t>
      </w:r>
    </w:p>
    <w:p>
      <w:pPr>
        <w:spacing w:line="360" w:lineRule="auto"/>
        <w:ind w:firstLine="480" w:firstLineChars="200"/>
        <w:contextualSpacing/>
        <w:rPr>
          <w:rFonts w:ascii="宋体" w:hAnsi="宋体" w:cs="宋体"/>
          <w:kern w:val="1"/>
          <w:sz w:val="24"/>
        </w:rPr>
      </w:pPr>
      <w:r>
        <w:rPr>
          <w:rFonts w:hint="eastAsia" w:ascii="宋体" w:hAnsi="宋体" w:cs="宋体"/>
          <w:sz w:val="24"/>
        </w:rPr>
        <w:t>3.6乙方有义务随时配合甲方或有关机构对项目进行审计检查。</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4.甲乙双方权利与义务</w:t>
      </w:r>
    </w:p>
    <w:p>
      <w:pPr>
        <w:suppressAutoHyphens/>
        <w:spacing w:line="360" w:lineRule="auto"/>
        <w:ind w:firstLine="482" w:firstLineChars="200"/>
        <w:contextualSpacing/>
        <w:rPr>
          <w:rFonts w:ascii="宋体" w:hAnsi="宋体" w:cs="宋体"/>
          <w:kern w:val="1"/>
          <w:sz w:val="24"/>
        </w:rPr>
      </w:pPr>
      <w:r>
        <w:rPr>
          <w:rFonts w:hint="eastAsia" w:ascii="宋体" w:hAnsi="宋体" w:cs="宋体"/>
          <w:b/>
          <w:kern w:val="1"/>
          <w:sz w:val="24"/>
        </w:rPr>
        <w:t>4.2</w:t>
      </w:r>
      <w:r>
        <w:rPr>
          <w:rFonts w:hint="eastAsia" w:ascii="宋体" w:hAnsi="宋体" w:cs="宋体"/>
          <w:b/>
          <w:kern w:val="1"/>
          <w:sz w:val="24"/>
          <w:lang w:eastAsia="ar-SA"/>
        </w:rPr>
        <w:t>乙方的</w:t>
      </w:r>
      <w:r>
        <w:rPr>
          <w:rFonts w:hint="eastAsia" w:ascii="宋体" w:hAnsi="宋体" w:cs="宋体"/>
          <w:b/>
          <w:kern w:val="1"/>
          <w:sz w:val="24"/>
        </w:rPr>
        <w:t>权利与义务</w:t>
      </w:r>
    </w:p>
    <w:p>
      <w:pPr>
        <w:spacing w:line="360" w:lineRule="auto"/>
        <w:ind w:firstLine="720" w:firstLineChars="300"/>
        <w:contextualSpacing/>
        <w:rPr>
          <w:rFonts w:ascii="宋体" w:hAnsi="宋体" w:cs="宋体"/>
          <w:snapToGrid w:val="0"/>
          <w:sz w:val="24"/>
        </w:rPr>
      </w:pPr>
      <w:r>
        <w:rPr>
          <w:rFonts w:hint="eastAsia" w:ascii="宋体" w:hAnsi="宋体" w:cs="宋体"/>
          <w:sz w:val="24"/>
        </w:rPr>
        <w:t>4.2.1本项目的质量保证期为两年，自项目验收合格之日起算。在保证期内发现服务质量缺陷的，乙方应当按照甲方要求重新提供服务或者采取补救措施，但并不能因此减免乙方的违约责任</w:t>
      </w:r>
      <w:r>
        <w:rPr>
          <w:rFonts w:hint="eastAsia" w:ascii="宋体" w:hAnsi="宋体" w:cs="宋体"/>
          <w:snapToGrid w:val="0"/>
          <w:sz w:val="24"/>
        </w:rPr>
        <w:t>。</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4.2.2乙方应当建立本次采购项目的台账，建立健全财务报告制度，按要求向甲方提供项目实施资金的使用情况、项目执行情况、成果总结等相关的材料。</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4.2.3乙方应当严格遵守相关财务规定，规范管理和使用本次政府购买服务项目资金。</w:t>
      </w:r>
    </w:p>
    <w:p>
      <w:pPr>
        <w:spacing w:line="360" w:lineRule="auto"/>
        <w:ind w:firstLine="720" w:firstLineChars="300"/>
        <w:contextualSpacing/>
        <w:rPr>
          <w:rFonts w:ascii="宋体" w:hAnsi="宋体" w:cs="宋体"/>
          <w:snapToGrid w:val="0"/>
          <w:sz w:val="24"/>
        </w:rPr>
      </w:pPr>
      <w:r>
        <w:rPr>
          <w:rFonts w:hint="eastAsia" w:ascii="宋体" w:hAnsi="宋体" w:cs="宋体"/>
          <w:snapToGrid w:val="0"/>
          <w:sz w:val="24"/>
        </w:rPr>
        <w:t>4.2.4乙方应当积极配合相关部门对资金使用情况进行监督检查与绩效评价。</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5.知识产权条款</w:t>
      </w:r>
    </w:p>
    <w:p>
      <w:pPr>
        <w:spacing w:line="360" w:lineRule="auto"/>
        <w:ind w:firstLine="480" w:firstLineChars="200"/>
        <w:contextualSpacing/>
        <w:rPr>
          <w:rFonts w:ascii="宋体" w:hAnsi="宋体" w:cs="宋体"/>
          <w:snapToGrid w:val="0"/>
          <w:sz w:val="24"/>
        </w:rPr>
      </w:pPr>
      <w:r>
        <w:rPr>
          <w:rFonts w:hint="eastAsia" w:ascii="宋体" w:hAnsi="宋体" w:cs="宋体"/>
          <w:snapToGrid w:val="0"/>
          <w:sz w:val="24"/>
        </w:rPr>
        <w:t>5.1需提交的材料不得侵犯任何第三方的知识产权，如需引用第三方的数据、论述，应保证真实、合法并做出标注，且每份应提交的材料中引用内容量不得超过该材料总量的5%。</w:t>
      </w:r>
    </w:p>
    <w:p>
      <w:pPr>
        <w:spacing w:line="360" w:lineRule="auto"/>
        <w:ind w:firstLine="480" w:firstLineChars="200"/>
        <w:contextualSpacing/>
        <w:rPr>
          <w:rFonts w:ascii="宋体" w:hAnsi="宋体" w:cs="宋体"/>
          <w:snapToGrid w:val="0"/>
          <w:sz w:val="24"/>
        </w:rPr>
      </w:pPr>
      <w:r>
        <w:rPr>
          <w:rFonts w:hint="eastAsia" w:ascii="宋体" w:hAnsi="宋体" w:cs="宋体"/>
          <w:snapToGrid w:val="0"/>
          <w:sz w:val="24"/>
        </w:rPr>
        <w:t>5.2调查及研究成果相关文件的所有权归甲方所有，乙方不得以任何方式将本项目资料的全部或部分复制、传播、转让或以其他方式泄露给其他单位或个人或用于本合同以外的目的，除经甲方书面正式同意。否则，甲方有权解除本合同，并向乙方追偿。</w:t>
      </w:r>
    </w:p>
    <w:p>
      <w:pPr>
        <w:spacing w:line="360" w:lineRule="auto"/>
        <w:ind w:firstLine="482" w:firstLineChars="200"/>
        <w:contextualSpacing/>
        <w:outlineLvl w:val="2"/>
        <w:rPr>
          <w:rFonts w:ascii="宋体" w:hAnsi="宋体" w:cs="宋体"/>
          <w:b/>
          <w:sz w:val="24"/>
          <w:lang w:val="en-GB"/>
        </w:rPr>
      </w:pPr>
      <w:r>
        <w:rPr>
          <w:rFonts w:hint="eastAsia" w:ascii="宋体" w:hAnsi="宋体" w:cs="宋体"/>
          <w:b/>
          <w:sz w:val="24"/>
        </w:rPr>
        <w:t>6</w:t>
      </w:r>
      <w:r>
        <w:rPr>
          <w:rFonts w:hint="eastAsia" w:ascii="宋体" w:hAnsi="宋体" w:cs="宋体"/>
          <w:b/>
          <w:sz w:val="24"/>
          <w:lang w:val="en-GB"/>
        </w:rPr>
        <w:t>.验收条款</w:t>
      </w:r>
    </w:p>
    <w:p>
      <w:pPr>
        <w:spacing w:line="360" w:lineRule="auto"/>
        <w:ind w:firstLine="480" w:firstLineChars="200"/>
        <w:contextualSpacing/>
        <w:rPr>
          <w:rFonts w:ascii="宋体" w:hAnsi="宋体" w:cs="宋体"/>
          <w:bCs/>
          <w:sz w:val="24"/>
        </w:rPr>
      </w:pPr>
      <w:r>
        <w:rPr>
          <w:rFonts w:hint="eastAsia" w:ascii="宋体" w:hAnsi="宋体" w:cs="宋体"/>
          <w:bCs/>
          <w:sz w:val="24"/>
        </w:rPr>
        <w:t>6.1验收标准</w:t>
      </w:r>
    </w:p>
    <w:p>
      <w:pPr>
        <w:spacing w:line="360" w:lineRule="auto"/>
        <w:ind w:firstLine="720" w:firstLineChars="300"/>
        <w:contextualSpacing/>
        <w:rPr>
          <w:rFonts w:ascii="宋体" w:hAnsi="宋体" w:cs="宋体"/>
          <w:bCs/>
          <w:sz w:val="24"/>
        </w:rPr>
      </w:pPr>
      <w:r>
        <w:rPr>
          <w:rFonts w:hint="eastAsia" w:ascii="宋体" w:hAnsi="宋体" w:cs="宋体"/>
          <w:bCs/>
          <w:sz w:val="24"/>
        </w:rPr>
        <w:t>6.1.1验收内容包括乙方是否按计划实施满意度调查和实地抽查，数据、信息是否真实准确，各种报告是否及时、规范，是否能按时完成甲方布置的临时任务等。</w:t>
      </w:r>
    </w:p>
    <w:p>
      <w:pPr>
        <w:spacing w:line="360" w:lineRule="auto"/>
        <w:ind w:firstLine="720" w:firstLineChars="300"/>
        <w:contextualSpacing/>
        <w:rPr>
          <w:rFonts w:ascii="宋体" w:hAnsi="宋体" w:cs="宋体"/>
          <w:bCs/>
          <w:sz w:val="24"/>
        </w:rPr>
      </w:pPr>
      <w:r>
        <w:rPr>
          <w:rFonts w:hint="eastAsia" w:ascii="宋体" w:hAnsi="宋体" w:cs="宋体"/>
          <w:bCs/>
          <w:sz w:val="24"/>
        </w:rPr>
        <w:t>6.1.2满足合同及甲方的所有要求。</w:t>
      </w:r>
    </w:p>
    <w:p>
      <w:pPr>
        <w:spacing w:line="360" w:lineRule="auto"/>
        <w:ind w:firstLine="720" w:firstLineChars="300"/>
        <w:contextualSpacing/>
        <w:rPr>
          <w:rFonts w:ascii="宋体" w:hAnsi="宋体" w:cs="宋体"/>
          <w:bCs/>
          <w:sz w:val="24"/>
        </w:rPr>
      </w:pPr>
      <w:r>
        <w:rPr>
          <w:rFonts w:hint="eastAsia" w:ascii="宋体" w:hAnsi="宋体" w:cs="宋体"/>
          <w:bCs/>
          <w:sz w:val="24"/>
        </w:rPr>
        <w:t>6.1.3验收时乙方提交申请，甲方项目负责人、主管领导签字确认后视为验收合格。</w:t>
      </w:r>
    </w:p>
    <w:p>
      <w:pPr>
        <w:spacing w:line="360" w:lineRule="auto"/>
        <w:ind w:firstLine="480" w:firstLineChars="200"/>
        <w:contextualSpacing/>
        <w:rPr>
          <w:rFonts w:ascii="宋体" w:hAnsi="宋体" w:cs="宋体"/>
          <w:bCs/>
          <w:sz w:val="24"/>
        </w:rPr>
      </w:pPr>
      <w:r>
        <w:rPr>
          <w:rFonts w:hint="eastAsia" w:ascii="宋体" w:hAnsi="宋体" w:cs="宋体"/>
          <w:bCs/>
          <w:sz w:val="24"/>
        </w:rPr>
        <w:t>6.2评估方式</w:t>
      </w:r>
    </w:p>
    <w:p>
      <w:pPr>
        <w:spacing w:line="360" w:lineRule="auto"/>
        <w:ind w:firstLine="720" w:firstLineChars="300"/>
        <w:contextualSpacing/>
        <w:rPr>
          <w:rFonts w:ascii="宋体" w:hAnsi="宋体" w:cs="宋体"/>
          <w:bCs/>
          <w:sz w:val="24"/>
        </w:rPr>
      </w:pPr>
      <w:r>
        <w:rPr>
          <w:rFonts w:hint="eastAsia" w:ascii="宋体" w:hAnsi="宋体" w:cs="宋体"/>
          <w:bCs/>
          <w:sz w:val="24"/>
        </w:rPr>
        <w:t>6.2.1评估采取百分制的方式，坚持客观公正，集体评估确定。</w:t>
      </w:r>
    </w:p>
    <w:p>
      <w:pPr>
        <w:spacing w:line="360" w:lineRule="auto"/>
        <w:ind w:firstLine="720" w:firstLineChars="300"/>
        <w:contextualSpacing/>
        <w:rPr>
          <w:rFonts w:ascii="宋体" w:hAnsi="宋体" w:cs="宋体"/>
          <w:bCs/>
          <w:sz w:val="24"/>
        </w:rPr>
      </w:pPr>
      <w:r>
        <w:rPr>
          <w:rFonts w:hint="eastAsia" w:ascii="宋体" w:hAnsi="宋体" w:cs="宋体"/>
          <w:bCs/>
          <w:sz w:val="24"/>
        </w:rPr>
        <w:t>6.2.2．2026年4月对项目执行进行中期验收，2026年11月对项目执行进行终验。验收评估总分在90分以上验收合格；总分90-80分之间，扣除金额=合同总款10%；总分在80-70分之间，扣除金额=合同总款20%；总分在70分以下，视为合同履行不合格，甲方有权解除合同，乙方应返还全部甲方已付费用，并向甲方支付合同总额10%的违约金。。</w:t>
      </w:r>
    </w:p>
    <w:p>
      <w:pPr>
        <w:spacing w:line="360" w:lineRule="auto"/>
        <w:ind w:firstLine="480" w:firstLineChars="200"/>
        <w:contextualSpacing/>
        <w:rPr>
          <w:rFonts w:ascii="宋体" w:hAnsi="宋体" w:cs="宋体"/>
          <w:bCs/>
          <w:sz w:val="24"/>
        </w:rPr>
      </w:pPr>
      <w:r>
        <w:rPr>
          <w:rFonts w:hint="eastAsia" w:ascii="宋体" w:hAnsi="宋体" w:cs="宋体"/>
          <w:bCs/>
          <w:sz w:val="24"/>
        </w:rPr>
        <w:t>6.3打分标准（总分100分）</w:t>
      </w:r>
    </w:p>
    <w:p>
      <w:pPr>
        <w:spacing w:line="360" w:lineRule="auto"/>
        <w:ind w:firstLine="720" w:firstLineChars="300"/>
        <w:contextualSpacing/>
        <w:rPr>
          <w:rFonts w:ascii="宋体" w:hAnsi="宋体" w:cs="宋体"/>
          <w:bCs/>
          <w:sz w:val="24"/>
        </w:rPr>
      </w:pPr>
      <w:r>
        <w:rPr>
          <w:rFonts w:hint="eastAsia" w:ascii="宋体" w:hAnsi="宋体" w:cs="宋体"/>
          <w:bCs/>
          <w:sz w:val="24"/>
        </w:rPr>
        <w:t>6.3.1未按照合同规定时间提交项目成果，延期10个工作日以内，每次扣2分；延期10个工作日以上，每次扣5分；</w:t>
      </w:r>
    </w:p>
    <w:p>
      <w:pPr>
        <w:spacing w:line="360" w:lineRule="auto"/>
        <w:ind w:firstLine="720" w:firstLineChars="300"/>
        <w:contextualSpacing/>
        <w:rPr>
          <w:rFonts w:ascii="宋体" w:hAnsi="宋体" w:cs="宋体"/>
          <w:bCs/>
          <w:sz w:val="24"/>
        </w:rPr>
      </w:pPr>
      <w:r>
        <w:rPr>
          <w:rFonts w:hint="eastAsia" w:ascii="宋体" w:hAnsi="宋体" w:cs="宋体"/>
          <w:bCs/>
          <w:sz w:val="24"/>
        </w:rPr>
        <w:t>6.3.2未经允许，擅自将项目中涉及的数据、报告、研究成果或论文专著等对外发布，未遵守合同规定的保密条款，每次扣5分；</w:t>
      </w:r>
    </w:p>
    <w:p>
      <w:pPr>
        <w:spacing w:line="360" w:lineRule="auto"/>
        <w:ind w:firstLine="720" w:firstLineChars="300"/>
        <w:contextualSpacing/>
        <w:rPr>
          <w:rFonts w:ascii="宋体" w:hAnsi="宋体" w:cs="宋体"/>
          <w:bCs/>
          <w:sz w:val="24"/>
        </w:rPr>
      </w:pPr>
      <w:r>
        <w:rPr>
          <w:rFonts w:hint="eastAsia" w:ascii="宋体" w:hAnsi="宋体" w:cs="宋体"/>
          <w:bCs/>
          <w:sz w:val="24"/>
        </w:rPr>
        <w:t>6.3.3提交的项目成果中原始数据不属实，存在弄虚造假行为的，每次扣5分；</w:t>
      </w:r>
    </w:p>
    <w:p>
      <w:pPr>
        <w:spacing w:line="360" w:lineRule="auto"/>
        <w:ind w:firstLine="720" w:firstLineChars="300"/>
        <w:contextualSpacing/>
        <w:rPr>
          <w:rFonts w:ascii="宋体" w:hAnsi="宋体" w:cs="宋体"/>
          <w:bCs/>
          <w:sz w:val="24"/>
        </w:rPr>
      </w:pPr>
      <w:r>
        <w:rPr>
          <w:rFonts w:hint="eastAsia" w:ascii="宋体" w:hAnsi="宋体" w:cs="宋体"/>
          <w:bCs/>
          <w:sz w:val="24"/>
        </w:rPr>
        <w:t>6.3.4提交的项目成果中数据分析有误，意见建议完全没有针对性，脱离工作实际、表述雷同的，每次扣3分；</w:t>
      </w:r>
    </w:p>
    <w:p>
      <w:pPr>
        <w:spacing w:line="360" w:lineRule="auto"/>
        <w:ind w:firstLine="720" w:firstLineChars="300"/>
        <w:contextualSpacing/>
        <w:rPr>
          <w:rFonts w:ascii="宋体" w:hAnsi="宋体" w:cs="宋体"/>
          <w:bCs/>
          <w:sz w:val="24"/>
        </w:rPr>
      </w:pPr>
      <w:r>
        <w:rPr>
          <w:rFonts w:hint="eastAsia" w:ascii="宋体" w:hAnsi="宋体" w:cs="宋体"/>
          <w:bCs/>
          <w:sz w:val="24"/>
        </w:rPr>
        <w:t>6.3.5履行合同期间，未按时、按质、按量提供首都环境建设管理综合检查抽查问题台账，每次扣3分；</w:t>
      </w:r>
    </w:p>
    <w:p>
      <w:pPr>
        <w:spacing w:line="360" w:lineRule="auto"/>
        <w:ind w:firstLine="720" w:firstLineChars="300"/>
        <w:contextualSpacing/>
        <w:rPr>
          <w:lang w:val="en-GB"/>
        </w:rPr>
      </w:pPr>
      <w:r>
        <w:rPr>
          <w:rFonts w:hint="eastAsia" w:ascii="宋体" w:hAnsi="宋体" w:cs="宋体"/>
          <w:bCs/>
          <w:sz w:val="24"/>
        </w:rPr>
        <w:t>6.3.6合同履行期间，未及时或未按要求响应满意度调查有关工作需求的，每次扣2分。</w:t>
      </w:r>
    </w:p>
    <w:p>
      <w:pPr>
        <w:spacing w:line="360" w:lineRule="auto"/>
        <w:ind w:firstLine="482" w:firstLineChars="200"/>
        <w:contextualSpacing/>
        <w:outlineLvl w:val="2"/>
        <w:rPr>
          <w:rFonts w:ascii="宋体" w:hAnsi="宋体" w:cs="宋体"/>
          <w:b/>
          <w:sz w:val="24"/>
          <w:lang w:val="en-GB"/>
        </w:rPr>
      </w:pPr>
      <w:r>
        <w:rPr>
          <w:rFonts w:hint="eastAsia" w:ascii="宋体" w:hAnsi="宋体" w:cs="宋体"/>
          <w:b/>
          <w:sz w:val="24"/>
        </w:rPr>
        <w:t>7</w:t>
      </w:r>
      <w:r>
        <w:rPr>
          <w:rFonts w:hint="eastAsia" w:ascii="宋体" w:hAnsi="宋体" w:cs="宋体"/>
          <w:b/>
          <w:sz w:val="24"/>
          <w:lang w:val="en-GB"/>
        </w:rPr>
        <w:t>.违约责任</w:t>
      </w:r>
    </w:p>
    <w:p>
      <w:pPr>
        <w:spacing w:line="360" w:lineRule="auto"/>
        <w:ind w:firstLine="480" w:firstLineChars="200"/>
        <w:contextualSpacing/>
        <w:rPr>
          <w:rFonts w:ascii="宋体" w:hAnsi="宋体" w:cs="宋体"/>
          <w:sz w:val="24"/>
          <w:lang w:val="en-GB"/>
        </w:rPr>
      </w:pPr>
      <w:r>
        <w:rPr>
          <w:rFonts w:hint="eastAsia" w:ascii="宋体" w:hAnsi="宋体" w:cs="宋体"/>
          <w:sz w:val="24"/>
        </w:rPr>
        <w:t>7</w:t>
      </w:r>
      <w:r>
        <w:rPr>
          <w:rFonts w:hint="eastAsia" w:ascii="宋体" w:hAnsi="宋体" w:cs="宋体"/>
          <w:sz w:val="24"/>
          <w:lang w:val="en-GB"/>
        </w:rPr>
        <w:t>.1乙方在签订本合同后，无法向甲方提供规定的服务，甲方有权解除合同，乙方应返还全部甲方已付费用，并向甲方支付合同总额</w:t>
      </w:r>
      <w:r>
        <w:rPr>
          <w:rFonts w:hint="eastAsia" w:ascii="宋体" w:hAnsi="宋体" w:cs="宋体"/>
          <w:sz w:val="24"/>
          <w:u w:val="single"/>
          <w:lang w:val="en-GB"/>
        </w:rPr>
        <w:t>10</w:t>
      </w:r>
      <w:r>
        <w:rPr>
          <w:rFonts w:hint="eastAsia" w:ascii="宋体" w:hAnsi="宋体" w:cs="宋体"/>
          <w:sz w:val="24"/>
          <w:lang w:val="en-GB"/>
        </w:rPr>
        <w:t>%的违约金；违约金不足以弥补甲方损失的（包括但不限于实际损失、预期利益、律师费、鉴定费、诉讼费、交通费等），乙方应予以补足；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7.2如由于乙方原因致使项目不能在合同规定的时间内完成，每延迟一日乙方应按合同总金额的</w:t>
      </w:r>
      <w:r>
        <w:rPr>
          <w:rFonts w:hint="eastAsia" w:ascii="宋体" w:hAnsi="宋体" w:cs="宋体"/>
          <w:bCs/>
          <w:kern w:val="0"/>
          <w:sz w:val="24"/>
          <w:u w:val="single"/>
        </w:rPr>
        <w:t>3</w:t>
      </w:r>
      <w:r>
        <w:rPr>
          <w:rFonts w:hint="eastAsia" w:ascii="宋体" w:hAnsi="宋体" w:cs="宋体"/>
          <w:bCs/>
          <w:kern w:val="0"/>
          <w:sz w:val="24"/>
        </w:rPr>
        <w:t>‰向甲方交纳误期违约金，达到合同金额的5%以上时甲方有权解除合同，甲方解除合同的，乙方应返还甲方已经支付的费用，并按照合同金额的10%标准向甲方支付违约金，</w:t>
      </w:r>
      <w:r>
        <w:rPr>
          <w:rFonts w:hint="eastAsia" w:ascii="宋体" w:hAnsi="宋体" w:cs="宋体"/>
          <w:kern w:val="0"/>
          <w:sz w:val="24"/>
          <w:lang w:val="en-GB"/>
        </w:rPr>
        <w:t>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7.3项目完成后，乙方两次不能通过甲方验收，甲方有权解除合同并要求乙方承担合同金额10%的违约金、返还全部已付款项；</w:t>
      </w:r>
      <w:r>
        <w:rPr>
          <w:rFonts w:hint="eastAsia" w:ascii="宋体" w:hAnsi="宋体" w:cs="宋体"/>
          <w:kern w:val="0"/>
          <w:sz w:val="24"/>
          <w:lang w:val="en-GB"/>
        </w:rPr>
        <w:t>违约金不足以弥补甲方损失的（包括但不限于实际损失、预期利益、律师费、鉴定费、诉讼费、交通费等），乙方应予以补足；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contextualSpacing/>
        <w:jc w:val="left"/>
        <w:rPr>
          <w:rFonts w:ascii="宋体" w:hAnsi="宋体" w:cs="宋体"/>
          <w:bCs/>
          <w:kern w:val="0"/>
          <w:sz w:val="24"/>
        </w:rPr>
      </w:pPr>
      <w:r>
        <w:rPr>
          <w:rFonts w:hint="eastAsia" w:ascii="宋体" w:hAnsi="宋体" w:cs="宋体"/>
          <w:bCs/>
          <w:kern w:val="0"/>
          <w:sz w:val="24"/>
        </w:rPr>
        <w:t>7.4除本合同另有具体约定外，乙方发生违约行为且经甲方书面通知之日起10日内不予纠正的，甲方有权解除本合同并要求乙方承担合同金额10%的违约金、返还全部已付款项；</w:t>
      </w:r>
      <w:r>
        <w:rPr>
          <w:rFonts w:hint="eastAsia" w:ascii="宋体" w:hAnsi="宋体" w:cs="宋体"/>
          <w:kern w:val="0"/>
          <w:sz w:val="24"/>
          <w:lang w:val="en-GB"/>
        </w:rPr>
        <w:t>违约金不足以弥补甲方损失的（包括但不限于实际损失、预期利益、律师费、鉴定费、诉讼费、交通费等），乙方应予以补足</w:t>
      </w:r>
      <w:r>
        <w:rPr>
          <w:rFonts w:hint="eastAsia" w:ascii="宋体" w:hAnsi="宋体" w:cs="宋体"/>
          <w:bCs/>
          <w:kern w:val="0"/>
          <w:sz w:val="24"/>
        </w:rPr>
        <w:t>。</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8.不可抗力</w:t>
      </w:r>
    </w:p>
    <w:p>
      <w:pPr>
        <w:spacing w:line="360" w:lineRule="auto"/>
        <w:ind w:firstLine="480" w:firstLineChars="200"/>
        <w:contextualSpacing/>
        <w:rPr>
          <w:rFonts w:ascii="宋体" w:hAnsi="宋体" w:cs="宋体"/>
          <w:sz w:val="24"/>
        </w:rPr>
      </w:pPr>
      <w:r>
        <w:rPr>
          <w:rFonts w:hint="eastAsia" w:ascii="宋体" w:hAnsi="宋体" w:cs="宋体"/>
          <w:sz w:val="24"/>
        </w:rPr>
        <w:t>8.1不可抗力是指双方不能预见、不能避免，并不能克服的客观情况。包括政府行为、自然灾害等。该情况妨碍、影响或延误一方根据本合同履行相关义务；</w:t>
      </w:r>
    </w:p>
    <w:p>
      <w:pPr>
        <w:spacing w:line="360" w:lineRule="auto"/>
        <w:ind w:firstLine="480" w:firstLineChars="200"/>
        <w:contextualSpacing/>
        <w:rPr>
          <w:rFonts w:ascii="宋体" w:hAnsi="宋体" w:cs="宋体"/>
          <w:sz w:val="24"/>
        </w:rPr>
      </w:pPr>
      <w:r>
        <w:rPr>
          <w:rFonts w:hint="eastAsia" w:ascii="宋体" w:hAnsi="宋体" w:cs="宋体"/>
          <w:sz w:val="24"/>
        </w:rPr>
        <w:t>8.2受不可抗力一方应尽最大努力克服相关事件，并于不可抗力事件发生后十日内，采取快捷、安全方式将有关当局或公证机构出具的证明文件提供对方确认；</w:t>
      </w:r>
    </w:p>
    <w:p>
      <w:pPr>
        <w:spacing w:line="360" w:lineRule="auto"/>
        <w:ind w:firstLine="480" w:firstLineChars="200"/>
        <w:contextualSpacing/>
        <w:rPr>
          <w:rFonts w:ascii="宋体" w:hAnsi="宋体" w:cs="宋体"/>
          <w:sz w:val="24"/>
        </w:rPr>
      </w:pPr>
      <w:r>
        <w:rPr>
          <w:rFonts w:hint="eastAsia" w:ascii="宋体" w:hAnsi="宋体" w:cs="宋体"/>
          <w:sz w:val="24"/>
        </w:rPr>
        <w:t>8.3遭受不可抗力事件的一方已经尽了最大努力的，仍导致本合同无法完全或部分履行，或导致了迟延履行，不承担违约责任，直至不可抗力事件消除为止；</w:t>
      </w:r>
    </w:p>
    <w:p>
      <w:pPr>
        <w:spacing w:line="360" w:lineRule="auto"/>
        <w:ind w:firstLine="480" w:firstLineChars="200"/>
        <w:contextualSpacing/>
        <w:rPr>
          <w:rFonts w:ascii="宋体" w:hAnsi="宋体" w:cs="宋体"/>
          <w:sz w:val="24"/>
        </w:rPr>
      </w:pPr>
      <w:r>
        <w:rPr>
          <w:rFonts w:hint="eastAsia" w:ascii="宋体" w:hAnsi="宋体" w:cs="宋体"/>
          <w:sz w:val="24"/>
        </w:rPr>
        <w:t>8.4按不可抗力事件对履行本合同的影响程度，由双方协商决定是否解除合同、部分免除或变更合同的责任，或延期履行合同。</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9.争议解决条款</w:t>
      </w:r>
    </w:p>
    <w:p>
      <w:pPr>
        <w:spacing w:line="360" w:lineRule="auto"/>
        <w:ind w:firstLine="480" w:firstLineChars="200"/>
        <w:contextualSpacing/>
        <w:rPr>
          <w:rFonts w:ascii="宋体" w:hAnsi="宋体" w:cs="宋体"/>
          <w:sz w:val="24"/>
        </w:rPr>
      </w:pPr>
      <w:r>
        <w:rPr>
          <w:rFonts w:hint="eastAsia" w:ascii="宋体" w:hAnsi="宋体" w:cs="宋体"/>
          <w:sz w:val="24"/>
        </w:rPr>
        <w:t>对本合同履行过程中发生的或与本合同有关的一切争议，双方应本着平等互利的原则协商解决，协商不成的，双方选择以下第</w:t>
      </w:r>
      <w:r>
        <w:rPr>
          <w:rFonts w:hint="eastAsia" w:ascii="宋体" w:hAnsi="宋体" w:cs="宋体"/>
          <w:sz w:val="24"/>
          <w:u w:val="single"/>
        </w:rPr>
        <w:t>9.2</w:t>
      </w:r>
      <w:r>
        <w:rPr>
          <w:rFonts w:hint="eastAsia" w:ascii="宋体" w:hAnsi="宋体" w:cs="宋体"/>
          <w:sz w:val="24"/>
        </w:rPr>
        <w:t>种争议解决方式：</w:t>
      </w:r>
    </w:p>
    <w:p>
      <w:pPr>
        <w:spacing w:line="360" w:lineRule="auto"/>
        <w:ind w:firstLine="480" w:firstLineChars="200"/>
        <w:contextualSpacing/>
        <w:rPr>
          <w:rFonts w:ascii="宋体" w:hAnsi="宋体" w:cs="宋体"/>
          <w:sz w:val="24"/>
        </w:rPr>
      </w:pPr>
      <w:r>
        <w:rPr>
          <w:rFonts w:hint="eastAsia" w:ascii="宋体" w:hAnsi="宋体" w:cs="宋体"/>
          <w:sz w:val="24"/>
        </w:rPr>
        <w:t>9.1由</w:t>
      </w:r>
      <w:r>
        <w:rPr>
          <w:rFonts w:hint="eastAsia" w:ascii="宋体" w:hAnsi="宋体" w:cs="宋体"/>
          <w:sz w:val="24"/>
          <w:u w:val="single"/>
        </w:rPr>
        <w:t>北京</w:t>
      </w:r>
      <w:r>
        <w:rPr>
          <w:rFonts w:hint="eastAsia" w:ascii="宋体" w:hAnsi="宋体" w:cs="宋体"/>
          <w:sz w:val="24"/>
        </w:rPr>
        <w:t>仲裁委员会仲裁 。</w:t>
      </w:r>
    </w:p>
    <w:p>
      <w:pPr>
        <w:spacing w:line="360" w:lineRule="auto"/>
        <w:ind w:firstLine="480" w:firstLineChars="200"/>
        <w:contextualSpacing/>
        <w:rPr>
          <w:rFonts w:ascii="宋体" w:hAnsi="宋体" w:cs="宋体"/>
          <w:sz w:val="24"/>
        </w:rPr>
      </w:pPr>
      <w:r>
        <w:rPr>
          <w:rFonts w:hint="eastAsia" w:ascii="宋体" w:hAnsi="宋体" w:cs="宋体"/>
          <w:sz w:val="24"/>
        </w:rPr>
        <w:t>9.2向甲方所在地有管辖权的人民法院起诉。</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10.合同条款修订、履行、通知、沟通</w:t>
      </w:r>
    </w:p>
    <w:p>
      <w:pPr>
        <w:spacing w:line="360" w:lineRule="auto"/>
        <w:ind w:firstLine="480" w:firstLineChars="200"/>
        <w:contextualSpacing/>
        <w:rPr>
          <w:rFonts w:ascii="宋体" w:hAnsi="宋体" w:cs="宋体"/>
          <w:sz w:val="24"/>
        </w:rPr>
      </w:pPr>
      <w:r>
        <w:rPr>
          <w:rFonts w:hint="eastAsia" w:ascii="宋体" w:hAnsi="宋体" w:cs="宋体"/>
          <w:sz w:val="24"/>
        </w:rPr>
        <w:t>10.1本合同的所有修改应在双方都同意的基础上，以双方法定代表人或授权代表签字并加盖公章的书面形式修正；</w:t>
      </w:r>
    </w:p>
    <w:p>
      <w:pPr>
        <w:spacing w:line="360" w:lineRule="auto"/>
        <w:ind w:firstLine="480" w:firstLineChars="200"/>
        <w:contextualSpacing/>
        <w:rPr>
          <w:rFonts w:ascii="宋体" w:hAnsi="宋体" w:cs="宋体"/>
          <w:sz w:val="24"/>
        </w:rPr>
      </w:pPr>
      <w:r>
        <w:rPr>
          <w:rFonts w:hint="eastAsia" w:ascii="宋体" w:hAnsi="宋体" w:cs="宋体"/>
          <w:sz w:val="24"/>
        </w:rPr>
        <w:t>10.2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12.保密条款</w:t>
      </w:r>
    </w:p>
    <w:p>
      <w:pPr>
        <w:spacing w:line="360" w:lineRule="auto"/>
        <w:ind w:firstLine="480" w:firstLineChars="200"/>
        <w:contextualSpacing/>
        <w:rPr>
          <w:rFonts w:ascii="宋体" w:hAnsi="宋体" w:cs="宋体"/>
          <w:sz w:val="24"/>
        </w:rPr>
      </w:pPr>
      <w:r>
        <w:rPr>
          <w:rFonts w:hint="eastAsia" w:ascii="宋体" w:hAnsi="宋体" w:cs="宋体"/>
          <w:sz w:val="24"/>
        </w:rPr>
        <w:t>12.1一方由于签署或履行本合同了解、接触或获得到的对方资料、信息均应保守秘密，非经对方书面同意，任何一方不得向第三方泄露；如若泄露，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12.2双方应采取一切合理措施使保密内容免于散发、传播、披露、复制、滥用及被无关人员接触；如出现前述情况，违约方承担由此产生的全部责任，并赔偿守约方因此受到的一切损失；</w:t>
      </w:r>
    </w:p>
    <w:p>
      <w:pPr>
        <w:spacing w:line="360" w:lineRule="auto"/>
        <w:ind w:firstLine="480" w:firstLineChars="200"/>
        <w:contextualSpacing/>
        <w:rPr>
          <w:rFonts w:ascii="宋体" w:hAnsi="宋体" w:cs="宋体"/>
          <w:sz w:val="24"/>
        </w:rPr>
      </w:pPr>
      <w:r>
        <w:rPr>
          <w:rFonts w:hint="eastAsia" w:ascii="宋体" w:hAnsi="宋体" w:cs="宋体"/>
          <w:sz w:val="24"/>
        </w:rPr>
        <w:t>12.3双方应承诺其与本合同相关人员对触及的保密信息保密，双方各自对其人员就此条款的违约行为承担法律责任。</w:t>
      </w:r>
    </w:p>
    <w:p>
      <w:pPr>
        <w:spacing w:line="360" w:lineRule="auto"/>
        <w:ind w:firstLine="480" w:firstLineChars="200"/>
        <w:contextualSpacing/>
        <w:rPr>
          <w:rFonts w:ascii="宋体" w:hAnsi="宋体" w:cs="宋体"/>
          <w:sz w:val="24"/>
        </w:rPr>
      </w:pPr>
      <w:r>
        <w:rPr>
          <w:rFonts w:hint="eastAsia" w:ascii="宋体" w:hAnsi="宋体" w:cs="宋体"/>
          <w:sz w:val="24"/>
        </w:rPr>
        <w:t>12.4本条规定持续有效，不因本合同解除而失效。</w:t>
      </w:r>
    </w:p>
    <w:p>
      <w:pPr>
        <w:spacing w:line="360" w:lineRule="auto"/>
        <w:ind w:firstLine="482" w:firstLineChars="200"/>
        <w:contextualSpacing/>
        <w:outlineLvl w:val="2"/>
        <w:rPr>
          <w:rFonts w:ascii="宋体" w:hAnsi="宋体" w:cs="宋体"/>
          <w:b/>
          <w:sz w:val="24"/>
        </w:rPr>
      </w:pPr>
      <w:r>
        <w:rPr>
          <w:rFonts w:hint="eastAsia" w:ascii="宋体" w:hAnsi="宋体" w:cs="宋体"/>
          <w:b/>
          <w:sz w:val="24"/>
        </w:rPr>
        <w:t>13.合同生效、其它</w:t>
      </w:r>
    </w:p>
    <w:p>
      <w:pPr>
        <w:spacing w:line="360" w:lineRule="auto"/>
        <w:ind w:firstLine="480" w:firstLineChars="200"/>
        <w:contextualSpacing/>
        <w:rPr>
          <w:rFonts w:ascii="宋体" w:hAnsi="宋体" w:cs="宋体"/>
          <w:sz w:val="24"/>
          <w:lang w:val="en-GB"/>
        </w:rPr>
      </w:pPr>
      <w:r>
        <w:rPr>
          <w:rFonts w:hint="eastAsia" w:ascii="宋体" w:hAnsi="宋体" w:cs="宋体"/>
          <w:sz w:val="24"/>
        </w:rPr>
        <w:t>13.1本合同或与本合同相关的附件经合同双方法定代表人或委托代理人签字并加盖公章后生效；</w:t>
      </w:r>
    </w:p>
    <w:p>
      <w:pPr>
        <w:spacing w:line="360" w:lineRule="auto"/>
        <w:ind w:firstLine="480" w:firstLineChars="200"/>
        <w:contextualSpacing/>
        <w:rPr>
          <w:rFonts w:ascii="宋体" w:hAnsi="宋体" w:cs="宋体"/>
          <w:sz w:val="24"/>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w:t>
      </w:r>
      <w:r>
        <w:rPr>
          <w:rFonts w:hint="eastAsia" w:ascii="宋体" w:hAnsi="宋体" w:cs="宋体"/>
          <w:sz w:val="24"/>
        </w:rPr>
        <w:t>本合同书与合同相关的附件均一式陆份，其中甲方叁份，乙方持叁份均具有同等法律效力；</w:t>
      </w:r>
    </w:p>
    <w:p>
      <w:pPr>
        <w:spacing w:line="360" w:lineRule="auto"/>
        <w:ind w:firstLine="480" w:firstLineChars="200"/>
        <w:contextualSpacing/>
        <w:rPr>
          <w:rFonts w:ascii="宋体" w:hAnsi="宋体" w:cs="宋体"/>
          <w:sz w:val="24"/>
        </w:rPr>
      </w:pPr>
      <w:r>
        <w:rPr>
          <w:rFonts w:hint="eastAsia" w:ascii="宋体" w:hAnsi="宋体" w:cs="宋体"/>
          <w:sz w:val="24"/>
        </w:rPr>
        <w:t>13.3本合同之附件、补充合同具有与本合同同等的法律效力。除双方在补充合同中特别约定外，补充合同效力优先于本合同，补充合同生效以双方代表签字并加盖公章为准；</w:t>
      </w:r>
    </w:p>
    <w:p>
      <w:pPr>
        <w:spacing w:line="360" w:lineRule="auto"/>
        <w:ind w:firstLine="480" w:firstLineChars="200"/>
        <w:contextualSpacing/>
        <w:rPr>
          <w:rFonts w:ascii="宋体" w:hAnsi="宋体" w:cs="宋体"/>
          <w:sz w:val="24"/>
        </w:rPr>
      </w:pPr>
      <w:r>
        <w:rPr>
          <w:rFonts w:hint="eastAsia" w:ascii="宋体" w:hAnsi="宋体" w:cs="宋体"/>
          <w:sz w:val="24"/>
        </w:rPr>
        <w:t>13.4本合同包含合同双方所有意向，取代双方在此之前与本合同相关的一切口头或书面合同；</w:t>
      </w:r>
    </w:p>
    <w:p>
      <w:pPr>
        <w:spacing w:line="360" w:lineRule="auto"/>
        <w:ind w:firstLine="480" w:firstLineChars="200"/>
        <w:contextualSpacing/>
        <w:rPr>
          <w:rFonts w:ascii="宋体" w:hAnsi="宋体" w:cs="宋体"/>
          <w:sz w:val="24"/>
        </w:rPr>
      </w:pPr>
      <w:r>
        <w:rPr>
          <w:rFonts w:hint="eastAsia" w:ascii="宋体" w:hAnsi="宋体" w:cs="宋体"/>
          <w:sz w:val="24"/>
        </w:rPr>
        <w:t>13.5由乙方为本合同督查考评管理服务-首都城市环境建设管理综合检查项目编制的工作成果所产生的知识产权属于甲方，乙方不得以任何方式将本项目资料的全部或部分复制、传播、转让或以其他方式泄露给其他单位或个人。否则，甲方有权向乙方追偿。</w:t>
      </w:r>
    </w:p>
    <w:p>
      <w:pPr>
        <w:spacing w:line="360" w:lineRule="auto"/>
        <w:ind w:firstLine="480" w:firstLineChars="200"/>
        <w:contextualSpacing/>
        <w:rPr>
          <w:rFonts w:ascii="宋体" w:hAnsi="宋体" w:cs="宋体"/>
          <w:sz w:val="24"/>
          <w:lang w:val="en-GB"/>
        </w:rPr>
      </w:pPr>
      <w:r>
        <w:rPr>
          <w:rFonts w:hint="eastAsia" w:ascii="宋体" w:hAnsi="宋体" w:cs="宋体"/>
          <w:sz w:val="24"/>
        </w:rPr>
        <w:t>13.6本</w:t>
      </w:r>
      <w:r>
        <w:rPr>
          <w:rFonts w:hint="eastAsia" w:ascii="宋体" w:hAnsi="宋体" w:cs="宋体"/>
          <w:sz w:val="24"/>
          <w:lang w:val="en-GB"/>
        </w:rPr>
        <w:t>合同的章节的标题、目录是为了合同索引方便而设，不影响任何条款的结构或解释。</w:t>
      </w:r>
      <w:r>
        <w:rPr>
          <w:rFonts w:hint="eastAsia" w:ascii="宋体" w:hAnsi="宋体" w:cs="宋体"/>
          <w:sz w:val="24"/>
          <w:lang w:val="en-GB"/>
        </w:rPr>
        <w:br w:type="page"/>
      </w:r>
    </w:p>
    <w:p>
      <w:pPr>
        <w:spacing w:after="120" w:line="480" w:lineRule="exact"/>
        <w:jc w:val="center"/>
        <w:rPr>
          <w:rFonts w:ascii="宋体" w:hAnsi="宋体" w:cs="宋体"/>
          <w:sz w:val="24"/>
        </w:rPr>
      </w:pPr>
      <w:r>
        <w:rPr>
          <w:rFonts w:hint="eastAsia" w:ascii="宋体" w:hAnsi="宋体" w:cs="宋体"/>
          <w:sz w:val="24"/>
        </w:rPr>
        <w:t>&lt; ---- 以下无正文 ---- &gt;</w:t>
      </w:r>
    </w:p>
    <w:p>
      <w:pPr>
        <w:spacing w:after="120" w:line="480" w:lineRule="exact"/>
        <w:rPr>
          <w:rFonts w:ascii="宋体" w:hAnsi="宋体" w:cs="宋体"/>
          <w:sz w:val="24"/>
        </w:rPr>
      </w:pPr>
    </w:p>
    <w:tbl>
      <w:tblPr>
        <w:tblStyle w:val="5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8"/>
        <w:gridCol w:w="1704"/>
        <w:gridCol w:w="3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r>
              <w:rPr>
                <w:rFonts w:hint="eastAsia" w:ascii="宋体" w:hAnsi="宋体" w:cs="宋体"/>
                <w:sz w:val="24"/>
              </w:rPr>
              <w:t>甲方：</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r>
              <w:rPr>
                <w:rFonts w:hint="eastAsia" w:ascii="宋体" w:hAnsi="宋体" w:cs="宋体"/>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vMerge w:val="restart"/>
          </w:tcPr>
          <w:p>
            <w:pPr>
              <w:spacing w:after="120" w:line="480" w:lineRule="exact"/>
              <w:rPr>
                <w:rFonts w:ascii="宋体" w:hAnsi="宋体" w:cs="宋体"/>
                <w:sz w:val="24"/>
              </w:rPr>
            </w:pPr>
            <w:r>
              <w:rPr>
                <w:rFonts w:hint="eastAsia" w:ascii="宋体" w:hAnsi="宋体" w:cs="宋体"/>
                <w:sz w:val="24"/>
              </w:rPr>
              <w:t>法定代表人或</w:t>
            </w:r>
            <w:r>
              <w:rPr>
                <w:rFonts w:hint="eastAsia" w:ascii="宋体" w:hAnsi="宋体" w:cs="宋体"/>
                <w:sz w:val="24"/>
                <w:szCs w:val="20"/>
              </w:rPr>
              <w:t>委托代理</w:t>
            </w:r>
            <w:r>
              <w:rPr>
                <w:rFonts w:hint="eastAsia" w:ascii="宋体" w:hAnsi="宋体" w:cs="宋体"/>
                <w:sz w:val="24"/>
              </w:rPr>
              <w:t>人</w:t>
            </w:r>
          </w:p>
          <w:p>
            <w:pPr>
              <w:spacing w:after="120" w:line="480" w:lineRule="exact"/>
              <w:rPr>
                <w:rFonts w:ascii="宋体" w:hAnsi="宋体" w:cs="宋体"/>
                <w:sz w:val="24"/>
              </w:rPr>
            </w:pPr>
            <w:r>
              <w:rPr>
                <w:rFonts w:hint="eastAsia" w:ascii="宋体" w:hAnsi="宋体" w:cs="宋体"/>
                <w:sz w:val="24"/>
              </w:rPr>
              <w:t>签字：</w:t>
            </w:r>
          </w:p>
        </w:tc>
        <w:tc>
          <w:tcPr>
            <w:tcW w:w="1704" w:type="dxa"/>
          </w:tcPr>
          <w:p>
            <w:pPr>
              <w:spacing w:after="120" w:line="480" w:lineRule="exact"/>
              <w:rPr>
                <w:rFonts w:ascii="宋体" w:hAnsi="宋体" w:cs="宋体"/>
                <w:sz w:val="24"/>
              </w:rPr>
            </w:pPr>
          </w:p>
        </w:tc>
        <w:tc>
          <w:tcPr>
            <w:tcW w:w="3410" w:type="dxa"/>
            <w:vMerge w:val="restart"/>
          </w:tcPr>
          <w:p>
            <w:pPr>
              <w:spacing w:after="120" w:line="480" w:lineRule="exact"/>
              <w:rPr>
                <w:rFonts w:ascii="宋体" w:hAnsi="宋体" w:cs="宋体"/>
                <w:sz w:val="24"/>
              </w:rPr>
            </w:pPr>
            <w:r>
              <w:rPr>
                <w:rFonts w:hint="eastAsia" w:ascii="宋体" w:hAnsi="宋体" w:cs="宋体"/>
                <w:sz w:val="24"/>
              </w:rPr>
              <w:t>法定代表人或</w:t>
            </w:r>
            <w:r>
              <w:rPr>
                <w:rFonts w:hint="eastAsia" w:ascii="宋体" w:hAnsi="宋体" w:cs="宋体"/>
                <w:sz w:val="24"/>
                <w:szCs w:val="20"/>
              </w:rPr>
              <w:t>委托代理</w:t>
            </w:r>
            <w:r>
              <w:rPr>
                <w:rFonts w:hint="eastAsia" w:ascii="宋体" w:hAnsi="宋体" w:cs="宋体"/>
                <w:sz w:val="24"/>
              </w:rPr>
              <w:t>人</w:t>
            </w:r>
          </w:p>
          <w:p>
            <w:pPr>
              <w:spacing w:after="120" w:line="480" w:lineRule="exact"/>
              <w:rPr>
                <w:rFonts w:ascii="宋体" w:hAnsi="宋体" w:cs="宋体"/>
                <w:sz w:val="24"/>
              </w:rPr>
            </w:pPr>
            <w:r>
              <w:rPr>
                <w:rFonts w:hint="eastAsia" w:ascii="宋体" w:hAnsi="宋体" w:cs="宋体"/>
                <w:sz w:val="24"/>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vMerge w:val="continue"/>
          </w:tcPr>
          <w:p>
            <w:pPr>
              <w:spacing w:after="120" w:line="480" w:lineRule="exact"/>
              <w:rPr>
                <w:rFonts w:ascii="宋体" w:hAnsi="宋体" w:cs="宋体"/>
                <w:sz w:val="24"/>
              </w:rPr>
            </w:pPr>
          </w:p>
        </w:tc>
        <w:tc>
          <w:tcPr>
            <w:tcW w:w="1704" w:type="dxa"/>
          </w:tcPr>
          <w:p>
            <w:pPr>
              <w:spacing w:after="120" w:line="480" w:lineRule="exact"/>
              <w:rPr>
                <w:rFonts w:ascii="宋体" w:hAnsi="宋体" w:cs="宋体"/>
                <w:sz w:val="24"/>
              </w:rPr>
            </w:pPr>
          </w:p>
        </w:tc>
        <w:tc>
          <w:tcPr>
            <w:tcW w:w="3410" w:type="dxa"/>
            <w:vMerge w:val="continue"/>
          </w:tcPr>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3408" w:type="dxa"/>
          </w:tcPr>
          <w:p>
            <w:pPr>
              <w:spacing w:after="120" w:line="480" w:lineRule="exact"/>
              <w:rPr>
                <w:rFonts w:ascii="宋体" w:hAnsi="宋体" w:cs="宋体"/>
                <w:sz w:val="24"/>
              </w:rPr>
            </w:pPr>
          </w:p>
          <w:p>
            <w:pPr>
              <w:spacing w:after="120" w:line="480" w:lineRule="exact"/>
              <w:rPr>
                <w:rFonts w:ascii="宋体" w:hAnsi="宋体" w:cs="宋体"/>
                <w:sz w:val="24"/>
              </w:rPr>
            </w:pPr>
            <w:r>
              <w:rPr>
                <w:rFonts w:hint="eastAsia" w:ascii="宋体" w:hAnsi="宋体" w:cs="宋体"/>
                <w:sz w:val="24"/>
              </w:rPr>
              <w:t xml:space="preserve">单位盖章：  </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p>
          <w:p>
            <w:pPr>
              <w:spacing w:after="120" w:line="480" w:lineRule="exact"/>
              <w:rPr>
                <w:rFonts w:ascii="宋体" w:hAnsi="宋体" w:cs="宋体"/>
                <w:sz w:val="24"/>
              </w:rPr>
            </w:pPr>
            <w:r>
              <w:rPr>
                <w:rFonts w:hint="eastAsia" w:ascii="宋体" w:hAnsi="宋体" w:cs="宋体"/>
                <w:sz w:val="24"/>
              </w:rPr>
              <w:t>单位盖章：</w:t>
            </w:r>
          </w:p>
          <w:p>
            <w:pPr>
              <w:spacing w:after="120" w:line="480" w:lineRule="exact"/>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8" w:type="dxa"/>
          </w:tcPr>
          <w:p>
            <w:pPr>
              <w:spacing w:after="120" w:line="480" w:lineRule="exact"/>
              <w:rPr>
                <w:rFonts w:ascii="宋体" w:hAnsi="宋体" w:cs="宋体"/>
                <w:sz w:val="24"/>
              </w:rPr>
            </w:pPr>
            <w:r>
              <w:rPr>
                <w:rFonts w:hint="eastAsia" w:ascii="宋体" w:hAnsi="宋体" w:cs="宋体"/>
                <w:sz w:val="24"/>
              </w:rPr>
              <w:t xml:space="preserve">日期：     年    月    日      </w:t>
            </w:r>
          </w:p>
        </w:tc>
        <w:tc>
          <w:tcPr>
            <w:tcW w:w="1704" w:type="dxa"/>
          </w:tcPr>
          <w:p>
            <w:pPr>
              <w:spacing w:after="120" w:line="480" w:lineRule="exact"/>
              <w:rPr>
                <w:rFonts w:ascii="宋体" w:hAnsi="宋体" w:cs="宋体"/>
                <w:sz w:val="24"/>
              </w:rPr>
            </w:pPr>
          </w:p>
        </w:tc>
        <w:tc>
          <w:tcPr>
            <w:tcW w:w="3410" w:type="dxa"/>
          </w:tcPr>
          <w:p>
            <w:pPr>
              <w:spacing w:after="120" w:line="480" w:lineRule="exact"/>
              <w:rPr>
                <w:rFonts w:ascii="宋体" w:hAnsi="宋体" w:cs="宋体"/>
                <w:sz w:val="24"/>
              </w:rPr>
            </w:pPr>
            <w:r>
              <w:rPr>
                <w:rFonts w:hint="eastAsia" w:ascii="宋体" w:hAnsi="宋体" w:cs="宋体"/>
                <w:sz w:val="24"/>
              </w:rPr>
              <w:t xml:space="preserve"> 日期：    年     月    日</w:t>
            </w:r>
          </w:p>
        </w:tc>
      </w:tr>
    </w:tbl>
    <w:p>
      <w:pPr>
        <w:spacing w:before="120" w:beforeLines="50" w:line="360" w:lineRule="auto"/>
        <w:ind w:firstLine="480" w:firstLineChars="200"/>
        <w:rPr>
          <w:rFonts w:ascii="宋体" w:hAnsi="宋体" w:cs="宋体"/>
          <w:kern w:val="0"/>
          <w:sz w:val="24"/>
          <w:lang w:val="en-GB"/>
        </w:rPr>
      </w:pPr>
    </w:p>
    <w:p>
      <w:pPr>
        <w:spacing w:before="120" w:beforeLines="50" w:line="360" w:lineRule="auto"/>
        <w:rPr>
          <w:rFonts w:ascii="宋体" w:hAnsi="宋体" w:cs="宋体"/>
          <w:kern w:val="0"/>
          <w:sz w:val="24"/>
          <w:lang w:val="en-GB"/>
        </w:rPr>
      </w:pPr>
    </w:p>
    <w:p>
      <w:pPr>
        <w:tabs>
          <w:tab w:val="left" w:pos="567"/>
        </w:tabs>
        <w:spacing w:after="120"/>
        <w:ind w:firstLine="240" w:firstLineChars="100"/>
        <w:rPr>
          <w:rFonts w:ascii="宋体" w:hAnsi="宋体" w:cs="宋体"/>
          <w:sz w:val="24"/>
          <w:lang w:val="en-GB"/>
        </w:rPr>
      </w:pPr>
    </w:p>
    <w:p>
      <w:pPr>
        <w:rPr>
          <w:rFonts w:ascii="宋体" w:hAnsi="宋体" w:cs="宋体"/>
          <w:sz w:val="24"/>
        </w:rPr>
      </w:pPr>
      <w:r>
        <w:rPr>
          <w:rFonts w:hint="eastAsia" w:ascii="宋体" w:hAnsi="宋体" w:cs="宋体"/>
          <w:sz w:val="24"/>
        </w:rPr>
        <w:br w:type="page"/>
      </w:r>
    </w:p>
    <w:p>
      <w:pPr>
        <w:widowControl/>
        <w:jc w:val="left"/>
        <w:rPr>
          <w:rFonts w:ascii="宋体" w:hAnsi="宋体" w:cs="宋体"/>
          <w:b/>
          <w:bCs/>
          <w:sz w:val="24"/>
        </w:rPr>
      </w:pPr>
      <w:r>
        <w:rPr>
          <w:rFonts w:hint="eastAsia" w:ascii="宋体" w:hAnsi="宋体" w:cs="宋体"/>
          <w:b/>
          <w:bCs/>
          <w:sz w:val="24"/>
        </w:rPr>
        <w:t>附件： 督查考评管理服务—首都城市环境建设管理社会公众满意度考核评价项目验收办法</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一、评估方式</w:t>
      </w:r>
    </w:p>
    <w:p>
      <w:pPr>
        <w:numPr>
          <w:ilvl w:val="0"/>
          <w:numId w:val="21"/>
        </w:numPr>
        <w:spacing w:line="360" w:lineRule="auto"/>
        <w:ind w:firstLine="480" w:firstLineChars="200"/>
        <w:rPr>
          <w:rFonts w:ascii="宋体" w:hAnsi="宋体" w:cs="宋体"/>
          <w:sz w:val="24"/>
        </w:rPr>
      </w:pPr>
      <w:r>
        <w:rPr>
          <w:rFonts w:hint="eastAsia" w:ascii="宋体" w:hAnsi="宋体" w:cs="宋体"/>
          <w:sz w:val="24"/>
        </w:rPr>
        <w:t>评估采取百分制的方式，坚持客观公正，集体评估确定。</w:t>
      </w:r>
    </w:p>
    <w:p>
      <w:pPr>
        <w:numPr>
          <w:ilvl w:val="0"/>
          <w:numId w:val="21"/>
        </w:numPr>
        <w:spacing w:line="360" w:lineRule="auto"/>
        <w:ind w:firstLine="480" w:firstLineChars="200"/>
        <w:rPr>
          <w:rFonts w:ascii="宋体" w:hAnsi="宋体" w:cs="宋体"/>
          <w:sz w:val="24"/>
        </w:rPr>
      </w:pPr>
      <w:r>
        <w:rPr>
          <w:rFonts w:hint="eastAsia" w:ascii="宋体" w:hAnsi="宋体" w:cs="宋体"/>
          <w:sz w:val="24"/>
        </w:rPr>
        <w:t>2026年3月对项目执行进行第一次验收，2026年【11】月项目完成后执行第二次验收。每次验收评估总分在90分以上继续履行项目合同；总分90-80分之间，扣除金额=合同总款10%；总分在80-70分之间，扣除金额=合同总款20%；总分在70分以下，视为合同履行不合格，甲方有权解除合同，</w:t>
      </w:r>
      <w:r>
        <w:rPr>
          <w:rFonts w:hint="eastAsia" w:ascii="宋体" w:hAnsi="宋体" w:cs="宋体"/>
          <w:sz w:val="24"/>
          <w:lang w:val="en-GB"/>
        </w:rPr>
        <w:t>乙方应返还全部甲方已付费用，并向甲方支付合同总额</w:t>
      </w:r>
      <w:r>
        <w:rPr>
          <w:rFonts w:hint="eastAsia" w:ascii="宋体" w:hAnsi="宋体" w:cs="宋体"/>
          <w:sz w:val="24"/>
          <w:u w:val="single"/>
          <w:lang w:val="en-GB"/>
        </w:rPr>
        <w:t>10</w:t>
      </w:r>
      <w:r>
        <w:rPr>
          <w:rFonts w:hint="eastAsia" w:ascii="宋体" w:hAnsi="宋体" w:cs="宋体"/>
          <w:sz w:val="24"/>
          <w:lang w:val="en-GB"/>
        </w:rPr>
        <w:t>%的违约金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二、评估标准（总分100分）</w:t>
      </w:r>
    </w:p>
    <w:p>
      <w:pPr>
        <w:spacing w:line="360" w:lineRule="auto"/>
        <w:ind w:left="420" w:leftChars="200"/>
        <w:rPr>
          <w:rFonts w:ascii="宋体" w:hAnsi="宋体" w:cs="宋体"/>
          <w:sz w:val="24"/>
        </w:rPr>
      </w:pPr>
      <w:r>
        <w:rPr>
          <w:rFonts w:hint="eastAsia" w:ascii="宋体" w:hAnsi="宋体" w:cs="宋体"/>
          <w:sz w:val="24"/>
        </w:rPr>
        <w:t>1. 未遵守合同规定的保密条款或违背工作规范，向考核对象或无关人员透露包括不限于检查区域、检查路线、检查数据等信息的，视为违约行为，甲方有权解除合同。</w:t>
      </w:r>
    </w:p>
    <w:p>
      <w:pPr>
        <w:spacing w:line="360" w:lineRule="auto"/>
        <w:ind w:left="420" w:leftChars="200"/>
        <w:rPr>
          <w:rFonts w:ascii="宋体" w:hAnsi="宋体" w:cs="宋体"/>
          <w:sz w:val="24"/>
        </w:rPr>
      </w:pPr>
      <w:r>
        <w:rPr>
          <w:rFonts w:hint="eastAsia" w:ascii="宋体" w:hAnsi="宋体" w:cs="宋体"/>
          <w:sz w:val="24"/>
        </w:rPr>
        <w:t>2. 未经甲方同意，未按照合同规定进度或工作规范按时开展各项工作，每次延期5工作日（含）以内，扣5分；每次延期5个工作日以上，扣10分；</w:t>
      </w:r>
    </w:p>
    <w:p>
      <w:pPr>
        <w:spacing w:line="360" w:lineRule="auto"/>
        <w:ind w:left="420" w:leftChars="200"/>
        <w:rPr>
          <w:rFonts w:ascii="宋体" w:hAnsi="宋体" w:cs="宋体"/>
          <w:sz w:val="24"/>
        </w:rPr>
      </w:pPr>
      <w:r>
        <w:rPr>
          <w:rFonts w:hint="eastAsia" w:ascii="宋体" w:hAnsi="宋体" w:cs="宋体"/>
          <w:sz w:val="24"/>
        </w:rPr>
        <w:t>3. 数据不属实，存在弄虚造假行为的，每发现一次扣5分；</w:t>
      </w:r>
    </w:p>
    <w:p>
      <w:pPr>
        <w:spacing w:line="360" w:lineRule="auto"/>
        <w:ind w:left="420" w:leftChars="200"/>
        <w:rPr>
          <w:rFonts w:ascii="宋体" w:hAnsi="宋体" w:cs="宋体"/>
          <w:sz w:val="24"/>
        </w:rPr>
      </w:pPr>
      <w:r>
        <w:rPr>
          <w:rFonts w:hint="eastAsia" w:ascii="宋体" w:hAnsi="宋体" w:cs="宋体"/>
          <w:sz w:val="24"/>
        </w:rPr>
        <w:t>4. 数据分析有误，意见建议敷衍潦草、完全没有针对性、脱离工作实际、表述雷同的，每发现一次扣2分；</w:t>
      </w:r>
    </w:p>
    <w:p>
      <w:pPr>
        <w:spacing w:line="360" w:lineRule="auto"/>
        <w:ind w:left="420" w:leftChars="200"/>
        <w:rPr>
          <w:rFonts w:ascii="宋体" w:hAnsi="宋体" w:cs="宋体"/>
          <w:sz w:val="24"/>
        </w:rPr>
      </w:pPr>
      <w:r>
        <w:rPr>
          <w:rFonts w:hint="eastAsia" w:ascii="宋体" w:hAnsi="宋体" w:cs="宋体"/>
          <w:sz w:val="24"/>
        </w:rPr>
        <w:t>5. 合同履行期间，未及时或未按要求响应首都城市环境建设管理综合检查项目有关工作需求的，每次扣3分；</w:t>
      </w:r>
    </w:p>
    <w:p>
      <w:pPr>
        <w:spacing w:line="360" w:lineRule="auto"/>
        <w:ind w:left="420" w:leftChars="200"/>
        <w:rPr>
          <w:rFonts w:ascii="宋体" w:hAnsi="宋体" w:cs="宋体"/>
          <w:sz w:val="24"/>
        </w:rPr>
      </w:pPr>
      <w:r>
        <w:rPr>
          <w:rFonts w:hint="eastAsia" w:ascii="宋体" w:hAnsi="宋体" w:cs="宋体"/>
          <w:sz w:val="24"/>
        </w:rPr>
        <w:t>6. 乙方提供的各项材料中存在语句不通顺或错别字问题，每发现一处扣0.5分；</w:t>
      </w:r>
    </w:p>
    <w:p>
      <w:pPr>
        <w:spacing w:line="360" w:lineRule="auto"/>
        <w:ind w:left="420" w:leftChars="200"/>
        <w:rPr>
          <w:rFonts w:ascii="宋体" w:hAnsi="宋体" w:cs="宋体"/>
          <w:sz w:val="24"/>
        </w:rPr>
      </w:pPr>
      <w:r>
        <w:rPr>
          <w:rFonts w:hint="eastAsia" w:ascii="宋体" w:hAnsi="宋体" w:cs="宋体"/>
          <w:sz w:val="24"/>
        </w:rPr>
        <w:t>7. 抽查每发现一处问题遗漏扣1分。</w:t>
      </w:r>
    </w:p>
    <w:p>
      <w:pPr>
        <w:spacing w:line="360" w:lineRule="auto"/>
        <w:ind w:left="420" w:leftChars="200"/>
        <w:rPr>
          <w:rFonts w:ascii="宋体" w:hAnsi="宋体" w:cs="宋体"/>
          <w:sz w:val="24"/>
        </w:rPr>
      </w:pPr>
      <w:r>
        <w:rPr>
          <w:rFonts w:hint="eastAsia" w:ascii="宋体" w:hAnsi="宋体" w:cs="宋体"/>
          <w:sz w:val="24"/>
        </w:rPr>
        <w:t>8. 案件审核合格率不低于99%，每低0.1个百分点扣1分，系统每退回一个案件扣0.5分。</w:t>
      </w:r>
    </w:p>
    <w:p>
      <w:pPr>
        <w:spacing w:line="360" w:lineRule="auto"/>
        <w:ind w:firstLine="480" w:firstLineChars="200"/>
        <w:rPr>
          <w:rFonts w:ascii="宋体" w:hAnsi="宋体" w:cs="宋体"/>
          <w:sz w:val="24"/>
        </w:rPr>
      </w:pPr>
      <w:r>
        <w:rPr>
          <w:rFonts w:hint="eastAsia" w:ascii="宋体" w:hAnsi="宋体" w:cs="宋体"/>
          <w:sz w:val="24"/>
        </w:rPr>
        <w:br w:type="page"/>
      </w:r>
    </w:p>
    <w:p>
      <w:pPr>
        <w:spacing w:after="120"/>
        <w:rPr>
          <w:rFonts w:ascii="宋体" w:hAnsi="宋体" w:cs="宋体"/>
          <w:b/>
          <w:bCs/>
          <w:sz w:val="24"/>
        </w:rPr>
      </w:pPr>
      <w:r>
        <w:rPr>
          <w:rFonts w:hint="eastAsia" w:ascii="宋体" w:hAnsi="宋体" w:cs="宋体"/>
          <w:b/>
          <w:bCs/>
          <w:sz w:val="24"/>
        </w:rPr>
        <w:t>附件：督查考评管理服务—首都城市环境建设管理社会公众满意度考核评价项目保密管理办法</w:t>
      </w:r>
    </w:p>
    <w:p>
      <w:pPr>
        <w:spacing w:line="360" w:lineRule="auto"/>
        <w:ind w:firstLine="480" w:firstLineChars="200"/>
        <w:rPr>
          <w:rFonts w:ascii="宋体" w:hAnsi="宋体" w:cs="宋体"/>
          <w:sz w:val="24"/>
        </w:rPr>
      </w:pPr>
      <w:r>
        <w:rPr>
          <w:rFonts w:hint="eastAsia" w:ascii="宋体" w:hAnsi="宋体" w:cs="宋体"/>
          <w:sz w:val="24"/>
        </w:rPr>
        <w:t>本合同中的甲、乙双方在实施督查考评管理服务—首都城市环境建设管理综合检查项目过程中必须遵照《中华人民共和国保守国家秘密法》和《中华人民共和国统计法》等国家法律法规，对在合同履行过程中知悉的以及甲方提供的技术情报、资料、数据、信息等承担保密义务，履行以下保密内容：</w:t>
      </w:r>
    </w:p>
    <w:p>
      <w:pPr>
        <w:spacing w:line="360" w:lineRule="auto"/>
        <w:ind w:firstLine="482" w:firstLineChars="200"/>
        <w:rPr>
          <w:rFonts w:ascii="宋体" w:hAnsi="宋体" w:cs="宋体"/>
          <w:b/>
          <w:bCs/>
          <w:sz w:val="24"/>
        </w:rPr>
      </w:pPr>
      <w:r>
        <w:rPr>
          <w:rFonts w:hint="eastAsia" w:ascii="宋体" w:hAnsi="宋体" w:cs="宋体"/>
          <w:b/>
          <w:bCs/>
          <w:sz w:val="24"/>
        </w:rPr>
        <w:t>一、保密期限</w:t>
      </w:r>
    </w:p>
    <w:p>
      <w:pPr>
        <w:spacing w:line="360" w:lineRule="auto"/>
        <w:ind w:firstLine="480" w:firstLineChars="200"/>
        <w:rPr>
          <w:rFonts w:ascii="宋体" w:hAnsi="宋体" w:cs="宋体"/>
          <w:sz w:val="24"/>
        </w:rPr>
      </w:pPr>
      <w:r>
        <w:rPr>
          <w:rFonts w:hint="eastAsia" w:ascii="宋体" w:hAnsi="宋体" w:cs="宋体"/>
          <w:sz w:val="24"/>
        </w:rPr>
        <w:t>1.本合同适用但不限于项目实施的全过程，保密期在项目结束后长久有效。包括：申报、组织、实施、验收、成果管理以及后续开发、应用等。</w:t>
      </w:r>
    </w:p>
    <w:p>
      <w:pPr>
        <w:spacing w:line="360" w:lineRule="auto"/>
        <w:ind w:firstLine="480" w:firstLineChars="200"/>
        <w:rPr>
          <w:rFonts w:ascii="宋体" w:hAnsi="宋体" w:cs="宋体"/>
          <w:sz w:val="24"/>
        </w:rPr>
      </w:pPr>
      <w:r>
        <w:rPr>
          <w:rFonts w:hint="eastAsia" w:ascii="宋体" w:hAnsi="宋体" w:cs="宋体"/>
          <w:sz w:val="24"/>
        </w:rPr>
        <w:t>2.不论项目合同是否变更、解除或者解除，本合同保密条款不受其限制而继续有效，各方均应继续承担约定的保密义务。</w:t>
      </w:r>
    </w:p>
    <w:p>
      <w:pPr>
        <w:spacing w:line="360" w:lineRule="auto"/>
        <w:ind w:firstLine="482" w:firstLineChars="200"/>
        <w:rPr>
          <w:rFonts w:ascii="宋体" w:hAnsi="宋体" w:cs="宋体"/>
          <w:b/>
          <w:bCs/>
          <w:sz w:val="24"/>
        </w:rPr>
      </w:pPr>
      <w:r>
        <w:rPr>
          <w:rFonts w:hint="eastAsia" w:ascii="宋体" w:hAnsi="宋体" w:cs="宋体"/>
          <w:b/>
          <w:bCs/>
          <w:sz w:val="24"/>
        </w:rPr>
        <w:t>二、保密内容：</w:t>
      </w:r>
    </w:p>
    <w:p>
      <w:pPr>
        <w:spacing w:line="360" w:lineRule="auto"/>
        <w:ind w:firstLine="480" w:firstLineChars="200"/>
        <w:rPr>
          <w:rFonts w:ascii="宋体" w:hAnsi="宋体" w:cs="宋体"/>
          <w:sz w:val="24"/>
        </w:rPr>
      </w:pPr>
      <w:r>
        <w:rPr>
          <w:rFonts w:hint="eastAsia" w:ascii="宋体" w:hAnsi="宋体" w:cs="宋体"/>
          <w:sz w:val="24"/>
        </w:rPr>
        <w:t>1.本项目组所有工作人员必须严格遵守工作纪律，不得向外界泄露工作情况。</w:t>
      </w:r>
    </w:p>
    <w:p>
      <w:pPr>
        <w:spacing w:line="360" w:lineRule="auto"/>
        <w:ind w:firstLine="480" w:firstLineChars="200"/>
        <w:rPr>
          <w:rFonts w:ascii="宋体" w:hAnsi="宋体" w:cs="宋体"/>
          <w:sz w:val="24"/>
        </w:rPr>
      </w:pPr>
      <w:r>
        <w:rPr>
          <w:rFonts w:hint="eastAsia" w:ascii="宋体" w:hAnsi="宋体" w:cs="宋体"/>
          <w:sz w:val="24"/>
        </w:rPr>
        <w:t>2.本项目组成员不得以个人名义与被检查区联系，需要与被检查区了解检查情况的须通过甲方进行联系，了解情况时要有甲方工作人员在场。</w:t>
      </w:r>
    </w:p>
    <w:p>
      <w:pPr>
        <w:spacing w:line="360" w:lineRule="auto"/>
        <w:ind w:firstLine="480" w:firstLineChars="200"/>
        <w:rPr>
          <w:rFonts w:ascii="宋体" w:hAnsi="宋体" w:cs="宋体"/>
          <w:sz w:val="24"/>
        </w:rPr>
      </w:pPr>
      <w:r>
        <w:rPr>
          <w:rFonts w:hint="eastAsia" w:ascii="宋体" w:hAnsi="宋体" w:cs="宋体"/>
          <w:sz w:val="24"/>
        </w:rPr>
        <w:t>3.本项目组成员不得向任何项目组外成员透露本项目的检查结果。</w:t>
      </w:r>
    </w:p>
    <w:p>
      <w:pPr>
        <w:spacing w:line="360" w:lineRule="auto"/>
        <w:ind w:firstLine="480" w:firstLineChars="200"/>
        <w:rPr>
          <w:rFonts w:ascii="宋体" w:hAnsi="宋体" w:cs="宋体"/>
          <w:sz w:val="24"/>
        </w:rPr>
      </w:pPr>
      <w:r>
        <w:rPr>
          <w:rFonts w:hint="eastAsia" w:ascii="宋体" w:hAnsi="宋体" w:cs="宋体"/>
          <w:sz w:val="24"/>
        </w:rPr>
        <w:t>4.其他需要保密的内容，包括但不限于数据、图表、声像、软件等。</w:t>
      </w:r>
    </w:p>
    <w:p>
      <w:pPr>
        <w:spacing w:line="360" w:lineRule="auto"/>
        <w:ind w:firstLine="482" w:firstLineChars="200"/>
        <w:rPr>
          <w:rFonts w:ascii="宋体" w:hAnsi="宋体" w:cs="宋体"/>
          <w:b/>
          <w:bCs/>
          <w:sz w:val="24"/>
        </w:rPr>
      </w:pPr>
      <w:r>
        <w:rPr>
          <w:rFonts w:hint="eastAsia" w:ascii="宋体" w:hAnsi="宋体" w:cs="宋体"/>
          <w:b/>
          <w:bCs/>
          <w:sz w:val="24"/>
        </w:rPr>
        <w:t>三、甲方应承担的保密职责：</w:t>
      </w:r>
    </w:p>
    <w:p>
      <w:pPr>
        <w:spacing w:line="360" w:lineRule="auto"/>
        <w:ind w:firstLine="480" w:firstLineChars="200"/>
        <w:rPr>
          <w:rFonts w:ascii="宋体" w:hAnsi="宋体" w:cs="宋体"/>
          <w:sz w:val="24"/>
        </w:rPr>
      </w:pPr>
      <w:r>
        <w:rPr>
          <w:rFonts w:hint="eastAsia" w:ascii="宋体" w:hAnsi="宋体" w:cs="宋体"/>
          <w:sz w:val="24"/>
        </w:rPr>
        <w:t>1.甲方应对乙方检查数据使用情况进行及时监督。</w:t>
      </w:r>
    </w:p>
    <w:p>
      <w:pPr>
        <w:spacing w:line="360" w:lineRule="auto"/>
        <w:ind w:firstLine="480" w:firstLineChars="200"/>
        <w:rPr>
          <w:rFonts w:ascii="宋体" w:hAnsi="宋体" w:cs="宋体"/>
          <w:sz w:val="24"/>
        </w:rPr>
      </w:pPr>
      <w:r>
        <w:rPr>
          <w:rFonts w:hint="eastAsia" w:ascii="宋体" w:hAnsi="宋体" w:cs="宋体"/>
          <w:sz w:val="24"/>
        </w:rPr>
        <w:t>2.甲方有权制止乙方一切泄密及可能泄密的行为。</w:t>
      </w:r>
    </w:p>
    <w:p>
      <w:pPr>
        <w:spacing w:line="360" w:lineRule="auto"/>
        <w:ind w:firstLine="482" w:firstLineChars="200"/>
        <w:rPr>
          <w:rFonts w:ascii="宋体" w:hAnsi="宋体" w:cs="宋体"/>
          <w:b/>
          <w:bCs/>
          <w:sz w:val="24"/>
        </w:rPr>
      </w:pPr>
      <w:r>
        <w:rPr>
          <w:rFonts w:hint="eastAsia" w:ascii="宋体" w:hAnsi="宋体" w:cs="宋体"/>
          <w:b/>
          <w:bCs/>
          <w:sz w:val="24"/>
        </w:rPr>
        <w:t>四、乙方应承担的保密职责：</w:t>
      </w:r>
    </w:p>
    <w:p>
      <w:pPr>
        <w:spacing w:line="360" w:lineRule="auto"/>
        <w:ind w:firstLine="480" w:firstLineChars="200"/>
        <w:rPr>
          <w:rFonts w:ascii="宋体" w:hAnsi="宋体" w:cs="宋体"/>
          <w:sz w:val="24"/>
        </w:rPr>
      </w:pPr>
      <w:r>
        <w:rPr>
          <w:rFonts w:hint="eastAsia" w:ascii="宋体" w:hAnsi="宋体" w:cs="宋体"/>
          <w:sz w:val="24"/>
        </w:rPr>
        <w:t>1.乙方对甲方提供的所有工作数据负有保密义务，未经甲方书面同意，不得在本合同委托事项范围之外向任何第三人披露、使用，也不得自行使用。</w:t>
      </w:r>
    </w:p>
    <w:p>
      <w:pPr>
        <w:spacing w:line="360" w:lineRule="auto"/>
        <w:ind w:firstLine="480" w:firstLineChars="200"/>
        <w:rPr>
          <w:rFonts w:ascii="宋体" w:hAnsi="宋体" w:cs="宋体"/>
          <w:sz w:val="24"/>
        </w:rPr>
      </w:pPr>
      <w:r>
        <w:rPr>
          <w:rFonts w:hint="eastAsia" w:ascii="宋体" w:hAnsi="宋体" w:cs="宋体"/>
          <w:sz w:val="24"/>
        </w:rPr>
        <w:t>2.项目过程中以及项目完成后，乙方均不得复制、留存被甲方确认为需要保密的内容。</w:t>
      </w:r>
    </w:p>
    <w:p>
      <w:pPr>
        <w:spacing w:line="360" w:lineRule="auto"/>
        <w:ind w:firstLine="480" w:firstLineChars="200"/>
        <w:rPr>
          <w:rFonts w:ascii="宋体" w:hAnsi="宋体" w:cs="宋体"/>
        </w:rPr>
      </w:pPr>
      <w:r>
        <w:rPr>
          <w:rFonts w:hint="eastAsia" w:ascii="宋体" w:hAnsi="宋体" w:cs="宋体"/>
          <w:sz w:val="24"/>
        </w:rPr>
        <w:t>3.当乙方违反上述保密条款，应按合同约定向甲方支付违约金，同时甲方有权单方解除合同，并保留追究乙方相关责任的权利。</w:t>
      </w:r>
    </w:p>
    <w:p>
      <w:pPr>
        <w:spacing w:line="360" w:lineRule="auto"/>
        <w:rPr>
          <w:rFonts w:ascii="宋体" w:hAnsi="宋体" w:cs="宋体"/>
          <w:sz w:val="24"/>
        </w:rPr>
      </w:pPr>
    </w:p>
    <w:p>
      <w:pPr>
        <w:pStyle w:val="17"/>
        <w:ind w:firstLine="0"/>
        <w:rPr>
          <w:rFonts w:hAnsi="宋体" w:cs="宋体"/>
          <w:color w:val="FF0000"/>
        </w:rPr>
      </w:pPr>
    </w:p>
    <w:p>
      <w:pPr>
        <w:pStyle w:val="22"/>
        <w:rPr>
          <w:rFonts w:cs="宋体"/>
        </w:rPr>
      </w:pPr>
    </w:p>
    <w:p>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826" w:name="_Toc99301426"/>
      <w:r>
        <w:rPr>
          <w:rFonts w:hint="eastAsia" w:ascii="宋体" w:hAnsi="宋体" w:cs="宋体"/>
          <w:b/>
          <w:sz w:val="36"/>
          <w:szCs w:val="36"/>
        </w:rPr>
        <w:t>第七章   投标文件格式</w:t>
      </w:r>
      <w:bookmarkEnd w:id="826"/>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ascii="宋体" w:hAnsi="宋体" w:cs="宋体"/>
          <w:sz w:val="24"/>
        </w:rPr>
      </w:pPr>
      <w:r>
        <w:rPr>
          <w:rFonts w:hint="eastAsia" w:ascii="宋体" w:hAnsi="宋体" w:cs="宋体"/>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ascii="宋体" w:hAnsi="宋体" w:cs="宋体"/>
          <w:sz w:val="24"/>
        </w:rPr>
      </w:pPr>
    </w:p>
    <w:p>
      <w:pPr>
        <w:widowControl/>
        <w:jc w:val="left"/>
        <w:rPr>
          <w:rFonts w:ascii="宋体" w:hAnsi="宋体" w:cs="宋体"/>
          <w:color w:val="000000"/>
          <w:sz w:val="24"/>
          <w:szCs w:val="20"/>
        </w:rPr>
      </w:pPr>
      <w:r>
        <w:rPr>
          <w:rFonts w:hint="eastAsia" w:ascii="宋体" w:hAnsi="宋体" w:cs="宋体"/>
          <w:color w:val="000000"/>
          <w:sz w:val="24"/>
        </w:rPr>
        <w:br w:type="page"/>
      </w:r>
    </w:p>
    <w:p>
      <w:pPr>
        <w:pStyle w:val="7"/>
        <w:rPr>
          <w:rFonts w:hAnsi="宋体" w:cs="宋体"/>
          <w:b w:val="0"/>
          <w:bCs/>
          <w:color w:val="000000"/>
          <w:u w:val="none"/>
        </w:rPr>
      </w:pPr>
      <w:r>
        <w:rPr>
          <w:rFonts w:hint="eastAsia" w:hAnsi="宋体" w:cs="宋体"/>
          <w:b w:val="0"/>
          <w:color w:val="000000"/>
          <w:u w:val="none"/>
        </w:rPr>
        <w:t>1-2 投标人资格声明书</w:t>
      </w:r>
    </w:p>
    <w:p>
      <w:pPr>
        <w:jc w:val="center"/>
        <w:rPr>
          <w:rFonts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2"/>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序号</w:t>
            </w:r>
          </w:p>
        </w:tc>
        <w:tc>
          <w:tcPr>
            <w:tcW w:w="4574" w:type="dxa"/>
            <w:vAlign w:val="center"/>
          </w:tcPr>
          <w:p>
            <w:pPr>
              <w:jc w:val="center"/>
              <w:rPr>
                <w:rFonts w:ascii="宋体" w:hAnsi="宋体" w:cs="宋体"/>
                <w:sz w:val="24"/>
              </w:rPr>
            </w:pPr>
            <w:r>
              <w:rPr>
                <w:rFonts w:hint="eastAsia" w:ascii="宋体" w:hAnsi="宋体" w:cs="宋体"/>
                <w:sz w:val="24"/>
              </w:rPr>
              <w:t>单位名称</w:t>
            </w:r>
          </w:p>
        </w:tc>
        <w:tc>
          <w:tcPr>
            <w:tcW w:w="2976" w:type="dxa"/>
            <w:vAlign w:val="center"/>
          </w:tcPr>
          <w:p>
            <w:pPr>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1</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2</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bl>
    <w:p>
      <w:pPr>
        <w:rPr>
          <w:rFonts w:ascii="宋体" w:hAnsi="宋体" w:cs="宋体"/>
        </w:rPr>
      </w:pPr>
    </w:p>
    <w:p>
      <w:pPr>
        <w:ind w:firstLine="480" w:firstLineChars="200"/>
        <w:rPr>
          <w:rFonts w:ascii="宋体" w:hAnsi="宋体" w:cs="宋体"/>
          <w:sz w:val="24"/>
          <w:szCs w:val="22"/>
        </w:rPr>
      </w:pPr>
      <w:r>
        <w:rPr>
          <w:rFonts w:hint="eastAsia" w:ascii="宋体" w:hAnsi="宋体" w:cs="宋体"/>
          <w:sz w:val="24"/>
        </w:rPr>
        <w:t>上述声明真实有效，否则我方负全部责任。</w:t>
      </w:r>
    </w:p>
    <w:p>
      <w:pPr>
        <w:spacing w:line="360" w:lineRule="auto"/>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ascii="宋体" w:hAnsi="宋体" w:cs="宋体"/>
          <w:sz w:val="24"/>
        </w:rPr>
        <w:sectPr>
          <w:headerReference r:id="rId16" w:type="default"/>
          <w:footerReference r:id="rId17" w:type="default"/>
          <w:pgSz w:w="11907" w:h="16840"/>
          <w:pgMar w:top="1418" w:right="1134" w:bottom="1418" w:left="1701" w:header="851" w:footer="851" w:gutter="0"/>
          <w:cols w:space="720" w:num="1"/>
          <w:docGrid w:linePitch="462" w:charSpace="0"/>
        </w:sectPr>
      </w:pP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 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ascii="宋体" w:hAnsi="宋体" w:cs="宋体"/>
          <w:color w:val="000000"/>
          <w:sz w:val="24"/>
        </w:rPr>
      </w:pPr>
    </w:p>
    <w:p>
      <w:pPr>
        <w:spacing w:line="360" w:lineRule="auto"/>
        <w:rPr>
          <w:rFonts w:ascii="宋体" w:hAnsi="宋体" w:cs="宋体"/>
          <w:color w:val="000000"/>
          <w:sz w:val="24"/>
          <w:u w:val="single"/>
        </w:rPr>
      </w:pPr>
      <w:r>
        <w:rPr>
          <w:rFonts w:hint="eastAsia" w:ascii="宋体" w:hAnsi="宋体" w:cs="宋体"/>
          <w:color w:val="000000"/>
          <w:sz w:val="24"/>
        </w:rPr>
        <w:t xml:space="preserve">                                                企业名称（盖章）：</w:t>
      </w:r>
      <w:r>
        <w:rPr>
          <w:rFonts w:hint="eastAsia" w:ascii="宋体" w:hAnsi="宋体" w:cs="宋体"/>
          <w:color w:val="000000"/>
          <w:sz w:val="24"/>
          <w:u w:val="single"/>
        </w:rPr>
        <w:t xml:space="preserve">               </w:t>
      </w:r>
    </w:p>
    <w:p>
      <w:pPr>
        <w:tabs>
          <w:tab w:val="left" w:pos="9072"/>
        </w:tabs>
        <w:spacing w:line="360" w:lineRule="auto"/>
        <w:ind w:firstLine="480"/>
        <w:jc w:val="center"/>
        <w:rPr>
          <w:rFonts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72"/>
              <w:jc w:val="center"/>
              <w:rPr>
                <w:sz w:val="24"/>
              </w:rPr>
            </w:pPr>
            <w:r>
              <w:rPr>
                <w:rFonts w:hint="eastAsia"/>
                <w:sz w:val="24"/>
              </w:rPr>
              <w:t>序号</w:t>
            </w:r>
          </w:p>
        </w:tc>
        <w:tc>
          <w:tcPr>
            <w:tcW w:w="1287" w:type="dxa"/>
            <w:vAlign w:val="center"/>
          </w:tcPr>
          <w:p>
            <w:pPr>
              <w:pStyle w:val="272"/>
              <w:jc w:val="center"/>
              <w:rPr>
                <w:sz w:val="24"/>
              </w:rPr>
            </w:pPr>
            <w:r>
              <w:rPr>
                <w:rFonts w:hint="eastAsia"/>
                <w:sz w:val="24"/>
              </w:rPr>
              <w:t>分包承担</w:t>
            </w:r>
          </w:p>
          <w:p>
            <w:pPr>
              <w:pStyle w:val="272"/>
              <w:jc w:val="center"/>
              <w:rPr>
                <w:sz w:val="24"/>
              </w:rPr>
            </w:pPr>
            <w:r>
              <w:rPr>
                <w:rFonts w:hint="eastAsia"/>
                <w:sz w:val="24"/>
              </w:rPr>
              <w:t>主体名称</w:t>
            </w:r>
          </w:p>
        </w:tc>
        <w:tc>
          <w:tcPr>
            <w:tcW w:w="1513" w:type="dxa"/>
            <w:vAlign w:val="center"/>
          </w:tcPr>
          <w:p>
            <w:pPr>
              <w:pStyle w:val="272"/>
              <w:jc w:val="center"/>
              <w:rPr>
                <w:sz w:val="24"/>
                <w:lang w:eastAsia="zh-CN"/>
              </w:rPr>
            </w:pPr>
            <w:r>
              <w:rPr>
                <w:rFonts w:hint="eastAsia"/>
                <w:sz w:val="24"/>
                <w:lang w:eastAsia="zh-CN"/>
              </w:rPr>
              <w:t>分包承担</w:t>
            </w:r>
          </w:p>
          <w:p>
            <w:pPr>
              <w:pStyle w:val="272"/>
              <w:jc w:val="center"/>
              <w:rPr>
                <w:sz w:val="24"/>
                <w:lang w:eastAsia="zh-CN"/>
              </w:rPr>
            </w:pPr>
            <w:r>
              <w:rPr>
                <w:rFonts w:hint="eastAsia"/>
                <w:sz w:val="24"/>
                <w:lang w:eastAsia="zh-CN"/>
              </w:rPr>
              <w:t>主体类型</w:t>
            </w:r>
          </w:p>
          <w:p>
            <w:pPr>
              <w:pStyle w:val="272"/>
              <w:jc w:val="center"/>
              <w:rPr>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vAlign w:val="center"/>
          </w:tcPr>
          <w:p>
            <w:pPr>
              <w:pStyle w:val="272"/>
              <w:jc w:val="center"/>
              <w:rPr>
                <w:sz w:val="24"/>
              </w:rPr>
            </w:pPr>
            <w:r>
              <w:rPr>
                <w:rFonts w:hint="eastAsia"/>
                <w:sz w:val="24"/>
              </w:rPr>
              <w:t>资质等级</w:t>
            </w:r>
          </w:p>
        </w:tc>
        <w:tc>
          <w:tcPr>
            <w:tcW w:w="1558" w:type="dxa"/>
            <w:vAlign w:val="center"/>
          </w:tcPr>
          <w:p>
            <w:pPr>
              <w:pStyle w:val="272"/>
              <w:jc w:val="center"/>
              <w:rPr>
                <w:sz w:val="24"/>
              </w:rPr>
            </w:pPr>
            <w:r>
              <w:rPr>
                <w:rFonts w:hint="eastAsia"/>
                <w:sz w:val="24"/>
              </w:rPr>
              <w:t>拟分包</w:t>
            </w:r>
          </w:p>
          <w:p>
            <w:pPr>
              <w:pStyle w:val="272"/>
              <w:jc w:val="center"/>
              <w:rPr>
                <w:sz w:val="24"/>
              </w:rPr>
            </w:pPr>
            <w:r>
              <w:rPr>
                <w:rFonts w:hint="eastAsia"/>
                <w:sz w:val="24"/>
              </w:rPr>
              <w:t>合同内容</w:t>
            </w:r>
          </w:p>
        </w:tc>
        <w:tc>
          <w:tcPr>
            <w:tcW w:w="1498" w:type="dxa"/>
            <w:vAlign w:val="center"/>
          </w:tcPr>
          <w:p>
            <w:pPr>
              <w:pStyle w:val="272"/>
              <w:jc w:val="center"/>
              <w:rPr>
                <w:sz w:val="24"/>
                <w:lang w:eastAsia="zh-CN"/>
              </w:rPr>
            </w:pPr>
            <w:r>
              <w:rPr>
                <w:rFonts w:hint="eastAsia"/>
                <w:sz w:val="24"/>
                <w:lang w:eastAsia="zh-CN"/>
              </w:rPr>
              <w:t>拟分包</w:t>
            </w:r>
          </w:p>
          <w:p>
            <w:pPr>
              <w:pStyle w:val="272"/>
              <w:jc w:val="center"/>
              <w:rPr>
                <w:sz w:val="24"/>
                <w:lang w:eastAsia="zh-CN"/>
              </w:rPr>
            </w:pPr>
            <w:r>
              <w:rPr>
                <w:rFonts w:hint="eastAsia"/>
                <w:sz w:val="24"/>
                <w:lang w:eastAsia="zh-CN"/>
              </w:rPr>
              <w:t>合同金额</w:t>
            </w:r>
          </w:p>
          <w:p>
            <w:pPr>
              <w:pStyle w:val="272"/>
              <w:jc w:val="center"/>
              <w:rPr>
                <w:sz w:val="24"/>
                <w:lang w:eastAsia="zh-CN"/>
              </w:rPr>
            </w:pPr>
            <w:r>
              <w:rPr>
                <w:rFonts w:hint="eastAsia"/>
                <w:sz w:val="24"/>
                <w:lang w:eastAsia="zh-CN"/>
              </w:rPr>
              <w:t>（人民币元）</w:t>
            </w:r>
          </w:p>
        </w:tc>
        <w:tc>
          <w:tcPr>
            <w:tcW w:w="1564" w:type="dxa"/>
            <w:vAlign w:val="center"/>
          </w:tcPr>
          <w:p>
            <w:pPr>
              <w:pStyle w:val="272"/>
              <w:jc w:val="center"/>
              <w:rPr>
                <w:sz w:val="24"/>
                <w:lang w:eastAsia="zh-CN"/>
              </w:rPr>
            </w:pPr>
            <w:r>
              <w:rPr>
                <w:rFonts w:hint="eastAsia"/>
                <w:sz w:val="24"/>
                <w:lang w:eastAsia="zh-CN"/>
              </w:rPr>
              <w:t>占该采购包</w:t>
            </w:r>
          </w:p>
          <w:p>
            <w:pPr>
              <w:pStyle w:val="272"/>
              <w:jc w:val="center"/>
              <w:rPr>
                <w:sz w:val="24"/>
                <w:lang w:eastAsia="zh-CN"/>
              </w:rPr>
            </w:pPr>
            <w:r>
              <w:rPr>
                <w:rFonts w:hint="eastAsia"/>
                <w:b/>
                <w:bCs/>
                <w:sz w:val="24"/>
                <w:lang w:eastAsia="zh-CN"/>
              </w:rPr>
              <w:t>合同金额的</w:t>
            </w:r>
          </w:p>
          <w:p>
            <w:pPr>
              <w:pStyle w:val="272"/>
              <w:jc w:val="center"/>
              <w:rPr>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rPr>
            </w:pPr>
            <w:r>
              <w:rPr>
                <w:rFonts w:hint="eastAsia"/>
                <w:sz w:val="24"/>
              </w:rPr>
              <w:t>1</w:t>
            </w:r>
          </w:p>
        </w:tc>
        <w:tc>
          <w:tcPr>
            <w:tcW w:w="1287" w:type="dxa"/>
            <w:vAlign w:val="center"/>
          </w:tcPr>
          <w:p>
            <w:pPr>
              <w:pStyle w:val="272"/>
              <w:jc w:val="center"/>
              <w:rPr>
                <w:sz w:val="30"/>
              </w:rPr>
            </w:pPr>
          </w:p>
        </w:tc>
        <w:tc>
          <w:tcPr>
            <w:tcW w:w="1513" w:type="dxa"/>
            <w:vAlign w:val="center"/>
          </w:tcPr>
          <w:p>
            <w:pPr>
              <w:pStyle w:val="272"/>
              <w:tabs>
                <w:tab w:val="left" w:pos="235"/>
              </w:tabs>
              <w:ind w:left="-90" w:leftChars="-43" w:firstLine="240" w:firstLineChars="100"/>
              <w:rPr>
                <w:sz w:val="24"/>
                <w:lang w:eastAsia="zh-CN"/>
              </w:rPr>
            </w:pPr>
            <w:r>
              <w:rPr>
                <w:rFonts w:hint="eastAsia"/>
                <w:sz w:val="24"/>
                <w:lang w:eastAsia="zh-CN"/>
              </w:rPr>
              <w:t>□中型企业</w:t>
            </w:r>
          </w:p>
          <w:p>
            <w:pPr>
              <w:pStyle w:val="272"/>
              <w:tabs>
                <w:tab w:val="left" w:pos="235"/>
              </w:tabs>
              <w:ind w:left="-90" w:leftChars="-43" w:firstLine="240" w:firstLineChars="100"/>
              <w:rPr>
                <w:sz w:val="24"/>
                <w:lang w:eastAsia="zh-CN"/>
              </w:rPr>
            </w:pPr>
            <w:r>
              <w:rPr>
                <w:rFonts w:hint="eastAsia"/>
                <w:sz w:val="24"/>
                <w:lang w:eastAsia="zh-CN"/>
              </w:rPr>
              <w:t xml:space="preserve">□小微企业 </w:t>
            </w:r>
          </w:p>
          <w:p>
            <w:pPr>
              <w:pStyle w:val="272"/>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2"/>
              <w:jc w:val="center"/>
              <w:rPr>
                <w:sz w:val="30"/>
                <w:lang w:eastAsia="zh-CN"/>
              </w:rPr>
            </w:pPr>
          </w:p>
        </w:tc>
        <w:tc>
          <w:tcPr>
            <w:tcW w:w="1558" w:type="dxa"/>
            <w:vAlign w:val="center"/>
          </w:tcPr>
          <w:p>
            <w:pPr>
              <w:pStyle w:val="272"/>
              <w:jc w:val="center"/>
              <w:rPr>
                <w:sz w:val="30"/>
                <w:lang w:eastAsia="zh-CN"/>
              </w:rPr>
            </w:pPr>
          </w:p>
        </w:tc>
        <w:tc>
          <w:tcPr>
            <w:tcW w:w="1498" w:type="dxa"/>
            <w:vAlign w:val="center"/>
          </w:tcPr>
          <w:p>
            <w:pPr>
              <w:pStyle w:val="272"/>
              <w:jc w:val="center"/>
              <w:rPr>
                <w:sz w:val="30"/>
                <w:lang w:eastAsia="zh-CN"/>
              </w:rPr>
            </w:pPr>
          </w:p>
        </w:tc>
        <w:tc>
          <w:tcPr>
            <w:tcW w:w="1564" w:type="dxa"/>
            <w:vAlign w:val="center"/>
          </w:tcPr>
          <w:p>
            <w:pPr>
              <w:pStyle w:val="272"/>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lang w:eastAsia="zh-CN"/>
              </w:rPr>
            </w:pPr>
            <w:r>
              <w:rPr>
                <w:rFonts w:hint="eastAsia"/>
                <w:sz w:val="24"/>
                <w:lang w:eastAsia="zh-CN"/>
              </w:rPr>
              <w:t>2</w:t>
            </w:r>
          </w:p>
        </w:tc>
        <w:tc>
          <w:tcPr>
            <w:tcW w:w="1287" w:type="dxa"/>
            <w:vAlign w:val="center"/>
          </w:tcPr>
          <w:p>
            <w:pPr>
              <w:pStyle w:val="272"/>
              <w:jc w:val="center"/>
              <w:rPr>
                <w:sz w:val="30"/>
              </w:rPr>
            </w:pPr>
          </w:p>
        </w:tc>
        <w:tc>
          <w:tcPr>
            <w:tcW w:w="1513" w:type="dxa"/>
            <w:vAlign w:val="center"/>
          </w:tcPr>
          <w:p>
            <w:pPr>
              <w:pStyle w:val="272"/>
              <w:tabs>
                <w:tab w:val="left" w:pos="235"/>
              </w:tabs>
              <w:ind w:left="-90" w:leftChars="-43" w:firstLine="240" w:firstLineChars="100"/>
              <w:rPr>
                <w:sz w:val="24"/>
                <w:lang w:eastAsia="zh-CN"/>
              </w:rPr>
            </w:pPr>
            <w:r>
              <w:rPr>
                <w:rFonts w:hint="eastAsia"/>
                <w:sz w:val="24"/>
                <w:lang w:eastAsia="zh-CN"/>
              </w:rPr>
              <w:t>□中型企业</w:t>
            </w:r>
          </w:p>
          <w:p>
            <w:pPr>
              <w:pStyle w:val="272"/>
              <w:tabs>
                <w:tab w:val="left" w:pos="235"/>
              </w:tabs>
              <w:ind w:left="-90" w:firstLine="240" w:firstLineChars="100"/>
              <w:rPr>
                <w:sz w:val="24"/>
                <w:lang w:eastAsia="zh-CN"/>
              </w:rPr>
            </w:pPr>
            <w:r>
              <w:rPr>
                <w:rFonts w:hint="eastAsia"/>
                <w:sz w:val="24"/>
                <w:lang w:eastAsia="zh-CN"/>
              </w:rPr>
              <w:t xml:space="preserve">□小微企业 </w:t>
            </w:r>
          </w:p>
          <w:p>
            <w:pPr>
              <w:pStyle w:val="272"/>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2"/>
              <w:jc w:val="center"/>
              <w:rPr>
                <w:sz w:val="30"/>
                <w:lang w:eastAsia="zh-CN"/>
              </w:rPr>
            </w:pPr>
          </w:p>
        </w:tc>
        <w:tc>
          <w:tcPr>
            <w:tcW w:w="1558" w:type="dxa"/>
            <w:vAlign w:val="center"/>
          </w:tcPr>
          <w:p>
            <w:pPr>
              <w:pStyle w:val="272"/>
              <w:jc w:val="center"/>
              <w:rPr>
                <w:sz w:val="30"/>
                <w:lang w:eastAsia="zh-CN"/>
              </w:rPr>
            </w:pPr>
          </w:p>
        </w:tc>
        <w:tc>
          <w:tcPr>
            <w:tcW w:w="1498" w:type="dxa"/>
            <w:vAlign w:val="center"/>
          </w:tcPr>
          <w:p>
            <w:pPr>
              <w:pStyle w:val="272"/>
              <w:jc w:val="center"/>
              <w:rPr>
                <w:sz w:val="30"/>
                <w:lang w:eastAsia="zh-CN"/>
              </w:rPr>
            </w:pPr>
          </w:p>
        </w:tc>
        <w:tc>
          <w:tcPr>
            <w:tcW w:w="1564" w:type="dxa"/>
            <w:vAlign w:val="center"/>
          </w:tcPr>
          <w:p>
            <w:pPr>
              <w:pStyle w:val="272"/>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lang w:eastAsia="zh-CN"/>
              </w:rPr>
            </w:pPr>
            <w:r>
              <w:rPr>
                <w:rFonts w:hint="eastAsia"/>
                <w:sz w:val="24"/>
                <w:lang w:eastAsia="zh-CN"/>
              </w:rPr>
              <w:t>…</w:t>
            </w:r>
          </w:p>
        </w:tc>
        <w:tc>
          <w:tcPr>
            <w:tcW w:w="1287" w:type="dxa"/>
            <w:vAlign w:val="center"/>
          </w:tcPr>
          <w:p>
            <w:pPr>
              <w:pStyle w:val="272"/>
              <w:jc w:val="center"/>
              <w:rPr>
                <w:sz w:val="30"/>
              </w:rPr>
            </w:pPr>
          </w:p>
        </w:tc>
        <w:tc>
          <w:tcPr>
            <w:tcW w:w="1513" w:type="dxa"/>
            <w:vAlign w:val="center"/>
          </w:tcPr>
          <w:p>
            <w:pPr>
              <w:pStyle w:val="272"/>
              <w:tabs>
                <w:tab w:val="left" w:pos="235"/>
              </w:tabs>
              <w:jc w:val="center"/>
              <w:rPr>
                <w:sz w:val="24"/>
              </w:rPr>
            </w:pPr>
          </w:p>
        </w:tc>
        <w:tc>
          <w:tcPr>
            <w:tcW w:w="1125" w:type="dxa"/>
            <w:vAlign w:val="center"/>
          </w:tcPr>
          <w:p>
            <w:pPr>
              <w:pStyle w:val="272"/>
              <w:jc w:val="center"/>
              <w:rPr>
                <w:sz w:val="30"/>
              </w:rPr>
            </w:pPr>
          </w:p>
        </w:tc>
        <w:tc>
          <w:tcPr>
            <w:tcW w:w="1558" w:type="dxa"/>
            <w:vAlign w:val="center"/>
          </w:tcPr>
          <w:p>
            <w:pPr>
              <w:pStyle w:val="272"/>
              <w:jc w:val="center"/>
              <w:rPr>
                <w:sz w:val="30"/>
              </w:rPr>
            </w:pPr>
          </w:p>
        </w:tc>
        <w:tc>
          <w:tcPr>
            <w:tcW w:w="1498" w:type="dxa"/>
            <w:vAlign w:val="center"/>
          </w:tcPr>
          <w:p>
            <w:pPr>
              <w:pStyle w:val="272"/>
              <w:jc w:val="center"/>
              <w:rPr>
                <w:sz w:val="30"/>
              </w:rPr>
            </w:pPr>
          </w:p>
        </w:tc>
        <w:tc>
          <w:tcPr>
            <w:tcW w:w="1564" w:type="dxa"/>
            <w:vAlign w:val="center"/>
          </w:tcPr>
          <w:p>
            <w:pPr>
              <w:pStyle w:val="272"/>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72"/>
              <w:ind w:right="57" w:rightChars="27"/>
              <w:jc w:val="right"/>
              <w:rPr>
                <w:sz w:val="24"/>
                <w:lang w:eastAsia="zh-CN"/>
              </w:rPr>
            </w:pPr>
            <w:r>
              <w:rPr>
                <w:rFonts w:hint="eastAsia"/>
                <w:sz w:val="24"/>
                <w:lang w:eastAsia="zh-CN"/>
              </w:rPr>
              <w:t>合计：</w:t>
            </w:r>
          </w:p>
        </w:tc>
        <w:tc>
          <w:tcPr>
            <w:tcW w:w="1498" w:type="dxa"/>
            <w:vAlign w:val="center"/>
          </w:tcPr>
          <w:p>
            <w:pPr>
              <w:pStyle w:val="272"/>
              <w:jc w:val="center"/>
              <w:rPr>
                <w:sz w:val="30"/>
              </w:rPr>
            </w:pPr>
          </w:p>
        </w:tc>
        <w:tc>
          <w:tcPr>
            <w:tcW w:w="1564" w:type="dxa"/>
            <w:vAlign w:val="center"/>
          </w:tcPr>
          <w:p>
            <w:pPr>
              <w:pStyle w:val="272"/>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p>
    <w:p>
      <w:pPr>
        <w:adjustRightInd w:val="0"/>
        <w:snapToGrid w:val="0"/>
        <w:spacing w:line="360" w:lineRule="auto"/>
        <w:jc w:val="left"/>
        <w:rPr>
          <w:rFonts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z w:val="24"/>
        </w:rPr>
        <w:t xml:space="preserve"> </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ascii="宋体" w:hAnsi="宋体" w:cs="宋体"/>
          <w:bCs/>
          <w:color w:val="000000"/>
          <w:sz w:val="24"/>
        </w:rPr>
      </w:pPr>
      <w:r>
        <w:rPr>
          <w:rFonts w:hint="eastAsia" w:ascii="宋体" w:hAnsi="宋体" w:cs="宋体"/>
          <w:sz w:val="24"/>
        </w:rPr>
        <w:t>乙方承诺将在上述情况下与甲方签订分包合同，并对该部分承包内容与甲方共同承担连带责任。</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ascii="宋体" w:hAnsi="宋体" w:cs="宋体"/>
          <w:b/>
          <w:color w:val="000000"/>
          <w:sz w:val="24"/>
        </w:rPr>
      </w:pPr>
    </w:p>
    <w:p>
      <w:pPr>
        <w:spacing w:line="360" w:lineRule="auto"/>
        <w:ind w:firstLine="471"/>
        <w:rPr>
          <w:rFonts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ascii="宋体" w:hAnsi="宋体" w:cs="宋体"/>
          <w:color w:val="000000"/>
          <w:sz w:val="24"/>
        </w:rPr>
      </w:pPr>
    </w:p>
    <w:p>
      <w:pPr>
        <w:wordWrap w:val="0"/>
        <w:spacing w:line="360" w:lineRule="auto"/>
        <w:ind w:left="480"/>
        <w:jc w:val="right"/>
        <w:rPr>
          <w:rFonts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ascii="宋体" w:hAnsi="宋体" w:cs="宋体"/>
          <w:color w:val="000000"/>
          <w:sz w:val="24"/>
        </w:rPr>
      </w:pPr>
    </w:p>
    <w:p>
      <w:pPr>
        <w:tabs>
          <w:tab w:val="left" w:pos="8280"/>
        </w:tabs>
        <w:spacing w:line="360" w:lineRule="auto"/>
        <w:rPr>
          <w:rFonts w:ascii="宋体" w:hAnsi="宋体" w:cs="宋体"/>
          <w:color w:val="000000"/>
          <w:sz w:val="24"/>
        </w:rPr>
      </w:pPr>
      <w:r>
        <w:rPr>
          <w:rFonts w:hint="eastAsia" w:ascii="宋体" w:hAnsi="宋体" w:cs="宋体"/>
          <w:color w:val="000000"/>
          <w:sz w:val="24"/>
        </w:rPr>
        <w:t>注：</w:t>
      </w:r>
    </w:p>
    <w:p>
      <w:pPr>
        <w:tabs>
          <w:tab w:val="left" w:pos="8280"/>
        </w:tabs>
        <w:spacing w:line="360" w:lineRule="auto"/>
        <w:rPr>
          <w:rFonts w:ascii="宋体" w:hAnsi="宋体" w:cs="宋体"/>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br w:type="page"/>
      </w:r>
    </w:p>
    <w:p>
      <w:pPr>
        <w:spacing w:line="360" w:lineRule="auto"/>
        <w:outlineLvl w:val="2"/>
        <w:rPr>
          <w:rFonts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3"/>
        </w:numPr>
        <w:spacing w:line="360" w:lineRule="auto"/>
        <w:rPr>
          <w:rFonts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3"/>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3"/>
        </w:numPr>
        <w:tabs>
          <w:tab w:val="left" w:pos="993"/>
        </w:tabs>
        <w:spacing w:line="360" w:lineRule="auto"/>
        <w:rPr>
          <w:rFonts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3"/>
        </w:numPr>
        <w:spacing w:line="360" w:lineRule="auto"/>
        <w:rPr>
          <w:rFonts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left="480"/>
        <w:jc w:val="right"/>
        <w:rPr>
          <w:rFonts w:ascii="宋体" w:hAnsi="宋体" w:cs="宋体"/>
          <w:color w:val="000000"/>
          <w:sz w:val="24"/>
        </w:rPr>
      </w:pPr>
    </w:p>
    <w:p>
      <w:pPr>
        <w:spacing w:line="360" w:lineRule="auto"/>
        <w:ind w:left="480"/>
        <w:jc w:val="right"/>
        <w:rPr>
          <w:rFonts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ascii="宋体" w:hAnsi="宋体" w:cs="宋体"/>
          <w:b/>
          <w:color w:val="000000"/>
          <w:sz w:val="24"/>
        </w:rPr>
      </w:pPr>
    </w:p>
    <w:p>
      <w:pPr>
        <w:tabs>
          <w:tab w:val="left" w:pos="8280"/>
        </w:tabs>
        <w:spacing w:line="360" w:lineRule="auto"/>
        <w:ind w:firstLine="480"/>
        <w:rPr>
          <w:rFonts w:ascii="宋体" w:hAnsi="宋体" w:cs="宋体"/>
          <w:color w:val="000000"/>
          <w:sz w:val="24"/>
        </w:rPr>
      </w:pPr>
    </w:p>
    <w:p>
      <w:pPr>
        <w:tabs>
          <w:tab w:val="left" w:pos="8280"/>
        </w:tabs>
        <w:spacing w:line="360" w:lineRule="auto"/>
        <w:ind w:firstLine="480"/>
        <w:rPr>
          <w:rFonts w:ascii="宋体" w:hAnsi="宋体" w:cs="宋体"/>
          <w:color w:val="000000"/>
          <w:sz w:val="24"/>
        </w:rPr>
      </w:pPr>
    </w:p>
    <w:p>
      <w:pPr>
        <w:spacing w:line="360" w:lineRule="auto"/>
        <w:ind w:left="719" w:leftChars="228" w:hanging="240" w:hangingChars="100"/>
        <w:rPr>
          <w:rFonts w:ascii="宋体" w:hAnsi="宋体" w:cs="宋体"/>
          <w:color w:val="000000"/>
          <w:sz w:val="24"/>
        </w:rPr>
      </w:pPr>
      <w:r>
        <w:rPr>
          <w:rFonts w:hint="eastAsia" w:ascii="宋体" w:hAnsi="宋体" w:cs="宋体"/>
          <w:color w:val="000000"/>
          <w:sz w:val="24"/>
        </w:rPr>
        <w:t>注：</w:t>
      </w:r>
    </w:p>
    <w:p>
      <w:pPr>
        <w:pStyle w:val="22"/>
        <w:rPr>
          <w:rFonts w:cs="宋体"/>
        </w:rPr>
      </w:pPr>
      <w:r>
        <w:rPr>
          <w:rFonts w:hint="eastAsia" w:cs="宋体"/>
        </w:rPr>
        <w:t xml:space="preserve">1.如本项目（包）接受供应商以联合体形式参加采购活动，且供应商以联合体形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pPr>
        <w:spacing w:line="360" w:lineRule="auto"/>
        <w:outlineLvl w:val="2"/>
        <w:rPr>
          <w:rFonts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ascii="宋体" w:hAnsi="宋体" w:cs="宋体"/>
          <w:sz w:val="24"/>
          <w:szCs w:val="20"/>
        </w:rPr>
      </w:pPr>
    </w:p>
    <w:p>
      <w:pPr>
        <w:spacing w:line="360" w:lineRule="auto"/>
        <w:rPr>
          <w:rFonts w:ascii="宋体" w:hAnsi="宋体" w:cs="宋体"/>
          <w:sz w:val="24"/>
          <w:szCs w:val="20"/>
        </w:rPr>
      </w:pPr>
    </w:p>
    <w:p>
      <w:pPr>
        <w:widowControl/>
        <w:jc w:val="left"/>
        <w:rPr>
          <w:rFonts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widowControl/>
        <w:jc w:val="left"/>
        <w:rPr>
          <w:rFonts w:ascii="宋体" w:hAnsi="宋体" w:cs="宋体"/>
          <w:b/>
          <w:sz w:val="24"/>
        </w:rPr>
      </w:pPr>
      <w:r>
        <w:rPr>
          <w:rFonts w:hint="eastAsia" w:ascii="宋体" w:hAnsi="宋体" w:cs="宋体"/>
          <w:b/>
          <w:sz w:val="24"/>
        </w:rPr>
        <w:br w:type="page"/>
      </w:r>
    </w:p>
    <w:p>
      <w:pPr>
        <w:spacing w:line="360" w:lineRule="auto"/>
        <w:outlineLvl w:val="2"/>
        <w:rPr>
          <w:rFonts w:ascii="宋体" w:hAnsi="宋体" w:cs="宋体"/>
          <w:color w:val="000000"/>
          <w:sz w:val="24"/>
          <w:szCs w:val="20"/>
        </w:rPr>
      </w:pPr>
      <w:bookmarkStart w:id="827" w:name="_Hlt520350918"/>
      <w:bookmarkEnd w:id="827"/>
      <w:bookmarkStart w:id="828" w:name="_Hlt520273711"/>
      <w:bookmarkEnd w:id="828"/>
      <w:bookmarkStart w:id="829" w:name="_Hlt520355504"/>
      <w:bookmarkEnd w:id="829"/>
      <w:bookmarkStart w:id="830" w:name="_Hlt520271212"/>
      <w:bookmarkEnd w:id="830"/>
      <w:bookmarkStart w:id="831" w:name="_Hlt520343000"/>
      <w:bookmarkEnd w:id="831"/>
      <w:bookmarkStart w:id="832" w:name="_Hlt520274393"/>
      <w:bookmarkEnd w:id="832"/>
      <w:bookmarkStart w:id="833" w:name="_Hlt520274065"/>
      <w:bookmarkEnd w:id="833"/>
      <w:bookmarkStart w:id="834" w:name="_Hlt520274121"/>
      <w:bookmarkEnd w:id="834"/>
      <w:bookmarkStart w:id="835" w:name="_Hlt520274407"/>
      <w:bookmarkEnd w:id="835"/>
      <w:bookmarkStart w:id="836" w:name="_Hlt520343392"/>
      <w:bookmarkEnd w:id="836"/>
      <w:bookmarkStart w:id="837" w:name="_Toc480942349"/>
      <w:bookmarkStart w:id="838" w:name="_Ref467988698"/>
      <w:bookmarkStart w:id="839" w:name="_Toc226965746"/>
      <w:bookmarkStart w:id="840" w:name="_Toc195842921"/>
      <w:bookmarkStart w:id="841" w:name="_Toc150480794"/>
      <w:bookmarkStart w:id="842" w:name="_Toc150774761"/>
      <w:bookmarkStart w:id="843" w:name="_Toc520356217"/>
      <w:bookmarkStart w:id="844" w:name="_Toc142311058"/>
      <w:bookmarkStart w:id="845" w:name="_Toc127151556"/>
      <w:bookmarkStart w:id="846" w:name="_Toc226337252"/>
      <w:bookmarkStart w:id="847" w:name="_Toc226309800"/>
      <w:bookmarkStart w:id="848" w:name="_Toc226965829"/>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7"/>
      <w:bookmarkEnd w:id="838"/>
      <w:r>
        <w:rPr>
          <w:rFonts w:hint="eastAsia" w:ascii="宋体" w:hAnsi="宋体" w:cs="宋体"/>
          <w:color w:val="000000"/>
          <w:sz w:val="24"/>
        </w:rPr>
        <w:t>书</w:t>
      </w:r>
      <w:bookmarkEnd w:id="839"/>
      <w:bookmarkEnd w:id="840"/>
      <w:bookmarkEnd w:id="841"/>
      <w:bookmarkEnd w:id="842"/>
      <w:bookmarkEnd w:id="843"/>
      <w:bookmarkEnd w:id="844"/>
      <w:bookmarkEnd w:id="845"/>
      <w:bookmarkEnd w:id="846"/>
      <w:bookmarkEnd w:id="847"/>
      <w:bookmarkEnd w:id="848"/>
      <w:r>
        <w:rPr>
          <w:rFonts w:hint="eastAsia" w:ascii="宋体" w:hAnsi="宋体" w:cs="宋体"/>
          <w:color w:val="000000"/>
          <w:sz w:val="24"/>
          <w:szCs w:val="20"/>
        </w:rPr>
        <w:t>（实质性格式）</w:t>
      </w:r>
    </w:p>
    <w:p>
      <w:pPr>
        <w:tabs>
          <w:tab w:val="left" w:pos="5580"/>
        </w:tabs>
        <w:spacing w:line="360" w:lineRule="auto"/>
        <w:rPr>
          <w:rFonts w:ascii="宋体" w:hAnsi="宋体" w:cs="宋体"/>
          <w:color w:val="000000"/>
          <w:sz w:val="24"/>
        </w:rPr>
      </w:pPr>
    </w:p>
    <w:p>
      <w:pPr>
        <w:spacing w:line="360" w:lineRule="auto"/>
        <w:jc w:val="center"/>
        <w:rPr>
          <w:rFonts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ascii="宋体" w:hAnsi="宋体" w:cs="宋体"/>
          <w:color w:val="000000"/>
          <w:sz w:val="24"/>
          <w:szCs w:val="20"/>
        </w:rPr>
      </w:pP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ascii="宋体" w:hAnsi="宋体" w:cs="宋体"/>
          <w:color w:val="000000"/>
          <w:sz w:val="24"/>
          <w:szCs w:val="20"/>
          <w:u w:val="single"/>
        </w:rPr>
      </w:pPr>
    </w:p>
    <w:p>
      <w:pPr>
        <w:widowControl/>
        <w:jc w:val="left"/>
        <w:rPr>
          <w:rFonts w:ascii="宋体" w:hAnsi="宋体" w:cs="宋体"/>
          <w:color w:val="000000"/>
          <w:sz w:val="24"/>
        </w:rPr>
      </w:pPr>
      <w:bookmarkStart w:id="849" w:name="_Hlt520356243"/>
      <w:bookmarkEnd w:id="849"/>
      <w:bookmarkStart w:id="850" w:name="_Hlt520355938"/>
      <w:bookmarkEnd w:id="850"/>
      <w:bookmarkStart w:id="851" w:name="_Toc305158899"/>
      <w:bookmarkStart w:id="852" w:name="_Toc226965830"/>
      <w:bookmarkStart w:id="853" w:name="_Toc305158825"/>
      <w:bookmarkStart w:id="854" w:name="_Toc264969247"/>
      <w:bookmarkStart w:id="855" w:name="_Ref467988705"/>
      <w:bookmarkStart w:id="856" w:name="_Toc150774762"/>
      <w:bookmarkStart w:id="857" w:name="_Toc480942350"/>
      <w:bookmarkStart w:id="858" w:name="_Toc150480795"/>
      <w:bookmarkStart w:id="859" w:name="_Toc520356218"/>
      <w:bookmarkStart w:id="860" w:name="_Toc226965747"/>
      <w:bookmarkStart w:id="861" w:name="_Toc127151557"/>
      <w:bookmarkStart w:id="862" w:name="_Toc195842922"/>
      <w:bookmarkStart w:id="863" w:name="_Toc226337253"/>
      <w:bookmarkStart w:id="864" w:name="_Toc142311059"/>
      <w:bookmarkStart w:id="865" w:name="_Toc265228395"/>
      <w:bookmarkStart w:id="866" w:name="_Toc226309801"/>
      <w:r>
        <w:rPr>
          <w:rFonts w:hint="eastAsia" w:ascii="宋体" w:hAnsi="宋体" w:cs="宋体"/>
          <w:color w:val="000000"/>
          <w:sz w:val="24"/>
        </w:rPr>
        <w:br w:type="page"/>
      </w:r>
    </w:p>
    <w:p>
      <w:pPr>
        <w:spacing w:line="360" w:lineRule="auto"/>
        <w:outlineLvl w:val="2"/>
        <w:rPr>
          <w:rFonts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ascii="宋体" w:hAnsi="宋体" w:cs="宋体"/>
          <w:color w:val="000000"/>
          <w:sz w:val="24"/>
          <w:szCs w:val="20"/>
        </w:rPr>
      </w:pP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62"/>
          <w:rFonts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ascii="宋体" w:hAnsi="宋体" w:cs="宋体"/>
          <w:sz w:val="20"/>
          <w:szCs w:val="20"/>
        </w:rPr>
      </w:pP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22"/>
        <w:rPr>
          <w:rFonts w:cs="宋体"/>
        </w:rPr>
      </w:pPr>
      <w:r>
        <w:rPr>
          <w:rFonts w:hint="eastAsia" w:cs="宋体"/>
        </w:rPr>
        <w:t>兹证明，</w:t>
      </w:r>
    </w:p>
    <w:p>
      <w:pPr>
        <w:pStyle w:val="22"/>
        <w:rPr>
          <w:rFonts w:cs="宋体"/>
        </w:rPr>
      </w:pPr>
      <w:r>
        <w:rPr>
          <w:rFonts w:hint="eastAsia" w:cs="宋体"/>
        </w:rPr>
        <w:t>姓名：____性别：____年龄：____职务：____</w:t>
      </w:r>
    </w:p>
    <w:p>
      <w:pPr>
        <w:pStyle w:val="22"/>
        <w:rPr>
          <w:rFonts w:cs="宋体"/>
        </w:rPr>
      </w:pPr>
    </w:p>
    <w:p>
      <w:pPr>
        <w:pStyle w:val="22"/>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22"/>
        <w:rPr>
          <w:rFonts w:cs="宋体"/>
        </w:rPr>
      </w:pPr>
    </w:p>
    <w:p>
      <w:pPr>
        <w:pStyle w:val="22"/>
        <w:rPr>
          <w:rFonts w:cs="宋体"/>
        </w:rPr>
      </w:pPr>
    </w:p>
    <w:p>
      <w:pPr>
        <w:pStyle w:val="22"/>
        <w:rPr>
          <w:rFonts w:cs="宋体"/>
        </w:rPr>
      </w:pPr>
    </w:p>
    <w:p>
      <w:pPr>
        <w:pStyle w:val="22"/>
        <w:rPr>
          <w:rFonts w:cs="宋体"/>
        </w:rPr>
      </w:pPr>
      <w:r>
        <w:rPr>
          <w:rFonts w:hint="eastAsia" w:cs="宋体"/>
        </w:rPr>
        <w:t>附：法定代表人（单位负责人）有效期内的身份证正反面复印件加盖投标人公章。</w:t>
      </w:r>
    </w:p>
    <w:p>
      <w:pPr>
        <w:pStyle w:val="22"/>
        <w:rPr>
          <w:rFonts w:cs="宋体"/>
        </w:rPr>
      </w:pPr>
    </w:p>
    <w:p>
      <w:pPr>
        <w:pStyle w:val="22"/>
        <w:rPr>
          <w:rFonts w:cs="宋体"/>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22"/>
        <w:rPr>
          <w:rFonts w:cs="宋体"/>
        </w:rPr>
      </w:pPr>
      <w:r>
        <w:rPr>
          <w:rFonts w:hint="eastAsia" w:cs="宋体"/>
        </w:rPr>
        <w:t>法定代表人（单位负责人）（签字或盖章）：_______</w:t>
      </w:r>
    </w:p>
    <w:p>
      <w:pPr>
        <w:autoSpaceDE w:val="0"/>
        <w:autoSpaceDN w:val="0"/>
        <w:adjustRightInd w:val="0"/>
        <w:snapToGrid w:val="0"/>
        <w:spacing w:line="360" w:lineRule="auto"/>
        <w:rPr>
          <w:rFonts w:ascii="宋体" w:hAnsi="宋体" w:cs="宋体"/>
          <w:color w:val="000000"/>
          <w:sz w:val="24"/>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ascii="宋体" w:hAnsi="宋体" w:cs="宋体"/>
          <w:i/>
          <w:color w:val="000000"/>
          <w:sz w:val="24"/>
          <w:szCs w:val="20"/>
          <w:u w:val="single"/>
        </w:rPr>
      </w:pPr>
    </w:p>
    <w:p>
      <w:pPr>
        <w:widowControl/>
        <w:jc w:val="left"/>
        <w:rPr>
          <w:rFonts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  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宋体" w:hAnsi="宋体" w:cs="宋体"/>
          <w:color w:val="000000"/>
          <w:sz w:val="24"/>
          <w:szCs w:val="20"/>
        </w:rPr>
        <w:t>（实质性格式）</w:t>
      </w:r>
    </w:p>
    <w:p>
      <w:pPr>
        <w:spacing w:line="360" w:lineRule="exact"/>
        <w:jc w:val="center"/>
        <w:rPr>
          <w:rFonts w:ascii="宋体" w:hAnsi="宋体" w:cs="宋体"/>
          <w:b/>
          <w:color w:val="000000"/>
          <w:sz w:val="36"/>
          <w:szCs w:val="36"/>
        </w:rPr>
      </w:pPr>
      <w:bookmarkStart w:id="867" w:name="_Toc305158900"/>
      <w:bookmarkStart w:id="868" w:name="_Toc226337254"/>
      <w:bookmarkStart w:id="869" w:name="_Toc226965831"/>
      <w:bookmarkStart w:id="870" w:name="_Toc164608827"/>
      <w:bookmarkStart w:id="871" w:name="_Toc195842923"/>
      <w:bookmarkStart w:id="872" w:name="_Toc164608672"/>
      <w:bookmarkStart w:id="873" w:name="_Toc226965748"/>
      <w:bookmarkStart w:id="874" w:name="_Toc226309802"/>
      <w:bookmarkStart w:id="875" w:name="_Toc305158826"/>
      <w:bookmarkStart w:id="876" w:name="_Toc265228396"/>
      <w:bookmarkStart w:id="877" w:name="_Toc264969248"/>
      <w:r>
        <w:rPr>
          <w:rFonts w:hint="eastAsia" w:ascii="宋体" w:hAnsi="宋体" w:cs="宋体"/>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pPr>
        <w:tabs>
          <w:tab w:val="left" w:pos="1800"/>
          <w:tab w:val="left" w:pos="5580"/>
        </w:tabs>
        <w:spacing w:line="360" w:lineRule="auto"/>
        <w:jc w:val="left"/>
        <w:rPr>
          <w:rFonts w:ascii="宋体" w:hAnsi="宋体" w:cs="宋体"/>
          <w:i/>
          <w:color w:val="FF0000"/>
          <w:sz w:val="24"/>
        </w:rPr>
      </w:pPr>
    </w:p>
    <w:p>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 w:val="24"/>
              </w:rPr>
            </w:pPr>
            <w:r>
              <w:rPr>
                <w:rFonts w:hint="eastAsia" w:ascii="宋体" w:hAnsi="宋体" w:cs="宋体"/>
                <w:b/>
                <w:sz w:val="24"/>
              </w:rPr>
              <w:t>序号</w:t>
            </w:r>
          </w:p>
        </w:tc>
        <w:tc>
          <w:tcPr>
            <w:tcW w:w="2215" w:type="pct"/>
            <w:vMerge w:val="restart"/>
            <w:vAlign w:val="center"/>
          </w:tcPr>
          <w:p>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pPr>
              <w:tabs>
                <w:tab w:val="left" w:pos="5580"/>
              </w:tabs>
              <w:jc w:val="center"/>
              <w:rPr>
                <w:rFonts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 w:val="24"/>
              </w:rPr>
            </w:pPr>
          </w:p>
        </w:tc>
        <w:tc>
          <w:tcPr>
            <w:tcW w:w="2215" w:type="pct"/>
            <w:vMerge w:val="continue"/>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pPr>
              <w:tabs>
                <w:tab w:val="left" w:pos="5580"/>
              </w:tabs>
              <w:jc w:val="center"/>
              <w:rPr>
                <w:rFonts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 w:val="24"/>
              </w:rPr>
            </w:pPr>
          </w:p>
        </w:tc>
        <w:tc>
          <w:tcPr>
            <w:tcW w:w="2215" w:type="pct"/>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sz w:val="24"/>
              </w:rPr>
            </w:pPr>
          </w:p>
        </w:tc>
        <w:tc>
          <w:tcPr>
            <w:tcW w:w="1182" w:type="pct"/>
            <w:vAlign w:val="center"/>
          </w:tcPr>
          <w:p>
            <w:pPr>
              <w:tabs>
                <w:tab w:val="left" w:pos="5580"/>
              </w:tabs>
              <w:jc w:val="center"/>
              <w:rPr>
                <w:rFonts w:ascii="宋体" w:hAnsi="宋体" w:cs="宋体"/>
                <w:sz w:val="24"/>
              </w:rPr>
            </w:pPr>
          </w:p>
        </w:tc>
      </w:tr>
    </w:tbl>
    <w:p>
      <w:pPr>
        <w:autoSpaceDE w:val="0"/>
        <w:autoSpaceDN w:val="0"/>
        <w:adjustRightInd w:val="0"/>
        <w:jc w:val="left"/>
        <w:rPr>
          <w:rFonts w:ascii="宋体" w:hAnsi="宋体" w:cs="宋体"/>
          <w:color w:val="000000"/>
          <w:kern w:val="0"/>
          <w:sz w:val="24"/>
        </w:rPr>
      </w:pPr>
    </w:p>
    <w:p>
      <w:pPr>
        <w:autoSpaceDE w:val="0"/>
        <w:autoSpaceDN w:val="0"/>
        <w:adjustRightInd w:val="0"/>
        <w:spacing w:line="360" w:lineRule="auto"/>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ascii="宋体" w:hAnsi="宋体" w:cs="宋体"/>
          <w:color w:val="000000"/>
          <w:sz w:val="24"/>
          <w:lang w:val="zh-CN"/>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bookmarkStart w:id="878" w:name="_Toc142311060"/>
      <w:bookmarkStart w:id="879" w:name="_Toc226965832"/>
      <w:bookmarkStart w:id="880" w:name="_Toc226309803"/>
      <w:bookmarkStart w:id="881" w:name="_Toc150774763"/>
      <w:bookmarkStart w:id="882" w:name="_Toc226337255"/>
      <w:bookmarkStart w:id="883" w:name="_Toc195842924"/>
      <w:bookmarkStart w:id="884" w:name="_Toc265228397"/>
      <w:bookmarkStart w:id="885" w:name="_Toc127151558"/>
      <w:bookmarkStart w:id="886" w:name="_Toc305158827"/>
      <w:bookmarkStart w:id="887" w:name="_Toc226965749"/>
      <w:bookmarkStart w:id="888" w:name="_Toc264969249"/>
      <w:bookmarkStart w:id="889" w:name="_Toc150480796"/>
      <w:bookmarkStart w:id="890" w:name="_Toc305158901"/>
      <w:r>
        <w:rPr>
          <w:rFonts w:hint="eastAsia" w:ascii="宋体" w:hAnsi="宋体" w:cs="宋体"/>
          <w:color w:val="000000"/>
          <w:sz w:val="24"/>
          <w:szCs w:val="20"/>
        </w:rPr>
        <w:t>4  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宋体" w:hAnsi="宋体" w:cs="宋体"/>
          <w:color w:val="000000"/>
          <w:sz w:val="24"/>
          <w:szCs w:val="20"/>
        </w:rPr>
        <w:t>（实质性格式）</w:t>
      </w:r>
    </w:p>
    <w:p>
      <w:pPr>
        <w:spacing w:line="360" w:lineRule="exact"/>
        <w:jc w:val="center"/>
        <w:rPr>
          <w:rFonts w:ascii="宋体" w:hAnsi="宋体" w:cs="宋体"/>
          <w:color w:val="000000"/>
          <w:sz w:val="36"/>
          <w:szCs w:val="36"/>
        </w:rPr>
      </w:pP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ascii="宋体" w:hAnsi="宋体" w:cs="宋体"/>
          <w:color w:val="000000"/>
          <w:sz w:val="36"/>
          <w:szCs w:val="36"/>
        </w:rPr>
      </w:pPr>
    </w:p>
    <w:p>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52"/>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68" w:type="dxa"/>
            <w:textDirection w:val="tbRlV"/>
            <w:vAlign w:val="center"/>
          </w:tcPr>
          <w:p>
            <w:pPr>
              <w:autoSpaceDE w:val="0"/>
              <w:autoSpaceDN w:val="0"/>
              <w:jc w:val="center"/>
              <w:rPr>
                <w:rFonts w:ascii="宋体" w:hAnsi="宋体" w:cs="宋体"/>
                <w:b/>
                <w:sz w:val="24"/>
              </w:rPr>
            </w:pPr>
            <w:r>
              <w:rPr>
                <w:rFonts w:hint="eastAsia" w:ascii="宋体" w:hAnsi="宋体" w:cs="宋体"/>
                <w:b/>
                <w:sz w:val="24"/>
              </w:rPr>
              <w:t>序 号</w:t>
            </w:r>
          </w:p>
        </w:tc>
        <w:tc>
          <w:tcPr>
            <w:tcW w:w="2980" w:type="dxa"/>
            <w:vAlign w:val="center"/>
          </w:tcPr>
          <w:p>
            <w:pPr>
              <w:autoSpaceDE w:val="0"/>
              <w:autoSpaceDN w:val="0"/>
              <w:spacing w:before="216" w:line="201" w:lineRule="auto"/>
              <w:ind w:left="108"/>
              <w:jc w:val="center"/>
              <w:rPr>
                <w:rFonts w:ascii="宋体" w:hAnsi="宋体" w:cs="宋体"/>
                <w:sz w:val="24"/>
              </w:rPr>
            </w:pPr>
            <w:r>
              <w:rPr>
                <w:rFonts w:hint="eastAsia" w:ascii="宋体" w:hAnsi="宋体" w:cs="宋体"/>
                <w:b/>
                <w:bCs/>
                <w:spacing w:val="-1"/>
                <w:sz w:val="24"/>
              </w:rPr>
              <w:t>分项名称</w:t>
            </w:r>
          </w:p>
        </w:tc>
        <w:tc>
          <w:tcPr>
            <w:tcW w:w="1346" w:type="dxa"/>
            <w:vAlign w:val="center"/>
          </w:tcPr>
          <w:p>
            <w:pPr>
              <w:autoSpaceDE w:val="0"/>
              <w:autoSpaceDN w:val="0"/>
              <w:spacing w:before="217" w:line="196" w:lineRule="auto"/>
              <w:ind w:left="109"/>
              <w:jc w:val="center"/>
              <w:rPr>
                <w:rFonts w:ascii="宋体" w:hAnsi="宋体" w:cs="宋体"/>
                <w:sz w:val="24"/>
              </w:rPr>
            </w:pPr>
            <w:r>
              <w:rPr>
                <w:rFonts w:hint="eastAsia" w:ascii="宋体" w:hAnsi="宋体" w:cs="宋体"/>
                <w:b/>
                <w:bCs/>
                <w:sz w:val="24"/>
              </w:rPr>
              <w:t>单价（元）</w:t>
            </w:r>
          </w:p>
        </w:tc>
        <w:tc>
          <w:tcPr>
            <w:tcW w:w="1205" w:type="dxa"/>
            <w:vAlign w:val="center"/>
          </w:tcPr>
          <w:p>
            <w:pPr>
              <w:autoSpaceDE w:val="0"/>
              <w:autoSpaceDN w:val="0"/>
              <w:spacing w:before="216" w:line="201" w:lineRule="auto"/>
              <w:ind w:left="69"/>
              <w:jc w:val="center"/>
              <w:rPr>
                <w:rFonts w:ascii="宋体" w:hAnsi="宋体" w:cs="宋体"/>
                <w:sz w:val="24"/>
              </w:rPr>
            </w:pPr>
            <w:r>
              <w:rPr>
                <w:rFonts w:hint="eastAsia" w:ascii="宋体" w:hAnsi="宋体" w:cs="宋体"/>
                <w:b/>
                <w:bCs/>
                <w:spacing w:val="-3"/>
                <w:sz w:val="24"/>
              </w:rPr>
              <w:t>数量</w:t>
            </w:r>
          </w:p>
        </w:tc>
        <w:tc>
          <w:tcPr>
            <w:tcW w:w="1663" w:type="dxa"/>
            <w:vAlign w:val="center"/>
          </w:tcPr>
          <w:p>
            <w:pPr>
              <w:autoSpaceDE w:val="0"/>
              <w:autoSpaceDN w:val="0"/>
              <w:spacing w:before="217" w:line="196" w:lineRule="auto"/>
              <w:ind w:left="111"/>
              <w:jc w:val="center"/>
              <w:rPr>
                <w:rFonts w:ascii="宋体" w:hAnsi="宋体" w:cs="宋体"/>
                <w:b/>
                <w:bCs/>
                <w:sz w:val="24"/>
              </w:rPr>
            </w:pPr>
            <w:r>
              <w:rPr>
                <w:rFonts w:hint="eastAsia" w:ascii="宋体" w:hAnsi="宋体" w:cs="宋体"/>
                <w:b/>
                <w:bCs/>
                <w:sz w:val="24"/>
              </w:rPr>
              <w:t>合价（元）</w:t>
            </w:r>
          </w:p>
        </w:tc>
        <w:tc>
          <w:tcPr>
            <w:tcW w:w="1393" w:type="dxa"/>
            <w:vAlign w:val="center"/>
          </w:tcPr>
          <w:p>
            <w:pPr>
              <w:pStyle w:val="273"/>
              <w:spacing w:before="216" w:line="200" w:lineRule="auto"/>
              <w:ind w:left="112"/>
              <w:jc w:val="center"/>
              <w:rPr>
                <w:rFonts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68" w:type="dxa"/>
          </w:tcPr>
          <w:p>
            <w:pPr>
              <w:pStyle w:val="273"/>
              <w:spacing w:before="159" w:line="199" w:lineRule="auto"/>
              <w:ind w:left="254"/>
              <w:rPr>
                <w:rFonts w:ascii="宋体" w:hAnsi="宋体" w:eastAsia="宋体" w:cs="宋体"/>
                <w:sz w:val="24"/>
                <w:szCs w:val="24"/>
              </w:rPr>
            </w:pPr>
            <w:r>
              <w:rPr>
                <w:rFonts w:hint="eastAsia" w:ascii="宋体" w:hAnsi="宋体" w:eastAsia="宋体" w:cs="宋体"/>
                <w:sz w:val="24"/>
                <w:szCs w:val="24"/>
              </w:rPr>
              <w:t>1</w:t>
            </w:r>
          </w:p>
        </w:tc>
        <w:tc>
          <w:tcPr>
            <w:tcW w:w="2980" w:type="dxa"/>
          </w:tcPr>
          <w:p>
            <w:pPr>
              <w:pStyle w:val="273"/>
              <w:rPr>
                <w:rFonts w:ascii="宋体" w:hAnsi="宋体" w:eastAsia="宋体" w:cs="宋体"/>
                <w:sz w:val="22"/>
              </w:rPr>
            </w:pPr>
          </w:p>
        </w:tc>
        <w:tc>
          <w:tcPr>
            <w:tcW w:w="1346" w:type="dxa"/>
          </w:tcPr>
          <w:p>
            <w:pPr>
              <w:pStyle w:val="273"/>
              <w:rPr>
                <w:rFonts w:ascii="宋体" w:hAnsi="宋体" w:eastAsia="宋体" w:cs="宋体"/>
                <w:sz w:val="22"/>
              </w:rPr>
            </w:pPr>
          </w:p>
        </w:tc>
        <w:tc>
          <w:tcPr>
            <w:tcW w:w="1205" w:type="dxa"/>
          </w:tcPr>
          <w:p>
            <w:pPr>
              <w:pStyle w:val="273"/>
              <w:rPr>
                <w:rFonts w:ascii="宋体" w:hAnsi="宋体" w:eastAsia="宋体" w:cs="宋体"/>
                <w:sz w:val="22"/>
              </w:rPr>
            </w:pPr>
          </w:p>
        </w:tc>
        <w:tc>
          <w:tcPr>
            <w:tcW w:w="1663" w:type="dxa"/>
          </w:tcPr>
          <w:p>
            <w:pPr>
              <w:pStyle w:val="273"/>
              <w:rPr>
                <w:rFonts w:ascii="宋体" w:hAnsi="宋体" w:eastAsia="宋体" w:cs="宋体"/>
                <w:sz w:val="22"/>
              </w:rPr>
            </w:pPr>
          </w:p>
        </w:tc>
        <w:tc>
          <w:tcPr>
            <w:tcW w:w="1393"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8" w:type="dxa"/>
          </w:tcPr>
          <w:p>
            <w:pPr>
              <w:pStyle w:val="273"/>
              <w:spacing w:before="111" w:line="201" w:lineRule="auto"/>
              <w:ind w:left="245"/>
              <w:rPr>
                <w:rFonts w:ascii="宋体" w:hAnsi="宋体" w:eastAsia="宋体" w:cs="宋体"/>
                <w:sz w:val="24"/>
                <w:szCs w:val="24"/>
              </w:rPr>
            </w:pPr>
            <w:r>
              <w:rPr>
                <w:rFonts w:hint="eastAsia" w:ascii="宋体" w:hAnsi="宋体" w:eastAsia="宋体" w:cs="宋体"/>
                <w:spacing w:val="1"/>
                <w:sz w:val="24"/>
                <w:szCs w:val="24"/>
              </w:rPr>
              <w:t>2</w:t>
            </w:r>
          </w:p>
        </w:tc>
        <w:tc>
          <w:tcPr>
            <w:tcW w:w="2980" w:type="dxa"/>
          </w:tcPr>
          <w:p>
            <w:pPr>
              <w:pStyle w:val="273"/>
              <w:rPr>
                <w:rFonts w:ascii="宋体" w:hAnsi="宋体" w:eastAsia="宋体" w:cs="宋体"/>
                <w:sz w:val="22"/>
              </w:rPr>
            </w:pPr>
          </w:p>
        </w:tc>
        <w:tc>
          <w:tcPr>
            <w:tcW w:w="1346" w:type="dxa"/>
          </w:tcPr>
          <w:p>
            <w:pPr>
              <w:pStyle w:val="273"/>
              <w:rPr>
                <w:rFonts w:ascii="宋体" w:hAnsi="宋体" w:eastAsia="宋体" w:cs="宋体"/>
                <w:sz w:val="22"/>
              </w:rPr>
            </w:pPr>
          </w:p>
        </w:tc>
        <w:tc>
          <w:tcPr>
            <w:tcW w:w="1205" w:type="dxa"/>
          </w:tcPr>
          <w:p>
            <w:pPr>
              <w:pStyle w:val="273"/>
              <w:rPr>
                <w:rFonts w:ascii="宋体" w:hAnsi="宋体" w:eastAsia="宋体" w:cs="宋体"/>
                <w:sz w:val="22"/>
              </w:rPr>
            </w:pPr>
          </w:p>
        </w:tc>
        <w:tc>
          <w:tcPr>
            <w:tcW w:w="1663" w:type="dxa"/>
          </w:tcPr>
          <w:p>
            <w:pPr>
              <w:pStyle w:val="273"/>
              <w:rPr>
                <w:rFonts w:ascii="宋体" w:hAnsi="宋体" w:eastAsia="宋体" w:cs="宋体"/>
                <w:sz w:val="22"/>
              </w:rPr>
            </w:pPr>
          </w:p>
        </w:tc>
        <w:tc>
          <w:tcPr>
            <w:tcW w:w="1393"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8" w:type="dxa"/>
          </w:tcPr>
          <w:p>
            <w:pPr>
              <w:pStyle w:val="273"/>
              <w:spacing w:before="107" w:line="201" w:lineRule="auto"/>
              <w:ind w:left="246"/>
              <w:rPr>
                <w:rFonts w:ascii="宋体" w:hAnsi="宋体" w:eastAsia="宋体" w:cs="宋体"/>
                <w:sz w:val="24"/>
                <w:szCs w:val="24"/>
              </w:rPr>
            </w:pPr>
            <w:r>
              <w:rPr>
                <w:rFonts w:hint="eastAsia" w:ascii="宋体" w:hAnsi="宋体" w:eastAsia="宋体" w:cs="宋体"/>
                <w:sz w:val="24"/>
                <w:szCs w:val="24"/>
              </w:rPr>
              <w:t>3</w:t>
            </w:r>
          </w:p>
        </w:tc>
        <w:tc>
          <w:tcPr>
            <w:tcW w:w="2980" w:type="dxa"/>
          </w:tcPr>
          <w:p>
            <w:pPr>
              <w:pStyle w:val="273"/>
              <w:spacing w:before="257" w:line="81" w:lineRule="exact"/>
              <w:ind w:left="130"/>
              <w:rPr>
                <w:rFonts w:ascii="宋体" w:hAnsi="宋体" w:eastAsia="宋体" w:cs="宋体"/>
                <w:sz w:val="24"/>
                <w:szCs w:val="24"/>
              </w:rPr>
            </w:pPr>
            <w:r>
              <w:rPr>
                <w:rFonts w:hint="eastAsia" w:ascii="宋体" w:hAnsi="宋体" w:eastAsia="宋体" w:cs="宋体"/>
                <w:position w:val="1"/>
                <w:sz w:val="24"/>
                <w:szCs w:val="24"/>
              </w:rPr>
              <w:t>…</w:t>
            </w:r>
          </w:p>
        </w:tc>
        <w:tc>
          <w:tcPr>
            <w:tcW w:w="1346" w:type="dxa"/>
          </w:tcPr>
          <w:p>
            <w:pPr>
              <w:pStyle w:val="273"/>
              <w:rPr>
                <w:rFonts w:ascii="宋体" w:hAnsi="宋体" w:eastAsia="宋体" w:cs="宋体"/>
                <w:sz w:val="22"/>
              </w:rPr>
            </w:pPr>
          </w:p>
        </w:tc>
        <w:tc>
          <w:tcPr>
            <w:tcW w:w="1205" w:type="dxa"/>
          </w:tcPr>
          <w:p>
            <w:pPr>
              <w:pStyle w:val="273"/>
              <w:rPr>
                <w:rFonts w:ascii="宋体" w:hAnsi="宋体" w:eastAsia="宋体" w:cs="宋体"/>
                <w:sz w:val="22"/>
              </w:rPr>
            </w:pPr>
          </w:p>
        </w:tc>
        <w:tc>
          <w:tcPr>
            <w:tcW w:w="1663" w:type="dxa"/>
          </w:tcPr>
          <w:p>
            <w:pPr>
              <w:pStyle w:val="273"/>
              <w:rPr>
                <w:rFonts w:ascii="宋体" w:hAnsi="宋体" w:eastAsia="宋体" w:cs="宋体"/>
                <w:sz w:val="22"/>
              </w:rPr>
            </w:pPr>
          </w:p>
        </w:tc>
        <w:tc>
          <w:tcPr>
            <w:tcW w:w="1393"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tcPr>
          <w:p>
            <w:pPr>
              <w:pStyle w:val="273"/>
              <w:jc w:val="center"/>
              <w:rPr>
                <w:rFonts w:ascii="宋体" w:hAnsi="宋体" w:eastAsia="宋体" w:cs="宋体"/>
                <w:sz w:val="22"/>
              </w:rPr>
            </w:pPr>
            <w:r>
              <w:rPr>
                <w:rFonts w:hint="eastAsia" w:ascii="宋体" w:hAnsi="宋体" w:eastAsia="宋体" w:cs="宋体"/>
                <w:b/>
                <w:bCs/>
                <w:spacing w:val="-1"/>
                <w:sz w:val="24"/>
                <w:szCs w:val="24"/>
              </w:rPr>
              <w:t>总价（元）</w:t>
            </w:r>
          </w:p>
        </w:tc>
        <w:tc>
          <w:tcPr>
            <w:tcW w:w="1663" w:type="dxa"/>
            <w:tcBorders>
              <w:left w:val="single" w:color="auto" w:sz="4" w:space="0"/>
            </w:tcBorders>
          </w:tcPr>
          <w:p>
            <w:pPr>
              <w:pStyle w:val="273"/>
              <w:rPr>
                <w:rFonts w:ascii="宋体" w:hAnsi="宋体" w:eastAsia="宋体" w:cs="宋体"/>
                <w:sz w:val="22"/>
              </w:rPr>
            </w:pPr>
          </w:p>
        </w:tc>
        <w:tc>
          <w:tcPr>
            <w:tcW w:w="1393" w:type="dxa"/>
          </w:tcPr>
          <w:p>
            <w:pPr>
              <w:pStyle w:val="273"/>
              <w:rPr>
                <w:rFonts w:ascii="宋体" w:hAnsi="宋体" w:eastAsia="宋体" w:cs="宋体"/>
                <w:sz w:val="22"/>
              </w:rPr>
            </w:pPr>
          </w:p>
        </w:tc>
      </w:tr>
    </w:tbl>
    <w:p>
      <w:pPr>
        <w:adjustRightInd w:val="0"/>
        <w:snapToGrid w:val="0"/>
        <w:spacing w:before="240" w:beforeLines="100" w:after="240" w:afterLines="100"/>
        <w:ind w:firstLine="702" w:firstLineChars="300"/>
        <w:jc w:val="left"/>
        <w:rPr>
          <w:rFonts w:ascii="宋体" w:hAnsi="宋体" w:cs="宋体"/>
          <w:bCs/>
          <w:iCs/>
          <w:color w:val="000000"/>
          <w:spacing w:val="-3"/>
          <w:sz w:val="24"/>
        </w:rPr>
      </w:pPr>
      <w:r>
        <w:rPr>
          <w:rFonts w:hint="eastAsia"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hint="eastAsia"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hint="eastAsia"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ascii="宋体" w:hAnsi="宋体" w:cs="宋体"/>
          <w:color w:val="000000"/>
          <w:sz w:val="24"/>
          <w:szCs w:val="20"/>
        </w:rPr>
      </w:pPr>
      <w:bookmarkStart w:id="891" w:name="_Toc195842927"/>
      <w:bookmarkStart w:id="892" w:name="_Toc150774765"/>
      <w:bookmarkStart w:id="893" w:name="_Toc265228400"/>
      <w:bookmarkStart w:id="894" w:name="_Toc127151562"/>
      <w:bookmarkStart w:id="895" w:name="_Toc150480798"/>
      <w:bookmarkStart w:id="896" w:name="_Toc226965835"/>
      <w:bookmarkStart w:id="897" w:name="_Toc226309806"/>
      <w:bookmarkStart w:id="898" w:name="_Toc305158830"/>
      <w:bookmarkStart w:id="899" w:name="_Toc264969252"/>
      <w:bookmarkStart w:id="900" w:name="_Toc305158904"/>
      <w:bookmarkStart w:id="901" w:name="_Toc226965752"/>
      <w:bookmarkStart w:id="902" w:name="_Toc226337258"/>
      <w:bookmarkStart w:id="903" w:name="_Toc142311062"/>
      <w:bookmarkStart w:id="904" w:name="_Toc264969251"/>
      <w:bookmarkStart w:id="905" w:name="_Toc226965834"/>
      <w:bookmarkStart w:id="906" w:name="_Toc265228399"/>
      <w:bookmarkStart w:id="907" w:name="_Toc305158829"/>
      <w:bookmarkStart w:id="908" w:name="_Toc226337257"/>
      <w:bookmarkStart w:id="909" w:name="_Toc142311061"/>
      <w:bookmarkStart w:id="910" w:name="_Toc150774764"/>
      <w:bookmarkStart w:id="911" w:name="_Toc305158903"/>
      <w:bookmarkStart w:id="912" w:name="_Toc226309805"/>
      <w:bookmarkStart w:id="913" w:name="_Toc127151561"/>
      <w:bookmarkStart w:id="914" w:name="_Toc195842926"/>
      <w:bookmarkStart w:id="915" w:name="_Toc226965751"/>
      <w:bookmarkStart w:id="916" w:name="_Toc150480797"/>
      <w:r>
        <w:rPr>
          <w:rFonts w:hint="eastAsia" w:ascii="宋体" w:hAnsi="宋体" w:cs="宋体"/>
          <w:color w:val="000000"/>
          <w:sz w:val="24"/>
          <w:szCs w:val="20"/>
        </w:rPr>
        <w:t>5  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eastAsia" w:ascii="宋体" w:hAnsi="宋体" w:cs="宋体"/>
          <w:color w:val="000000"/>
          <w:sz w:val="24"/>
          <w:szCs w:val="20"/>
        </w:rPr>
        <w:t>（实质性格式）</w:t>
      </w:r>
    </w:p>
    <w:p>
      <w:pPr>
        <w:spacing w:line="360" w:lineRule="auto"/>
        <w:rPr>
          <w:rFonts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ascii="宋体" w:hAnsi="宋体" w:cs="宋体"/>
          <w:color w:val="000000"/>
          <w:sz w:val="24"/>
          <w:szCs w:val="20"/>
        </w:rPr>
      </w:pPr>
    </w:p>
    <w:p>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项目编号/包号：_____________________     项目名称：_____________</w:t>
      </w:r>
    </w:p>
    <w:tbl>
      <w:tblPr>
        <w:tblStyle w:val="52"/>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autoSpaceDE w:val="0"/>
              <w:autoSpaceDN w:val="0"/>
              <w:spacing w:before="336" w:line="201" w:lineRule="auto"/>
              <w:ind w:left="341"/>
              <w:rPr>
                <w:rFonts w:ascii="宋体" w:hAnsi="宋体" w:cs="宋体"/>
                <w:sz w:val="24"/>
              </w:rPr>
            </w:pPr>
            <w:r>
              <w:rPr>
                <w:rFonts w:hint="eastAsia" w:ascii="宋体" w:hAnsi="宋体" w:cs="宋体"/>
                <w:spacing w:val="-3"/>
                <w:sz w:val="24"/>
              </w:rPr>
              <w:t>序号</w:t>
            </w:r>
          </w:p>
        </w:tc>
        <w:tc>
          <w:tcPr>
            <w:tcW w:w="1772" w:type="dxa"/>
          </w:tcPr>
          <w:p>
            <w:pPr>
              <w:autoSpaceDE w:val="0"/>
              <w:autoSpaceDN w:val="0"/>
              <w:spacing w:before="163" w:line="199" w:lineRule="auto"/>
              <w:ind w:left="287" w:right="165" w:hanging="121"/>
              <w:rPr>
                <w:rFonts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tcPr>
          <w:p>
            <w:pPr>
              <w:autoSpaceDE w:val="0"/>
              <w:autoSpaceDN w:val="0"/>
              <w:spacing w:before="336" w:line="201" w:lineRule="auto"/>
              <w:ind w:left="119"/>
              <w:rPr>
                <w:rFonts w:ascii="宋体" w:hAnsi="宋体" w:cs="宋体"/>
                <w:sz w:val="24"/>
              </w:rPr>
            </w:pPr>
            <w:r>
              <w:rPr>
                <w:rFonts w:hint="eastAsia" w:ascii="宋体" w:hAnsi="宋体" w:cs="宋体"/>
                <w:spacing w:val="-1"/>
                <w:sz w:val="24"/>
              </w:rPr>
              <w:t>招标文件要求</w:t>
            </w:r>
          </w:p>
        </w:tc>
        <w:tc>
          <w:tcPr>
            <w:tcW w:w="1675" w:type="dxa"/>
          </w:tcPr>
          <w:p>
            <w:pPr>
              <w:autoSpaceDE w:val="0"/>
              <w:autoSpaceDN w:val="0"/>
              <w:spacing w:before="337" w:line="201" w:lineRule="auto"/>
              <w:ind w:left="120"/>
              <w:rPr>
                <w:rFonts w:ascii="宋体" w:hAnsi="宋体" w:cs="宋体"/>
                <w:sz w:val="24"/>
              </w:rPr>
            </w:pPr>
            <w:r>
              <w:rPr>
                <w:rFonts w:hint="eastAsia" w:ascii="宋体" w:hAnsi="宋体" w:cs="宋体"/>
                <w:spacing w:val="-1"/>
                <w:sz w:val="24"/>
              </w:rPr>
              <w:t>投标文件内容</w:t>
            </w:r>
          </w:p>
        </w:tc>
        <w:tc>
          <w:tcPr>
            <w:tcW w:w="1874" w:type="dxa"/>
          </w:tcPr>
          <w:p>
            <w:pPr>
              <w:autoSpaceDE w:val="0"/>
              <w:autoSpaceDN w:val="0"/>
              <w:spacing w:before="337" w:line="201" w:lineRule="auto"/>
              <w:ind w:left="459"/>
              <w:rPr>
                <w:rFonts w:ascii="宋体" w:hAnsi="宋体" w:cs="宋体"/>
                <w:sz w:val="24"/>
              </w:rPr>
            </w:pPr>
            <w:r>
              <w:rPr>
                <w:rFonts w:hint="eastAsia" w:ascii="宋体" w:hAnsi="宋体" w:cs="宋体"/>
                <w:spacing w:val="-1"/>
                <w:sz w:val="24"/>
              </w:rPr>
              <w:t>偏离情况</w:t>
            </w:r>
          </w:p>
        </w:tc>
        <w:tc>
          <w:tcPr>
            <w:tcW w:w="1137" w:type="dxa"/>
          </w:tcPr>
          <w:p>
            <w:pPr>
              <w:autoSpaceDE w:val="0"/>
              <w:autoSpaceDN w:val="0"/>
              <w:spacing w:before="336" w:line="201" w:lineRule="auto"/>
              <w:ind w:left="327"/>
              <w:rPr>
                <w:rFonts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pPr>
              <w:autoSpaceDE w:val="0"/>
              <w:autoSpaceDN w:val="0"/>
              <w:spacing w:before="40" w:line="360" w:lineRule="auto"/>
              <w:ind w:left="112"/>
              <w:rPr>
                <w:rFonts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73"/>
              <w:spacing w:before="13" w:line="360"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73"/>
              <w:spacing w:before="11" w:line="360"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3"/>
              <w:rPr>
                <w:rFonts w:ascii="宋体" w:hAnsi="宋体" w:eastAsia="宋体" w:cs="宋体"/>
                <w:sz w:val="22"/>
              </w:rPr>
            </w:pPr>
          </w:p>
        </w:tc>
        <w:tc>
          <w:tcPr>
            <w:tcW w:w="1772"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874" w:type="dxa"/>
          </w:tcPr>
          <w:p>
            <w:pPr>
              <w:pStyle w:val="273"/>
              <w:rPr>
                <w:rFonts w:ascii="宋体" w:hAnsi="宋体" w:eastAsia="宋体" w:cs="宋体"/>
                <w:sz w:val="22"/>
              </w:rPr>
            </w:pPr>
          </w:p>
        </w:tc>
        <w:tc>
          <w:tcPr>
            <w:tcW w:w="1137"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3"/>
              <w:rPr>
                <w:rFonts w:ascii="宋体" w:hAnsi="宋体" w:eastAsia="宋体" w:cs="宋体"/>
                <w:sz w:val="22"/>
              </w:rPr>
            </w:pPr>
          </w:p>
        </w:tc>
        <w:tc>
          <w:tcPr>
            <w:tcW w:w="1772"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874" w:type="dxa"/>
          </w:tcPr>
          <w:p>
            <w:pPr>
              <w:pStyle w:val="273"/>
              <w:rPr>
                <w:rFonts w:ascii="宋体" w:hAnsi="宋体" w:eastAsia="宋体" w:cs="宋体"/>
                <w:sz w:val="22"/>
              </w:rPr>
            </w:pPr>
          </w:p>
        </w:tc>
        <w:tc>
          <w:tcPr>
            <w:tcW w:w="1137"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73"/>
              <w:rPr>
                <w:rFonts w:ascii="宋体" w:hAnsi="宋体" w:eastAsia="宋体" w:cs="宋体"/>
                <w:sz w:val="22"/>
              </w:rPr>
            </w:pPr>
          </w:p>
        </w:tc>
        <w:tc>
          <w:tcPr>
            <w:tcW w:w="1772"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874" w:type="dxa"/>
          </w:tcPr>
          <w:p>
            <w:pPr>
              <w:pStyle w:val="273"/>
              <w:rPr>
                <w:rFonts w:ascii="宋体" w:hAnsi="宋体" w:eastAsia="宋体" w:cs="宋体"/>
                <w:sz w:val="22"/>
              </w:rPr>
            </w:pPr>
          </w:p>
        </w:tc>
        <w:tc>
          <w:tcPr>
            <w:tcW w:w="1137"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pStyle w:val="273"/>
              <w:rPr>
                <w:rFonts w:ascii="宋体" w:hAnsi="宋体" w:eastAsia="宋体" w:cs="宋体"/>
                <w:sz w:val="22"/>
              </w:rPr>
            </w:pPr>
          </w:p>
        </w:tc>
        <w:tc>
          <w:tcPr>
            <w:tcW w:w="1772"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675" w:type="dxa"/>
          </w:tcPr>
          <w:p>
            <w:pPr>
              <w:pStyle w:val="273"/>
              <w:rPr>
                <w:rFonts w:ascii="宋体" w:hAnsi="宋体" w:eastAsia="宋体" w:cs="宋体"/>
                <w:sz w:val="22"/>
              </w:rPr>
            </w:pPr>
          </w:p>
        </w:tc>
        <w:tc>
          <w:tcPr>
            <w:tcW w:w="1874" w:type="dxa"/>
          </w:tcPr>
          <w:p>
            <w:pPr>
              <w:pStyle w:val="273"/>
              <w:rPr>
                <w:rFonts w:ascii="宋体" w:hAnsi="宋体" w:eastAsia="宋体" w:cs="宋体"/>
                <w:sz w:val="22"/>
              </w:rPr>
            </w:pPr>
          </w:p>
        </w:tc>
        <w:tc>
          <w:tcPr>
            <w:tcW w:w="1137" w:type="dxa"/>
          </w:tcPr>
          <w:p>
            <w:pPr>
              <w:pStyle w:val="273"/>
              <w:rPr>
                <w:rFonts w:ascii="宋体" w:hAnsi="宋体" w:eastAsia="宋体" w:cs="宋体"/>
                <w:sz w:val="22"/>
              </w:rPr>
            </w:pPr>
          </w:p>
        </w:tc>
      </w:tr>
    </w:tbl>
    <w:p>
      <w:pPr>
        <w:tabs>
          <w:tab w:val="left" w:pos="1800"/>
          <w:tab w:val="left" w:pos="5580"/>
        </w:tabs>
        <w:jc w:val="left"/>
        <w:rPr>
          <w:rFonts w:ascii="宋体" w:hAnsi="宋体" w:cs="宋体"/>
          <w:color w:val="000000"/>
          <w:sz w:val="24"/>
        </w:rPr>
      </w:pPr>
    </w:p>
    <w:p>
      <w:pPr>
        <w:tabs>
          <w:tab w:val="left" w:pos="1800"/>
          <w:tab w:val="left" w:pos="5580"/>
        </w:tabs>
        <w:jc w:val="left"/>
        <w:rPr>
          <w:rFonts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bookmarkStart w:id="917"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日期：_____年______月______日</w:t>
      </w:r>
      <w:bookmarkEnd w:id="917"/>
      <w:r>
        <w:rPr>
          <w:rFonts w:hint="eastAsia" w:ascii="宋体" w:hAnsi="宋体" w:cs="宋体"/>
          <w:color w:val="000000"/>
          <w:sz w:val="24"/>
          <w:szCs w:val="20"/>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spacing w:before="103" w:line="201" w:lineRule="auto"/>
              <w:jc w:val="center"/>
              <w:rPr>
                <w:rFonts w:ascii="宋体" w:hAnsi="宋体" w:cs="宋体"/>
                <w:sz w:val="24"/>
              </w:rPr>
            </w:pPr>
            <w:r>
              <w:rPr>
                <w:rFonts w:hint="eastAsia" w:ascii="宋体" w:hAnsi="宋体" w:cs="宋体"/>
                <w:spacing w:val="-3"/>
                <w:sz w:val="24"/>
              </w:rPr>
              <w:t>序号</w:t>
            </w:r>
          </w:p>
        </w:tc>
        <w:tc>
          <w:tcPr>
            <w:tcW w:w="1482" w:type="dxa"/>
            <w:vAlign w:val="center"/>
          </w:tcPr>
          <w:p>
            <w:pPr>
              <w:pStyle w:val="273"/>
              <w:spacing w:before="221" w:line="197" w:lineRule="auto"/>
              <w:ind w:right="138"/>
              <w:jc w:val="center"/>
              <w:rPr>
                <w:rFonts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vAlign w:val="center"/>
          </w:tcPr>
          <w:p>
            <w:pPr>
              <w:spacing w:before="103" w:line="201" w:lineRule="auto"/>
              <w:jc w:val="center"/>
              <w:rPr>
                <w:rFonts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bl>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jc w:val="left"/>
        <w:rPr>
          <w:rFonts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color w:val="000000"/>
          <w:sz w:val="24"/>
        </w:rPr>
      </w:pPr>
    </w:p>
    <w:p>
      <w:pPr>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 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w:t>
      </w:r>
      <w:r>
        <w:rPr>
          <w:rFonts w:hint="eastAsia" w:ascii="宋体" w:hAnsi="宋体" w:cs="宋体"/>
          <w:color w:val="000000"/>
          <w:sz w:val="24"/>
          <w:vertAlign w:val="superscript"/>
        </w:rPr>
        <w:t>1</w:t>
      </w:r>
      <w:r>
        <w:rPr>
          <w:rFonts w:hint="eastAsia" w:ascii="宋体" w:hAnsi="宋体" w:cs="宋体"/>
          <w:color w:val="000000"/>
          <w:sz w:val="24"/>
        </w:rPr>
        <w:t>，属于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；承建（承接）企业为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sz w:val="24"/>
          <w:vertAlign w:val="superscript"/>
        </w:rPr>
      </w:pPr>
      <w:r>
        <w:rPr>
          <w:rFonts w:hint="eastAsia" w:ascii="宋体" w:hAnsi="宋体" w:cs="宋体"/>
          <w:color w:val="000000"/>
          <w:sz w:val="24"/>
        </w:rPr>
        <w:t>本企业对上述声明内容的真实性负责。如有虚假，将依法承担相应责任。</w:t>
      </w:r>
    </w:p>
    <w:p>
      <w:pPr>
        <w:spacing w:line="360" w:lineRule="auto"/>
        <w:rPr>
          <w:rFonts w:ascii="宋体" w:hAnsi="宋体" w:cs="宋体"/>
          <w:color w:val="000000"/>
          <w:sz w:val="24"/>
        </w:rPr>
      </w:pPr>
    </w:p>
    <w:p>
      <w:pPr>
        <w:spacing w:line="360" w:lineRule="auto"/>
        <w:rPr>
          <w:rFonts w:ascii="宋体" w:hAnsi="宋体" w:cs="宋体"/>
          <w:color w:val="000000"/>
          <w:sz w:val="24"/>
          <w:u w:val="single"/>
        </w:rPr>
      </w:pPr>
      <w:r>
        <w:rPr>
          <w:rFonts w:hint="eastAsia" w:ascii="宋体" w:hAnsi="宋体" w:cs="宋体"/>
          <w:color w:val="000000"/>
          <w:sz w:val="24"/>
        </w:rPr>
        <w:t xml:space="preserve">                                                企业名称（盖章）：</w:t>
      </w:r>
      <w:bookmarkStart w:id="918" w:name="OLE_LINK55"/>
      <w:bookmarkStart w:id="919" w:name="OLE_LINK56"/>
      <w:r>
        <w:rPr>
          <w:rFonts w:hint="eastAsia" w:ascii="宋体" w:hAnsi="宋体" w:cs="宋体"/>
          <w:color w:val="000000"/>
          <w:sz w:val="24"/>
          <w:u w:val="single"/>
        </w:rPr>
        <w:t xml:space="preserve">           </w:t>
      </w:r>
      <w:bookmarkEnd w:id="918"/>
      <w:bookmarkEnd w:id="919"/>
      <w:r>
        <w:rPr>
          <w:rFonts w:hint="eastAsia" w:ascii="宋体" w:hAnsi="宋体" w:cs="宋体"/>
          <w:color w:val="000000"/>
          <w:sz w:val="24"/>
          <w:u w:val="single"/>
        </w:rPr>
        <w:t xml:space="preserve">    </w:t>
      </w:r>
    </w:p>
    <w:p>
      <w:pPr>
        <w:spacing w:line="360" w:lineRule="auto"/>
        <w:ind w:firstLine="480"/>
        <w:jc w:val="center"/>
        <w:rPr>
          <w:rFonts w:ascii="宋体" w:hAnsi="宋体" w:cs="宋体"/>
          <w:color w:val="000000"/>
          <w:sz w:val="24"/>
        </w:rPr>
      </w:pPr>
      <w:r>
        <w:rPr>
          <w:rFonts w:hint="eastAsia" w:ascii="宋体" w:hAnsi="宋体" w:cs="宋体"/>
          <w:color w:val="000000"/>
          <w:sz w:val="24"/>
        </w:rPr>
        <w:t xml:space="preserve">                                          日  期：</w:t>
      </w:r>
      <w:r>
        <w:rPr>
          <w:rFonts w:hint="eastAsia" w:ascii="宋体" w:hAnsi="宋体" w:cs="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rPr>
        <w:br w:type="page"/>
      </w:r>
    </w:p>
    <w:p>
      <w:pPr>
        <w:spacing w:before="240" w:beforeLines="100" w:after="240" w:afterLines="100" w:line="360" w:lineRule="auto"/>
        <w:jc w:val="center"/>
        <w:rPr>
          <w:rFonts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72"/>
              <w:jc w:val="center"/>
              <w:rPr>
                <w:sz w:val="24"/>
              </w:rPr>
            </w:pPr>
            <w:r>
              <w:rPr>
                <w:rFonts w:hint="eastAsia"/>
                <w:sz w:val="24"/>
              </w:rPr>
              <w:t>序号</w:t>
            </w:r>
          </w:p>
        </w:tc>
        <w:tc>
          <w:tcPr>
            <w:tcW w:w="1287" w:type="dxa"/>
            <w:vAlign w:val="center"/>
          </w:tcPr>
          <w:p>
            <w:pPr>
              <w:pStyle w:val="272"/>
              <w:jc w:val="center"/>
              <w:rPr>
                <w:sz w:val="24"/>
              </w:rPr>
            </w:pPr>
            <w:r>
              <w:rPr>
                <w:rFonts w:hint="eastAsia"/>
                <w:sz w:val="24"/>
              </w:rPr>
              <w:t>分包承担</w:t>
            </w:r>
          </w:p>
          <w:p>
            <w:pPr>
              <w:pStyle w:val="272"/>
              <w:jc w:val="center"/>
              <w:rPr>
                <w:sz w:val="24"/>
              </w:rPr>
            </w:pPr>
            <w:r>
              <w:rPr>
                <w:rFonts w:hint="eastAsia"/>
                <w:sz w:val="24"/>
              </w:rPr>
              <w:t>主体名称</w:t>
            </w:r>
          </w:p>
        </w:tc>
        <w:tc>
          <w:tcPr>
            <w:tcW w:w="1513" w:type="dxa"/>
            <w:vAlign w:val="center"/>
          </w:tcPr>
          <w:p>
            <w:pPr>
              <w:pStyle w:val="272"/>
              <w:jc w:val="center"/>
              <w:rPr>
                <w:sz w:val="24"/>
                <w:lang w:eastAsia="zh-CN"/>
              </w:rPr>
            </w:pPr>
            <w:r>
              <w:rPr>
                <w:rFonts w:hint="eastAsia"/>
                <w:sz w:val="24"/>
                <w:lang w:eastAsia="zh-CN"/>
              </w:rPr>
              <w:t>分包承担</w:t>
            </w:r>
          </w:p>
          <w:p>
            <w:pPr>
              <w:pStyle w:val="272"/>
              <w:jc w:val="center"/>
              <w:rPr>
                <w:sz w:val="24"/>
                <w:lang w:eastAsia="zh-CN"/>
              </w:rPr>
            </w:pPr>
            <w:r>
              <w:rPr>
                <w:rFonts w:hint="eastAsia"/>
                <w:sz w:val="24"/>
                <w:lang w:eastAsia="zh-CN"/>
              </w:rPr>
              <w:t>主体类型</w:t>
            </w:r>
          </w:p>
          <w:p>
            <w:pPr>
              <w:pStyle w:val="272"/>
              <w:jc w:val="center"/>
              <w:rPr>
                <w:sz w:val="24"/>
                <w:lang w:eastAsia="zh-CN"/>
              </w:rPr>
            </w:pPr>
            <w:r>
              <w:rPr>
                <w:rFonts w:hint="eastAsia"/>
                <w:sz w:val="24"/>
                <w:lang w:eastAsia="zh-CN"/>
              </w:rPr>
              <w:t>（勾选）</w:t>
            </w:r>
          </w:p>
        </w:tc>
        <w:tc>
          <w:tcPr>
            <w:tcW w:w="1125" w:type="dxa"/>
            <w:vAlign w:val="center"/>
          </w:tcPr>
          <w:p>
            <w:pPr>
              <w:pStyle w:val="272"/>
              <w:jc w:val="center"/>
              <w:rPr>
                <w:sz w:val="24"/>
              </w:rPr>
            </w:pPr>
            <w:r>
              <w:rPr>
                <w:rFonts w:hint="eastAsia"/>
                <w:sz w:val="24"/>
              </w:rPr>
              <w:t>资质等级</w:t>
            </w:r>
          </w:p>
        </w:tc>
        <w:tc>
          <w:tcPr>
            <w:tcW w:w="1561" w:type="dxa"/>
            <w:vAlign w:val="center"/>
          </w:tcPr>
          <w:p>
            <w:pPr>
              <w:pStyle w:val="272"/>
              <w:jc w:val="center"/>
              <w:rPr>
                <w:sz w:val="24"/>
              </w:rPr>
            </w:pPr>
            <w:r>
              <w:rPr>
                <w:rFonts w:hint="eastAsia"/>
                <w:sz w:val="24"/>
              </w:rPr>
              <w:t>拟分包</w:t>
            </w:r>
          </w:p>
          <w:p>
            <w:pPr>
              <w:pStyle w:val="272"/>
              <w:jc w:val="center"/>
              <w:rPr>
                <w:sz w:val="24"/>
              </w:rPr>
            </w:pPr>
            <w:r>
              <w:rPr>
                <w:rFonts w:hint="eastAsia"/>
                <w:sz w:val="24"/>
              </w:rPr>
              <w:t>合同内容</w:t>
            </w:r>
          </w:p>
        </w:tc>
        <w:tc>
          <w:tcPr>
            <w:tcW w:w="1498" w:type="dxa"/>
            <w:vAlign w:val="center"/>
          </w:tcPr>
          <w:p>
            <w:pPr>
              <w:pStyle w:val="272"/>
              <w:jc w:val="center"/>
              <w:rPr>
                <w:sz w:val="24"/>
                <w:lang w:eastAsia="zh-CN"/>
              </w:rPr>
            </w:pPr>
            <w:r>
              <w:rPr>
                <w:rFonts w:hint="eastAsia"/>
                <w:sz w:val="24"/>
                <w:lang w:eastAsia="zh-CN"/>
              </w:rPr>
              <w:t>拟分包</w:t>
            </w:r>
          </w:p>
          <w:p>
            <w:pPr>
              <w:pStyle w:val="272"/>
              <w:jc w:val="center"/>
              <w:rPr>
                <w:sz w:val="24"/>
                <w:lang w:eastAsia="zh-CN"/>
              </w:rPr>
            </w:pPr>
            <w:r>
              <w:rPr>
                <w:rFonts w:hint="eastAsia"/>
                <w:sz w:val="24"/>
                <w:lang w:eastAsia="zh-CN"/>
              </w:rPr>
              <w:t>合同金额</w:t>
            </w:r>
          </w:p>
          <w:p>
            <w:pPr>
              <w:pStyle w:val="272"/>
              <w:jc w:val="center"/>
              <w:rPr>
                <w:sz w:val="24"/>
                <w:lang w:eastAsia="zh-CN"/>
              </w:rPr>
            </w:pPr>
            <w:r>
              <w:rPr>
                <w:rFonts w:hint="eastAsia"/>
                <w:sz w:val="24"/>
                <w:lang w:eastAsia="zh-CN"/>
              </w:rPr>
              <w:t>（人民币元）</w:t>
            </w:r>
          </w:p>
        </w:tc>
        <w:tc>
          <w:tcPr>
            <w:tcW w:w="1564" w:type="dxa"/>
            <w:vAlign w:val="center"/>
          </w:tcPr>
          <w:p>
            <w:pPr>
              <w:pStyle w:val="272"/>
              <w:jc w:val="center"/>
              <w:rPr>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rPr>
            </w:pPr>
            <w:r>
              <w:rPr>
                <w:rFonts w:hint="eastAsia"/>
                <w:sz w:val="24"/>
              </w:rPr>
              <w:t>1</w:t>
            </w:r>
          </w:p>
        </w:tc>
        <w:tc>
          <w:tcPr>
            <w:tcW w:w="1287" w:type="dxa"/>
            <w:vAlign w:val="center"/>
          </w:tcPr>
          <w:p>
            <w:pPr>
              <w:pStyle w:val="272"/>
              <w:jc w:val="center"/>
              <w:rPr>
                <w:sz w:val="30"/>
              </w:rPr>
            </w:pPr>
          </w:p>
        </w:tc>
        <w:tc>
          <w:tcPr>
            <w:tcW w:w="1513" w:type="dxa"/>
            <w:vAlign w:val="center"/>
          </w:tcPr>
          <w:p>
            <w:pPr>
              <w:pStyle w:val="272"/>
              <w:tabs>
                <w:tab w:val="left" w:pos="235"/>
              </w:tabs>
              <w:ind w:left="-90" w:leftChars="-43" w:firstLine="240" w:firstLineChars="100"/>
              <w:rPr>
                <w:sz w:val="24"/>
                <w:lang w:eastAsia="zh-CN"/>
              </w:rPr>
            </w:pPr>
            <w:r>
              <w:rPr>
                <w:rFonts w:hint="eastAsia"/>
                <w:sz w:val="24"/>
                <w:lang w:eastAsia="zh-CN"/>
              </w:rPr>
              <w:t>□中型企业</w:t>
            </w:r>
          </w:p>
          <w:p>
            <w:pPr>
              <w:pStyle w:val="272"/>
              <w:tabs>
                <w:tab w:val="left" w:pos="235"/>
              </w:tabs>
              <w:ind w:left="-90" w:leftChars="-43" w:firstLine="240" w:firstLineChars="100"/>
              <w:rPr>
                <w:sz w:val="24"/>
                <w:lang w:eastAsia="zh-CN"/>
              </w:rPr>
            </w:pPr>
            <w:r>
              <w:rPr>
                <w:rFonts w:hint="eastAsia"/>
                <w:sz w:val="24"/>
                <w:lang w:eastAsia="zh-CN"/>
              </w:rPr>
              <w:t xml:space="preserve">□小微企业 </w:t>
            </w:r>
          </w:p>
          <w:p>
            <w:pPr>
              <w:pStyle w:val="272"/>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2"/>
              <w:jc w:val="center"/>
              <w:rPr>
                <w:sz w:val="30"/>
                <w:lang w:eastAsia="zh-CN"/>
              </w:rPr>
            </w:pPr>
          </w:p>
        </w:tc>
        <w:tc>
          <w:tcPr>
            <w:tcW w:w="1561" w:type="dxa"/>
            <w:vAlign w:val="center"/>
          </w:tcPr>
          <w:p>
            <w:pPr>
              <w:pStyle w:val="272"/>
              <w:jc w:val="center"/>
              <w:rPr>
                <w:sz w:val="30"/>
                <w:lang w:eastAsia="zh-CN"/>
              </w:rPr>
            </w:pPr>
          </w:p>
        </w:tc>
        <w:tc>
          <w:tcPr>
            <w:tcW w:w="1498" w:type="dxa"/>
            <w:vAlign w:val="center"/>
          </w:tcPr>
          <w:p>
            <w:pPr>
              <w:pStyle w:val="272"/>
              <w:jc w:val="center"/>
              <w:rPr>
                <w:sz w:val="30"/>
                <w:lang w:eastAsia="zh-CN"/>
              </w:rPr>
            </w:pPr>
          </w:p>
        </w:tc>
        <w:tc>
          <w:tcPr>
            <w:tcW w:w="1564" w:type="dxa"/>
            <w:vAlign w:val="center"/>
          </w:tcPr>
          <w:p>
            <w:pPr>
              <w:pStyle w:val="272"/>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lang w:eastAsia="zh-CN"/>
              </w:rPr>
            </w:pPr>
            <w:r>
              <w:rPr>
                <w:rFonts w:hint="eastAsia"/>
                <w:sz w:val="24"/>
                <w:lang w:eastAsia="zh-CN"/>
              </w:rPr>
              <w:t>2</w:t>
            </w:r>
          </w:p>
        </w:tc>
        <w:tc>
          <w:tcPr>
            <w:tcW w:w="1287" w:type="dxa"/>
            <w:vAlign w:val="center"/>
          </w:tcPr>
          <w:p>
            <w:pPr>
              <w:pStyle w:val="272"/>
              <w:jc w:val="center"/>
              <w:rPr>
                <w:sz w:val="30"/>
              </w:rPr>
            </w:pPr>
          </w:p>
        </w:tc>
        <w:tc>
          <w:tcPr>
            <w:tcW w:w="1513" w:type="dxa"/>
            <w:vAlign w:val="center"/>
          </w:tcPr>
          <w:p>
            <w:pPr>
              <w:pStyle w:val="272"/>
              <w:tabs>
                <w:tab w:val="left" w:pos="235"/>
              </w:tabs>
              <w:ind w:left="-90" w:leftChars="-43" w:firstLine="240" w:firstLineChars="100"/>
              <w:rPr>
                <w:sz w:val="24"/>
                <w:lang w:eastAsia="zh-CN"/>
              </w:rPr>
            </w:pPr>
            <w:r>
              <w:rPr>
                <w:rFonts w:hint="eastAsia"/>
                <w:sz w:val="24"/>
                <w:lang w:eastAsia="zh-CN"/>
              </w:rPr>
              <w:t>□中型企业</w:t>
            </w:r>
          </w:p>
          <w:p>
            <w:pPr>
              <w:pStyle w:val="272"/>
              <w:tabs>
                <w:tab w:val="left" w:pos="235"/>
              </w:tabs>
              <w:ind w:left="-90" w:firstLine="240" w:firstLineChars="100"/>
              <w:rPr>
                <w:sz w:val="24"/>
                <w:lang w:eastAsia="zh-CN"/>
              </w:rPr>
            </w:pPr>
            <w:r>
              <w:rPr>
                <w:rFonts w:hint="eastAsia"/>
                <w:sz w:val="24"/>
                <w:lang w:eastAsia="zh-CN"/>
              </w:rPr>
              <w:t xml:space="preserve">□小微企业 </w:t>
            </w:r>
          </w:p>
          <w:p>
            <w:pPr>
              <w:pStyle w:val="272"/>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72"/>
              <w:jc w:val="center"/>
              <w:rPr>
                <w:sz w:val="30"/>
                <w:lang w:eastAsia="zh-CN"/>
              </w:rPr>
            </w:pPr>
          </w:p>
        </w:tc>
        <w:tc>
          <w:tcPr>
            <w:tcW w:w="1561" w:type="dxa"/>
            <w:vAlign w:val="center"/>
          </w:tcPr>
          <w:p>
            <w:pPr>
              <w:pStyle w:val="272"/>
              <w:jc w:val="center"/>
              <w:rPr>
                <w:sz w:val="30"/>
                <w:lang w:eastAsia="zh-CN"/>
              </w:rPr>
            </w:pPr>
          </w:p>
        </w:tc>
        <w:tc>
          <w:tcPr>
            <w:tcW w:w="1498" w:type="dxa"/>
            <w:vAlign w:val="center"/>
          </w:tcPr>
          <w:p>
            <w:pPr>
              <w:pStyle w:val="272"/>
              <w:jc w:val="center"/>
              <w:rPr>
                <w:sz w:val="30"/>
                <w:lang w:eastAsia="zh-CN"/>
              </w:rPr>
            </w:pPr>
          </w:p>
        </w:tc>
        <w:tc>
          <w:tcPr>
            <w:tcW w:w="1564" w:type="dxa"/>
            <w:vAlign w:val="center"/>
          </w:tcPr>
          <w:p>
            <w:pPr>
              <w:pStyle w:val="272"/>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72"/>
              <w:jc w:val="center"/>
              <w:rPr>
                <w:sz w:val="24"/>
                <w:lang w:eastAsia="zh-CN"/>
              </w:rPr>
            </w:pPr>
            <w:r>
              <w:rPr>
                <w:rFonts w:hint="eastAsia"/>
                <w:sz w:val="24"/>
                <w:lang w:eastAsia="zh-CN"/>
              </w:rPr>
              <w:t>…</w:t>
            </w:r>
          </w:p>
        </w:tc>
        <w:tc>
          <w:tcPr>
            <w:tcW w:w="1287" w:type="dxa"/>
            <w:vAlign w:val="center"/>
          </w:tcPr>
          <w:p>
            <w:pPr>
              <w:pStyle w:val="272"/>
              <w:jc w:val="center"/>
              <w:rPr>
                <w:sz w:val="30"/>
              </w:rPr>
            </w:pPr>
          </w:p>
        </w:tc>
        <w:tc>
          <w:tcPr>
            <w:tcW w:w="1513" w:type="dxa"/>
            <w:vAlign w:val="center"/>
          </w:tcPr>
          <w:p>
            <w:pPr>
              <w:pStyle w:val="272"/>
              <w:tabs>
                <w:tab w:val="left" w:pos="235"/>
              </w:tabs>
              <w:jc w:val="center"/>
              <w:rPr>
                <w:sz w:val="24"/>
              </w:rPr>
            </w:pPr>
          </w:p>
        </w:tc>
        <w:tc>
          <w:tcPr>
            <w:tcW w:w="1125" w:type="dxa"/>
            <w:vAlign w:val="center"/>
          </w:tcPr>
          <w:p>
            <w:pPr>
              <w:pStyle w:val="272"/>
              <w:jc w:val="center"/>
              <w:rPr>
                <w:sz w:val="30"/>
              </w:rPr>
            </w:pPr>
          </w:p>
        </w:tc>
        <w:tc>
          <w:tcPr>
            <w:tcW w:w="1561" w:type="dxa"/>
            <w:vAlign w:val="center"/>
          </w:tcPr>
          <w:p>
            <w:pPr>
              <w:pStyle w:val="272"/>
              <w:jc w:val="center"/>
              <w:rPr>
                <w:sz w:val="30"/>
              </w:rPr>
            </w:pPr>
          </w:p>
        </w:tc>
        <w:tc>
          <w:tcPr>
            <w:tcW w:w="1498" w:type="dxa"/>
            <w:vAlign w:val="center"/>
          </w:tcPr>
          <w:p>
            <w:pPr>
              <w:pStyle w:val="272"/>
              <w:jc w:val="center"/>
              <w:rPr>
                <w:sz w:val="30"/>
              </w:rPr>
            </w:pPr>
          </w:p>
        </w:tc>
        <w:tc>
          <w:tcPr>
            <w:tcW w:w="1564" w:type="dxa"/>
            <w:vAlign w:val="center"/>
          </w:tcPr>
          <w:p>
            <w:pPr>
              <w:pStyle w:val="272"/>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72"/>
              <w:ind w:right="57" w:rightChars="27"/>
              <w:jc w:val="right"/>
              <w:rPr>
                <w:sz w:val="24"/>
                <w:lang w:eastAsia="zh-CN"/>
              </w:rPr>
            </w:pPr>
            <w:r>
              <w:rPr>
                <w:rFonts w:hint="eastAsia"/>
                <w:sz w:val="24"/>
                <w:lang w:eastAsia="zh-CN"/>
              </w:rPr>
              <w:t>合计：</w:t>
            </w:r>
          </w:p>
        </w:tc>
        <w:tc>
          <w:tcPr>
            <w:tcW w:w="1498" w:type="dxa"/>
            <w:vAlign w:val="center"/>
          </w:tcPr>
          <w:p>
            <w:pPr>
              <w:pStyle w:val="272"/>
              <w:jc w:val="center"/>
              <w:rPr>
                <w:sz w:val="30"/>
              </w:rPr>
            </w:pPr>
          </w:p>
        </w:tc>
        <w:tc>
          <w:tcPr>
            <w:tcW w:w="1564" w:type="dxa"/>
            <w:vAlign w:val="center"/>
          </w:tcPr>
          <w:p>
            <w:pPr>
              <w:pStyle w:val="272"/>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22"/>
        <w:rPr>
          <w:rFonts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rPr>
        <w:t>了但未填写分包承担主体名称、拟分包合同内容、拟分包合同金额，</w:t>
      </w:r>
      <w:r>
        <w:rPr>
          <w:rFonts w:hint="eastAsia" w:cs="宋体"/>
          <w:b/>
          <w:bCs/>
        </w:rPr>
        <w:t>投标无效</w:t>
      </w:r>
      <w:r>
        <w:rPr>
          <w:rFonts w:hint="eastAsia" w:cs="宋体"/>
        </w:rPr>
        <w:t>。</w:t>
      </w:r>
    </w:p>
    <w:p>
      <w:pPr>
        <w:pStyle w:val="22"/>
        <w:rPr>
          <w:rFonts w:cs="宋体"/>
        </w:rPr>
      </w:pPr>
      <w:r>
        <w:rPr>
          <w:rFonts w:hint="eastAsia" w:cs="宋体"/>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ascii="宋体" w:hAnsi="宋体" w:cs="宋体"/>
          <w:sz w:val="24"/>
        </w:rPr>
      </w:pP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ascii="宋体" w:hAnsi="宋体" w:cs="宋体"/>
          <w:b/>
          <w:color w:val="000000"/>
          <w:sz w:val="24"/>
        </w:rPr>
      </w:pPr>
      <w:r>
        <w:rPr>
          <w:rFonts w:hint="eastAsia" w:ascii="宋体" w:hAnsi="宋体" w:cs="宋体"/>
          <w:color w:val="000000"/>
          <w:sz w:val="24"/>
        </w:rPr>
        <w:t>日期：_____年______月______日</w:t>
      </w:r>
    </w:p>
    <w:p>
      <w:pPr>
        <w:pStyle w:val="22"/>
        <w:rPr>
          <w:rFonts w:cs="宋体"/>
        </w:rPr>
      </w:pPr>
      <w:r>
        <w:rPr>
          <w:rFonts w:hint="eastAsia" w:cs="宋体"/>
        </w:rPr>
        <w:t>分包意向协议</w:t>
      </w:r>
    </w:p>
    <w:p>
      <w:pPr>
        <w:pStyle w:val="22"/>
        <w:rPr>
          <w:rFonts w:cs="宋体"/>
        </w:rPr>
      </w:pPr>
      <w:r>
        <w:rPr>
          <w:rFonts w:hint="eastAsia" w:cs="宋体"/>
          <w:spacing w:val="-6"/>
        </w:rPr>
        <w:t>甲方（投标人</w:t>
      </w:r>
      <w:r>
        <w:rPr>
          <w:rFonts w:hint="eastAsia" w:cs="宋体"/>
          <w:spacing w:val="-61"/>
        </w:rPr>
        <w:t>）：</w:t>
      </w:r>
      <w:r>
        <w:rPr>
          <w:rFonts w:hint="eastAsia" w:cs="宋体"/>
        </w:rPr>
        <w:t xml:space="preserve">              </w:t>
      </w:r>
    </w:p>
    <w:p>
      <w:pPr>
        <w:pStyle w:val="22"/>
        <w:rPr>
          <w:rFonts w:cs="宋体"/>
        </w:rPr>
      </w:pPr>
      <w:r>
        <w:rPr>
          <w:rFonts w:hint="eastAsia" w:cs="宋体"/>
          <w:spacing w:val="-3"/>
        </w:rPr>
        <w:t>乙方（拟分包单位</w:t>
      </w:r>
      <w:r>
        <w:rPr>
          <w:rFonts w:hint="eastAsia" w:cs="宋体"/>
          <w:spacing w:val="-59"/>
        </w:rPr>
        <w:t>）：</w:t>
      </w:r>
      <w:r>
        <w:rPr>
          <w:rFonts w:hint="eastAsia" w:cs="宋体"/>
        </w:rPr>
        <w:t xml:space="preserve">              </w:t>
      </w:r>
    </w:p>
    <w:p>
      <w:pPr>
        <w:pStyle w:val="22"/>
        <w:rPr>
          <w:rFonts w:cs="宋体"/>
        </w:rPr>
      </w:pPr>
      <w:r>
        <w:rPr>
          <w:rFonts w:hint="eastAsia" w:cs="宋体"/>
        </w:rPr>
        <w:t>甲方承诺，一旦在</w:t>
      </w:r>
      <w:r>
        <w:rPr>
          <w:rFonts w:hint="eastAsia" w:cs="宋体"/>
          <w:u w:val="single"/>
        </w:rPr>
        <w:t xml:space="preserve">           </w:t>
      </w:r>
      <w:r>
        <w:rPr>
          <w:rFonts w:hint="eastAsia" w:cs="宋体"/>
        </w:rPr>
        <w:t>（采购项目名称</w:t>
      </w:r>
      <w:r>
        <w:rPr>
          <w:rFonts w:hint="eastAsia" w:cs="宋体"/>
          <w:spacing w:val="-55"/>
        </w:rPr>
        <w:t>）（</w:t>
      </w:r>
      <w:r>
        <w:rPr>
          <w:rFonts w:hint="eastAsia" w:cs="宋体"/>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rPr>
        <w:t>招</w:t>
      </w:r>
    </w:p>
    <w:p>
      <w:pPr>
        <w:pStyle w:val="22"/>
        <w:rPr>
          <w:rFonts w:cs="宋体"/>
          <w:spacing w:val="-55"/>
        </w:rPr>
      </w:pPr>
      <w:r>
        <w:rPr>
          <w:rFonts w:hint="eastAsia" w:cs="宋体"/>
          <w:spacing w:val="1"/>
        </w:rPr>
        <w:t>标</w:t>
      </w:r>
      <w:r>
        <w:rPr>
          <w:rFonts w:hint="eastAsia" w:cs="宋体"/>
        </w:rPr>
        <w:t>采购项目中获得采购合同，将按照下述约定将合同项下部分内容分包给乙方：</w:t>
      </w:r>
      <w:r>
        <w:rPr>
          <w:rFonts w:hint="eastAsia" w:cs="宋体"/>
          <w:spacing w:val="13"/>
        </w:rPr>
        <w:t xml:space="preserve"> </w:t>
      </w:r>
    </w:p>
    <w:p>
      <w:pPr>
        <w:pStyle w:val="22"/>
        <w:rPr>
          <w:rFonts w:cs="宋体"/>
        </w:rPr>
      </w:pPr>
      <w:r>
        <w:rPr>
          <w:rFonts w:hint="eastAsia" w:cs="宋体"/>
        </w:rPr>
        <w:t>1.分包内容：</w:t>
      </w:r>
      <w:r>
        <w:rPr>
          <w:rFonts w:hint="eastAsia" w:cs="宋体"/>
          <w:spacing w:val="5"/>
          <w:u w:val="single"/>
        </w:rPr>
        <w:t xml:space="preserve">        </w:t>
      </w:r>
      <w:r>
        <w:rPr>
          <w:rFonts w:hint="eastAsia" w:cs="宋体"/>
        </w:rPr>
        <w:t>。</w:t>
      </w:r>
    </w:p>
    <w:p>
      <w:pPr>
        <w:pStyle w:val="22"/>
        <w:rPr>
          <w:rFonts w:cs="宋体"/>
        </w:rPr>
      </w:pPr>
      <w:r>
        <w:rPr>
          <w:rFonts w:hint="eastAsia" w:cs="宋体"/>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rPr>
        <w:t>该金额占该采购包合同金额的比例为</w:t>
      </w:r>
      <w:r>
        <w:rPr>
          <w:rFonts w:hint="eastAsia" w:cs="宋体"/>
          <w:u w:val="single"/>
        </w:rPr>
        <w:t xml:space="preserve">     </w:t>
      </w:r>
      <w:r>
        <w:rPr>
          <w:rFonts w:hint="eastAsia" w:cs="宋体"/>
          <w:spacing w:val="-58"/>
        </w:rPr>
        <w:t xml:space="preserve"> </w:t>
      </w:r>
      <w:r>
        <w:rPr>
          <w:rFonts w:hint="eastAsia" w:cs="宋体"/>
        </w:rPr>
        <w:t>%。 乙方承诺将在上述情况下与甲方签订分包合同，并对该部分承包内容与甲方共同承担连带责任。</w:t>
      </w:r>
    </w:p>
    <w:p>
      <w:pPr>
        <w:pStyle w:val="22"/>
        <w:rPr>
          <w:rFonts w:cs="宋体"/>
        </w:rPr>
      </w:pPr>
      <w:r>
        <w:rPr>
          <w:rFonts w:hint="eastAsia" w:cs="宋体"/>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ascii="宋体" w:hAnsi="宋体" w:cs="宋体"/>
        </w:rPr>
      </w:pPr>
    </w:p>
    <w:p>
      <w:pPr>
        <w:pStyle w:val="22"/>
        <w:rPr>
          <w:rFonts w:cs="宋体"/>
        </w:rPr>
      </w:pPr>
      <w:r>
        <w:rPr>
          <w:rFonts w:hint="eastAsia" w:cs="宋体"/>
          <w:spacing w:val="-6"/>
        </w:rPr>
        <w:t>甲方（盖章</w:t>
      </w:r>
      <w:r>
        <w:rPr>
          <w:rFonts w:hint="eastAsia" w:cs="宋体"/>
          <w:spacing w:val="-60"/>
        </w:rPr>
        <w:t>）：</w:t>
      </w:r>
      <w:r>
        <w:rPr>
          <w:rFonts w:hint="eastAsia" w:cs="宋体"/>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u w:val="single"/>
        </w:rPr>
        <w:t xml:space="preserve">                </w:t>
      </w:r>
    </w:p>
    <w:p>
      <w:pPr>
        <w:spacing w:line="249" w:lineRule="auto"/>
        <w:rPr>
          <w:rFonts w:ascii="宋体" w:hAnsi="宋体" w:cs="宋体"/>
        </w:rPr>
      </w:pPr>
    </w:p>
    <w:p>
      <w:pPr>
        <w:spacing w:line="250" w:lineRule="auto"/>
        <w:rPr>
          <w:rFonts w:ascii="宋体" w:hAnsi="宋体" w:cs="宋体"/>
        </w:rPr>
      </w:pPr>
    </w:p>
    <w:p>
      <w:pPr>
        <w:pStyle w:val="22"/>
        <w:rPr>
          <w:rFonts w:cs="宋体"/>
        </w:rPr>
      </w:pPr>
      <w:r>
        <w:rPr>
          <w:rFonts w:hint="eastAsia" w:cs="宋体"/>
          <w:spacing w:val="-13"/>
        </w:rPr>
        <w:t>日期：</w:t>
      </w:r>
      <w:r>
        <w:rPr>
          <w:rFonts w:hint="eastAsia" w:cs="宋体"/>
          <w:spacing w:val="4"/>
        </w:rPr>
        <w:t xml:space="preserve">        </w:t>
      </w:r>
      <w:r>
        <w:rPr>
          <w:rFonts w:hint="eastAsia" w:cs="宋体"/>
          <w:spacing w:val="-59"/>
        </w:rPr>
        <w:t xml:space="preserve"> </w:t>
      </w:r>
      <w:r>
        <w:rPr>
          <w:rFonts w:hint="eastAsia" w:cs="宋体"/>
          <w:spacing w:val="-13"/>
        </w:rPr>
        <w:t>年</w:t>
      </w:r>
      <w:r>
        <w:rPr>
          <w:rFonts w:hint="eastAsia" w:cs="宋体"/>
        </w:rPr>
        <w:t xml:space="preserve">          </w:t>
      </w:r>
      <w:r>
        <w:rPr>
          <w:rFonts w:hint="eastAsia" w:cs="宋体"/>
          <w:spacing w:val="-63"/>
        </w:rPr>
        <w:t xml:space="preserve"> </w:t>
      </w:r>
      <w:r>
        <w:rPr>
          <w:rFonts w:hint="eastAsia" w:cs="宋体"/>
          <w:spacing w:val="-13"/>
        </w:rPr>
        <w:t>月</w:t>
      </w:r>
      <w:r>
        <w:rPr>
          <w:rFonts w:hint="eastAsia" w:cs="宋体"/>
        </w:rPr>
        <w:t xml:space="preserve">          </w:t>
      </w:r>
      <w:r>
        <w:rPr>
          <w:rFonts w:hint="eastAsia" w:cs="宋体"/>
          <w:spacing w:val="-15"/>
        </w:rPr>
        <w:t xml:space="preserve"> </w:t>
      </w:r>
      <w:r>
        <w:rPr>
          <w:rFonts w:hint="eastAsia" w:cs="宋体"/>
          <w:spacing w:val="-13"/>
        </w:rPr>
        <w:t>日</w:t>
      </w:r>
    </w:p>
    <w:p>
      <w:pPr>
        <w:spacing w:line="360" w:lineRule="auto"/>
        <w:rPr>
          <w:rFonts w:ascii="宋体" w:hAnsi="宋体" w:cs="宋体"/>
        </w:rPr>
      </w:pPr>
    </w:p>
    <w:p>
      <w:pPr>
        <w:spacing w:line="360" w:lineRule="auto"/>
        <w:rPr>
          <w:rFonts w:ascii="宋体" w:hAnsi="宋体" w:cs="宋体"/>
        </w:rPr>
      </w:pPr>
    </w:p>
    <w:p>
      <w:pPr>
        <w:pStyle w:val="22"/>
        <w:rPr>
          <w:rFonts w:cs="宋体"/>
        </w:rPr>
      </w:pPr>
      <w:r>
        <w:rPr>
          <w:rFonts w:hint="eastAsia" w:cs="宋体"/>
        </w:rPr>
        <w:t>注：</w:t>
      </w:r>
    </w:p>
    <w:p>
      <w:pPr>
        <w:pStyle w:val="22"/>
        <w:rPr>
          <w:rFonts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22"/>
        <w:rPr>
          <w:rFonts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有关规定</w:t>
      </w:r>
      <w:r>
        <w:rPr>
          <w:rFonts w:hint="eastAsia" w:cs="宋体"/>
          <w:spacing w:val="-15"/>
        </w:rPr>
        <w:t>，</w:t>
      </w:r>
      <w:r>
        <w:rPr>
          <w:rFonts w:hint="eastAsia" w:cs="宋体"/>
        </w:rPr>
        <w:t>拟享受中小企业政策优惠措施的，仍需提供本协，否则不予认可；</w:t>
      </w:r>
    </w:p>
    <w:p>
      <w:pPr>
        <w:spacing w:line="360" w:lineRule="auto"/>
        <w:outlineLvl w:val="2"/>
        <w:rPr>
          <w:rFonts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ascii="宋体" w:hAnsi="宋体" w:cs="宋体"/>
        </w:rPr>
      </w:pPr>
    </w:p>
    <w:p>
      <w:pPr>
        <w:spacing w:line="360" w:lineRule="auto"/>
        <w:outlineLvl w:val="2"/>
        <w:rPr>
          <w:rFonts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22"/>
        <w:rPr>
          <w:rFonts w:cs="宋体"/>
        </w:rPr>
      </w:pPr>
      <w:r>
        <w:rPr>
          <w:rFonts w:hint="eastAsia" w:cs="宋体"/>
        </w:rPr>
        <w:t>9-1 供应商信息采集表</w:t>
      </w:r>
    </w:p>
    <w:tbl>
      <w:tblPr>
        <w:tblStyle w:val="52"/>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pPr>
              <w:pStyle w:val="273"/>
              <w:rPr>
                <w:rFonts w:ascii="宋体" w:hAnsi="宋体" w:eastAsia="宋体" w:cs="宋体"/>
                <w:sz w:val="22"/>
              </w:rPr>
            </w:pPr>
          </w:p>
        </w:tc>
        <w:tc>
          <w:tcPr>
            <w:tcW w:w="3095" w:type="dxa"/>
          </w:tcPr>
          <w:p>
            <w:pPr>
              <w:pStyle w:val="273"/>
              <w:rPr>
                <w:rFonts w:ascii="宋体" w:hAnsi="宋体" w:eastAsia="宋体" w:cs="宋体"/>
                <w:sz w:val="22"/>
              </w:rPr>
            </w:pPr>
          </w:p>
        </w:tc>
        <w:tc>
          <w:tcPr>
            <w:tcW w:w="3098"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pPr>
              <w:pStyle w:val="273"/>
              <w:rPr>
                <w:rFonts w:ascii="宋体" w:hAnsi="宋体" w:eastAsia="宋体" w:cs="宋体"/>
                <w:sz w:val="22"/>
              </w:rPr>
            </w:pPr>
          </w:p>
        </w:tc>
        <w:tc>
          <w:tcPr>
            <w:tcW w:w="3095" w:type="dxa"/>
          </w:tcPr>
          <w:p>
            <w:pPr>
              <w:pStyle w:val="273"/>
              <w:rPr>
                <w:rFonts w:ascii="宋体" w:hAnsi="宋体" w:eastAsia="宋体" w:cs="宋体"/>
                <w:sz w:val="22"/>
              </w:rPr>
            </w:pPr>
          </w:p>
        </w:tc>
        <w:tc>
          <w:tcPr>
            <w:tcW w:w="3098"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pPr>
              <w:pStyle w:val="273"/>
              <w:rPr>
                <w:rFonts w:ascii="宋体" w:hAnsi="宋体" w:eastAsia="宋体" w:cs="宋体"/>
                <w:sz w:val="22"/>
              </w:rPr>
            </w:pPr>
          </w:p>
        </w:tc>
        <w:tc>
          <w:tcPr>
            <w:tcW w:w="3095" w:type="dxa"/>
          </w:tcPr>
          <w:p>
            <w:pPr>
              <w:pStyle w:val="273"/>
              <w:rPr>
                <w:rFonts w:ascii="宋体" w:hAnsi="宋体" w:eastAsia="宋体" w:cs="宋体"/>
                <w:sz w:val="22"/>
              </w:rPr>
            </w:pPr>
          </w:p>
        </w:tc>
        <w:tc>
          <w:tcPr>
            <w:tcW w:w="3098" w:type="dxa"/>
          </w:tcPr>
          <w:p>
            <w:pPr>
              <w:pStyle w:val="273"/>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pPr>
              <w:pStyle w:val="273"/>
              <w:rPr>
                <w:rFonts w:ascii="宋体" w:hAnsi="宋体" w:eastAsia="宋体" w:cs="宋体"/>
                <w:sz w:val="22"/>
              </w:rPr>
            </w:pPr>
          </w:p>
        </w:tc>
        <w:tc>
          <w:tcPr>
            <w:tcW w:w="3095" w:type="dxa"/>
          </w:tcPr>
          <w:p>
            <w:pPr>
              <w:pStyle w:val="273"/>
              <w:rPr>
                <w:rFonts w:ascii="宋体" w:hAnsi="宋体" w:eastAsia="宋体" w:cs="宋体"/>
                <w:sz w:val="22"/>
              </w:rPr>
            </w:pPr>
          </w:p>
        </w:tc>
        <w:tc>
          <w:tcPr>
            <w:tcW w:w="3098" w:type="dxa"/>
          </w:tcPr>
          <w:p>
            <w:pPr>
              <w:pStyle w:val="273"/>
              <w:rPr>
                <w:rFonts w:ascii="宋体" w:hAnsi="宋体" w:eastAsia="宋体" w:cs="宋体"/>
                <w:sz w:val="22"/>
              </w:rPr>
            </w:pPr>
          </w:p>
        </w:tc>
      </w:tr>
    </w:tbl>
    <w:p>
      <w:pPr>
        <w:pStyle w:val="22"/>
        <w:rPr>
          <w:rFonts w:cs="宋体"/>
        </w:rPr>
      </w:pPr>
      <w:r>
        <w:rPr>
          <w:rFonts w:hint="eastAsia" w:cs="宋体"/>
        </w:rPr>
        <w:t>注：1.供应商如为联合体，则应填写联合体各成员信息。</w:t>
      </w:r>
    </w:p>
    <w:p>
      <w:pPr>
        <w:pStyle w:val="22"/>
        <w:rPr>
          <w:rFonts w:cs="宋体"/>
          <w:spacing w:val="-1"/>
        </w:rPr>
      </w:pPr>
      <w:r>
        <w:rPr>
          <w:rFonts w:hint="eastAsia" w:cs="宋体"/>
        </w:rPr>
        <w:t>2.供应商所属性别请填写</w:t>
      </w:r>
      <w:r>
        <w:rPr>
          <w:rFonts w:hint="eastAsia" w:cs="宋体"/>
          <w:spacing w:val="-36"/>
        </w:rPr>
        <w:t xml:space="preserve"> </w:t>
      </w:r>
      <w:r>
        <w:rPr>
          <w:rFonts w:hint="eastAsia" w:cs="宋体"/>
        </w:rPr>
        <w:t>“男</w:t>
      </w:r>
      <w:r>
        <w:rPr>
          <w:rFonts w:hint="eastAsia" w:cs="宋体"/>
          <w:spacing w:val="-50"/>
        </w:rPr>
        <w:t xml:space="preserve"> </w:t>
      </w:r>
      <w:r>
        <w:rPr>
          <w:rFonts w:hint="eastAsia" w:cs="宋体"/>
        </w:rPr>
        <w:t>”或</w:t>
      </w:r>
      <w:r>
        <w:rPr>
          <w:rFonts w:hint="eastAsia" w:cs="宋体"/>
          <w:spacing w:val="-51"/>
        </w:rPr>
        <w:t xml:space="preserve"> </w:t>
      </w:r>
      <w:r>
        <w:rPr>
          <w:rFonts w:hint="eastAsia" w:cs="宋体"/>
        </w:rPr>
        <w:t>“女</w:t>
      </w:r>
      <w:r>
        <w:rPr>
          <w:rFonts w:hint="eastAsia" w:cs="宋体"/>
          <w:spacing w:val="-51"/>
        </w:rPr>
        <w:t xml:space="preserve"> </w:t>
      </w:r>
      <w:r>
        <w:rPr>
          <w:rFonts w:hint="eastAsia" w:cs="宋体"/>
        </w:rPr>
        <w:t>”，指拥有供应商 51%以上绝对所有权的性别； 绝对所有权拥有者可以是一个人，也可以是</w:t>
      </w:r>
      <w:r>
        <w:rPr>
          <w:rFonts w:hint="eastAsia" w:cs="宋体"/>
          <w:spacing w:val="-1"/>
        </w:rPr>
        <w:t>多人合计计算。</w:t>
      </w:r>
    </w:p>
    <w:p>
      <w:pPr>
        <w:pStyle w:val="22"/>
        <w:rPr>
          <w:rFonts w:cs="宋体"/>
          <w:b/>
          <w:sz w:val="36"/>
          <w:szCs w:val="36"/>
        </w:rPr>
      </w:pPr>
      <w:r>
        <w:rPr>
          <w:rFonts w:hint="eastAsia" w:cs="宋体"/>
        </w:rPr>
        <w:t>3.外商投资类型请填写</w:t>
      </w:r>
      <w:r>
        <w:rPr>
          <w:rFonts w:hint="eastAsia" w:cs="宋体"/>
          <w:spacing w:val="-35"/>
        </w:rPr>
        <w:t xml:space="preserve"> </w:t>
      </w:r>
      <w:r>
        <w:rPr>
          <w:rFonts w:hint="eastAsia" w:cs="宋体"/>
        </w:rPr>
        <w:t>“外商单独投资</w:t>
      </w:r>
      <w:r>
        <w:rPr>
          <w:rFonts w:hint="eastAsia" w:cs="宋体"/>
          <w:spacing w:val="-50"/>
        </w:rPr>
        <w:t xml:space="preserve"> </w:t>
      </w:r>
      <w:r>
        <w:rPr>
          <w:rFonts w:hint="eastAsia" w:cs="宋体"/>
        </w:rPr>
        <w:t>”</w:t>
      </w:r>
      <w:r>
        <w:rPr>
          <w:rFonts w:hint="eastAsia" w:cs="宋体"/>
          <w:spacing w:val="-43"/>
        </w:rPr>
        <w:t xml:space="preserve"> </w:t>
      </w:r>
      <w:r>
        <w:rPr>
          <w:rFonts w:hint="eastAsia" w:cs="宋体"/>
        </w:rPr>
        <w:t>、“外商部分投资</w:t>
      </w:r>
      <w:r>
        <w:rPr>
          <w:rFonts w:hint="eastAsia" w:cs="宋体"/>
          <w:spacing w:val="-51"/>
        </w:rPr>
        <w:t xml:space="preserve"> </w:t>
      </w:r>
      <w:r>
        <w:rPr>
          <w:rFonts w:hint="eastAsia" w:cs="宋体"/>
        </w:rPr>
        <w:t>”或</w:t>
      </w:r>
      <w:r>
        <w:rPr>
          <w:rFonts w:hint="eastAsia" w:cs="宋体"/>
          <w:spacing w:val="-50"/>
        </w:rPr>
        <w:t xml:space="preserve"> </w:t>
      </w:r>
      <w:r>
        <w:rPr>
          <w:rFonts w:hint="eastAsia" w:cs="宋体"/>
        </w:rPr>
        <w:t>“</w:t>
      </w:r>
      <w:r>
        <w:rPr>
          <w:rFonts w:hint="eastAsia" w:cs="宋体"/>
          <w:spacing w:val="-36"/>
        </w:rPr>
        <w:t xml:space="preserve"> </w:t>
      </w:r>
      <w:r>
        <w:rPr>
          <w:rFonts w:hint="eastAsia" w:cs="宋体"/>
        </w:rPr>
        <w:t>内资</w:t>
      </w:r>
      <w:r>
        <w:rPr>
          <w:rFonts w:hint="eastAsia" w:cs="宋体"/>
          <w:spacing w:val="-51"/>
        </w:rPr>
        <w:t xml:space="preserve"> </w:t>
      </w:r>
      <w:r>
        <w:rPr>
          <w:rFonts w:hint="eastAsia" w:cs="宋体"/>
        </w:rPr>
        <w:t>”。</w:t>
      </w:r>
    </w:p>
    <w:p>
      <w:pPr>
        <w:pStyle w:val="22"/>
        <w:rPr>
          <w:rFonts w:cs="宋体"/>
        </w:rPr>
      </w:pPr>
      <w:r>
        <w:rPr>
          <w:rFonts w:hint="eastAsia" w:cs="宋体"/>
          <w:b/>
          <w:sz w:val="36"/>
          <w:szCs w:val="36"/>
        </w:rPr>
        <w:br w:type="page"/>
      </w:r>
      <w:bookmarkStart w:id="920" w:name="_Toc1455919030"/>
      <w:bookmarkStart w:id="921" w:name="_Toc6182"/>
      <w:r>
        <w:rPr>
          <w:rFonts w:hint="eastAsia" w:cs="宋体"/>
        </w:rPr>
        <w:t>9-2 业绩证明材料</w:t>
      </w:r>
      <w:bookmarkEnd w:id="920"/>
      <w:bookmarkEnd w:id="921"/>
    </w:p>
    <w:p>
      <w:pPr>
        <w:spacing w:line="360" w:lineRule="auto"/>
        <w:ind w:right="658"/>
        <w:rPr>
          <w:rFonts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2"/>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17"/>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cs="宋体"/>
          <w:szCs w:val="21"/>
        </w:rPr>
        <w:t>2022</w:t>
      </w:r>
      <w:r>
        <w:rPr>
          <w:rFonts w:hint="eastAsia" w:hAnsi="宋体" w:cs="宋体"/>
          <w:color w:val="000000"/>
          <w:szCs w:val="21"/>
        </w:rPr>
        <w:t>年1月1日至</w:t>
      </w:r>
      <w:r>
        <w:rPr>
          <w:rFonts w:hint="eastAsia" w:hAnsi="宋体" w:cs="宋体"/>
          <w:szCs w:val="21"/>
        </w:rPr>
        <w:t>提交投标文件截止时间类似项目业绩（以合同签订日期为准）</w:t>
      </w:r>
      <w:r>
        <w:rPr>
          <w:rFonts w:hint="eastAsia" w:hAnsi="宋体" w:cs="宋体"/>
          <w:bCs/>
        </w:rPr>
        <w:t>。</w:t>
      </w:r>
    </w:p>
    <w:p>
      <w:pPr>
        <w:pStyle w:val="17"/>
        <w:spacing w:line="360" w:lineRule="auto"/>
        <w:ind w:firstLine="720" w:firstLineChars="300"/>
        <w:rPr>
          <w:rFonts w:hAnsi="宋体" w:cs="宋体"/>
        </w:rPr>
      </w:pPr>
      <w:r>
        <w:rPr>
          <w:rFonts w:hint="eastAsia" w:hAnsi="宋体" w:cs="宋体"/>
        </w:rPr>
        <w:t>2、应提供其证明材料（</w:t>
      </w:r>
      <w:r>
        <w:rPr>
          <w:rFonts w:hint="eastAsia" w:hAnsi="宋体" w:cs="宋体"/>
          <w:szCs w:val="21"/>
        </w:rPr>
        <w:t>合同首页、关键内容页、签字盖章页复印件加盖投标人公章</w:t>
      </w:r>
      <w:r>
        <w:rPr>
          <w:rFonts w:hint="eastAsia" w:hAnsi="宋体" w:cs="宋体"/>
        </w:rPr>
        <w:t>）。</w:t>
      </w:r>
    </w:p>
    <w:p>
      <w:pPr>
        <w:pStyle w:val="17"/>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8"/>
        <w:tabs>
          <w:tab w:val="left" w:pos="5580"/>
        </w:tabs>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color w:val="000000"/>
          <w:sz w:val="24"/>
          <w:lang w:val="zh-CN"/>
        </w:rPr>
      </w:pPr>
      <w:bookmarkStart w:id="922" w:name="OLE_LINK62"/>
      <w:bookmarkStart w:id="923"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17"/>
        <w:spacing w:line="360" w:lineRule="auto"/>
        <w:ind w:firstLine="0"/>
        <w:rPr>
          <w:rFonts w:hAnsi="宋体" w:cs="宋体"/>
        </w:rPr>
      </w:pPr>
      <w:r>
        <w:rPr>
          <w:rFonts w:hint="eastAsia" w:hAnsi="宋体" w:cs="宋体"/>
          <w:color w:val="000000"/>
          <w:szCs w:val="20"/>
        </w:rPr>
        <w:t>日期：_____年______月______日</w:t>
      </w:r>
      <w:bookmarkEnd w:id="922"/>
      <w:bookmarkEnd w:id="923"/>
    </w:p>
    <w:p>
      <w:pPr>
        <w:rPr>
          <w:rFonts w:ascii="宋体" w:hAnsi="宋体" w:cs="宋体"/>
          <w:b/>
          <w:color w:val="000000"/>
          <w:sz w:val="28"/>
          <w:szCs w:val="28"/>
          <w:lang w:val="zh-CN"/>
        </w:rPr>
      </w:pPr>
      <w:bookmarkStart w:id="924" w:name="_Toc496291415"/>
      <w:bookmarkStart w:id="925" w:name="_Toc100786170"/>
      <w:bookmarkStart w:id="926" w:name="_Toc56786499"/>
    </w:p>
    <w:p>
      <w:pPr>
        <w:pStyle w:val="22"/>
        <w:rPr>
          <w:rFonts w:cs="宋体"/>
        </w:rPr>
      </w:pPr>
      <w:bookmarkStart w:id="927" w:name="_Toc1979430374"/>
      <w:r>
        <w:rPr>
          <w:rFonts w:hint="eastAsia" w:cs="宋体"/>
          <w:color w:val="000000"/>
          <w:szCs w:val="28"/>
        </w:rPr>
        <w:br w:type="page"/>
      </w:r>
      <w:r>
        <w:rPr>
          <w:rFonts w:hint="eastAsia" w:cs="宋体"/>
        </w:rPr>
        <w:t xml:space="preserve">9-3  </w:t>
      </w:r>
      <w:bookmarkEnd w:id="924"/>
      <w:r>
        <w:rPr>
          <w:rFonts w:hint="eastAsia" w:cs="宋体"/>
        </w:rPr>
        <w:t>拟投入本项目的项目组人员配备情况</w:t>
      </w:r>
      <w:bookmarkEnd w:id="925"/>
      <w:bookmarkEnd w:id="926"/>
      <w:bookmarkEnd w:id="927"/>
    </w:p>
    <w:p>
      <w:pPr>
        <w:pStyle w:val="22"/>
        <w:rPr>
          <w:rFonts w:cs="宋体"/>
        </w:rPr>
      </w:pPr>
    </w:p>
    <w:p>
      <w:pPr>
        <w:spacing w:line="360" w:lineRule="auto"/>
        <w:jc w:val="center"/>
        <w:rPr>
          <w:rFonts w:ascii="宋体" w:hAnsi="宋体" w:cs="宋体"/>
          <w:color w:val="000000"/>
          <w:sz w:val="24"/>
        </w:rPr>
      </w:pPr>
      <w:bookmarkStart w:id="928" w:name="_Toc486431029"/>
      <w:bookmarkStart w:id="929" w:name="_Toc486431303"/>
      <w:r>
        <w:rPr>
          <w:rFonts w:hint="eastAsia" w:ascii="宋体" w:hAnsi="宋体" w:cs="宋体"/>
          <w:color w:val="000000"/>
          <w:sz w:val="24"/>
        </w:rPr>
        <w:t>（1）项目负责人简历表</w:t>
      </w:r>
      <w:bookmarkEnd w:id="928"/>
      <w:bookmarkEnd w:id="929"/>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52"/>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pStyle w:val="28"/>
        <w:tabs>
          <w:tab w:val="left" w:pos="5580"/>
        </w:tabs>
        <w:adjustRightInd w:val="0"/>
        <w:snapToGrid w:val="0"/>
        <w:spacing w:line="360" w:lineRule="auto"/>
        <w:rPr>
          <w:rFonts w:hint="default" w:hAnsi="宋体" w:cs="宋体"/>
          <w:color w:val="000000"/>
          <w:sz w:val="24"/>
          <w:szCs w:val="24"/>
        </w:rPr>
      </w:pPr>
      <w:r>
        <w:rPr>
          <w:rFonts w:hAnsi="宋体" w:cs="宋体"/>
          <w:color w:val="000000"/>
          <w:sz w:val="24"/>
          <w:szCs w:val="24"/>
        </w:rPr>
        <w:t>附：可根据行业规定附项目组人员的相关证件包括不限于身份证、资格证、社保记录、任职证明、学历证、职称等复印件。</w:t>
      </w:r>
    </w:p>
    <w:p>
      <w:pPr>
        <w:pStyle w:val="28"/>
        <w:tabs>
          <w:tab w:val="left" w:pos="5580"/>
        </w:tabs>
        <w:adjustRightInd w:val="0"/>
        <w:snapToGrid w:val="0"/>
        <w:spacing w:line="360" w:lineRule="auto"/>
        <w:rPr>
          <w:rFonts w:hint="default" w:hAnsi="宋体" w:cs="宋体"/>
          <w:color w:val="000000"/>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（2）拟投入本项目的项目组人员配备情况</w:t>
      </w:r>
    </w:p>
    <w:tbl>
      <w:tblPr>
        <w:tblStyle w:val="5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ascii="宋体" w:hAnsi="宋体" w:cs="宋体"/>
                <w:color w:val="000000"/>
                <w:sz w:val="24"/>
              </w:rPr>
            </w:pPr>
            <w:bookmarkStart w:id="930" w:name="_Toc53908345"/>
            <w:r>
              <w:rPr>
                <w:rFonts w:hint="eastAsia" w:ascii="宋体" w:hAnsi="宋体" w:cs="宋体"/>
                <w:color w:val="000000"/>
                <w:sz w:val="24"/>
              </w:rPr>
              <w:t>序号</w:t>
            </w:r>
          </w:p>
        </w:tc>
        <w:tc>
          <w:tcPr>
            <w:tcW w:w="1006"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姓名</w:t>
            </w:r>
          </w:p>
        </w:tc>
        <w:tc>
          <w:tcPr>
            <w:tcW w:w="858"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年龄</w:t>
            </w:r>
          </w:p>
        </w:tc>
        <w:tc>
          <w:tcPr>
            <w:tcW w:w="76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学历</w:t>
            </w:r>
          </w:p>
        </w:tc>
        <w:tc>
          <w:tcPr>
            <w:tcW w:w="76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职称</w:t>
            </w:r>
          </w:p>
        </w:tc>
        <w:tc>
          <w:tcPr>
            <w:tcW w:w="1975"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岗位</w:t>
            </w:r>
          </w:p>
        </w:tc>
        <w:tc>
          <w:tcPr>
            <w:tcW w:w="1066"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工作</w:t>
            </w:r>
          </w:p>
          <w:p>
            <w:pPr>
              <w:adjustRightInd w:val="0"/>
              <w:snapToGrid w:val="0"/>
              <w:jc w:val="center"/>
              <w:rPr>
                <w:rFonts w:ascii="宋体" w:hAnsi="宋体" w:cs="宋体"/>
                <w:color w:val="000000"/>
                <w:sz w:val="24"/>
              </w:rPr>
            </w:pPr>
            <w:r>
              <w:rPr>
                <w:rFonts w:hint="eastAsia" w:ascii="宋体" w:hAnsi="宋体" w:cs="宋体"/>
                <w:color w:val="000000"/>
                <w:sz w:val="24"/>
              </w:rPr>
              <w:t>年限</w:t>
            </w:r>
          </w:p>
        </w:tc>
        <w:tc>
          <w:tcPr>
            <w:tcW w:w="1984"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cs="宋体"/>
                <w:b/>
                <w:color w:val="000000"/>
                <w:sz w:val="24"/>
              </w:rPr>
            </w:pPr>
          </w:p>
        </w:tc>
        <w:tc>
          <w:tcPr>
            <w:tcW w:w="1006" w:type="dxa"/>
            <w:vAlign w:val="center"/>
          </w:tcPr>
          <w:p>
            <w:pPr>
              <w:adjustRightInd w:val="0"/>
              <w:snapToGrid w:val="0"/>
              <w:jc w:val="center"/>
              <w:rPr>
                <w:rFonts w:ascii="宋体" w:hAnsi="宋体" w:cs="宋体"/>
                <w:b/>
                <w:color w:val="000000"/>
                <w:sz w:val="24"/>
              </w:rPr>
            </w:pPr>
          </w:p>
        </w:tc>
        <w:tc>
          <w:tcPr>
            <w:tcW w:w="858"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764" w:type="dxa"/>
            <w:vAlign w:val="center"/>
          </w:tcPr>
          <w:p>
            <w:pPr>
              <w:adjustRightInd w:val="0"/>
              <w:snapToGrid w:val="0"/>
              <w:jc w:val="center"/>
              <w:rPr>
                <w:rFonts w:ascii="宋体" w:hAnsi="宋体" w:cs="宋体"/>
                <w:b/>
                <w:color w:val="000000"/>
                <w:sz w:val="24"/>
              </w:rPr>
            </w:pPr>
          </w:p>
        </w:tc>
        <w:tc>
          <w:tcPr>
            <w:tcW w:w="1975" w:type="dxa"/>
            <w:vAlign w:val="center"/>
          </w:tcPr>
          <w:p>
            <w:pPr>
              <w:adjustRightInd w:val="0"/>
              <w:snapToGrid w:val="0"/>
              <w:jc w:val="center"/>
              <w:rPr>
                <w:rFonts w:ascii="宋体" w:hAnsi="宋体" w:cs="宋体"/>
                <w:b/>
                <w:color w:val="000000"/>
                <w:sz w:val="24"/>
              </w:rPr>
            </w:pPr>
          </w:p>
        </w:tc>
        <w:tc>
          <w:tcPr>
            <w:tcW w:w="1066" w:type="dxa"/>
            <w:vAlign w:val="center"/>
          </w:tcPr>
          <w:p>
            <w:pPr>
              <w:adjustRightInd w:val="0"/>
              <w:snapToGrid w:val="0"/>
              <w:jc w:val="center"/>
              <w:rPr>
                <w:rFonts w:ascii="宋体" w:hAnsi="宋体" w:cs="宋体"/>
                <w:b/>
                <w:color w:val="000000"/>
                <w:sz w:val="24"/>
              </w:rPr>
            </w:pPr>
          </w:p>
        </w:tc>
        <w:tc>
          <w:tcPr>
            <w:tcW w:w="1984" w:type="dxa"/>
            <w:vAlign w:val="center"/>
          </w:tcPr>
          <w:p>
            <w:pPr>
              <w:adjustRightInd w:val="0"/>
              <w:snapToGrid w:val="0"/>
              <w:jc w:val="center"/>
              <w:rPr>
                <w:rFonts w:ascii="宋体" w:hAnsi="宋体" w:cs="宋体"/>
                <w:b/>
                <w:color w:val="000000"/>
                <w:sz w:val="24"/>
              </w:rPr>
            </w:pPr>
          </w:p>
        </w:tc>
      </w:tr>
    </w:tbl>
    <w:p>
      <w:pPr>
        <w:spacing w:line="360" w:lineRule="auto"/>
        <w:rPr>
          <w:rFonts w:ascii="宋体" w:hAnsi="宋体" w:cs="宋体"/>
          <w:color w:val="000000"/>
          <w:sz w:val="24"/>
        </w:rPr>
      </w:pPr>
      <w:r>
        <w:rPr>
          <w:rFonts w:hint="eastAsia" w:ascii="宋体" w:hAnsi="宋体" w:cs="宋体"/>
          <w:color w:val="000000"/>
          <w:sz w:val="24"/>
        </w:rPr>
        <w:t>附：可根据行业规定附项目组人员的相关证件包括不限于身份证、资格证、社保记录等复印件。</w:t>
      </w:r>
    </w:p>
    <w:p>
      <w:pPr>
        <w:pStyle w:val="28"/>
        <w:tabs>
          <w:tab w:val="left" w:pos="5580"/>
        </w:tabs>
        <w:adjustRightInd w:val="0"/>
        <w:snapToGrid w:val="0"/>
        <w:spacing w:line="360" w:lineRule="auto"/>
        <w:rPr>
          <w:rFonts w:hint="default" w:hAnsi="宋体" w:cs="宋体"/>
          <w:color w:val="000000"/>
          <w:sz w:val="24"/>
          <w:szCs w:val="24"/>
        </w:rPr>
      </w:pPr>
    </w:p>
    <w:p>
      <w:pPr>
        <w:pStyle w:val="28"/>
        <w:tabs>
          <w:tab w:val="left" w:pos="5580"/>
        </w:tabs>
        <w:adjustRightInd w:val="0"/>
        <w:snapToGrid w:val="0"/>
        <w:spacing w:line="360" w:lineRule="auto"/>
        <w:rPr>
          <w:rFonts w:hint="default" w:hAnsi="宋体" w:cs="宋体"/>
          <w:color w:val="000000"/>
          <w:sz w:val="24"/>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22"/>
        <w:rPr>
          <w:rFonts w:cs="宋体"/>
          <w:color w:val="000000"/>
          <w:szCs w:val="28"/>
        </w:rPr>
      </w:pPr>
      <w:r>
        <w:rPr>
          <w:rFonts w:hint="eastAsia" w:cs="宋体"/>
          <w:color w:val="000000"/>
          <w:szCs w:val="20"/>
        </w:rPr>
        <w:br w:type="page"/>
      </w:r>
      <w:bookmarkStart w:id="931" w:name="_Toc188382274"/>
      <w:r>
        <w:rPr>
          <w:rFonts w:hint="eastAsia" w:cs="宋体"/>
        </w:rPr>
        <w:t>9-4  节能产品、环境标志产品的证明材料（如有）</w:t>
      </w:r>
      <w:bookmarkEnd w:id="931"/>
    </w:p>
    <w:p>
      <w:pPr>
        <w:spacing w:line="360" w:lineRule="auto"/>
        <w:rPr>
          <w:rFonts w:ascii="宋体" w:hAnsi="宋体" w:cs="宋体"/>
          <w:b/>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拟采购产品属于节能产品政府采购品目清单范围内规定必须强制采购的为：</w:t>
      </w:r>
      <w:r>
        <w:rPr>
          <w:rFonts w:hint="eastAsia" w:ascii="宋体" w:hAnsi="宋体" w:cs="宋体"/>
          <w:color w:val="000000"/>
          <w:sz w:val="24"/>
          <w:u w:val="single"/>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宋体"/>
          <w:color w:val="000000"/>
          <w:sz w:val="24"/>
        </w:rPr>
      </w:pPr>
      <w:r>
        <w:rPr>
          <w:rFonts w:hint="eastAsia" w:ascii="宋体" w:hAnsi="宋体" w:cs="宋体"/>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宋体"/>
          <w:b/>
          <w:bCs/>
          <w:color w:val="000000"/>
          <w:sz w:val="24"/>
        </w:rPr>
        <w:t>具体详见附录4</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对所投产品为节能产品、环保标志产品的优惠幅度，以及评审标准和方法详见第六章《评标程序、评标方法和评标标准》。</w:t>
      </w:r>
    </w:p>
    <w:p>
      <w:pPr>
        <w:spacing w:line="360" w:lineRule="auto"/>
        <w:ind w:firstLine="480" w:firstLineChars="200"/>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注：</w:t>
      </w:r>
    </w:p>
    <w:p>
      <w:pPr>
        <w:spacing w:line="360" w:lineRule="auto"/>
        <w:rPr>
          <w:rFonts w:ascii="宋体" w:hAnsi="宋体" w:cs="宋体"/>
          <w:color w:val="000000"/>
          <w:sz w:val="24"/>
        </w:rPr>
      </w:pPr>
      <w:r>
        <w:rPr>
          <w:rFonts w:hint="eastAsia" w:ascii="宋体" w:hAnsi="宋体" w:cs="宋体"/>
          <w:color w:val="000000"/>
          <w:sz w:val="24"/>
        </w:rPr>
        <w:t>1.在本处提供的证明材料如与响应人所投产品内容（品牌、型号、规格等）不符，视为无效。</w:t>
      </w:r>
    </w:p>
    <w:p>
      <w:pPr>
        <w:spacing w:line="360" w:lineRule="auto"/>
        <w:rPr>
          <w:rFonts w:ascii="宋体" w:hAnsi="宋体" w:cs="宋体"/>
          <w:color w:val="000000"/>
          <w:sz w:val="24"/>
        </w:rPr>
      </w:pPr>
      <w:r>
        <w:rPr>
          <w:rFonts w:hint="eastAsia" w:ascii="宋体" w:hAnsi="宋体" w:cs="宋体"/>
          <w:color w:val="000000"/>
          <w:sz w:val="24"/>
        </w:rPr>
        <w:t>2.如提供虚假材料，响应人须承担相应法律责任。</w:t>
      </w:r>
    </w:p>
    <w:p>
      <w:pPr>
        <w:widowControl/>
        <w:spacing w:line="360" w:lineRule="auto"/>
        <w:jc w:val="left"/>
        <w:rPr>
          <w:rFonts w:ascii="宋体" w:hAnsi="宋体" w:cs="宋体"/>
          <w:bCs/>
          <w:color w:val="000000"/>
          <w:sz w:val="24"/>
        </w:rPr>
      </w:pPr>
      <w:r>
        <w:rPr>
          <w:rFonts w:hint="eastAsia" w:ascii="宋体" w:hAnsi="宋体" w:cs="宋体"/>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Cs/>
          <w:color w:val="000000"/>
          <w:sz w:val="24"/>
        </w:rPr>
        <w:t>关于印发节能产品政府采购品目清单的通知（财库〔2019〕19号）</w:t>
      </w:r>
      <w:r>
        <w:rPr>
          <w:rFonts w:hint="eastAsia" w:ascii="宋体" w:hAnsi="宋体" w:cs="宋体"/>
          <w:bCs/>
          <w:color w:val="000000"/>
          <w:sz w:val="24"/>
        </w:rPr>
        <w:fldChar w:fldCharType="end"/>
      </w:r>
      <w:r>
        <w:rPr>
          <w:rFonts w:hint="eastAsia" w:ascii="宋体" w:hAnsi="宋体" w:cs="宋体"/>
          <w:bCs/>
          <w:color w:val="000000"/>
          <w:sz w:val="24"/>
        </w:rPr>
        <w:t xml:space="preserve"> 、关于印发环境标志产品政府采购品目清单的通知（财库〔2019〕18号）。</w:t>
      </w:r>
    </w:p>
    <w:p>
      <w:pPr>
        <w:pStyle w:val="7"/>
        <w:ind w:left="720" w:hanging="720"/>
        <w:rPr>
          <w:rFonts w:hAnsi="宋体" w:cs="宋体"/>
          <w:bCs/>
          <w:color w:val="000000"/>
          <w:kern w:val="2"/>
          <w:szCs w:val="24"/>
        </w:rPr>
      </w:pPr>
      <w:r>
        <w:rPr>
          <w:rFonts w:hint="eastAsia" w:hAnsi="宋体" w:cs="宋体"/>
          <w:bCs/>
          <w:color w:val="000000"/>
        </w:rPr>
        <w:br w:type="page"/>
      </w:r>
      <w:bookmarkStart w:id="932" w:name="_Toc6758"/>
      <w:bookmarkStart w:id="933" w:name="_Toc188382302"/>
      <w:r>
        <w:rPr>
          <w:rFonts w:hint="eastAsia" w:hAnsi="宋体" w:cs="宋体"/>
          <w:bCs/>
          <w:color w:val="000000"/>
          <w:kern w:val="2"/>
          <w:szCs w:val="24"/>
        </w:rPr>
        <w:t>附录1：政府采购促进中小企业发展管理办法</w:t>
      </w:r>
      <w:bookmarkEnd w:id="932"/>
      <w:bookmarkEnd w:id="933"/>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s="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34" w:name="page2"/>
      <w:bookmarkEnd w:id="934"/>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35" w:name="page3"/>
      <w:bookmarkEnd w:id="935"/>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6" w:name="page4"/>
      <w:bookmarkEnd w:id="936"/>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7" w:name="page5"/>
      <w:bookmarkEnd w:id="937"/>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8" w:name="page6"/>
      <w:bookmarkEnd w:id="938"/>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9" w:name="page7"/>
      <w:bookmarkEnd w:id="939"/>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hint="eastAsia"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hint="eastAsia"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22"/>
        <w:rPr>
          <w:rFonts w:cs="宋体"/>
          <w:kern w:val="0"/>
        </w:rPr>
      </w:pPr>
      <w:r>
        <w:rPr>
          <w:rFonts w:hint="eastAsia" w:cs="宋体"/>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宋体"/>
          <w:bCs/>
          <w:color w:val="000000"/>
          <w:sz w:val="24"/>
        </w:rPr>
      </w:pPr>
      <w:bookmarkStart w:id="940" w:name="_Toc497489391"/>
      <w:bookmarkStart w:id="941" w:name="_Toc447223799"/>
      <w:bookmarkStart w:id="942" w:name="_Toc445984998"/>
      <w:bookmarkStart w:id="943" w:name="_Toc21554"/>
      <w:bookmarkStart w:id="944" w:name="_Toc12674"/>
      <w:bookmarkStart w:id="945" w:name="_Toc445916627"/>
      <w:bookmarkStart w:id="946" w:name="_Toc20829"/>
      <w:r>
        <w:rPr>
          <w:rFonts w:hint="eastAsia" w:ascii="宋体" w:hAnsi="宋体" w:cs="宋体"/>
          <w:bCs/>
          <w:color w:val="000000"/>
          <w:sz w:val="24"/>
        </w:rPr>
        <w:br w:type="page"/>
      </w:r>
    </w:p>
    <w:p>
      <w:pPr>
        <w:pStyle w:val="7"/>
        <w:ind w:left="720" w:hanging="720"/>
        <w:rPr>
          <w:rFonts w:hAnsi="宋体" w:cs="宋体"/>
          <w:bCs/>
          <w:color w:val="000000"/>
          <w:kern w:val="2"/>
          <w:szCs w:val="24"/>
        </w:rPr>
      </w:pPr>
      <w:bookmarkStart w:id="947" w:name="_Toc17167"/>
      <w:bookmarkStart w:id="948" w:name="_Toc15435094"/>
      <w:bookmarkStart w:id="949" w:name="_Toc85461450"/>
      <w:bookmarkStart w:id="950" w:name="_Toc101191899"/>
      <w:bookmarkStart w:id="951" w:name="_Toc83722638"/>
      <w:bookmarkStart w:id="952" w:name="_Toc188382303"/>
      <w:bookmarkStart w:id="953" w:name="_Toc8999377"/>
      <w:bookmarkStart w:id="954" w:name="_Toc50760979"/>
      <w:bookmarkStart w:id="955" w:name="_Toc92789350"/>
      <w:r>
        <w:rPr>
          <w:rFonts w:hint="eastAsia" w:hAnsi="宋体" w:cs="宋体"/>
          <w:bCs/>
          <w:color w:val="000000"/>
          <w:kern w:val="2"/>
          <w:szCs w:val="24"/>
        </w:rPr>
        <w:t>附录2：关于印发中小企业划型标准规定的通知</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pPr>
        <w:rPr>
          <w:rFonts w:ascii="宋体" w:hAnsi="宋体" w:cs="宋体"/>
        </w:rPr>
      </w:pPr>
    </w:p>
    <w:p>
      <w:pPr>
        <w:spacing w:line="360" w:lineRule="auto"/>
        <w:jc w:val="center"/>
        <w:rPr>
          <w:rFonts w:ascii="宋体" w:hAnsi="宋体" w:cs="宋体"/>
          <w:color w:val="000000"/>
          <w:spacing w:val="6"/>
          <w:sz w:val="24"/>
        </w:rPr>
      </w:pPr>
      <w:r>
        <w:rPr>
          <w:rFonts w:hint="eastAsia" w:ascii="宋体" w:hAnsi="宋体" w:cs="宋体"/>
          <w:color w:val="000000"/>
          <w:spacing w:val="6"/>
          <w:sz w:val="24"/>
        </w:rPr>
        <w:t>工信部联企业〔2011〕300号</w:t>
      </w:r>
    </w:p>
    <w:p>
      <w:pPr>
        <w:pStyle w:val="47"/>
        <w:spacing w:line="360" w:lineRule="auto"/>
        <w:ind w:firstLine="480"/>
        <w:rPr>
          <w:color w:val="000000"/>
        </w:rPr>
      </w:pPr>
      <w:r>
        <w:rPr>
          <w:rFonts w:hint="eastAsia"/>
          <w:color w:val="000000"/>
        </w:rPr>
        <w:t>各省、自治区、直辖市人民政府，国务院各部委、各直属机构及有关单位：</w:t>
      </w:r>
    </w:p>
    <w:p>
      <w:pPr>
        <w:pStyle w:val="47"/>
        <w:spacing w:line="360" w:lineRule="auto"/>
        <w:ind w:firstLine="480"/>
        <w:rPr>
          <w:color w:val="000000"/>
        </w:rPr>
      </w:pPr>
      <w:r>
        <w:rPr>
          <w:rFonts w:hint="eastAsia"/>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7"/>
        <w:spacing w:line="360" w:lineRule="auto"/>
        <w:ind w:firstLine="480"/>
        <w:rPr>
          <w:color w:val="000000"/>
        </w:rPr>
      </w:pPr>
      <w:r>
        <w:rPr>
          <w:rFonts w:hint="eastAsia"/>
          <w:color w:val="000000"/>
        </w:rPr>
        <w:t>　　　　　　　　　　　　　　　　　　　 工业和信息化部　国家统计局</w:t>
      </w:r>
    </w:p>
    <w:p>
      <w:pPr>
        <w:pStyle w:val="47"/>
        <w:spacing w:line="360" w:lineRule="auto"/>
        <w:ind w:firstLine="480"/>
        <w:rPr>
          <w:color w:val="000000"/>
        </w:rPr>
      </w:pPr>
      <w:r>
        <w:rPr>
          <w:rFonts w:hint="eastAsia"/>
          <w:color w:val="000000"/>
        </w:rPr>
        <w:t>　　　　　　　　　　　　　　　　　　国家发展和改革委员会　财政部</w:t>
      </w:r>
    </w:p>
    <w:p>
      <w:pPr>
        <w:pStyle w:val="47"/>
        <w:spacing w:line="360" w:lineRule="auto"/>
        <w:ind w:firstLine="480"/>
        <w:rPr>
          <w:color w:val="000000"/>
        </w:rPr>
      </w:pPr>
      <w:r>
        <w:rPr>
          <w:rFonts w:hint="eastAsia"/>
          <w:color w:val="000000"/>
        </w:rPr>
        <w:t>　　　　　　　　　　　　　　　　　　　　　　二○一一年六月十八日</w:t>
      </w:r>
    </w:p>
    <w:p>
      <w:pPr>
        <w:pStyle w:val="47"/>
        <w:spacing w:line="360" w:lineRule="auto"/>
        <w:ind w:firstLine="480"/>
        <w:jc w:val="center"/>
        <w:rPr>
          <w:color w:val="000000"/>
        </w:rPr>
      </w:pPr>
      <w:r>
        <w:rPr>
          <w:rStyle w:val="56"/>
          <w:rFonts w:hint="eastAsia"/>
          <w:color w:val="000000"/>
        </w:rPr>
        <w:t>中小企业划型标准规定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根据《中华人民共和国中小企业促进法》和《国务院关于进一步促进中小企业发展的若干意见》(国发〔2009〕36号)，制定本规定。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中小企业划分为中型、小型、微型三种类型，具体标准根据企业从业人员、营业收入、资产总额等指标，结合行业特点制定。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各行业划型标准为：</w:t>
      </w:r>
    </w:p>
    <w:p>
      <w:pPr>
        <w:spacing w:line="360" w:lineRule="auto"/>
        <w:rPr>
          <w:rFonts w:ascii="宋体" w:hAnsi="宋体" w:cs="宋体"/>
          <w:color w:val="000000"/>
          <w:sz w:val="24"/>
        </w:rPr>
      </w:pPr>
      <w:r>
        <w:rPr>
          <w:rFonts w:hint="eastAsia" w:ascii="宋体" w:hAnsi="宋体" w:cs="宋体"/>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宋体"/>
          <w:color w:val="000000"/>
          <w:sz w:val="24"/>
        </w:rPr>
      </w:pPr>
      <w:r>
        <w:rPr>
          <w:rFonts w:hint="eastAsia" w:ascii="宋体" w:hAnsi="宋体" w:cs="宋体"/>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宋体"/>
          <w:color w:val="000000"/>
          <w:sz w:val="24"/>
        </w:rPr>
      </w:pPr>
      <w:r>
        <w:rPr>
          <w:rFonts w:hint="eastAsia" w:ascii="宋体" w:hAnsi="宋体" w:cs="宋体"/>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宋体"/>
          <w:color w:val="000000"/>
          <w:sz w:val="24"/>
        </w:rPr>
      </w:pPr>
      <w:r>
        <w:rPr>
          <w:rFonts w:hint="eastAsia" w:ascii="宋体" w:hAnsi="宋体" w:cs="宋体"/>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宋体"/>
          <w:color w:val="000000"/>
          <w:sz w:val="24"/>
        </w:rPr>
      </w:pPr>
      <w:r>
        <w:rPr>
          <w:rFonts w:hint="eastAsia" w:ascii="宋体" w:hAnsi="宋体" w:cs="宋体"/>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宋体"/>
          <w:color w:val="000000"/>
          <w:sz w:val="24"/>
        </w:rPr>
      </w:pPr>
      <w:r>
        <w:rPr>
          <w:rFonts w:hint="eastAsia" w:ascii="宋体" w:hAnsi="宋体" w:cs="宋体"/>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rPr>
      </w:pPr>
      <w:r>
        <w:rPr>
          <w:rFonts w:hint="eastAsia" w:ascii="宋体" w:hAnsi="宋体" w:cs="宋体"/>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宋体"/>
          <w:color w:val="000000"/>
          <w:sz w:val="24"/>
        </w:rPr>
      </w:pPr>
      <w:r>
        <w:rPr>
          <w:rFonts w:hint="eastAsia" w:ascii="宋体" w:hAnsi="宋体" w:cs="宋体"/>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宋体"/>
          <w:color w:val="000000"/>
          <w:sz w:val="24"/>
        </w:rPr>
      </w:pPr>
      <w:r>
        <w:rPr>
          <w:rFonts w:hint="eastAsia" w:ascii="宋体" w:hAnsi="宋体" w:cs="宋体"/>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宋体"/>
          <w:color w:val="000000"/>
          <w:sz w:val="24"/>
        </w:rPr>
      </w:pPr>
      <w:r>
        <w:rPr>
          <w:rFonts w:hint="eastAsia" w:ascii="宋体" w:hAnsi="宋体" w:cs="宋体"/>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宋体"/>
          <w:color w:val="000000"/>
          <w:sz w:val="24"/>
        </w:rPr>
      </w:pPr>
      <w:r>
        <w:rPr>
          <w:rFonts w:hint="eastAsia" w:ascii="宋体" w:hAnsi="宋体" w:cs="宋体"/>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企业类型的划分以统计部门的统计数据为依据。</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本规定适用于在中华人民共和国境内依法设立的各类所有制和各种组织形式的企业。个体工商户和本规定以外的行业，参照本规定进行划型。</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本规定由工业和信息化部、国家统计局会同有关部门根据《国民经济行业分类》修订情况和企业发展变化情况适时修订。</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本规定由工业和信息化部、国家统计局会同有关部门负责解释。</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t>本规定自发布之日起执行，原国家经贸委、原国家计委、财政部和国家统计局2003年颁布的《中小企业标准暂行规定》同时废止。</w:t>
      </w:r>
    </w:p>
    <w:p>
      <w:pPr>
        <w:numPr>
          <w:ilvl w:val="0"/>
          <w:numId w:val="24"/>
        </w:numPr>
        <w:spacing w:line="360" w:lineRule="auto"/>
        <w:ind w:firstLine="480" w:firstLineChars="200"/>
        <w:rPr>
          <w:rFonts w:ascii="宋体" w:hAnsi="宋体" w:cs="宋体"/>
          <w:color w:val="000000"/>
          <w:sz w:val="24"/>
        </w:rPr>
      </w:pPr>
      <w:r>
        <w:rPr>
          <w:rFonts w:hint="eastAsia" w:ascii="宋体" w:hAnsi="宋体" w:cs="宋体"/>
          <w:color w:val="000000"/>
          <w:sz w:val="24"/>
        </w:rPr>
        <w:br w:type="page"/>
      </w:r>
    </w:p>
    <w:p>
      <w:pPr>
        <w:pStyle w:val="7"/>
        <w:widowControl/>
        <w:numPr>
          <w:ilvl w:val="2"/>
          <w:numId w:val="0"/>
        </w:numPr>
        <w:tabs>
          <w:tab w:val="left" w:pos="0"/>
          <w:tab w:val="left" w:pos="432"/>
        </w:tabs>
        <w:autoSpaceDE/>
        <w:autoSpaceDN/>
        <w:adjustRightInd/>
        <w:spacing w:before="120" w:line="360" w:lineRule="auto"/>
        <w:rPr>
          <w:rFonts w:hAnsi="宋体" w:cs="宋体"/>
          <w:color w:val="000000"/>
          <w:szCs w:val="24"/>
        </w:rPr>
      </w:pPr>
      <w:bookmarkStart w:id="956" w:name="_Toc101191900"/>
      <w:bookmarkStart w:id="957" w:name="_Toc497489392"/>
      <w:bookmarkStart w:id="958" w:name="_Toc29972"/>
      <w:bookmarkStart w:id="959" w:name="_Toc83722639"/>
      <w:bookmarkStart w:id="960" w:name="_Toc8999378"/>
      <w:bookmarkStart w:id="961" w:name="_Toc92789351"/>
      <w:bookmarkStart w:id="962" w:name="_Toc8212"/>
      <w:bookmarkStart w:id="963" w:name="_Toc85461451"/>
      <w:bookmarkStart w:id="964" w:name="_Toc50760980"/>
      <w:bookmarkStart w:id="965" w:name="_Toc15435095"/>
      <w:bookmarkStart w:id="966" w:name="_Toc188382304"/>
      <w:r>
        <w:rPr>
          <w:rFonts w:hint="eastAsia" w:hAnsi="宋体" w:cs="宋体"/>
          <w:color w:val="000000"/>
          <w:szCs w:val="24"/>
        </w:rPr>
        <w:t>附录3：财政部 民政部 中国残疾人联合会关于促进残疾人就业政府采购政策的通知</w:t>
      </w:r>
      <w:bookmarkEnd w:id="956"/>
      <w:bookmarkEnd w:id="957"/>
      <w:bookmarkEnd w:id="958"/>
      <w:bookmarkEnd w:id="959"/>
      <w:bookmarkEnd w:id="960"/>
      <w:bookmarkEnd w:id="961"/>
      <w:bookmarkEnd w:id="962"/>
      <w:bookmarkEnd w:id="963"/>
      <w:bookmarkEnd w:id="964"/>
      <w:bookmarkEnd w:id="965"/>
      <w:bookmarkEnd w:id="966"/>
    </w:p>
    <w:p>
      <w:pPr>
        <w:spacing w:line="360" w:lineRule="auto"/>
        <w:jc w:val="center"/>
        <w:rPr>
          <w:rFonts w:ascii="宋体" w:hAnsi="宋体" w:cs="宋体"/>
          <w:b/>
          <w:bCs/>
          <w:color w:val="000000"/>
          <w:sz w:val="24"/>
        </w:rPr>
      </w:pPr>
      <w:r>
        <w:rPr>
          <w:rFonts w:hint="eastAsia" w:ascii="宋体" w:hAnsi="宋体" w:cs="宋体"/>
          <w:color w:val="000000"/>
          <w:spacing w:val="6"/>
          <w:sz w:val="24"/>
        </w:rPr>
        <w:t>财库</w:t>
      </w:r>
      <w:r>
        <w:rPr>
          <w:rFonts w:hint="eastAsia" w:ascii="宋体" w:hAnsi="宋体" w:cs="宋体"/>
          <w:color w:val="000000"/>
          <w:sz w:val="24"/>
        </w:rPr>
        <w:t>〔2017〕 141</w:t>
      </w:r>
      <w:r>
        <w:rPr>
          <w:rFonts w:hint="eastAsia" w:ascii="宋体" w:hAnsi="宋体" w:cs="宋体"/>
          <w:color w:val="000000"/>
          <w:spacing w:val="6"/>
          <w:sz w:val="24"/>
        </w:rPr>
        <w:t>号</w:t>
      </w:r>
    </w:p>
    <w:p>
      <w:pPr>
        <w:pStyle w:val="47"/>
        <w:shd w:val="clear" w:color="auto" w:fill="FFFFFF"/>
        <w:spacing w:before="0" w:beforeAutospacing="0" w:after="0" w:afterAutospacing="0" w:line="360" w:lineRule="auto"/>
        <w:ind w:firstLine="480"/>
        <w:jc w:val="both"/>
        <w:rPr>
          <w:color w:val="000000"/>
        </w:rPr>
      </w:pPr>
      <w:bookmarkStart w:id="967" w:name="toDeptId"/>
      <w:r>
        <w:rPr>
          <w:rFonts w:hint="eastAsia"/>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7"/>
      <w:r>
        <w:rPr>
          <w:rFonts w:hint="eastAsia"/>
          <w:color w:val="000000"/>
        </w:rPr>
        <w:t>：</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为了发挥政府采购促进残疾人就业的作用，进一步保障残疾人权益，依照《政府采购法》、《残疾人保障法》等法律法规及相关规定，现就促进残疾人就业政府采购政策通知如下：</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一、享受政府采购支持政策的残疾人福利性单位应当同时满足以下条件：</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（一）安置的残疾人占本单位在职职工人数的比例不低于25%（含25%），并且安置的残疾人人数不少于10人（含10人）；</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（二）依法与安置的每位残疾人签订了一年以上（含一年）的劳动合同或服务协议；</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（三）为安置的每位残疾人按月足额缴纳了基本养老保险、基本医疗保险、失业保险、工伤保险和生育保险等社会保险费；</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（四）通过银行等金融机构向安置的每位残疾人，按月支付了不低于单位所在区县适用的经省级人民政府批准的月最低工资标准的工资；</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（五）提供本单位制造的货物、承担的工程或者服务（以下简称产品），或者提供其他残疾人福利性单位制造的货物（不包括使用非残疾人福利性单位注册商标的货物）。</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中标、成交供应商为残疾人福利性单位的，采购人或者其委托的采购代理机构应当随中标、成交结果同时公告其《残疾人福利性单位声明函》，接受社会监督。</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供应商提供的《残疾人福利性单位声明函》与事实不符的，依照《政府采购法》第七十七条第一款的规定追究法律责任。</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四、采购人采购公开招标数额标准以上的货物或者服务，因落实促进残疾人就业政策的需要，依法履行有关报批程序后，可采用公开招标以外的采购人式。</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7"/>
        <w:shd w:val="clear" w:color="auto" w:fill="FFFFFF"/>
        <w:spacing w:before="0" w:beforeAutospacing="0" w:after="0" w:afterAutospacing="0" w:line="360" w:lineRule="auto"/>
        <w:ind w:firstLine="480"/>
        <w:jc w:val="both"/>
        <w:rPr>
          <w:color w:val="000000"/>
        </w:rPr>
      </w:pPr>
      <w:r>
        <w:rPr>
          <w:rFonts w:hint="eastAsia"/>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7"/>
        <w:shd w:val="clear" w:color="auto" w:fill="FFFFFF"/>
        <w:spacing w:before="0" w:beforeAutospacing="0" w:after="0" w:afterAutospacing="0" w:line="360" w:lineRule="auto"/>
        <w:ind w:firstLine="480"/>
        <w:jc w:val="both"/>
        <w:rPr>
          <w:color w:val="000000"/>
        </w:rPr>
      </w:pPr>
      <w:r>
        <w:rPr>
          <w:rFonts w:hint="eastAsia"/>
          <w:color w:val="000000"/>
        </w:rPr>
        <w:t>　　七、本通知自2017年10月1日起执行。</w:t>
      </w:r>
    </w:p>
    <w:p>
      <w:pPr>
        <w:pStyle w:val="47"/>
        <w:shd w:val="clear" w:color="auto" w:fill="FFFFFF"/>
        <w:spacing w:before="0" w:beforeAutospacing="0" w:after="0" w:afterAutospacing="0" w:line="360" w:lineRule="auto"/>
        <w:ind w:firstLine="480"/>
        <w:jc w:val="right"/>
        <w:rPr>
          <w:color w:val="000000"/>
        </w:rPr>
      </w:pPr>
      <w:r>
        <w:rPr>
          <w:rFonts w:hint="eastAsia"/>
          <w:color w:val="000000"/>
        </w:rPr>
        <w:t>　　财政部 民政部 中国残疾人联合会</w:t>
      </w:r>
    </w:p>
    <w:p>
      <w:pPr>
        <w:pStyle w:val="47"/>
        <w:shd w:val="clear" w:color="auto" w:fill="FFFFFF"/>
        <w:spacing w:before="0" w:beforeAutospacing="0" w:after="0" w:afterAutospacing="0" w:line="360" w:lineRule="auto"/>
        <w:ind w:firstLine="480"/>
        <w:jc w:val="right"/>
        <w:rPr>
          <w:color w:val="000000"/>
        </w:rPr>
      </w:pPr>
      <w:r>
        <w:rPr>
          <w:rFonts w:hint="eastAsia"/>
          <w:color w:val="000000"/>
        </w:rPr>
        <w:t>　　2017年8月22日</w:t>
      </w:r>
    </w:p>
    <w:p>
      <w:pPr>
        <w:spacing w:line="360" w:lineRule="auto"/>
        <w:rPr>
          <w:rFonts w:ascii="宋体" w:hAnsi="宋体" w:cs="宋体"/>
          <w:color w:val="000000"/>
        </w:rPr>
      </w:pPr>
      <w:r>
        <w:rPr>
          <w:rFonts w:hint="eastAsia" w:ascii="宋体" w:hAnsi="宋体" w:cs="宋体"/>
          <w:color w:val="000000"/>
        </w:rPr>
        <w:br w:type="page"/>
      </w:r>
    </w:p>
    <w:p>
      <w:pPr>
        <w:pStyle w:val="7"/>
        <w:widowControl/>
        <w:numPr>
          <w:ilvl w:val="2"/>
          <w:numId w:val="0"/>
        </w:numPr>
        <w:tabs>
          <w:tab w:val="left" w:pos="0"/>
          <w:tab w:val="left" w:pos="432"/>
        </w:tabs>
        <w:autoSpaceDE/>
        <w:autoSpaceDN/>
        <w:adjustRightInd/>
        <w:spacing w:before="120" w:line="360" w:lineRule="auto"/>
        <w:rPr>
          <w:rFonts w:hAnsi="宋体" w:cs="宋体"/>
          <w:color w:val="000000"/>
          <w:szCs w:val="24"/>
        </w:rPr>
      </w:pPr>
      <w:bookmarkStart w:id="968" w:name="_Toc92789352"/>
      <w:bookmarkStart w:id="969" w:name="_Toc83722640"/>
      <w:bookmarkStart w:id="970" w:name="_Toc85461452"/>
      <w:bookmarkStart w:id="971" w:name="_Toc27960"/>
      <w:bookmarkStart w:id="972" w:name="_Toc101191901"/>
      <w:bookmarkStart w:id="973" w:name="_Toc188382305"/>
      <w:r>
        <w:rPr>
          <w:rFonts w:hint="eastAsia" w:hAnsi="宋体" w:cs="宋体"/>
          <w:color w:val="000000"/>
          <w:szCs w:val="24"/>
        </w:rPr>
        <w:t>附录4：</w:t>
      </w:r>
      <w:bookmarkEnd w:id="968"/>
      <w:bookmarkEnd w:id="969"/>
      <w:bookmarkEnd w:id="970"/>
      <w:r>
        <w:rPr>
          <w:rFonts w:hint="eastAsia" w:hAnsi="宋体" w:cs="宋体"/>
          <w:color w:val="000000"/>
          <w:szCs w:val="24"/>
        </w:rPr>
        <w:t>市场监管总局关于发布参与实施政府采购节能产品、环境</w:t>
      </w:r>
      <w:bookmarkEnd w:id="971"/>
      <w:bookmarkStart w:id="974" w:name="_Toc25506"/>
      <w:r>
        <w:rPr>
          <w:rFonts w:hint="eastAsia" w:hAnsi="宋体" w:cs="宋体"/>
          <w:color w:val="000000"/>
          <w:szCs w:val="24"/>
        </w:rPr>
        <w:t>标志产品认证机构名录的公告</w:t>
      </w:r>
      <w:bookmarkEnd w:id="972"/>
      <w:bookmarkEnd w:id="973"/>
      <w:bookmarkEnd w:id="974"/>
    </w:p>
    <w:p>
      <w:pPr>
        <w:spacing w:line="360" w:lineRule="auto"/>
        <w:jc w:val="center"/>
        <w:rPr>
          <w:rFonts w:ascii="宋体" w:hAnsi="宋体" w:cs="宋体"/>
          <w:sz w:val="24"/>
        </w:rPr>
      </w:pPr>
      <w:r>
        <w:rPr>
          <w:rFonts w:hint="eastAsia" w:ascii="宋体" w:hAnsi="宋体" w:cs="宋体"/>
          <w:sz w:val="24"/>
        </w:rPr>
        <w:t>市场监管总局关于发布参与实施政府采购节能产品、</w:t>
      </w:r>
    </w:p>
    <w:p>
      <w:pPr>
        <w:spacing w:line="360" w:lineRule="auto"/>
        <w:jc w:val="center"/>
        <w:rPr>
          <w:rFonts w:ascii="宋体" w:hAnsi="宋体" w:cs="宋体"/>
          <w:sz w:val="24"/>
        </w:rPr>
      </w:pPr>
      <w:r>
        <w:rPr>
          <w:rFonts w:hint="eastAsia" w:ascii="宋体" w:hAnsi="宋体" w:cs="宋体"/>
          <w:sz w:val="24"/>
        </w:rPr>
        <w:t>环境标志产品认证机构名录的公告</w:t>
      </w:r>
    </w:p>
    <w:p>
      <w:pPr>
        <w:spacing w:line="360" w:lineRule="auto"/>
        <w:jc w:val="center"/>
        <w:rPr>
          <w:rFonts w:ascii="宋体" w:hAnsi="宋体" w:cs="宋体"/>
          <w:sz w:val="24"/>
        </w:rPr>
      </w:pPr>
      <w:r>
        <w:rPr>
          <w:rFonts w:hint="eastAsia" w:ascii="宋体" w:hAnsi="宋体" w:cs="宋体"/>
          <w:sz w:val="24"/>
        </w:rPr>
        <w:t>2019年第16号</w:t>
      </w:r>
    </w:p>
    <w:p>
      <w:pPr>
        <w:pStyle w:val="47"/>
        <w:spacing w:before="680" w:beforeAutospacing="0" w:after="632" w:afterAutospacing="0" w:line="360" w:lineRule="auto"/>
        <w:ind w:left="302" w:right="226" w:firstLine="480"/>
        <w:rPr>
          <w:color w:val="000000"/>
        </w:rPr>
      </w:pPr>
      <w:r>
        <w:rPr>
          <w:rFonts w:hint="eastAsia"/>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7"/>
        <w:spacing w:before="680" w:beforeAutospacing="0" w:after="632" w:afterAutospacing="0" w:line="360" w:lineRule="auto"/>
        <w:ind w:left="302" w:right="226" w:firstLine="480"/>
        <w:rPr>
          <w:color w:val="000000"/>
        </w:rPr>
      </w:pPr>
    </w:p>
    <w:p>
      <w:pPr>
        <w:pStyle w:val="47"/>
        <w:spacing w:before="680" w:beforeAutospacing="0" w:after="632" w:afterAutospacing="0" w:line="360" w:lineRule="auto"/>
        <w:ind w:left="302" w:right="226" w:firstLine="480"/>
        <w:rPr>
          <w:color w:val="000000"/>
        </w:rPr>
      </w:pPr>
      <w:r>
        <w:rPr>
          <w:rFonts w:hint="eastAsia"/>
          <w:color w:val="000000"/>
        </w:rPr>
        <w:t>　　自本公告发布后，新增认证机构应尽快完成政府采购认证信息系统对接，对接完成后方可开展相关认证工作。</w:t>
      </w:r>
    </w:p>
    <w:p>
      <w:pPr>
        <w:pStyle w:val="47"/>
        <w:spacing w:before="680" w:beforeAutospacing="0" w:after="632" w:afterAutospacing="0" w:line="360" w:lineRule="auto"/>
        <w:ind w:left="302" w:right="226" w:firstLine="480"/>
        <w:jc w:val="right"/>
        <w:rPr>
          <w:color w:val="000000"/>
        </w:rPr>
      </w:pPr>
      <w:r>
        <w:rPr>
          <w:rFonts w:hint="eastAsia"/>
          <w:color w:val="000000"/>
        </w:rPr>
        <w:t>市场监管总局</w:t>
      </w:r>
    </w:p>
    <w:p>
      <w:pPr>
        <w:pStyle w:val="47"/>
        <w:spacing w:before="680" w:beforeAutospacing="0" w:after="632" w:afterAutospacing="0" w:line="360" w:lineRule="auto"/>
        <w:ind w:left="302" w:right="226" w:firstLine="480"/>
        <w:jc w:val="right"/>
        <w:rPr>
          <w:color w:val="000000"/>
        </w:rPr>
      </w:pPr>
      <w:r>
        <w:rPr>
          <w:rFonts w:hint="eastAsia"/>
          <w:color w:val="000000"/>
        </w:rPr>
        <w:t>2019年4月3日</w:t>
      </w:r>
    </w:p>
    <w:p>
      <w:pPr>
        <w:widowControl/>
        <w:tabs>
          <w:tab w:val="left" w:pos="7088"/>
        </w:tabs>
        <w:spacing w:before="602" w:after="302" w:line="360" w:lineRule="auto"/>
        <w:ind w:left="302" w:right="226" w:firstLine="480" w:firstLineChars="200"/>
        <w:jc w:val="left"/>
        <w:rPr>
          <w:rFonts w:ascii="宋体" w:hAnsi="宋体" w:cs="宋体"/>
          <w:color w:val="000000"/>
          <w:sz w:val="24"/>
        </w:rPr>
      </w:pPr>
      <w:r>
        <w:rPr>
          <w:rFonts w:hint="eastAsia" w:ascii="宋体" w:hAnsi="宋体" w:cs="宋体"/>
          <w:color w:val="000000"/>
          <w:kern w:val="0"/>
          <w:sz w:val="24"/>
        </w:rPr>
        <w:t>（此件公开发布）</w:t>
      </w:r>
    </w:p>
    <w:p>
      <w:pPr>
        <w:widowControl/>
        <w:jc w:val="left"/>
        <w:rPr>
          <w:rFonts w:ascii="宋体" w:hAnsi="宋体" w:cs="宋体"/>
          <w:color w:val="000000"/>
          <w:kern w:val="0"/>
          <w:sz w:val="28"/>
          <w:szCs w:val="28"/>
        </w:rPr>
      </w:pPr>
      <w:r>
        <w:rPr>
          <w:rFonts w:hint="eastAsia" w:ascii="宋体" w:hAnsi="宋体" w:cs="宋体"/>
          <w:shd w:val="clear" w:color="auto" w:fill="FFFFFF"/>
          <w:lang w:bidi="ar"/>
        </w:rPr>
        <w:br w:type="page"/>
      </w:r>
      <w:r>
        <w:rPr>
          <w:rFonts w:hint="eastAsia" w:ascii="宋体" w:hAnsi="宋体" w:cs="宋体"/>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7"/>
                    <a:stretch>
                      <a:fillRect/>
                    </a:stretch>
                  </pic:blipFill>
                  <pic:spPr>
                    <a:xfrm>
                      <a:off x="0" y="0"/>
                      <a:ext cx="5285105" cy="6793865"/>
                    </a:xfrm>
                    <a:prstGeom prst="rect">
                      <a:avLst/>
                    </a:prstGeom>
                    <a:noFill/>
                    <a:ln>
                      <a:noFill/>
                    </a:ln>
                  </pic:spPr>
                </pic:pic>
              </a:graphicData>
            </a:graphic>
          </wp:inline>
        </w:drawing>
      </w:r>
      <w:r>
        <w:rPr>
          <w:rFonts w:hint="eastAsia" w:ascii="宋体" w:hAnsi="宋体" w:cs="宋体"/>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8"/>
                    <a:stretch>
                      <a:fillRect/>
                    </a:stretch>
                  </pic:blipFill>
                  <pic:spPr>
                    <a:xfrm>
                      <a:off x="0" y="0"/>
                      <a:ext cx="5389880" cy="7412355"/>
                    </a:xfrm>
                    <a:prstGeom prst="rect">
                      <a:avLst/>
                    </a:prstGeom>
                    <a:noFill/>
                    <a:ln>
                      <a:noFill/>
                    </a:ln>
                  </pic:spPr>
                </pic:pic>
              </a:graphicData>
            </a:graphic>
          </wp:inline>
        </w:drawing>
      </w:r>
      <w:r>
        <w:rPr>
          <w:rFonts w:hint="eastAsia" w:ascii="宋体" w:hAnsi="宋体" w:cs="宋体"/>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9"/>
                    <a:stretch>
                      <a:fillRect/>
                    </a:stretch>
                  </pic:blipFill>
                  <pic:spPr>
                    <a:xfrm>
                      <a:off x="0" y="0"/>
                      <a:ext cx="5349875" cy="7299960"/>
                    </a:xfrm>
                    <a:prstGeom prst="rect">
                      <a:avLst/>
                    </a:prstGeom>
                    <a:noFill/>
                    <a:ln>
                      <a:noFill/>
                    </a:ln>
                  </pic:spPr>
                </pic:pic>
              </a:graphicData>
            </a:graphic>
          </wp:inline>
        </w:drawing>
      </w:r>
      <w:r>
        <w:rPr>
          <w:rFonts w:hint="eastAsia" w:ascii="宋体" w:hAnsi="宋体" w:cs="宋体"/>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30"/>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宋体"/>
          <w:color w:val="000000"/>
          <w:kern w:val="0"/>
          <w:sz w:val="28"/>
          <w:szCs w:val="28"/>
        </w:rPr>
      </w:pPr>
      <w:r>
        <w:rPr>
          <w:rFonts w:hint="eastAsia" w:ascii="宋体" w:hAnsi="宋体" w:cs="宋体"/>
          <w:color w:val="000000"/>
          <w:kern w:val="0"/>
          <w:sz w:val="28"/>
          <w:szCs w:val="28"/>
        </w:rPr>
        <w:br w:type="page"/>
      </w:r>
    </w:p>
    <w:p>
      <w:pPr>
        <w:widowControl/>
        <w:spacing w:before="602" w:after="302" w:line="360" w:lineRule="auto"/>
        <w:ind w:left="302" w:right="226"/>
        <w:jc w:val="center"/>
        <w:rPr>
          <w:rFonts w:ascii="宋体" w:hAnsi="宋体" w:cs="宋体"/>
          <w:color w:val="000000"/>
        </w:rPr>
      </w:pPr>
      <w:r>
        <w:rPr>
          <w:rFonts w:hint="eastAsia" w:ascii="宋体" w:hAnsi="宋体" w:cs="宋体"/>
          <w:color w:val="000000"/>
          <w:kern w:val="0"/>
          <w:sz w:val="28"/>
          <w:szCs w:val="28"/>
        </w:rPr>
        <w:t>参与实施政府采购节能产品认证机构名录</w:t>
      </w:r>
    </w:p>
    <w:tbl>
      <w:tblPr>
        <w:tblStyle w:val="52"/>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北京赛西认证有限责任公司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中国网络安全审查技术与认证中心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color w:val="000000"/>
                <w:sz w:val="24"/>
              </w:rPr>
            </w:pPr>
            <w:r>
              <w:rPr>
                <w:rFonts w:hint="eastAsia" w:ascii="宋体" w:hAnsi="宋体" w:cs="宋体"/>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电能（北京）认证中心有限公司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威凯认证检测有限公司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中家院（北京）检测认证有限公司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深圳市计量质量检测研究院</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北京泰瑞特认证有限责任公司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北京鉴衡认证中心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中国质量认证中心</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北京新华节水产品认证有限公司</w:t>
            </w:r>
          </w:p>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宋体"/>
                <w:color w:val="000000"/>
                <w:sz w:val="24"/>
              </w:rPr>
            </w:pPr>
            <w:r>
              <w:rPr>
                <w:rFonts w:hint="eastAsia" w:ascii="宋体" w:hAnsi="宋体" w:cs="宋体"/>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p>
        </w:tc>
      </w:tr>
    </w:tbl>
    <w:p>
      <w:pPr>
        <w:widowControl/>
        <w:spacing w:before="602" w:after="302" w:line="360" w:lineRule="auto"/>
        <w:ind w:left="302" w:right="226"/>
        <w:jc w:val="center"/>
        <w:rPr>
          <w:rFonts w:ascii="宋体" w:hAnsi="宋体" w:cs="宋体"/>
          <w:color w:val="000000"/>
        </w:rPr>
      </w:pPr>
      <w:r>
        <w:rPr>
          <w:rFonts w:hint="eastAsia" w:ascii="宋体" w:hAnsi="宋体" w:cs="宋体"/>
          <w:color w:val="000000"/>
          <w:kern w:val="0"/>
          <w:sz w:val="24"/>
        </w:rPr>
        <w:t> </w:t>
      </w:r>
    </w:p>
    <w:p>
      <w:pPr>
        <w:widowControl/>
        <w:spacing w:before="602" w:after="302" w:line="360" w:lineRule="auto"/>
        <w:ind w:left="302" w:right="226"/>
        <w:jc w:val="center"/>
        <w:rPr>
          <w:rFonts w:ascii="宋体" w:hAnsi="宋体" w:cs="宋体"/>
          <w:color w:val="000000"/>
          <w:sz w:val="28"/>
          <w:szCs w:val="28"/>
        </w:rPr>
      </w:pPr>
      <w:r>
        <w:rPr>
          <w:rFonts w:hint="eastAsia" w:ascii="宋体" w:hAnsi="宋体" w:cs="宋体"/>
          <w:color w:val="000000"/>
          <w:kern w:val="0"/>
          <w:sz w:val="28"/>
          <w:szCs w:val="28"/>
        </w:rPr>
        <w:t>参与实施政府采购环境标志产品认证机构名录 </w:t>
      </w:r>
    </w:p>
    <w:tbl>
      <w:tblPr>
        <w:tblStyle w:val="52"/>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中环联合（北京）认证中心有限公司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中标合信（北京）认证有限公司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中环协（北京）认证有限公司</w:t>
            </w:r>
          </w:p>
          <w:p>
            <w:pPr>
              <w:widowControl/>
              <w:spacing w:beforeAutospacing="1" w:afterAutospacing="1" w:line="360" w:lineRule="auto"/>
              <w:jc w:val="center"/>
              <w:rPr>
                <w:rFonts w:ascii="宋体" w:hAnsi="宋体" w:cs="宋体"/>
                <w:color w:val="000000"/>
                <w:sz w:val="24"/>
              </w:rPr>
            </w:pPr>
            <w:r>
              <w:rPr>
                <w:rFonts w:hint="eastAsia" w:ascii="宋体" w:hAnsi="宋体" w:cs="宋体"/>
                <w:color w:val="000000"/>
                <w:kern w:val="0"/>
                <w:sz w:val="24"/>
              </w:rPr>
              <w:t>天津华诚认证有限公司</w:t>
            </w:r>
          </w:p>
        </w:tc>
      </w:tr>
    </w:tbl>
    <w:p>
      <w:pPr>
        <w:spacing w:line="360" w:lineRule="auto"/>
        <w:rPr>
          <w:rFonts w:ascii="宋体" w:hAnsi="宋体" w:cs="宋体"/>
          <w:color w:val="000000"/>
          <w:sz w:val="24"/>
        </w:rPr>
      </w:pPr>
    </w:p>
    <w:bookmarkEnd w:id="930"/>
    <w:p>
      <w:pPr>
        <w:spacing w:line="360" w:lineRule="auto"/>
        <w:rPr>
          <w:rFonts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Noto Serif SC"/>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Noto Serif SC"/>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DejaVu Math TeX Gyre"/>
    <w:panose1 w:val="000000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Noto Serif SC"/>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y="1"/>
      <w:ind w:right="360"/>
      <w:rPr>
        <w:rStyle w:val="57"/>
      </w:rPr>
    </w:pPr>
  </w:p>
  <w:p>
    <w:pPr>
      <w:pStyle w:val="33"/>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rPr>
        <w:rStyle w:val="57"/>
      </w:rPr>
      <w:fldChar w:fldCharType="begin"/>
    </w:r>
    <w:r>
      <w:rPr>
        <w:rStyle w:val="57"/>
      </w:rPr>
      <w:instrText xml:space="preserve">PAGE  </w:instrText>
    </w:r>
    <w:r>
      <w:rPr>
        <w:rStyle w:val="57"/>
      </w:rPr>
      <w:fldChar w:fldCharType="end"/>
    </w:r>
  </w:p>
  <w:p>
    <w:pPr>
      <w:pStyle w:val="33"/>
      <w:ind w:right="360"/>
    </w:pPr>
  </w:p>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7"/>
      </w:rPr>
    </w:pPr>
    <w:r>
      <w:fldChar w:fldCharType="begin"/>
    </w:r>
    <w:r>
      <w:rPr>
        <w:rStyle w:val="57"/>
      </w:rPr>
      <w:instrText xml:space="preserve">PAGE  </w:instrText>
    </w:r>
    <w:r>
      <w:fldChar w:fldCharType="end"/>
    </w:r>
  </w:p>
  <w:p>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rPr>
        <w:rStyle w:val="57"/>
      </w:rPr>
      <w:fldChar w:fldCharType="begin"/>
    </w:r>
    <w:r>
      <w:rPr>
        <w:rStyle w:val="57"/>
      </w:rPr>
      <w:instrText xml:space="preserve">PAGE  </w:instrText>
    </w:r>
    <w:r>
      <w:rPr>
        <w:rStyle w:val="57"/>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37</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37</w:t>
                    </w:r>
                    <w:r>
                      <w:rPr>
                        <w:rFonts w:ascii="宋体"/>
                        <w:kern w:val="0"/>
                        <w:sz w:val="18"/>
                        <w:szCs w:val="2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PAGE   \* MERGEFORMAT</w:instrText>
    </w:r>
    <w:r>
      <w:fldChar w:fldCharType="separate"/>
    </w:r>
    <w:r>
      <w:rPr>
        <w:lang w:val="zh-CN"/>
      </w:rPr>
      <w:t>41</w:t>
    </w:r>
    <w:r>
      <w:rPr>
        <w:lang w:val="zh-CN"/>
      </w:rPr>
      <w:fldChar w:fldCharType="end"/>
    </w:r>
  </w:p>
  <w:p>
    <w:pPr>
      <w:pStyle w:val="3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rPr>
        <w:rStyle w:val="57"/>
      </w:rPr>
      <w:fldChar w:fldCharType="begin"/>
    </w:r>
    <w:r>
      <w:rPr>
        <w:rStyle w:val="57"/>
      </w:rPr>
      <w:instrText xml:space="preserve">PAGE  </w:instrText>
    </w:r>
    <w:r>
      <w:rPr>
        <w:rStyle w:val="57"/>
      </w:rPr>
      <w:fldChar w:fldCharType="end"/>
    </w:r>
  </w:p>
  <w:p>
    <w:pPr>
      <w:pStyle w:val="33"/>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北京市京发招标有限公司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C70F"/>
    <w:multiLevelType w:val="singleLevel"/>
    <w:tmpl w:val="DFFFC70F"/>
    <w:lvl w:ilvl="0" w:tentative="0">
      <w:start w:val="1"/>
      <w:numFmt w:val="decimal"/>
      <w:suff w:val="nothing"/>
      <w:lvlText w:val="%1．"/>
      <w:lvlJc w:val="left"/>
      <w:pPr>
        <w:ind w:left="0" w:firstLine="400"/>
      </w:pPr>
      <w:rPr>
        <w:rFonts w:hint="default"/>
      </w:rPr>
    </w:lvl>
  </w:abstractNum>
  <w:abstractNum w:abstractNumId="1">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3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0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7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2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41"/>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3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C8E6839"/>
    <w:multiLevelType w:val="multilevel"/>
    <w:tmpl w:val="0C8E6839"/>
    <w:lvl w:ilvl="0" w:tentative="0">
      <w:start w:val="1"/>
      <w:numFmt w:val="chineseCountingThousand"/>
      <w:lvlText w:val="(%1)"/>
      <w:lvlJc w:val="left"/>
      <w:pPr>
        <w:ind w:left="360" w:hanging="360"/>
      </w:pPr>
      <w:rPr>
        <w:rFonts w:hint="eastAsia"/>
        <w:i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30"/>
      <w:lvlText w:val="%1"/>
      <w:lvlJc w:val="left"/>
      <w:pPr>
        <w:ind w:left="680" w:hanging="680"/>
      </w:pPr>
      <w:rPr>
        <w:rFonts w:hint="eastAsia" w:ascii="宋体" w:hAnsi="宋体" w:eastAsia="宋体"/>
      </w:rPr>
    </w:lvl>
    <w:lvl w:ilvl="1" w:tentative="0">
      <w:start w:val="1"/>
      <w:numFmt w:val="decimal"/>
      <w:pStyle w:val="231"/>
      <w:lvlText w:val="%1.%2"/>
      <w:lvlJc w:val="left"/>
      <w:pPr>
        <w:ind w:left="851" w:hanging="851"/>
      </w:pPr>
      <w:rPr>
        <w:rFonts w:hint="eastAsia" w:ascii="宋体" w:hAnsi="宋体" w:eastAsia="宋体"/>
        <w:color w:val="auto"/>
      </w:rPr>
    </w:lvl>
    <w:lvl w:ilvl="2" w:tentative="0">
      <w:start w:val="1"/>
      <w:numFmt w:val="decimal"/>
      <w:pStyle w:val="23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CC613E0"/>
    <w:multiLevelType w:val="multilevel"/>
    <w:tmpl w:val="1CC613E0"/>
    <w:lvl w:ilvl="0" w:tentative="0">
      <w:start w:val="2"/>
      <w:numFmt w:val="japaneseCounting"/>
      <w:pStyle w:val="421"/>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6">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7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9F6D0D3"/>
    <w:multiLevelType w:val="singleLevel"/>
    <w:tmpl w:val="59F6D0D3"/>
    <w:lvl w:ilvl="0" w:tentative="0">
      <w:start w:val="1"/>
      <w:numFmt w:val="chineseCounting"/>
      <w:suff w:val="nothing"/>
      <w:lvlText w:val="%1、"/>
      <w:lvlJc w:val="left"/>
    </w:lvl>
  </w:abstractNum>
  <w:abstractNum w:abstractNumId="22">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6"/>
  </w:num>
  <w:num w:numId="3">
    <w:abstractNumId w:val="9"/>
  </w:num>
  <w:num w:numId="4">
    <w:abstractNumId w:val="3"/>
  </w:num>
  <w:num w:numId="5">
    <w:abstractNumId w:val="7"/>
  </w:num>
  <w:num w:numId="6">
    <w:abstractNumId w:val="5"/>
  </w:num>
  <w:num w:numId="7">
    <w:abstractNumId w:val="4"/>
  </w:num>
  <w:num w:numId="8">
    <w:abstractNumId w:val="11"/>
  </w:num>
  <w:num w:numId="9">
    <w:abstractNumId w:val="15"/>
  </w:num>
  <w:num w:numId="10">
    <w:abstractNumId w:val="8"/>
  </w:num>
  <w:num w:numId="11">
    <w:abstractNumId w:val="13"/>
  </w:num>
  <w:num w:numId="12">
    <w:abstractNumId w:val="2"/>
  </w:num>
  <w:num w:numId="13">
    <w:abstractNumId w:val="22"/>
  </w:num>
  <w:num w:numId="14">
    <w:abstractNumId w:val="16"/>
  </w:num>
  <w:num w:numId="15">
    <w:abstractNumId w:val="19"/>
  </w:num>
  <w:num w:numId="16">
    <w:abstractNumId w:val="12"/>
  </w:num>
  <w:num w:numId="17">
    <w:abstractNumId w:val="23"/>
  </w:num>
  <w:num w:numId="18">
    <w:abstractNumId w:val="14"/>
  </w:num>
  <w:num w:numId="19">
    <w:abstractNumId w:val="10"/>
  </w:num>
  <w:num w:numId="20">
    <w:abstractNumId w:val="18"/>
  </w:num>
  <w:num w:numId="21">
    <w:abstractNumId w:val="0"/>
  </w:num>
  <w:num w:numId="22">
    <w:abstractNumId w:val="17"/>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2B"/>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B"/>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DDC"/>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59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C9"/>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566"/>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7A0"/>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3D"/>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1F"/>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89"/>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87"/>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34"/>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1BE"/>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0DF"/>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47D"/>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A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106"/>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8"/>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022"/>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BC3"/>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7CF"/>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B9A"/>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817"/>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E0"/>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DBF"/>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937"/>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76"/>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DB"/>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F8B"/>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6F2"/>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D2"/>
    <w:rsid w:val="00910647"/>
    <w:rsid w:val="00910933"/>
    <w:rsid w:val="00910B75"/>
    <w:rsid w:val="00910CD7"/>
    <w:rsid w:val="00910D1F"/>
    <w:rsid w:val="00910D9D"/>
    <w:rsid w:val="00910E48"/>
    <w:rsid w:val="00910E4A"/>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F9"/>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26"/>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59F"/>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54"/>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D9"/>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0E0"/>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BCE"/>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A8D"/>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E4"/>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55D"/>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2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C9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A5E"/>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06A"/>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B1D"/>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1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95D"/>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5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22"/>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4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75"/>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0C7B51"/>
    <w:rsid w:val="031E652D"/>
    <w:rsid w:val="033806E5"/>
    <w:rsid w:val="03884096"/>
    <w:rsid w:val="03F6348B"/>
    <w:rsid w:val="04106A9D"/>
    <w:rsid w:val="050E2771"/>
    <w:rsid w:val="051C557C"/>
    <w:rsid w:val="05694156"/>
    <w:rsid w:val="05BB6000"/>
    <w:rsid w:val="05EC415B"/>
    <w:rsid w:val="08A07674"/>
    <w:rsid w:val="08BF393E"/>
    <w:rsid w:val="08EA55ED"/>
    <w:rsid w:val="091207C4"/>
    <w:rsid w:val="098C0BEF"/>
    <w:rsid w:val="09C35937"/>
    <w:rsid w:val="09D8597C"/>
    <w:rsid w:val="0A217411"/>
    <w:rsid w:val="0B660C1A"/>
    <w:rsid w:val="0B7329D8"/>
    <w:rsid w:val="0BA6333B"/>
    <w:rsid w:val="0D204144"/>
    <w:rsid w:val="0D2A68E7"/>
    <w:rsid w:val="0DEB1CBB"/>
    <w:rsid w:val="0F9B51C0"/>
    <w:rsid w:val="12CD2AF2"/>
    <w:rsid w:val="1349236F"/>
    <w:rsid w:val="13F85E4B"/>
    <w:rsid w:val="156E035F"/>
    <w:rsid w:val="15802E15"/>
    <w:rsid w:val="165105AA"/>
    <w:rsid w:val="17BE5353"/>
    <w:rsid w:val="17F93E0B"/>
    <w:rsid w:val="1891674E"/>
    <w:rsid w:val="18D934C6"/>
    <w:rsid w:val="1AC165AE"/>
    <w:rsid w:val="1C2C7853"/>
    <w:rsid w:val="1C455CA5"/>
    <w:rsid w:val="1D2C69D2"/>
    <w:rsid w:val="1D776025"/>
    <w:rsid w:val="210D23AB"/>
    <w:rsid w:val="21357E35"/>
    <w:rsid w:val="219F2BC8"/>
    <w:rsid w:val="22A22FD2"/>
    <w:rsid w:val="22D330CE"/>
    <w:rsid w:val="22FC38F4"/>
    <w:rsid w:val="233F4195"/>
    <w:rsid w:val="23837D8D"/>
    <w:rsid w:val="239E00B4"/>
    <w:rsid w:val="251E74A4"/>
    <w:rsid w:val="25567B3F"/>
    <w:rsid w:val="25757B75"/>
    <w:rsid w:val="25887057"/>
    <w:rsid w:val="26321F0A"/>
    <w:rsid w:val="274614B1"/>
    <w:rsid w:val="27843CE5"/>
    <w:rsid w:val="28433ECA"/>
    <w:rsid w:val="285B0E5B"/>
    <w:rsid w:val="2879556D"/>
    <w:rsid w:val="289D7944"/>
    <w:rsid w:val="28B6125E"/>
    <w:rsid w:val="2A6C438C"/>
    <w:rsid w:val="2B441EF6"/>
    <w:rsid w:val="2BE70845"/>
    <w:rsid w:val="2BEDCB12"/>
    <w:rsid w:val="2C223CCD"/>
    <w:rsid w:val="2C456DE2"/>
    <w:rsid w:val="2C697555"/>
    <w:rsid w:val="2E0B0913"/>
    <w:rsid w:val="2E125DCD"/>
    <w:rsid w:val="2E285401"/>
    <w:rsid w:val="2E6E3B78"/>
    <w:rsid w:val="2EBE07DF"/>
    <w:rsid w:val="2EF56CC0"/>
    <w:rsid w:val="2EFC30B5"/>
    <w:rsid w:val="2F2919D6"/>
    <w:rsid w:val="2F67370C"/>
    <w:rsid w:val="30587D8C"/>
    <w:rsid w:val="3165628C"/>
    <w:rsid w:val="3170717C"/>
    <w:rsid w:val="31721334"/>
    <w:rsid w:val="31F155FE"/>
    <w:rsid w:val="32EB653A"/>
    <w:rsid w:val="332004E7"/>
    <w:rsid w:val="344A6FB9"/>
    <w:rsid w:val="34FF53FE"/>
    <w:rsid w:val="36FA338C"/>
    <w:rsid w:val="37EDF4F5"/>
    <w:rsid w:val="380454FC"/>
    <w:rsid w:val="399C5643"/>
    <w:rsid w:val="3A9F607D"/>
    <w:rsid w:val="3BCB6780"/>
    <w:rsid w:val="3BDA58E1"/>
    <w:rsid w:val="3D170DEA"/>
    <w:rsid w:val="3DBB2584"/>
    <w:rsid w:val="3DFFB930"/>
    <w:rsid w:val="3E6B5C9F"/>
    <w:rsid w:val="3EF91E05"/>
    <w:rsid w:val="3EFC2A3B"/>
    <w:rsid w:val="3F626F64"/>
    <w:rsid w:val="3FDEA7DB"/>
    <w:rsid w:val="41A75F84"/>
    <w:rsid w:val="42CD0A98"/>
    <w:rsid w:val="430F0E20"/>
    <w:rsid w:val="431A0C09"/>
    <w:rsid w:val="44C5118E"/>
    <w:rsid w:val="47AF438B"/>
    <w:rsid w:val="480E2158"/>
    <w:rsid w:val="49B34F41"/>
    <w:rsid w:val="49C62C72"/>
    <w:rsid w:val="4AC353A3"/>
    <w:rsid w:val="4B65373A"/>
    <w:rsid w:val="4CAF3F1F"/>
    <w:rsid w:val="4D00163A"/>
    <w:rsid w:val="4D6E0833"/>
    <w:rsid w:val="4F0F5BE3"/>
    <w:rsid w:val="4F4DDC4D"/>
    <w:rsid w:val="4F503073"/>
    <w:rsid w:val="4FF46AFF"/>
    <w:rsid w:val="50407020"/>
    <w:rsid w:val="508B13F1"/>
    <w:rsid w:val="50D501B6"/>
    <w:rsid w:val="50EE68AA"/>
    <w:rsid w:val="52422029"/>
    <w:rsid w:val="52D34CB8"/>
    <w:rsid w:val="5342195F"/>
    <w:rsid w:val="543731D4"/>
    <w:rsid w:val="55040901"/>
    <w:rsid w:val="56DF05DE"/>
    <w:rsid w:val="56F70118"/>
    <w:rsid w:val="574B7CC5"/>
    <w:rsid w:val="57FC6189"/>
    <w:rsid w:val="583342F8"/>
    <w:rsid w:val="58396138"/>
    <w:rsid w:val="5869181F"/>
    <w:rsid w:val="59EF0258"/>
    <w:rsid w:val="5A915D7B"/>
    <w:rsid w:val="5AD73286"/>
    <w:rsid w:val="5B83107F"/>
    <w:rsid w:val="5B895545"/>
    <w:rsid w:val="5BA87DE4"/>
    <w:rsid w:val="5C116335"/>
    <w:rsid w:val="5C5EFB49"/>
    <w:rsid w:val="5C9C4AB8"/>
    <w:rsid w:val="5D050390"/>
    <w:rsid w:val="5D3E2967"/>
    <w:rsid w:val="5D4035B6"/>
    <w:rsid w:val="5D6B51FF"/>
    <w:rsid w:val="5E536DB6"/>
    <w:rsid w:val="5F073306"/>
    <w:rsid w:val="5F1D1F5A"/>
    <w:rsid w:val="5F5F73B9"/>
    <w:rsid w:val="5FFFD8C0"/>
    <w:rsid w:val="61503EF6"/>
    <w:rsid w:val="626B3293"/>
    <w:rsid w:val="63252FCF"/>
    <w:rsid w:val="63277B66"/>
    <w:rsid w:val="633B03AF"/>
    <w:rsid w:val="63501919"/>
    <w:rsid w:val="63674580"/>
    <w:rsid w:val="656E5C27"/>
    <w:rsid w:val="6637C928"/>
    <w:rsid w:val="67800E20"/>
    <w:rsid w:val="67D745B2"/>
    <w:rsid w:val="6838144E"/>
    <w:rsid w:val="68AA7398"/>
    <w:rsid w:val="68C258A8"/>
    <w:rsid w:val="6A5F3F1C"/>
    <w:rsid w:val="6BEC5E9B"/>
    <w:rsid w:val="6C6402DF"/>
    <w:rsid w:val="6E1B492D"/>
    <w:rsid w:val="6E612015"/>
    <w:rsid w:val="6EC079AE"/>
    <w:rsid w:val="6EC72329"/>
    <w:rsid w:val="6F3EF8F4"/>
    <w:rsid w:val="6F5256A0"/>
    <w:rsid w:val="6F97D24A"/>
    <w:rsid w:val="70F2429C"/>
    <w:rsid w:val="712E06B8"/>
    <w:rsid w:val="715E01FF"/>
    <w:rsid w:val="719845F0"/>
    <w:rsid w:val="71B40FF2"/>
    <w:rsid w:val="71E909FE"/>
    <w:rsid w:val="742C597A"/>
    <w:rsid w:val="748D5CEC"/>
    <w:rsid w:val="74EC5845"/>
    <w:rsid w:val="759E1500"/>
    <w:rsid w:val="75B5A293"/>
    <w:rsid w:val="771A302E"/>
    <w:rsid w:val="77466C79"/>
    <w:rsid w:val="77735706"/>
    <w:rsid w:val="77FFD178"/>
    <w:rsid w:val="79AD2E98"/>
    <w:rsid w:val="79E6461C"/>
    <w:rsid w:val="7A4914A8"/>
    <w:rsid w:val="7B7F2F1D"/>
    <w:rsid w:val="7BC506FF"/>
    <w:rsid w:val="7BDBDEEB"/>
    <w:rsid w:val="7BFCFFC7"/>
    <w:rsid w:val="7E09021B"/>
    <w:rsid w:val="7F7E4AED"/>
    <w:rsid w:val="7F7FEAE7"/>
    <w:rsid w:val="7F8D4A12"/>
    <w:rsid w:val="7F97D7F2"/>
    <w:rsid w:val="7FBFA80E"/>
    <w:rsid w:val="7FD7EDB6"/>
    <w:rsid w:val="7FDFA2E1"/>
    <w:rsid w:val="7FFF3B73"/>
    <w:rsid w:val="8FBF7C1A"/>
    <w:rsid w:val="A6FEB8E8"/>
    <w:rsid w:val="ADBA6A2C"/>
    <w:rsid w:val="B43F961E"/>
    <w:rsid w:val="B85FDB83"/>
    <w:rsid w:val="BDCD087A"/>
    <w:rsid w:val="BDFE5BF3"/>
    <w:rsid w:val="BFFF7717"/>
    <w:rsid w:val="C1BF7C39"/>
    <w:rsid w:val="C4BD4666"/>
    <w:rsid w:val="C73B9E57"/>
    <w:rsid w:val="CADB60D7"/>
    <w:rsid w:val="DAF67373"/>
    <w:rsid w:val="DC7C6527"/>
    <w:rsid w:val="DEE73C2B"/>
    <w:rsid w:val="DF7F402F"/>
    <w:rsid w:val="DFDF7D7A"/>
    <w:rsid w:val="DFE6B962"/>
    <w:rsid w:val="DFEFCC04"/>
    <w:rsid w:val="DFFA6D9E"/>
    <w:rsid w:val="DFFD6CD8"/>
    <w:rsid w:val="E57FC95F"/>
    <w:rsid w:val="E9F7E0FC"/>
    <w:rsid w:val="EBA7250A"/>
    <w:rsid w:val="EBEEBA8A"/>
    <w:rsid w:val="EBEF1A80"/>
    <w:rsid w:val="EDFF1E69"/>
    <w:rsid w:val="EF7CB3D9"/>
    <w:rsid w:val="EF7E56C0"/>
    <w:rsid w:val="EFFD903C"/>
    <w:rsid w:val="F3FBC3B0"/>
    <w:rsid w:val="F5DF601C"/>
    <w:rsid w:val="F75FC626"/>
    <w:rsid w:val="F9F3A651"/>
    <w:rsid w:val="FB9EE099"/>
    <w:rsid w:val="FBFF0D9D"/>
    <w:rsid w:val="FD7D5ACF"/>
    <w:rsid w:val="FDDF97A4"/>
    <w:rsid w:val="FE35255F"/>
    <w:rsid w:val="FEE7C552"/>
    <w:rsid w:val="FEFFEEF7"/>
    <w:rsid w:val="FF9FAC0E"/>
    <w:rsid w:val="FFDA53F0"/>
    <w:rsid w:val="FFFC599E"/>
    <w:rsid w:val="FFFF9DF6"/>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72"/>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7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75"/>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76"/>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77"/>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78"/>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9"/>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80"/>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00"/>
    <w:autoRedefine/>
    <w:qFormat/>
    <w:uiPriority w:val="99"/>
    <w:pPr>
      <w:spacing w:after="120" w:line="480" w:lineRule="exact"/>
      <w:ind w:left="420" w:leftChars="200" w:firstLine="420" w:firstLineChars="200"/>
    </w:pPr>
    <w:rPr>
      <w:szCs w:val="20"/>
    </w:rPr>
  </w:style>
  <w:style w:type="paragraph" w:styleId="3">
    <w:name w:val="Body Text Indent"/>
    <w:basedOn w:val="1"/>
    <w:next w:val="4"/>
    <w:link w:val="86"/>
    <w:autoRedefine/>
    <w:qFormat/>
    <w:uiPriority w:val="99"/>
    <w:pPr>
      <w:spacing w:line="360" w:lineRule="auto"/>
      <w:ind w:firstLine="570"/>
    </w:pPr>
    <w:rPr>
      <w:sz w:val="24"/>
    </w:rPr>
  </w:style>
  <w:style w:type="paragraph" w:styleId="4">
    <w:name w:val="envelope return"/>
    <w:basedOn w:val="1"/>
    <w:autoRedefine/>
    <w:qFormat/>
    <w:uiPriority w:val="0"/>
    <w:pPr>
      <w:snapToGrid w:val="0"/>
    </w:pPr>
    <w:rPr>
      <w:rFonts w:ascii="Arial" w:hAnsi="Arial"/>
    </w:rPr>
  </w:style>
  <w:style w:type="paragraph" w:styleId="14">
    <w:name w:val="toc 7"/>
    <w:basedOn w:val="1"/>
    <w:next w:val="1"/>
    <w:autoRedefine/>
    <w:qFormat/>
    <w:uiPriority w:val="39"/>
    <w:pPr>
      <w:ind w:left="2520" w:leftChars="1200"/>
    </w:pPr>
  </w:style>
  <w:style w:type="paragraph" w:styleId="15">
    <w:name w:val="List Number"/>
    <w:basedOn w:val="16"/>
    <w:autoRedefine/>
    <w:unhideWhenUsed/>
    <w:qFormat/>
    <w:uiPriority w:val="99"/>
    <w:pPr>
      <w:numPr>
        <w:ilvl w:val="0"/>
        <w:numId w:val="1"/>
      </w:numPr>
      <w:tabs>
        <w:tab w:val="clear" w:pos="360"/>
      </w:tabs>
      <w:spacing w:line="360" w:lineRule="auto"/>
      <w:ind w:left="420" w:hanging="420"/>
    </w:pPr>
    <w:rPr>
      <w:rFonts w:ascii="宋体"/>
      <w:szCs w:val="21"/>
    </w:rPr>
  </w:style>
  <w:style w:type="paragraph" w:styleId="16">
    <w:name w:val="List Paragraph"/>
    <w:basedOn w:val="1"/>
    <w:link w:val="81"/>
    <w:autoRedefine/>
    <w:qFormat/>
    <w:uiPriority w:val="34"/>
    <w:pPr>
      <w:ind w:firstLine="420" w:firstLineChars="200"/>
    </w:pPr>
    <w:rPr>
      <w:rFonts w:ascii="Calibri" w:hAnsi="Calibri"/>
      <w:szCs w:val="22"/>
    </w:rPr>
  </w:style>
  <w:style w:type="paragraph" w:styleId="17">
    <w:name w:val="Normal Indent"/>
    <w:basedOn w:val="1"/>
    <w:next w:val="1"/>
    <w:link w:val="73"/>
    <w:autoRedefine/>
    <w:qFormat/>
    <w:uiPriority w:val="0"/>
    <w:pPr>
      <w:autoSpaceDE w:val="0"/>
      <w:autoSpaceDN w:val="0"/>
      <w:adjustRightInd w:val="0"/>
      <w:ind w:firstLine="420"/>
      <w:jc w:val="left"/>
    </w:pPr>
    <w:rPr>
      <w:rFonts w:ascii="宋体"/>
      <w:sz w:val="24"/>
    </w:rPr>
  </w:style>
  <w:style w:type="paragraph" w:styleId="18">
    <w:name w:val="caption"/>
    <w:basedOn w:val="1"/>
    <w:next w:val="1"/>
    <w:autoRedefine/>
    <w:qFormat/>
    <w:uiPriority w:val="0"/>
    <w:pPr>
      <w:spacing w:line="480" w:lineRule="auto"/>
    </w:pPr>
    <w:rPr>
      <w:rFonts w:ascii="华文中宋" w:hAnsi="华文中宋" w:eastAsia="华文中宋"/>
      <w:sz w:val="36"/>
      <w:szCs w:val="20"/>
    </w:rPr>
  </w:style>
  <w:style w:type="paragraph" w:styleId="19">
    <w:name w:val="Document Map"/>
    <w:basedOn w:val="1"/>
    <w:link w:val="82"/>
    <w:autoRedefine/>
    <w:qFormat/>
    <w:uiPriority w:val="0"/>
    <w:pPr>
      <w:shd w:val="clear" w:color="auto" w:fill="000080"/>
    </w:pPr>
  </w:style>
  <w:style w:type="paragraph" w:styleId="20">
    <w:name w:val="annotation text"/>
    <w:basedOn w:val="1"/>
    <w:link w:val="83"/>
    <w:autoRedefine/>
    <w:qFormat/>
    <w:uiPriority w:val="0"/>
    <w:pPr>
      <w:jc w:val="left"/>
    </w:pPr>
  </w:style>
  <w:style w:type="paragraph" w:styleId="21">
    <w:name w:val="Body Text 3"/>
    <w:basedOn w:val="1"/>
    <w:link w:val="84"/>
    <w:autoRedefine/>
    <w:qFormat/>
    <w:uiPriority w:val="0"/>
    <w:pPr>
      <w:spacing w:after="120"/>
    </w:pPr>
    <w:rPr>
      <w:sz w:val="16"/>
      <w:szCs w:val="16"/>
    </w:rPr>
  </w:style>
  <w:style w:type="paragraph" w:styleId="22">
    <w:name w:val="Body Text"/>
    <w:basedOn w:val="1"/>
    <w:next w:val="17"/>
    <w:link w:val="85"/>
    <w:autoRedefine/>
    <w:qFormat/>
    <w:uiPriority w:val="0"/>
    <w:pPr>
      <w:tabs>
        <w:tab w:val="left" w:pos="567"/>
      </w:tabs>
      <w:spacing w:line="360" w:lineRule="auto"/>
      <w:ind w:left="511"/>
    </w:pPr>
    <w:rPr>
      <w:rFonts w:ascii="宋体" w:hAnsi="宋体"/>
      <w:sz w:val="24"/>
    </w:rPr>
  </w:style>
  <w:style w:type="paragraph" w:styleId="23">
    <w:name w:val="List 2"/>
    <w:basedOn w:val="1"/>
    <w:autoRedefine/>
    <w:qFormat/>
    <w:uiPriority w:val="0"/>
    <w:pPr>
      <w:ind w:left="1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index 4"/>
    <w:basedOn w:val="1"/>
    <w:next w:val="1"/>
    <w:autoRedefine/>
    <w:qFormat/>
    <w:uiPriority w:val="0"/>
    <w:pPr>
      <w:widowControl/>
      <w:ind w:left="600" w:leftChars="600"/>
      <w:jc w:val="left"/>
    </w:pPr>
    <w:rPr>
      <w:kern w:val="0"/>
      <w:sz w:val="24"/>
    </w:rPr>
  </w:style>
  <w:style w:type="paragraph" w:styleId="26">
    <w:name w:val="toc 5"/>
    <w:basedOn w:val="1"/>
    <w:next w:val="1"/>
    <w:autoRedefine/>
    <w:qFormat/>
    <w:uiPriority w:val="39"/>
    <w:pPr>
      <w:ind w:left="1680" w:leftChars="800"/>
    </w:pPr>
  </w:style>
  <w:style w:type="paragraph" w:styleId="27">
    <w:name w:val="toc 3"/>
    <w:basedOn w:val="1"/>
    <w:next w:val="1"/>
    <w:autoRedefine/>
    <w:qFormat/>
    <w:uiPriority w:val="39"/>
    <w:pPr>
      <w:ind w:left="840" w:leftChars="400"/>
    </w:pPr>
  </w:style>
  <w:style w:type="paragraph" w:styleId="28">
    <w:name w:val="Plain Text"/>
    <w:basedOn w:val="1"/>
    <w:link w:val="87"/>
    <w:autoRedefine/>
    <w:qFormat/>
    <w:uiPriority w:val="0"/>
    <w:rPr>
      <w:rFonts w:hint="eastAsia" w:ascii="宋体" w:hAnsi="Courier New"/>
      <w:szCs w:val="20"/>
    </w:rPr>
  </w:style>
  <w:style w:type="paragraph" w:styleId="29">
    <w:name w:val="toc 8"/>
    <w:basedOn w:val="1"/>
    <w:next w:val="1"/>
    <w:autoRedefine/>
    <w:qFormat/>
    <w:uiPriority w:val="39"/>
    <w:pPr>
      <w:ind w:left="2940" w:leftChars="1400"/>
    </w:pPr>
  </w:style>
  <w:style w:type="paragraph" w:styleId="30">
    <w:name w:val="Date"/>
    <w:basedOn w:val="1"/>
    <w:next w:val="1"/>
    <w:link w:val="88"/>
    <w:autoRedefine/>
    <w:qFormat/>
    <w:uiPriority w:val="0"/>
    <w:pPr>
      <w:ind w:left="100" w:leftChars="2500"/>
    </w:pPr>
    <w:rPr>
      <w:rFonts w:ascii="仿宋_GB2312" w:hAnsi="宋体" w:eastAsia="仿宋_GB2312"/>
      <w:color w:val="000000"/>
      <w:sz w:val="24"/>
    </w:rPr>
  </w:style>
  <w:style w:type="paragraph" w:styleId="31">
    <w:name w:val="Body Text Indent 2"/>
    <w:basedOn w:val="1"/>
    <w:link w:val="89"/>
    <w:autoRedefine/>
    <w:qFormat/>
    <w:uiPriority w:val="0"/>
    <w:pPr>
      <w:ind w:firstLine="480" w:firstLineChars="200"/>
    </w:pPr>
    <w:rPr>
      <w:rFonts w:ascii="仿宋_GB2312" w:eastAsia="仿宋_GB2312"/>
      <w:sz w:val="24"/>
    </w:rPr>
  </w:style>
  <w:style w:type="paragraph" w:styleId="32">
    <w:name w:val="Balloon Text"/>
    <w:basedOn w:val="1"/>
    <w:link w:val="90"/>
    <w:autoRedefine/>
    <w:qFormat/>
    <w:uiPriority w:val="99"/>
    <w:rPr>
      <w:sz w:val="18"/>
      <w:szCs w:val="18"/>
    </w:rPr>
  </w:style>
  <w:style w:type="paragraph" w:styleId="33">
    <w:name w:val="footer"/>
    <w:basedOn w:val="1"/>
    <w:link w:val="9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92"/>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6">
    <w:name w:val="toc 4"/>
    <w:basedOn w:val="1"/>
    <w:next w:val="1"/>
    <w:autoRedefine/>
    <w:qFormat/>
    <w:uiPriority w:val="39"/>
    <w:pPr>
      <w:ind w:left="1260" w:leftChars="600"/>
    </w:pPr>
  </w:style>
  <w:style w:type="paragraph" w:styleId="37">
    <w:name w:val="Subtitle"/>
    <w:basedOn w:val="1"/>
    <w:next w:val="1"/>
    <w:link w:val="93"/>
    <w:autoRedefine/>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8">
    <w:name w:val="footnote text"/>
    <w:basedOn w:val="1"/>
    <w:link w:val="94"/>
    <w:autoRedefine/>
    <w:qFormat/>
    <w:uiPriority w:val="0"/>
    <w:pPr>
      <w:widowControl/>
      <w:adjustRightInd w:val="0"/>
      <w:spacing w:line="312" w:lineRule="atLeast"/>
      <w:jc w:val="left"/>
    </w:pPr>
    <w:rPr>
      <w:kern w:val="0"/>
      <w:sz w:val="18"/>
      <w:szCs w:val="20"/>
    </w:rPr>
  </w:style>
  <w:style w:type="paragraph" w:styleId="39">
    <w:name w:val="toc 6"/>
    <w:basedOn w:val="1"/>
    <w:next w:val="1"/>
    <w:autoRedefine/>
    <w:qFormat/>
    <w:uiPriority w:val="39"/>
    <w:pPr>
      <w:ind w:left="2100" w:leftChars="1000"/>
    </w:pPr>
  </w:style>
  <w:style w:type="paragraph" w:styleId="40">
    <w:name w:val="Body Text Indent 3"/>
    <w:basedOn w:val="1"/>
    <w:link w:val="9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index 9"/>
    <w:basedOn w:val="1"/>
    <w:next w:val="1"/>
    <w:autoRedefine/>
    <w:qFormat/>
    <w:uiPriority w:val="0"/>
    <w:pPr>
      <w:ind w:left="1600" w:leftChars="1600"/>
    </w:pPr>
  </w:style>
  <w:style w:type="paragraph" w:styleId="42">
    <w:name w:val="table of figures"/>
    <w:basedOn w:val="1"/>
    <w:next w:val="1"/>
    <w:autoRedefine/>
    <w:qFormat/>
    <w:uiPriority w:val="0"/>
    <w:pPr>
      <w:widowControl/>
      <w:ind w:left="840" w:hanging="420"/>
      <w:jc w:val="left"/>
    </w:pPr>
    <w:rPr>
      <w:kern w:val="0"/>
      <w:sz w:val="24"/>
      <w:szCs w:val="20"/>
    </w:rPr>
  </w:style>
  <w:style w:type="paragraph" w:styleId="43">
    <w:name w:val="toc 2"/>
    <w:basedOn w:val="1"/>
    <w:next w:val="1"/>
    <w:autoRedefine/>
    <w:qFormat/>
    <w:uiPriority w:val="39"/>
    <w:pPr>
      <w:tabs>
        <w:tab w:val="right" w:leader="dot" w:pos="8937"/>
      </w:tabs>
      <w:spacing w:line="312" w:lineRule="auto"/>
      <w:ind w:left="420" w:leftChars="200"/>
    </w:pPr>
  </w:style>
  <w:style w:type="paragraph" w:styleId="44">
    <w:name w:val="toc 9"/>
    <w:basedOn w:val="1"/>
    <w:next w:val="1"/>
    <w:autoRedefine/>
    <w:qFormat/>
    <w:uiPriority w:val="39"/>
    <w:pPr>
      <w:ind w:left="3360" w:leftChars="1600"/>
    </w:pPr>
  </w:style>
  <w:style w:type="paragraph" w:styleId="45">
    <w:name w:val="Body Text 2"/>
    <w:basedOn w:val="1"/>
    <w:link w:val="96"/>
    <w:autoRedefine/>
    <w:qFormat/>
    <w:uiPriority w:val="0"/>
    <w:pPr>
      <w:widowControl/>
      <w:adjustRightInd w:val="0"/>
      <w:spacing w:line="360" w:lineRule="atLeast"/>
      <w:jc w:val="left"/>
    </w:pPr>
    <w:rPr>
      <w:rFonts w:ascii="宋体" w:hAnsi="宋体"/>
      <w:kern w:val="0"/>
      <w:sz w:val="24"/>
      <w:u w:val="single"/>
    </w:rPr>
  </w:style>
  <w:style w:type="paragraph" w:styleId="46">
    <w:name w:val="HTML Preformatted"/>
    <w:basedOn w:val="1"/>
    <w:link w:val="9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rPr>
      <w:szCs w:val="20"/>
    </w:rPr>
  </w:style>
  <w:style w:type="paragraph" w:styleId="49">
    <w:name w:val="Title"/>
    <w:basedOn w:val="1"/>
    <w:link w:val="98"/>
    <w:autoRedefine/>
    <w:qFormat/>
    <w:uiPriority w:val="10"/>
    <w:pPr>
      <w:jc w:val="center"/>
      <w:outlineLvl w:val="0"/>
    </w:pPr>
    <w:rPr>
      <w:b/>
      <w:sz w:val="32"/>
      <w:szCs w:val="20"/>
    </w:rPr>
  </w:style>
  <w:style w:type="paragraph" w:styleId="50">
    <w:name w:val="annotation subject"/>
    <w:basedOn w:val="20"/>
    <w:next w:val="20"/>
    <w:link w:val="99"/>
    <w:autoRedefine/>
    <w:qFormat/>
    <w:uiPriority w:val="99"/>
    <w:rPr>
      <w:b/>
      <w:bCs/>
    </w:rPr>
  </w:style>
  <w:style w:type="paragraph" w:styleId="51">
    <w:name w:val="Body Text First Indent"/>
    <w:basedOn w:val="22"/>
    <w:next w:val="2"/>
    <w:autoRedefine/>
    <w:qFormat/>
    <w:uiPriority w:val="0"/>
    <w:pPr>
      <w:spacing w:after="120" w:line="240" w:lineRule="auto"/>
      <w:ind w:firstLine="420" w:firstLineChars="100"/>
    </w:pPr>
    <w:rPr>
      <w:rFonts w:ascii="Times New Roman" w:hAnsi="Times New Roman"/>
    </w:rPr>
  </w:style>
  <w:style w:type="table" w:styleId="53">
    <w:name w:val="Table Grid"/>
    <w:basedOn w:val="5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4">
    <w:name w:val="Medium Grid 1 Accent 2"/>
    <w:basedOn w:val="5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6">
    <w:name w:val="Strong"/>
    <w:autoRedefine/>
    <w:qFormat/>
    <w:uiPriority w:val="22"/>
    <w:rPr>
      <w:b/>
      <w:bCs/>
    </w:rPr>
  </w:style>
  <w:style w:type="character" w:styleId="57">
    <w:name w:val="page number"/>
    <w:autoRedefine/>
    <w:qFormat/>
    <w:uiPriority w:val="0"/>
  </w:style>
  <w:style w:type="character" w:styleId="58">
    <w:name w:val="FollowedHyperlink"/>
    <w:autoRedefine/>
    <w:qFormat/>
    <w:uiPriority w:val="99"/>
    <w:rPr>
      <w:color w:val="800080"/>
      <w:u w:val="single"/>
    </w:rPr>
  </w:style>
  <w:style w:type="character" w:styleId="59">
    <w:name w:val="Emphasis"/>
    <w:autoRedefine/>
    <w:qFormat/>
    <w:uiPriority w:val="0"/>
    <w:rPr>
      <w:color w:val="CC0033"/>
    </w:rPr>
  </w:style>
  <w:style w:type="character" w:styleId="60">
    <w:name w:val="Hyperlink"/>
    <w:autoRedefine/>
    <w:qFormat/>
    <w:uiPriority w:val="99"/>
    <w:rPr>
      <w:color w:val="0000FF"/>
      <w:u w:val="single"/>
    </w:rPr>
  </w:style>
  <w:style w:type="character" w:styleId="61">
    <w:name w:val="HTML Code"/>
    <w:autoRedefine/>
    <w:unhideWhenUsed/>
    <w:qFormat/>
    <w:uiPriority w:val="99"/>
    <w:rPr>
      <w:rFonts w:hint="default" w:ascii="monospace" w:hAnsi="monospace" w:eastAsia="monospace" w:cs="monospace"/>
      <w:sz w:val="22"/>
      <w:szCs w:val="22"/>
    </w:rPr>
  </w:style>
  <w:style w:type="character" w:styleId="62">
    <w:name w:val="annotation reference"/>
    <w:autoRedefine/>
    <w:qFormat/>
    <w:uiPriority w:val="0"/>
    <w:rPr>
      <w:sz w:val="21"/>
      <w:szCs w:val="21"/>
    </w:rPr>
  </w:style>
  <w:style w:type="character" w:styleId="63">
    <w:name w:val="HTML Cite"/>
    <w:autoRedefine/>
    <w:qFormat/>
    <w:uiPriority w:val="0"/>
    <w:rPr>
      <w:i/>
      <w:iCs/>
    </w:rPr>
  </w:style>
  <w:style w:type="character" w:styleId="64">
    <w:name w:val="footnote reference"/>
    <w:autoRedefine/>
    <w:qFormat/>
    <w:uiPriority w:val="0"/>
    <w:rPr>
      <w:vertAlign w:val="superscript"/>
    </w:rPr>
  </w:style>
  <w:style w:type="character" w:styleId="65">
    <w:name w:val="HTML Keyboard"/>
    <w:autoRedefine/>
    <w:unhideWhenUsed/>
    <w:qFormat/>
    <w:uiPriority w:val="99"/>
    <w:rPr>
      <w:rFonts w:hint="default" w:ascii="monospace" w:hAnsi="monospace" w:eastAsia="monospace" w:cs="monospace"/>
      <w:sz w:val="21"/>
      <w:szCs w:val="21"/>
    </w:rPr>
  </w:style>
  <w:style w:type="character" w:styleId="66">
    <w:name w:val="HTML Sample"/>
    <w:autoRedefine/>
    <w:unhideWhenUsed/>
    <w:qFormat/>
    <w:uiPriority w:val="99"/>
    <w:rPr>
      <w:rFonts w:ascii="monospace" w:hAnsi="monospace" w:eastAsia="monospace" w:cs="monospace"/>
      <w:sz w:val="21"/>
      <w:szCs w:val="21"/>
    </w:rPr>
  </w:style>
  <w:style w:type="paragraph" w:customStyle="1" w:styleId="67">
    <w:name w:val="正文格式"/>
    <w:basedOn w:val="22"/>
    <w:link w:val="238"/>
    <w:autoRedefine/>
    <w:qFormat/>
    <w:uiPriority w:val="0"/>
    <w:pPr>
      <w:spacing w:beforeLines="50"/>
      <w:ind w:firstLine="480" w:firstLineChars="200"/>
    </w:pPr>
    <w:rPr>
      <w:kern w:val="0"/>
      <w:lang w:val="en-GB"/>
    </w:rPr>
  </w:style>
  <w:style w:type="paragraph" w:customStyle="1" w:styleId="68">
    <w:name w:val="Default"/>
    <w:next w:val="38"/>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69">
    <w:name w:val="style4"/>
    <w:basedOn w:val="1"/>
    <w:next w:val="70"/>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0">
    <w:name w:val="2"/>
    <w:basedOn w:val="1"/>
    <w:next w:val="1"/>
    <w:autoRedefine/>
    <w:qFormat/>
    <w:uiPriority w:val="99"/>
  </w:style>
  <w:style w:type="character" w:customStyle="1" w:styleId="71">
    <w:name w:val="标题 1 Char"/>
    <w:link w:val="5"/>
    <w:autoRedefine/>
    <w:qFormat/>
    <w:uiPriority w:val="9"/>
    <w:rPr>
      <w:rFonts w:ascii="宋体"/>
      <w:b/>
      <w:kern w:val="44"/>
      <w:sz w:val="32"/>
    </w:rPr>
  </w:style>
  <w:style w:type="character" w:customStyle="1" w:styleId="72">
    <w:name w:val="标题 2 Char1"/>
    <w:link w:val="6"/>
    <w:autoRedefine/>
    <w:qFormat/>
    <w:uiPriority w:val="9"/>
    <w:rPr>
      <w:rFonts w:ascii="Arial" w:hAnsi="Arial" w:eastAsia="黑体"/>
      <w:b/>
      <w:sz w:val="30"/>
      <w:lang w:val="en-US" w:eastAsia="zh-CN" w:bidi="ar-SA"/>
    </w:rPr>
  </w:style>
  <w:style w:type="character" w:customStyle="1" w:styleId="73">
    <w:name w:val="正文缩进 Char1"/>
    <w:link w:val="17"/>
    <w:autoRedefine/>
    <w:qFormat/>
    <w:uiPriority w:val="0"/>
    <w:rPr>
      <w:rFonts w:ascii="宋体" w:eastAsia="宋体"/>
      <w:kern w:val="2"/>
      <w:sz w:val="24"/>
      <w:szCs w:val="24"/>
      <w:lang w:val="en-US" w:eastAsia="zh-CN" w:bidi="ar-SA"/>
    </w:rPr>
  </w:style>
  <w:style w:type="character" w:customStyle="1" w:styleId="74">
    <w:name w:val="标题 3 Char1"/>
    <w:link w:val="7"/>
    <w:autoRedefine/>
    <w:qFormat/>
    <w:uiPriority w:val="0"/>
    <w:rPr>
      <w:rFonts w:ascii="宋体" w:eastAsia="宋体"/>
      <w:b/>
      <w:sz w:val="24"/>
      <w:u w:val="single"/>
      <w:lang w:val="en-US" w:eastAsia="zh-CN" w:bidi="ar-SA"/>
    </w:rPr>
  </w:style>
  <w:style w:type="character" w:customStyle="1" w:styleId="75">
    <w:name w:val="标题 4 Char"/>
    <w:link w:val="8"/>
    <w:autoRedefine/>
    <w:qFormat/>
    <w:uiPriority w:val="9"/>
    <w:rPr>
      <w:rFonts w:ascii="Arial" w:hAnsi="Arial" w:eastAsia="黑体"/>
      <w:b/>
      <w:sz w:val="28"/>
    </w:rPr>
  </w:style>
  <w:style w:type="character" w:customStyle="1" w:styleId="76">
    <w:name w:val="标题 5 Char"/>
    <w:link w:val="9"/>
    <w:autoRedefine/>
    <w:qFormat/>
    <w:uiPriority w:val="9"/>
    <w:rPr>
      <w:b/>
      <w:sz w:val="28"/>
    </w:rPr>
  </w:style>
  <w:style w:type="character" w:customStyle="1" w:styleId="77">
    <w:name w:val="标题 6 Char"/>
    <w:link w:val="10"/>
    <w:autoRedefine/>
    <w:qFormat/>
    <w:uiPriority w:val="9"/>
    <w:rPr>
      <w:rFonts w:ascii="Arial" w:hAnsi="Arial" w:eastAsia="黑体"/>
      <w:b/>
      <w:sz w:val="24"/>
    </w:rPr>
  </w:style>
  <w:style w:type="character" w:customStyle="1" w:styleId="78">
    <w:name w:val="标题 7 Char"/>
    <w:link w:val="11"/>
    <w:autoRedefine/>
    <w:qFormat/>
    <w:uiPriority w:val="9"/>
    <w:rPr>
      <w:b/>
      <w:sz w:val="24"/>
    </w:rPr>
  </w:style>
  <w:style w:type="character" w:customStyle="1" w:styleId="79">
    <w:name w:val="标题 8 Char"/>
    <w:link w:val="12"/>
    <w:autoRedefine/>
    <w:qFormat/>
    <w:uiPriority w:val="9"/>
    <w:rPr>
      <w:rFonts w:ascii="Arial" w:hAnsi="Arial" w:eastAsia="黑体"/>
      <w:sz w:val="24"/>
    </w:rPr>
  </w:style>
  <w:style w:type="character" w:customStyle="1" w:styleId="80">
    <w:name w:val="标题 9 Char"/>
    <w:link w:val="13"/>
    <w:autoRedefine/>
    <w:qFormat/>
    <w:uiPriority w:val="9"/>
    <w:rPr>
      <w:rFonts w:ascii="Arial" w:hAnsi="Arial" w:eastAsia="黑体"/>
      <w:sz w:val="21"/>
    </w:rPr>
  </w:style>
  <w:style w:type="character" w:customStyle="1" w:styleId="81">
    <w:name w:val="列出段落 Char1"/>
    <w:link w:val="16"/>
    <w:autoRedefine/>
    <w:qFormat/>
    <w:uiPriority w:val="34"/>
    <w:rPr>
      <w:rFonts w:ascii="Calibri" w:hAnsi="Calibri" w:eastAsia="宋体"/>
      <w:kern w:val="2"/>
      <w:sz w:val="21"/>
      <w:szCs w:val="22"/>
      <w:lang w:val="en-US" w:eastAsia="zh-CN" w:bidi="ar-SA"/>
    </w:rPr>
  </w:style>
  <w:style w:type="character" w:customStyle="1" w:styleId="82">
    <w:name w:val="文档结构图 Char"/>
    <w:link w:val="19"/>
    <w:autoRedefine/>
    <w:qFormat/>
    <w:uiPriority w:val="0"/>
    <w:rPr>
      <w:kern w:val="2"/>
      <w:sz w:val="21"/>
      <w:szCs w:val="24"/>
      <w:shd w:val="clear" w:color="auto" w:fill="000080"/>
    </w:rPr>
  </w:style>
  <w:style w:type="character" w:customStyle="1" w:styleId="83">
    <w:name w:val="批注文字 Char1"/>
    <w:link w:val="20"/>
    <w:autoRedefine/>
    <w:qFormat/>
    <w:uiPriority w:val="99"/>
    <w:rPr>
      <w:kern w:val="2"/>
      <w:sz w:val="21"/>
      <w:szCs w:val="24"/>
    </w:rPr>
  </w:style>
  <w:style w:type="character" w:customStyle="1" w:styleId="84">
    <w:name w:val="正文文本 3 Char"/>
    <w:link w:val="21"/>
    <w:autoRedefine/>
    <w:qFormat/>
    <w:uiPriority w:val="0"/>
    <w:rPr>
      <w:kern w:val="2"/>
      <w:sz w:val="16"/>
      <w:szCs w:val="16"/>
    </w:rPr>
  </w:style>
  <w:style w:type="character" w:customStyle="1" w:styleId="85">
    <w:name w:val="正文文本 Char"/>
    <w:link w:val="22"/>
    <w:autoRedefine/>
    <w:qFormat/>
    <w:uiPriority w:val="0"/>
    <w:rPr>
      <w:rFonts w:ascii="宋体" w:hAnsi="宋体"/>
      <w:kern w:val="2"/>
      <w:sz w:val="24"/>
      <w:szCs w:val="24"/>
    </w:rPr>
  </w:style>
  <w:style w:type="character" w:customStyle="1" w:styleId="86">
    <w:name w:val="正文文本缩进 Char2"/>
    <w:link w:val="3"/>
    <w:autoRedefine/>
    <w:qFormat/>
    <w:uiPriority w:val="0"/>
    <w:rPr>
      <w:rFonts w:eastAsia="宋体"/>
      <w:kern w:val="2"/>
      <w:sz w:val="24"/>
      <w:szCs w:val="24"/>
      <w:lang w:val="en-US" w:eastAsia="zh-CN" w:bidi="ar-SA"/>
    </w:rPr>
  </w:style>
  <w:style w:type="character" w:customStyle="1" w:styleId="87">
    <w:name w:val="纯文本 Char"/>
    <w:link w:val="28"/>
    <w:autoRedefine/>
    <w:qFormat/>
    <w:uiPriority w:val="0"/>
    <w:rPr>
      <w:rFonts w:hint="eastAsia" w:ascii="宋体" w:hAnsi="Courier New" w:eastAsia="宋体" w:cs="宋体"/>
      <w:kern w:val="2"/>
      <w:sz w:val="21"/>
    </w:rPr>
  </w:style>
  <w:style w:type="character" w:customStyle="1" w:styleId="88">
    <w:name w:val="日期 Char"/>
    <w:link w:val="30"/>
    <w:autoRedefine/>
    <w:qFormat/>
    <w:uiPriority w:val="0"/>
    <w:rPr>
      <w:rFonts w:ascii="仿宋_GB2312" w:hAnsi="宋体" w:eastAsia="仿宋_GB2312"/>
      <w:color w:val="000000"/>
      <w:kern w:val="2"/>
      <w:sz w:val="24"/>
      <w:szCs w:val="24"/>
    </w:rPr>
  </w:style>
  <w:style w:type="character" w:customStyle="1" w:styleId="89">
    <w:name w:val="正文文本缩进 2 Char"/>
    <w:link w:val="31"/>
    <w:autoRedefine/>
    <w:qFormat/>
    <w:uiPriority w:val="0"/>
    <w:rPr>
      <w:rFonts w:ascii="仿宋_GB2312" w:eastAsia="仿宋_GB2312"/>
      <w:kern w:val="2"/>
      <w:sz w:val="24"/>
      <w:szCs w:val="24"/>
    </w:rPr>
  </w:style>
  <w:style w:type="character" w:customStyle="1" w:styleId="90">
    <w:name w:val="批注框文本 Char"/>
    <w:link w:val="32"/>
    <w:autoRedefine/>
    <w:qFormat/>
    <w:uiPriority w:val="99"/>
    <w:rPr>
      <w:kern w:val="2"/>
      <w:sz w:val="18"/>
      <w:szCs w:val="18"/>
    </w:rPr>
  </w:style>
  <w:style w:type="character" w:customStyle="1" w:styleId="91">
    <w:name w:val="页脚 Char1"/>
    <w:link w:val="33"/>
    <w:autoRedefine/>
    <w:qFormat/>
    <w:uiPriority w:val="99"/>
    <w:rPr>
      <w:rFonts w:ascii="宋体" w:eastAsia="宋体"/>
      <w:sz w:val="18"/>
      <w:lang w:val="en-US" w:eastAsia="zh-CN" w:bidi="ar-SA"/>
    </w:rPr>
  </w:style>
  <w:style w:type="character" w:customStyle="1" w:styleId="92">
    <w:name w:val="页眉 Char1"/>
    <w:link w:val="34"/>
    <w:autoRedefine/>
    <w:qFormat/>
    <w:uiPriority w:val="99"/>
    <w:rPr>
      <w:rFonts w:eastAsia="宋体"/>
      <w:kern w:val="2"/>
      <w:sz w:val="18"/>
      <w:szCs w:val="18"/>
      <w:lang w:val="en-US" w:eastAsia="zh-CN" w:bidi="ar-SA"/>
    </w:rPr>
  </w:style>
  <w:style w:type="character" w:customStyle="1" w:styleId="93">
    <w:name w:val="副标题 Char2"/>
    <w:link w:val="37"/>
    <w:autoRedefine/>
    <w:qFormat/>
    <w:locked/>
    <w:uiPriority w:val="11"/>
    <w:rPr>
      <w:rFonts w:ascii="Cambria" w:hAnsi="Cambria" w:eastAsia="Times New Roman"/>
      <w:b/>
      <w:bCs/>
      <w:kern w:val="28"/>
      <w:sz w:val="32"/>
      <w:szCs w:val="32"/>
    </w:rPr>
  </w:style>
  <w:style w:type="character" w:customStyle="1" w:styleId="94">
    <w:name w:val="脚注文本 Char"/>
    <w:link w:val="38"/>
    <w:autoRedefine/>
    <w:qFormat/>
    <w:uiPriority w:val="0"/>
    <w:rPr>
      <w:sz w:val="18"/>
    </w:rPr>
  </w:style>
  <w:style w:type="character" w:customStyle="1" w:styleId="95">
    <w:name w:val="正文文本缩进 3 Char"/>
    <w:link w:val="40"/>
    <w:autoRedefine/>
    <w:qFormat/>
    <w:uiPriority w:val="0"/>
    <w:rPr>
      <w:rFonts w:ascii="宋体"/>
      <w:sz w:val="24"/>
    </w:rPr>
  </w:style>
  <w:style w:type="character" w:customStyle="1" w:styleId="96">
    <w:name w:val="正文文本 2 Char"/>
    <w:link w:val="45"/>
    <w:autoRedefine/>
    <w:qFormat/>
    <w:uiPriority w:val="0"/>
    <w:rPr>
      <w:rFonts w:ascii="宋体" w:hAnsi="宋体"/>
      <w:sz w:val="24"/>
      <w:szCs w:val="24"/>
      <w:u w:val="single"/>
    </w:rPr>
  </w:style>
  <w:style w:type="character" w:customStyle="1" w:styleId="97">
    <w:name w:val="HTML 预设格式 Char"/>
    <w:link w:val="46"/>
    <w:autoRedefine/>
    <w:qFormat/>
    <w:uiPriority w:val="0"/>
    <w:rPr>
      <w:rFonts w:ascii="宋体" w:hAnsi="宋体" w:cs="宋体"/>
      <w:sz w:val="24"/>
      <w:szCs w:val="24"/>
    </w:rPr>
  </w:style>
  <w:style w:type="character" w:customStyle="1" w:styleId="98">
    <w:name w:val="标题 Char1"/>
    <w:link w:val="49"/>
    <w:autoRedefine/>
    <w:qFormat/>
    <w:uiPriority w:val="0"/>
    <w:rPr>
      <w:b/>
      <w:kern w:val="2"/>
      <w:sz w:val="32"/>
    </w:rPr>
  </w:style>
  <w:style w:type="character" w:customStyle="1" w:styleId="99">
    <w:name w:val="批注主题 Char"/>
    <w:link w:val="50"/>
    <w:autoRedefine/>
    <w:qFormat/>
    <w:uiPriority w:val="99"/>
    <w:rPr>
      <w:rFonts w:ascii="Times New Roman" w:hAnsi="Times New Roman" w:eastAsia="宋体" w:cs="Times New Roman"/>
      <w:b/>
      <w:bCs/>
      <w:kern w:val="2"/>
      <w:sz w:val="21"/>
      <w:szCs w:val="24"/>
      <w:lang w:val="en-US" w:eastAsia="zh-CN" w:bidi="ar-SA"/>
    </w:rPr>
  </w:style>
  <w:style w:type="character" w:customStyle="1" w:styleId="100">
    <w:name w:val="正文首行缩进 2 Char"/>
    <w:link w:val="2"/>
    <w:autoRedefine/>
    <w:qFormat/>
    <w:uiPriority w:val="99"/>
    <w:rPr>
      <w:rFonts w:eastAsia="宋体"/>
      <w:kern w:val="2"/>
      <w:sz w:val="24"/>
      <w:szCs w:val="24"/>
      <w:lang w:val="en-US" w:eastAsia="zh-CN" w:bidi="ar-SA"/>
    </w:rPr>
  </w:style>
  <w:style w:type="character" w:customStyle="1" w:styleId="101">
    <w:name w:val="批注文字 字符"/>
    <w:autoRedefine/>
    <w:qFormat/>
    <w:uiPriority w:val="99"/>
    <w:rPr>
      <w:rFonts w:ascii="Times New Roman" w:hAnsi="Times New Roman" w:eastAsia="宋体" w:cs="Times New Roman"/>
      <w:sz w:val="24"/>
      <w:lang w:val="en-US" w:eastAsia="zh-CN" w:bidi="ar-SA"/>
    </w:rPr>
  </w:style>
  <w:style w:type="character" w:customStyle="1" w:styleId="102">
    <w:name w:val="c21"/>
    <w:autoRedefine/>
    <w:qFormat/>
    <w:uiPriority w:val="0"/>
    <w:rPr>
      <w:rFonts w:hint="default" w:ascii="ˎ̥" w:hAnsi="ˎ̥"/>
      <w:color w:val="000000"/>
      <w:sz w:val="20"/>
      <w:szCs w:val="20"/>
      <w:u w:val="none"/>
    </w:rPr>
  </w:style>
  <w:style w:type="character" w:customStyle="1" w:styleId="103">
    <w:name w:val="title4"/>
    <w:autoRedefine/>
    <w:qFormat/>
    <w:uiPriority w:val="0"/>
    <w:rPr>
      <w:b/>
      <w:bCs/>
      <w:color w:val="1D87B3"/>
      <w:sz w:val="15"/>
      <w:szCs w:val="15"/>
    </w:rPr>
  </w:style>
  <w:style w:type="character" w:customStyle="1" w:styleId="104">
    <w:name w:val="标题 2 Char Char"/>
    <w:autoRedefine/>
    <w:qFormat/>
    <w:uiPriority w:val="0"/>
    <w:rPr>
      <w:rFonts w:ascii="Arial" w:hAnsi="Arial" w:eastAsia="黑体"/>
      <w:b/>
      <w:bCs/>
      <w:kern w:val="2"/>
      <w:sz w:val="32"/>
      <w:szCs w:val="32"/>
      <w:lang w:val="en-US" w:eastAsia="zh-CN" w:bidi="ar-SA"/>
    </w:rPr>
  </w:style>
  <w:style w:type="character" w:customStyle="1" w:styleId="105">
    <w:name w:val="black1"/>
    <w:autoRedefine/>
    <w:qFormat/>
    <w:uiPriority w:val="0"/>
    <w:rPr>
      <w:color w:val="000000"/>
    </w:rPr>
  </w:style>
  <w:style w:type="character" w:customStyle="1" w:styleId="106">
    <w:name w:val="street-address"/>
    <w:autoRedefine/>
    <w:qFormat/>
    <w:uiPriority w:val="0"/>
  </w:style>
  <w:style w:type="character" w:customStyle="1" w:styleId="107">
    <w:name w:val="locality"/>
    <w:autoRedefine/>
    <w:qFormat/>
    <w:uiPriority w:val="0"/>
  </w:style>
  <w:style w:type="character" w:customStyle="1" w:styleId="108">
    <w:name w:val="正文文本缩进 Char1"/>
    <w:link w:val="109"/>
    <w:autoRedefine/>
    <w:qFormat/>
    <w:uiPriority w:val="99"/>
    <w:rPr>
      <w:rFonts w:ascii="宋体" w:hAnsi="宋体" w:eastAsia="宋体"/>
      <w:sz w:val="24"/>
      <w:szCs w:val="24"/>
      <w:lang w:bidi="ar-SA"/>
    </w:rPr>
  </w:style>
  <w:style w:type="paragraph" w:customStyle="1" w:styleId="109">
    <w:name w:val="正文文本缩进1"/>
    <w:basedOn w:val="1"/>
    <w:link w:val="108"/>
    <w:autoRedefine/>
    <w:qFormat/>
    <w:uiPriority w:val="99"/>
    <w:pPr>
      <w:spacing w:line="480" w:lineRule="exact"/>
      <w:ind w:firstLine="480" w:firstLineChars="200"/>
    </w:pPr>
    <w:rPr>
      <w:rFonts w:ascii="宋体" w:hAnsi="宋体"/>
      <w:kern w:val="0"/>
      <w:sz w:val="24"/>
    </w:rPr>
  </w:style>
  <w:style w:type="character" w:customStyle="1" w:styleId="110">
    <w:name w:val="Char Char11"/>
    <w:autoRedefine/>
    <w:qFormat/>
    <w:uiPriority w:val="0"/>
    <w:rPr>
      <w:rFonts w:ascii="宋体" w:eastAsia="宋体"/>
      <w:b/>
      <w:sz w:val="24"/>
      <w:u w:val="single"/>
      <w:lang w:val="en-US" w:eastAsia="zh-CN" w:bidi="ar-SA"/>
    </w:rPr>
  </w:style>
  <w:style w:type="character" w:customStyle="1" w:styleId="111">
    <w:name w:val="txt"/>
    <w:autoRedefine/>
    <w:qFormat/>
    <w:uiPriority w:val="0"/>
  </w:style>
  <w:style w:type="character" w:customStyle="1" w:styleId="112">
    <w:name w:val="正文缩进 Char Char"/>
    <w:link w:val="113"/>
    <w:autoRedefine/>
    <w:qFormat/>
    <w:uiPriority w:val="0"/>
    <w:rPr>
      <w:rFonts w:ascii="宋体" w:eastAsia="宋体"/>
      <w:snapToGrid w:val="0"/>
      <w:color w:val="000000"/>
      <w:kern w:val="28"/>
      <w:sz w:val="28"/>
      <w:lang w:bidi="ar-SA"/>
    </w:rPr>
  </w:style>
  <w:style w:type="paragraph" w:customStyle="1" w:styleId="113">
    <w:name w:val="正文缩进1"/>
    <w:basedOn w:val="1"/>
    <w:link w:val="11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4">
    <w:name w:val="普通文字1 Char1"/>
    <w:autoRedefine/>
    <w:qFormat/>
    <w:uiPriority w:val="0"/>
    <w:rPr>
      <w:rFonts w:ascii="宋体" w:hAnsi="Courier New" w:eastAsia="宋体"/>
      <w:kern w:val="2"/>
      <w:sz w:val="21"/>
      <w:lang w:val="en-US" w:eastAsia="zh-CN" w:bidi="ar-SA"/>
    </w:rPr>
  </w:style>
  <w:style w:type="character" w:customStyle="1" w:styleId="115">
    <w:name w:val="chanpin1"/>
    <w:autoRedefine/>
    <w:qFormat/>
    <w:uiPriority w:val="0"/>
    <w:rPr>
      <w:rFonts w:hint="default" w:ascii="ˎ̥" w:hAnsi="ˎ̥"/>
      <w:color w:val="000000"/>
      <w:sz w:val="20"/>
      <w:szCs w:val="20"/>
      <w:u w:val="none"/>
    </w:rPr>
  </w:style>
  <w:style w:type="character" w:customStyle="1" w:styleId="116">
    <w:name w:val="标题 3 Char Char"/>
    <w:autoRedefine/>
    <w:qFormat/>
    <w:uiPriority w:val="0"/>
    <w:rPr>
      <w:rFonts w:eastAsia="宋体"/>
      <w:b/>
      <w:bCs/>
      <w:kern w:val="2"/>
      <w:sz w:val="32"/>
      <w:szCs w:val="32"/>
      <w:lang w:val="en-US" w:eastAsia="zh-CN" w:bidi="ar-SA"/>
    </w:rPr>
  </w:style>
  <w:style w:type="character" w:customStyle="1" w:styleId="117">
    <w:name w:val="段1 Char"/>
    <w:autoRedefine/>
    <w:qFormat/>
    <w:uiPriority w:val="0"/>
    <w:rPr>
      <w:rFonts w:ascii="宋体" w:eastAsia="宋体"/>
      <w:sz w:val="24"/>
      <w:lang w:val="en-US" w:eastAsia="zh-CN" w:bidi="ar-SA"/>
    </w:rPr>
  </w:style>
  <w:style w:type="character" w:customStyle="1" w:styleId="118">
    <w:name w:val="chanpin拷贝"/>
    <w:autoRedefine/>
    <w:qFormat/>
    <w:uiPriority w:val="0"/>
  </w:style>
  <w:style w:type="character" w:customStyle="1" w:styleId="119">
    <w:name w:val="纯文本 Char1"/>
    <w:autoRedefine/>
    <w:qFormat/>
    <w:uiPriority w:val="0"/>
    <w:rPr>
      <w:rFonts w:ascii="宋体" w:hAnsi="Courier New" w:eastAsia="宋体"/>
      <w:kern w:val="2"/>
      <w:sz w:val="21"/>
      <w:lang w:val="en-US" w:eastAsia="zh-CN" w:bidi="ar-SA"/>
    </w:rPr>
  </w:style>
  <w:style w:type="character" w:customStyle="1" w:styleId="120">
    <w:name w:val="apple-style-span"/>
    <w:autoRedefine/>
    <w:qFormat/>
    <w:uiPriority w:val="0"/>
    <w:rPr>
      <w:rFonts w:cs="Times New Roman"/>
    </w:rPr>
  </w:style>
  <w:style w:type="paragraph" w:customStyle="1" w:styleId="121">
    <w:name w:val="二级条标题"/>
    <w:basedOn w:val="122"/>
    <w:next w:val="1"/>
    <w:link w:val="125"/>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122">
    <w:name w:val="一级条标题"/>
    <w:basedOn w:val="123"/>
    <w:next w:val="1"/>
    <w:link w:val="124"/>
    <w:autoRedefine/>
    <w:qFormat/>
    <w:uiPriority w:val="0"/>
    <w:pPr>
      <w:numPr>
        <w:ilvl w:val="1"/>
      </w:numPr>
      <w:tabs>
        <w:tab w:val="left" w:pos="360"/>
        <w:tab w:val="left" w:pos="840"/>
      </w:tabs>
      <w:ind w:left="0" w:hanging="840"/>
      <w:outlineLvl w:val="1"/>
    </w:pPr>
  </w:style>
  <w:style w:type="paragraph" w:customStyle="1" w:styleId="123">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4">
    <w:name w:val="一级条标题 Char"/>
    <w:link w:val="122"/>
    <w:autoRedefine/>
    <w:qFormat/>
    <w:uiPriority w:val="0"/>
    <w:rPr>
      <w:rFonts w:ascii="黑体" w:eastAsia="黑体"/>
      <w:b/>
      <w:sz w:val="28"/>
    </w:rPr>
  </w:style>
  <w:style w:type="character" w:customStyle="1" w:styleId="125">
    <w:name w:val="二级条标题 Char"/>
    <w:link w:val="121"/>
    <w:autoRedefine/>
    <w:qFormat/>
    <w:uiPriority w:val="99"/>
    <w:rPr>
      <w:rFonts w:ascii="宋体"/>
      <w:sz w:val="28"/>
    </w:rPr>
  </w:style>
  <w:style w:type="paragraph" w:customStyle="1" w:styleId="12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7">
    <w:name w:val="字元 字元"/>
    <w:basedOn w:val="1"/>
    <w:autoRedefine/>
    <w:qFormat/>
    <w:uiPriority w:val="0"/>
    <w:rPr>
      <w:rFonts w:ascii="Tahoma" w:hAnsi="Tahoma"/>
      <w:sz w:val="24"/>
      <w:szCs w:val="20"/>
    </w:rPr>
  </w:style>
  <w:style w:type="paragraph" w:customStyle="1" w:styleId="128">
    <w:name w:val="Char3 Char Char Char"/>
    <w:basedOn w:val="1"/>
    <w:autoRedefine/>
    <w:qFormat/>
    <w:uiPriority w:val="0"/>
    <w:rPr>
      <w:rFonts w:ascii="Tahoma" w:hAnsi="Tahoma"/>
      <w:sz w:val="24"/>
      <w:szCs w:val="20"/>
    </w:rPr>
  </w:style>
  <w:style w:type="paragraph" w:customStyle="1" w:styleId="12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0">
    <w:name w:val="项目编号2"/>
    <w:basedOn w:val="131"/>
    <w:autoRedefine/>
    <w:qFormat/>
    <w:uiPriority w:val="0"/>
    <w:pPr>
      <w:numPr>
        <w:numId w:val="3"/>
      </w:numPr>
    </w:pPr>
  </w:style>
  <w:style w:type="paragraph" w:customStyle="1" w:styleId="131">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32">
    <w:name w:val="图中文字"/>
    <w:basedOn w:val="1"/>
    <w:autoRedefine/>
    <w:qFormat/>
    <w:uiPriority w:val="0"/>
    <w:pPr>
      <w:adjustRightInd w:val="0"/>
      <w:snapToGrid w:val="0"/>
      <w:spacing w:line="0" w:lineRule="atLeast"/>
      <w:jc w:val="center"/>
    </w:pPr>
    <w:rPr>
      <w:sz w:val="24"/>
      <w:szCs w:val="20"/>
    </w:rPr>
  </w:style>
  <w:style w:type="paragraph" w:customStyle="1" w:styleId="13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5">
    <w:name w:val="Char2"/>
    <w:basedOn w:val="1"/>
    <w:autoRedefine/>
    <w:qFormat/>
    <w:uiPriority w:val="0"/>
    <w:rPr>
      <w:rFonts w:ascii="Tahoma" w:hAnsi="Tahoma"/>
      <w:sz w:val="24"/>
      <w:szCs w:val="20"/>
    </w:rPr>
  </w:style>
  <w:style w:type="paragraph" w:customStyle="1" w:styleId="13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4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45">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9">
    <w:name w:val="font8"/>
    <w:basedOn w:val="1"/>
    <w:autoRedefine/>
    <w:qFormat/>
    <w:uiPriority w:val="0"/>
    <w:pPr>
      <w:widowControl/>
      <w:spacing w:before="100" w:beforeAutospacing="1" w:after="100" w:afterAutospacing="1"/>
      <w:jc w:val="left"/>
    </w:pPr>
    <w:rPr>
      <w:kern w:val="0"/>
      <w:sz w:val="36"/>
      <w:szCs w:val="36"/>
    </w:rPr>
  </w:style>
  <w:style w:type="paragraph" w:customStyle="1" w:styleId="150">
    <w:name w:val="Char"/>
    <w:basedOn w:val="1"/>
    <w:autoRedefine/>
    <w:qFormat/>
    <w:uiPriority w:val="0"/>
    <w:pPr>
      <w:tabs>
        <w:tab w:val="left" w:pos="360"/>
      </w:tabs>
    </w:pPr>
    <w:rPr>
      <w:sz w:val="24"/>
    </w:rPr>
  </w:style>
  <w:style w:type="paragraph" w:customStyle="1" w:styleId="15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 Char1"/>
    <w:basedOn w:val="19"/>
    <w:autoRedefine/>
    <w:qFormat/>
    <w:uiPriority w:val="0"/>
    <w:rPr>
      <w:rFonts w:ascii="Tahoma" w:hAnsi="Tahoma"/>
      <w:sz w:val="24"/>
    </w:rPr>
  </w:style>
  <w:style w:type="paragraph" w:customStyle="1" w:styleId="15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9">
    <w:name w:val="Char1 Char Char Char1"/>
    <w:basedOn w:val="1"/>
    <w:autoRedefine/>
    <w:qFormat/>
    <w:uiPriority w:val="0"/>
    <w:rPr>
      <w:rFonts w:ascii="Tahoma" w:hAnsi="Tahoma" w:cs="仿宋_GB2312"/>
      <w:sz w:val="24"/>
      <w:szCs w:val="28"/>
    </w:rPr>
  </w:style>
  <w:style w:type="paragraph" w:customStyle="1" w:styleId="160">
    <w:name w:val="四级条标题"/>
    <w:basedOn w:val="161"/>
    <w:next w:val="1"/>
    <w:autoRedefine/>
    <w:qFormat/>
    <w:uiPriority w:val="0"/>
    <w:pPr>
      <w:numPr>
        <w:ilvl w:val="4"/>
      </w:numPr>
      <w:tabs>
        <w:tab w:val="left" w:pos="360"/>
        <w:tab w:val="left" w:pos="840"/>
      </w:tabs>
      <w:ind w:left="0" w:hanging="840"/>
      <w:outlineLvl w:val="4"/>
    </w:pPr>
  </w:style>
  <w:style w:type="paragraph" w:customStyle="1" w:styleId="161">
    <w:name w:val="三级条标题"/>
    <w:basedOn w:val="121"/>
    <w:next w:val="1"/>
    <w:autoRedefine/>
    <w:qFormat/>
    <w:uiPriority w:val="99"/>
    <w:pPr>
      <w:numPr>
        <w:ilvl w:val="3"/>
        <w:numId w:val="2"/>
      </w:numPr>
      <w:ind w:left="0" w:hanging="840"/>
      <w:outlineLvl w:val="3"/>
    </w:pPr>
  </w:style>
  <w:style w:type="paragraph" w:customStyle="1" w:styleId="16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样式 标题 2 + 宋体 五号 行距: 单倍行距"/>
    <w:basedOn w:val="6"/>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64">
    <w:name w:val="List Paragraph1"/>
    <w:basedOn w:val="1"/>
    <w:autoRedefine/>
    <w:qFormat/>
    <w:uiPriority w:val="0"/>
    <w:pPr>
      <w:ind w:firstLine="420" w:firstLineChars="200"/>
    </w:pPr>
    <w:rPr>
      <w:rFonts w:ascii="Calibri" w:hAnsi="Calibri"/>
      <w:szCs w:val="22"/>
    </w:rPr>
  </w:style>
  <w:style w:type="paragraph" w:customStyle="1" w:styleId="165">
    <w:name w:val="项目符号1"/>
    <w:basedOn w:val="166"/>
    <w:autoRedefine/>
    <w:qFormat/>
    <w:uiPriority w:val="0"/>
    <w:pPr>
      <w:ind w:left="-25" w:firstLine="0"/>
    </w:pPr>
  </w:style>
  <w:style w:type="paragraph" w:customStyle="1" w:styleId="166">
    <w:name w:val="正文文本样式"/>
    <w:basedOn w:val="1"/>
    <w:autoRedefine/>
    <w:qFormat/>
    <w:uiPriority w:val="0"/>
    <w:pPr>
      <w:spacing w:line="360" w:lineRule="auto"/>
      <w:ind w:firstLine="482"/>
    </w:pPr>
    <w:rPr>
      <w:rFonts w:cs="宋体"/>
      <w:sz w:val="24"/>
      <w:szCs w:val="20"/>
    </w:rPr>
  </w:style>
  <w:style w:type="paragraph" w:customStyle="1" w:styleId="1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五级条标题"/>
    <w:basedOn w:val="160"/>
    <w:next w:val="1"/>
    <w:autoRedefine/>
    <w:qFormat/>
    <w:uiPriority w:val="0"/>
    <w:pPr>
      <w:numPr>
        <w:ilvl w:val="5"/>
      </w:numPr>
      <w:ind w:left="0" w:hanging="840"/>
      <w:outlineLvl w:val="5"/>
    </w:pPr>
  </w:style>
  <w:style w:type="paragraph" w:customStyle="1" w:styleId="17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1">
    <w:name w:val="文档正文"/>
    <w:basedOn w:val="1"/>
    <w:autoRedefine/>
    <w:qFormat/>
    <w:uiPriority w:val="0"/>
    <w:pPr>
      <w:snapToGrid w:val="0"/>
      <w:spacing w:before="120" w:after="120" w:line="180" w:lineRule="auto"/>
    </w:pPr>
    <w:rPr>
      <w:rFonts w:ascii="Arial" w:hAnsi="Arial"/>
      <w:szCs w:val="20"/>
    </w:rPr>
  </w:style>
  <w:style w:type="paragraph" w:customStyle="1" w:styleId="17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4">
    <w:name w:val="Char Char Char1 Char"/>
    <w:basedOn w:val="1"/>
    <w:autoRedefine/>
    <w:qFormat/>
    <w:uiPriority w:val="0"/>
    <w:rPr>
      <w:rFonts w:ascii="Tahoma" w:hAnsi="Tahoma"/>
      <w:sz w:val="24"/>
      <w:szCs w:val="20"/>
    </w:rPr>
  </w:style>
  <w:style w:type="paragraph" w:customStyle="1" w:styleId="17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6">
    <w:name w:val="1名"/>
    <w:basedOn w:val="1"/>
    <w:autoRedefine/>
    <w:qFormat/>
    <w:uiPriority w:val="0"/>
    <w:pPr>
      <w:numPr>
        <w:ilvl w:val="0"/>
        <w:numId w:val="6"/>
      </w:numPr>
      <w:spacing w:before="120"/>
    </w:pPr>
    <w:rPr>
      <w:rFonts w:ascii="宋体"/>
      <w:sz w:val="28"/>
      <w:szCs w:val="20"/>
    </w:rPr>
  </w:style>
  <w:style w:type="paragraph" w:customStyle="1" w:styleId="17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8">
    <w:name w:val="Char Char Char1 Char1"/>
    <w:basedOn w:val="1"/>
    <w:autoRedefine/>
    <w:qFormat/>
    <w:uiPriority w:val="0"/>
    <w:rPr>
      <w:rFonts w:ascii="Tahoma" w:hAnsi="Tahoma"/>
      <w:sz w:val="24"/>
      <w:szCs w:val="20"/>
    </w:rPr>
  </w:style>
  <w:style w:type="paragraph" w:customStyle="1" w:styleId="179">
    <w:name w:val="Char Char Char Char Char Char Char Char Char Char"/>
    <w:basedOn w:val="1"/>
    <w:autoRedefine/>
    <w:qFormat/>
    <w:uiPriority w:val="0"/>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Char1"/>
    <w:basedOn w:val="1"/>
    <w:autoRedefine/>
    <w:qFormat/>
    <w:uiPriority w:val="0"/>
    <w:pPr>
      <w:tabs>
        <w:tab w:val="left" w:pos="360"/>
      </w:tabs>
    </w:pPr>
    <w:rPr>
      <w:sz w:val="24"/>
    </w:rPr>
  </w:style>
  <w:style w:type="paragraph" w:customStyle="1" w:styleId="182">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默认段落字体 Para Char Char Char Char"/>
    <w:basedOn w:val="1"/>
    <w:autoRedefine/>
    <w:qFormat/>
    <w:uiPriority w:val="0"/>
    <w:rPr>
      <w:rFonts w:ascii="Arial" w:hAnsi="Arial" w:cs="Arial"/>
      <w:szCs w:val="21"/>
    </w:rPr>
  </w:style>
  <w:style w:type="paragraph" w:customStyle="1" w:styleId="18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9">
    <w:name w:val="Char Char Char"/>
    <w:basedOn w:val="1"/>
    <w:autoRedefine/>
    <w:qFormat/>
    <w:uiPriority w:val="0"/>
    <w:rPr>
      <w:rFonts w:ascii="Tahoma" w:hAnsi="Tahoma"/>
      <w:sz w:val="24"/>
      <w:szCs w:val="20"/>
    </w:rPr>
  </w:style>
  <w:style w:type="paragraph" w:customStyle="1" w:styleId="19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1">
    <w:name w:val="缺省文本"/>
    <w:basedOn w:val="1"/>
    <w:autoRedefine/>
    <w:qFormat/>
    <w:uiPriority w:val="0"/>
    <w:pPr>
      <w:autoSpaceDE w:val="0"/>
      <w:autoSpaceDN w:val="0"/>
      <w:adjustRightInd w:val="0"/>
      <w:jc w:val="left"/>
    </w:pPr>
    <w:rPr>
      <w:kern w:val="0"/>
      <w:sz w:val="24"/>
    </w:rPr>
  </w:style>
  <w:style w:type="paragraph" w:customStyle="1" w:styleId="192">
    <w:name w:val="Char Char Char1"/>
    <w:basedOn w:val="1"/>
    <w:autoRedefine/>
    <w:qFormat/>
    <w:uiPriority w:val="0"/>
    <w:rPr>
      <w:rFonts w:ascii="Tahoma" w:hAnsi="Tahoma"/>
      <w:sz w:val="24"/>
      <w:szCs w:val="20"/>
    </w:rPr>
  </w:style>
  <w:style w:type="paragraph" w:customStyle="1" w:styleId="19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5">
    <w:name w:val="样式2"/>
    <w:basedOn w:val="48"/>
    <w:autoRedefine/>
    <w:qFormat/>
    <w:uiPriority w:val="0"/>
    <w:pPr>
      <w:spacing w:line="360" w:lineRule="auto"/>
      <w:jc w:val="center"/>
    </w:pPr>
    <w:rPr>
      <w:sz w:val="24"/>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0">
    <w:name w:val="1 Char Char Char Char"/>
    <w:basedOn w:val="1"/>
    <w:autoRedefine/>
    <w:qFormat/>
    <w:uiPriority w:val="0"/>
    <w:rPr>
      <w:rFonts w:ascii="Tahoma" w:hAnsi="Tahoma"/>
      <w:sz w:val="24"/>
      <w:szCs w:val="20"/>
    </w:rPr>
  </w:style>
  <w:style w:type="paragraph" w:customStyle="1" w:styleId="201">
    <w:name w:val="列出段落1"/>
    <w:basedOn w:val="1"/>
    <w:autoRedefine/>
    <w:qFormat/>
    <w:uiPriority w:val="34"/>
    <w:pPr>
      <w:ind w:firstLine="420" w:firstLineChars="200"/>
    </w:pPr>
    <w:rPr>
      <w:rFonts w:ascii="Calibri" w:hAnsi="Calibri"/>
      <w:szCs w:val="22"/>
    </w:rPr>
  </w:style>
  <w:style w:type="paragraph" w:customStyle="1" w:styleId="20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字元 字元1"/>
    <w:basedOn w:val="1"/>
    <w:autoRedefine/>
    <w:qFormat/>
    <w:uiPriority w:val="0"/>
    <w:rPr>
      <w:rFonts w:ascii="Tahoma" w:hAnsi="Tahoma"/>
      <w:sz w:val="24"/>
      <w:szCs w:val="20"/>
    </w:rPr>
  </w:style>
  <w:style w:type="paragraph" w:customStyle="1" w:styleId="20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5">
    <w:name w:val="项目编号3"/>
    <w:basedOn w:val="166"/>
    <w:autoRedefine/>
    <w:qFormat/>
    <w:uiPriority w:val="0"/>
    <w:pPr>
      <w:numPr>
        <w:ilvl w:val="0"/>
        <w:numId w:val="7"/>
      </w:numPr>
    </w:pPr>
  </w:style>
  <w:style w:type="paragraph" w:customStyle="1" w:styleId="206">
    <w:name w:val="Char21"/>
    <w:basedOn w:val="1"/>
    <w:autoRedefine/>
    <w:qFormat/>
    <w:uiPriority w:val="0"/>
    <w:rPr>
      <w:rFonts w:ascii="Tahoma" w:hAnsi="Tahoma"/>
      <w:sz w:val="24"/>
      <w:szCs w:val="20"/>
    </w:rPr>
  </w:style>
  <w:style w:type="paragraph" w:customStyle="1" w:styleId="207">
    <w:name w:val="表格文字"/>
    <w:basedOn w:val="3"/>
    <w:autoRedefine/>
    <w:qFormat/>
    <w:uiPriority w:val="0"/>
    <w:pPr>
      <w:spacing w:before="20" w:after="20" w:line="240" w:lineRule="auto"/>
      <w:ind w:firstLine="0"/>
    </w:pPr>
    <w:rPr>
      <w:rFonts w:ascii="Century Gothic" w:hAnsi="Century Gothic"/>
      <w:sz w:val="20"/>
      <w:szCs w:val="20"/>
    </w:rPr>
  </w:style>
  <w:style w:type="paragraph" w:customStyle="1" w:styleId="208">
    <w:name w:val="Char Char Char Char Char Char Char Char Char Char1"/>
    <w:basedOn w:val="1"/>
    <w:autoRedefine/>
    <w:qFormat/>
    <w:uiPriority w:val="0"/>
    <w:rPr>
      <w:rFonts w:ascii="宋体" w:hAnsi="宋体" w:cs="Courier New"/>
      <w:sz w:val="32"/>
      <w:szCs w:val="32"/>
    </w:rPr>
  </w:style>
  <w:style w:type="paragraph" w:customStyle="1" w:styleId="209">
    <w:name w:val="正文文本样式 加粗"/>
    <w:basedOn w:val="166"/>
    <w:autoRedefine/>
    <w:qFormat/>
    <w:uiPriority w:val="0"/>
    <w:rPr>
      <w:b/>
    </w:rPr>
  </w:style>
  <w:style w:type="paragraph" w:customStyle="1" w:styleId="210">
    <w:name w:val="Char2 Char Char Char Char Char Char"/>
    <w:basedOn w:val="1"/>
    <w:autoRedefine/>
    <w:qFormat/>
    <w:uiPriority w:val="0"/>
    <w:pPr>
      <w:widowControl/>
      <w:spacing w:line="400" w:lineRule="exact"/>
      <w:jc w:val="center"/>
    </w:pPr>
  </w:style>
  <w:style w:type="paragraph" w:customStyle="1" w:styleId="211">
    <w:name w:val="Char Char4"/>
    <w:basedOn w:val="1"/>
    <w:autoRedefine/>
    <w:qFormat/>
    <w:uiPriority w:val="0"/>
    <w:pPr>
      <w:widowControl/>
      <w:spacing w:line="400" w:lineRule="exact"/>
      <w:jc w:val="center"/>
    </w:pPr>
  </w:style>
  <w:style w:type="paragraph" w:customStyle="1" w:styleId="212">
    <w:name w:val="Char3 Char Char Char1"/>
    <w:basedOn w:val="1"/>
    <w:autoRedefine/>
    <w:qFormat/>
    <w:uiPriority w:val="0"/>
    <w:rPr>
      <w:rFonts w:ascii="Tahoma" w:hAnsi="Tahoma"/>
      <w:sz w:val="24"/>
      <w:szCs w:val="20"/>
    </w:rPr>
  </w:style>
  <w:style w:type="paragraph" w:styleId="21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15">
    <w:name w:val="中等深浅网格 1 - 强调文字颜色 2 Char"/>
    <w:link w:val="216"/>
    <w:autoRedefine/>
    <w:qFormat/>
    <w:uiPriority w:val="0"/>
    <w:rPr>
      <w:kern w:val="2"/>
      <w:sz w:val="21"/>
      <w:szCs w:val="24"/>
      <w:lang w:val="zh-CN" w:eastAsia="zh-CN"/>
    </w:rPr>
  </w:style>
  <w:style w:type="paragraph" w:customStyle="1" w:styleId="216">
    <w:name w:val="1"/>
    <w:link w:val="215"/>
    <w:autoRedefine/>
    <w:qFormat/>
    <w:uiPriority w:val="0"/>
    <w:rPr>
      <w:rFonts w:ascii="Times New Roman" w:hAnsi="Times New Roman" w:eastAsia="宋体" w:cs="Times New Roman"/>
      <w:kern w:val="2"/>
      <w:sz w:val="21"/>
      <w:szCs w:val="24"/>
      <w:lang w:val="zh-CN" w:eastAsia="zh-CN" w:bidi="ar-SA"/>
    </w:rPr>
  </w:style>
  <w:style w:type="paragraph" w:customStyle="1" w:styleId="217">
    <w:name w:val="图文"/>
    <w:basedOn w:val="1"/>
    <w:autoRedefine/>
    <w:qFormat/>
    <w:uiPriority w:val="0"/>
    <w:pPr>
      <w:adjustRightInd w:val="0"/>
      <w:snapToGrid w:val="0"/>
      <w:spacing w:after="50" w:line="360" w:lineRule="auto"/>
    </w:pPr>
    <w:rPr>
      <w:sz w:val="24"/>
    </w:rPr>
  </w:style>
  <w:style w:type="paragraph" w:customStyle="1" w:styleId="21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9">
    <w:name w:val="正文表格"/>
    <w:basedOn w:val="1"/>
    <w:link w:val="220"/>
    <w:autoRedefine/>
    <w:qFormat/>
    <w:uiPriority w:val="0"/>
    <w:pPr>
      <w:adjustRightInd w:val="0"/>
      <w:snapToGrid w:val="0"/>
      <w:jc w:val="left"/>
    </w:pPr>
    <w:rPr>
      <w:rFonts w:ascii="宋体" w:hAnsi="宋体"/>
      <w:color w:val="000000"/>
      <w:szCs w:val="21"/>
    </w:rPr>
  </w:style>
  <w:style w:type="character" w:customStyle="1" w:styleId="220">
    <w:name w:val="正文表格 Char"/>
    <w:link w:val="219"/>
    <w:autoRedefine/>
    <w:qFormat/>
    <w:uiPriority w:val="0"/>
    <w:rPr>
      <w:rFonts w:ascii="宋体" w:hAnsi="宋体"/>
      <w:color w:val="000000"/>
      <w:kern w:val="2"/>
      <w:sz w:val="21"/>
      <w:szCs w:val="21"/>
    </w:rPr>
  </w:style>
  <w:style w:type="paragraph" w:customStyle="1" w:styleId="221">
    <w:name w:val="正文重点"/>
    <w:basedOn w:val="1"/>
    <w:link w:val="22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22">
    <w:name w:val="正文重点 Char"/>
    <w:link w:val="221"/>
    <w:autoRedefine/>
    <w:qFormat/>
    <w:uiPriority w:val="0"/>
    <w:rPr>
      <w:b/>
      <w:sz w:val="24"/>
    </w:rPr>
  </w:style>
  <w:style w:type="paragraph" w:customStyle="1" w:styleId="223">
    <w:name w:val="标题1-附件"/>
    <w:basedOn w:val="5"/>
    <w:autoRedefine/>
    <w:qFormat/>
    <w:uiPriority w:val="0"/>
    <w:pPr>
      <w:jc w:val="left"/>
    </w:pPr>
    <w:rPr>
      <w:sz w:val="24"/>
      <w:szCs w:val="24"/>
    </w:rPr>
  </w:style>
  <w:style w:type="paragraph" w:customStyle="1" w:styleId="224">
    <w:name w:val="正文小标题"/>
    <w:basedOn w:val="1"/>
    <w:next w:val="17"/>
    <w:link w:val="22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5">
    <w:name w:val="正文小标题 Char"/>
    <w:link w:val="224"/>
    <w:autoRedefine/>
    <w:qFormat/>
    <w:uiPriority w:val="0"/>
    <w:rPr>
      <w:rFonts w:ascii="宋体" w:hAnsi="宋体"/>
      <w:b/>
      <w:i/>
      <w:color w:val="FF0000"/>
      <w:kern w:val="2"/>
      <w:sz w:val="24"/>
    </w:rPr>
  </w:style>
  <w:style w:type="paragraph" w:customStyle="1" w:styleId="226">
    <w:name w:val="正文大标题"/>
    <w:basedOn w:val="224"/>
    <w:next w:val="17"/>
    <w:link w:val="227"/>
    <w:autoRedefine/>
    <w:qFormat/>
    <w:uiPriority w:val="0"/>
    <w:pPr>
      <w:jc w:val="center"/>
    </w:pPr>
    <w:rPr>
      <w:i w:val="0"/>
      <w:color w:val="000000"/>
      <w:sz w:val="28"/>
      <w:szCs w:val="21"/>
    </w:rPr>
  </w:style>
  <w:style w:type="character" w:customStyle="1" w:styleId="227">
    <w:name w:val="正文大标题 Char"/>
    <w:link w:val="226"/>
    <w:autoRedefine/>
    <w:qFormat/>
    <w:uiPriority w:val="0"/>
    <w:rPr>
      <w:rFonts w:ascii="宋体" w:hAnsi="宋体"/>
      <w:b/>
      <w:color w:val="000000"/>
      <w:kern w:val="2"/>
      <w:sz w:val="28"/>
      <w:szCs w:val="21"/>
    </w:rPr>
  </w:style>
  <w:style w:type="paragraph" w:customStyle="1" w:styleId="228">
    <w:name w:val="注释"/>
    <w:basedOn w:val="1"/>
    <w:link w:val="229"/>
    <w:autoRedefine/>
    <w:qFormat/>
    <w:uiPriority w:val="0"/>
    <w:pPr>
      <w:adjustRightInd w:val="0"/>
      <w:snapToGrid w:val="0"/>
      <w:ind w:left="420" w:hanging="420" w:hangingChars="200"/>
      <w:jc w:val="left"/>
    </w:pPr>
    <w:rPr>
      <w:rFonts w:ascii="宋体" w:hAnsi="宋体"/>
      <w:szCs w:val="21"/>
    </w:rPr>
  </w:style>
  <w:style w:type="character" w:customStyle="1" w:styleId="229">
    <w:name w:val="注释 Char"/>
    <w:link w:val="228"/>
    <w:autoRedefine/>
    <w:qFormat/>
    <w:uiPriority w:val="0"/>
    <w:rPr>
      <w:rFonts w:ascii="宋体" w:hAnsi="宋体"/>
      <w:kern w:val="2"/>
      <w:sz w:val="21"/>
      <w:szCs w:val="21"/>
    </w:rPr>
  </w:style>
  <w:style w:type="paragraph" w:customStyle="1" w:styleId="230">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31">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32">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33">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34">
    <w:name w:val="表格1"/>
    <w:basedOn w:val="1"/>
    <w:autoRedefine/>
    <w:qFormat/>
    <w:uiPriority w:val="0"/>
    <w:pPr>
      <w:ind w:firstLine="480" w:firstLineChars="200"/>
      <w:jc w:val="center"/>
    </w:pPr>
    <w:rPr>
      <w:sz w:val="24"/>
      <w:szCs w:val="20"/>
    </w:rPr>
  </w:style>
  <w:style w:type="character" w:customStyle="1" w:styleId="235">
    <w:name w:val="纯文本 字符1"/>
    <w:autoRedefine/>
    <w:qFormat/>
    <w:uiPriority w:val="0"/>
    <w:rPr>
      <w:rFonts w:ascii="宋体" w:hAnsi="Courier New"/>
    </w:rPr>
  </w:style>
  <w:style w:type="character" w:customStyle="1" w:styleId="236">
    <w:name w:val="bjh-p"/>
    <w:autoRedefine/>
    <w:qFormat/>
    <w:uiPriority w:val="0"/>
  </w:style>
  <w:style w:type="paragraph" w:customStyle="1" w:styleId="23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8">
    <w:name w:val="正文格式 Char"/>
    <w:link w:val="67"/>
    <w:autoRedefine/>
    <w:qFormat/>
    <w:locked/>
    <w:uiPriority w:val="0"/>
    <w:rPr>
      <w:rFonts w:ascii="宋体" w:hAnsi="宋体"/>
      <w:sz w:val="24"/>
      <w:szCs w:val="24"/>
      <w:lang w:val="en-GB"/>
    </w:rPr>
  </w:style>
  <w:style w:type="character" w:customStyle="1" w:styleId="239">
    <w:name w:val="标题 3 Char"/>
    <w:autoRedefine/>
    <w:qFormat/>
    <w:uiPriority w:val="9"/>
    <w:rPr>
      <w:rFonts w:ascii="宋体" w:eastAsia="宋体"/>
      <w:b/>
      <w:sz w:val="24"/>
      <w:u w:val="single"/>
      <w:lang w:val="en-US" w:eastAsia="zh-CN" w:bidi="ar-SA"/>
    </w:rPr>
  </w:style>
  <w:style w:type="character" w:customStyle="1" w:styleId="240">
    <w:name w:val="正文缩进 Char"/>
    <w:autoRedefine/>
    <w:qFormat/>
    <w:uiPriority w:val="0"/>
    <w:rPr>
      <w:rFonts w:ascii="宋体" w:eastAsia="宋体"/>
      <w:kern w:val="2"/>
      <w:sz w:val="24"/>
      <w:szCs w:val="24"/>
      <w:lang w:val="en-US" w:eastAsia="zh-CN" w:bidi="ar-SA"/>
    </w:rPr>
  </w:style>
  <w:style w:type="character" w:customStyle="1" w:styleId="241">
    <w:name w:val="Char Char111"/>
    <w:autoRedefine/>
    <w:qFormat/>
    <w:uiPriority w:val="0"/>
    <w:rPr>
      <w:rFonts w:ascii="宋体" w:eastAsia="宋体"/>
      <w:b/>
      <w:sz w:val="24"/>
      <w:u w:val="single"/>
      <w:lang w:val="en-US" w:eastAsia="zh-CN" w:bidi="ar-SA"/>
    </w:rPr>
  </w:style>
  <w:style w:type="character" w:customStyle="1" w:styleId="242">
    <w:name w:val="正文文本缩进 Char"/>
    <w:autoRedefine/>
    <w:qFormat/>
    <w:uiPriority w:val="99"/>
    <w:rPr>
      <w:rFonts w:eastAsia="宋体"/>
      <w:kern w:val="2"/>
      <w:sz w:val="24"/>
      <w:szCs w:val="24"/>
      <w:lang w:val="en-US" w:eastAsia="zh-CN" w:bidi="ar-SA"/>
    </w:rPr>
  </w:style>
  <w:style w:type="character" w:customStyle="1" w:styleId="243">
    <w:name w:val="列出段落 Char"/>
    <w:link w:val="244"/>
    <w:autoRedefine/>
    <w:qFormat/>
    <w:uiPriority w:val="34"/>
    <w:rPr>
      <w:rFonts w:ascii="Calibri" w:hAnsi="Calibri" w:eastAsia="宋体"/>
      <w:kern w:val="2"/>
      <w:sz w:val="21"/>
      <w:szCs w:val="22"/>
      <w:lang w:val="en-US" w:eastAsia="zh-CN" w:bidi="ar-SA"/>
    </w:rPr>
  </w:style>
  <w:style w:type="paragraph" w:customStyle="1" w:styleId="244">
    <w:name w:val="列出段落3"/>
    <w:basedOn w:val="1"/>
    <w:link w:val="243"/>
    <w:autoRedefine/>
    <w:qFormat/>
    <w:uiPriority w:val="34"/>
    <w:pPr>
      <w:widowControl/>
      <w:ind w:firstLine="420" w:firstLineChars="200"/>
      <w:jc w:val="left"/>
    </w:pPr>
    <w:rPr>
      <w:rFonts w:ascii="Calibri" w:hAnsi="Calibri"/>
      <w:szCs w:val="22"/>
    </w:rPr>
  </w:style>
  <w:style w:type="character" w:customStyle="1" w:styleId="245">
    <w:name w:val="页眉 Char"/>
    <w:link w:val="246"/>
    <w:autoRedefine/>
    <w:qFormat/>
    <w:uiPriority w:val="99"/>
    <w:rPr>
      <w:rFonts w:eastAsia="宋体"/>
      <w:kern w:val="2"/>
      <w:sz w:val="18"/>
      <w:szCs w:val="18"/>
      <w:lang w:val="en-US" w:eastAsia="zh-CN" w:bidi="ar-SA"/>
    </w:rPr>
  </w:style>
  <w:style w:type="paragraph" w:customStyle="1" w:styleId="246">
    <w:name w:val="页眉1"/>
    <w:basedOn w:val="1"/>
    <w:link w:val="245"/>
    <w:autoRedefine/>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7">
    <w:name w:val="标题 2 Char"/>
    <w:autoRedefine/>
    <w:qFormat/>
    <w:uiPriority w:val="9"/>
    <w:rPr>
      <w:rFonts w:ascii="Arial" w:hAnsi="Arial" w:eastAsia="黑体"/>
      <w:b/>
      <w:sz w:val="30"/>
      <w:lang w:val="en-US" w:eastAsia="zh-CN" w:bidi="ar-SA"/>
    </w:rPr>
  </w:style>
  <w:style w:type="paragraph" w:customStyle="1" w:styleId="248">
    <w:name w:val="字元 字元2"/>
    <w:basedOn w:val="1"/>
    <w:autoRedefine/>
    <w:qFormat/>
    <w:uiPriority w:val="0"/>
    <w:rPr>
      <w:rFonts w:ascii="Tahoma" w:hAnsi="Tahoma"/>
      <w:sz w:val="24"/>
      <w:szCs w:val="20"/>
    </w:rPr>
  </w:style>
  <w:style w:type="paragraph" w:customStyle="1" w:styleId="249">
    <w:name w:val="Char3 Char Char Char2"/>
    <w:basedOn w:val="1"/>
    <w:autoRedefine/>
    <w:qFormat/>
    <w:uiPriority w:val="0"/>
    <w:rPr>
      <w:rFonts w:ascii="Tahoma" w:hAnsi="Tahoma"/>
      <w:sz w:val="24"/>
      <w:szCs w:val="20"/>
    </w:rPr>
  </w:style>
  <w:style w:type="paragraph" w:customStyle="1" w:styleId="25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51">
    <w:name w:val="Char3"/>
    <w:basedOn w:val="1"/>
    <w:autoRedefine/>
    <w:qFormat/>
    <w:uiPriority w:val="0"/>
    <w:pPr>
      <w:tabs>
        <w:tab w:val="left" w:pos="360"/>
      </w:tabs>
    </w:pPr>
    <w:rPr>
      <w:sz w:val="24"/>
    </w:rPr>
  </w:style>
  <w:style w:type="paragraph" w:customStyle="1" w:styleId="25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4">
    <w:name w:val="列出段落2"/>
    <w:basedOn w:val="1"/>
    <w:autoRedefine/>
    <w:qFormat/>
    <w:uiPriority w:val="34"/>
    <w:pPr>
      <w:ind w:firstLine="420" w:firstLineChars="200"/>
    </w:pPr>
    <w:rPr>
      <w:rFonts w:ascii="Calibri" w:hAnsi="Calibri"/>
      <w:szCs w:val="22"/>
    </w:rPr>
  </w:style>
  <w:style w:type="paragraph" w:customStyle="1" w:styleId="255">
    <w:name w:val="Char Char Char1 Char2"/>
    <w:basedOn w:val="1"/>
    <w:autoRedefine/>
    <w:qFormat/>
    <w:uiPriority w:val="0"/>
    <w:rPr>
      <w:rFonts w:ascii="Tahoma" w:hAnsi="Tahoma"/>
      <w:sz w:val="24"/>
      <w:szCs w:val="20"/>
    </w:rPr>
  </w:style>
  <w:style w:type="paragraph" w:customStyle="1" w:styleId="256">
    <w:name w:val="Char Char Char2"/>
    <w:basedOn w:val="1"/>
    <w:autoRedefine/>
    <w:qFormat/>
    <w:uiPriority w:val="0"/>
    <w:rPr>
      <w:rFonts w:ascii="Tahoma" w:hAnsi="Tahoma"/>
      <w:sz w:val="24"/>
      <w:szCs w:val="20"/>
    </w:rPr>
  </w:style>
  <w:style w:type="paragraph" w:customStyle="1" w:styleId="25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60">
    <w:name w:val="Char22"/>
    <w:basedOn w:val="1"/>
    <w:autoRedefine/>
    <w:qFormat/>
    <w:uiPriority w:val="0"/>
    <w:rPr>
      <w:rFonts w:ascii="Tahoma" w:hAnsi="Tahoma"/>
      <w:sz w:val="24"/>
      <w:szCs w:val="20"/>
    </w:rPr>
  </w:style>
  <w:style w:type="paragraph" w:customStyle="1" w:styleId="261">
    <w:name w:val="Char Char Char Char Char Char Char Char Char Char2"/>
    <w:basedOn w:val="1"/>
    <w:autoRedefine/>
    <w:qFormat/>
    <w:uiPriority w:val="0"/>
    <w:rPr>
      <w:rFonts w:ascii="宋体" w:hAnsi="宋体" w:cs="Courier New"/>
      <w:sz w:val="32"/>
      <w:szCs w:val="32"/>
    </w:rPr>
  </w:style>
  <w:style w:type="paragraph" w:customStyle="1" w:styleId="262">
    <w:name w:val="Char2 Char Char Char Char Char Char1"/>
    <w:basedOn w:val="1"/>
    <w:autoRedefine/>
    <w:qFormat/>
    <w:uiPriority w:val="0"/>
    <w:pPr>
      <w:widowControl/>
      <w:spacing w:line="400" w:lineRule="exact"/>
      <w:jc w:val="center"/>
    </w:pPr>
  </w:style>
  <w:style w:type="character" w:customStyle="1" w:styleId="263">
    <w:name w:val="页脚 Char"/>
    <w:link w:val="264"/>
    <w:autoRedefine/>
    <w:qFormat/>
    <w:uiPriority w:val="99"/>
    <w:rPr>
      <w:rFonts w:ascii="宋体" w:eastAsia="宋体"/>
      <w:sz w:val="18"/>
      <w:lang w:val="en-US" w:eastAsia="zh-CN" w:bidi="ar-SA"/>
    </w:rPr>
  </w:style>
  <w:style w:type="paragraph" w:customStyle="1" w:styleId="264">
    <w:name w:val="页脚1"/>
    <w:basedOn w:val="1"/>
    <w:link w:val="263"/>
    <w:autoRedefine/>
    <w:qFormat/>
    <w:uiPriority w:val="99"/>
    <w:pPr>
      <w:widowControl/>
      <w:tabs>
        <w:tab w:val="center" w:pos="4153"/>
        <w:tab w:val="right" w:pos="8306"/>
      </w:tabs>
      <w:snapToGrid w:val="0"/>
      <w:jc w:val="left"/>
    </w:pPr>
    <w:rPr>
      <w:rFonts w:ascii="宋体"/>
      <w:kern w:val="0"/>
      <w:sz w:val="18"/>
      <w:szCs w:val="20"/>
    </w:rPr>
  </w:style>
  <w:style w:type="paragraph" w:customStyle="1" w:styleId="265">
    <w:name w:val="Char Char41"/>
    <w:basedOn w:val="1"/>
    <w:autoRedefine/>
    <w:qFormat/>
    <w:uiPriority w:val="0"/>
    <w:pPr>
      <w:widowControl/>
      <w:spacing w:line="400" w:lineRule="exact"/>
      <w:jc w:val="center"/>
    </w:pPr>
  </w:style>
  <w:style w:type="character" w:customStyle="1" w:styleId="266">
    <w:name w:val="批注文字 Char"/>
    <w:link w:val="267"/>
    <w:autoRedefine/>
    <w:qFormat/>
    <w:uiPriority w:val="0"/>
    <w:rPr>
      <w:kern w:val="2"/>
      <w:sz w:val="21"/>
      <w:szCs w:val="24"/>
    </w:rPr>
  </w:style>
  <w:style w:type="paragraph" w:customStyle="1" w:styleId="267">
    <w:name w:val="批注文字1"/>
    <w:basedOn w:val="1"/>
    <w:link w:val="266"/>
    <w:autoRedefine/>
    <w:qFormat/>
    <w:uiPriority w:val="0"/>
    <w:pPr>
      <w:widowControl/>
      <w:jc w:val="left"/>
    </w:pPr>
  </w:style>
  <w:style w:type="character" w:customStyle="1" w:styleId="268">
    <w:name w:val="标题 Char"/>
    <w:link w:val="269"/>
    <w:autoRedefine/>
    <w:qFormat/>
    <w:uiPriority w:val="0"/>
    <w:rPr>
      <w:b/>
      <w:kern w:val="2"/>
      <w:sz w:val="32"/>
    </w:rPr>
  </w:style>
  <w:style w:type="paragraph" w:customStyle="1" w:styleId="269">
    <w:name w:val="标题2"/>
    <w:basedOn w:val="1"/>
    <w:link w:val="268"/>
    <w:autoRedefine/>
    <w:qFormat/>
    <w:uiPriority w:val="0"/>
    <w:pPr>
      <w:widowControl/>
      <w:autoSpaceDE w:val="0"/>
      <w:autoSpaceDN w:val="0"/>
      <w:adjustRightInd w:val="0"/>
      <w:jc w:val="left"/>
    </w:pPr>
    <w:rPr>
      <w:b/>
      <w:sz w:val="32"/>
      <w:szCs w:val="20"/>
    </w:rPr>
  </w:style>
  <w:style w:type="paragraph" w:customStyle="1" w:styleId="270">
    <w:name w:val="图例"/>
    <w:basedOn w:val="1"/>
    <w:autoRedefine/>
    <w:qFormat/>
    <w:uiPriority w:val="0"/>
    <w:pPr>
      <w:spacing w:before="120" w:after="120" w:line="360" w:lineRule="auto"/>
      <w:jc w:val="center"/>
    </w:pPr>
    <w:rPr>
      <w:rFonts w:eastAsia="仿宋_GB2312"/>
      <w:b/>
      <w:sz w:val="24"/>
      <w:szCs w:val="20"/>
    </w:rPr>
  </w:style>
  <w:style w:type="table" w:customStyle="1" w:styleId="271">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73">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74">
    <w:name w:val="批注文字 Char2"/>
    <w:autoRedefine/>
    <w:qFormat/>
    <w:locked/>
    <w:uiPriority w:val="99"/>
    <w:rPr>
      <w:szCs w:val="24"/>
    </w:rPr>
  </w:style>
  <w:style w:type="character" w:customStyle="1" w:styleId="275">
    <w:name w:val="副标题 Char"/>
    <w:link w:val="276"/>
    <w:autoRedefine/>
    <w:qFormat/>
    <w:uiPriority w:val="0"/>
    <w:rPr>
      <w:rFonts w:ascii="Cambria" w:hAnsi="Cambria" w:cs="Times New Roman"/>
      <w:b/>
      <w:bCs/>
      <w:kern w:val="28"/>
      <w:sz w:val="32"/>
      <w:szCs w:val="32"/>
    </w:rPr>
  </w:style>
  <w:style w:type="paragraph" w:customStyle="1" w:styleId="276">
    <w:name w:val="副标题1"/>
    <w:basedOn w:val="1"/>
    <w:next w:val="1"/>
    <w:link w:val="275"/>
    <w:autoRedefine/>
    <w:qFormat/>
    <w:uiPriority w:val="0"/>
    <w:pPr>
      <w:widowControl/>
      <w:spacing w:before="240" w:after="60" w:line="312" w:lineRule="auto"/>
      <w:jc w:val="left"/>
      <w:outlineLvl w:val="1"/>
    </w:pPr>
    <w:rPr>
      <w:rFonts w:ascii="Cambria" w:hAnsi="Cambria"/>
      <w:b/>
      <w:bCs/>
      <w:kern w:val="28"/>
      <w:sz w:val="32"/>
      <w:szCs w:val="32"/>
    </w:rPr>
  </w:style>
  <w:style w:type="character" w:customStyle="1" w:styleId="277">
    <w:name w:val="标题 1 Char1"/>
    <w:autoRedefine/>
    <w:qFormat/>
    <w:locked/>
    <w:uiPriority w:val="0"/>
    <w:rPr>
      <w:rFonts w:ascii="黑体" w:hAnsi="Times New Roman" w:eastAsia="宋体" w:cs="宋体"/>
      <w:b/>
      <w:sz w:val="28"/>
      <w:lang w:val="zh-CN" w:eastAsia="zh-CN"/>
    </w:rPr>
  </w:style>
  <w:style w:type="character" w:customStyle="1" w:styleId="278">
    <w:name w:val="标题 4 Char1"/>
    <w:autoRedefine/>
    <w:qFormat/>
    <w:locked/>
    <w:uiPriority w:val="0"/>
    <w:rPr>
      <w:rFonts w:ascii="Arial" w:hAnsi="Arial" w:eastAsia="仿宋_GB2312" w:cs="Times New Roman"/>
      <w:b/>
      <w:bCs/>
      <w:sz w:val="28"/>
      <w:szCs w:val="28"/>
    </w:rPr>
  </w:style>
  <w:style w:type="character" w:customStyle="1" w:styleId="279">
    <w:name w:val="标题 5 Char1"/>
    <w:autoRedefine/>
    <w:qFormat/>
    <w:locked/>
    <w:uiPriority w:val="0"/>
    <w:rPr>
      <w:rFonts w:ascii="Calibri" w:hAnsi="Calibri" w:eastAsia="宋体" w:cs="宋体"/>
      <w:b/>
      <w:bCs/>
      <w:sz w:val="28"/>
      <w:szCs w:val="28"/>
    </w:rPr>
  </w:style>
  <w:style w:type="character" w:customStyle="1" w:styleId="280">
    <w:name w:val="标题 6 Char1"/>
    <w:autoRedefine/>
    <w:qFormat/>
    <w:locked/>
    <w:uiPriority w:val="0"/>
    <w:rPr>
      <w:rFonts w:ascii="Arial" w:hAnsi="Arial" w:eastAsia="黑体" w:cs="Times New Roman"/>
      <w:b/>
      <w:bCs/>
      <w:kern w:val="0"/>
      <w:sz w:val="24"/>
      <w:szCs w:val="24"/>
      <w:lang w:val="zh-CN" w:eastAsia="zh-CN"/>
    </w:rPr>
  </w:style>
  <w:style w:type="character" w:customStyle="1" w:styleId="281">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282">
    <w:name w:val="标题 8 Char1"/>
    <w:autoRedefine/>
    <w:qFormat/>
    <w:locked/>
    <w:uiPriority w:val="0"/>
    <w:rPr>
      <w:rFonts w:ascii="Arial" w:hAnsi="Arial" w:eastAsia="黑体" w:cs="Times New Roman"/>
      <w:kern w:val="0"/>
      <w:sz w:val="24"/>
      <w:szCs w:val="24"/>
      <w:lang w:val="zh-CN" w:eastAsia="zh-CN"/>
    </w:rPr>
  </w:style>
  <w:style w:type="character" w:customStyle="1" w:styleId="283">
    <w:name w:val="标题 9 Char1"/>
    <w:autoRedefine/>
    <w:qFormat/>
    <w:locked/>
    <w:uiPriority w:val="0"/>
    <w:rPr>
      <w:rFonts w:ascii="Arial" w:hAnsi="Arial" w:eastAsia="黑体" w:cs="Times New Roman"/>
      <w:kern w:val="0"/>
      <w:szCs w:val="21"/>
      <w:lang w:val="zh-CN" w:eastAsia="zh-CN"/>
    </w:rPr>
  </w:style>
  <w:style w:type="character" w:customStyle="1" w:styleId="284">
    <w:name w:val="批注主题 Char2"/>
    <w:autoRedefine/>
    <w:qFormat/>
    <w:locked/>
    <w:uiPriority w:val="99"/>
    <w:rPr>
      <w:rFonts w:ascii="Times New Roman" w:hAnsi="Times New Roman" w:eastAsia="Times New Roman" w:cs="Times New Roman"/>
      <w:b/>
      <w:bCs/>
      <w:szCs w:val="24"/>
    </w:rPr>
  </w:style>
  <w:style w:type="character" w:customStyle="1" w:styleId="285">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286">
    <w:name w:val="正文文本 3 Char1"/>
    <w:autoRedefine/>
    <w:qFormat/>
    <w:locked/>
    <w:uiPriority w:val="0"/>
    <w:rPr>
      <w:rFonts w:ascii="Times New Roman" w:hAnsi="Times New Roman" w:eastAsia="Times New Roman" w:cs="Times New Roman"/>
      <w:sz w:val="16"/>
      <w:szCs w:val="16"/>
    </w:rPr>
  </w:style>
  <w:style w:type="character" w:customStyle="1" w:styleId="287">
    <w:name w:val="正文文本 Char2"/>
    <w:autoRedefine/>
    <w:qFormat/>
    <w:locked/>
    <w:uiPriority w:val="0"/>
    <w:rPr>
      <w:rFonts w:ascii="Times New Roman" w:hAnsi="Times New Roman" w:eastAsia="Times New Roman" w:cs="Times New Roman"/>
      <w:sz w:val="30"/>
      <w:szCs w:val="20"/>
    </w:rPr>
  </w:style>
  <w:style w:type="character" w:customStyle="1" w:styleId="288">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289">
    <w:name w:val="批注框文本 Char2"/>
    <w:autoRedefine/>
    <w:qFormat/>
    <w:locked/>
    <w:uiPriority w:val="99"/>
    <w:rPr>
      <w:rFonts w:ascii="Times New Roman" w:hAnsi="Times New Roman" w:eastAsia="Times New Roman" w:cs="Times New Roman"/>
      <w:sz w:val="18"/>
      <w:szCs w:val="18"/>
    </w:rPr>
  </w:style>
  <w:style w:type="character" w:customStyle="1" w:styleId="290">
    <w:name w:val="HTML 预设格式 Char2"/>
    <w:autoRedefine/>
    <w:qFormat/>
    <w:locked/>
    <w:uiPriority w:val="0"/>
    <w:rPr>
      <w:rFonts w:ascii="宋体" w:hAnsi="宋体" w:eastAsia="仿宋_GB2312" w:cs="Times New Roman"/>
      <w:kern w:val="0"/>
      <w:sz w:val="24"/>
      <w:szCs w:val="24"/>
    </w:rPr>
  </w:style>
  <w:style w:type="character" w:customStyle="1" w:styleId="291">
    <w:name w:val="标题 Char2"/>
    <w:autoRedefine/>
    <w:qFormat/>
    <w:locked/>
    <w:uiPriority w:val="10"/>
    <w:rPr>
      <w:rFonts w:ascii="Cambria" w:hAnsi="Cambria" w:eastAsia="Times New Roman"/>
      <w:b/>
      <w:bCs/>
      <w:kern w:val="2"/>
      <w:sz w:val="44"/>
      <w:szCs w:val="32"/>
    </w:rPr>
  </w:style>
  <w:style w:type="paragraph" w:customStyle="1" w:styleId="292">
    <w:name w:val="正文文本 31"/>
    <w:basedOn w:val="1"/>
    <w:autoRedefine/>
    <w:qFormat/>
    <w:uiPriority w:val="0"/>
    <w:pPr>
      <w:widowControl/>
      <w:spacing w:after="120"/>
      <w:jc w:val="left"/>
    </w:pPr>
    <w:rPr>
      <w:kern w:val="0"/>
      <w:sz w:val="16"/>
      <w:szCs w:val="16"/>
    </w:rPr>
  </w:style>
  <w:style w:type="paragraph" w:customStyle="1" w:styleId="293">
    <w:name w:val="正文文本缩进 21"/>
    <w:basedOn w:val="1"/>
    <w:autoRedefine/>
    <w:qFormat/>
    <w:uiPriority w:val="0"/>
    <w:pPr>
      <w:widowControl/>
      <w:ind w:left="1260"/>
      <w:jc w:val="left"/>
    </w:pPr>
    <w:rPr>
      <w:kern w:val="0"/>
      <w:sz w:val="20"/>
      <w:szCs w:val="20"/>
    </w:rPr>
  </w:style>
  <w:style w:type="paragraph" w:customStyle="1" w:styleId="294">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95">
    <w:name w:val="纯文本1"/>
    <w:basedOn w:val="1"/>
    <w:autoRedefine/>
    <w:qFormat/>
    <w:uiPriority w:val="0"/>
    <w:pPr>
      <w:widowControl/>
      <w:jc w:val="left"/>
    </w:pPr>
    <w:rPr>
      <w:rFonts w:ascii="宋体" w:hAnsi="Courier New" w:cs="Courier New"/>
      <w:kern w:val="0"/>
      <w:sz w:val="20"/>
      <w:szCs w:val="21"/>
    </w:rPr>
  </w:style>
  <w:style w:type="paragraph" w:customStyle="1" w:styleId="296">
    <w:name w:val="批注主题1"/>
    <w:basedOn w:val="267"/>
    <w:next w:val="267"/>
    <w:autoRedefine/>
    <w:qFormat/>
    <w:uiPriority w:val="99"/>
    <w:rPr>
      <w:b/>
      <w:bCs/>
    </w:rPr>
  </w:style>
  <w:style w:type="paragraph" w:customStyle="1" w:styleId="297">
    <w:name w:val="批注框文本1"/>
    <w:basedOn w:val="1"/>
    <w:autoRedefine/>
    <w:qFormat/>
    <w:uiPriority w:val="99"/>
    <w:pPr>
      <w:widowControl/>
      <w:jc w:val="left"/>
    </w:pPr>
    <w:rPr>
      <w:kern w:val="0"/>
      <w:sz w:val="18"/>
      <w:szCs w:val="18"/>
    </w:rPr>
  </w:style>
  <w:style w:type="character" w:customStyle="1" w:styleId="298">
    <w:name w:val="标题5 Char Char"/>
    <w:link w:val="299"/>
    <w:autoRedefine/>
    <w:qFormat/>
    <w:locked/>
    <w:uiPriority w:val="0"/>
    <w:rPr>
      <w:rFonts w:ascii="Arial" w:hAnsi="Arial" w:cs="Arial"/>
      <w:b/>
      <w:bCs/>
      <w:sz w:val="24"/>
      <w:szCs w:val="32"/>
    </w:rPr>
  </w:style>
  <w:style w:type="paragraph" w:customStyle="1" w:styleId="299">
    <w:name w:val="标题5"/>
    <w:basedOn w:val="7"/>
    <w:link w:val="298"/>
    <w:autoRedefine/>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300">
    <w:name w:val="xmfy Char Char"/>
    <w:link w:val="301"/>
    <w:autoRedefine/>
    <w:qFormat/>
    <w:locked/>
    <w:uiPriority w:val="0"/>
    <w:rPr>
      <w:rFonts w:ascii="宋体" w:hAnsi="宋体" w:cs="宋体"/>
      <w:sz w:val="28"/>
    </w:rPr>
  </w:style>
  <w:style w:type="paragraph" w:customStyle="1" w:styleId="301">
    <w:name w:val="xmfy"/>
    <w:basedOn w:val="17"/>
    <w:link w:val="300"/>
    <w:autoRedefine/>
    <w:qFormat/>
    <w:uiPriority w:val="0"/>
    <w:pPr>
      <w:autoSpaceDE/>
      <w:autoSpaceDN/>
      <w:adjustRightInd/>
      <w:spacing w:line="312" w:lineRule="auto"/>
      <w:ind w:firstLine="567"/>
      <w:jc w:val="both"/>
    </w:pPr>
    <w:rPr>
      <w:rFonts w:hAnsi="宋体" w:cs="宋体"/>
      <w:kern w:val="0"/>
      <w:sz w:val="28"/>
      <w:szCs w:val="20"/>
    </w:rPr>
  </w:style>
  <w:style w:type="character" w:customStyle="1" w:styleId="302">
    <w:name w:val="引用 Char"/>
    <w:link w:val="303"/>
    <w:autoRedefine/>
    <w:qFormat/>
    <w:locked/>
    <w:uiPriority w:val="0"/>
    <w:rPr>
      <w:i/>
      <w:iCs/>
      <w:color w:val="000000"/>
    </w:rPr>
  </w:style>
  <w:style w:type="paragraph" w:customStyle="1" w:styleId="303">
    <w:name w:val="引用1"/>
    <w:basedOn w:val="1"/>
    <w:next w:val="1"/>
    <w:link w:val="302"/>
    <w:autoRedefine/>
    <w:qFormat/>
    <w:uiPriority w:val="0"/>
    <w:pPr>
      <w:widowControl/>
      <w:jc w:val="left"/>
    </w:pPr>
    <w:rPr>
      <w:i/>
      <w:iCs/>
      <w:color w:val="000000"/>
      <w:kern w:val="0"/>
      <w:sz w:val="20"/>
      <w:szCs w:val="20"/>
    </w:rPr>
  </w:style>
  <w:style w:type="character" w:customStyle="1" w:styleId="304">
    <w:name w:val="引用 Char1"/>
    <w:autoRedefine/>
    <w:qFormat/>
    <w:uiPriority w:val="29"/>
    <w:rPr>
      <w:rFonts w:ascii="Calibri" w:hAnsi="Calibri" w:eastAsia="宋体" w:cs="Times New Roman"/>
      <w:i/>
      <w:iCs/>
      <w:color w:val="000000"/>
    </w:rPr>
  </w:style>
  <w:style w:type="character" w:customStyle="1" w:styleId="305">
    <w:name w:val="标题4 Char Char"/>
    <w:link w:val="306"/>
    <w:autoRedefine/>
    <w:qFormat/>
    <w:locked/>
    <w:uiPriority w:val="0"/>
    <w:rPr>
      <w:rFonts w:ascii="Arial" w:hAnsi="Arial" w:cs="Arial"/>
      <w:b/>
      <w:bCs/>
      <w:sz w:val="24"/>
      <w:szCs w:val="32"/>
    </w:rPr>
  </w:style>
  <w:style w:type="paragraph" w:customStyle="1" w:styleId="306">
    <w:name w:val="标题4"/>
    <w:basedOn w:val="6"/>
    <w:next w:val="25"/>
    <w:link w:val="305"/>
    <w:autoRedefine/>
    <w:qFormat/>
    <w:uiPriority w:val="0"/>
    <w:pPr>
      <w:autoSpaceDE/>
      <w:autoSpaceDN/>
      <w:adjustRightInd/>
      <w:spacing w:before="260" w:after="260" w:line="412" w:lineRule="auto"/>
      <w:jc w:val="left"/>
    </w:pPr>
    <w:rPr>
      <w:rFonts w:eastAsia="宋体" w:cs="Arial"/>
      <w:bCs/>
      <w:sz w:val="24"/>
      <w:szCs w:val="32"/>
    </w:rPr>
  </w:style>
  <w:style w:type="character" w:customStyle="1" w:styleId="307">
    <w:name w:val="!BECC正文 Char"/>
    <w:link w:val="308"/>
    <w:autoRedefine/>
    <w:qFormat/>
    <w:locked/>
    <w:uiPriority w:val="0"/>
    <w:rPr>
      <w:sz w:val="24"/>
      <w:szCs w:val="24"/>
    </w:rPr>
  </w:style>
  <w:style w:type="paragraph" w:customStyle="1" w:styleId="308">
    <w:name w:val="!BECC正文"/>
    <w:basedOn w:val="1"/>
    <w:link w:val="307"/>
    <w:autoRedefine/>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9">
    <w:name w:val="正文加粗 Char"/>
    <w:link w:val="310"/>
    <w:autoRedefine/>
    <w:qFormat/>
    <w:locked/>
    <w:uiPriority w:val="0"/>
    <w:rPr>
      <w:b/>
      <w:sz w:val="24"/>
      <w:szCs w:val="24"/>
    </w:rPr>
  </w:style>
  <w:style w:type="paragraph" w:customStyle="1" w:styleId="310">
    <w:name w:val="正文加粗"/>
    <w:basedOn w:val="1"/>
    <w:next w:val="1"/>
    <w:link w:val="309"/>
    <w:autoRedefine/>
    <w:qFormat/>
    <w:uiPriority w:val="0"/>
    <w:pPr>
      <w:widowControl/>
      <w:adjustRightInd w:val="0"/>
      <w:snapToGrid w:val="0"/>
      <w:spacing w:line="360" w:lineRule="auto"/>
      <w:ind w:right="240" w:firstLine="480" w:firstLineChars="200"/>
      <w:jc w:val="left"/>
    </w:pPr>
    <w:rPr>
      <w:b/>
      <w:kern w:val="0"/>
      <w:sz w:val="24"/>
    </w:rPr>
  </w:style>
  <w:style w:type="character" w:customStyle="1" w:styleId="311">
    <w:name w:val="明显引用 Char"/>
    <w:link w:val="312"/>
    <w:autoRedefine/>
    <w:qFormat/>
    <w:locked/>
    <w:uiPriority w:val="0"/>
    <w:rPr>
      <w:b/>
      <w:bCs/>
      <w:i/>
      <w:iCs/>
      <w:color w:val="4F81BD"/>
    </w:rPr>
  </w:style>
  <w:style w:type="paragraph" w:customStyle="1" w:styleId="312">
    <w:name w:val="明显引用1"/>
    <w:basedOn w:val="1"/>
    <w:next w:val="1"/>
    <w:link w:val="311"/>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13">
    <w:name w:val="明显引用 Char1"/>
    <w:autoRedefine/>
    <w:qFormat/>
    <w:uiPriority w:val="30"/>
    <w:rPr>
      <w:rFonts w:ascii="Calibri" w:hAnsi="Calibri" w:eastAsia="宋体" w:cs="Times New Roman"/>
      <w:b/>
      <w:bCs/>
      <w:i/>
      <w:iCs/>
      <w:color w:val="4F81BD"/>
    </w:rPr>
  </w:style>
  <w:style w:type="character" w:customStyle="1" w:styleId="314">
    <w:name w:val="my正文 Char"/>
    <w:link w:val="315"/>
    <w:autoRedefine/>
    <w:qFormat/>
    <w:locked/>
    <w:uiPriority w:val="0"/>
    <w:rPr>
      <w:rFonts w:ascii="宋体" w:hAnsi="宋体"/>
      <w:sz w:val="24"/>
    </w:rPr>
  </w:style>
  <w:style w:type="paragraph" w:customStyle="1" w:styleId="315">
    <w:name w:val="my正文"/>
    <w:link w:val="314"/>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6">
    <w:name w:val="样式 标题 2 + Times New Roman 四号 非加粗 段前: 5 磅 段后: 0 磅 行距: 固定值 20..."/>
    <w:basedOn w:val="6"/>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7">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8">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9">
    <w:name w:val="Style4"/>
    <w:basedOn w:val="1"/>
    <w:autoRedefine/>
    <w:qFormat/>
    <w:uiPriority w:val="0"/>
    <w:pPr>
      <w:widowControl/>
      <w:adjustRightInd w:val="0"/>
      <w:jc w:val="left"/>
    </w:pPr>
    <w:rPr>
      <w:rFonts w:ascii="宋体"/>
      <w:kern w:val="0"/>
      <w:sz w:val="24"/>
    </w:rPr>
  </w:style>
  <w:style w:type="paragraph" w:customStyle="1" w:styleId="320">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22">
    <w:name w:val="目录"/>
    <w:basedOn w:val="1"/>
    <w:autoRedefine/>
    <w:qFormat/>
    <w:uiPriority w:val="0"/>
    <w:pPr>
      <w:widowControl/>
      <w:jc w:val="center"/>
    </w:pPr>
    <w:rPr>
      <w:rFonts w:ascii="宋体"/>
      <w:b/>
      <w:kern w:val="0"/>
      <w:sz w:val="36"/>
      <w:szCs w:val="20"/>
    </w:rPr>
  </w:style>
  <w:style w:type="paragraph" w:customStyle="1" w:styleId="323">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324">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325">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6">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7">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8">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9">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30">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1">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2">
    <w:name w:val="样式 标题 3 + (中文) 黑体 小四 非加粗 段前: 7.8 磅 段后: 0 磅 行距: 固定值 20 磅"/>
    <w:basedOn w:val="7"/>
    <w:autoRedefine/>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33">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4">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6">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7">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8">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9">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41">
    <w:name w:val="正文文字缩进"/>
    <w:basedOn w:val="1"/>
    <w:next w:val="1"/>
    <w:autoRedefine/>
    <w:qFormat/>
    <w:uiPriority w:val="0"/>
    <w:pPr>
      <w:widowControl/>
      <w:ind w:left="420"/>
      <w:jc w:val="left"/>
    </w:pPr>
    <w:rPr>
      <w:rFonts w:ascii="仿宋_GB2312" w:eastAsia="仿宋_GB2312"/>
      <w:color w:val="000000"/>
      <w:kern w:val="0"/>
      <w:sz w:val="30"/>
    </w:rPr>
  </w:style>
  <w:style w:type="paragraph" w:customStyle="1" w:styleId="342">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44">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5">
    <w:name w:val="Style1"/>
    <w:basedOn w:val="1"/>
    <w:autoRedefine/>
    <w:qFormat/>
    <w:uiPriority w:val="0"/>
    <w:pPr>
      <w:widowControl/>
      <w:adjustRightInd w:val="0"/>
      <w:jc w:val="left"/>
    </w:pPr>
    <w:rPr>
      <w:rFonts w:ascii="宋体"/>
      <w:kern w:val="0"/>
      <w:sz w:val="24"/>
    </w:rPr>
  </w:style>
  <w:style w:type="paragraph" w:customStyle="1" w:styleId="346">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7">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9">
    <w:name w:val="图标题"/>
    <w:basedOn w:val="1"/>
    <w:autoRedefine/>
    <w:qFormat/>
    <w:uiPriority w:val="0"/>
    <w:pPr>
      <w:widowControl/>
      <w:spacing w:line="360" w:lineRule="auto"/>
      <w:jc w:val="center"/>
    </w:pPr>
    <w:rPr>
      <w:kern w:val="0"/>
      <w:sz w:val="24"/>
    </w:rPr>
  </w:style>
  <w:style w:type="paragraph" w:customStyle="1" w:styleId="350">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1">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2">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3">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4">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5">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6">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7">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8">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9">
    <w:name w:val="Char1 Char Char Char"/>
    <w:basedOn w:val="1"/>
    <w:autoRedefine/>
    <w:qFormat/>
    <w:uiPriority w:val="0"/>
    <w:pPr>
      <w:widowControl/>
      <w:jc w:val="left"/>
    </w:pPr>
    <w:rPr>
      <w:rFonts w:ascii="Tahoma" w:hAnsi="Tahoma"/>
      <w:kern w:val="0"/>
      <w:sz w:val="24"/>
      <w:szCs w:val="20"/>
    </w:rPr>
  </w:style>
  <w:style w:type="paragraph" w:customStyle="1" w:styleId="360">
    <w:name w:val="样式1"/>
    <w:basedOn w:val="1"/>
    <w:link w:val="361"/>
    <w:autoRedefine/>
    <w:qFormat/>
    <w:uiPriority w:val="0"/>
    <w:pPr>
      <w:widowControl/>
      <w:spacing w:before="120" w:after="120" w:line="300" w:lineRule="auto"/>
      <w:jc w:val="left"/>
    </w:pPr>
    <w:rPr>
      <w:rFonts w:ascii="宋体" w:hAnsi="宋体"/>
      <w:b/>
      <w:kern w:val="0"/>
      <w:sz w:val="24"/>
      <w:szCs w:val="20"/>
    </w:rPr>
  </w:style>
  <w:style w:type="character" w:customStyle="1" w:styleId="361">
    <w:name w:val="样式1 Char"/>
    <w:link w:val="360"/>
    <w:autoRedefine/>
    <w:qFormat/>
    <w:uiPriority w:val="0"/>
    <w:rPr>
      <w:rFonts w:ascii="宋体" w:hAnsi="宋体"/>
      <w:b/>
      <w:sz w:val="24"/>
    </w:rPr>
  </w:style>
  <w:style w:type="paragraph" w:customStyle="1" w:styleId="362">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Style2"/>
    <w:basedOn w:val="1"/>
    <w:autoRedefine/>
    <w:qFormat/>
    <w:uiPriority w:val="0"/>
    <w:pPr>
      <w:widowControl/>
      <w:adjustRightInd w:val="0"/>
      <w:spacing w:line="533" w:lineRule="exact"/>
      <w:jc w:val="left"/>
    </w:pPr>
    <w:rPr>
      <w:rFonts w:ascii="宋体"/>
      <w:kern w:val="0"/>
      <w:sz w:val="24"/>
    </w:rPr>
  </w:style>
  <w:style w:type="paragraph" w:customStyle="1" w:styleId="365">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6">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7">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8">
    <w:name w:val="TOC 标题1"/>
    <w:basedOn w:val="5"/>
    <w:next w:val="1"/>
    <w:autoRedefine/>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9">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70">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1">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正文文字缩进 2"/>
    <w:basedOn w:val="1"/>
    <w:next w:val="1"/>
    <w:autoRedefine/>
    <w:qFormat/>
    <w:uiPriority w:val="0"/>
    <w:pPr>
      <w:widowControl/>
      <w:spacing w:line="288" w:lineRule="auto"/>
      <w:ind w:firstLine="560"/>
      <w:jc w:val="left"/>
    </w:pPr>
    <w:rPr>
      <w:rFonts w:ascii="宋体"/>
      <w:color w:val="000000"/>
      <w:kern w:val="0"/>
      <w:sz w:val="28"/>
    </w:rPr>
  </w:style>
  <w:style w:type="paragraph" w:customStyle="1" w:styleId="373">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74">
    <w:name w:val="样式 正文 +"/>
    <w:autoRedefine/>
    <w:qFormat/>
    <w:uiPriority w:val="0"/>
    <w:rPr>
      <w:rFonts w:hint="default" w:ascii="Times New Roman" w:hAnsi="Times New Roman" w:eastAsia="Times New Roman" w:cs="Times New Roman"/>
      <w:kern w:val="0"/>
      <w:sz w:val="28"/>
    </w:rPr>
  </w:style>
  <w:style w:type="character" w:customStyle="1" w:styleId="375">
    <w:name w:val="文档结构图 Char1"/>
    <w:autoRedefine/>
    <w:qFormat/>
    <w:uiPriority w:val="0"/>
    <w:rPr>
      <w:rFonts w:hint="eastAsia" w:ascii="宋体" w:hAnsi="宋体" w:eastAsia="宋体"/>
      <w:kern w:val="2"/>
      <w:sz w:val="18"/>
      <w:szCs w:val="18"/>
    </w:rPr>
  </w:style>
  <w:style w:type="character" w:customStyle="1" w:styleId="376">
    <w:name w:val="Font Style18"/>
    <w:autoRedefine/>
    <w:qFormat/>
    <w:uiPriority w:val="0"/>
    <w:rPr>
      <w:rFonts w:hint="default" w:ascii="Candara" w:hAnsi="Candara" w:cs="Candara"/>
      <w:spacing w:val="-20"/>
      <w:sz w:val="20"/>
      <w:szCs w:val="20"/>
    </w:rPr>
  </w:style>
  <w:style w:type="character" w:customStyle="1" w:styleId="377">
    <w:name w:val="Font Style15"/>
    <w:autoRedefine/>
    <w:qFormat/>
    <w:uiPriority w:val="0"/>
    <w:rPr>
      <w:rFonts w:hint="eastAsia" w:ascii="宋体" w:hAnsi="宋体" w:eastAsia="宋体" w:cs="宋体"/>
      <w:b/>
      <w:bCs/>
      <w:sz w:val="20"/>
      <w:szCs w:val="20"/>
    </w:rPr>
  </w:style>
  <w:style w:type="character" w:customStyle="1" w:styleId="378">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9">
    <w:name w:val="不明显参考1"/>
    <w:autoRedefine/>
    <w:qFormat/>
    <w:uiPriority w:val="31"/>
    <w:rPr>
      <w:smallCaps/>
      <w:color w:val="C0504D"/>
      <w:u w:val="single"/>
    </w:rPr>
  </w:style>
  <w:style w:type="character" w:customStyle="1" w:styleId="380">
    <w:name w:val="文字加横线"/>
    <w:autoRedefine/>
    <w:qFormat/>
    <w:uiPriority w:val="0"/>
    <w:rPr>
      <w:u w:val="single"/>
    </w:rPr>
  </w:style>
  <w:style w:type="character" w:customStyle="1" w:styleId="381">
    <w:name w:val="text1"/>
    <w:autoRedefine/>
    <w:qFormat/>
    <w:uiPriority w:val="0"/>
    <w:rPr>
      <w:spacing w:val="280"/>
      <w:sz w:val="18"/>
      <w:szCs w:val="18"/>
    </w:rPr>
  </w:style>
  <w:style w:type="character" w:customStyle="1" w:styleId="382">
    <w:name w:val="不明显强调1"/>
    <w:autoRedefine/>
    <w:qFormat/>
    <w:uiPriority w:val="19"/>
    <w:rPr>
      <w:i/>
      <w:iCs/>
      <w:color w:val="808080"/>
    </w:rPr>
  </w:style>
  <w:style w:type="character" w:customStyle="1" w:styleId="383">
    <w:name w:val="书籍标题1"/>
    <w:autoRedefine/>
    <w:qFormat/>
    <w:uiPriority w:val="33"/>
    <w:rPr>
      <w:b/>
      <w:bCs/>
      <w:smallCaps/>
      <w:spacing w:val="5"/>
    </w:rPr>
  </w:style>
  <w:style w:type="character" w:customStyle="1" w:styleId="384">
    <w:name w:val="批注框文本 Char1"/>
    <w:link w:val="385"/>
    <w:autoRedefine/>
    <w:qFormat/>
    <w:uiPriority w:val="99"/>
    <w:rPr>
      <w:kern w:val="2"/>
      <w:sz w:val="18"/>
      <w:szCs w:val="18"/>
    </w:rPr>
  </w:style>
  <w:style w:type="paragraph" w:customStyle="1" w:styleId="385">
    <w:name w:val="批注框文本2"/>
    <w:basedOn w:val="1"/>
    <w:link w:val="384"/>
    <w:autoRedefine/>
    <w:qFormat/>
    <w:uiPriority w:val="99"/>
    <w:pPr>
      <w:widowControl/>
      <w:jc w:val="left"/>
    </w:pPr>
    <w:rPr>
      <w:sz w:val="18"/>
      <w:szCs w:val="18"/>
    </w:rPr>
  </w:style>
  <w:style w:type="character" w:customStyle="1" w:styleId="386">
    <w:name w:val="textcontents"/>
    <w:autoRedefine/>
    <w:qFormat/>
    <w:uiPriority w:val="0"/>
    <w:rPr>
      <w:rFonts w:hint="default" w:ascii="Times New Roman" w:hAnsi="Times New Roman" w:cs="Times New Roman"/>
    </w:rPr>
  </w:style>
  <w:style w:type="character" w:customStyle="1" w:styleId="387">
    <w:name w:val="副标题 Char1"/>
    <w:autoRedefine/>
    <w:qFormat/>
    <w:uiPriority w:val="0"/>
    <w:rPr>
      <w:rFonts w:hint="default" w:ascii="Cambria" w:hAnsi="Cambria" w:cs="Times New Roman"/>
      <w:b/>
      <w:bCs/>
      <w:kern w:val="28"/>
      <w:sz w:val="32"/>
      <w:szCs w:val="32"/>
    </w:rPr>
  </w:style>
  <w:style w:type="character" w:customStyle="1" w:styleId="388">
    <w:name w:val="批注文字 Char Char"/>
    <w:autoRedefine/>
    <w:qFormat/>
    <w:uiPriority w:val="0"/>
    <w:rPr>
      <w:rFonts w:hint="eastAsia" w:ascii="宋体" w:hAnsi="Times New Roman" w:eastAsia="宋体" w:cs="Times New Roman"/>
      <w:sz w:val="28"/>
      <w:szCs w:val="20"/>
    </w:rPr>
  </w:style>
  <w:style w:type="character" w:customStyle="1" w:styleId="389">
    <w:name w:val="Font Style13"/>
    <w:autoRedefine/>
    <w:qFormat/>
    <w:uiPriority w:val="0"/>
    <w:rPr>
      <w:rFonts w:hint="eastAsia" w:ascii="宋体" w:hAnsi="宋体" w:eastAsia="宋体" w:cs="宋体"/>
      <w:b/>
      <w:bCs/>
      <w:spacing w:val="500"/>
      <w:sz w:val="48"/>
      <w:szCs w:val="48"/>
    </w:rPr>
  </w:style>
  <w:style w:type="character" w:customStyle="1" w:styleId="390">
    <w:name w:val="HTML 预设格式 Char1"/>
    <w:autoRedefine/>
    <w:qFormat/>
    <w:uiPriority w:val="0"/>
    <w:rPr>
      <w:rFonts w:hint="default" w:ascii="Courier New" w:hAnsi="Courier New" w:cs="Courier New"/>
      <w:kern w:val="2"/>
    </w:rPr>
  </w:style>
  <w:style w:type="character" w:customStyle="1" w:styleId="391">
    <w:name w:val="批注主题 Char1"/>
    <w:link w:val="392"/>
    <w:autoRedefine/>
    <w:qFormat/>
    <w:uiPriority w:val="99"/>
    <w:rPr>
      <w:b/>
      <w:bCs/>
      <w:kern w:val="2"/>
      <w:sz w:val="21"/>
      <w:szCs w:val="22"/>
    </w:rPr>
  </w:style>
  <w:style w:type="paragraph" w:customStyle="1" w:styleId="392">
    <w:name w:val="批注主题2"/>
    <w:basedOn w:val="393"/>
    <w:next w:val="393"/>
    <w:link w:val="391"/>
    <w:autoRedefine/>
    <w:qFormat/>
    <w:uiPriority w:val="99"/>
    <w:rPr>
      <w:b/>
      <w:bCs/>
      <w:kern w:val="2"/>
      <w:sz w:val="21"/>
      <w:szCs w:val="22"/>
    </w:rPr>
  </w:style>
  <w:style w:type="paragraph" w:customStyle="1" w:styleId="393">
    <w:name w:val="批注文字2"/>
    <w:basedOn w:val="1"/>
    <w:autoRedefine/>
    <w:qFormat/>
    <w:uiPriority w:val="0"/>
    <w:pPr>
      <w:widowControl/>
      <w:jc w:val="left"/>
    </w:pPr>
    <w:rPr>
      <w:kern w:val="0"/>
      <w:sz w:val="24"/>
      <w:szCs w:val="20"/>
    </w:rPr>
  </w:style>
  <w:style w:type="character" w:customStyle="1" w:styleId="394">
    <w:name w:val="Font Style16"/>
    <w:autoRedefine/>
    <w:qFormat/>
    <w:uiPriority w:val="0"/>
    <w:rPr>
      <w:rFonts w:hint="default" w:ascii="Times New Roman" w:hAnsi="Times New Roman" w:cs="Times New Roman"/>
      <w:sz w:val="22"/>
      <w:szCs w:val="22"/>
    </w:rPr>
  </w:style>
  <w:style w:type="character" w:customStyle="1" w:styleId="395">
    <w:name w:val="style11"/>
    <w:autoRedefine/>
    <w:qFormat/>
    <w:uiPriority w:val="0"/>
    <w:rPr>
      <w:color w:val="000000"/>
      <w:sz w:val="18"/>
      <w:szCs w:val="18"/>
    </w:rPr>
  </w:style>
  <w:style w:type="character" w:customStyle="1" w:styleId="396">
    <w:name w:val="Font Style14"/>
    <w:autoRedefine/>
    <w:qFormat/>
    <w:uiPriority w:val="0"/>
    <w:rPr>
      <w:rFonts w:hint="eastAsia" w:ascii="宋体" w:hAnsi="宋体" w:eastAsia="宋体" w:cs="宋体"/>
      <w:sz w:val="22"/>
      <w:szCs w:val="22"/>
    </w:rPr>
  </w:style>
  <w:style w:type="character" w:customStyle="1" w:styleId="397">
    <w:name w:val="明显强调1"/>
    <w:autoRedefine/>
    <w:qFormat/>
    <w:uiPriority w:val="21"/>
    <w:rPr>
      <w:b/>
      <w:bCs/>
      <w:i/>
      <w:iCs/>
      <w:color w:val="4F81BD"/>
    </w:rPr>
  </w:style>
  <w:style w:type="character" w:customStyle="1" w:styleId="398">
    <w:name w:val="Font Style11"/>
    <w:autoRedefine/>
    <w:qFormat/>
    <w:uiPriority w:val="0"/>
    <w:rPr>
      <w:rFonts w:hint="eastAsia" w:ascii="宋体" w:hAnsi="宋体" w:eastAsia="宋体" w:cs="宋体"/>
      <w:sz w:val="22"/>
      <w:szCs w:val="22"/>
    </w:rPr>
  </w:style>
  <w:style w:type="character" w:customStyle="1" w:styleId="399">
    <w:name w:val="日期 Char1"/>
    <w:autoRedefine/>
    <w:qFormat/>
    <w:uiPriority w:val="0"/>
    <w:rPr>
      <w:kern w:val="2"/>
      <w:sz w:val="21"/>
      <w:szCs w:val="22"/>
    </w:rPr>
  </w:style>
  <w:style w:type="character" w:customStyle="1" w:styleId="400">
    <w:name w:val="正文文本 Char1"/>
    <w:autoRedefine/>
    <w:qFormat/>
    <w:uiPriority w:val="0"/>
    <w:rPr>
      <w:kern w:val="2"/>
      <w:sz w:val="21"/>
      <w:szCs w:val="22"/>
    </w:rPr>
  </w:style>
  <w:style w:type="character" w:customStyle="1" w:styleId="401">
    <w:name w:val="明显参考1"/>
    <w:autoRedefine/>
    <w:qFormat/>
    <w:uiPriority w:val="32"/>
    <w:rPr>
      <w:b/>
      <w:bCs/>
      <w:smallCaps/>
      <w:color w:val="C0504D"/>
      <w:spacing w:val="5"/>
      <w:u w:val="single"/>
    </w:rPr>
  </w:style>
  <w:style w:type="character" w:customStyle="1" w:styleId="402">
    <w:name w:val="font112"/>
    <w:autoRedefine/>
    <w:qFormat/>
    <w:uiPriority w:val="0"/>
    <w:rPr>
      <w:rFonts w:hint="eastAsia" w:ascii="宋体" w:hAnsi="宋体" w:eastAsia="宋体" w:cs="宋体"/>
      <w:color w:val="000000"/>
      <w:sz w:val="20"/>
      <w:szCs w:val="20"/>
      <w:u w:val="none"/>
    </w:rPr>
  </w:style>
  <w:style w:type="character" w:customStyle="1" w:styleId="403">
    <w:name w:val="font41"/>
    <w:autoRedefine/>
    <w:qFormat/>
    <w:uiPriority w:val="0"/>
    <w:rPr>
      <w:rFonts w:hint="eastAsia" w:ascii="宋体" w:hAnsi="宋体" w:eastAsia="宋体" w:cs="宋体"/>
      <w:color w:val="000000"/>
      <w:sz w:val="21"/>
      <w:szCs w:val="21"/>
      <w:u w:val="none"/>
    </w:rPr>
  </w:style>
  <w:style w:type="character" w:customStyle="1" w:styleId="404">
    <w:name w:val="font81"/>
    <w:autoRedefine/>
    <w:qFormat/>
    <w:uiPriority w:val="0"/>
    <w:rPr>
      <w:rFonts w:hint="default" w:ascii="Times New Roman" w:hAnsi="Times New Roman" w:cs="Times New Roman"/>
      <w:color w:val="000000"/>
      <w:sz w:val="21"/>
      <w:szCs w:val="21"/>
      <w:u w:val="none"/>
    </w:rPr>
  </w:style>
  <w:style w:type="character" w:customStyle="1" w:styleId="405">
    <w:name w:val="font71"/>
    <w:autoRedefine/>
    <w:qFormat/>
    <w:uiPriority w:val="0"/>
    <w:rPr>
      <w:rFonts w:hint="default" w:ascii="Times New Roman" w:hAnsi="Times New Roman" w:cs="Times New Roman"/>
      <w:color w:val="000000"/>
      <w:sz w:val="20"/>
      <w:szCs w:val="20"/>
      <w:u w:val="none"/>
    </w:rPr>
  </w:style>
  <w:style w:type="character" w:customStyle="1" w:styleId="406">
    <w:name w:val="font21"/>
    <w:autoRedefine/>
    <w:qFormat/>
    <w:uiPriority w:val="0"/>
    <w:rPr>
      <w:rFonts w:hint="default" w:ascii="Arial" w:hAnsi="Arial" w:cs="Arial"/>
      <w:color w:val="000000"/>
      <w:sz w:val="20"/>
      <w:szCs w:val="20"/>
      <w:u w:val="none"/>
    </w:rPr>
  </w:style>
  <w:style w:type="paragraph" w:customStyle="1" w:styleId="407">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409">
    <w:name w:val="列出段落31"/>
    <w:basedOn w:val="1"/>
    <w:autoRedefine/>
    <w:qFormat/>
    <w:uiPriority w:val="0"/>
    <w:pPr>
      <w:widowControl/>
      <w:ind w:firstLine="420" w:firstLineChars="200"/>
      <w:jc w:val="left"/>
    </w:pPr>
    <w:rPr>
      <w:kern w:val="0"/>
      <w:sz w:val="24"/>
    </w:rPr>
  </w:style>
  <w:style w:type="paragraph" w:customStyle="1" w:styleId="410">
    <w:name w:val="无间隔2"/>
    <w:link w:val="41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1">
    <w:name w:val="无间隔 Char"/>
    <w:link w:val="410"/>
    <w:autoRedefine/>
    <w:qFormat/>
    <w:uiPriority w:val="1"/>
    <w:rPr>
      <w:kern w:val="2"/>
      <w:sz w:val="21"/>
      <w:szCs w:val="24"/>
    </w:rPr>
  </w:style>
  <w:style w:type="paragraph" w:customStyle="1" w:styleId="412">
    <w:name w:val="列出段落6"/>
    <w:basedOn w:val="1"/>
    <w:autoRedefine/>
    <w:qFormat/>
    <w:uiPriority w:val="0"/>
    <w:pPr>
      <w:widowControl/>
      <w:ind w:firstLine="420" w:firstLineChars="200"/>
      <w:jc w:val="left"/>
    </w:pPr>
    <w:rPr>
      <w:kern w:val="0"/>
      <w:sz w:val="24"/>
    </w:rPr>
  </w:style>
  <w:style w:type="character" w:customStyle="1" w:styleId="413">
    <w:name w:val="占位符文本1"/>
    <w:autoRedefine/>
    <w:unhideWhenUsed/>
    <w:qFormat/>
    <w:uiPriority w:val="99"/>
    <w:rPr>
      <w:color w:val="808080"/>
    </w:rPr>
  </w:style>
  <w:style w:type="paragraph" w:customStyle="1" w:styleId="414">
    <w:name w:val="List Paragraph2"/>
    <w:basedOn w:val="1"/>
    <w:autoRedefine/>
    <w:qFormat/>
    <w:uiPriority w:val="34"/>
    <w:pPr>
      <w:widowControl/>
      <w:ind w:firstLine="420" w:firstLineChars="200"/>
      <w:jc w:val="left"/>
    </w:pPr>
    <w:rPr>
      <w:rFonts w:ascii="宋体"/>
      <w:kern w:val="0"/>
      <w:sz w:val="24"/>
    </w:rPr>
  </w:style>
  <w:style w:type="character" w:customStyle="1" w:styleId="415">
    <w:name w:val="font01"/>
    <w:autoRedefine/>
    <w:qFormat/>
    <w:uiPriority w:val="0"/>
    <w:rPr>
      <w:rFonts w:ascii="font-weight : 400" w:hAnsi="font-weight : 400" w:eastAsia="font-weight : 400" w:cs="font-weight : 400"/>
      <w:color w:val="000000"/>
      <w:sz w:val="22"/>
      <w:szCs w:val="22"/>
      <w:u w:val="none"/>
    </w:rPr>
  </w:style>
  <w:style w:type="character" w:customStyle="1" w:styleId="416">
    <w:name w:val="font61"/>
    <w:autoRedefine/>
    <w:qFormat/>
    <w:uiPriority w:val="0"/>
    <w:rPr>
      <w:rFonts w:ascii="宋体" w:hAnsi="宋体" w:eastAsia="宋体" w:cs="宋体"/>
      <w:color w:val="000000"/>
      <w:sz w:val="22"/>
      <w:szCs w:val="22"/>
      <w:u w:val="none"/>
    </w:rPr>
  </w:style>
  <w:style w:type="character" w:customStyle="1" w:styleId="417">
    <w:name w:val="font141"/>
    <w:autoRedefine/>
    <w:qFormat/>
    <w:uiPriority w:val="0"/>
    <w:rPr>
      <w:rFonts w:hint="eastAsia" w:ascii="宋体" w:hAnsi="宋体" w:eastAsia="宋体" w:cs="宋体"/>
      <w:color w:val="000000"/>
      <w:sz w:val="22"/>
      <w:szCs w:val="22"/>
      <w:u w:val="none"/>
    </w:rPr>
  </w:style>
  <w:style w:type="paragraph" w:customStyle="1" w:styleId="418">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419">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420">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421">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22">
    <w:name w:val="样式 标题 1 + 四号 居中 段前: 12 磅 段后: 12 磅 行距: 单倍行距"/>
    <w:basedOn w:val="5"/>
    <w:autoRedefine/>
    <w:qFormat/>
    <w:uiPriority w:val="0"/>
    <w:pPr>
      <w:autoSpaceDE/>
      <w:autoSpaceDN/>
      <w:adjustRightInd/>
      <w:spacing w:after="240" w:line="240" w:lineRule="auto"/>
      <w:ind w:firstLine="288"/>
    </w:pPr>
    <w:rPr>
      <w:rFonts w:ascii="Times New Roman" w:cs="宋体"/>
      <w:bCs/>
      <w:sz w:val="28"/>
    </w:rPr>
  </w:style>
  <w:style w:type="paragraph" w:customStyle="1" w:styleId="423">
    <w:name w:val="修订5"/>
    <w:autoRedefine/>
    <w:unhideWhenUsed/>
    <w:qFormat/>
    <w:uiPriority w:val="99"/>
    <w:rPr>
      <w:rFonts w:ascii="Calibri" w:hAnsi="Calibri" w:eastAsia="宋体" w:cs="Times New Roman"/>
      <w:kern w:val="2"/>
      <w:sz w:val="21"/>
      <w:szCs w:val="22"/>
      <w:lang w:val="en-US" w:eastAsia="zh-CN" w:bidi="ar-SA"/>
    </w:rPr>
  </w:style>
  <w:style w:type="character" w:customStyle="1" w:styleId="424">
    <w:name w:val="普通文字1 Char Char"/>
    <w:autoRedefine/>
    <w:qFormat/>
    <w:uiPriority w:val="0"/>
    <w:rPr>
      <w:rFonts w:ascii="宋体" w:hAnsi="Courier New"/>
    </w:rPr>
  </w:style>
  <w:style w:type="paragraph" w:customStyle="1" w:styleId="425">
    <w:name w:val="正文首行缩进 21"/>
    <w:basedOn w:val="426"/>
    <w:autoRedefine/>
    <w:qFormat/>
    <w:uiPriority w:val="0"/>
    <w:pPr>
      <w:tabs>
        <w:tab w:val="left" w:pos="8640"/>
      </w:tabs>
      <w:spacing w:after="120"/>
      <w:ind w:left="420" w:leftChars="200" w:firstLine="420" w:firstLineChars="200"/>
    </w:pPr>
  </w:style>
  <w:style w:type="paragraph" w:customStyle="1" w:styleId="426">
    <w:name w:val="正文文本缩进11"/>
    <w:basedOn w:val="1"/>
    <w:autoRedefine/>
    <w:qFormat/>
    <w:uiPriority w:val="0"/>
    <w:pPr>
      <w:widowControl/>
      <w:tabs>
        <w:tab w:val="left" w:pos="8640"/>
      </w:tabs>
      <w:ind w:left="1365"/>
      <w:jc w:val="left"/>
    </w:pPr>
    <w:rPr>
      <w:kern w:val="0"/>
      <w:sz w:val="24"/>
      <w:szCs w:val="20"/>
    </w:rPr>
  </w:style>
  <w:style w:type="character" w:customStyle="1" w:styleId="427">
    <w:name w:val="wj"/>
    <w:autoRedefine/>
    <w:qFormat/>
    <w:uiPriority w:val="0"/>
  </w:style>
  <w:style w:type="character" w:customStyle="1" w:styleId="428">
    <w:name w:val="h3 Char"/>
    <w:autoRedefine/>
    <w:qFormat/>
    <w:uiPriority w:val="0"/>
    <w:rPr>
      <w:rFonts w:eastAsia="宋体"/>
      <w:b/>
      <w:sz w:val="21"/>
      <w:lang w:val="en-US" w:eastAsia="zh-CN"/>
    </w:rPr>
  </w:style>
  <w:style w:type="character" w:customStyle="1" w:styleId="429">
    <w:name w:val="页码1"/>
    <w:autoRedefine/>
    <w:qFormat/>
    <w:uiPriority w:val="0"/>
  </w:style>
  <w:style w:type="paragraph" w:customStyle="1" w:styleId="430">
    <w:name w:val="页脚2"/>
    <w:basedOn w:val="1"/>
    <w:autoRedefine/>
    <w:qFormat/>
    <w:uiPriority w:val="0"/>
    <w:pPr>
      <w:widowControl/>
      <w:tabs>
        <w:tab w:val="center" w:pos="4153"/>
        <w:tab w:val="right" w:pos="8306"/>
      </w:tabs>
      <w:snapToGrid w:val="0"/>
      <w:jc w:val="left"/>
    </w:pPr>
    <w:rPr>
      <w:kern w:val="0"/>
      <w:sz w:val="18"/>
      <w:szCs w:val="20"/>
    </w:rPr>
  </w:style>
  <w:style w:type="character" w:customStyle="1" w:styleId="431">
    <w:name w:val="页码11"/>
    <w:autoRedefine/>
    <w:qFormat/>
    <w:uiPriority w:val="0"/>
  </w:style>
  <w:style w:type="character" w:customStyle="1" w:styleId="432">
    <w:name w:val="Char4"/>
    <w:autoRedefine/>
    <w:qFormat/>
    <w:uiPriority w:val="0"/>
    <w:rPr>
      <w:rFonts w:ascii="宋体" w:hAnsi="Courier New"/>
      <w:kern w:val="2"/>
      <w:sz w:val="21"/>
    </w:rPr>
  </w:style>
  <w:style w:type="character" w:customStyle="1" w:styleId="433">
    <w:name w:val="批注引用1"/>
    <w:autoRedefine/>
    <w:qFormat/>
    <w:uiPriority w:val="0"/>
    <w:rPr>
      <w:sz w:val="21"/>
    </w:rPr>
  </w:style>
  <w:style w:type="character" w:customStyle="1" w:styleId="434">
    <w:name w:val="已访问的超链接1"/>
    <w:autoRedefine/>
    <w:qFormat/>
    <w:uiPriority w:val="0"/>
    <w:rPr>
      <w:color w:val="800080"/>
      <w:u w:val="single"/>
    </w:rPr>
  </w:style>
  <w:style w:type="character" w:customStyle="1" w:styleId="435">
    <w:name w:val="正文首行缩进 Char"/>
    <w:link w:val="436"/>
    <w:autoRedefine/>
    <w:qFormat/>
    <w:uiPriority w:val="0"/>
    <w:rPr>
      <w:rFonts w:ascii="宋体"/>
      <w:spacing w:val="2"/>
      <w:kern w:val="2"/>
      <w:sz w:val="24"/>
    </w:rPr>
  </w:style>
  <w:style w:type="paragraph" w:customStyle="1" w:styleId="436">
    <w:name w:val="正文首行缩进1"/>
    <w:basedOn w:val="1"/>
    <w:link w:val="435"/>
    <w:autoRedefine/>
    <w:qFormat/>
    <w:uiPriority w:val="0"/>
    <w:pPr>
      <w:widowControl/>
      <w:snapToGrid w:val="0"/>
      <w:spacing w:before="120"/>
      <w:ind w:firstLine="476"/>
      <w:jc w:val="left"/>
    </w:pPr>
    <w:rPr>
      <w:rFonts w:ascii="宋体"/>
      <w:spacing w:val="2"/>
      <w:sz w:val="24"/>
      <w:szCs w:val="20"/>
    </w:rPr>
  </w:style>
  <w:style w:type="character" w:customStyle="1" w:styleId="437">
    <w:name w:val="Char Char13"/>
    <w:autoRedefine/>
    <w:qFormat/>
    <w:uiPriority w:val="0"/>
    <w:rPr>
      <w:rFonts w:ascii="Times New Roman" w:hAnsi="Times New Roman" w:eastAsia="宋体"/>
      <w:kern w:val="0"/>
      <w:sz w:val="18"/>
    </w:rPr>
  </w:style>
  <w:style w:type="character" w:customStyle="1" w:styleId="438">
    <w:name w:val="brandcolor1"/>
    <w:autoRedefine/>
    <w:qFormat/>
    <w:uiPriority w:val="0"/>
    <w:rPr>
      <w:color w:val="2685C1"/>
    </w:rPr>
  </w:style>
  <w:style w:type="paragraph" w:customStyle="1" w:styleId="439">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character" w:customStyle="1" w:styleId="440">
    <w:name w:val="Char5"/>
    <w:autoRedefine/>
    <w:qFormat/>
    <w:uiPriority w:val="0"/>
    <w:rPr>
      <w:b/>
      <w:sz w:val="32"/>
      <w:lang w:eastAsia="en-US"/>
    </w:rPr>
  </w:style>
  <w:style w:type="character" w:customStyle="1" w:styleId="441">
    <w:name w:val="tcnt3"/>
    <w:autoRedefine/>
    <w:qFormat/>
    <w:uiPriority w:val="0"/>
  </w:style>
  <w:style w:type="paragraph" w:customStyle="1" w:styleId="442">
    <w:name w:val="正文文本 21"/>
    <w:basedOn w:val="1"/>
    <w:autoRedefine/>
    <w:qFormat/>
    <w:uiPriority w:val="0"/>
    <w:pPr>
      <w:widowControl/>
      <w:spacing w:after="120" w:line="480" w:lineRule="auto"/>
      <w:jc w:val="left"/>
    </w:pPr>
    <w:rPr>
      <w:kern w:val="0"/>
      <w:sz w:val="24"/>
      <w:szCs w:val="20"/>
    </w:rPr>
  </w:style>
  <w:style w:type="character" w:customStyle="1" w:styleId="443">
    <w:name w:val="样式 宋体 小四 黑色"/>
    <w:autoRedefine/>
    <w:qFormat/>
    <w:uiPriority w:val="0"/>
    <w:rPr>
      <w:rFonts w:hint="eastAsia" w:ascii="宋体" w:hAnsi="宋体" w:eastAsia="楷体_GB2312"/>
      <w:color w:val="000000"/>
      <w:kern w:val="0"/>
      <w:sz w:val="24"/>
    </w:rPr>
  </w:style>
  <w:style w:type="character" w:customStyle="1" w:styleId="444">
    <w:name w:val="black9font1"/>
    <w:autoRedefine/>
    <w:qFormat/>
    <w:uiPriority w:val="0"/>
    <w:rPr>
      <w:rFonts w:hint="eastAsia" w:ascii="宋体" w:hAnsi="宋体" w:eastAsia="宋体"/>
      <w:sz w:val="18"/>
      <w:u w:val="none"/>
    </w:rPr>
  </w:style>
  <w:style w:type="paragraph" w:customStyle="1" w:styleId="445">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6">
    <w:name w:val="Char Char12"/>
    <w:autoRedefine/>
    <w:qFormat/>
    <w:uiPriority w:val="0"/>
    <w:rPr>
      <w:rFonts w:eastAsia="宋体"/>
      <w:b/>
      <w:kern w:val="44"/>
      <w:sz w:val="44"/>
      <w:lang w:val="en-US" w:eastAsia="zh-CN"/>
    </w:rPr>
  </w:style>
  <w:style w:type="character" w:customStyle="1" w:styleId="447">
    <w:name w:val="tw4winMark"/>
    <w:autoRedefine/>
    <w:qFormat/>
    <w:uiPriority w:val="0"/>
    <w:rPr>
      <w:rFonts w:ascii="Courier New" w:hAnsi="Courier New"/>
      <w:vanish/>
      <w:color w:val="800080"/>
      <w:vertAlign w:val="subscript"/>
    </w:rPr>
  </w:style>
  <w:style w:type="character" w:customStyle="1" w:styleId="448">
    <w:name w:val="zz31"/>
    <w:autoRedefine/>
    <w:qFormat/>
    <w:uiPriority w:val="0"/>
    <w:rPr>
      <w:color w:val="000000"/>
      <w:sz w:val="18"/>
      <w:u w:val="none"/>
    </w:rPr>
  </w:style>
  <w:style w:type="character" w:customStyle="1" w:styleId="449">
    <w:name w:val="批注引用11"/>
    <w:autoRedefine/>
    <w:qFormat/>
    <w:uiPriority w:val="0"/>
    <w:rPr>
      <w:sz w:val="21"/>
    </w:rPr>
  </w:style>
  <w:style w:type="character" w:customStyle="1" w:styleId="450">
    <w:name w:val="font1"/>
    <w:autoRedefine/>
    <w:qFormat/>
    <w:uiPriority w:val="0"/>
    <w:rPr>
      <w:color w:val="000000"/>
      <w:sz w:val="18"/>
    </w:rPr>
  </w:style>
  <w:style w:type="character" w:customStyle="1" w:styleId="451">
    <w:name w:val="脚注引用1"/>
    <w:autoRedefine/>
    <w:qFormat/>
    <w:uiPriority w:val="0"/>
    <w:rPr>
      <w:vertAlign w:val="superscript"/>
    </w:rPr>
  </w:style>
  <w:style w:type="character" w:customStyle="1" w:styleId="452">
    <w:name w:val="标题三 Char"/>
    <w:link w:val="453"/>
    <w:autoRedefine/>
    <w:qFormat/>
    <w:uiPriority w:val="0"/>
    <w:rPr>
      <w:rFonts w:ascii="黑体" w:eastAsia="黑体"/>
      <w:kern w:val="44"/>
      <w:sz w:val="28"/>
    </w:rPr>
  </w:style>
  <w:style w:type="paragraph" w:customStyle="1" w:styleId="453">
    <w:name w:val="标题三"/>
    <w:basedOn w:val="5"/>
    <w:next w:val="454"/>
    <w:link w:val="452"/>
    <w:autoRedefine/>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54">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character" w:customStyle="1" w:styleId="455">
    <w:name w:val="title_emph1"/>
    <w:autoRedefine/>
    <w:qFormat/>
    <w:uiPriority w:val="0"/>
    <w:rPr>
      <w:rFonts w:hint="default" w:ascii="Arial" w:hAnsi="Arial"/>
      <w:b/>
      <w:sz w:val="20"/>
    </w:rPr>
  </w:style>
  <w:style w:type="character" w:customStyle="1" w:styleId="456">
    <w:name w:val="编号列表 Char"/>
    <w:link w:val="457"/>
    <w:autoRedefine/>
    <w:qFormat/>
    <w:uiPriority w:val="0"/>
    <w:rPr>
      <w:rFonts w:ascii="Verdana" w:hAnsi="Verdana"/>
      <w:kern w:val="2"/>
      <w:sz w:val="24"/>
    </w:rPr>
  </w:style>
  <w:style w:type="paragraph" w:customStyle="1" w:styleId="457">
    <w:name w:val="编号列表"/>
    <w:basedOn w:val="1"/>
    <w:link w:val="456"/>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8">
    <w:name w:val="f121"/>
    <w:autoRedefine/>
    <w:qFormat/>
    <w:uiPriority w:val="0"/>
    <w:rPr>
      <w:sz w:val="20"/>
      <w:u w:val="none"/>
    </w:rPr>
  </w:style>
  <w:style w:type="paragraph" w:customStyle="1" w:styleId="459">
    <w:name w:val="日期2"/>
    <w:basedOn w:val="1"/>
    <w:next w:val="1"/>
    <w:autoRedefine/>
    <w:qFormat/>
    <w:uiPriority w:val="0"/>
    <w:pPr>
      <w:widowControl/>
      <w:jc w:val="left"/>
    </w:pPr>
    <w:rPr>
      <w:kern w:val="0"/>
      <w:sz w:val="24"/>
      <w:szCs w:val="20"/>
    </w:rPr>
  </w:style>
  <w:style w:type="paragraph" w:customStyle="1" w:styleId="460">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61">
    <w:name w:val="表格项目符号 2"/>
    <w:basedOn w:val="462"/>
    <w:autoRedefine/>
    <w:qFormat/>
    <w:uiPriority w:val="0"/>
    <w:pPr>
      <w:tabs>
        <w:tab w:val="left" w:pos="624"/>
        <w:tab w:val="left" w:pos="735"/>
      </w:tabs>
      <w:snapToGrid w:val="0"/>
      <w:spacing w:line="300" w:lineRule="auto"/>
      <w:ind w:left="623" w:hanging="374"/>
    </w:pPr>
  </w:style>
  <w:style w:type="paragraph" w:customStyle="1" w:styleId="462">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463">
    <w:name w:val="1 Char"/>
    <w:basedOn w:val="1"/>
    <w:autoRedefine/>
    <w:qFormat/>
    <w:uiPriority w:val="0"/>
    <w:pPr>
      <w:widowControl/>
      <w:jc w:val="left"/>
    </w:pPr>
    <w:rPr>
      <w:rFonts w:ascii="Tahoma" w:hAnsi="Tahoma" w:cs="Calibri"/>
      <w:kern w:val="0"/>
      <w:sz w:val="24"/>
      <w:szCs w:val="20"/>
    </w:rPr>
  </w:style>
  <w:style w:type="paragraph" w:customStyle="1" w:styleId="464">
    <w:name w:val="样式 样式 样式 标题 2 + 宋体 五号 非加粗 黑色 + 段前: 6 磅 段后: 0 磅 行距: 单倍行距 + 段前: 12..."/>
    <w:basedOn w:val="465"/>
    <w:autoRedefine/>
    <w:qFormat/>
    <w:uiPriority w:val="0"/>
    <w:pPr>
      <w:spacing w:before="240"/>
    </w:pPr>
  </w:style>
  <w:style w:type="paragraph" w:customStyle="1" w:styleId="465">
    <w:name w:val="样式 样式 标题 2 + 宋体 五号 非加粗 黑色 + 段前: 6 磅 段后: 0 磅 行距: 单倍行距"/>
    <w:basedOn w:val="466"/>
    <w:autoRedefine/>
    <w:qFormat/>
    <w:uiPriority w:val="0"/>
    <w:pPr>
      <w:spacing w:before="120" w:after="0" w:line="240" w:lineRule="auto"/>
    </w:pPr>
  </w:style>
  <w:style w:type="paragraph" w:customStyle="1" w:styleId="466">
    <w:name w:val="样式 标题 2 + 宋体 五号 非加粗 黑色"/>
    <w:basedOn w:val="6"/>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7">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8">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9">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70">
    <w:name w:val="Date1"/>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471">
    <w:name w:val="Char6"/>
    <w:basedOn w:val="1"/>
    <w:autoRedefine/>
    <w:qFormat/>
    <w:uiPriority w:val="0"/>
    <w:pPr>
      <w:widowControl/>
      <w:spacing w:line="360" w:lineRule="auto"/>
      <w:ind w:firstLine="200" w:firstLineChars="200"/>
      <w:jc w:val="left"/>
    </w:pPr>
    <w:rPr>
      <w:rFonts w:ascii="Tahoma" w:hAnsi="Tahoma" w:cs="Calibri"/>
      <w:kern w:val="0"/>
      <w:sz w:val="24"/>
      <w:szCs w:val="20"/>
    </w:rPr>
  </w:style>
  <w:style w:type="paragraph" w:customStyle="1" w:styleId="472">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73">
    <w:name w:val="Char Char3"/>
    <w:basedOn w:val="1"/>
    <w:autoRedefine/>
    <w:qFormat/>
    <w:uiPriority w:val="0"/>
    <w:pPr>
      <w:widowControl/>
      <w:jc w:val="left"/>
    </w:pPr>
    <w:rPr>
      <w:rFonts w:ascii="Tahoma" w:hAnsi="Tahoma" w:cs="Calibri"/>
      <w:kern w:val="0"/>
      <w:sz w:val="24"/>
      <w:szCs w:val="20"/>
    </w:rPr>
  </w:style>
  <w:style w:type="paragraph" w:customStyle="1" w:styleId="474">
    <w:name w:val="正文居中"/>
    <w:basedOn w:val="1"/>
    <w:autoRedefine/>
    <w:qFormat/>
    <w:uiPriority w:val="0"/>
    <w:pPr>
      <w:widowControl/>
      <w:spacing w:line="360" w:lineRule="auto"/>
      <w:jc w:val="center"/>
    </w:pPr>
    <w:rPr>
      <w:rFonts w:cs="Calibri"/>
      <w:kern w:val="0"/>
      <w:sz w:val="24"/>
      <w:szCs w:val="20"/>
    </w:rPr>
  </w:style>
  <w:style w:type="paragraph" w:customStyle="1" w:styleId="475">
    <w:name w:val="附录 Heading 2"/>
    <w:basedOn w:val="6"/>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6">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7">
    <w:name w:val="样式 样式 标题 4 + 段前: 5 磅 段后: 5 磅 行距: 单倍行距 + 五号"/>
    <w:basedOn w:val="478"/>
    <w:autoRedefine/>
    <w:qFormat/>
    <w:uiPriority w:val="0"/>
    <w:rPr>
      <w:sz w:val="21"/>
    </w:rPr>
  </w:style>
  <w:style w:type="paragraph" w:customStyle="1" w:styleId="478">
    <w:name w:val="样式 标题 4 + 段前: 5 磅 段后: 5 磅 行距: 单倍行距"/>
    <w:basedOn w:val="8"/>
    <w:autoRedefine/>
    <w:qFormat/>
    <w:uiPriority w:val="0"/>
    <w:pPr>
      <w:widowControl/>
      <w:spacing w:before="100" w:after="100" w:line="240" w:lineRule="auto"/>
      <w:jc w:val="left"/>
    </w:pPr>
    <w:rPr>
      <w:rFonts w:cs="Calibri"/>
    </w:rPr>
  </w:style>
  <w:style w:type="paragraph" w:customStyle="1" w:styleId="479">
    <w:name w:val="样式 标题 3h3H3sect1.2.3 + 五号 段前: 6 磅 段后: 6 磅 行距: 单倍行距"/>
    <w:basedOn w:val="7"/>
    <w:autoRedefine/>
    <w:qFormat/>
    <w:uiPriority w:val="0"/>
    <w:pPr>
      <w:autoSpaceDE/>
      <w:autoSpaceDN/>
      <w:spacing w:before="120"/>
      <w:jc w:val="both"/>
      <w:textAlignment w:val="baseline"/>
    </w:pPr>
    <w:rPr>
      <w:rFonts w:ascii="Calibri" w:hAnsi="Calibri"/>
      <w:sz w:val="21"/>
      <w:u w:val="none"/>
    </w:rPr>
  </w:style>
  <w:style w:type="paragraph" w:customStyle="1" w:styleId="480">
    <w:name w:val="编号正文"/>
    <w:basedOn w:val="171"/>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81">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482">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83">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484">
    <w:name w:val="首行缩进:  0.85 厘米"/>
    <w:basedOn w:val="1"/>
    <w:autoRedefine/>
    <w:qFormat/>
    <w:uiPriority w:val="0"/>
    <w:pPr>
      <w:widowControl/>
      <w:spacing w:after="100" w:line="360" w:lineRule="auto"/>
      <w:ind w:firstLine="482"/>
      <w:jc w:val="left"/>
    </w:pPr>
    <w:rPr>
      <w:rFonts w:cs="Calibri"/>
      <w:kern w:val="0"/>
      <w:sz w:val="24"/>
      <w:szCs w:val="20"/>
      <w:lang w:eastAsia="en-US"/>
    </w:rPr>
  </w:style>
  <w:style w:type="paragraph" w:customStyle="1" w:styleId="485">
    <w:name w:val="项目"/>
    <w:basedOn w:val="426"/>
    <w:autoRedefine/>
    <w:qFormat/>
    <w:uiPriority w:val="0"/>
    <w:pPr>
      <w:spacing w:after="120"/>
      <w:ind w:left="0"/>
    </w:pPr>
    <w:rPr>
      <w:rFonts w:ascii="楷体_GB2312" w:eastAsia="楷体_GB2312"/>
      <w:b/>
    </w:rPr>
  </w:style>
  <w:style w:type="paragraph" w:customStyle="1" w:styleId="486">
    <w:name w:val="ddddd"/>
    <w:basedOn w:val="1"/>
    <w:autoRedefine/>
    <w:qFormat/>
    <w:uiPriority w:val="0"/>
    <w:pPr>
      <w:pageBreakBefore/>
      <w:widowControl/>
      <w:jc w:val="left"/>
    </w:pPr>
    <w:rPr>
      <w:rFonts w:ascii="Tahoma" w:hAnsi="Tahoma" w:cs="Calibri"/>
      <w:kern w:val="0"/>
      <w:sz w:val="24"/>
      <w:szCs w:val="20"/>
    </w:rPr>
  </w:style>
  <w:style w:type="paragraph" w:customStyle="1" w:styleId="487">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488">
    <w:name w:val="Char Char21"/>
    <w:basedOn w:val="1"/>
    <w:autoRedefine/>
    <w:qFormat/>
    <w:uiPriority w:val="0"/>
    <w:pPr>
      <w:widowControl/>
      <w:jc w:val="left"/>
    </w:pPr>
    <w:rPr>
      <w:rFonts w:ascii="Tahoma" w:hAnsi="Tahoma" w:cs="Calibri"/>
      <w:kern w:val="0"/>
      <w:sz w:val="24"/>
      <w:szCs w:val="20"/>
    </w:rPr>
  </w:style>
  <w:style w:type="paragraph" w:customStyle="1" w:styleId="489">
    <w:name w:val="图号"/>
    <w:basedOn w:val="1"/>
    <w:autoRedefine/>
    <w:qFormat/>
    <w:uiPriority w:val="0"/>
    <w:pPr>
      <w:widowControl/>
      <w:jc w:val="center"/>
    </w:pPr>
    <w:rPr>
      <w:rFonts w:ascii="仿宋_GB2312" w:eastAsia="仿宋_GB2312" w:cs="Calibri"/>
      <w:kern w:val="0"/>
      <w:sz w:val="32"/>
      <w:szCs w:val="20"/>
    </w:rPr>
  </w:style>
  <w:style w:type="paragraph" w:customStyle="1" w:styleId="490">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91">
    <w:name w:val="索引标题1"/>
    <w:basedOn w:val="1"/>
    <w:next w:val="492"/>
    <w:autoRedefine/>
    <w:qFormat/>
    <w:uiPriority w:val="0"/>
    <w:pPr>
      <w:widowControl/>
      <w:jc w:val="left"/>
    </w:pPr>
    <w:rPr>
      <w:rFonts w:eastAsia="仿宋_GB2312" w:cs="Calibri"/>
      <w:kern w:val="0"/>
      <w:sz w:val="24"/>
      <w:szCs w:val="20"/>
    </w:rPr>
  </w:style>
  <w:style w:type="paragraph" w:customStyle="1" w:styleId="492">
    <w:name w:val="索引 11"/>
    <w:basedOn w:val="1"/>
    <w:next w:val="1"/>
    <w:autoRedefine/>
    <w:qFormat/>
    <w:uiPriority w:val="0"/>
    <w:pPr>
      <w:widowControl/>
      <w:ind w:left="-2"/>
      <w:jc w:val="left"/>
    </w:pPr>
    <w:rPr>
      <w:rFonts w:ascii="Verdana" w:hAnsi="Verdana" w:cs="Calibri"/>
      <w:kern w:val="0"/>
      <w:sz w:val="18"/>
      <w:szCs w:val="20"/>
    </w:rPr>
  </w:style>
  <w:style w:type="paragraph" w:customStyle="1" w:styleId="493">
    <w:name w:val="默认段落字体 Para Char Char Char1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494">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495">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6">
    <w:name w:val="附件小标题"/>
    <w:basedOn w:val="8"/>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7">
    <w:name w:val="CN Title"/>
    <w:basedOn w:val="1"/>
    <w:autoRedefine/>
    <w:qFormat/>
    <w:uiPriority w:val="0"/>
    <w:pPr>
      <w:widowControl/>
      <w:tabs>
        <w:tab w:val="left" w:pos="720"/>
      </w:tabs>
      <w:spacing w:before="144" w:after="72"/>
      <w:ind w:left="720" w:hanging="360"/>
      <w:jc w:val="center"/>
    </w:pPr>
    <w:rPr>
      <w:rFonts w:cs="Calibri"/>
      <w:b/>
      <w:kern w:val="0"/>
      <w:sz w:val="28"/>
      <w:szCs w:val="20"/>
    </w:rPr>
  </w:style>
  <w:style w:type="paragraph" w:customStyle="1" w:styleId="498">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99">
    <w:name w:val="Char Char1 Char Char Char Char Char Char Char Char Char Char Char Char Char Char Char"/>
    <w:basedOn w:val="1"/>
    <w:autoRedefine/>
    <w:qFormat/>
    <w:uiPriority w:val="0"/>
    <w:pPr>
      <w:widowControl/>
      <w:spacing w:after="160" w:line="240" w:lineRule="exact"/>
      <w:jc w:val="left"/>
    </w:pPr>
    <w:rPr>
      <w:rFonts w:ascii="Verdana" w:hAnsi="Verdana" w:cs="Calibri"/>
      <w:kern w:val="0"/>
      <w:sz w:val="20"/>
      <w:szCs w:val="20"/>
      <w:lang w:eastAsia="en-US"/>
    </w:rPr>
  </w:style>
  <w:style w:type="paragraph" w:customStyle="1" w:styleId="500">
    <w:name w:val="样式 标题 5 + 段前: 5 磅 段后: 5 磅 行距: 单倍行距"/>
    <w:basedOn w:val="9"/>
    <w:autoRedefine/>
    <w:qFormat/>
    <w:uiPriority w:val="0"/>
    <w:pPr>
      <w:widowControl/>
      <w:spacing w:before="100" w:after="100" w:line="240" w:lineRule="auto"/>
      <w:jc w:val="left"/>
    </w:pPr>
  </w:style>
  <w:style w:type="paragraph" w:customStyle="1" w:styleId="501">
    <w:name w:val="样式4"/>
    <w:autoRedefine/>
    <w:qFormat/>
    <w:uiPriority w:val="0"/>
    <w:rPr>
      <w:rFonts w:ascii="宋体" w:hAnsi="宋体" w:eastAsia="宋体" w:cs="Calibri"/>
      <w:b/>
      <w:kern w:val="2"/>
      <w:sz w:val="28"/>
      <w:lang w:val="en-US" w:eastAsia="zh-CN" w:bidi="ar-SA"/>
    </w:rPr>
  </w:style>
  <w:style w:type="paragraph" w:customStyle="1" w:styleId="502">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503">
    <w:name w:val="Char1 Char Char Char Char Char Char"/>
    <w:basedOn w:val="1"/>
    <w:autoRedefine/>
    <w:qFormat/>
    <w:uiPriority w:val="0"/>
    <w:pPr>
      <w:widowControl/>
      <w:autoSpaceDE w:val="0"/>
      <w:autoSpaceDN w:val="0"/>
      <w:jc w:val="left"/>
    </w:pPr>
    <w:rPr>
      <w:rFonts w:ascii="Tahoma" w:hAnsi="Tahoma" w:cs="Calibri"/>
      <w:kern w:val="0"/>
      <w:sz w:val="24"/>
      <w:szCs w:val="20"/>
    </w:rPr>
  </w:style>
  <w:style w:type="paragraph" w:customStyle="1" w:styleId="504">
    <w:name w:val="样式 样式 样式 样式 标题 2 + 宋体 五号 非加粗 黑色 + 段前: 6 磅 段后: 0 磅 行距: 单倍行距 + 段前:..."/>
    <w:basedOn w:val="464"/>
    <w:autoRedefine/>
    <w:qFormat/>
    <w:uiPriority w:val="0"/>
    <w:rPr>
      <w:b/>
    </w:rPr>
  </w:style>
  <w:style w:type="paragraph" w:customStyle="1" w:styleId="505">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6">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7">
    <w:name w:val="可研正文"/>
    <w:basedOn w:val="454"/>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508">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9">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510">
    <w:name w:val="普通(网站)1"/>
    <w:basedOn w:val="1"/>
    <w:autoRedefine/>
    <w:qFormat/>
    <w:uiPriority w:val="0"/>
    <w:pPr>
      <w:widowControl/>
      <w:jc w:val="left"/>
    </w:pPr>
    <w:rPr>
      <w:rFonts w:cs="Calibri"/>
      <w:kern w:val="0"/>
      <w:sz w:val="24"/>
      <w:szCs w:val="20"/>
    </w:rPr>
  </w:style>
  <w:style w:type="paragraph" w:customStyle="1" w:styleId="511">
    <w:name w:val="_Style 155"/>
    <w:basedOn w:val="1"/>
    <w:autoRedefine/>
    <w:qFormat/>
    <w:uiPriority w:val="0"/>
    <w:pPr>
      <w:widowControl/>
      <w:ind w:firstLine="420" w:firstLineChars="200"/>
      <w:jc w:val="left"/>
    </w:pPr>
    <w:rPr>
      <w:rFonts w:cs="Calibri"/>
      <w:kern w:val="0"/>
      <w:sz w:val="24"/>
      <w:szCs w:val="20"/>
    </w:rPr>
  </w:style>
  <w:style w:type="paragraph" w:customStyle="1" w:styleId="512">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513">
    <w:name w:val="正文加点1"/>
    <w:basedOn w:val="113"/>
    <w:autoRedefine/>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14">
    <w:name w:val="样式 样式 标题 5 + 段前: 5 磅 段后: 5 磅 行距: 单倍行距 + 五号"/>
    <w:basedOn w:val="500"/>
    <w:autoRedefine/>
    <w:qFormat/>
    <w:uiPriority w:val="0"/>
    <w:rPr>
      <w:sz w:val="21"/>
    </w:rPr>
  </w:style>
  <w:style w:type="paragraph" w:customStyle="1" w:styleId="515">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6">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517">
    <w:name w:val="Char3 Char Char"/>
    <w:basedOn w:val="1"/>
    <w:autoRedefine/>
    <w:qFormat/>
    <w:uiPriority w:val="0"/>
    <w:pPr>
      <w:widowControl/>
      <w:jc w:val="left"/>
    </w:pPr>
    <w:rPr>
      <w:rFonts w:ascii="Tahoma" w:hAnsi="Tahoma" w:cs="Calibri"/>
      <w:kern w:val="0"/>
      <w:sz w:val="24"/>
      <w:szCs w:val="20"/>
    </w:rPr>
  </w:style>
  <w:style w:type="paragraph" w:customStyle="1" w:styleId="518">
    <w:name w:val="列表 21"/>
    <w:basedOn w:val="1"/>
    <w:autoRedefine/>
    <w:qFormat/>
    <w:uiPriority w:val="0"/>
    <w:pPr>
      <w:widowControl/>
      <w:ind w:left="100" w:leftChars="200" w:hanging="200" w:hangingChars="200"/>
      <w:jc w:val="left"/>
    </w:pPr>
    <w:rPr>
      <w:rFonts w:cs="Calibri"/>
      <w:kern w:val="0"/>
      <w:sz w:val="24"/>
      <w:szCs w:val="20"/>
    </w:rPr>
  </w:style>
  <w:style w:type="paragraph" w:customStyle="1" w:styleId="519">
    <w:name w:val="6"/>
    <w:basedOn w:val="1"/>
    <w:next w:val="510"/>
    <w:autoRedefine/>
    <w:qFormat/>
    <w:uiPriority w:val="0"/>
    <w:pPr>
      <w:widowControl/>
      <w:adjustRightInd w:val="0"/>
      <w:snapToGrid w:val="0"/>
      <w:jc w:val="left"/>
    </w:pPr>
    <w:rPr>
      <w:rFonts w:cs="Calibri"/>
      <w:kern w:val="0"/>
      <w:sz w:val="24"/>
      <w:szCs w:val="20"/>
    </w:rPr>
  </w:style>
  <w:style w:type="paragraph" w:customStyle="1" w:styleId="520">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521">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22">
    <w:name w:val="默认段落字体 Para Char Char Char1 Char Char Char Char Char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523">
    <w:name w:val="纯文本2"/>
    <w:basedOn w:val="1"/>
    <w:link w:val="524"/>
    <w:autoRedefine/>
    <w:qFormat/>
    <w:uiPriority w:val="0"/>
    <w:pPr>
      <w:widowControl/>
      <w:jc w:val="left"/>
    </w:pPr>
    <w:rPr>
      <w:rFonts w:ascii="宋体" w:hAnsi="Courier New" w:cs="Calibri"/>
      <w:kern w:val="0"/>
      <w:sz w:val="24"/>
      <w:szCs w:val="20"/>
    </w:rPr>
  </w:style>
  <w:style w:type="character" w:customStyle="1" w:styleId="524">
    <w:name w:val="纯文本 Char2"/>
    <w:link w:val="523"/>
    <w:autoRedefine/>
    <w:qFormat/>
    <w:uiPriority w:val="0"/>
    <w:rPr>
      <w:rFonts w:ascii="宋体" w:hAnsi="Courier New" w:cs="Calibri"/>
      <w:sz w:val="24"/>
    </w:rPr>
  </w:style>
  <w:style w:type="paragraph" w:customStyle="1" w:styleId="525">
    <w:name w:val="列表接续 31"/>
    <w:basedOn w:val="1"/>
    <w:autoRedefine/>
    <w:qFormat/>
    <w:uiPriority w:val="0"/>
    <w:pPr>
      <w:widowControl/>
      <w:spacing w:after="120"/>
      <w:ind w:left="1260" w:leftChars="600"/>
      <w:jc w:val="left"/>
    </w:pPr>
    <w:rPr>
      <w:rFonts w:cs="Calibri"/>
      <w:kern w:val="0"/>
      <w:sz w:val="24"/>
      <w:szCs w:val="20"/>
    </w:rPr>
  </w:style>
  <w:style w:type="paragraph" w:customStyle="1" w:styleId="526">
    <w:name w:val="Char Char5"/>
    <w:basedOn w:val="294"/>
    <w:autoRedefine/>
    <w:qFormat/>
    <w:uiPriority w:val="0"/>
    <w:rPr>
      <w:rFonts w:ascii="Tahoma" w:hAnsi="Tahoma"/>
      <w:sz w:val="24"/>
    </w:rPr>
  </w:style>
  <w:style w:type="paragraph" w:customStyle="1" w:styleId="527">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528">
    <w:name w:val="p0"/>
    <w:basedOn w:val="1"/>
    <w:autoRedefine/>
    <w:qFormat/>
    <w:uiPriority w:val="0"/>
    <w:pPr>
      <w:widowControl/>
      <w:jc w:val="left"/>
    </w:pPr>
    <w:rPr>
      <w:rFonts w:cs="Calibri"/>
      <w:kern w:val="0"/>
      <w:sz w:val="24"/>
      <w:szCs w:val="20"/>
    </w:rPr>
  </w:style>
  <w:style w:type="paragraph" w:customStyle="1" w:styleId="529">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530">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531">
    <w:name w:val="Table Heading"/>
    <w:basedOn w:val="1"/>
    <w:autoRedefine/>
    <w:qFormat/>
    <w:uiPriority w:val="0"/>
    <w:pPr>
      <w:widowControl/>
      <w:jc w:val="left"/>
    </w:pPr>
    <w:rPr>
      <w:rFonts w:ascii="宋体" w:hAnsi="宋体" w:cs="Calibri"/>
      <w:b/>
      <w:kern w:val="0"/>
      <w:sz w:val="24"/>
      <w:szCs w:val="20"/>
    </w:rPr>
  </w:style>
  <w:style w:type="paragraph" w:customStyle="1" w:styleId="532">
    <w:name w:val="样式 标题 2 + 行距: 1.5 倍行距"/>
    <w:basedOn w:val="6"/>
    <w:autoRedefine/>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33">
    <w:name w:val="样式 正文缩进正文（首行缩进两字）表正文正文非缩进特点标题4段1 + 首行缩进:  2 字符"/>
    <w:basedOn w:val="113"/>
    <w:autoRedefine/>
    <w:qFormat/>
    <w:uiPriority w:val="0"/>
    <w:pPr>
      <w:spacing w:line="360" w:lineRule="auto"/>
      <w:ind w:firstLine="480" w:firstLineChars="200"/>
      <w:jc w:val="left"/>
    </w:pPr>
    <w:rPr>
      <w:rFonts w:ascii="Times New Roman"/>
      <w:snapToGrid/>
      <w:color w:val="auto"/>
      <w:kern w:val="0"/>
      <w:sz w:val="24"/>
    </w:rPr>
  </w:style>
  <w:style w:type="paragraph" w:customStyle="1" w:styleId="534">
    <w:name w:val="一级标题"/>
    <w:basedOn w:val="294"/>
    <w:autoRedefine/>
    <w:qFormat/>
    <w:uiPriority w:val="0"/>
    <w:pPr>
      <w:adjustRightInd w:val="0"/>
      <w:spacing w:line="360" w:lineRule="auto"/>
      <w:ind w:left="1985" w:hanging="709"/>
      <w:outlineLvl w:val="3"/>
    </w:pPr>
    <w:rPr>
      <w:rFonts w:ascii="Tahoma" w:hAnsi="Tahoma"/>
      <w:sz w:val="24"/>
    </w:rPr>
  </w:style>
  <w:style w:type="paragraph" w:customStyle="1" w:styleId="535">
    <w:name w:val="楷体粗正文文字"/>
    <w:basedOn w:val="1"/>
    <w:next w:val="439"/>
    <w:autoRedefine/>
    <w:qFormat/>
    <w:uiPriority w:val="0"/>
    <w:pPr>
      <w:widowControl/>
      <w:snapToGrid w:val="0"/>
      <w:spacing w:line="480" w:lineRule="exact"/>
      <w:ind w:firstLine="560"/>
      <w:jc w:val="left"/>
    </w:pPr>
    <w:rPr>
      <w:rFonts w:cs="Calibri"/>
      <w:kern w:val="0"/>
      <w:sz w:val="28"/>
      <w:szCs w:val="20"/>
    </w:rPr>
  </w:style>
  <w:style w:type="paragraph" w:customStyle="1" w:styleId="536">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537">
    <w:name w:val="修订8"/>
    <w:autoRedefine/>
    <w:qFormat/>
    <w:uiPriority w:val="0"/>
    <w:rPr>
      <w:rFonts w:ascii="Calibri" w:hAnsi="Calibri" w:eastAsia="宋体" w:cs="Calibri"/>
      <w:kern w:val="2"/>
      <w:sz w:val="21"/>
      <w:lang w:val="en-US" w:eastAsia="zh-CN" w:bidi="ar-SA"/>
    </w:rPr>
  </w:style>
  <w:style w:type="paragraph" w:customStyle="1" w:styleId="538">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9">
    <w:name w:val="招标文件1"/>
    <w:basedOn w:val="1"/>
    <w:autoRedefine/>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40">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41">
    <w:name w:val="脚注文本1"/>
    <w:basedOn w:val="1"/>
    <w:autoRedefine/>
    <w:qFormat/>
    <w:uiPriority w:val="0"/>
    <w:pPr>
      <w:widowControl/>
      <w:snapToGrid w:val="0"/>
      <w:jc w:val="left"/>
    </w:pPr>
    <w:rPr>
      <w:rFonts w:cs="Calibri"/>
      <w:kern w:val="0"/>
      <w:sz w:val="18"/>
      <w:szCs w:val="20"/>
    </w:rPr>
  </w:style>
  <w:style w:type="paragraph" w:customStyle="1" w:styleId="542">
    <w:name w:val="标题3"/>
    <w:basedOn w:val="7"/>
    <w:next w:val="454"/>
    <w:autoRedefine/>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43">
    <w:name w:val="Char Char Char Char Char Char1 Char Char Char Char"/>
    <w:basedOn w:val="294"/>
    <w:autoRedefine/>
    <w:qFormat/>
    <w:uiPriority w:val="0"/>
  </w:style>
  <w:style w:type="paragraph" w:customStyle="1" w:styleId="544">
    <w:name w:val="样式 标题 1 + 行距: 1.5 倍行距1"/>
    <w:basedOn w:val="5"/>
    <w:autoRedefine/>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5">
    <w:name w:val="样式 标题 1Heading 0H1PIM 1123321Title1卷标题h11.ch章节标题第*部分..."/>
    <w:basedOn w:val="5"/>
    <w:autoRedefine/>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6">
    <w:name w:val="标题1"/>
    <w:basedOn w:val="35"/>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7">
    <w:name w:val="正文文字(ALT+W)"/>
    <w:basedOn w:val="1"/>
    <w:next w:val="113"/>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548">
    <w:name w:val="列出段落4"/>
    <w:basedOn w:val="1"/>
    <w:autoRedefine/>
    <w:qFormat/>
    <w:uiPriority w:val="0"/>
    <w:pPr>
      <w:widowControl/>
      <w:ind w:firstLine="420" w:firstLineChars="200"/>
      <w:jc w:val="left"/>
    </w:pPr>
    <w:rPr>
      <w:rFonts w:cs="Calibri"/>
      <w:kern w:val="0"/>
      <w:sz w:val="24"/>
      <w:szCs w:val="20"/>
    </w:rPr>
  </w:style>
  <w:style w:type="paragraph" w:customStyle="1" w:styleId="549">
    <w:name w:val="Char Char1 Char Char Char Char1 Char Char Char Char Char Char Char Char Char Char Char Char1"/>
    <w:basedOn w:val="1"/>
    <w:autoRedefine/>
    <w:qFormat/>
    <w:uiPriority w:val="0"/>
    <w:pPr>
      <w:widowControl/>
      <w:jc w:val="left"/>
    </w:pPr>
    <w:rPr>
      <w:rFonts w:ascii="Tahoma" w:hAnsi="Tahoma" w:cs="Calibri"/>
      <w:kern w:val="0"/>
      <w:sz w:val="24"/>
      <w:szCs w:val="20"/>
    </w:rPr>
  </w:style>
  <w:style w:type="paragraph" w:customStyle="1" w:styleId="550">
    <w:name w:val="prop1"/>
    <w:basedOn w:val="8"/>
    <w:autoRedefine/>
    <w:qFormat/>
    <w:uiPriority w:val="0"/>
    <w:pPr>
      <w:widowControl/>
      <w:tabs>
        <w:tab w:val="left" w:pos="425"/>
      </w:tabs>
      <w:adjustRightInd/>
      <w:spacing w:line="360" w:lineRule="auto"/>
      <w:ind w:left="425" w:hanging="425"/>
      <w:jc w:val="left"/>
      <w:textAlignment w:val="auto"/>
    </w:pPr>
    <w:rPr>
      <w:rFonts w:cs="Calibri"/>
    </w:rPr>
  </w:style>
  <w:style w:type="paragraph" w:customStyle="1" w:styleId="551">
    <w:name w:val="gczx正文"/>
    <w:basedOn w:val="1"/>
    <w:autoRedefine/>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52">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53">
    <w:name w:val="Char Char2"/>
    <w:basedOn w:val="1"/>
    <w:autoRedefine/>
    <w:qFormat/>
    <w:uiPriority w:val="0"/>
    <w:pPr>
      <w:widowControl/>
      <w:jc w:val="left"/>
    </w:pPr>
    <w:rPr>
      <w:rFonts w:ascii="Tahoma" w:hAnsi="Tahoma" w:cs="Calibri"/>
      <w:kern w:val="0"/>
      <w:sz w:val="24"/>
      <w:szCs w:val="20"/>
    </w:rPr>
  </w:style>
  <w:style w:type="paragraph" w:customStyle="1" w:styleId="554">
    <w:name w:val="招标文件》"/>
    <w:basedOn w:val="468"/>
    <w:autoRedefine/>
    <w:qFormat/>
    <w:uiPriority w:val="0"/>
    <w:pPr>
      <w:tabs>
        <w:tab w:val="left" w:pos="560"/>
      </w:tabs>
      <w:ind w:left="200" w:firstLine="0" w:firstLineChars="0"/>
    </w:pPr>
  </w:style>
  <w:style w:type="paragraph" w:customStyle="1" w:styleId="555">
    <w:name w:val="a"/>
    <w:basedOn w:val="1"/>
    <w:autoRedefine/>
    <w:qFormat/>
    <w:uiPriority w:val="0"/>
    <w:pPr>
      <w:widowControl/>
      <w:spacing w:before="100" w:beforeAutospacing="1" w:after="100" w:afterAutospacing="1"/>
      <w:jc w:val="left"/>
    </w:pPr>
    <w:rPr>
      <w:rFonts w:ascii="宋体" w:hAnsi="宋体" w:cs="Calibri"/>
      <w:kern w:val="0"/>
      <w:sz w:val="24"/>
      <w:szCs w:val="20"/>
    </w:rPr>
  </w:style>
  <w:style w:type="paragraph" w:customStyle="1" w:styleId="556">
    <w:name w:val="List Bullet1"/>
    <w:basedOn w:val="1"/>
    <w:autoRedefine/>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7">
    <w:name w:val="样式3"/>
    <w:basedOn w:val="6"/>
    <w:autoRedefine/>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8">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559">
    <w:name w:val="目录4"/>
    <w:basedOn w:val="1"/>
    <w:autoRedefine/>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60">
    <w:name w:val="1正文首行缩进"/>
    <w:basedOn w:val="1"/>
    <w:autoRedefine/>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61">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62">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563">
    <w:name w:val="默认段落字体 Para Char"/>
    <w:basedOn w:val="425"/>
    <w:next w:val="425"/>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564">
    <w:name w:val="标题6"/>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65">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6">
    <w:name w:val="Char31"/>
    <w:basedOn w:val="1"/>
    <w:autoRedefine/>
    <w:qFormat/>
    <w:uiPriority w:val="0"/>
    <w:pPr>
      <w:widowControl/>
      <w:jc w:val="left"/>
    </w:pPr>
    <w:rPr>
      <w:rFonts w:ascii="Tahoma" w:hAnsi="Tahoma" w:cs="Calibri"/>
      <w:kern w:val="0"/>
      <w:sz w:val="24"/>
      <w:szCs w:val="20"/>
    </w:rPr>
  </w:style>
  <w:style w:type="paragraph" w:customStyle="1" w:styleId="567">
    <w:name w:val="Char Char1 Char Char Char Char1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568">
    <w:name w:val="正文文字（缩进2字）"/>
    <w:basedOn w:val="454"/>
    <w:autoRedefine/>
    <w:qFormat/>
    <w:uiPriority w:val="0"/>
    <w:pPr>
      <w:spacing w:beforeLines="50" w:afterLines="50" w:line="240" w:lineRule="auto"/>
      <w:ind w:firstLine="200" w:firstLineChars="200"/>
    </w:pPr>
    <w:rPr>
      <w:rFonts w:ascii="Times New Roman" w:eastAsia="宋体"/>
      <w:color w:val="auto"/>
    </w:rPr>
  </w:style>
  <w:style w:type="paragraph" w:customStyle="1" w:styleId="569">
    <w:name w:val="Char1 Char Char Char Char Char Char1"/>
    <w:basedOn w:val="1"/>
    <w:autoRedefine/>
    <w:qFormat/>
    <w:uiPriority w:val="0"/>
    <w:pPr>
      <w:widowControl/>
      <w:jc w:val="left"/>
    </w:pPr>
    <w:rPr>
      <w:rFonts w:ascii="Tahoma" w:hAnsi="Tahoma" w:cs="Calibri"/>
      <w:kern w:val="0"/>
      <w:sz w:val="24"/>
      <w:szCs w:val="20"/>
    </w:rPr>
  </w:style>
  <w:style w:type="paragraph" w:customStyle="1" w:styleId="570">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71">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72">
    <w:name w:val="页脚 字符"/>
    <w:autoRedefine/>
    <w:qFormat/>
    <w:uiPriority w:val="99"/>
  </w:style>
  <w:style w:type="paragraph" w:customStyle="1" w:styleId="573">
    <w:name w:val="纯文本3"/>
    <w:basedOn w:val="1"/>
    <w:autoRedefine/>
    <w:qFormat/>
    <w:uiPriority w:val="0"/>
    <w:pPr>
      <w:widowControl/>
      <w:jc w:val="left"/>
    </w:pPr>
    <w:rPr>
      <w:rFonts w:ascii="宋体" w:hAnsi="Courier New"/>
      <w:kern w:val="0"/>
      <w:sz w:val="24"/>
      <w:szCs w:val="20"/>
    </w:rPr>
  </w:style>
  <w:style w:type="character" w:customStyle="1" w:styleId="574">
    <w:name w:val="页码2"/>
    <w:autoRedefine/>
    <w:qFormat/>
    <w:uiPriority w:val="0"/>
  </w:style>
  <w:style w:type="paragraph" w:customStyle="1" w:styleId="575">
    <w:name w:val="页脚3"/>
    <w:basedOn w:val="1"/>
    <w:autoRedefine/>
    <w:qFormat/>
    <w:uiPriority w:val="0"/>
    <w:pPr>
      <w:widowControl/>
      <w:tabs>
        <w:tab w:val="center" w:pos="4153"/>
        <w:tab w:val="right" w:pos="8306"/>
      </w:tabs>
      <w:snapToGrid w:val="0"/>
      <w:jc w:val="left"/>
    </w:pPr>
    <w:rPr>
      <w:kern w:val="0"/>
      <w:sz w:val="18"/>
      <w:szCs w:val="20"/>
    </w:rPr>
  </w:style>
  <w:style w:type="character" w:customStyle="1" w:styleId="576">
    <w:name w:val="批注引用2"/>
    <w:autoRedefine/>
    <w:qFormat/>
    <w:uiPriority w:val="0"/>
    <w:rPr>
      <w:sz w:val="21"/>
    </w:rPr>
  </w:style>
  <w:style w:type="paragraph" w:customStyle="1" w:styleId="577">
    <w:name w:val="批注框文本3"/>
    <w:basedOn w:val="1"/>
    <w:autoRedefine/>
    <w:qFormat/>
    <w:uiPriority w:val="0"/>
    <w:pPr>
      <w:widowControl/>
      <w:jc w:val="left"/>
    </w:pPr>
    <w:rPr>
      <w:kern w:val="0"/>
      <w:sz w:val="18"/>
      <w:szCs w:val="20"/>
    </w:rPr>
  </w:style>
  <w:style w:type="paragraph" w:customStyle="1" w:styleId="578">
    <w:name w:val="批注主题3"/>
    <w:basedOn w:val="579"/>
    <w:next w:val="579"/>
    <w:autoRedefine/>
    <w:qFormat/>
    <w:uiPriority w:val="0"/>
    <w:rPr>
      <w:b/>
    </w:rPr>
  </w:style>
  <w:style w:type="paragraph" w:customStyle="1" w:styleId="579">
    <w:name w:val="批注文字3"/>
    <w:basedOn w:val="1"/>
    <w:autoRedefine/>
    <w:qFormat/>
    <w:uiPriority w:val="0"/>
    <w:pPr>
      <w:widowControl/>
      <w:jc w:val="left"/>
    </w:pPr>
    <w:rPr>
      <w:kern w:val="0"/>
      <w:sz w:val="24"/>
      <w:szCs w:val="20"/>
    </w:rPr>
  </w:style>
  <w:style w:type="paragraph" w:customStyle="1" w:styleId="580">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81">
    <w:name w:val="正文缩进3"/>
    <w:basedOn w:val="1"/>
    <w:autoRedefine/>
    <w:qFormat/>
    <w:uiPriority w:val="0"/>
    <w:pPr>
      <w:widowControl/>
      <w:ind w:firstLine="420"/>
      <w:jc w:val="left"/>
    </w:pPr>
    <w:rPr>
      <w:rFonts w:cs="Calibri"/>
      <w:kern w:val="0"/>
      <w:sz w:val="24"/>
      <w:szCs w:val="20"/>
    </w:rPr>
  </w:style>
  <w:style w:type="paragraph" w:customStyle="1" w:styleId="582">
    <w:name w:val="修订9"/>
    <w:autoRedefine/>
    <w:qFormat/>
    <w:uiPriority w:val="0"/>
    <w:rPr>
      <w:rFonts w:ascii="Calibri" w:hAnsi="Calibri" w:eastAsia="宋体" w:cs="Calibri"/>
      <w:kern w:val="2"/>
      <w:sz w:val="21"/>
      <w:lang w:val="en-US" w:eastAsia="zh-CN" w:bidi="ar-SA"/>
    </w:rPr>
  </w:style>
  <w:style w:type="paragraph" w:customStyle="1" w:styleId="583">
    <w:name w:val="列出段落5"/>
    <w:basedOn w:val="1"/>
    <w:autoRedefine/>
    <w:qFormat/>
    <w:uiPriority w:val="0"/>
    <w:pPr>
      <w:widowControl/>
      <w:ind w:firstLine="420" w:firstLineChars="200"/>
      <w:jc w:val="left"/>
    </w:pPr>
    <w:rPr>
      <w:rFonts w:cs="Calibri"/>
      <w:kern w:val="0"/>
      <w:sz w:val="24"/>
      <w:szCs w:val="20"/>
    </w:rPr>
  </w:style>
  <w:style w:type="paragraph" w:customStyle="1" w:styleId="584">
    <w:name w:val="标题7"/>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85">
    <w:name w:val="修订10"/>
    <w:autoRedefine/>
    <w:unhideWhenUsed/>
    <w:qFormat/>
    <w:uiPriority w:val="99"/>
    <w:rPr>
      <w:rFonts w:ascii="Calibri" w:hAnsi="Calibri" w:eastAsia="宋体" w:cs="Times New Roman"/>
      <w:kern w:val="2"/>
      <w:sz w:val="21"/>
      <w:szCs w:val="22"/>
      <w:lang w:val="en-US" w:eastAsia="zh-CN" w:bidi="ar-SA"/>
    </w:rPr>
  </w:style>
  <w:style w:type="character" w:customStyle="1" w:styleId="586">
    <w:name w:val="font51"/>
    <w:autoRedefine/>
    <w:qFormat/>
    <w:uiPriority w:val="0"/>
    <w:rPr>
      <w:rFonts w:hint="eastAsia" w:ascii="宋体" w:hAnsi="宋体" w:eastAsia="宋体" w:cs="宋体"/>
      <w:color w:val="000000"/>
      <w:sz w:val="22"/>
      <w:szCs w:val="22"/>
      <w:u w:val="none"/>
    </w:rPr>
  </w:style>
  <w:style w:type="paragraph" w:customStyle="1" w:styleId="587">
    <w:name w:val="列出段落9"/>
    <w:basedOn w:val="1"/>
    <w:autoRedefine/>
    <w:unhideWhenUsed/>
    <w:qFormat/>
    <w:uiPriority w:val="99"/>
    <w:pPr>
      <w:widowControl/>
      <w:ind w:firstLine="420" w:firstLineChars="200"/>
      <w:jc w:val="left"/>
    </w:pPr>
    <w:rPr>
      <w:kern w:val="0"/>
      <w:sz w:val="28"/>
      <w:szCs w:val="20"/>
    </w:rPr>
  </w:style>
  <w:style w:type="paragraph" w:customStyle="1" w:styleId="588">
    <w:name w:val="Char Char Char Char Char Char Char Char Char"/>
    <w:basedOn w:val="1"/>
    <w:autoRedefine/>
    <w:qFormat/>
    <w:uiPriority w:val="0"/>
    <w:pPr>
      <w:widowControl/>
      <w:spacing w:after="160" w:line="240" w:lineRule="exact"/>
      <w:jc w:val="left"/>
    </w:pPr>
    <w:rPr>
      <w:kern w:val="0"/>
      <w:sz w:val="24"/>
      <w:szCs w:val="20"/>
    </w:rPr>
  </w:style>
  <w:style w:type="character" w:customStyle="1" w:styleId="589">
    <w:name w:val="apple-converted-space"/>
    <w:autoRedefine/>
    <w:qFormat/>
    <w:uiPriority w:val="0"/>
  </w:style>
  <w:style w:type="paragraph" w:customStyle="1" w:styleId="590">
    <w:name w:val="前言、引言标题"/>
    <w:next w:val="1"/>
    <w:autoRedefine/>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91">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92">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9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4">
    <w:name w:val="font31"/>
    <w:autoRedefine/>
    <w:qFormat/>
    <w:uiPriority w:val="0"/>
    <w:rPr>
      <w:rFonts w:hint="default" w:ascii="Times New Roman" w:hAnsi="Times New Roman" w:cs="Times New Roman"/>
      <w:color w:val="000000"/>
      <w:sz w:val="20"/>
      <w:szCs w:val="20"/>
      <w:u w:val="none"/>
    </w:rPr>
  </w:style>
  <w:style w:type="paragraph" w:customStyle="1" w:styleId="595">
    <w:name w:val="xl63"/>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6">
    <w:name w:val="xl64"/>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7">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8">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9">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0">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1">
    <w:name w:val="xl69"/>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2">
    <w:name w:val="xl70"/>
    <w:basedOn w:val="1"/>
    <w:autoRedefine/>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3">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4">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5">
    <w:name w:val="xl73"/>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6">
    <w:name w:val="xl74"/>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7">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8">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9">
    <w:name w:val="xl77"/>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0">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1">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2">
    <w:name w:val="xl8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13">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14">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5">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6">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7">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8">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9">
    <w:name w:val="xl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20">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21">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22">
    <w:name w:val="xl9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3">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4">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5">
    <w:name w:val="xl93"/>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6">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7">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8">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9">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0">
    <w:name w:val="xl98"/>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31">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2">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3">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4">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5">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6">
    <w:name w:val="xl104"/>
    <w:basedOn w:val="1"/>
    <w:autoRedefine/>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7">
    <w:name w:val="xl105"/>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8">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9">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40">
    <w:name w:val="中等深浅网格 1 - 强调文字颜色 21"/>
    <w:basedOn w:val="1"/>
    <w:autoRedefine/>
    <w:qFormat/>
    <w:uiPriority w:val="34"/>
    <w:pPr>
      <w:widowControl/>
      <w:ind w:firstLine="420" w:firstLineChars="200"/>
      <w:jc w:val="left"/>
    </w:pPr>
    <w:rPr>
      <w:rFonts w:ascii="Cambria" w:hAnsi="Cambria"/>
      <w:kern w:val="0"/>
      <w:sz w:val="24"/>
    </w:rPr>
  </w:style>
  <w:style w:type="paragraph" w:customStyle="1" w:styleId="641">
    <w:name w:val="三级目录"/>
    <w:basedOn w:val="7"/>
    <w:autoRedefine/>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42">
    <w:name w:val="正文段落"/>
    <w:basedOn w:val="1"/>
    <w:autoRedefine/>
    <w:qFormat/>
    <w:uiPriority w:val="0"/>
    <w:pPr>
      <w:widowControl/>
      <w:spacing w:after="240" w:line="265" w:lineRule="auto"/>
      <w:ind w:firstLine="420" w:firstLineChars="200"/>
      <w:jc w:val="left"/>
    </w:pPr>
    <w:rPr>
      <w:kern w:val="0"/>
      <w:sz w:val="24"/>
      <w:szCs w:val="21"/>
    </w:rPr>
  </w:style>
  <w:style w:type="paragraph" w:customStyle="1" w:styleId="643">
    <w:name w:val="二级目录"/>
    <w:basedOn w:val="6"/>
    <w:autoRedefine/>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44">
    <w:name w:val="_Style 1"/>
    <w:basedOn w:val="1"/>
    <w:autoRedefine/>
    <w:qFormat/>
    <w:uiPriority w:val="0"/>
    <w:pPr>
      <w:widowControl/>
      <w:ind w:firstLine="420" w:firstLineChars="200"/>
      <w:jc w:val="left"/>
    </w:pPr>
    <w:rPr>
      <w:kern w:val="0"/>
      <w:sz w:val="24"/>
      <w:szCs w:val="20"/>
    </w:rPr>
  </w:style>
  <w:style w:type="paragraph" w:customStyle="1" w:styleId="64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6">
    <w:name w:val="正文缩进 字符"/>
    <w:autoRedefine/>
    <w:qFormat/>
    <w:uiPriority w:val="0"/>
    <w:rPr>
      <w:rFonts w:ascii="宋体" w:eastAsia="宋体"/>
      <w:sz w:val="24"/>
      <w:szCs w:val="24"/>
    </w:rPr>
  </w:style>
  <w:style w:type="character" w:customStyle="1" w:styleId="647">
    <w:name w:val="font121"/>
    <w:autoRedefine/>
    <w:qFormat/>
    <w:uiPriority w:val="0"/>
    <w:rPr>
      <w:rFonts w:ascii="微软雅黑" w:hAnsi="微软雅黑" w:eastAsia="微软雅黑" w:cs="微软雅黑"/>
      <w:color w:val="000000"/>
      <w:sz w:val="22"/>
      <w:szCs w:val="22"/>
      <w:u w:val="none"/>
    </w:rPr>
  </w:style>
  <w:style w:type="character" w:customStyle="1" w:styleId="648">
    <w:name w:val="font151"/>
    <w:autoRedefine/>
    <w:qFormat/>
    <w:uiPriority w:val="0"/>
    <w:rPr>
      <w:rFonts w:hint="eastAsia" w:ascii="宋体" w:hAnsi="宋体" w:eastAsia="宋体" w:cs="宋体"/>
      <w:color w:val="000000"/>
      <w:sz w:val="20"/>
      <w:szCs w:val="20"/>
      <w:u w:val="none"/>
    </w:rPr>
  </w:style>
  <w:style w:type="character" w:customStyle="1" w:styleId="649">
    <w:name w:val="font191"/>
    <w:autoRedefine/>
    <w:qFormat/>
    <w:uiPriority w:val="0"/>
    <w:rPr>
      <w:rFonts w:ascii="Arial" w:hAnsi="Arial" w:cs="Arial"/>
      <w:color w:val="000000"/>
      <w:sz w:val="20"/>
      <w:szCs w:val="20"/>
      <w:u w:val="none"/>
    </w:rPr>
  </w:style>
  <w:style w:type="character" w:customStyle="1" w:styleId="650">
    <w:name w:val="font211"/>
    <w:autoRedefine/>
    <w:qFormat/>
    <w:uiPriority w:val="0"/>
    <w:rPr>
      <w:rFonts w:hint="eastAsia" w:ascii="微软雅黑" w:hAnsi="微软雅黑" w:eastAsia="微软雅黑" w:cs="微软雅黑"/>
      <w:color w:val="000000"/>
      <w:sz w:val="20"/>
      <w:szCs w:val="20"/>
      <w:u w:val="none"/>
    </w:rPr>
  </w:style>
  <w:style w:type="character" w:customStyle="1" w:styleId="651">
    <w:name w:val="font101"/>
    <w:autoRedefine/>
    <w:qFormat/>
    <w:uiPriority w:val="0"/>
    <w:rPr>
      <w:rFonts w:hint="eastAsia" w:ascii="宋体" w:hAnsi="宋体" w:eastAsia="宋体" w:cs="宋体"/>
      <w:color w:val="000000"/>
      <w:sz w:val="20"/>
      <w:szCs w:val="20"/>
      <w:u w:val="none"/>
    </w:rPr>
  </w:style>
  <w:style w:type="character" w:customStyle="1" w:styleId="652">
    <w:name w:val="font22"/>
    <w:autoRedefine/>
    <w:qFormat/>
    <w:uiPriority w:val="0"/>
    <w:rPr>
      <w:rFonts w:hint="eastAsia" w:ascii="等线" w:hAnsi="等线" w:eastAsia="等线" w:cs="等线"/>
      <w:color w:val="000000"/>
      <w:sz w:val="22"/>
      <w:szCs w:val="22"/>
      <w:u w:val="none"/>
    </w:rPr>
  </w:style>
  <w:style w:type="character" w:customStyle="1" w:styleId="653">
    <w:name w:val="16"/>
    <w:autoRedefine/>
    <w:qFormat/>
    <w:uiPriority w:val="0"/>
    <w:rPr>
      <w:rFonts w:hint="eastAsia" w:ascii="宋体" w:hAnsi="宋体" w:eastAsia="宋体" w:cs="宋体"/>
      <w:color w:val="000000"/>
      <w:sz w:val="20"/>
      <w:szCs w:val="20"/>
    </w:rPr>
  </w:style>
  <w:style w:type="character" w:customStyle="1" w:styleId="654">
    <w:name w:val="15"/>
    <w:autoRedefine/>
    <w:qFormat/>
    <w:uiPriority w:val="0"/>
    <w:rPr>
      <w:rFonts w:hint="eastAsia" w:ascii="宋体" w:hAnsi="宋体" w:eastAsia="宋体" w:cs="宋体"/>
      <w:color w:val="000000"/>
      <w:sz w:val="20"/>
      <w:szCs w:val="20"/>
    </w:rPr>
  </w:style>
  <w:style w:type="paragraph" w:customStyle="1" w:styleId="655">
    <w:name w:val="修订11"/>
    <w:autoRedefine/>
    <w:unhideWhenUsed/>
    <w:qFormat/>
    <w:uiPriority w:val="99"/>
    <w:rPr>
      <w:rFonts w:ascii="Calibri" w:hAnsi="Calibri" w:eastAsia="宋体" w:cs="Times New Roman"/>
      <w:kern w:val="2"/>
      <w:sz w:val="21"/>
      <w:szCs w:val="22"/>
      <w:lang w:val="en-US" w:eastAsia="zh-CN" w:bidi="ar-SA"/>
    </w:rPr>
  </w:style>
  <w:style w:type="character" w:customStyle="1" w:styleId="656">
    <w:name w:val="nth-child(3)"/>
    <w:autoRedefine/>
    <w:qFormat/>
    <w:uiPriority w:val="0"/>
  </w:style>
  <w:style w:type="character" w:customStyle="1" w:styleId="657">
    <w:name w:val="nth-child(1)"/>
    <w:autoRedefine/>
    <w:qFormat/>
    <w:uiPriority w:val="0"/>
  </w:style>
  <w:style w:type="character" w:customStyle="1" w:styleId="658">
    <w:name w:val="nth-child(2)"/>
    <w:autoRedefine/>
    <w:qFormat/>
    <w:uiPriority w:val="0"/>
  </w:style>
  <w:style w:type="character" w:customStyle="1" w:styleId="659">
    <w:name w:val="last-child"/>
    <w:autoRedefine/>
    <w:qFormat/>
    <w:uiPriority w:val="0"/>
  </w:style>
  <w:style w:type="paragraph" w:customStyle="1" w:styleId="660">
    <w:name w:val="列表段落1"/>
    <w:basedOn w:val="1"/>
    <w:autoRedefine/>
    <w:qFormat/>
    <w:uiPriority w:val="34"/>
    <w:pPr>
      <w:widowControl/>
      <w:ind w:firstLine="420" w:firstLineChars="200"/>
      <w:jc w:val="left"/>
    </w:pPr>
    <w:rPr>
      <w:kern w:val="0"/>
      <w:sz w:val="24"/>
    </w:rPr>
  </w:style>
  <w:style w:type="paragraph" w:customStyle="1" w:styleId="661">
    <w:name w:val="无间隔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修订1111"/>
    <w:autoRedefine/>
    <w:unhideWhenUsed/>
    <w:qFormat/>
    <w:uiPriority w:val="99"/>
    <w:rPr>
      <w:rFonts w:ascii="Calibri" w:hAnsi="Calibri" w:eastAsia="宋体" w:cs="Times New Roman"/>
      <w:kern w:val="2"/>
      <w:sz w:val="21"/>
      <w:szCs w:val="22"/>
      <w:lang w:val="en-US" w:eastAsia="zh-CN" w:bidi="ar-SA"/>
    </w:rPr>
  </w:style>
  <w:style w:type="paragraph" w:customStyle="1" w:styleId="663">
    <w:name w:val="列出段落7"/>
    <w:basedOn w:val="1"/>
    <w:autoRedefine/>
    <w:qFormat/>
    <w:uiPriority w:val="34"/>
    <w:pPr>
      <w:widowControl/>
      <w:ind w:firstLine="420" w:firstLineChars="200"/>
      <w:jc w:val="left"/>
    </w:pPr>
    <w:rPr>
      <w:kern w:val="0"/>
      <w:sz w:val="24"/>
    </w:rPr>
  </w:style>
  <w:style w:type="paragraph" w:customStyle="1" w:styleId="664">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665">
    <w:name w:val="一级无"/>
    <w:basedOn w:val="122"/>
    <w:autoRedefine/>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666">
    <w:name w:val="_Style 328"/>
    <w:basedOn w:val="1"/>
    <w:next w:val="16"/>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7">
    <w:name w:val="正文 A"/>
    <w:autoRedefine/>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668">
    <w:name w:val="font91"/>
    <w:autoRedefine/>
    <w:qFormat/>
    <w:uiPriority w:val="0"/>
    <w:rPr>
      <w:rFonts w:hint="eastAsia" w:ascii="宋体" w:hAnsi="宋体" w:eastAsia="宋体" w:cs="宋体"/>
      <w:color w:val="000000"/>
      <w:sz w:val="20"/>
      <w:szCs w:val="20"/>
      <w:u w:val="none"/>
    </w:rPr>
  </w:style>
  <w:style w:type="paragraph" w:customStyle="1" w:styleId="669">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670">
    <w:name w:val="_Style 66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71">
    <w:name w:val="样式 10 磅13"/>
    <w:autoRedefine/>
    <w:qFormat/>
    <w:uiPriority w:val="0"/>
    <w:pPr>
      <w:widowControl w:val="0"/>
      <w:spacing w:line="278" w:lineRule="auto"/>
      <w:jc w:val="both"/>
    </w:pPr>
    <w:rPr>
      <w:rFonts w:ascii="Calibri" w:hAnsi="Calibri" w:eastAsia="宋体" w:cs="Times New Roman"/>
      <w:kern w:val="2"/>
      <w:sz w:val="21"/>
      <w:szCs w:val="24"/>
      <w:lang w:val="en-US" w:eastAsia="zh-CN" w:bidi="ar-SA"/>
    </w:rPr>
  </w:style>
  <w:style w:type="paragraph" w:customStyle="1" w:styleId="672">
    <w:name w:val="图"/>
    <w:basedOn w:val="1"/>
    <w:autoRedefine/>
    <w:qFormat/>
    <w:uiPriority w:val="0"/>
    <w:pPr>
      <w:keepNext/>
      <w:spacing w:before="60" w:after="60" w:line="300" w:lineRule="auto"/>
      <w:jc w:val="center"/>
      <w:textAlignment w:val="center"/>
    </w:pPr>
    <w:rPr>
      <w:snapToGrid w:val="0"/>
      <w:spacing w:val="20"/>
      <w:sz w:val="24"/>
      <w:szCs w:val="20"/>
    </w:rPr>
  </w:style>
  <w:style w:type="paragraph" w:customStyle="1" w:styleId="673">
    <w:name w:val="普通 (Web)"/>
    <w:basedOn w:val="1"/>
    <w:autoRedefine/>
    <w:qFormat/>
    <w:uiPriority w:val="0"/>
    <w:pPr>
      <w:widowControl/>
      <w:suppressAutoHyphens/>
      <w:spacing w:before="100" w:after="100"/>
      <w:jc w:val="left"/>
    </w:pPr>
    <w:rPr>
      <w:rFonts w:ascii="Arial Unicode MS" w:hAnsi="Arial Unicode MS" w:eastAsia="Arial Unicode MS" w:cs="Courier New"/>
      <w:color w:val="000000"/>
      <w:kern w:val="1"/>
      <w:sz w:val="24"/>
      <w:szCs w:val="20"/>
      <w:lang w:eastAsia="ar-SA"/>
    </w:rPr>
  </w:style>
  <w:style w:type="paragraph" w:customStyle="1" w:styleId="674">
    <w:name w:val="WW-普通文字"/>
    <w:basedOn w:val="1"/>
    <w:autoRedefine/>
    <w:qFormat/>
    <w:uiPriority w:val="0"/>
    <w:pPr>
      <w:suppressAutoHyphens/>
    </w:pPr>
    <w:rPr>
      <w:rFonts w:ascii="宋体" w:hAnsi="宋体"/>
      <w:kern w:val="1"/>
      <w:szCs w:val="20"/>
      <w:lang w:eastAsia="ar-SA"/>
    </w:rPr>
  </w:style>
  <w:style w:type="paragraph" w:customStyle="1" w:styleId="675">
    <w:name w:val="正文1"/>
    <w:basedOn w:val="1"/>
    <w:autoRedefine/>
    <w:qFormat/>
    <w:uiPriority w:val="0"/>
    <w:pPr>
      <w:spacing w:line="480" w:lineRule="exact"/>
      <w:ind w:firstLine="480" w:firstLineChars="200"/>
    </w:pPr>
    <w:rPr>
      <w:rFonts w:ascii="宋体" w:hAnsi="Calibri"/>
      <w:sz w:val="24"/>
      <w:szCs w:val="20"/>
    </w:rPr>
  </w:style>
  <w:style w:type="paragraph" w:customStyle="1" w:styleId="676">
    <w:name w:val="修订6"/>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png"/><Relationship Id="rId3" Type="http://schemas.openxmlformats.org/officeDocument/2006/relationships/header" Target="head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6C7B9-E255-4DBD-8FDB-EAC76EB7A9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123</Pages>
  <Words>10317</Words>
  <Characters>58812</Characters>
  <Lines>490</Lines>
  <Paragraphs>137</Paragraphs>
  <TotalTime>0</TotalTime>
  <ScaleCrop>false</ScaleCrop>
  <LinksUpToDate>false</LinksUpToDate>
  <CharactersWithSpaces>68992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2025-01-26T10:04:00Z</dcterms:created>
  <dc:creator>尹皓</dc:creator>
  <cp:lastModifiedBy>微信用户</cp:lastModifiedBy>
  <cp:lastPrinted>2020-04-05T19:13:00Z</cp:lastPrinted>
  <dcterms:modified xsi:type="dcterms:W3CDTF">2025-10-17T03:09:05Z</dcterms:modified>
  <dc:title>02年杜范本稿</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C4521A81A8C84111BF75FA09FF73BCC8_13</vt:lpwstr>
  </property>
  <property fmtid="{D5CDD505-2E9C-101B-9397-08002B2CF9AE}" pid="4" name="KSOTemplateDocerSaveRecord">
    <vt:lpwstr>eyJoZGlkIjoiZTQwZDgyM2YxNjQ4MjQyOGFiZDk1ZGJlYjI2MWVmOGQiLCJ1c2VySWQiOiIxMjIxNzY4MDAwIn0=</vt:lpwstr>
  </property>
</Properties>
</file>