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5730C10">
      <w:pPr>
        <w:spacing w:line="360" w:lineRule="auto"/>
        <w:ind w:firstLine="300" w:firstLineChars="50"/>
        <w:rPr>
          <w:rFonts w:hint="eastAsia" w:ascii="宋体" w:hAnsi="宋体" w:eastAsia="宋体" w:cs="宋体"/>
          <w:color w:val="auto"/>
          <w:sz w:val="60"/>
          <w:szCs w:val="60"/>
          <w:highlight w:val="none"/>
        </w:rPr>
      </w:pPr>
    </w:p>
    <w:p w14:paraId="39A2B43B">
      <w:pPr>
        <w:spacing w:line="360" w:lineRule="auto"/>
        <w:ind w:firstLine="300" w:firstLineChars="50"/>
        <w:rPr>
          <w:rFonts w:hint="eastAsia" w:ascii="宋体" w:hAnsi="宋体" w:eastAsia="宋体" w:cs="宋体"/>
          <w:color w:val="auto"/>
          <w:sz w:val="60"/>
          <w:szCs w:val="60"/>
          <w:highlight w:val="none"/>
        </w:rPr>
      </w:pPr>
    </w:p>
    <w:p w14:paraId="31E8FCEC">
      <w:pPr>
        <w:jc w:val="center"/>
        <w:rPr>
          <w:rFonts w:hint="eastAsia" w:ascii="宋体" w:hAnsi="宋体" w:eastAsia="宋体" w:cs="宋体"/>
          <w:b/>
          <w:bCs/>
          <w:color w:val="auto"/>
          <w:sz w:val="60"/>
          <w:szCs w:val="60"/>
          <w:highlight w:val="none"/>
        </w:rPr>
      </w:pPr>
      <w:r>
        <w:rPr>
          <w:rFonts w:hint="eastAsia" w:ascii="宋体" w:hAnsi="宋体" w:eastAsia="宋体" w:cs="宋体"/>
          <w:b/>
          <w:bCs/>
          <w:color w:val="auto"/>
          <w:sz w:val="60"/>
          <w:szCs w:val="60"/>
          <w:highlight w:val="none"/>
        </w:rPr>
        <w:t>北京市政府采购项目</w:t>
      </w:r>
    </w:p>
    <w:p w14:paraId="523BBA22">
      <w:pPr>
        <w:jc w:val="center"/>
        <w:rPr>
          <w:rFonts w:hint="eastAsia" w:ascii="宋体" w:hAnsi="宋体" w:eastAsia="宋体" w:cs="宋体"/>
          <w:b/>
          <w:bCs/>
          <w:color w:val="auto"/>
          <w:sz w:val="60"/>
          <w:szCs w:val="60"/>
          <w:highlight w:val="none"/>
        </w:rPr>
      </w:pPr>
      <w:r>
        <w:rPr>
          <w:rFonts w:hint="eastAsia" w:ascii="宋体" w:hAnsi="宋体" w:eastAsia="宋体" w:cs="宋体"/>
          <w:b/>
          <w:bCs/>
          <w:color w:val="auto"/>
          <w:sz w:val="60"/>
          <w:szCs w:val="60"/>
          <w:highlight w:val="none"/>
        </w:rPr>
        <w:t>公开招标文件示范文本</w:t>
      </w:r>
    </w:p>
    <w:p w14:paraId="5860805E">
      <w:pPr>
        <w:jc w:val="center"/>
        <w:rPr>
          <w:rFonts w:hint="eastAsia" w:ascii="宋体" w:hAnsi="宋体" w:eastAsia="宋体" w:cs="宋体"/>
          <w:b/>
          <w:bCs/>
          <w:color w:val="auto"/>
          <w:sz w:val="60"/>
          <w:szCs w:val="60"/>
          <w:highlight w:val="none"/>
        </w:rPr>
      </w:pPr>
      <w:r>
        <w:rPr>
          <w:rFonts w:hint="eastAsia" w:ascii="宋体" w:hAnsi="宋体" w:eastAsia="宋体" w:cs="宋体"/>
          <w:b/>
          <w:bCs/>
          <w:color w:val="auto"/>
          <w:sz w:val="60"/>
          <w:szCs w:val="60"/>
          <w:highlight w:val="none"/>
        </w:rPr>
        <w:t>（2024年版）</w:t>
      </w:r>
    </w:p>
    <w:p w14:paraId="09298412">
      <w:pPr>
        <w:spacing w:line="360" w:lineRule="auto"/>
        <w:jc w:val="both"/>
        <w:rPr>
          <w:rFonts w:hint="eastAsia" w:ascii="宋体" w:hAnsi="宋体" w:eastAsia="宋体" w:cs="宋体"/>
          <w:color w:val="auto"/>
          <w:sz w:val="60"/>
          <w:szCs w:val="60"/>
          <w:highlight w:val="none"/>
        </w:rPr>
      </w:pPr>
    </w:p>
    <w:p w14:paraId="55CEB7F6">
      <w:pPr>
        <w:tabs>
          <w:tab w:val="left" w:pos="3240"/>
          <w:tab w:val="left" w:pos="3420"/>
        </w:tabs>
        <w:spacing w:line="360" w:lineRule="auto"/>
        <w:ind w:left="2832" w:leftChars="444" w:hanging="1900" w:hangingChars="528"/>
        <w:jc w:val="left"/>
        <w:rPr>
          <w:rFonts w:hint="eastAsia" w:ascii="宋体" w:hAnsi="宋体" w:eastAsia="宋体" w:cs="宋体"/>
          <w:bCs/>
          <w:color w:val="auto"/>
          <w:sz w:val="36"/>
          <w:szCs w:val="36"/>
          <w:highlight w:val="none"/>
        </w:rPr>
      </w:pPr>
    </w:p>
    <w:p w14:paraId="530A445B">
      <w:pPr>
        <w:tabs>
          <w:tab w:val="left" w:pos="3240"/>
          <w:tab w:val="left" w:pos="3420"/>
        </w:tabs>
        <w:spacing w:line="360" w:lineRule="auto"/>
        <w:ind w:left="2832" w:leftChars="444" w:hanging="1900" w:hangingChars="528"/>
        <w:jc w:val="left"/>
        <w:rPr>
          <w:rFonts w:hint="eastAsia" w:ascii="宋体" w:hAnsi="宋体" w:eastAsia="宋体" w:cs="宋体"/>
          <w:bCs/>
          <w:color w:val="auto"/>
          <w:sz w:val="36"/>
          <w:szCs w:val="36"/>
          <w:highlight w:val="none"/>
        </w:rPr>
      </w:pPr>
    </w:p>
    <w:p w14:paraId="6F26D3B5">
      <w:pPr>
        <w:tabs>
          <w:tab w:val="left" w:pos="3240"/>
          <w:tab w:val="left" w:pos="3420"/>
        </w:tabs>
        <w:spacing w:line="360" w:lineRule="auto"/>
        <w:ind w:left="2832" w:leftChars="444" w:hanging="1900" w:hangingChars="528"/>
        <w:jc w:val="left"/>
        <w:rPr>
          <w:rFonts w:hint="eastAsia" w:ascii="宋体" w:hAnsi="宋体" w:eastAsia="宋体" w:cs="宋体"/>
          <w:bCs/>
          <w:color w:val="auto"/>
          <w:sz w:val="36"/>
          <w:szCs w:val="36"/>
          <w:highlight w:val="none"/>
        </w:rPr>
      </w:pPr>
    </w:p>
    <w:p w14:paraId="18BC6BED">
      <w:pPr>
        <w:tabs>
          <w:tab w:val="left" w:pos="3240"/>
          <w:tab w:val="left" w:pos="3420"/>
        </w:tabs>
        <w:spacing w:line="360" w:lineRule="auto"/>
        <w:ind w:left="2832" w:leftChars="444" w:hanging="1900" w:hangingChars="528"/>
        <w:jc w:val="left"/>
        <w:rPr>
          <w:rFonts w:hint="eastAsia" w:ascii="宋体" w:hAnsi="宋体" w:eastAsia="宋体" w:cs="宋体"/>
          <w:bCs/>
          <w:color w:val="auto"/>
          <w:sz w:val="36"/>
          <w:szCs w:val="36"/>
          <w:highlight w:val="none"/>
          <w:lang w:eastAsia="zh-CN"/>
        </w:rPr>
      </w:pPr>
      <w:r>
        <w:rPr>
          <w:rFonts w:hint="eastAsia" w:ascii="宋体" w:hAnsi="宋体" w:eastAsia="宋体" w:cs="宋体"/>
          <w:bCs/>
          <w:color w:val="auto"/>
          <w:sz w:val="36"/>
          <w:szCs w:val="36"/>
          <w:highlight w:val="none"/>
        </w:rPr>
        <w:t>项目名称：</w:t>
      </w:r>
      <w:r>
        <w:rPr>
          <w:rFonts w:hint="eastAsia" w:ascii="宋体" w:hAnsi="宋体" w:cs="宋体"/>
          <w:bCs/>
          <w:color w:val="auto"/>
          <w:sz w:val="36"/>
          <w:szCs w:val="36"/>
          <w:highlight w:val="none"/>
          <w:lang w:eastAsia="zh-CN"/>
        </w:rPr>
        <w:t>2025年医用设备购置项目（分散采购）</w:t>
      </w:r>
    </w:p>
    <w:p w14:paraId="0F851E38">
      <w:pPr>
        <w:tabs>
          <w:tab w:val="left" w:pos="3240"/>
          <w:tab w:val="left" w:pos="3420"/>
        </w:tabs>
        <w:spacing w:line="360" w:lineRule="auto"/>
        <w:ind w:left="2832" w:leftChars="444" w:hanging="1900" w:hangingChars="528"/>
        <w:jc w:val="left"/>
        <w:rPr>
          <w:rFonts w:hint="default" w:ascii="宋体" w:hAnsi="宋体" w:eastAsia="宋体" w:cs="宋体"/>
          <w:bCs/>
          <w:color w:val="auto"/>
          <w:sz w:val="36"/>
          <w:szCs w:val="36"/>
          <w:highlight w:val="none"/>
          <w:lang w:val="en-US" w:eastAsia="zh-CN"/>
        </w:rPr>
      </w:pPr>
      <w:r>
        <w:rPr>
          <w:rFonts w:hint="eastAsia" w:ascii="宋体" w:hAnsi="宋体" w:eastAsia="宋体" w:cs="宋体"/>
          <w:bCs/>
          <w:color w:val="auto"/>
          <w:sz w:val="36"/>
          <w:szCs w:val="36"/>
          <w:highlight w:val="none"/>
        </w:rPr>
        <w:t>项目编号：</w:t>
      </w:r>
      <w:r>
        <w:rPr>
          <w:rFonts w:hint="eastAsia" w:ascii="宋体" w:hAnsi="宋体" w:cs="宋体"/>
          <w:bCs/>
          <w:color w:val="auto"/>
          <w:sz w:val="36"/>
          <w:szCs w:val="36"/>
          <w:highlight w:val="none"/>
          <w:lang w:val="en-US" w:eastAsia="zh-CN"/>
        </w:rPr>
        <w:t>TC250V0RE/01/02/03/04</w:t>
      </w:r>
    </w:p>
    <w:p w14:paraId="00E509E3">
      <w:pPr>
        <w:tabs>
          <w:tab w:val="left" w:pos="3240"/>
          <w:tab w:val="left" w:pos="3420"/>
        </w:tabs>
        <w:spacing w:line="360" w:lineRule="auto"/>
        <w:ind w:left="2832" w:leftChars="444" w:hanging="1900" w:hangingChars="528"/>
        <w:jc w:val="left"/>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采 购 人：首都医科大学宣武医院</w:t>
      </w:r>
    </w:p>
    <w:p w14:paraId="6CFA7927">
      <w:pPr>
        <w:tabs>
          <w:tab w:val="left" w:pos="3240"/>
          <w:tab w:val="left" w:pos="3420"/>
        </w:tabs>
        <w:spacing w:line="360" w:lineRule="auto"/>
        <w:ind w:left="2832" w:leftChars="444" w:hanging="1900" w:hangingChars="528"/>
        <w:jc w:val="left"/>
        <w:rPr>
          <w:rFonts w:hint="eastAsia" w:ascii="宋体" w:hAnsi="宋体" w:eastAsia="宋体" w:cs="宋体"/>
          <w:b/>
          <w:bCs/>
          <w:color w:val="auto"/>
          <w:sz w:val="44"/>
          <w:highlight w:val="none"/>
        </w:rPr>
      </w:pPr>
      <w:r>
        <w:rPr>
          <w:rFonts w:hint="eastAsia" w:ascii="宋体" w:hAnsi="宋体" w:eastAsia="宋体" w:cs="宋体"/>
          <w:bCs/>
          <w:color w:val="auto"/>
          <w:sz w:val="36"/>
          <w:szCs w:val="36"/>
          <w:highlight w:val="none"/>
        </w:rPr>
        <w:t>采购代理机构： 中招国际招标有限公司</w:t>
      </w:r>
    </w:p>
    <w:p w14:paraId="6D8C05C2">
      <w:pPr>
        <w:spacing w:line="360" w:lineRule="auto"/>
        <w:ind w:firstLine="7228" w:firstLineChars="1000"/>
        <w:rPr>
          <w:rFonts w:hint="eastAsia" w:ascii="宋体" w:hAnsi="宋体" w:eastAsia="宋体" w:cs="宋体"/>
          <w:b/>
          <w:color w:val="auto"/>
          <w:sz w:val="72"/>
          <w:highlight w:val="none"/>
        </w:rPr>
        <w:sectPr>
          <w:headerReference r:id="rId7" w:type="first"/>
          <w:footerReference r:id="rId10" w:type="first"/>
          <w:headerReference r:id="rId5" w:type="default"/>
          <w:footerReference r:id="rId8" w:type="default"/>
          <w:headerReference r:id="rId6" w:type="even"/>
          <w:footerReference r:id="rId9" w:type="even"/>
          <w:type w:val="nextColumn"/>
          <w:pgSz w:w="11907" w:h="16840"/>
          <w:pgMar w:top="1418" w:right="1134" w:bottom="1418" w:left="1701" w:header="851" w:footer="851" w:gutter="0"/>
          <w:pgNumType w:start="1"/>
          <w:cols w:space="720" w:num="1"/>
          <w:titlePg/>
          <w:docGrid w:linePitch="462" w:charSpace="0"/>
        </w:sectPr>
      </w:pPr>
    </w:p>
    <w:p w14:paraId="7E2B4663">
      <w:pPr>
        <w:pStyle w:val="32"/>
        <w:jc w:val="center"/>
        <w:rPr>
          <w:rFonts w:hint="eastAsia" w:ascii="宋体" w:hAnsi="宋体" w:eastAsia="宋体" w:cs="宋体"/>
          <w:color w:val="auto"/>
          <w:sz w:val="36"/>
          <w:szCs w:val="36"/>
          <w:highlight w:val="none"/>
        </w:rPr>
      </w:pPr>
      <w:bookmarkStart w:id="0" w:name="_Toc99301418"/>
      <w:r>
        <w:rPr>
          <w:rFonts w:hint="eastAsia" w:ascii="宋体" w:hAnsi="宋体" w:eastAsia="宋体" w:cs="宋体"/>
          <w:color w:val="auto"/>
          <w:sz w:val="36"/>
          <w:szCs w:val="36"/>
          <w:highlight w:val="none"/>
        </w:rPr>
        <w:t>目      录</w:t>
      </w:r>
      <w:bookmarkEnd w:id="0"/>
    </w:p>
    <w:p w14:paraId="0CEAD9B8">
      <w:pPr>
        <w:pStyle w:val="32"/>
        <w:jc w:val="center"/>
        <w:rPr>
          <w:rFonts w:hint="eastAsia" w:ascii="宋体" w:hAnsi="宋体" w:eastAsia="宋体" w:cs="宋体"/>
          <w:b w:val="0"/>
          <w:color w:val="auto"/>
          <w:sz w:val="21"/>
          <w:szCs w:val="22"/>
          <w:highlight w:val="none"/>
        </w:rPr>
      </w:pPr>
      <w:r>
        <w:rPr>
          <w:rFonts w:hint="eastAsia" w:ascii="宋体" w:hAnsi="宋体" w:eastAsia="宋体" w:cs="宋体"/>
          <w:b w:val="0"/>
          <w:color w:val="auto"/>
          <w:highlight w:val="none"/>
        </w:rPr>
        <w:fldChar w:fldCharType="begin"/>
      </w:r>
      <w:r>
        <w:rPr>
          <w:rFonts w:hint="eastAsia" w:ascii="宋体" w:hAnsi="宋体" w:eastAsia="宋体" w:cs="宋体"/>
          <w:b w:val="0"/>
          <w:color w:val="auto"/>
          <w:highlight w:val="none"/>
        </w:rPr>
        <w:instrText xml:space="preserve"> TOC \o "1-1" \h \z \u </w:instrText>
      </w:r>
      <w:r>
        <w:rPr>
          <w:rFonts w:hint="eastAsia" w:ascii="宋体" w:hAnsi="宋体" w:eastAsia="宋体" w:cs="宋体"/>
          <w:b w:val="0"/>
          <w:color w:val="auto"/>
          <w:highlight w:val="none"/>
        </w:rPr>
        <w:fldChar w:fldCharType="separate"/>
      </w:r>
    </w:p>
    <w:p w14:paraId="28AF1D92">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"_Toc99301419"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第一章   投标邀请</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_Toc99301419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610E2694">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"_Toc99301420"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第二章   投标人须知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76EAF2F9">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"_Toc99301421"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第三章   资格审查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_Toc99301421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E783A49">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"_Toc99301423"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第四章   评标程序、评标方法和评标标准</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5560D7DD">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"_Toc99301424"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第五章   采购需求</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7F460EDA">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"_Toc99301425"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第六章   拟签订的合同文本</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60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3DB4ABAB">
      <w:pPr>
        <w:pStyle w:val="32"/>
        <w:spacing w:line="360" w:lineRule="auto"/>
        <w:rPr>
          <w:rFonts w:hint="eastAsia" w:ascii="宋体" w:hAnsi="宋体" w:eastAsia="宋体" w:cs="宋体"/>
          <w:b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"_Toc99301426" </w:instrText>
      </w:r>
      <w:r>
        <w:rPr>
          <w:rFonts w:hint="eastAsia" w:ascii="宋体" w:hAnsi="宋体" w:eastAsia="宋体" w:cs="宋体"/>
          <w:color w:val="auto"/>
          <w:highlight w:val="none"/>
        </w:rPr>
        <w:fldChar w:fldCharType="separate"/>
      </w:r>
      <w:r>
        <w:rPr>
          <w:rStyle w:val="51"/>
          <w:rFonts w:hint="eastAsia" w:ascii="宋体" w:hAnsi="宋体" w:eastAsia="宋体" w:cs="宋体"/>
          <w:color w:val="auto"/>
          <w:sz w:val="28"/>
          <w:szCs w:val="28"/>
          <w:highlight w:val="none"/>
        </w:rPr>
        <w:t>第七章   投标文件格式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_Toc99301426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2B241AF">
      <w:pPr>
        <w:pStyle w:val="32"/>
        <w:spacing w:line="480" w:lineRule="auto"/>
        <w:rPr>
          <w:rFonts w:hint="eastAsia" w:ascii="宋体" w:hAnsi="宋体" w:eastAsia="宋体" w:cs="宋体"/>
          <w:color w:val="auto"/>
          <w:highlight w:val="none"/>
        </w:rPr>
      </w:pPr>
      <w:r>
        <w:rPr>
          <w:rFonts w:hint="eastAsia" w:ascii="宋体" w:hAnsi="宋体" w:eastAsia="宋体" w:cs="宋体"/>
          <w:b w:val="0"/>
          <w:color w:val="auto"/>
          <w:highlight w:val="none"/>
        </w:rPr>
        <w:fldChar w:fldCharType="end"/>
      </w:r>
      <w:r>
        <w:rPr>
          <w:rFonts w:hint="eastAsia" w:ascii="宋体" w:hAnsi="宋体" w:eastAsia="宋体" w:cs="宋体"/>
          <w:color w:val="auto"/>
          <w:highlight w:val="none"/>
        </w:rPr>
        <w:t>注：采购文件条款中以 “■”形式标记的内容适用于本项目，以“□”形式标记的内容不适用于本项目。</w:t>
      </w:r>
    </w:p>
    <w:p w14:paraId="2B8E942B">
      <w:pPr>
        <w:pStyle w:val="32"/>
        <w:spacing w:line="360" w:lineRule="auto"/>
        <w:rPr>
          <w:rFonts w:hint="eastAsia" w:ascii="宋体" w:hAnsi="宋体" w:eastAsia="宋体" w:cs="宋体"/>
          <w:b w:val="0"/>
          <w:color w:val="auto"/>
          <w:highlight w:val="none"/>
        </w:rPr>
      </w:pPr>
    </w:p>
    <w:p w14:paraId="17D6F4F0">
      <w:pPr>
        <w:spacing w:line="360" w:lineRule="auto"/>
        <w:jc w:val="center"/>
        <w:outlineLvl w:val="0"/>
        <w:rPr>
          <w:rFonts w:hint="eastAsia" w:ascii="宋体" w:hAnsi="宋体" w:eastAsia="宋体" w:cs="宋体"/>
          <w:b/>
          <w:color w:val="auto"/>
          <w:sz w:val="36"/>
          <w:szCs w:val="36"/>
          <w:highlight w:val="none"/>
        </w:rPr>
      </w:pPr>
      <w:r>
        <w:rPr>
          <w:rFonts w:hint="eastAsia" w:ascii="宋体" w:hAnsi="宋体" w:eastAsia="宋体" w:cs="宋体"/>
          <w:color w:val="auto"/>
          <w:sz w:val="24"/>
          <w:highlight w:val="none"/>
        </w:rPr>
        <w:br w:type="page"/>
      </w:r>
      <w:bookmarkStart w:id="1" w:name="_Toc99301419"/>
      <w:r>
        <w:rPr>
          <w:rFonts w:hint="eastAsia" w:ascii="宋体" w:hAnsi="宋体" w:eastAsia="宋体" w:cs="宋体"/>
          <w:b/>
          <w:color w:val="auto"/>
          <w:sz w:val="36"/>
          <w:szCs w:val="36"/>
          <w:highlight w:val="none"/>
        </w:rPr>
        <w:t>第一章   投标邀请</w:t>
      </w:r>
      <w:bookmarkEnd w:id="1"/>
    </w:p>
    <w:p w14:paraId="2DC5613B">
      <w:pPr>
        <w:pStyle w:val="6"/>
        <w:spacing w:before="0" w:line="360" w:lineRule="auto"/>
        <w:jc w:val="left"/>
        <w:rPr>
          <w:rFonts w:hint="eastAsia" w:ascii="宋体" w:hAnsi="宋体" w:eastAsia="宋体" w:cs="宋体"/>
          <w:color w:val="auto"/>
          <w:sz w:val="24"/>
          <w:szCs w:val="24"/>
          <w:highlight w:val="none"/>
        </w:rPr>
      </w:pPr>
      <w:bookmarkStart w:id="2" w:name="_Toc28359002"/>
      <w:bookmarkStart w:id="3" w:name="_Toc35393621"/>
      <w:bookmarkStart w:id="4" w:name="_Toc35393790"/>
      <w:bookmarkStart w:id="5" w:name="_Toc28359079"/>
      <w:bookmarkStart w:id="6" w:name="_Hlk24379207"/>
      <w:r>
        <w:rPr>
          <w:rFonts w:hint="eastAsia" w:ascii="宋体" w:hAnsi="宋体" w:eastAsia="宋体" w:cs="宋体"/>
          <w:color w:val="auto"/>
          <w:sz w:val="24"/>
          <w:szCs w:val="24"/>
          <w:highlight w:val="none"/>
        </w:rPr>
        <w:t>一、项目基本情况</w:t>
      </w:r>
      <w:bookmarkEnd w:id="2"/>
      <w:bookmarkEnd w:id="3"/>
      <w:bookmarkEnd w:id="4"/>
      <w:bookmarkEnd w:id="5"/>
    </w:p>
    <w:p w14:paraId="082FD12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1.项目编号：TC250V0RE</w:t>
      </w:r>
    </w:p>
    <w:p w14:paraId="2D769769">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2.项目名称：</w:t>
      </w:r>
      <w:r>
        <w:rPr>
          <w:rFonts w:hint="eastAsia" w:ascii="宋体" w:hAnsi="宋体" w:cs="宋体"/>
          <w:color w:val="auto"/>
          <w:sz w:val="24"/>
          <w:highlight w:val="none"/>
          <w:lang w:eastAsia="zh-CN"/>
        </w:rPr>
        <w:t>2025年医用设备购置项目（分散采购）</w:t>
      </w:r>
    </w:p>
    <w:bookmarkEnd w:id="6"/>
    <w:p w14:paraId="49360572">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eastAsia="宋体" w:cs="宋体"/>
          <w:color w:val="auto"/>
          <w:sz w:val="24"/>
          <w:highlight w:val="none"/>
        </w:rPr>
        <w:t>3.项目预算金额：</w:t>
      </w:r>
      <w:r>
        <w:rPr>
          <w:rFonts w:hint="eastAsia" w:ascii="宋体" w:hAnsi="宋体" w:cs="宋体"/>
          <w:color w:val="auto"/>
          <w:sz w:val="24"/>
          <w:highlight w:val="none"/>
          <w:lang w:val="en-US" w:eastAsia="zh-CN"/>
        </w:rPr>
        <w:t>828.00</w:t>
      </w:r>
      <w:r>
        <w:rPr>
          <w:rFonts w:hint="eastAsia" w:ascii="宋体" w:hAnsi="宋体" w:eastAsia="宋体" w:cs="宋体"/>
          <w:color w:val="auto"/>
          <w:sz w:val="24"/>
          <w:highlight w:val="none"/>
        </w:rPr>
        <w:t>万元；最高限价：</w:t>
      </w:r>
      <w:r>
        <w:rPr>
          <w:rFonts w:hint="eastAsia" w:ascii="宋体" w:hAnsi="宋体" w:cs="宋体"/>
          <w:color w:val="auto"/>
          <w:sz w:val="24"/>
          <w:highlight w:val="none"/>
          <w:lang w:val="en-US" w:eastAsia="zh-CN"/>
        </w:rPr>
        <w:t>详见采购需求</w:t>
      </w:r>
    </w:p>
    <w:p w14:paraId="19FFB41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4.采购需求：</w:t>
      </w:r>
    </w:p>
    <w:tbl>
      <w:tblPr>
        <w:tblStyle w:val="4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955"/>
        <w:gridCol w:w="2511"/>
        <w:gridCol w:w="682"/>
        <w:gridCol w:w="1659"/>
        <w:gridCol w:w="682"/>
        <w:gridCol w:w="1189"/>
        <w:gridCol w:w="1102"/>
      </w:tblGrid>
      <w:tr w14:paraId="2BAC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1" w:type="pct"/>
            <w:vAlign w:val="center"/>
          </w:tcPr>
          <w:p w14:paraId="01ACBD50">
            <w:pPr>
              <w:spacing w:line="240" w:lineRule="auto"/>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包号</w:t>
            </w:r>
          </w:p>
        </w:tc>
        <w:tc>
          <w:tcPr>
            <w:tcW w:w="514" w:type="pct"/>
            <w:vAlign w:val="center"/>
          </w:tcPr>
          <w:p w14:paraId="1D625055">
            <w:pPr>
              <w:spacing w:line="240" w:lineRule="auto"/>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品目</w:t>
            </w:r>
          </w:p>
        </w:tc>
        <w:tc>
          <w:tcPr>
            <w:tcW w:w="1352" w:type="pct"/>
            <w:vAlign w:val="center"/>
          </w:tcPr>
          <w:p w14:paraId="5AE74934">
            <w:pPr>
              <w:spacing w:line="240" w:lineRule="auto"/>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标的名称</w:t>
            </w:r>
          </w:p>
        </w:tc>
        <w:tc>
          <w:tcPr>
            <w:tcW w:w="367" w:type="pct"/>
            <w:vAlign w:val="center"/>
          </w:tcPr>
          <w:p w14:paraId="53D9F78A">
            <w:pPr>
              <w:spacing w:line="240" w:lineRule="auto"/>
              <w:jc w:val="center"/>
              <w:rPr>
                <w:rFonts w:hint="eastAsia" w:ascii="宋体" w:hAnsi="宋体" w:eastAsia="宋体" w:cs="宋体"/>
                <w:bCs/>
                <w:color w:val="auto"/>
                <w:szCs w:val="21"/>
                <w:highlight w:val="none"/>
              </w:rPr>
            </w:pPr>
            <w:r>
              <w:rPr>
                <w:rFonts w:hint="eastAsia" w:ascii="宋体" w:hAnsi="宋体" w:eastAsia="宋体" w:cs="宋体"/>
                <w:color w:val="auto"/>
                <w:sz w:val="24"/>
                <w:highlight w:val="none"/>
              </w:rPr>
              <w:t>数量</w:t>
            </w:r>
          </w:p>
        </w:tc>
        <w:tc>
          <w:tcPr>
            <w:tcW w:w="893" w:type="pct"/>
            <w:vAlign w:val="center"/>
          </w:tcPr>
          <w:p w14:paraId="1F6FD965">
            <w:pPr>
              <w:spacing w:line="24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最高限价单价</w:t>
            </w:r>
            <w:r>
              <w:rPr>
                <w:rFonts w:hint="eastAsia"/>
                <w:color w:val="auto"/>
                <w:highlight w:val="none"/>
                <w:lang w:eastAsia="zh-CN"/>
              </w:rPr>
              <w:t>（</w:t>
            </w:r>
            <w:r>
              <w:rPr>
                <w:rFonts w:hint="eastAsia"/>
                <w:color w:val="auto"/>
                <w:highlight w:val="none"/>
                <w:lang w:val="en-US" w:eastAsia="zh-CN"/>
              </w:rPr>
              <w:t>万元</w:t>
            </w:r>
            <w:r>
              <w:rPr>
                <w:rFonts w:hint="eastAsia"/>
                <w:color w:val="auto"/>
                <w:highlight w:val="none"/>
                <w:lang w:eastAsia="zh-CN"/>
              </w:rPr>
              <w:t>）</w:t>
            </w:r>
          </w:p>
        </w:tc>
        <w:tc>
          <w:tcPr>
            <w:tcW w:w="367" w:type="pct"/>
            <w:vAlign w:val="center"/>
          </w:tcPr>
          <w:p w14:paraId="6FF2D933">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是否进口</w:t>
            </w:r>
          </w:p>
        </w:tc>
        <w:tc>
          <w:tcPr>
            <w:tcW w:w="640" w:type="pct"/>
            <w:vAlign w:val="center"/>
          </w:tcPr>
          <w:p w14:paraId="538FB7C8">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是否核心产品</w:t>
            </w:r>
          </w:p>
        </w:tc>
        <w:tc>
          <w:tcPr>
            <w:tcW w:w="593" w:type="pct"/>
            <w:vAlign w:val="center"/>
          </w:tcPr>
          <w:p w14:paraId="7B133A30">
            <w:pPr>
              <w:spacing w:line="24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保修期</w:t>
            </w:r>
          </w:p>
        </w:tc>
      </w:tr>
      <w:tr w14:paraId="0DB4D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71" w:type="pct"/>
            <w:vAlign w:val="center"/>
          </w:tcPr>
          <w:p w14:paraId="0719A574">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514" w:type="pct"/>
            <w:vAlign w:val="center"/>
          </w:tcPr>
          <w:p w14:paraId="59A1721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1-1</w:t>
            </w:r>
          </w:p>
        </w:tc>
        <w:tc>
          <w:tcPr>
            <w:tcW w:w="1352" w:type="pct"/>
            <w:vAlign w:val="center"/>
          </w:tcPr>
          <w:p w14:paraId="7DED1347">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2"/>
                <w:szCs w:val="22"/>
                <w:highlight w:val="none"/>
                <w:u w:val="none"/>
                <w:lang w:val="en-US" w:eastAsia="zh-CN" w:bidi="ar"/>
              </w:rPr>
              <w:t>三维电生理导航系统</w:t>
            </w:r>
          </w:p>
        </w:tc>
        <w:tc>
          <w:tcPr>
            <w:tcW w:w="367" w:type="pct"/>
            <w:vAlign w:val="center"/>
          </w:tcPr>
          <w:p w14:paraId="0B097738">
            <w:pPr>
              <w:keepNext w:val="0"/>
              <w:keepLines w:val="0"/>
              <w:widowControl/>
              <w:suppressLineNumbers w:val="0"/>
              <w:jc w:val="center"/>
              <w:textAlignment w:val="center"/>
              <w:rPr>
                <w:rFonts w:hint="default" w:ascii="宋体" w:hAnsi="宋体" w:eastAsia="宋体" w:cs="宋体"/>
                <w:bCs/>
                <w:color w:val="auto"/>
                <w:szCs w:val="21"/>
                <w:highlight w:val="none"/>
                <w:lang w:val="en-US"/>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18933A56">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220</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17499F0C">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640" w:type="pct"/>
            <w:vAlign w:val="center"/>
          </w:tcPr>
          <w:p w14:paraId="13E89185">
            <w:pPr>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否</w:t>
            </w:r>
          </w:p>
        </w:tc>
        <w:tc>
          <w:tcPr>
            <w:tcW w:w="593" w:type="pct"/>
            <w:vAlign w:val="center"/>
          </w:tcPr>
          <w:p w14:paraId="02979ED4">
            <w:pPr>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 w:val="24"/>
                <w:highlight w:val="none"/>
                <w:lang w:val="en-US" w:eastAsia="zh-CN"/>
              </w:rPr>
              <w:t>5年</w:t>
            </w:r>
          </w:p>
        </w:tc>
      </w:tr>
      <w:tr w14:paraId="1D4D1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1" w:type="pct"/>
            <w:vAlign w:val="center"/>
          </w:tcPr>
          <w:p w14:paraId="52DE422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514" w:type="pct"/>
            <w:vAlign w:val="center"/>
          </w:tcPr>
          <w:p w14:paraId="68348F37">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1-2</w:t>
            </w:r>
          </w:p>
        </w:tc>
        <w:tc>
          <w:tcPr>
            <w:tcW w:w="1352" w:type="pct"/>
            <w:vAlign w:val="center"/>
          </w:tcPr>
          <w:p w14:paraId="339BADB4">
            <w:pPr>
              <w:keepNext w:val="0"/>
              <w:keepLines w:val="0"/>
              <w:widowControl/>
              <w:suppressLineNumbers w:val="0"/>
              <w:jc w:val="center"/>
              <w:textAlignment w:val="center"/>
              <w:rPr>
                <w:rFonts w:hint="eastAsia" w:ascii="宋体" w:hAnsi="宋体" w:eastAsia="宋体" w:cs="宋体"/>
                <w:color w:val="auto"/>
                <w:sz w:val="24"/>
                <w:highlight w:val="none"/>
              </w:rPr>
            </w:pPr>
            <w:r>
              <w:rPr>
                <w:rFonts w:hint="eastAsia" w:ascii="宋体" w:hAnsi="宋体" w:eastAsia="宋体" w:cs="宋体"/>
                <w:i w:val="0"/>
                <w:iCs w:val="0"/>
                <w:color w:val="auto"/>
                <w:kern w:val="0"/>
                <w:sz w:val="22"/>
                <w:szCs w:val="22"/>
                <w:highlight w:val="none"/>
                <w:u w:val="none"/>
                <w:lang w:val="en-US" w:eastAsia="zh-CN" w:bidi="ar"/>
              </w:rPr>
              <w:t>视频脑电检测分析系统</w:t>
            </w:r>
          </w:p>
        </w:tc>
        <w:tc>
          <w:tcPr>
            <w:tcW w:w="367" w:type="pct"/>
            <w:vAlign w:val="center"/>
          </w:tcPr>
          <w:p w14:paraId="76639154">
            <w:pPr>
              <w:keepNext w:val="0"/>
              <w:keepLines w:val="0"/>
              <w:widowControl/>
              <w:suppressLineNumbers w:val="0"/>
              <w:jc w:val="center"/>
              <w:textAlignment w:val="center"/>
              <w:rPr>
                <w:rFonts w:hint="default" w:ascii="宋体" w:hAnsi="宋体" w:eastAsia="宋体" w:cs="宋体"/>
                <w:bCs/>
                <w:color w:val="auto"/>
                <w:szCs w:val="21"/>
                <w:highlight w:val="none"/>
                <w:lang w:val="en-US"/>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13C67D4A">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180</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5CEBA159">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640" w:type="pct"/>
            <w:vAlign w:val="center"/>
          </w:tcPr>
          <w:p w14:paraId="5114191C">
            <w:pPr>
              <w:jc w:val="center"/>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是</w:t>
            </w:r>
          </w:p>
        </w:tc>
        <w:tc>
          <w:tcPr>
            <w:tcW w:w="593" w:type="pct"/>
            <w:vAlign w:val="center"/>
          </w:tcPr>
          <w:p w14:paraId="6284D786">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34099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1" w:type="pct"/>
            <w:vAlign w:val="center"/>
          </w:tcPr>
          <w:p w14:paraId="559521C3">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514" w:type="pct"/>
            <w:vAlign w:val="center"/>
          </w:tcPr>
          <w:p w14:paraId="5ABEF76C">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1-3</w:t>
            </w:r>
          </w:p>
        </w:tc>
        <w:tc>
          <w:tcPr>
            <w:tcW w:w="1352" w:type="pct"/>
            <w:vAlign w:val="center"/>
          </w:tcPr>
          <w:p w14:paraId="553D1F0A">
            <w:pPr>
              <w:keepNext w:val="0"/>
              <w:keepLines w:val="0"/>
              <w:widowControl/>
              <w:suppressLineNumbers w:val="0"/>
              <w:jc w:val="center"/>
              <w:textAlignment w:val="center"/>
              <w:rPr>
                <w:rFonts w:hint="eastAsia" w:ascii="宋体" w:hAnsi="宋体" w:eastAsia="宋体" w:cs="宋体"/>
                <w:color w:val="auto"/>
                <w:sz w:val="24"/>
                <w:highlight w:val="none"/>
              </w:rPr>
            </w:pPr>
            <w:r>
              <w:rPr>
                <w:rFonts w:hint="eastAsia" w:ascii="宋体" w:hAnsi="宋体" w:eastAsia="宋体" w:cs="宋体"/>
                <w:i w:val="0"/>
                <w:iCs w:val="0"/>
                <w:color w:val="auto"/>
                <w:kern w:val="0"/>
                <w:sz w:val="22"/>
                <w:szCs w:val="22"/>
                <w:highlight w:val="none"/>
                <w:u w:val="none"/>
                <w:lang w:val="en-US" w:eastAsia="zh-CN" w:bidi="ar"/>
              </w:rPr>
              <w:t>血流分析系统</w:t>
            </w:r>
          </w:p>
        </w:tc>
        <w:tc>
          <w:tcPr>
            <w:tcW w:w="367" w:type="pct"/>
            <w:vAlign w:val="center"/>
          </w:tcPr>
          <w:p w14:paraId="24DC9D5F">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72510B70">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50</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647D95A6">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640" w:type="pct"/>
            <w:vAlign w:val="center"/>
          </w:tcPr>
          <w:p w14:paraId="1C9F94A5">
            <w:pPr>
              <w:jc w:val="center"/>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否</w:t>
            </w:r>
          </w:p>
        </w:tc>
        <w:tc>
          <w:tcPr>
            <w:tcW w:w="593" w:type="pct"/>
            <w:vAlign w:val="center"/>
          </w:tcPr>
          <w:p w14:paraId="6D24B390">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6AA13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71" w:type="pct"/>
            <w:vAlign w:val="center"/>
          </w:tcPr>
          <w:p w14:paraId="1E008DB8">
            <w:pPr>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0</w:t>
            </w:r>
            <w:r>
              <w:rPr>
                <w:rFonts w:hint="eastAsia" w:ascii="宋体" w:hAnsi="宋体" w:cs="宋体"/>
                <w:bCs/>
                <w:color w:val="auto"/>
                <w:szCs w:val="21"/>
                <w:highlight w:val="none"/>
                <w:lang w:val="en-US" w:eastAsia="zh-CN"/>
              </w:rPr>
              <w:t>2</w:t>
            </w:r>
          </w:p>
        </w:tc>
        <w:tc>
          <w:tcPr>
            <w:tcW w:w="514" w:type="pct"/>
            <w:vAlign w:val="center"/>
          </w:tcPr>
          <w:p w14:paraId="1F680055">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2-1</w:t>
            </w:r>
          </w:p>
        </w:tc>
        <w:tc>
          <w:tcPr>
            <w:tcW w:w="1352" w:type="pct"/>
            <w:vAlign w:val="center"/>
          </w:tcPr>
          <w:p w14:paraId="0259A198">
            <w:pPr>
              <w:keepNext w:val="0"/>
              <w:keepLines w:val="0"/>
              <w:widowControl/>
              <w:suppressLineNumbers w:val="0"/>
              <w:jc w:val="center"/>
              <w:textAlignment w:val="center"/>
              <w:rPr>
                <w:rFonts w:hint="eastAsia" w:ascii="宋体" w:hAnsi="宋体" w:eastAsia="宋体" w:cs="宋体"/>
                <w:color w:val="auto"/>
                <w:sz w:val="24"/>
                <w:szCs w:val="28"/>
                <w:highlight w:val="none"/>
              </w:rPr>
            </w:pPr>
            <w:r>
              <w:rPr>
                <w:rFonts w:hint="eastAsia" w:ascii="宋体" w:hAnsi="宋体" w:eastAsia="宋体" w:cs="宋体"/>
                <w:i w:val="0"/>
                <w:iCs w:val="0"/>
                <w:color w:val="auto"/>
                <w:kern w:val="0"/>
                <w:sz w:val="22"/>
                <w:szCs w:val="22"/>
                <w:highlight w:val="none"/>
                <w:u w:val="none"/>
                <w:lang w:val="en-US" w:eastAsia="zh-CN" w:bidi="ar"/>
              </w:rPr>
              <w:t>移动式C形臂X线机</w:t>
            </w:r>
          </w:p>
        </w:tc>
        <w:tc>
          <w:tcPr>
            <w:tcW w:w="367" w:type="pct"/>
            <w:vAlign w:val="center"/>
          </w:tcPr>
          <w:p w14:paraId="168C20CD">
            <w:pPr>
              <w:keepNext w:val="0"/>
              <w:keepLines w:val="0"/>
              <w:widowControl/>
              <w:suppressLineNumbers w:val="0"/>
              <w:jc w:val="center"/>
              <w:textAlignment w:val="center"/>
              <w:rPr>
                <w:rFonts w:hint="eastAsia" w:ascii="宋体" w:hAnsi="宋体" w:eastAsia="宋体" w:cs="宋体"/>
                <w:color w:val="auto"/>
                <w:sz w:val="24"/>
                <w:szCs w:val="28"/>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10BDBD5F">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128</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2644C15C">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否</w:t>
            </w:r>
          </w:p>
        </w:tc>
        <w:tc>
          <w:tcPr>
            <w:tcW w:w="640" w:type="pct"/>
            <w:vAlign w:val="center"/>
          </w:tcPr>
          <w:p w14:paraId="5BAB60EC">
            <w:pPr>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单一产品</w:t>
            </w:r>
          </w:p>
        </w:tc>
        <w:tc>
          <w:tcPr>
            <w:tcW w:w="593" w:type="pct"/>
            <w:vAlign w:val="center"/>
          </w:tcPr>
          <w:p w14:paraId="0A849E04">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7541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1" w:type="pct"/>
            <w:vAlign w:val="center"/>
          </w:tcPr>
          <w:p w14:paraId="6FD55D01">
            <w:pPr>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03</w:t>
            </w:r>
          </w:p>
        </w:tc>
        <w:tc>
          <w:tcPr>
            <w:tcW w:w="514" w:type="pct"/>
            <w:vAlign w:val="center"/>
          </w:tcPr>
          <w:p w14:paraId="751721FF">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3-1</w:t>
            </w:r>
          </w:p>
        </w:tc>
        <w:tc>
          <w:tcPr>
            <w:tcW w:w="1352" w:type="pct"/>
            <w:vAlign w:val="center"/>
          </w:tcPr>
          <w:p w14:paraId="7B434A5F">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经颅强交流电刺激仪</w:t>
            </w:r>
          </w:p>
        </w:tc>
        <w:tc>
          <w:tcPr>
            <w:tcW w:w="367" w:type="pct"/>
            <w:vAlign w:val="center"/>
          </w:tcPr>
          <w:p w14:paraId="491A442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1D448C49">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85</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51960953">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640" w:type="pct"/>
            <w:vAlign w:val="center"/>
          </w:tcPr>
          <w:p w14:paraId="077615E5">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单一产品</w:t>
            </w:r>
          </w:p>
        </w:tc>
        <w:tc>
          <w:tcPr>
            <w:tcW w:w="593" w:type="pct"/>
            <w:vAlign w:val="center"/>
          </w:tcPr>
          <w:p w14:paraId="1793F62C">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1E654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1" w:type="pct"/>
            <w:vAlign w:val="center"/>
          </w:tcPr>
          <w:p w14:paraId="707EC9D2">
            <w:pPr>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04</w:t>
            </w:r>
          </w:p>
        </w:tc>
        <w:tc>
          <w:tcPr>
            <w:tcW w:w="514" w:type="pct"/>
            <w:vAlign w:val="center"/>
          </w:tcPr>
          <w:p w14:paraId="37F802DB">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4-1</w:t>
            </w:r>
          </w:p>
        </w:tc>
        <w:tc>
          <w:tcPr>
            <w:tcW w:w="1352" w:type="pct"/>
            <w:vAlign w:val="center"/>
          </w:tcPr>
          <w:p w14:paraId="659D16BA">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脑电/事件相关电位分析系统（256导）</w:t>
            </w:r>
          </w:p>
        </w:tc>
        <w:tc>
          <w:tcPr>
            <w:tcW w:w="367" w:type="pct"/>
            <w:vAlign w:val="center"/>
          </w:tcPr>
          <w:p w14:paraId="600704F9">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893" w:type="pct"/>
            <w:vAlign w:val="center"/>
          </w:tcPr>
          <w:p w14:paraId="315CBD7A">
            <w:pPr>
              <w:keepNext w:val="0"/>
              <w:keepLines w:val="0"/>
              <w:widowControl/>
              <w:suppressLineNumbers w:val="0"/>
              <w:jc w:val="center"/>
              <w:textAlignment w:val="center"/>
              <w:rPr>
                <w:rFonts w:hint="default" w:ascii="宋体" w:hAnsi="宋体" w:eastAsia="宋体" w:cs="宋体"/>
                <w:color w:val="auto"/>
                <w:kern w:val="0"/>
                <w:sz w:val="24"/>
                <w:highlight w:val="none"/>
                <w:lang w:val="en-US"/>
              </w:rPr>
            </w:pPr>
            <w:r>
              <w:rPr>
                <w:rFonts w:hint="eastAsia" w:ascii="宋体" w:hAnsi="宋体" w:eastAsia="宋体" w:cs="宋体"/>
                <w:i w:val="0"/>
                <w:iCs w:val="0"/>
                <w:color w:val="auto"/>
                <w:kern w:val="0"/>
                <w:sz w:val="22"/>
                <w:szCs w:val="22"/>
                <w:highlight w:val="none"/>
                <w:u w:val="none"/>
                <w:lang w:val="en-US" w:eastAsia="zh-CN" w:bidi="ar"/>
              </w:rPr>
              <w:t>165</w:t>
            </w:r>
            <w:r>
              <w:rPr>
                <w:rFonts w:hint="eastAsia" w:ascii="宋体" w:hAnsi="宋体" w:cs="宋体"/>
                <w:i w:val="0"/>
                <w:iCs w:val="0"/>
                <w:color w:val="auto"/>
                <w:kern w:val="0"/>
                <w:sz w:val="22"/>
                <w:szCs w:val="22"/>
                <w:highlight w:val="none"/>
                <w:u w:val="none"/>
                <w:lang w:val="en-US" w:eastAsia="zh-CN" w:bidi="ar"/>
              </w:rPr>
              <w:t>.00</w:t>
            </w:r>
          </w:p>
        </w:tc>
        <w:tc>
          <w:tcPr>
            <w:tcW w:w="367" w:type="pct"/>
            <w:vAlign w:val="center"/>
          </w:tcPr>
          <w:p w14:paraId="144271DE">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640" w:type="pct"/>
            <w:vAlign w:val="center"/>
          </w:tcPr>
          <w:p w14:paraId="4E2888BF">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单一产品</w:t>
            </w:r>
          </w:p>
        </w:tc>
        <w:tc>
          <w:tcPr>
            <w:tcW w:w="593" w:type="pct"/>
            <w:vAlign w:val="center"/>
          </w:tcPr>
          <w:p w14:paraId="7123DC44">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bl>
    <w:p w14:paraId="5FD1ACB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5.合同履行期限：</w:t>
      </w:r>
      <w:r>
        <w:rPr>
          <w:rFonts w:hint="eastAsia" w:ascii="宋体" w:hAnsi="宋体" w:eastAsia="宋体" w:cs="宋体"/>
          <w:color w:val="auto"/>
          <w:sz w:val="24"/>
          <w:highlight w:val="none"/>
        </w:rPr>
        <w:t>合同签订后90天内交货。</w:t>
      </w:r>
      <w:r>
        <w:rPr>
          <w:rFonts w:hint="eastAsia" w:ascii="宋体" w:hAnsi="宋体" w:eastAsia="宋体" w:cs="宋体"/>
          <w:color w:val="auto"/>
          <w:sz w:val="24"/>
          <w:highlight w:val="none"/>
        </w:rPr>
        <w:t xml:space="preserve"> </w:t>
      </w:r>
    </w:p>
    <w:p w14:paraId="7152DE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6.本项目是否接受联合体投标：□是  ■否。</w:t>
      </w:r>
    </w:p>
    <w:p w14:paraId="131FA188">
      <w:pPr>
        <w:pStyle w:val="6"/>
        <w:spacing w:before="0" w:line="360" w:lineRule="auto"/>
        <w:jc w:val="left"/>
        <w:rPr>
          <w:rFonts w:hint="eastAsia" w:ascii="宋体" w:hAnsi="宋体" w:eastAsia="宋体" w:cs="宋体"/>
          <w:color w:val="auto"/>
          <w:sz w:val="24"/>
          <w:szCs w:val="24"/>
          <w:highlight w:val="none"/>
        </w:rPr>
      </w:pPr>
      <w:bookmarkStart w:id="7" w:name="_Toc35393791"/>
      <w:bookmarkStart w:id="8" w:name="_Toc28359003"/>
      <w:bookmarkStart w:id="9" w:name="_Toc28359080"/>
      <w:bookmarkStart w:id="10" w:name="_Toc35393622"/>
      <w:r>
        <w:rPr>
          <w:rFonts w:hint="eastAsia" w:ascii="宋体" w:hAnsi="宋体" w:eastAsia="宋体" w:cs="宋体"/>
          <w:color w:val="auto"/>
          <w:sz w:val="24"/>
          <w:szCs w:val="24"/>
          <w:highlight w:val="none"/>
        </w:rPr>
        <w:t>二、申请人的资格要求（须同时满足）</w:t>
      </w:r>
      <w:bookmarkEnd w:id="7"/>
      <w:bookmarkEnd w:id="8"/>
      <w:bookmarkEnd w:id="9"/>
      <w:bookmarkEnd w:id="10"/>
    </w:p>
    <w:p w14:paraId="3F848B4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14:paraId="5AE06827">
      <w:pPr>
        <w:spacing w:line="360" w:lineRule="auto"/>
        <w:ind w:firstLine="480" w:firstLineChars="200"/>
        <w:rPr>
          <w:rFonts w:hint="eastAsia" w:ascii="宋体" w:hAnsi="宋体" w:eastAsia="宋体" w:cs="宋体"/>
          <w:color w:val="auto"/>
          <w:sz w:val="24"/>
          <w:highlight w:val="none"/>
        </w:rPr>
      </w:pPr>
      <w:bookmarkStart w:id="11" w:name="_Toc28359081"/>
      <w:bookmarkStart w:id="12" w:name="_Toc28359004"/>
      <w:r>
        <w:rPr>
          <w:rFonts w:hint="eastAsia" w:ascii="宋体" w:hAnsi="宋体" w:eastAsia="宋体" w:cs="宋体"/>
          <w:color w:val="auto"/>
          <w:sz w:val="24"/>
          <w:highlight w:val="none"/>
        </w:rPr>
        <w:t>2.落实政府采购政策需满足的资格要求：</w:t>
      </w:r>
    </w:p>
    <w:p w14:paraId="6E088AF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中小企业政策</w:t>
      </w:r>
    </w:p>
    <w:p w14:paraId="58C7132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■本项目不专门面向中小企业预留采购份额。</w:t>
      </w:r>
    </w:p>
    <w:p w14:paraId="68374D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□本项目专门面向  □中小 □小微企业  采购。即：提供的货物全部由符合政策要求的中小/小微企业制造、服务全部由符合政策要求的中小/小微企业承接。</w:t>
      </w:r>
    </w:p>
    <w:p w14:paraId="2CADFB7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□本项目预留部分采购项目预算专门面向中小企业采购。对于预留份额，提供的货物由符合政策要求的中小企业制造、服务由符合政策要求的中小企业承接。预留份额通过以下措施进行：___/____。</w:t>
      </w:r>
    </w:p>
    <w:p w14:paraId="2994D9B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其它落实政府采购政策的资格要求（如有）：无</w:t>
      </w:r>
    </w:p>
    <w:p w14:paraId="4E7171B6">
      <w:pPr>
        <w:spacing w:line="360" w:lineRule="auto"/>
        <w:ind w:firstLine="480" w:firstLineChars="200"/>
        <w:rPr>
          <w:rFonts w:hint="eastAsia" w:ascii="宋体" w:hAnsi="宋体" w:eastAsia="宋体" w:cs="宋体"/>
          <w:i/>
          <w:iCs/>
          <w:color w:val="auto"/>
          <w:sz w:val="24"/>
          <w:highlight w:val="none"/>
          <w:u w:val="single"/>
        </w:rPr>
      </w:pPr>
      <w:r>
        <w:rPr>
          <w:rFonts w:hint="eastAsia" w:ascii="宋体" w:hAnsi="宋体" w:eastAsia="宋体" w:cs="宋体"/>
          <w:color w:val="auto"/>
          <w:sz w:val="24"/>
          <w:highlight w:val="none"/>
        </w:rPr>
        <w:t>3.本项目的特定资格要求：</w:t>
      </w:r>
    </w:p>
    <w:p w14:paraId="71243558">
      <w:pPr>
        <w:tabs>
          <w:tab w:val="left" w:pos="900"/>
          <w:tab w:val="left" w:pos="1134"/>
          <w:tab w:val="left" w:pos="1589"/>
          <w:tab w:val="left" w:pos="5521"/>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3.1本项目是否属于政府购买服务：</w:t>
      </w:r>
    </w:p>
    <w:p w14:paraId="151F7632">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auto"/>
          <w:sz w:val="24"/>
          <w:highlight w:val="none"/>
        </w:rPr>
      </w:pPr>
      <w:r>
        <w:rPr>
          <w:rFonts w:hint="eastAsia" w:ascii="宋体" w:hAnsi="宋体" w:eastAsia="宋体" w:cs="宋体"/>
          <w:color w:val="auto"/>
          <w:sz w:val="24"/>
          <w:highlight w:val="none"/>
        </w:rPr>
        <w:t>■否</w:t>
      </w:r>
    </w:p>
    <w:p w14:paraId="73060E23">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auto"/>
          <w:sz w:val="24"/>
          <w:highlight w:val="none"/>
        </w:rPr>
      </w:pPr>
      <w:r>
        <w:rPr>
          <w:rFonts w:hint="eastAsia" w:ascii="宋体" w:hAnsi="宋体" w:eastAsia="宋体" w:cs="宋体"/>
          <w:color w:val="auto"/>
          <w:sz w:val="24"/>
          <w:highlight w:val="none"/>
        </w:rPr>
        <w:t>□是，公益一类事业单位、使用事业编制且由财政拨款保障的群团组织，不得作为承接主体；</w:t>
      </w:r>
    </w:p>
    <w:p w14:paraId="60FEA2F9">
      <w:pPr>
        <w:tabs>
          <w:tab w:val="left" w:pos="900"/>
          <w:tab w:val="left" w:pos="1134"/>
          <w:tab w:val="left" w:pos="1589"/>
          <w:tab w:val="left" w:pos="5521"/>
        </w:tabs>
        <w:snapToGrid w:val="0"/>
        <w:spacing w:line="360" w:lineRule="auto"/>
        <w:ind w:firstLine="480" w:firstLineChars="200"/>
        <w:rPr>
          <w:rFonts w:hint="eastAsia" w:ascii="宋体" w:hAnsi="宋体" w:eastAsia="宋体" w:cs="宋体"/>
          <w:i/>
          <w:iCs/>
          <w:color w:val="auto"/>
          <w:sz w:val="24"/>
          <w:highlight w:val="none"/>
          <w:u w:val="single"/>
        </w:rPr>
      </w:pPr>
      <w:r>
        <w:rPr>
          <w:rFonts w:hint="eastAsia" w:ascii="宋体" w:hAnsi="宋体" w:eastAsia="宋体" w:cs="宋体"/>
          <w:color w:val="auto"/>
          <w:sz w:val="24"/>
          <w:highlight w:val="none"/>
        </w:rPr>
        <w:t>3.2其他特定资格要求：__无____。</w:t>
      </w:r>
    </w:p>
    <w:bookmarkEnd w:id="11"/>
    <w:bookmarkEnd w:id="12"/>
    <w:p w14:paraId="23BF257E">
      <w:pPr>
        <w:pStyle w:val="6"/>
        <w:widowControl/>
        <w:spacing w:before="0" w:line="360" w:lineRule="auto"/>
        <w:jc w:val="left"/>
        <w:rPr>
          <w:rFonts w:hint="eastAsia" w:ascii="宋体" w:hAnsi="宋体" w:eastAsia="宋体" w:cs="宋体"/>
          <w:color w:val="auto"/>
          <w:sz w:val="24"/>
          <w:szCs w:val="24"/>
          <w:highlight w:val="none"/>
        </w:rPr>
      </w:pPr>
      <w:bookmarkStart w:id="13" w:name="_Toc35393792"/>
      <w:bookmarkStart w:id="14" w:name="_Toc35393623"/>
      <w:r>
        <w:rPr>
          <w:rFonts w:hint="eastAsia" w:ascii="宋体" w:hAnsi="宋体" w:eastAsia="宋体" w:cs="宋体"/>
          <w:color w:val="auto"/>
          <w:sz w:val="24"/>
          <w:szCs w:val="24"/>
          <w:highlight w:val="none"/>
        </w:rPr>
        <w:t>三、获取招标文件</w:t>
      </w:r>
      <w:bookmarkEnd w:id="13"/>
      <w:bookmarkEnd w:id="14"/>
    </w:p>
    <w:p w14:paraId="770E0FFD">
      <w:pPr>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1.时间：</w:t>
      </w:r>
      <w:r>
        <w:rPr>
          <w:rFonts w:hint="eastAsia" w:ascii="宋体" w:hAnsi="宋体" w:eastAsia="宋体" w:cs="宋体"/>
          <w:color w:val="auto"/>
          <w:sz w:val="24"/>
          <w:highlight w:val="none"/>
          <w:lang w:bidi="ar"/>
        </w:rPr>
        <w:t>2025年</w:t>
      </w:r>
      <w:r>
        <w:rPr>
          <w:rFonts w:hint="eastAsia" w:ascii="宋体" w:hAnsi="宋体" w:cs="宋体"/>
          <w:color w:val="auto"/>
          <w:sz w:val="24"/>
          <w:highlight w:val="none"/>
          <w:lang w:val="en-US" w:eastAsia="zh-CN" w:bidi="ar"/>
        </w:rPr>
        <w:t>10</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21</w:t>
      </w:r>
      <w:r>
        <w:rPr>
          <w:rFonts w:hint="eastAsia" w:ascii="宋体" w:hAnsi="宋体" w:eastAsia="宋体" w:cs="宋体"/>
          <w:color w:val="auto"/>
          <w:sz w:val="24"/>
          <w:highlight w:val="none"/>
          <w:lang w:bidi="ar"/>
        </w:rPr>
        <w:t>日至2025年</w:t>
      </w:r>
      <w:r>
        <w:rPr>
          <w:rFonts w:hint="eastAsia" w:ascii="宋体" w:hAnsi="宋体" w:cs="宋体"/>
          <w:color w:val="auto"/>
          <w:sz w:val="24"/>
          <w:highlight w:val="none"/>
          <w:lang w:val="en-US" w:eastAsia="zh-CN" w:bidi="ar"/>
        </w:rPr>
        <w:t>10</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28</w:t>
      </w:r>
      <w:r>
        <w:rPr>
          <w:rFonts w:hint="eastAsia" w:ascii="宋体" w:hAnsi="宋体" w:eastAsia="宋体" w:cs="宋体"/>
          <w:color w:val="auto"/>
          <w:sz w:val="24"/>
          <w:highlight w:val="none"/>
          <w:lang w:bidi="ar"/>
        </w:rPr>
        <w:t>日</w:t>
      </w:r>
      <w:r>
        <w:rPr>
          <w:rFonts w:hint="eastAsia" w:ascii="宋体" w:hAnsi="宋体" w:eastAsia="宋体" w:cs="宋体"/>
          <w:color w:val="auto"/>
          <w:sz w:val="24"/>
          <w:highlight w:val="none"/>
          <w:lang w:bidi="ar"/>
        </w:rPr>
        <w:t>，每天上午9:00至11:30，下午1:30至5:00（北京时间，法定节假日除外）。</w:t>
      </w:r>
    </w:p>
    <w:p w14:paraId="7188461B">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bidi="ar"/>
        </w:rPr>
        <w:t>2.地点：北京市政府采购电子交易平台</w:t>
      </w:r>
    </w:p>
    <w:p w14:paraId="13F67AEA">
      <w:pPr>
        <w:widowControl/>
        <w:adjustRightInd w:val="0"/>
        <w:snapToGrid w:val="0"/>
        <w:spacing w:line="360" w:lineRule="auto"/>
        <w:ind w:firstLine="480" w:firstLineChars="200"/>
        <w:jc w:val="left"/>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3.方式：</w:t>
      </w:r>
      <w:bookmarkStart w:id="15" w:name="OLE_LINK2"/>
      <w:r>
        <w:rPr>
          <w:rFonts w:hint="eastAsia" w:ascii="宋体" w:hAnsi="宋体" w:eastAsia="宋体" w:cs="宋体"/>
          <w:color w:val="auto"/>
          <w:sz w:val="24"/>
          <w:highlight w:val="none"/>
          <w:lang w:bidi="ar"/>
        </w:rPr>
        <w:t>供应商使用CA数字证书或电子营业执照登录北京市政府采购电子交易平台（http://zbcg-bjzc.zhongcy.com/bjczj-portal-site/index.html#/home）获取电子版招标文件。</w:t>
      </w:r>
      <w:bookmarkEnd w:id="15"/>
    </w:p>
    <w:p w14:paraId="3CFB66CA">
      <w:pPr>
        <w:widowControl/>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bidi="ar"/>
        </w:rPr>
        <w:t>4.售价：0元。</w:t>
      </w:r>
    </w:p>
    <w:p w14:paraId="13A32223">
      <w:pPr>
        <w:pStyle w:val="6"/>
        <w:widowControl/>
        <w:spacing w:before="0" w:line="360" w:lineRule="auto"/>
        <w:jc w:val="left"/>
        <w:rPr>
          <w:rFonts w:hint="eastAsia" w:ascii="宋体" w:hAnsi="宋体" w:eastAsia="宋体" w:cs="宋体"/>
          <w:color w:val="auto"/>
          <w:sz w:val="24"/>
          <w:szCs w:val="24"/>
          <w:highlight w:val="none"/>
        </w:rPr>
      </w:pPr>
      <w:bookmarkStart w:id="16" w:name="_Toc28359082"/>
      <w:bookmarkStart w:id="17" w:name="_Toc28359005"/>
      <w:bookmarkStart w:id="18" w:name="_Toc35393793"/>
      <w:bookmarkStart w:id="19" w:name="_Toc35393624"/>
      <w:r>
        <w:rPr>
          <w:rFonts w:hint="eastAsia" w:ascii="宋体" w:hAnsi="宋体" w:eastAsia="宋体" w:cs="宋体"/>
          <w:color w:val="auto"/>
          <w:sz w:val="24"/>
          <w:szCs w:val="24"/>
          <w:highlight w:val="none"/>
        </w:rPr>
        <w:t>四、提交投标文件</w:t>
      </w:r>
      <w:bookmarkEnd w:id="16"/>
      <w:bookmarkEnd w:id="17"/>
      <w:r>
        <w:rPr>
          <w:rFonts w:hint="eastAsia" w:ascii="宋体" w:hAnsi="宋体" w:eastAsia="宋体" w:cs="宋体"/>
          <w:color w:val="auto"/>
          <w:sz w:val="24"/>
          <w:szCs w:val="24"/>
          <w:highlight w:val="none"/>
        </w:rPr>
        <w:t>截止时间、开标时间和地点</w:t>
      </w:r>
      <w:bookmarkEnd w:id="18"/>
      <w:bookmarkEnd w:id="19"/>
    </w:p>
    <w:p w14:paraId="74614884">
      <w:pPr>
        <w:spacing w:line="360" w:lineRule="auto"/>
        <w:ind w:firstLine="480" w:firstLineChars="200"/>
        <w:rPr>
          <w:rFonts w:hint="eastAsia" w:ascii="宋体" w:hAnsi="宋体" w:eastAsia="宋体" w:cs="宋体"/>
          <w:bCs/>
          <w:color w:val="auto"/>
          <w:sz w:val="24"/>
          <w:highlight w:val="none"/>
          <w:u w:val="single"/>
        </w:rPr>
      </w:pPr>
      <w:r>
        <w:rPr>
          <w:rFonts w:hint="eastAsia" w:ascii="宋体" w:hAnsi="宋体" w:eastAsia="宋体" w:cs="宋体"/>
          <w:color w:val="auto"/>
          <w:sz w:val="24"/>
          <w:highlight w:val="none"/>
          <w:lang w:bidi="ar"/>
        </w:rPr>
        <w:t>投标截止时间、开标时间：</w:t>
      </w:r>
      <w:r>
        <w:rPr>
          <w:rFonts w:hint="eastAsia" w:ascii="宋体" w:hAnsi="宋体" w:eastAsia="宋体" w:cs="宋体"/>
          <w:color w:val="auto"/>
          <w:sz w:val="24"/>
          <w:highlight w:val="none"/>
          <w:lang w:bidi="ar"/>
        </w:rPr>
        <w:t>2025年</w:t>
      </w:r>
      <w:r>
        <w:rPr>
          <w:rFonts w:hint="eastAsia" w:ascii="宋体" w:hAnsi="宋体" w:cs="宋体"/>
          <w:color w:val="auto"/>
          <w:sz w:val="24"/>
          <w:highlight w:val="none"/>
          <w:lang w:val="en-US" w:eastAsia="zh-CN" w:bidi="ar"/>
        </w:rPr>
        <w:t>11</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11</w:t>
      </w:r>
      <w:r>
        <w:rPr>
          <w:rFonts w:hint="eastAsia" w:ascii="宋体" w:hAnsi="宋体" w:eastAsia="宋体" w:cs="宋体"/>
          <w:color w:val="auto"/>
          <w:sz w:val="24"/>
          <w:highlight w:val="none"/>
          <w:lang w:bidi="ar"/>
        </w:rPr>
        <w:t>日</w:t>
      </w:r>
      <w:r>
        <w:rPr>
          <w:rFonts w:hint="eastAsia" w:ascii="宋体" w:hAnsi="宋体" w:cs="宋体"/>
          <w:color w:val="auto"/>
          <w:sz w:val="24"/>
          <w:highlight w:val="none"/>
          <w:lang w:val="en-US" w:eastAsia="zh-CN" w:bidi="ar"/>
        </w:rPr>
        <w:t>14</w:t>
      </w:r>
      <w:r>
        <w:rPr>
          <w:rFonts w:hint="eastAsia" w:ascii="宋体" w:hAnsi="宋体" w:eastAsia="宋体" w:cs="宋体"/>
          <w:color w:val="auto"/>
          <w:sz w:val="24"/>
          <w:highlight w:val="none"/>
          <w:lang w:bidi="ar"/>
        </w:rPr>
        <w:t>点</w:t>
      </w:r>
      <w:r>
        <w:rPr>
          <w:rFonts w:hint="eastAsia" w:ascii="宋体" w:hAnsi="宋体" w:cs="宋体"/>
          <w:color w:val="auto"/>
          <w:sz w:val="24"/>
          <w:highlight w:val="none"/>
          <w:lang w:val="en-US" w:eastAsia="zh-CN" w:bidi="ar"/>
        </w:rPr>
        <w:t>00</w:t>
      </w:r>
      <w:r>
        <w:rPr>
          <w:rFonts w:hint="eastAsia" w:ascii="宋体" w:hAnsi="宋体" w:eastAsia="宋体" w:cs="宋体"/>
          <w:color w:val="auto"/>
          <w:sz w:val="24"/>
          <w:highlight w:val="none"/>
          <w:lang w:bidi="ar"/>
        </w:rPr>
        <w:t>分</w:t>
      </w:r>
      <w:r>
        <w:rPr>
          <w:rFonts w:hint="eastAsia" w:ascii="宋体" w:hAnsi="宋体" w:eastAsia="宋体" w:cs="宋体"/>
          <w:bCs/>
          <w:color w:val="auto"/>
          <w:sz w:val="24"/>
          <w:highlight w:val="none"/>
          <w:lang w:bidi="ar"/>
        </w:rPr>
        <w:t>（</w:t>
      </w:r>
      <w:r>
        <w:rPr>
          <w:rFonts w:hint="eastAsia" w:ascii="宋体" w:hAnsi="宋体" w:eastAsia="宋体" w:cs="宋体"/>
          <w:bCs/>
          <w:color w:val="auto"/>
          <w:sz w:val="24"/>
          <w:highlight w:val="none"/>
          <w:lang w:bidi="ar"/>
        </w:rPr>
        <w:t>北京时间）</w:t>
      </w:r>
      <w:r>
        <w:rPr>
          <w:rFonts w:hint="eastAsia" w:ascii="宋体" w:hAnsi="宋体" w:eastAsia="宋体" w:cs="宋体"/>
          <w:iCs/>
          <w:color w:val="auto"/>
          <w:sz w:val="24"/>
          <w:highlight w:val="none"/>
          <w:lang w:bidi="ar"/>
        </w:rPr>
        <w:t>。</w:t>
      </w:r>
    </w:p>
    <w:p w14:paraId="3D8E47C8">
      <w:pPr>
        <w:spacing w:line="360" w:lineRule="auto"/>
        <w:ind w:firstLine="480" w:firstLineChars="200"/>
        <w:rPr>
          <w:rFonts w:hint="eastAsia" w:ascii="宋体" w:hAnsi="宋体" w:eastAsia="宋体" w:cs="宋体"/>
          <w:bCs/>
          <w:color w:val="auto"/>
          <w:sz w:val="24"/>
          <w:highlight w:val="none"/>
          <w:u w:val="single"/>
        </w:rPr>
      </w:pPr>
      <w:r>
        <w:rPr>
          <w:rFonts w:hint="eastAsia" w:ascii="宋体" w:hAnsi="宋体" w:eastAsia="宋体" w:cs="宋体"/>
          <w:color w:val="auto"/>
          <w:sz w:val="24"/>
          <w:highlight w:val="none"/>
          <w:lang w:bidi="ar"/>
        </w:rPr>
        <w:t>地点：中招国际招标有限公司（北京市海淀区学院南路62号中关村资本大厦）六层会议室。</w:t>
      </w:r>
    </w:p>
    <w:p w14:paraId="1664867F">
      <w:pPr>
        <w:pStyle w:val="6"/>
        <w:spacing w:before="0" w:line="360" w:lineRule="auto"/>
        <w:jc w:val="left"/>
        <w:rPr>
          <w:rFonts w:hint="eastAsia" w:ascii="宋体" w:hAnsi="宋体" w:eastAsia="宋体" w:cs="宋体"/>
          <w:color w:val="auto"/>
          <w:sz w:val="24"/>
          <w:szCs w:val="24"/>
          <w:highlight w:val="none"/>
        </w:rPr>
      </w:pPr>
      <w:bookmarkStart w:id="20" w:name="_Toc28359007"/>
      <w:bookmarkStart w:id="21" w:name="_Toc35393794"/>
      <w:bookmarkStart w:id="22" w:name="_Toc28359084"/>
      <w:bookmarkStart w:id="23" w:name="_Toc35393625"/>
      <w:r>
        <w:rPr>
          <w:rFonts w:hint="eastAsia" w:ascii="宋体" w:hAnsi="宋体" w:eastAsia="宋体" w:cs="宋体"/>
          <w:color w:val="auto"/>
          <w:sz w:val="24"/>
          <w:szCs w:val="24"/>
          <w:highlight w:val="none"/>
        </w:rPr>
        <w:t>五、公告期限</w:t>
      </w:r>
      <w:bookmarkEnd w:id="20"/>
      <w:bookmarkEnd w:id="21"/>
      <w:bookmarkEnd w:id="22"/>
      <w:bookmarkEnd w:id="23"/>
    </w:p>
    <w:p w14:paraId="716AFC27">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自本公告发布之日起5个工作日。</w:t>
      </w:r>
    </w:p>
    <w:p w14:paraId="305858D5">
      <w:pPr>
        <w:pStyle w:val="6"/>
        <w:spacing w:before="0" w:line="360" w:lineRule="auto"/>
        <w:jc w:val="left"/>
        <w:rPr>
          <w:rFonts w:hint="eastAsia" w:ascii="宋体" w:hAnsi="宋体" w:eastAsia="宋体" w:cs="宋体"/>
          <w:color w:val="auto"/>
          <w:sz w:val="24"/>
          <w:szCs w:val="24"/>
          <w:highlight w:val="none"/>
        </w:rPr>
      </w:pPr>
      <w:bookmarkStart w:id="24" w:name="_Toc35393795"/>
      <w:bookmarkStart w:id="25" w:name="_Toc35393626"/>
      <w:r>
        <w:rPr>
          <w:rFonts w:hint="eastAsia" w:ascii="宋体" w:hAnsi="宋体" w:eastAsia="宋体" w:cs="宋体"/>
          <w:color w:val="auto"/>
          <w:sz w:val="24"/>
          <w:szCs w:val="24"/>
          <w:highlight w:val="none"/>
        </w:rPr>
        <w:t>六、其他补充事宜</w:t>
      </w:r>
      <w:bookmarkEnd w:id="24"/>
      <w:bookmarkEnd w:id="25"/>
    </w:p>
    <w:p w14:paraId="4854B62D">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rPr>
        <w:t>1.本项目需要落实的政府采购政策：</w:t>
      </w:r>
    </w:p>
    <w:p w14:paraId="64B277D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中小企业、监狱企业及残疾人福利性单位；</w:t>
      </w:r>
    </w:p>
    <w:p w14:paraId="2DAB6A24">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具体详见投标人须知 </w:t>
      </w:r>
    </w:p>
    <w:p w14:paraId="30635873">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本项目采用电子化与线下流程结合招标方式进行采购，请投标人在北京市政府采购电子交易平台http://zbcg-bjzc.zhongcy.com/bjczj-portal-site/index.html#/home免费领取招标文件后按招标文件要求制作纸质版投标文件进行现场递交。</w:t>
      </w:r>
    </w:p>
    <w:p w14:paraId="6C6A90CD">
      <w:pPr>
        <w:pStyle w:val="6"/>
        <w:spacing w:before="0" w:line="360" w:lineRule="auto"/>
        <w:jc w:val="left"/>
        <w:rPr>
          <w:rFonts w:hint="eastAsia" w:ascii="宋体" w:hAnsi="宋体" w:eastAsia="宋体" w:cs="宋体"/>
          <w:color w:val="auto"/>
          <w:sz w:val="24"/>
          <w:szCs w:val="24"/>
          <w:highlight w:val="none"/>
        </w:rPr>
      </w:pPr>
      <w:bookmarkStart w:id="26" w:name="_Toc28359008"/>
      <w:bookmarkStart w:id="27" w:name="_Toc35393627"/>
      <w:bookmarkStart w:id="28" w:name="_Toc28359085"/>
      <w:bookmarkStart w:id="29" w:name="_Toc35393796"/>
      <w:r>
        <w:rPr>
          <w:rFonts w:hint="eastAsia" w:ascii="宋体" w:hAnsi="宋体" w:eastAsia="宋体" w:cs="宋体"/>
          <w:color w:val="auto"/>
          <w:sz w:val="24"/>
          <w:szCs w:val="24"/>
          <w:highlight w:val="none"/>
        </w:rPr>
        <w:t>七、对本次招标提出询问，请按以下方式联系。</w:t>
      </w:r>
      <w:bookmarkEnd w:id="26"/>
      <w:bookmarkEnd w:id="27"/>
      <w:bookmarkEnd w:id="28"/>
      <w:bookmarkEnd w:id="29"/>
    </w:p>
    <w:p w14:paraId="4F41E875">
      <w:pPr>
        <w:spacing w:line="360" w:lineRule="auto"/>
        <w:ind w:left="1080" w:leftChars="371" w:hanging="301" w:hangingChars="125"/>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1.采购人信息</w:t>
      </w:r>
    </w:p>
    <w:p w14:paraId="7FA5BFB3">
      <w:pPr>
        <w:spacing w:line="360" w:lineRule="auto"/>
        <w:ind w:left="1079" w:leftChars="371" w:hanging="300" w:hangingChars="125"/>
        <w:jc w:val="left"/>
        <w:rPr>
          <w:rFonts w:hint="eastAsia" w:ascii="宋体" w:hAnsi="宋体" w:eastAsia="宋体" w:cs="宋体"/>
          <w:color w:val="auto"/>
          <w:sz w:val="24"/>
          <w:highlight w:val="none"/>
        </w:rPr>
      </w:pPr>
      <w:bookmarkStart w:id="30" w:name="_Toc28359086"/>
      <w:bookmarkStart w:id="31" w:name="_Toc28359009"/>
      <w:r>
        <w:rPr>
          <w:rFonts w:hint="eastAsia" w:ascii="宋体" w:hAnsi="宋体" w:eastAsia="宋体" w:cs="宋体"/>
          <w:color w:val="auto"/>
          <w:sz w:val="24"/>
          <w:highlight w:val="none"/>
        </w:rPr>
        <w:t>名    称：首都医科大学宣武医院</w:t>
      </w:r>
    </w:p>
    <w:p w14:paraId="14B81FAE">
      <w:pPr>
        <w:spacing w:line="360" w:lineRule="auto"/>
        <w:ind w:left="1079" w:leftChars="371" w:hanging="300" w:hangingChars="12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址：北京市西城区长椿街45号 </w:t>
      </w:r>
    </w:p>
    <w:p w14:paraId="1FED41AF">
      <w:pPr>
        <w:spacing w:line="360" w:lineRule="auto"/>
        <w:ind w:left="1079" w:leftChars="371" w:hanging="300" w:hangingChars="125"/>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联系方式：010-83198353柳渊</w:t>
      </w:r>
    </w:p>
    <w:p w14:paraId="6BFD8E8B">
      <w:pPr>
        <w:spacing w:line="360" w:lineRule="auto"/>
        <w:ind w:left="1080" w:leftChars="371" w:hanging="301" w:hangingChars="125"/>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2.采购代理机构信息</w:t>
      </w:r>
      <w:bookmarkEnd w:id="30"/>
      <w:bookmarkEnd w:id="31"/>
    </w:p>
    <w:p w14:paraId="7C5002BA">
      <w:pPr>
        <w:spacing w:line="360" w:lineRule="auto"/>
        <w:ind w:left="1079" w:leftChars="371" w:hanging="300" w:hangingChars="125"/>
        <w:jc w:val="left"/>
        <w:rPr>
          <w:rFonts w:hint="eastAsia" w:ascii="宋体" w:hAnsi="宋体" w:eastAsia="宋体" w:cs="宋体"/>
          <w:color w:val="auto"/>
          <w:sz w:val="24"/>
          <w:highlight w:val="none"/>
        </w:rPr>
      </w:pPr>
      <w:bookmarkStart w:id="32" w:name="_Toc28359087"/>
      <w:bookmarkStart w:id="33" w:name="_Toc28359010"/>
      <w:r>
        <w:rPr>
          <w:rFonts w:hint="eastAsia" w:ascii="宋体" w:hAnsi="宋体" w:eastAsia="宋体" w:cs="宋体"/>
          <w:color w:val="auto"/>
          <w:sz w:val="24"/>
          <w:highlight w:val="none"/>
        </w:rPr>
        <w:t>名    称：中招国际招标有限公司</w:t>
      </w:r>
    </w:p>
    <w:p w14:paraId="2485A64A">
      <w:pPr>
        <w:spacing w:line="360" w:lineRule="auto"/>
        <w:ind w:left="1079" w:leftChars="371" w:hanging="300" w:hangingChars="12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址：北京市海淀区学院南路62号院1号楼6层(601-615室)、9层(903-915室)</w:t>
      </w:r>
    </w:p>
    <w:p w14:paraId="309AA1D6">
      <w:pPr>
        <w:spacing w:line="360" w:lineRule="auto"/>
        <w:ind w:left="1079" w:leftChars="371" w:hanging="300" w:hangingChars="125"/>
        <w:jc w:val="left"/>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联系方式：010-62108007曹武宁、卢燕、梅建伟、任伟</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王昀炜</w:t>
      </w:r>
    </w:p>
    <w:p w14:paraId="373F6C1B">
      <w:pPr>
        <w:spacing w:line="360" w:lineRule="auto"/>
        <w:ind w:left="1080" w:leftChars="371" w:hanging="301" w:hangingChars="125"/>
        <w:jc w:val="left"/>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3.项目联系方式</w:t>
      </w:r>
      <w:bookmarkEnd w:id="32"/>
      <w:bookmarkEnd w:id="33"/>
    </w:p>
    <w:p w14:paraId="64088DD6">
      <w:pPr>
        <w:spacing w:line="360" w:lineRule="auto"/>
        <w:ind w:left="1079" w:leftChars="371" w:hanging="300" w:hangingChars="12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项目联系人：</w:t>
      </w:r>
      <w:bookmarkStart w:id="34" w:name="OLE_LINK1"/>
      <w:r>
        <w:rPr>
          <w:rFonts w:hint="eastAsia" w:ascii="宋体" w:hAnsi="宋体" w:eastAsia="宋体" w:cs="宋体"/>
          <w:color w:val="auto"/>
          <w:sz w:val="24"/>
          <w:highlight w:val="none"/>
        </w:rPr>
        <w:t>曹武宁、卢燕、梅建伟</w:t>
      </w:r>
      <w:bookmarkEnd w:id="34"/>
      <w:r>
        <w:rPr>
          <w:rFonts w:hint="eastAsia" w:ascii="宋体" w:hAnsi="宋体" w:eastAsia="宋体" w:cs="宋体"/>
          <w:color w:val="auto"/>
          <w:sz w:val="24"/>
          <w:highlight w:val="none"/>
        </w:rPr>
        <w:t>、任伟</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王昀炜</w:t>
      </w:r>
    </w:p>
    <w:p w14:paraId="3736282E">
      <w:pPr>
        <w:spacing w:line="360" w:lineRule="auto"/>
        <w:ind w:left="1079" w:leftChars="371" w:hanging="300" w:hangingChars="12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话：010-62108007</w:t>
      </w:r>
    </w:p>
    <w:p w14:paraId="35EC1BB9">
      <w:pPr>
        <w:spacing w:line="360" w:lineRule="auto"/>
        <w:ind w:left="1079" w:leftChars="371" w:hanging="300" w:hangingChars="12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电子  邮箱：luyan@cntcitc.com.cn</w:t>
      </w:r>
    </w:p>
    <w:p w14:paraId="3DF0680A">
      <w:pPr>
        <w:spacing w:line="360" w:lineRule="auto"/>
        <w:ind w:firstLine="5880" w:firstLineChars="2450"/>
        <w:jc w:val="right"/>
        <w:rPr>
          <w:rFonts w:hint="eastAsia" w:ascii="宋体" w:hAnsi="宋体" w:eastAsia="宋体" w:cs="宋体"/>
          <w:color w:val="auto"/>
          <w:sz w:val="24"/>
          <w:highlight w:val="none"/>
        </w:rPr>
      </w:pPr>
    </w:p>
    <w:p w14:paraId="4AD42DAF">
      <w:pPr>
        <w:spacing w:line="360" w:lineRule="auto"/>
        <w:jc w:val="center"/>
        <w:outlineLvl w:val="0"/>
        <w:rPr>
          <w:rFonts w:hint="eastAsia" w:ascii="宋体" w:hAnsi="宋体" w:eastAsia="宋体" w:cs="宋体"/>
          <w:b/>
          <w:color w:val="auto"/>
          <w:sz w:val="32"/>
          <w:szCs w:val="32"/>
          <w:highlight w:val="none"/>
        </w:rPr>
      </w:pPr>
      <w:r>
        <w:rPr>
          <w:rFonts w:hint="eastAsia" w:ascii="宋体" w:hAnsi="宋体" w:eastAsia="宋体" w:cs="宋体"/>
          <w:color w:val="auto"/>
          <w:sz w:val="24"/>
          <w:highlight w:val="none"/>
        </w:rPr>
        <w:br w:type="page"/>
      </w:r>
      <w:bookmarkStart w:id="35" w:name="_Toc127151777"/>
      <w:bookmarkStart w:id="36" w:name="_Toc127161488"/>
      <w:bookmarkStart w:id="37" w:name="_Toc512937850"/>
      <w:bookmarkStart w:id="38" w:name="_Toc305158854"/>
      <w:bookmarkStart w:id="39" w:name="_Toc305158928"/>
      <w:bookmarkStart w:id="40" w:name="_Toc195842950"/>
      <w:bookmarkStart w:id="41" w:name="_Toc265228423"/>
      <w:bookmarkStart w:id="42" w:name="_Toc150774783"/>
      <w:bookmarkStart w:id="43" w:name="_Toc264969275"/>
      <w:bookmarkStart w:id="44" w:name="_Toc226965856"/>
      <w:bookmarkStart w:id="45" w:name="_Toc353825548"/>
      <w:bookmarkStart w:id="46" w:name="_Toc353873938"/>
      <w:bookmarkStart w:id="47" w:name="_Toc99301420"/>
      <w:r>
        <w:rPr>
          <w:rFonts w:hint="eastAsia" w:ascii="宋体" w:hAnsi="宋体" w:eastAsia="宋体" w:cs="宋体"/>
          <w:b/>
          <w:color w:val="auto"/>
          <w:sz w:val="36"/>
          <w:szCs w:val="36"/>
          <w:highlight w:val="none"/>
        </w:rPr>
        <w:t>第二章   投标人须知</w:t>
      </w:r>
      <w:bookmarkEnd w:id="35"/>
      <w:bookmarkEnd w:id="36"/>
      <w:bookmarkEnd w:id="37"/>
      <w:bookmarkEnd w:id="38"/>
      <w:bookmarkEnd w:id="39"/>
      <w:bookmarkEnd w:id="40"/>
      <w:bookmarkEnd w:id="41"/>
      <w:bookmarkEnd w:id="42"/>
      <w:bookmarkEnd w:id="43"/>
      <w:bookmarkEnd w:id="44"/>
      <w:bookmarkEnd w:id="45"/>
      <w:bookmarkEnd w:id="46"/>
      <w:bookmarkEnd w:id="47"/>
    </w:p>
    <w:p w14:paraId="48E97B8C">
      <w:pPr>
        <w:pStyle w:val="6"/>
        <w:tabs>
          <w:tab w:val="center" w:pos="4592"/>
          <w:tab w:val="left" w:pos="7860"/>
        </w:tabs>
        <w:spacing w:before="0" w:line="360" w:lineRule="auto"/>
        <w:rPr>
          <w:rFonts w:hint="eastAsia" w:ascii="宋体" w:hAnsi="宋体" w:eastAsia="宋体" w:cs="宋体"/>
          <w:color w:val="auto"/>
          <w:sz w:val="28"/>
          <w:highlight w:val="none"/>
        </w:rPr>
      </w:pPr>
      <w:bookmarkStart w:id="48" w:name="_Toc150774724"/>
      <w:bookmarkStart w:id="49" w:name="_Toc150774619"/>
      <w:bookmarkStart w:id="50" w:name="_Toc150509270"/>
      <w:bookmarkStart w:id="51" w:name="_Toc150480757"/>
      <w:bookmarkStart w:id="52" w:name="_Toc226965709"/>
      <w:bookmarkStart w:id="53" w:name="_Toc226965792"/>
      <w:bookmarkStart w:id="54" w:name="_Toc151193689"/>
      <w:bookmarkStart w:id="55" w:name="_Toc151190146"/>
      <w:bookmarkStart w:id="56" w:name="_Toc164608633"/>
      <w:bookmarkStart w:id="57" w:name="_Toc226309763"/>
      <w:bookmarkStart w:id="58" w:name="_Toc127161433"/>
      <w:bookmarkStart w:id="59" w:name="_Toc164229214"/>
      <w:bookmarkStart w:id="60" w:name="_Toc142311021"/>
      <w:bookmarkStart w:id="61" w:name="_Toc151193907"/>
      <w:bookmarkStart w:id="62" w:name="_Toc127151519"/>
      <w:bookmarkStart w:id="63" w:name="_Toc151193761"/>
      <w:bookmarkStart w:id="64" w:name="_Toc226337215"/>
      <w:bookmarkStart w:id="65" w:name="_Toc127151720"/>
      <w:bookmarkStart w:id="66" w:name="_Toc520356144"/>
      <w:bookmarkStart w:id="67" w:name="_Toc195842884"/>
      <w:bookmarkStart w:id="68" w:name="_Toc164608788"/>
      <w:bookmarkStart w:id="69" w:name="_Toc164229360"/>
      <w:bookmarkStart w:id="70" w:name="_Toc151193833"/>
      <w:bookmarkStart w:id="71" w:name="_Toc149720812"/>
      <w:bookmarkStart w:id="72" w:name="_Toc164351613"/>
      <w:bookmarkStart w:id="73" w:name="_Toc151193617"/>
      <w:r>
        <w:rPr>
          <w:rFonts w:hint="eastAsia" w:ascii="宋体" w:hAnsi="宋体" w:eastAsia="宋体" w:cs="宋体"/>
          <w:color w:val="auto"/>
          <w:sz w:val="28"/>
          <w:highlight w:val="none"/>
        </w:rPr>
        <w:t>投标人须知资料表</w:t>
      </w:r>
    </w:p>
    <w:p w14:paraId="4035960E">
      <w:pPr>
        <w:jc w:val="center"/>
        <w:rPr>
          <w:rFonts w:hint="eastAsia" w:ascii="宋体" w:hAnsi="宋体" w:eastAsia="宋体" w:cs="宋体"/>
          <w:b/>
          <w:color w:val="auto"/>
          <w:sz w:val="28"/>
          <w:szCs w:val="28"/>
          <w:highlight w:val="none"/>
        </w:rPr>
      </w:pPr>
    </w:p>
    <w:p w14:paraId="62CA7C03">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本表是对投标人须知的具体补充和修改，如有矛盾，均以本资料表为准。</w:t>
      </w:r>
    </w:p>
    <w:tbl>
      <w:tblPr>
        <w:tblStyle w:val="43"/>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6804"/>
      </w:tblGrid>
      <w:tr w14:paraId="5C26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0D0472A2">
            <w:pPr>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条款号</w:t>
            </w:r>
          </w:p>
        </w:tc>
        <w:tc>
          <w:tcPr>
            <w:tcW w:w="1701" w:type="dxa"/>
            <w:vAlign w:val="center"/>
          </w:tcPr>
          <w:p w14:paraId="7EAE67C5">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条目</w:t>
            </w:r>
          </w:p>
        </w:tc>
        <w:tc>
          <w:tcPr>
            <w:tcW w:w="6804" w:type="dxa"/>
            <w:vAlign w:val="center"/>
          </w:tcPr>
          <w:p w14:paraId="03CFF63E">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内容</w:t>
            </w:r>
          </w:p>
        </w:tc>
      </w:tr>
      <w:tr w14:paraId="2C440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6E93A91">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1701" w:type="dxa"/>
            <w:vAlign w:val="center"/>
          </w:tcPr>
          <w:p w14:paraId="7C78B6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项目属性</w:t>
            </w:r>
          </w:p>
        </w:tc>
        <w:tc>
          <w:tcPr>
            <w:tcW w:w="6804" w:type="dxa"/>
            <w:vAlign w:val="center"/>
          </w:tcPr>
          <w:p w14:paraId="3DF48C78">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项目属性：</w:t>
            </w:r>
          </w:p>
          <w:p w14:paraId="69BD9B8D">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□服务</w:t>
            </w:r>
          </w:p>
          <w:p w14:paraId="2A0566C3">
            <w:pPr>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货物</w:t>
            </w:r>
          </w:p>
        </w:tc>
      </w:tr>
      <w:tr w14:paraId="52AD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8F1EF8F">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1701" w:type="dxa"/>
            <w:vAlign w:val="center"/>
          </w:tcPr>
          <w:p w14:paraId="04802B9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科研仪器设备</w:t>
            </w:r>
          </w:p>
        </w:tc>
        <w:tc>
          <w:tcPr>
            <w:tcW w:w="6804" w:type="dxa"/>
            <w:vAlign w:val="center"/>
          </w:tcPr>
          <w:p w14:paraId="44146C1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是否属于科研仪器设备采购项目：</w:t>
            </w:r>
          </w:p>
          <w:p w14:paraId="5E835EF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□是</w:t>
            </w:r>
          </w:p>
          <w:p w14:paraId="70DFBEF6">
            <w:pPr>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否</w:t>
            </w:r>
          </w:p>
        </w:tc>
      </w:tr>
      <w:tr w14:paraId="3878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467A521">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1701" w:type="dxa"/>
            <w:vAlign w:val="center"/>
          </w:tcPr>
          <w:p w14:paraId="4736C8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核心产品</w:t>
            </w:r>
          </w:p>
        </w:tc>
        <w:tc>
          <w:tcPr>
            <w:tcW w:w="6804" w:type="dxa"/>
            <w:vAlign w:val="center"/>
          </w:tcPr>
          <w:p w14:paraId="6C41EEF3">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详见采购需求。</w:t>
            </w:r>
          </w:p>
        </w:tc>
      </w:tr>
      <w:tr w14:paraId="787D7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0CFB8675">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1701" w:type="dxa"/>
            <w:vAlign w:val="center"/>
          </w:tcPr>
          <w:p w14:paraId="2861E07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现场考察</w:t>
            </w:r>
          </w:p>
        </w:tc>
        <w:tc>
          <w:tcPr>
            <w:tcW w:w="6804" w:type="dxa"/>
            <w:vAlign w:val="center"/>
          </w:tcPr>
          <w:p w14:paraId="4DED0447">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■不组织</w:t>
            </w:r>
          </w:p>
          <w:p w14:paraId="18CA09D6">
            <w:pPr>
              <w:jc w:val="left"/>
              <w:rPr>
                <w:rFonts w:hint="eastAsia" w:ascii="宋体" w:hAnsi="宋体" w:eastAsia="宋体" w:cs="宋体"/>
                <w:bCs/>
                <w:color w:val="auto"/>
                <w:sz w:val="24"/>
                <w:highlight w:val="none"/>
              </w:rPr>
            </w:pPr>
            <w:r>
              <w:rPr>
                <w:rFonts w:hint="eastAsia" w:ascii="宋体" w:hAnsi="宋体" w:eastAsia="宋体" w:cs="宋体"/>
                <w:color w:val="auto"/>
                <w:sz w:val="24"/>
                <w:highlight w:val="none"/>
              </w:rPr>
              <w:t>□组织，考察时间：__年_月_日_</w:t>
            </w:r>
            <w:r>
              <w:rPr>
                <w:rFonts w:hint="eastAsia" w:ascii="宋体" w:hAnsi="宋体" w:eastAsia="宋体" w:cs="宋体"/>
                <w:bCs/>
                <w:color w:val="auto"/>
                <w:sz w:val="24"/>
                <w:highlight w:val="none"/>
              </w:rPr>
              <w:t>点</w:t>
            </w:r>
            <w:r>
              <w:rPr>
                <w:rFonts w:hint="eastAsia" w:ascii="宋体" w:hAnsi="宋体" w:eastAsia="宋体" w:cs="宋体"/>
                <w:color w:val="auto"/>
                <w:sz w:val="24"/>
                <w:highlight w:val="none"/>
              </w:rPr>
              <w:t>_</w:t>
            </w:r>
            <w:r>
              <w:rPr>
                <w:rFonts w:hint="eastAsia" w:ascii="宋体" w:hAnsi="宋体" w:eastAsia="宋体" w:cs="宋体"/>
                <w:bCs/>
                <w:color w:val="auto"/>
                <w:sz w:val="24"/>
                <w:highlight w:val="none"/>
              </w:rPr>
              <w:t>分</w:t>
            </w:r>
          </w:p>
          <w:p w14:paraId="19E81BC1">
            <w:pPr>
              <w:pStyle w:val="25"/>
              <w:adjustRightInd w:val="0"/>
              <w:snapToGrid w:val="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考察地点：____________。</w:t>
            </w:r>
          </w:p>
        </w:tc>
      </w:tr>
      <w:tr w14:paraId="6B4F2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00B4B543">
            <w:pPr>
              <w:pStyle w:val="25"/>
              <w:adjustRightInd w:val="0"/>
              <w:snapToGrid w:val="0"/>
              <w:jc w:val="center"/>
              <w:rPr>
                <w:rFonts w:hint="eastAsia" w:ascii="宋体" w:hAnsi="宋体" w:eastAsia="宋体" w:cs="宋体"/>
                <w:color w:val="auto"/>
                <w:sz w:val="24"/>
                <w:szCs w:val="24"/>
                <w:highlight w:val="none"/>
              </w:rPr>
            </w:pPr>
          </w:p>
        </w:tc>
        <w:tc>
          <w:tcPr>
            <w:tcW w:w="1701" w:type="dxa"/>
            <w:vAlign w:val="center"/>
          </w:tcPr>
          <w:p w14:paraId="2F9A7E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开标前答疑会</w:t>
            </w:r>
          </w:p>
        </w:tc>
        <w:tc>
          <w:tcPr>
            <w:tcW w:w="6804" w:type="dxa"/>
            <w:vAlign w:val="center"/>
          </w:tcPr>
          <w:p w14:paraId="54E8EAA2">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■不召开</w:t>
            </w:r>
          </w:p>
          <w:p w14:paraId="067E285A">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□召开，召开时间：__年_月_日_</w:t>
            </w:r>
            <w:r>
              <w:rPr>
                <w:rFonts w:hint="eastAsia" w:ascii="宋体" w:hAnsi="宋体" w:eastAsia="宋体" w:cs="宋体"/>
                <w:bCs/>
                <w:color w:val="auto"/>
                <w:sz w:val="24"/>
                <w:highlight w:val="none"/>
              </w:rPr>
              <w:t>点</w:t>
            </w:r>
            <w:r>
              <w:rPr>
                <w:rFonts w:hint="eastAsia" w:ascii="宋体" w:hAnsi="宋体" w:eastAsia="宋体" w:cs="宋体"/>
                <w:color w:val="auto"/>
                <w:sz w:val="24"/>
                <w:highlight w:val="none"/>
              </w:rPr>
              <w:t>_</w:t>
            </w:r>
            <w:r>
              <w:rPr>
                <w:rFonts w:hint="eastAsia" w:ascii="宋体" w:hAnsi="宋体" w:eastAsia="宋体" w:cs="宋体"/>
                <w:bCs/>
                <w:color w:val="auto"/>
                <w:sz w:val="24"/>
                <w:highlight w:val="none"/>
              </w:rPr>
              <w:t>分</w:t>
            </w:r>
          </w:p>
          <w:p w14:paraId="30DEB83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召开地点：____________。</w:t>
            </w:r>
          </w:p>
        </w:tc>
      </w:tr>
      <w:tr w14:paraId="6AC8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5C60D4F">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w:t>
            </w:r>
          </w:p>
        </w:tc>
        <w:tc>
          <w:tcPr>
            <w:tcW w:w="1701" w:type="dxa"/>
            <w:vAlign w:val="center"/>
          </w:tcPr>
          <w:p w14:paraId="29F984D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样品</w:t>
            </w:r>
          </w:p>
        </w:tc>
        <w:tc>
          <w:tcPr>
            <w:tcW w:w="6804" w:type="dxa"/>
            <w:vAlign w:val="center"/>
          </w:tcPr>
          <w:p w14:paraId="6468F5BA">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投标样品递交：</w:t>
            </w:r>
          </w:p>
          <w:p w14:paraId="29A7DC6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■不需要</w:t>
            </w:r>
          </w:p>
          <w:p w14:paraId="27C0251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□需要，具体要求如下：</w:t>
            </w:r>
          </w:p>
          <w:p w14:paraId="115C38AE">
            <w:pPr>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（1）样品制作的标准和要求：_________；</w:t>
            </w:r>
          </w:p>
          <w:p w14:paraId="19F723B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（2）是否需要随样品提交相关检测报告：</w:t>
            </w:r>
          </w:p>
          <w:p w14:paraId="3921AEF2">
            <w:pPr>
              <w:ind w:firstLine="600" w:firstLineChars="2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□不需要</w:t>
            </w:r>
          </w:p>
          <w:p w14:paraId="5C414BBC">
            <w:pPr>
              <w:ind w:firstLine="600" w:firstLineChars="2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□需要</w:t>
            </w:r>
          </w:p>
          <w:p w14:paraId="5003529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（3）样品递交要求：_________；</w:t>
            </w:r>
          </w:p>
          <w:p w14:paraId="2A858A1C">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（4）未中标人样品退还：_________；</w:t>
            </w:r>
          </w:p>
          <w:p w14:paraId="601020AC">
            <w:pPr>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（5）中标人样品保管、封存及退还：_________；</w:t>
            </w:r>
          </w:p>
          <w:p w14:paraId="65C251C8">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（6）其他要求（如有）：_________。</w:t>
            </w:r>
          </w:p>
        </w:tc>
      </w:tr>
      <w:tr w14:paraId="72965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88" w:type="dxa"/>
            <w:vAlign w:val="center"/>
          </w:tcPr>
          <w:p w14:paraId="1FD9B592">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w:t>
            </w:r>
          </w:p>
        </w:tc>
        <w:tc>
          <w:tcPr>
            <w:tcW w:w="1701" w:type="dxa"/>
            <w:vAlign w:val="center"/>
          </w:tcPr>
          <w:p w14:paraId="7E17549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标的所属行业</w:t>
            </w:r>
          </w:p>
        </w:tc>
        <w:tc>
          <w:tcPr>
            <w:tcW w:w="6804" w:type="dxa"/>
            <w:vAlign w:val="center"/>
          </w:tcPr>
          <w:p w14:paraId="1F2892D9">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本项目采购标的对应的中小企业划分标准所属行业：工业</w:t>
            </w:r>
          </w:p>
        </w:tc>
      </w:tr>
      <w:tr w14:paraId="799B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0C0CE4C2">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11.2</w:t>
            </w:r>
          </w:p>
        </w:tc>
        <w:tc>
          <w:tcPr>
            <w:tcW w:w="1701" w:type="dxa"/>
            <w:vAlign w:val="center"/>
          </w:tcPr>
          <w:p w14:paraId="65B0A8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投标报价</w:t>
            </w:r>
          </w:p>
        </w:tc>
        <w:tc>
          <w:tcPr>
            <w:tcW w:w="6804" w:type="dxa"/>
            <w:vAlign w:val="center"/>
          </w:tcPr>
          <w:p w14:paraId="454DDD73">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投标报价的特殊规定：</w:t>
            </w:r>
          </w:p>
          <w:p w14:paraId="57354B95">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■无</w:t>
            </w:r>
          </w:p>
          <w:p w14:paraId="32A185EC">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□有，具体情形：_____。</w:t>
            </w:r>
          </w:p>
        </w:tc>
      </w:tr>
      <w:tr w14:paraId="255C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5AA5F12F">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1701" w:type="dxa"/>
            <w:vMerge w:val="restart"/>
            <w:vAlign w:val="center"/>
          </w:tcPr>
          <w:p w14:paraId="2B22701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tc>
        <w:tc>
          <w:tcPr>
            <w:tcW w:w="6804" w:type="dxa"/>
            <w:vAlign w:val="center"/>
          </w:tcPr>
          <w:p w14:paraId="39436D56">
            <w:pPr>
              <w:pStyle w:val="25"/>
              <w:adjustRightInd w:val="0"/>
              <w:snapToGrid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投标保证金金额：</w:t>
            </w:r>
          </w:p>
          <w:p w14:paraId="6333F2C8">
            <w:pPr>
              <w:pStyle w:val="25"/>
              <w:adjustRightInd w:val="0"/>
              <w:snapToGrid w:val="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第1包：60</w:t>
            </w:r>
            <w:r>
              <w:rPr>
                <w:rFonts w:hint="eastAsia" w:ascii="宋体" w:hAnsi="宋体" w:eastAsia="宋体" w:cs="宋体"/>
                <w:color w:val="auto"/>
                <w:sz w:val="24"/>
                <w:szCs w:val="24"/>
                <w:highlight w:val="none"/>
              </w:rPr>
              <w:t>000.00元人民币</w:t>
            </w:r>
          </w:p>
          <w:p w14:paraId="11C0EB07">
            <w:pPr>
              <w:pStyle w:val="25"/>
              <w:adjustRightInd w:val="0"/>
              <w:snapToGrid w:val="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第2包：19000.00</w:t>
            </w:r>
            <w:r>
              <w:rPr>
                <w:rFonts w:hint="eastAsia" w:ascii="宋体" w:hAnsi="宋体" w:eastAsia="宋体" w:cs="宋体"/>
                <w:color w:val="auto"/>
                <w:sz w:val="24"/>
                <w:szCs w:val="24"/>
                <w:highlight w:val="none"/>
              </w:rPr>
              <w:t>元人民币</w:t>
            </w:r>
          </w:p>
          <w:p w14:paraId="36ED19D5">
            <w:pPr>
              <w:pStyle w:val="25"/>
              <w:adjustRightInd w:val="0"/>
              <w:snapToGrid w:val="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第3包：13</w:t>
            </w:r>
            <w:r>
              <w:rPr>
                <w:rFonts w:hint="eastAsia" w:ascii="宋体" w:hAnsi="宋体" w:eastAsia="宋体" w:cs="宋体"/>
                <w:color w:val="auto"/>
                <w:sz w:val="24"/>
                <w:szCs w:val="24"/>
                <w:highlight w:val="none"/>
              </w:rPr>
              <w:t>000.00元人民币</w:t>
            </w:r>
          </w:p>
          <w:p w14:paraId="50B1F4A6">
            <w:pPr>
              <w:pStyle w:val="25"/>
              <w:adjustRightInd w:val="0"/>
              <w:snapToGrid w:val="0"/>
              <w:rPr>
                <w:rFonts w:hint="default" w:ascii="宋体"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第4包：25</w:t>
            </w:r>
            <w:r>
              <w:rPr>
                <w:rFonts w:hint="eastAsia" w:ascii="宋体" w:hAnsi="宋体" w:eastAsia="宋体" w:cs="宋体"/>
                <w:color w:val="auto"/>
                <w:sz w:val="24"/>
                <w:szCs w:val="24"/>
                <w:highlight w:val="none"/>
              </w:rPr>
              <w:t>000.00元人民币</w:t>
            </w:r>
          </w:p>
          <w:p w14:paraId="597FE12D">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电汇或银行转账按照以下方式获取账户信息：</w:t>
            </w:r>
          </w:p>
          <w:p w14:paraId="19EE6526">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网上注册：登录中招联合招标采购平台（http://www.365trade.com.cn；以下简称“交易平台”）进行</w:t>
            </w:r>
            <w:r>
              <w:rPr>
                <w:rFonts w:hint="eastAsia" w:ascii="宋体" w:hAnsi="宋体" w:eastAsia="宋体" w:cs="宋体"/>
                <w:b/>
                <w:bCs/>
                <w:color w:val="auto"/>
                <w:sz w:val="24"/>
                <w:highlight w:val="none"/>
              </w:rPr>
              <w:t>免费</w:t>
            </w:r>
            <w:r>
              <w:rPr>
                <w:rFonts w:hint="eastAsia" w:ascii="宋体" w:hAnsi="宋体" w:eastAsia="宋体" w:cs="宋体"/>
                <w:color w:val="auto"/>
                <w:sz w:val="24"/>
                <w:highlight w:val="none"/>
              </w:rPr>
              <w:t>注册；</w:t>
            </w:r>
          </w:p>
          <w:p w14:paraId="69AB2890">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获取招标文件：经办人凭注册时的用户名、密码验证身份登录，进入中招联合电子招标采购平台在线</w:t>
            </w:r>
            <w:r>
              <w:rPr>
                <w:rFonts w:hint="eastAsia" w:ascii="宋体" w:hAnsi="宋体" w:eastAsia="宋体" w:cs="宋体"/>
                <w:b/>
                <w:bCs/>
                <w:color w:val="auto"/>
                <w:sz w:val="24"/>
                <w:highlight w:val="none"/>
              </w:rPr>
              <w:t>免费</w:t>
            </w:r>
            <w:r>
              <w:rPr>
                <w:rFonts w:hint="eastAsia" w:ascii="宋体" w:hAnsi="宋体" w:eastAsia="宋体" w:cs="宋体"/>
                <w:color w:val="auto"/>
                <w:sz w:val="24"/>
                <w:highlight w:val="none"/>
              </w:rPr>
              <w:t>购买招标文件</w:t>
            </w:r>
            <w:r>
              <w:rPr>
                <w:rFonts w:hint="eastAsia" w:ascii="宋体" w:hAnsi="宋体" w:eastAsia="宋体" w:cs="宋体"/>
                <w:b/>
                <w:bCs/>
                <w:color w:val="auto"/>
                <w:sz w:val="24"/>
                <w:highlight w:val="none"/>
              </w:rPr>
              <w:t>（可选择电汇或者现金方式支付0元标书款，无需缴纳平台服务费）</w:t>
            </w:r>
          </w:p>
          <w:p w14:paraId="663FFA45">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保证金账号获取：招标文件购买完成后进入“缴纳保证金”功能模块，填写相关信息后通过平台自动获取保证金收款账户信息。请投标人按此信息将保证金电汇或银行转账至指定账户。</w:t>
            </w:r>
          </w:p>
          <w:p w14:paraId="3F7120BA">
            <w:pPr>
              <w:spacing w:after="0"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特别注意：该账号为虚拟账号，仅针对本投标人本项目分包有效，对于其他投标人、其他项目或分包无效。</w:t>
            </w:r>
          </w:p>
          <w:p w14:paraId="367443E2">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中招国际招标有限公司委托中招联合信息股份有限公司及平安银行股份有限公司北京分行办理投标保证金收、退、转及结账、结算等相关业务。保证金办理相关问题请咨询中招联合（010-86397110）</w:t>
            </w:r>
          </w:p>
        </w:tc>
      </w:tr>
      <w:tr w14:paraId="5EB96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B5E4463">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12.7.2</w:t>
            </w:r>
          </w:p>
        </w:tc>
        <w:tc>
          <w:tcPr>
            <w:tcW w:w="1701" w:type="dxa"/>
            <w:vMerge w:val="continue"/>
            <w:vAlign w:val="center"/>
          </w:tcPr>
          <w:p w14:paraId="6A728572">
            <w:pPr>
              <w:jc w:val="center"/>
              <w:rPr>
                <w:rFonts w:hint="eastAsia" w:ascii="宋体" w:hAnsi="宋体" w:eastAsia="宋体" w:cs="宋体"/>
                <w:color w:val="auto"/>
                <w:sz w:val="24"/>
                <w:highlight w:val="none"/>
              </w:rPr>
            </w:pPr>
          </w:p>
        </w:tc>
        <w:tc>
          <w:tcPr>
            <w:tcW w:w="6804" w:type="dxa"/>
            <w:vAlign w:val="center"/>
          </w:tcPr>
          <w:p w14:paraId="46764D71">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投标保证金可以不予退还的其他情形：</w:t>
            </w:r>
          </w:p>
          <w:p w14:paraId="4385B886">
            <w:pPr>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无</w:t>
            </w:r>
          </w:p>
          <w:p w14:paraId="7C04C9AA">
            <w:pPr>
              <w:pStyle w:val="25"/>
              <w:adjustRightInd w:val="0"/>
              <w:snapToGrid w:val="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□有，具体情形：_____。</w:t>
            </w:r>
          </w:p>
        </w:tc>
      </w:tr>
      <w:tr w14:paraId="43BE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9ECFBB6">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1701" w:type="dxa"/>
            <w:vAlign w:val="center"/>
          </w:tcPr>
          <w:p w14:paraId="63812CB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6804" w:type="dxa"/>
            <w:vAlign w:val="center"/>
          </w:tcPr>
          <w:p w14:paraId="6D9D39C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自提交投标文件的截止之日起算90日历天。</w:t>
            </w:r>
          </w:p>
        </w:tc>
      </w:tr>
      <w:tr w14:paraId="7CDE8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A1701B8">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1701" w:type="dxa"/>
            <w:vAlign w:val="center"/>
          </w:tcPr>
          <w:p w14:paraId="5FA9E01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投标文件数量</w:t>
            </w:r>
          </w:p>
        </w:tc>
        <w:tc>
          <w:tcPr>
            <w:tcW w:w="6804" w:type="dxa"/>
            <w:vAlign w:val="center"/>
          </w:tcPr>
          <w:p w14:paraId="0765AC6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第一部分投标文件：正本：1份、副本：4份；</w:t>
            </w:r>
          </w:p>
          <w:p w14:paraId="6294AFC8">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第二部分投标文件：正本：1份、副本：4份；</w:t>
            </w:r>
          </w:p>
          <w:p w14:paraId="7D2871D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除上述文件外，还须密封递交投标文件电子文档1份。</w:t>
            </w:r>
          </w:p>
          <w:p w14:paraId="130689BB">
            <w:pPr>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电子文档要求为加盖公章的正本PDF格式扫描件，单独密封于一信封，并在信封上标明 “投标电子版”字样，在投标时单独递交。</w:t>
            </w:r>
          </w:p>
        </w:tc>
      </w:tr>
      <w:tr w14:paraId="54B0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FFA646C">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w:t>
            </w:r>
          </w:p>
        </w:tc>
        <w:tc>
          <w:tcPr>
            <w:tcW w:w="1701" w:type="dxa"/>
            <w:vAlign w:val="center"/>
          </w:tcPr>
          <w:p w14:paraId="43EB8B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确定中标人</w:t>
            </w:r>
          </w:p>
        </w:tc>
        <w:tc>
          <w:tcPr>
            <w:tcW w:w="6804" w:type="dxa"/>
            <w:vAlign w:val="center"/>
          </w:tcPr>
          <w:p w14:paraId="3E4EE3BA">
            <w:pPr>
              <w:pStyle w:val="25"/>
              <w:adjustRightInd w:val="0"/>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中标候选人并列的，采购人是否委托评标委员会确定中标人：</w:t>
            </w:r>
          </w:p>
          <w:p w14:paraId="73832817">
            <w:pPr>
              <w:pStyle w:val="25"/>
              <w:adjustRightInd w:val="0"/>
              <w:snapToGrid w:val="0"/>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否</w:t>
            </w:r>
          </w:p>
          <w:p w14:paraId="09A5EC2D">
            <w:pPr>
              <w:pStyle w:val="25"/>
              <w:adjustRightInd w:val="0"/>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□是</w:t>
            </w:r>
          </w:p>
          <w:p w14:paraId="3D622A87">
            <w:pPr>
              <w:pStyle w:val="25"/>
              <w:adjustRightInd w:val="0"/>
              <w:snapToGrid w:val="0"/>
              <w:rPr>
                <w:rFonts w:hint="eastAsia" w:ascii="宋体" w:hAnsi="宋体" w:eastAsia="宋体" w:cs="宋体"/>
                <w:color w:val="auto"/>
                <w:highlight w:val="none"/>
              </w:rPr>
            </w:pPr>
            <w:r>
              <w:rPr>
                <w:rFonts w:hint="eastAsia" w:ascii="宋体" w:hAnsi="宋体" w:eastAsia="宋体" w:cs="宋体"/>
                <w:color w:val="auto"/>
                <w:sz w:val="24"/>
                <w:highlight w:val="none"/>
              </w:rPr>
              <w:t>中标候选人并列的，按照以下方式确定中标人：</w:t>
            </w:r>
            <w:r>
              <w:rPr>
                <w:rFonts w:hint="eastAsia" w:ascii="宋体" w:hAnsi="宋体" w:eastAsia="宋体" w:cs="宋体"/>
                <w:color w:val="auto"/>
                <w:highlight w:val="none"/>
              </w:rPr>
              <w:t xml:space="preserve"> </w:t>
            </w:r>
          </w:p>
          <w:p w14:paraId="7A064F03">
            <w:pPr>
              <w:pStyle w:val="25"/>
              <w:adjustRightInd w:val="0"/>
              <w:snapToGrid w:val="0"/>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得分且投标报价均相同的，以</w:t>
            </w:r>
            <w:r>
              <w:rPr>
                <w:rFonts w:hint="eastAsia" w:ascii="宋体" w:hAnsi="宋体" w:eastAsia="宋体" w:cs="宋体"/>
                <w:color w:val="auto"/>
                <w:sz w:val="24"/>
                <w:highlight w:val="none"/>
                <w:u w:val="single"/>
              </w:rPr>
              <w:t>评审因素的量化指标评审</w:t>
            </w:r>
            <w:r>
              <w:rPr>
                <w:rFonts w:hint="eastAsia" w:ascii="宋体" w:hAnsi="宋体" w:eastAsia="宋体" w:cs="宋体"/>
                <w:color w:val="auto"/>
                <w:sz w:val="24"/>
                <w:highlight w:val="none"/>
              </w:rPr>
              <w:t>得分高者为中标人。</w:t>
            </w:r>
          </w:p>
          <w:p w14:paraId="5F121B5A">
            <w:pPr>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□随机抽取</w:t>
            </w:r>
          </w:p>
        </w:tc>
      </w:tr>
      <w:tr w14:paraId="01C4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297899">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25.5</w:t>
            </w:r>
          </w:p>
        </w:tc>
        <w:tc>
          <w:tcPr>
            <w:tcW w:w="1701" w:type="dxa"/>
            <w:vAlign w:val="center"/>
          </w:tcPr>
          <w:p w14:paraId="00043F5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分包</w:t>
            </w:r>
          </w:p>
        </w:tc>
        <w:tc>
          <w:tcPr>
            <w:tcW w:w="6804" w:type="dxa"/>
            <w:vAlign w:val="center"/>
          </w:tcPr>
          <w:p w14:paraId="3DFF3B42">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本项目的非主体、非关键性工作是否允许分包： </w:t>
            </w:r>
          </w:p>
          <w:p w14:paraId="03912B79">
            <w:pPr>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不允许</w:t>
            </w:r>
          </w:p>
          <w:p w14:paraId="733D6FC9">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□允许，具体要求：</w:t>
            </w:r>
          </w:p>
          <w:p w14:paraId="16F66004">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（1）可以分包履行的具体内容：_____；</w:t>
            </w:r>
          </w:p>
          <w:p w14:paraId="04CE45C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（2）允许分包的金额或者比例：_____；</w:t>
            </w:r>
          </w:p>
          <w:p w14:paraId="7858CD32">
            <w:pPr>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（3）其他要求：_____。</w:t>
            </w:r>
          </w:p>
        </w:tc>
      </w:tr>
      <w:tr w14:paraId="4DC7A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8700FA4">
            <w:pPr>
              <w:pStyle w:val="25"/>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25.6</w:t>
            </w:r>
          </w:p>
        </w:tc>
        <w:tc>
          <w:tcPr>
            <w:tcW w:w="1701" w:type="dxa"/>
            <w:vAlign w:val="center"/>
          </w:tcPr>
          <w:p w14:paraId="7E14E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政采贷</w:t>
            </w:r>
          </w:p>
        </w:tc>
        <w:tc>
          <w:tcPr>
            <w:tcW w:w="6804" w:type="dxa"/>
            <w:vAlign w:val="center"/>
          </w:tcPr>
          <w:p w14:paraId="03E39B40">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1C7CF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F66AEF6">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26.1.1</w:t>
            </w:r>
          </w:p>
        </w:tc>
        <w:tc>
          <w:tcPr>
            <w:tcW w:w="1701" w:type="dxa"/>
            <w:vAlign w:val="center"/>
          </w:tcPr>
          <w:p w14:paraId="2153063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询问</w:t>
            </w:r>
          </w:p>
        </w:tc>
        <w:tc>
          <w:tcPr>
            <w:tcW w:w="6804" w:type="dxa"/>
            <w:vAlign w:val="center"/>
          </w:tcPr>
          <w:p w14:paraId="55594C95">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询问送达形式：</w:t>
            </w:r>
          </w:p>
          <w:p w14:paraId="5DDBCDB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口头询问：请致电010-62108007  </w:t>
            </w:r>
          </w:p>
          <w:p w14:paraId="0922F0C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书面询问：请将书面文件递交至：中招国际招标有限公司611C室</w:t>
            </w:r>
          </w:p>
        </w:tc>
      </w:tr>
      <w:tr w14:paraId="7ABB2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0A35341">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26.3</w:t>
            </w:r>
          </w:p>
        </w:tc>
        <w:tc>
          <w:tcPr>
            <w:tcW w:w="1701" w:type="dxa"/>
            <w:vAlign w:val="center"/>
          </w:tcPr>
          <w:p w14:paraId="14BD97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w:t>
            </w:r>
          </w:p>
        </w:tc>
        <w:tc>
          <w:tcPr>
            <w:tcW w:w="6804" w:type="dxa"/>
            <w:vAlign w:val="center"/>
          </w:tcPr>
          <w:p w14:paraId="3436AEF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接收询问和质疑的联系方式</w:t>
            </w:r>
          </w:p>
          <w:p w14:paraId="30E3AD8C">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联系部门：中招国际招标有限公司综合发展部；</w:t>
            </w:r>
          </w:p>
          <w:p w14:paraId="2985AFF3">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 010-62108007；010-62108058；</w:t>
            </w:r>
          </w:p>
          <w:p w14:paraId="713E366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通讯地址：北京市海淀区学院南路62号院中关村资本大厦。</w:t>
            </w:r>
          </w:p>
        </w:tc>
      </w:tr>
      <w:tr w14:paraId="077C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79ECCC23">
            <w:pPr>
              <w:pStyle w:val="25"/>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1701" w:type="dxa"/>
            <w:tcBorders>
              <w:top w:val="single" w:color="auto" w:sz="4" w:space="0"/>
              <w:left w:val="single" w:color="auto" w:sz="4" w:space="0"/>
              <w:bottom w:val="single" w:color="auto" w:sz="4" w:space="0"/>
              <w:right w:val="single" w:color="auto" w:sz="4" w:space="0"/>
            </w:tcBorders>
            <w:vAlign w:val="center"/>
          </w:tcPr>
          <w:p w14:paraId="0C605E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代理费</w:t>
            </w:r>
          </w:p>
        </w:tc>
        <w:tc>
          <w:tcPr>
            <w:tcW w:w="6804" w:type="dxa"/>
            <w:tcBorders>
              <w:top w:val="single" w:color="auto" w:sz="4" w:space="0"/>
              <w:left w:val="single" w:color="auto" w:sz="4" w:space="0"/>
              <w:bottom w:val="single" w:color="auto" w:sz="4" w:space="0"/>
              <w:right w:val="single" w:color="auto" w:sz="4" w:space="0"/>
            </w:tcBorders>
            <w:vAlign w:val="center"/>
          </w:tcPr>
          <w:p w14:paraId="6816B4E8">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收费对象：</w:t>
            </w:r>
          </w:p>
          <w:p w14:paraId="4A272902">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w:t>
            </w:r>
          </w:p>
          <w:p w14:paraId="5B5D0DD0">
            <w:pPr>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中标人</w:t>
            </w:r>
          </w:p>
          <w:p w14:paraId="7F4102C8">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收费标准：参照原国家计委计价格【2002】1980号文和国家发改委发改办价格【2003】857号文的计算方法收取；</w:t>
            </w:r>
          </w:p>
          <w:p w14:paraId="25DC1771">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缴纳时间：领取中标通知书的同时。</w:t>
            </w:r>
          </w:p>
        </w:tc>
      </w:tr>
      <w:tr w14:paraId="7ACF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25D9DC4D">
            <w:pPr>
              <w:pStyle w:val="25"/>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1701" w:type="dxa"/>
            <w:tcBorders>
              <w:top w:val="single" w:color="auto" w:sz="4" w:space="0"/>
              <w:left w:val="single" w:color="auto" w:sz="4" w:space="0"/>
              <w:bottom w:val="single" w:color="auto" w:sz="4" w:space="0"/>
              <w:right w:val="single" w:color="auto" w:sz="4" w:space="0"/>
            </w:tcBorders>
            <w:vAlign w:val="center"/>
          </w:tcPr>
          <w:p w14:paraId="31E54D0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通知书</w:t>
            </w:r>
          </w:p>
        </w:tc>
        <w:tc>
          <w:tcPr>
            <w:tcW w:w="6804" w:type="dxa"/>
            <w:tcBorders>
              <w:top w:val="single" w:color="auto" w:sz="4" w:space="0"/>
              <w:left w:val="single" w:color="auto" w:sz="4" w:space="0"/>
              <w:bottom w:val="single" w:color="auto" w:sz="4" w:space="0"/>
              <w:right w:val="single" w:color="auto" w:sz="4" w:space="0"/>
            </w:tcBorders>
            <w:vAlign w:val="center"/>
          </w:tcPr>
          <w:p w14:paraId="44C95505">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在公告中标结果的同时，中招国际招标有限公司将在中招联合招标采购平台向中标人发出中标通知书，向未中标的投标人发出招标结果通知书。</w:t>
            </w:r>
          </w:p>
        </w:tc>
      </w:tr>
    </w:tbl>
    <w:p w14:paraId="406B5426">
      <w:pPr>
        <w:tabs>
          <w:tab w:val="left" w:pos="5580"/>
        </w:tabs>
        <w:adjustRightInd w:val="0"/>
        <w:spacing w:line="360" w:lineRule="auto"/>
        <w:jc w:val="distribute"/>
        <w:rPr>
          <w:rFonts w:hint="eastAsia" w:ascii="宋体" w:hAnsi="宋体" w:eastAsia="宋体" w:cs="宋体"/>
          <w:color w:val="auto"/>
          <w:sz w:val="24"/>
          <w:highlight w:val="none"/>
        </w:rPr>
        <w:sectPr>
          <w:headerReference r:id="rId11" w:type="first"/>
          <w:footerReference r:id="rId12" w:type="default"/>
          <w:type w:val="nextColumn"/>
          <w:pgSz w:w="11907" w:h="16840"/>
          <w:pgMar w:top="1418" w:right="1134" w:bottom="1418" w:left="1701" w:header="851" w:footer="851" w:gutter="0"/>
          <w:pgNumType w:start="0"/>
          <w:cols w:space="720" w:num="1"/>
          <w:titlePg/>
          <w:docGrid w:linePitch="462" w:charSpace="0"/>
        </w:sectPr>
      </w:pPr>
    </w:p>
    <w:p w14:paraId="7087FD6F">
      <w:pPr>
        <w:spacing w:before="240" w:beforeLines="100" w:after="240" w:afterLines="100"/>
        <w:jc w:val="center"/>
        <w:rPr>
          <w:rFonts w:hint="eastAsia" w:ascii="宋体" w:hAnsi="宋体" w:eastAsia="宋体" w:cs="宋体"/>
          <w:b/>
          <w:color w:val="auto"/>
          <w:sz w:val="28"/>
          <w:szCs w:val="28"/>
          <w:highlight w:val="none"/>
        </w:rPr>
      </w:pPr>
      <w:bookmarkStart w:id="74" w:name="_Toc150480755"/>
      <w:bookmarkStart w:id="75" w:name="_Toc353873662"/>
      <w:bookmarkStart w:id="76" w:name="_Toc226337213"/>
      <w:bookmarkStart w:id="77" w:name="_Toc195842882"/>
      <w:bookmarkStart w:id="78" w:name="_Toc142311019"/>
      <w:bookmarkStart w:id="79" w:name="_Toc353873932"/>
      <w:bookmarkStart w:id="80" w:name="_Toc127151517"/>
      <w:bookmarkStart w:id="81" w:name="_Toc264969207"/>
      <w:bookmarkStart w:id="82" w:name="_Toc353825542"/>
      <w:bookmarkStart w:id="83" w:name="_Toc305158785"/>
      <w:bookmarkStart w:id="84" w:name="_Toc305158859"/>
      <w:bookmarkStart w:id="85" w:name="_Toc265228355"/>
      <w:bookmarkStart w:id="86" w:name="_Toc226965790"/>
      <w:bookmarkStart w:id="87" w:name="_Toc150774722"/>
      <w:r>
        <w:rPr>
          <w:rFonts w:hint="eastAsia" w:ascii="宋体" w:hAnsi="宋体" w:eastAsia="宋体" w:cs="宋体"/>
          <w:b/>
          <w:color w:val="auto"/>
          <w:sz w:val="28"/>
          <w:szCs w:val="28"/>
          <w:highlight w:val="none"/>
        </w:rPr>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C127E0A">
      <w:pPr>
        <w:pStyle w:val="6"/>
        <w:tabs>
          <w:tab w:val="center" w:pos="4592"/>
          <w:tab w:val="left" w:pos="7860"/>
        </w:tabs>
        <w:spacing w:before="0" w:line="360" w:lineRule="auto"/>
        <w:jc w:val="left"/>
        <w:rPr>
          <w:rFonts w:hint="eastAsia" w:ascii="宋体" w:hAnsi="宋体" w:eastAsia="宋体" w:cs="宋体"/>
          <w:color w:val="auto"/>
          <w:sz w:val="28"/>
          <w:highlight w:val="none"/>
        </w:rPr>
      </w:pPr>
      <w:bookmarkStart w:id="88" w:name="_Toc520356143"/>
      <w:bookmarkStart w:id="89" w:name="_Toc127151518"/>
      <w:r>
        <w:rPr>
          <w:rFonts w:hint="eastAsia" w:ascii="宋体" w:hAnsi="宋体" w:eastAsia="宋体" w:cs="宋体"/>
          <w:color w:val="auto"/>
          <w:sz w:val="28"/>
          <w:highlight w:val="none"/>
        </w:rPr>
        <w:tab/>
      </w:r>
      <w:bookmarkStart w:id="90" w:name="_Toc150480756"/>
      <w:bookmarkStart w:id="91" w:name="_Toc226309762"/>
      <w:bookmarkStart w:id="92" w:name="_Toc264969208"/>
      <w:bookmarkStart w:id="93" w:name="_Toc265228356"/>
      <w:bookmarkStart w:id="94" w:name="_Toc226965791"/>
      <w:bookmarkStart w:id="95" w:name="_Toc151193906"/>
      <w:bookmarkStart w:id="96" w:name="_Toc151193832"/>
      <w:bookmarkStart w:id="97" w:name="_Toc150774723"/>
      <w:bookmarkStart w:id="98" w:name="_Toc226965708"/>
      <w:bookmarkStart w:id="99" w:name="_Toc142311020"/>
      <w:bookmarkStart w:id="100" w:name="_Toc226337214"/>
      <w:bookmarkStart w:id="101" w:name="_Toc151193616"/>
      <w:bookmarkStart w:id="102" w:name="_Toc150774618"/>
      <w:bookmarkStart w:id="103" w:name="_Toc151193760"/>
      <w:bookmarkStart w:id="104" w:name="_Toc195842883"/>
      <w:bookmarkStart w:id="105" w:name="_Toc150509269"/>
      <w:bookmarkStart w:id="106" w:name="_Toc305158860"/>
      <w:bookmarkStart w:id="107" w:name="_Toc151190145"/>
      <w:bookmarkStart w:id="108" w:name="_Toc305158786"/>
      <w:bookmarkStart w:id="109" w:name="_Toc151193688"/>
      <w:r>
        <w:rPr>
          <w:rFonts w:hint="eastAsia" w:ascii="宋体" w:hAnsi="宋体" w:eastAsia="宋体" w:cs="宋体"/>
          <w:color w:val="auto"/>
          <w:sz w:val="28"/>
          <w:highlight w:val="none"/>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hint="eastAsia" w:ascii="宋体" w:hAnsi="宋体" w:eastAsia="宋体" w:cs="宋体"/>
          <w:color w:val="auto"/>
          <w:sz w:val="28"/>
          <w:highlight w:val="none"/>
        </w:rPr>
        <w:tab/>
      </w:r>
    </w:p>
    <w:p w14:paraId="5C7A2311">
      <w:pPr>
        <w:numPr>
          <w:ilvl w:val="0"/>
          <w:numId w:val="8"/>
        </w:numPr>
        <w:tabs>
          <w:tab w:val="left" w:pos="360"/>
          <w:tab w:val="clear" w:pos="900"/>
        </w:tabs>
        <w:snapToGrid w:val="0"/>
        <w:spacing w:line="360" w:lineRule="auto"/>
        <w:ind w:left="357" w:hanging="357"/>
        <w:outlineLvl w:val="1"/>
        <w:rPr>
          <w:rFonts w:hint="eastAsia" w:ascii="宋体" w:hAnsi="宋体" w:eastAsia="宋体" w:cs="宋体"/>
          <w:color w:val="auto"/>
          <w:sz w:val="24"/>
          <w:highlight w:val="none"/>
        </w:rPr>
      </w:pPr>
      <w:bookmarkStart w:id="110" w:name="_Toc264969209"/>
      <w:bookmarkStart w:id="111" w:name="_Toc265228357"/>
      <w:bookmarkStart w:id="112" w:name="_Toc305158787"/>
      <w:bookmarkStart w:id="113" w:name="_Toc305158861"/>
      <w:r>
        <w:rPr>
          <w:rFonts w:hint="eastAsia" w:ascii="宋体" w:hAnsi="宋体" w:eastAsia="宋体" w:cs="宋体"/>
          <w:color w:val="auto"/>
          <w:sz w:val="24"/>
          <w:highlight w:val="none"/>
        </w:rPr>
        <w:t>采购人、采购代理机构、投标人</w:t>
      </w:r>
      <w:bookmarkEnd w:id="110"/>
      <w:bookmarkEnd w:id="111"/>
      <w:bookmarkEnd w:id="112"/>
      <w:bookmarkEnd w:id="113"/>
      <w:r>
        <w:rPr>
          <w:rFonts w:hint="eastAsia" w:ascii="宋体" w:hAnsi="宋体" w:eastAsia="宋体" w:cs="宋体"/>
          <w:color w:val="auto"/>
          <w:sz w:val="24"/>
          <w:highlight w:val="none"/>
        </w:rPr>
        <w:t>、联合体</w:t>
      </w:r>
    </w:p>
    <w:p w14:paraId="54A0306C">
      <w:pPr>
        <w:numPr>
          <w:ilvl w:val="1"/>
          <w:numId w:val="8"/>
        </w:numPr>
        <w:tabs>
          <w:tab w:val="left" w:pos="1080"/>
          <w:tab w:val="left" w:pos="2014"/>
          <w:tab w:val="left" w:pos="5521"/>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采购人、采购代理机构：指依法进行政府采购的国家机关、事业单位、团体组织，及其委托的采购代理机构。本项目采购人、采购代理机构见第一章《投标邀请》。</w:t>
      </w:r>
    </w:p>
    <w:p w14:paraId="206E72A2">
      <w:pPr>
        <w:numPr>
          <w:ilvl w:val="1"/>
          <w:numId w:val="8"/>
        </w:numPr>
        <w:tabs>
          <w:tab w:val="left" w:pos="1080"/>
          <w:tab w:val="left" w:pos="2014"/>
          <w:tab w:val="left" w:pos="5521"/>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投标人（也称“供应商”、“申请人”）：指向采购人提供货物、工程或者服务的法人、其他组织或者自然人。</w:t>
      </w:r>
    </w:p>
    <w:p w14:paraId="48306AB2">
      <w:pPr>
        <w:numPr>
          <w:ilvl w:val="1"/>
          <w:numId w:val="8"/>
        </w:numPr>
        <w:tabs>
          <w:tab w:val="left" w:pos="1080"/>
          <w:tab w:val="left" w:pos="2014"/>
          <w:tab w:val="left" w:pos="5521"/>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联合体：指两个以上的自然人、法人或者其他组织组成一个联合体，以一个供应商的身份共同参加政府采购。</w:t>
      </w:r>
    </w:p>
    <w:p w14:paraId="047A1133">
      <w:pPr>
        <w:numPr>
          <w:ilvl w:val="0"/>
          <w:numId w:val="8"/>
        </w:numPr>
        <w:tabs>
          <w:tab w:val="left" w:pos="360"/>
          <w:tab w:val="clear" w:pos="900"/>
        </w:tabs>
        <w:snapToGrid w:val="0"/>
        <w:spacing w:line="360" w:lineRule="auto"/>
        <w:ind w:left="357" w:hanging="357"/>
        <w:outlineLvl w:val="1"/>
        <w:rPr>
          <w:rFonts w:hint="eastAsia" w:ascii="宋体" w:hAnsi="宋体" w:eastAsia="宋体" w:cs="宋体"/>
          <w:color w:val="auto"/>
          <w:sz w:val="24"/>
          <w:highlight w:val="none"/>
        </w:rPr>
      </w:pPr>
      <w:bookmarkStart w:id="114" w:name="_Toc164608634"/>
      <w:bookmarkStart w:id="115" w:name="_Toc226337216"/>
      <w:bookmarkStart w:id="116" w:name="_Toc142311022"/>
      <w:bookmarkStart w:id="117" w:name="_Toc164229215"/>
      <w:bookmarkStart w:id="118" w:name="_Toc305158788"/>
      <w:bookmarkStart w:id="119" w:name="_Toc150509271"/>
      <w:bookmarkStart w:id="120" w:name="_Toc127151520"/>
      <w:bookmarkStart w:id="121" w:name="_Toc226965710"/>
      <w:bookmarkStart w:id="122" w:name="_Toc150774620"/>
      <w:bookmarkStart w:id="123" w:name="_Toc265228358"/>
      <w:bookmarkStart w:id="124" w:name="_Toc264969210"/>
      <w:bookmarkStart w:id="125" w:name="_Toc195842885"/>
      <w:bookmarkStart w:id="126" w:name="_Toc127161434"/>
      <w:bookmarkStart w:id="127" w:name="_Toc151193834"/>
      <w:bookmarkStart w:id="128" w:name="_Toc151190147"/>
      <w:bookmarkStart w:id="129" w:name="_Toc305158862"/>
      <w:bookmarkStart w:id="130" w:name="_Toc151193690"/>
      <w:bookmarkStart w:id="131" w:name="_Toc127151721"/>
      <w:bookmarkStart w:id="132" w:name="_Toc149720813"/>
      <w:bookmarkStart w:id="133" w:name="_Toc226309764"/>
      <w:bookmarkStart w:id="134" w:name="_Toc151193618"/>
      <w:bookmarkStart w:id="135" w:name="_Toc150480758"/>
      <w:bookmarkStart w:id="136" w:name="_Toc150774725"/>
      <w:bookmarkStart w:id="137" w:name="_Toc226965793"/>
      <w:bookmarkStart w:id="138" w:name="_Toc164608789"/>
      <w:bookmarkStart w:id="139" w:name="_Toc164229361"/>
      <w:bookmarkStart w:id="140" w:name="_Toc151193908"/>
      <w:bookmarkStart w:id="141" w:name="_Toc164351614"/>
      <w:bookmarkStart w:id="142" w:name="_Toc151193762"/>
      <w:r>
        <w:rPr>
          <w:rFonts w:hint="eastAsia" w:ascii="宋体" w:hAnsi="宋体" w:eastAsia="宋体" w:cs="宋体"/>
          <w:color w:val="auto"/>
          <w:sz w:val="24"/>
          <w:highlight w:val="none"/>
        </w:rPr>
        <w:t>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hint="eastAsia" w:ascii="宋体" w:hAnsi="宋体" w:eastAsia="宋体" w:cs="宋体"/>
          <w:color w:val="auto"/>
          <w:sz w:val="24"/>
          <w:highlight w:val="none"/>
        </w:rPr>
        <w:t>、项目属性、科研仪器设备采购、核心产品</w:t>
      </w:r>
    </w:p>
    <w:p w14:paraId="59F27F88">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资金来源为财政性资金和/或本项目采购中无法与财政性资金分割的非财政性资金。</w:t>
      </w:r>
    </w:p>
    <w:p w14:paraId="4713727A">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项目属性见《投标人须知资料表》。</w:t>
      </w:r>
    </w:p>
    <w:p w14:paraId="501B85A4">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是否属于科研仪器设备采购见《投标人须知资料表》。</w:t>
      </w:r>
    </w:p>
    <w:p w14:paraId="4AE2BDD1">
      <w:pPr>
        <w:numPr>
          <w:ilvl w:val="1"/>
          <w:numId w:val="8"/>
        </w:numPr>
        <w:tabs>
          <w:tab w:val="left" w:pos="1080"/>
          <w:tab w:val="left" w:pos="2014"/>
          <w:tab w:val="left" w:pos="5521"/>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核心产品见《投标人须知资料表》。</w:t>
      </w:r>
    </w:p>
    <w:p w14:paraId="7798E193">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现场考察、开标前答疑会</w:t>
      </w:r>
    </w:p>
    <w:p w14:paraId="3F12BEC3">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8"/>
          <w:highlight w:val="none"/>
        </w:rPr>
      </w:pPr>
      <w:r>
        <w:rPr>
          <w:rFonts w:hint="eastAsia" w:ascii="宋体" w:hAnsi="宋体" w:eastAsia="宋体" w:cs="宋体"/>
          <w:color w:val="auto"/>
          <w:sz w:val="24"/>
          <w:highlight w:val="none"/>
        </w:rPr>
        <w:t>若《投标人须知资料表》中规定了组织现场考察、召开开标前答疑会，则投标人应按要求在规定的时间和地点参加。</w:t>
      </w:r>
      <w:bookmarkStart w:id="143" w:name="_Toc127151522"/>
      <w:bookmarkStart w:id="144" w:name="_Toc150509273"/>
      <w:bookmarkStart w:id="145" w:name="_Toc264969212"/>
      <w:bookmarkStart w:id="146" w:name="_Toc305158790"/>
      <w:bookmarkStart w:id="147" w:name="_Toc195842887"/>
      <w:bookmarkStart w:id="148" w:name="_Toc151193692"/>
      <w:bookmarkStart w:id="149" w:name="_Toc150774622"/>
      <w:bookmarkStart w:id="150" w:name="_Toc151193620"/>
      <w:bookmarkStart w:id="151" w:name="_Toc520356146"/>
      <w:bookmarkStart w:id="152" w:name="_Toc151190149"/>
      <w:bookmarkStart w:id="153" w:name="_Toc226337218"/>
      <w:bookmarkStart w:id="154" w:name="_Toc151193836"/>
      <w:bookmarkStart w:id="155" w:name="_Toc305158864"/>
      <w:bookmarkStart w:id="156" w:name="_Toc226965795"/>
      <w:bookmarkStart w:id="157" w:name="_Toc150774727"/>
      <w:bookmarkStart w:id="158" w:name="_Toc151193910"/>
      <w:bookmarkStart w:id="159" w:name="_Toc142311024"/>
      <w:bookmarkStart w:id="160" w:name="_Toc150480760"/>
      <w:bookmarkStart w:id="161" w:name="_Toc226965712"/>
      <w:bookmarkStart w:id="162" w:name="_Toc151193764"/>
      <w:bookmarkStart w:id="163" w:name="_Toc226309766"/>
      <w:bookmarkStart w:id="164" w:name="_Toc265228360"/>
    </w:p>
    <w:p w14:paraId="4D2D0A24">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由于未参加现场考察或开标前答疑会而导致对项目实际情况不了解，影响投标文件编制、投标报价准确性、综合因素响应不全面等问题的，由投标人自行承担不利评审后果。</w:t>
      </w:r>
    </w:p>
    <w:p w14:paraId="53EAF5F9">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样品</w:t>
      </w:r>
    </w:p>
    <w:p w14:paraId="77EB24B3">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本项目是否要求投标人提供样品，以及样品制作的标准和要求、是否需要随样品提交相关检测报告、样品的递交与退还等要求见《投标人须知资料表》。</w:t>
      </w:r>
    </w:p>
    <w:p w14:paraId="12EBDFAA">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样品的评审方法以及评审标准等内容见第四章《评标程序、评标方法和评标标准》。</w:t>
      </w:r>
    </w:p>
    <w:p w14:paraId="7DF04150">
      <w:pPr>
        <w:numPr>
          <w:ilvl w:val="0"/>
          <w:numId w:val="8"/>
        </w:numPr>
        <w:tabs>
          <w:tab w:val="left" w:pos="360"/>
          <w:tab w:val="clear" w:pos="90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政府采购政策（包括但不限于下列具体政策要求）</w:t>
      </w:r>
    </w:p>
    <w:p w14:paraId="0506A1FD">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采购本国货物、工程和服务</w:t>
      </w:r>
    </w:p>
    <w:p w14:paraId="6A810734">
      <w:pPr>
        <w:numPr>
          <w:ilvl w:val="2"/>
          <w:numId w:val="8"/>
        </w:numPr>
        <w:tabs>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政府采购应当采购本国货物、工程和服务。但有《</w:t>
      </w:r>
      <w:r>
        <w:rPr>
          <w:rFonts w:hint="eastAsia" w:ascii="宋体" w:hAnsi="宋体" w:eastAsia="宋体" w:cs="宋体"/>
          <w:b/>
          <w:color w:val="auto"/>
          <w:kern w:val="0"/>
          <w:sz w:val="24"/>
          <w:highlight w:val="none"/>
        </w:rPr>
        <w:t>中华人民共和国政府采购法</w:t>
      </w:r>
      <w:r>
        <w:rPr>
          <w:rFonts w:hint="eastAsia" w:ascii="宋体" w:hAnsi="宋体" w:eastAsia="宋体" w:cs="宋体"/>
          <w:color w:val="auto"/>
          <w:kern w:val="0"/>
          <w:sz w:val="24"/>
          <w:highlight w:val="none"/>
        </w:rPr>
        <w:t>》第十条规定情形的除外。</w:t>
      </w:r>
    </w:p>
    <w:p w14:paraId="72FE3ABE">
      <w:pPr>
        <w:numPr>
          <w:ilvl w:val="2"/>
          <w:numId w:val="8"/>
        </w:numPr>
        <w:tabs>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本项目如接受非本国货物、工程、服务参与投标，则具体要求见第五章《采购需求》。</w:t>
      </w:r>
    </w:p>
    <w:p w14:paraId="1E207799">
      <w:pPr>
        <w:numPr>
          <w:ilvl w:val="2"/>
          <w:numId w:val="8"/>
        </w:numPr>
        <w:tabs>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5E98E3B3">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中小企业、监狱企业及残疾人福利性单位</w:t>
      </w:r>
    </w:p>
    <w:p w14:paraId="2A642FEE">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中小企业定义：</w:t>
      </w:r>
    </w:p>
    <w:p w14:paraId="608F987F">
      <w:pPr>
        <w:pStyle w:val="73"/>
        <w:numPr>
          <w:ilvl w:val="0"/>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7FDA3492">
      <w:pPr>
        <w:pStyle w:val="73"/>
        <w:numPr>
          <w:ilvl w:val="0"/>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711FCF94">
      <w:pPr>
        <w:pStyle w:val="73"/>
        <w:numPr>
          <w:ilvl w:val="0"/>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6C6B5B6C">
      <w:pPr>
        <w:pStyle w:val="73"/>
        <w:numPr>
          <w:ilvl w:val="0"/>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6D9F2568">
      <w:pPr>
        <w:pStyle w:val="73"/>
        <w:numPr>
          <w:ilvl w:val="0"/>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0D6B0BA2">
      <w:pPr>
        <w:pStyle w:val="73"/>
        <w:numPr>
          <w:ilvl w:val="1"/>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5EA9FB46">
      <w:pPr>
        <w:pStyle w:val="73"/>
        <w:numPr>
          <w:ilvl w:val="1"/>
          <w:numId w:val="9"/>
        </w:numPr>
        <w:tabs>
          <w:tab w:val="left" w:pos="1980"/>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3A1999D3">
      <w:pPr>
        <w:pStyle w:val="73"/>
        <w:numPr>
          <w:ilvl w:val="2"/>
          <w:numId w:val="9"/>
        </w:numPr>
        <w:tabs>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032F14FD">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定依据《中华人民共和国中小企业促进法》、《关于进一步加大政府采购支持中小企业力度的通知》（财库〔2022〕19号）、《政府采购促进中小企业发展管理办法》（财库〔2020〕46号）、《关于印发中小企业划型标准规定的通知》（工信部联企业〔2011〕300 号）、《金融业企业划型标准规定》（〔2015〕309 号）等国务院批准的中小企业划分标准执行。</w:t>
      </w:r>
    </w:p>
    <w:p w14:paraId="4044DF83">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供应商提供的货物、工程或者服务符合下列情形的，享受中小企业扶持政策：</w:t>
      </w:r>
    </w:p>
    <w:p w14:paraId="2D3F87E0">
      <w:pPr>
        <w:tabs>
          <w:tab w:val="left" w:pos="1980"/>
        </w:tabs>
        <w:snapToGrid w:val="0"/>
        <w:spacing w:line="360" w:lineRule="auto"/>
        <w:ind w:left="2835" w:leftChars="1350"/>
        <w:rPr>
          <w:rFonts w:hint="eastAsia" w:ascii="宋体" w:hAnsi="宋体" w:eastAsia="宋体" w:cs="宋体"/>
          <w:color w:val="auto"/>
          <w:sz w:val="24"/>
          <w:highlight w:val="none"/>
        </w:rPr>
      </w:pPr>
      <w:r>
        <w:rPr>
          <w:rFonts w:hint="eastAsia" w:ascii="宋体" w:hAnsi="宋体" w:eastAsia="宋体" w:cs="宋体"/>
          <w:color w:val="auto"/>
          <w:sz w:val="24"/>
          <w:highlight w:val="none"/>
        </w:rPr>
        <w:t>（1）在货物采购项目中，货物由中小企业制造，即货物由中小企业生产且使用该中小企业商号或者注册商标；</w:t>
      </w:r>
    </w:p>
    <w:p w14:paraId="794C5A56">
      <w:pPr>
        <w:tabs>
          <w:tab w:val="left" w:pos="1980"/>
        </w:tabs>
        <w:snapToGrid w:val="0"/>
        <w:spacing w:line="360" w:lineRule="auto"/>
        <w:ind w:left="2835" w:leftChars="1350"/>
        <w:rPr>
          <w:rFonts w:hint="eastAsia" w:ascii="宋体" w:hAnsi="宋体" w:eastAsia="宋体" w:cs="宋体"/>
          <w:color w:val="auto"/>
          <w:sz w:val="24"/>
          <w:highlight w:val="none"/>
        </w:rPr>
      </w:pPr>
      <w:r>
        <w:rPr>
          <w:rFonts w:hint="eastAsia" w:ascii="宋体" w:hAnsi="宋体" w:eastAsia="宋体" w:cs="宋体"/>
          <w:color w:val="auto"/>
          <w:sz w:val="24"/>
          <w:highlight w:val="none"/>
        </w:rPr>
        <w:t>（2）在工程采购项目中，工程由中小企业承建，即工程施工单位为中小企业；</w:t>
      </w:r>
    </w:p>
    <w:p w14:paraId="01329DC4">
      <w:pPr>
        <w:tabs>
          <w:tab w:val="left" w:pos="1980"/>
        </w:tabs>
        <w:snapToGrid w:val="0"/>
        <w:spacing w:line="360" w:lineRule="auto"/>
        <w:ind w:left="2835" w:leftChars="1350"/>
        <w:rPr>
          <w:rFonts w:hint="eastAsia" w:ascii="宋体" w:hAnsi="宋体" w:eastAsia="宋体" w:cs="宋体"/>
          <w:color w:val="auto"/>
          <w:sz w:val="24"/>
          <w:highlight w:val="none"/>
        </w:rPr>
      </w:pPr>
      <w:r>
        <w:rPr>
          <w:rFonts w:hint="eastAsia" w:ascii="宋体" w:hAnsi="宋体" w:eastAsia="宋体" w:cs="宋体"/>
          <w:color w:val="auto"/>
          <w:sz w:val="24"/>
          <w:highlight w:val="none"/>
        </w:rPr>
        <w:t>（3）在服务采购项目中，服务由中小企业承接，即提供服务的人员为中小企业依照《中华人民共和国劳动合同法》订立劳动合同的从业人员。</w:t>
      </w:r>
    </w:p>
    <w:p w14:paraId="0DDB19E2">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在货物采购项目中，供应商提供的货物既有中小企业制造货物，也有大型企业制造货物的，不享受中小企业扶持政策。</w:t>
      </w:r>
    </w:p>
    <w:p w14:paraId="297CB6FD">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以联合体形式参加政府采购活动，联合体各方均为中小企业的，联合体视同中小企业。其中，联合体各方均为小微企业的，联合体视同小微企业。</w:t>
      </w:r>
    </w:p>
    <w:p w14:paraId="3084DC9E">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4106D47">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353D371D">
      <w:pPr>
        <w:pStyle w:val="73"/>
        <w:numPr>
          <w:ilvl w:val="2"/>
          <w:numId w:val="9"/>
        </w:numPr>
        <w:tabs>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08782E94">
      <w:pPr>
        <w:pStyle w:val="73"/>
        <w:numPr>
          <w:ilvl w:val="2"/>
          <w:numId w:val="9"/>
        </w:numPr>
        <w:tabs>
          <w:tab w:val="left" w:pos="2035"/>
          <w:tab w:val="left" w:pos="2977"/>
        </w:tabs>
        <w:snapToGrid w:val="0"/>
        <w:spacing w:line="360" w:lineRule="auto"/>
        <w:ind w:firstLineChars="0"/>
        <w:rPr>
          <w:rFonts w:hint="eastAsia" w:ascii="宋体" w:hAnsi="宋体" w:eastAsia="宋体" w:cs="宋体"/>
          <w:vanish/>
          <w:color w:val="auto"/>
          <w:sz w:val="24"/>
          <w:szCs w:val="24"/>
          <w:highlight w:val="none"/>
        </w:rPr>
      </w:pPr>
    </w:p>
    <w:p w14:paraId="059F8B7B">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安置的残疾人占本单位在职职工人数的比例不低于25%（含25%），并且安置的残疾人人数不少于10 人（含10 人）；</w:t>
      </w:r>
    </w:p>
    <w:p w14:paraId="54B6AB80">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依法与安置的每位残疾人签订了一年以上（含一年）的劳动合同或服务协议；</w:t>
      </w:r>
    </w:p>
    <w:p w14:paraId="7EDE21B7">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为安置的每位残疾人按月足额缴纳了基本养老保险、基本医疗保险、失业保险、工伤保险和生育保险等社会保险费；</w:t>
      </w:r>
    </w:p>
    <w:p w14:paraId="2AC06FFA">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通过银行等金融机构向安置的每位残疾人，按月支付了不低于单位所在区县适用的经省级人民政府批准的月最低工资标准的工资；</w:t>
      </w:r>
    </w:p>
    <w:p w14:paraId="3394A575">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提供本单位制造的货物、承担的工程或者服务（以下简称产品），或者提供其他残疾人福利性单位制造的货物（不包括使用非残疾人福利性单位注册商标的货物）；</w:t>
      </w:r>
    </w:p>
    <w:p w14:paraId="689C58F6">
      <w:pPr>
        <w:numPr>
          <w:ilvl w:val="3"/>
          <w:numId w:val="9"/>
        </w:numPr>
        <w:tabs>
          <w:tab w:val="left" w:pos="1980"/>
          <w:tab w:val="left" w:pos="2035"/>
          <w:tab w:val="left" w:pos="2885"/>
          <w:tab w:val="left" w:pos="2977"/>
          <w:tab w:val="clear" w:pos="900"/>
        </w:tabs>
        <w:snapToGrid w:val="0"/>
        <w:spacing w:line="360" w:lineRule="auto"/>
        <w:ind w:left="2885"/>
        <w:rPr>
          <w:rFonts w:hint="eastAsia" w:ascii="宋体" w:hAnsi="宋体" w:eastAsia="宋体" w:cs="宋体"/>
          <w:color w:val="auto"/>
          <w:sz w:val="24"/>
          <w:highlight w:val="none"/>
        </w:rPr>
      </w:pPr>
      <w:r>
        <w:rPr>
          <w:rFonts w:hint="eastAsia" w:ascii="宋体" w:hAnsi="宋体" w:eastAsia="宋体" w:cs="宋体"/>
          <w:color w:val="auto"/>
          <w:sz w:val="24"/>
          <w:highlight w:val="none"/>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510DBEF1">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本项目是否专门面向中小企业预留采购份额见第一章《投标邀请》。</w:t>
      </w:r>
    </w:p>
    <w:p w14:paraId="1762FAC5">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采购标的对应的中小企业划分标准所属行业见《投标人须知资料表》。</w:t>
      </w:r>
    </w:p>
    <w:p w14:paraId="4B3B1B87">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小微企业价格评审优惠的政策调整：见第四章《评标程序、评标方法和评标标准》。</w:t>
      </w:r>
    </w:p>
    <w:p w14:paraId="359BDA38">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政府采购节能产品、环境标志产品</w:t>
      </w:r>
    </w:p>
    <w:p w14:paraId="370F5775">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29AF76C">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6E12D4DB">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如本项目采购产品属于实施政府强制采购品目清单范围的节能产品，则投标人所报产品必须获得国家确定的认证机构出具的、处于有效期之内的节能产品认证证书，</w:t>
      </w:r>
      <w:r>
        <w:rPr>
          <w:rFonts w:hint="eastAsia" w:ascii="宋体" w:hAnsi="宋体" w:eastAsia="宋体" w:cs="宋体"/>
          <w:color w:val="auto"/>
          <w:kern w:val="0"/>
          <w:sz w:val="24"/>
          <w:highlight w:val="none"/>
        </w:rPr>
        <w:t>否则</w:t>
      </w:r>
      <w:r>
        <w:rPr>
          <w:rFonts w:hint="eastAsia" w:ascii="宋体" w:hAnsi="宋体" w:eastAsia="宋体" w:cs="宋体"/>
          <w:b/>
          <w:color w:val="auto"/>
          <w:kern w:val="0"/>
          <w:sz w:val="24"/>
          <w:highlight w:val="none"/>
        </w:rPr>
        <w:t>投标无效</w:t>
      </w:r>
      <w:r>
        <w:rPr>
          <w:rFonts w:hint="eastAsia" w:ascii="宋体" w:hAnsi="宋体" w:eastAsia="宋体" w:cs="宋体"/>
          <w:color w:val="auto"/>
          <w:sz w:val="24"/>
          <w:highlight w:val="none"/>
        </w:rPr>
        <w:t>；</w:t>
      </w:r>
    </w:p>
    <w:p w14:paraId="637CC19A">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非政府强制采购的节能产品或环境标志产品，依据品目清单和认证证书实施政府优先采购。优先采购的具体规定见第四章《评标程序、评标方法和评标标准》（如涉及）。</w:t>
      </w:r>
    </w:p>
    <w:p w14:paraId="441C2E73">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正版软件</w:t>
      </w:r>
    </w:p>
    <w:p w14:paraId="082ED523">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07B34DA6">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网络安全专用产品</w:t>
      </w:r>
    </w:p>
    <w:p w14:paraId="04B69A0C">
      <w:pPr>
        <w:numPr>
          <w:ilvl w:val="2"/>
          <w:numId w:val="8"/>
        </w:numPr>
        <w:tabs>
          <w:tab w:val="left" w:pos="900"/>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6C406F6F">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推广使用低挥发性有机化合物（VOCs）</w:t>
      </w:r>
    </w:p>
    <w:p w14:paraId="7EFFF48D">
      <w:pPr>
        <w:numPr>
          <w:ilvl w:val="2"/>
          <w:numId w:val="8"/>
        </w:numPr>
        <w:tabs>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eastAsia="宋体" w:cs="宋体"/>
          <w:color w:val="auto"/>
          <w:kern w:val="0"/>
          <w:sz w:val="24"/>
          <w:highlight w:val="none"/>
        </w:rPr>
        <w:t>否则</w:t>
      </w:r>
      <w:r>
        <w:rPr>
          <w:rFonts w:hint="eastAsia" w:ascii="宋体" w:hAnsi="宋体" w:eastAsia="宋体" w:cs="宋体"/>
          <w:b/>
          <w:color w:val="auto"/>
          <w:kern w:val="0"/>
          <w:sz w:val="24"/>
          <w:highlight w:val="none"/>
        </w:rPr>
        <w:t>投标无效</w:t>
      </w:r>
      <w:r>
        <w:rPr>
          <w:rFonts w:hint="eastAsia" w:ascii="宋体" w:hAnsi="宋体" w:eastAsia="宋体" w:cs="宋体"/>
          <w:color w:val="auto"/>
          <w:sz w:val="24"/>
          <w:highlight w:val="none"/>
        </w:rPr>
        <w:t>；属于推荐性标准的，优先采购，具体见第四章《评标程序、评标方法和评标标准》。</w:t>
      </w:r>
    </w:p>
    <w:p w14:paraId="3C55AF8C">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采购需求标准</w:t>
      </w:r>
    </w:p>
    <w:p w14:paraId="3E3C5E1C">
      <w:pPr>
        <w:numPr>
          <w:ilvl w:val="2"/>
          <w:numId w:val="8"/>
        </w:numPr>
        <w:tabs>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商品包装、快递包装政府采购需求标准（试行）</w:t>
      </w:r>
    </w:p>
    <w:p w14:paraId="2CF32041">
      <w:pPr>
        <w:tabs>
          <w:tab w:val="left" w:pos="900"/>
          <w:tab w:val="left" w:pos="1980"/>
        </w:tabs>
        <w:snapToGrid w:val="0"/>
        <w:spacing w:line="360" w:lineRule="auto"/>
        <w:ind w:left="1985"/>
        <w:rPr>
          <w:rFonts w:hint="eastAsia" w:ascii="宋体" w:hAnsi="宋体" w:eastAsia="宋体" w:cs="宋体"/>
          <w:color w:val="auto"/>
          <w:sz w:val="24"/>
          <w:highlight w:val="none"/>
        </w:rPr>
      </w:pPr>
      <w:r>
        <w:rPr>
          <w:rFonts w:hint="eastAsia" w:ascii="宋体" w:hAnsi="宋体" w:eastAsia="宋体" w:cs="宋体"/>
          <w:color w:val="auto"/>
          <w:sz w:val="24"/>
          <w:highlight w:val="none"/>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06292D6A">
      <w:pPr>
        <w:numPr>
          <w:ilvl w:val="2"/>
          <w:numId w:val="8"/>
        </w:numPr>
        <w:tabs>
          <w:tab w:val="left" w:pos="2014"/>
        </w:tabs>
        <w:snapToGrid w:val="0"/>
        <w:spacing w:line="360" w:lineRule="auto"/>
        <w:rPr>
          <w:rFonts w:hint="eastAsia" w:ascii="宋体" w:hAnsi="宋体" w:eastAsia="宋体" w:cs="宋体"/>
          <w:color w:val="auto"/>
          <w:sz w:val="24"/>
          <w:highlight w:val="none"/>
        </w:rPr>
      </w:pPr>
      <w:bookmarkStart w:id="165" w:name="_Hlk164953935"/>
      <w:r>
        <w:rPr>
          <w:rFonts w:hint="eastAsia" w:ascii="宋体" w:hAnsi="宋体" w:eastAsia="宋体" w:cs="宋体"/>
          <w:color w:val="auto"/>
          <w:sz w:val="24"/>
          <w:highlight w:val="none"/>
        </w:rPr>
        <w:t xml:space="preserve">其他政府采购需求标准 </w:t>
      </w:r>
    </w:p>
    <w:bookmarkEnd w:id="165"/>
    <w:p w14:paraId="74C00024">
      <w:pPr>
        <w:tabs>
          <w:tab w:val="left" w:pos="900"/>
          <w:tab w:val="left" w:pos="1980"/>
        </w:tabs>
        <w:snapToGrid w:val="0"/>
        <w:spacing w:line="360" w:lineRule="auto"/>
        <w:ind w:left="1980"/>
        <w:rPr>
          <w:rFonts w:hint="eastAsia" w:ascii="宋体" w:hAnsi="宋体" w:eastAsia="宋体" w:cs="宋体"/>
          <w:color w:val="auto"/>
          <w:sz w:val="24"/>
          <w:highlight w:val="none"/>
        </w:rPr>
      </w:pPr>
      <w:bookmarkStart w:id="166" w:name="_Hlk164955325"/>
      <w:r>
        <w:rPr>
          <w:rFonts w:hint="eastAsia" w:ascii="宋体" w:hAnsi="宋体" w:eastAsia="宋体" w:cs="宋体"/>
          <w:color w:val="auto"/>
          <w:sz w:val="24"/>
          <w:highlight w:val="none"/>
        </w:rPr>
        <w:t>为贯彻落实《深化政府采购制度改革方案》有关要求，推动政府采购需求标准建设</w:t>
      </w:r>
      <w:bookmarkEnd w:id="166"/>
      <w:r>
        <w:rPr>
          <w:rFonts w:hint="eastAsia" w:ascii="宋体" w:hAnsi="宋体" w:eastAsia="宋体" w:cs="宋体"/>
          <w:color w:val="auto"/>
          <w:sz w:val="24"/>
          <w:highlight w:val="none"/>
        </w:rPr>
        <w:t>，财政部门会同有关部门制定发布的其他政府采购需求标准，本项目如涉及，则具体要求见第五章《采购需求》。</w:t>
      </w:r>
    </w:p>
    <w:p w14:paraId="04D24D9B">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投标费用</w:t>
      </w:r>
    </w:p>
    <w:p w14:paraId="12F7F5C6">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投标人应自行承担所有与准备和参加投标有关的费用，无论投标的结果如何，采购人或采购代理机构在任何情况下均无承担这些费用的义务和责任。</w:t>
      </w:r>
    </w:p>
    <w:p w14:paraId="4D9C64D3">
      <w:pPr>
        <w:tabs>
          <w:tab w:val="left" w:pos="1080"/>
        </w:tabs>
        <w:snapToGrid w:val="0"/>
        <w:spacing w:line="360" w:lineRule="auto"/>
        <w:ind w:left="1080"/>
        <w:rPr>
          <w:rFonts w:hint="eastAsia" w:ascii="宋体" w:hAnsi="宋体" w:eastAsia="宋体" w:cs="宋体"/>
          <w:color w:val="auto"/>
          <w:sz w:val="28"/>
          <w:highlight w:val="none"/>
        </w:rPr>
      </w:pPr>
      <w:bookmarkStart w:id="167" w:name="_1.8_计量单位"/>
      <w:bookmarkEnd w:id="167"/>
    </w:p>
    <w:p w14:paraId="03D4DFD4">
      <w:pPr>
        <w:pStyle w:val="6"/>
        <w:spacing w:before="0" w:line="36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189B6E15">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168" w:name="_Toc127151523"/>
      <w:bookmarkStart w:id="169" w:name="_Toc226309767"/>
      <w:bookmarkStart w:id="170" w:name="_Toc151193911"/>
      <w:bookmarkStart w:id="171" w:name="_Toc151193765"/>
      <w:bookmarkStart w:id="172" w:name="_Toc164229218"/>
      <w:bookmarkStart w:id="173" w:name="_Toc150480761"/>
      <w:bookmarkStart w:id="174" w:name="_Toc142311025"/>
      <w:bookmarkStart w:id="175" w:name="_Toc150774728"/>
      <w:bookmarkStart w:id="176" w:name="_Toc127161437"/>
      <w:bookmarkStart w:id="177" w:name="_Toc164351617"/>
      <w:bookmarkStart w:id="178" w:name="_Toc164229364"/>
      <w:bookmarkStart w:id="179" w:name="_Toc226337219"/>
      <w:bookmarkStart w:id="180" w:name="_Toc520356147"/>
      <w:bookmarkStart w:id="181" w:name="_Toc226965713"/>
      <w:bookmarkStart w:id="182" w:name="_Toc127151724"/>
      <w:bookmarkStart w:id="183" w:name="_Toc305158865"/>
      <w:bookmarkStart w:id="184" w:name="_Toc151193621"/>
      <w:bookmarkStart w:id="185" w:name="_Toc264969213"/>
      <w:bookmarkStart w:id="186" w:name="_Toc151190150"/>
      <w:bookmarkStart w:id="187" w:name="_Toc150774623"/>
      <w:bookmarkStart w:id="188" w:name="_Toc226965796"/>
      <w:bookmarkStart w:id="189" w:name="_Toc305158791"/>
      <w:bookmarkStart w:id="190" w:name="_Toc150509274"/>
      <w:bookmarkStart w:id="191" w:name="_Toc265228361"/>
      <w:bookmarkStart w:id="192" w:name="_Toc151193837"/>
      <w:bookmarkStart w:id="193" w:name="_Toc164608792"/>
      <w:bookmarkStart w:id="194" w:name="_Toc164608637"/>
      <w:bookmarkStart w:id="195" w:name="_Toc151193693"/>
      <w:bookmarkStart w:id="196" w:name="_Toc195842888"/>
      <w:bookmarkStart w:id="197" w:name="_Toc149720816"/>
      <w:r>
        <w:rPr>
          <w:rFonts w:hint="eastAsia" w:ascii="宋体" w:hAnsi="宋体" w:eastAsia="宋体" w:cs="宋体"/>
          <w:color w:val="auto"/>
          <w:sz w:val="24"/>
          <w:highlight w:val="none"/>
        </w:rPr>
        <w:t>招标文件构</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rFonts w:hint="eastAsia" w:ascii="宋体" w:hAnsi="宋体" w:eastAsia="宋体" w:cs="宋体"/>
          <w:color w:val="auto"/>
          <w:sz w:val="24"/>
          <w:highlight w:val="none"/>
        </w:rPr>
        <w:t>成</w:t>
      </w:r>
    </w:p>
    <w:p w14:paraId="1DDAD999">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招标文件包括以下部分：</w:t>
      </w:r>
    </w:p>
    <w:p w14:paraId="6FDA7E5F">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投标邀请</w:t>
      </w:r>
    </w:p>
    <w:p w14:paraId="2C2F00C4">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投标人须知</w:t>
      </w:r>
    </w:p>
    <w:p w14:paraId="223D3B98">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w:t>
      </w:r>
    </w:p>
    <w:p w14:paraId="2223E846">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评标程序、评标方法和评标标准</w:t>
      </w:r>
    </w:p>
    <w:p w14:paraId="569285CB">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p w14:paraId="4E2397B5">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拟签订的合同文本</w:t>
      </w:r>
    </w:p>
    <w:p w14:paraId="467FE839">
      <w:pPr>
        <w:numPr>
          <w:ilvl w:val="0"/>
          <w:numId w:val="10"/>
        </w:numPr>
        <w:tabs>
          <w:tab w:val="left" w:pos="1980"/>
          <w:tab w:val="left" w:pos="2520"/>
        </w:tabs>
        <w:snapToGrid w:val="0"/>
        <w:spacing w:line="360" w:lineRule="auto"/>
        <w:ind w:left="1440" w:firstLine="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投标文件格式</w:t>
      </w:r>
    </w:p>
    <w:p w14:paraId="33FCBB02">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019F0F93">
      <w:pPr>
        <w:numPr>
          <w:ilvl w:val="0"/>
          <w:numId w:val="8"/>
        </w:numPr>
        <w:tabs>
          <w:tab w:val="left" w:pos="1080"/>
          <w:tab w:val="left" w:pos="2014"/>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对招标文件的澄清或修改</w:t>
      </w:r>
    </w:p>
    <w:p w14:paraId="4E2537B1">
      <w:pPr>
        <w:numPr>
          <w:ilvl w:val="1"/>
          <w:numId w:val="8"/>
        </w:numPr>
        <w:tabs>
          <w:tab w:val="left" w:pos="1080"/>
          <w:tab w:val="left" w:pos="1561"/>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采购人或采购代理机构对已发出的招标文件进行必要澄清或者修改的，将在原公告发布媒体上发布更正公告，并以书面形式通知所有获取招标文件的潜在投标人。</w:t>
      </w:r>
    </w:p>
    <w:p w14:paraId="04D67179">
      <w:pPr>
        <w:numPr>
          <w:ilvl w:val="1"/>
          <w:numId w:val="8"/>
        </w:numPr>
        <w:tabs>
          <w:tab w:val="left" w:pos="1080"/>
          <w:tab w:val="left" w:pos="1561"/>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上述书面通知，按照获取招标文件的潜在投标人提供的联系方式发出，因提供的信息有误导致通知延迟或无法通知的，采购人或采购代理机构不承担责任。</w:t>
      </w:r>
    </w:p>
    <w:p w14:paraId="31CBEAAD">
      <w:pPr>
        <w:numPr>
          <w:ilvl w:val="1"/>
          <w:numId w:val="8"/>
        </w:numPr>
        <w:tabs>
          <w:tab w:val="left" w:pos="1080"/>
          <w:tab w:val="left" w:pos="1561"/>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76F6BFC4">
      <w:pPr>
        <w:tabs>
          <w:tab w:val="left" w:pos="1080"/>
          <w:tab w:val="left" w:pos="1561"/>
        </w:tabs>
        <w:snapToGrid w:val="0"/>
        <w:spacing w:line="360" w:lineRule="auto"/>
        <w:ind w:left="1080"/>
        <w:rPr>
          <w:rFonts w:hint="eastAsia" w:ascii="宋体" w:hAnsi="宋体" w:eastAsia="宋体" w:cs="宋体"/>
          <w:color w:val="auto"/>
          <w:sz w:val="28"/>
          <w:highlight w:val="none"/>
        </w:rPr>
      </w:pPr>
      <w:bookmarkStart w:id="198" w:name="_Toc516367020"/>
      <w:bookmarkStart w:id="199" w:name="_Toc264969216"/>
      <w:bookmarkStart w:id="200" w:name="_Toc151193840"/>
      <w:bookmarkStart w:id="201" w:name="_Toc305158794"/>
      <w:bookmarkStart w:id="202" w:name="_Toc142311028"/>
      <w:bookmarkStart w:id="203" w:name="_Toc127151526"/>
      <w:bookmarkStart w:id="204" w:name="_Toc151193768"/>
      <w:bookmarkStart w:id="205" w:name="_Toc195842891"/>
      <w:bookmarkStart w:id="206" w:name="_Toc226965716"/>
      <w:bookmarkStart w:id="207" w:name="_Toc265228364"/>
      <w:bookmarkStart w:id="208" w:name="_Toc226337222"/>
      <w:bookmarkStart w:id="209" w:name="_Toc520356150"/>
      <w:bookmarkStart w:id="210" w:name="_Toc151193914"/>
      <w:bookmarkStart w:id="211" w:name="_Toc226965799"/>
      <w:bookmarkStart w:id="212" w:name="_Toc150774731"/>
      <w:bookmarkStart w:id="213" w:name="_Toc151190153"/>
      <w:bookmarkStart w:id="214" w:name="_Toc150480764"/>
      <w:bookmarkStart w:id="215" w:name="_Toc151193696"/>
      <w:bookmarkStart w:id="216" w:name="_Toc150509277"/>
      <w:bookmarkStart w:id="217" w:name="_Toc226309770"/>
      <w:bookmarkStart w:id="218" w:name="_Toc150774626"/>
      <w:bookmarkStart w:id="219" w:name="_Toc305158868"/>
      <w:bookmarkStart w:id="220" w:name="_Toc151193624"/>
    </w:p>
    <w:p w14:paraId="7327C8FF">
      <w:pPr>
        <w:pStyle w:val="6"/>
        <w:spacing w:before="0" w:line="36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三   投标文件</w:t>
      </w:r>
      <w:bookmarkEnd w:id="198"/>
      <w:r>
        <w:rPr>
          <w:rFonts w:hint="eastAsia" w:ascii="宋体" w:hAnsi="宋体" w:eastAsia="宋体" w:cs="宋体"/>
          <w:color w:val="auto"/>
          <w:sz w:val="28"/>
          <w:highlight w:val="none"/>
        </w:rPr>
        <w:t>的编制</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5856D625">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221" w:name="_Toc151193625"/>
      <w:bookmarkStart w:id="222" w:name="_Toc226965800"/>
      <w:bookmarkStart w:id="223" w:name="_Toc127151728"/>
      <w:bookmarkStart w:id="224" w:name="_Toc226965717"/>
      <w:bookmarkStart w:id="225" w:name="_Toc150774732"/>
      <w:bookmarkStart w:id="226" w:name="_Toc264969217"/>
      <w:bookmarkStart w:id="227" w:name="_Toc195842892"/>
      <w:bookmarkStart w:id="228" w:name="_Toc151193697"/>
      <w:bookmarkStart w:id="229" w:name="_Toc151193915"/>
      <w:bookmarkStart w:id="230" w:name="_Toc516367021"/>
      <w:bookmarkStart w:id="231" w:name="_Toc164608796"/>
      <w:bookmarkStart w:id="232" w:name="_Toc150774627"/>
      <w:bookmarkStart w:id="233" w:name="_Toc150480765"/>
      <w:bookmarkStart w:id="234" w:name="_Toc151190154"/>
      <w:bookmarkStart w:id="235" w:name="_Toc151193841"/>
      <w:bookmarkStart w:id="236" w:name="_Toc265228365"/>
      <w:bookmarkStart w:id="237" w:name="_Toc149720820"/>
      <w:bookmarkStart w:id="238" w:name="_Toc151193769"/>
      <w:bookmarkStart w:id="239" w:name="_Toc142311029"/>
      <w:bookmarkStart w:id="240" w:name="_Toc150509278"/>
      <w:bookmarkStart w:id="241" w:name="_Toc164351621"/>
      <w:bookmarkStart w:id="242" w:name="_Toc226309771"/>
      <w:bookmarkStart w:id="243" w:name="_Toc127161441"/>
      <w:bookmarkStart w:id="244" w:name="_Toc226337223"/>
      <w:bookmarkStart w:id="245" w:name="_Toc164229368"/>
      <w:bookmarkStart w:id="246" w:name="_Toc305158795"/>
      <w:bookmarkStart w:id="247" w:name="_Toc520356151"/>
      <w:bookmarkStart w:id="248" w:name="_Toc127151527"/>
      <w:bookmarkStart w:id="249" w:name="_Toc164229222"/>
      <w:bookmarkStart w:id="250" w:name="_Toc305158869"/>
      <w:bookmarkStart w:id="251" w:name="_Toc164608641"/>
      <w:r>
        <w:rPr>
          <w:rFonts w:hint="eastAsia" w:ascii="宋体" w:hAnsi="宋体" w:eastAsia="宋体" w:cs="宋体"/>
          <w:color w:val="auto"/>
          <w:sz w:val="24"/>
          <w:highlight w:val="none"/>
        </w:rPr>
        <w:t>投标范围、投标文件中计量单位的使用</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Pr>
          <w:rFonts w:hint="eastAsia" w:ascii="宋体" w:hAnsi="宋体" w:eastAsia="宋体" w:cs="宋体"/>
          <w:color w:val="auto"/>
          <w:sz w:val="24"/>
          <w:highlight w:val="none"/>
        </w:rPr>
        <w:t>及投标语言</w:t>
      </w:r>
    </w:p>
    <w:p w14:paraId="16623EDB">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color w:val="auto"/>
          <w:sz w:val="24"/>
          <w:highlight w:val="none"/>
        </w:rPr>
        <w:t>无效投标</w:t>
      </w:r>
      <w:r>
        <w:rPr>
          <w:rFonts w:hint="eastAsia" w:ascii="宋体" w:hAnsi="宋体" w:eastAsia="宋体" w:cs="宋体"/>
          <w:color w:val="auto"/>
          <w:sz w:val="24"/>
          <w:highlight w:val="none"/>
        </w:rPr>
        <w:t>。</w:t>
      </w:r>
    </w:p>
    <w:p w14:paraId="5212233C">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除招标文件有特殊要求外，本项目投标所使用的计量单位，应采用中华人民共和国法定计量单位。</w:t>
      </w:r>
    </w:p>
    <w:p w14:paraId="1CDEA02C">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3B376A0">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252" w:name="_Ref467306195"/>
      <w:bookmarkStart w:id="253" w:name="_Ref467306676"/>
      <w:bookmarkStart w:id="254" w:name="_Toc516367022"/>
      <w:bookmarkStart w:id="255" w:name="_Toc164229369"/>
      <w:bookmarkStart w:id="256" w:name="_Toc226309772"/>
      <w:bookmarkStart w:id="257" w:name="_Toc164608642"/>
      <w:bookmarkStart w:id="258" w:name="_Toc149720821"/>
      <w:bookmarkStart w:id="259" w:name="_Toc265228366"/>
      <w:bookmarkStart w:id="260" w:name="_Toc151190155"/>
      <w:bookmarkStart w:id="261" w:name="_Toc164351622"/>
      <w:bookmarkStart w:id="262" w:name="_Toc151193916"/>
      <w:bookmarkStart w:id="263" w:name="_Toc150509279"/>
      <w:bookmarkStart w:id="264" w:name="_Toc150774628"/>
      <w:bookmarkStart w:id="265" w:name="_Toc150774733"/>
      <w:bookmarkStart w:id="266" w:name="_Toc127161442"/>
      <w:bookmarkStart w:id="267" w:name="_Toc127151729"/>
      <w:bookmarkStart w:id="268" w:name="_Toc520356152"/>
      <w:bookmarkStart w:id="269" w:name="_Toc305158796"/>
      <w:bookmarkStart w:id="270" w:name="_Toc151193770"/>
      <w:bookmarkStart w:id="271" w:name="_Toc195842893"/>
      <w:bookmarkStart w:id="272" w:name="_Toc164229223"/>
      <w:bookmarkStart w:id="273" w:name="_Toc127151528"/>
      <w:bookmarkStart w:id="274" w:name="_Toc150480766"/>
      <w:bookmarkStart w:id="275" w:name="_Toc226965801"/>
      <w:bookmarkStart w:id="276" w:name="_Toc305158870"/>
      <w:bookmarkStart w:id="277" w:name="_Toc142311030"/>
      <w:bookmarkStart w:id="278" w:name="_Toc151193698"/>
      <w:bookmarkStart w:id="279" w:name="_Toc164608797"/>
      <w:bookmarkStart w:id="280" w:name="_Toc151193626"/>
      <w:bookmarkStart w:id="281" w:name="_Toc226337224"/>
      <w:bookmarkStart w:id="282" w:name="_Toc151193842"/>
      <w:bookmarkStart w:id="283" w:name="_Toc226965718"/>
      <w:bookmarkStart w:id="284" w:name="_Toc264969218"/>
      <w:r>
        <w:rPr>
          <w:rFonts w:hint="eastAsia" w:ascii="宋体" w:hAnsi="宋体" w:eastAsia="宋体" w:cs="宋体"/>
          <w:color w:val="auto"/>
          <w:sz w:val="24"/>
          <w:highlight w:val="none"/>
        </w:rPr>
        <w:t>投标文件</w:t>
      </w:r>
      <w:bookmarkEnd w:id="252"/>
      <w:bookmarkEnd w:id="253"/>
      <w:bookmarkEnd w:id="254"/>
      <w:r>
        <w:rPr>
          <w:rFonts w:hint="eastAsia" w:ascii="宋体" w:hAnsi="宋体" w:eastAsia="宋体" w:cs="宋体"/>
          <w:color w:val="auto"/>
          <w:sz w:val="24"/>
          <w:highlight w:val="none"/>
        </w:rPr>
        <w:t>构成</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36DAAC45">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bookmarkStart w:id="285" w:name="_Ref467052588"/>
      <w:r>
        <w:rPr>
          <w:rFonts w:hint="eastAsia" w:ascii="宋体" w:hAnsi="宋体" w:eastAsia="宋体" w:cs="宋体"/>
          <w:color w:val="auto"/>
          <w:sz w:val="24"/>
          <w:highlight w:val="none"/>
        </w:rPr>
        <w:t>投标人应当按照招标文件的要求编制投标文件。投标文件应由《资格证明文件》、《商务技术文件》两部分构成。投标文件的部分格式要求，见第七章《投标文件格式》。</w:t>
      </w:r>
    </w:p>
    <w:p w14:paraId="7E0FAC3A">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对于招标文件中标记了“实质性格式”文件的，</w:t>
      </w:r>
      <w:r>
        <w:rPr>
          <w:rFonts w:hint="eastAsia" w:ascii="宋体" w:hAnsi="宋体" w:eastAsia="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eastAsia="宋体" w:cs="宋体"/>
          <w:color w:val="auto"/>
          <w:kern w:val="0"/>
          <w:sz w:val="24"/>
          <w:highlight w:val="none"/>
        </w:rPr>
        <w:t>否则</w:t>
      </w:r>
      <w:r>
        <w:rPr>
          <w:rFonts w:hint="eastAsia" w:ascii="宋体" w:hAnsi="宋体" w:eastAsia="宋体" w:cs="宋体"/>
          <w:b/>
          <w:color w:val="auto"/>
          <w:kern w:val="0"/>
          <w:sz w:val="24"/>
          <w:highlight w:val="none"/>
        </w:rPr>
        <w:t>投标无效</w:t>
      </w:r>
      <w:r>
        <w:rPr>
          <w:rFonts w:hint="eastAsia" w:ascii="宋体" w:hAnsi="宋体" w:eastAsia="宋体" w:cs="宋体"/>
          <w:color w:val="auto"/>
          <w:kern w:val="0"/>
          <w:sz w:val="24"/>
          <w:highlight w:val="none"/>
        </w:rPr>
        <w:t>。未标记“实质性格式”的文件和招标文件未提供格式的内容，可由投标人自行编写。</w:t>
      </w:r>
    </w:p>
    <w:p w14:paraId="3A4F331E">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第四章《评标程序、评标方法和评标标准》中涉及的证明文件。</w:t>
      </w:r>
    </w:p>
    <w:p w14:paraId="0B68DE18">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11CEA2D">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投标人认为应附的其他材料。</w:t>
      </w:r>
      <w:bookmarkEnd w:id="285"/>
    </w:p>
    <w:p w14:paraId="5D50A7AC">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286" w:name="_Toc164608644"/>
      <w:bookmarkStart w:id="287" w:name="_Toc164351624"/>
      <w:bookmarkStart w:id="288" w:name="_Toc151190157"/>
      <w:bookmarkStart w:id="289" w:name="_Toc127161444"/>
      <w:bookmarkStart w:id="290" w:name="_Toc150774735"/>
      <w:bookmarkStart w:id="291" w:name="_Toc151193772"/>
      <w:bookmarkStart w:id="292" w:name="_Toc164608799"/>
      <w:bookmarkStart w:id="293" w:name="_Toc151193844"/>
      <w:bookmarkStart w:id="294" w:name="_Toc164229371"/>
      <w:bookmarkStart w:id="295" w:name="_Toc151193628"/>
      <w:bookmarkStart w:id="296" w:name="_Toc520356155"/>
      <w:bookmarkStart w:id="297" w:name="_Toc127151530"/>
      <w:bookmarkStart w:id="298" w:name="_Toc150774630"/>
      <w:bookmarkStart w:id="299" w:name="_Toc150480768"/>
      <w:bookmarkStart w:id="300" w:name="_Toc164229225"/>
      <w:bookmarkStart w:id="301" w:name="_Toc150509281"/>
      <w:bookmarkStart w:id="302" w:name="_Toc151193918"/>
      <w:bookmarkStart w:id="303" w:name="_Toc151193700"/>
      <w:bookmarkStart w:id="304" w:name="_Toc149720823"/>
      <w:bookmarkStart w:id="305" w:name="_Toc127151731"/>
      <w:bookmarkStart w:id="306" w:name="_Toc142311032"/>
      <w:bookmarkStart w:id="307" w:name="_Toc195842895"/>
      <w:r>
        <w:rPr>
          <w:rFonts w:hint="eastAsia" w:ascii="宋体" w:hAnsi="宋体" w:eastAsia="宋体" w:cs="宋体"/>
          <w:color w:val="auto"/>
          <w:sz w:val="24"/>
          <w:highlight w:val="none"/>
        </w:rPr>
        <w:t>投标报价</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7A3D5DD4">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所有投标均以人民币为计价货币。</w:t>
      </w:r>
    </w:p>
    <w:p w14:paraId="1F4580E2">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投标人的报价应包括为完成本项目所发生的一切费用和税费，采购人将不再支付报价以外的任何费用。投标人的报价应包括但不限于下列内容，《投标人须知资料表》中有特殊规定的，从其规定。</w:t>
      </w:r>
    </w:p>
    <w:p w14:paraId="486E231C">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4445CE2D">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按照招标文件要求完成本项目的全部相关费用。 </w:t>
      </w:r>
    </w:p>
    <w:p w14:paraId="4503687E">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采购人不得向供应商索要或者接受其给予的赠品、回扣或者与采购无关的其他商品、服务。</w:t>
      </w:r>
    </w:p>
    <w:p w14:paraId="2ECC82F1">
      <w:pPr>
        <w:numPr>
          <w:ilvl w:val="1"/>
          <w:numId w:val="8"/>
        </w:numPr>
        <w:tabs>
          <w:tab w:val="left" w:pos="1080"/>
          <w:tab w:val="left" w:pos="2014"/>
        </w:tabs>
        <w:snapToGrid w:val="0"/>
        <w:spacing w:line="360" w:lineRule="auto"/>
        <w:ind w:left="1080"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投标人不能提供任何有选择性或可调整的报价（招标文件另有规定的除外），否则其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6C810DE">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308" w:name="_Toc265228369"/>
      <w:bookmarkStart w:id="309" w:name="_Toc226337227"/>
      <w:bookmarkStart w:id="310" w:name="_Toc164608800"/>
      <w:bookmarkStart w:id="311" w:name="_Toc151193701"/>
      <w:bookmarkStart w:id="312" w:name="_Toc226309775"/>
      <w:bookmarkStart w:id="313" w:name="_Toc150774736"/>
      <w:bookmarkStart w:id="314" w:name="_Toc127151732"/>
      <w:bookmarkStart w:id="315" w:name="_Toc226965804"/>
      <w:bookmarkStart w:id="316" w:name="_Toc520356156"/>
      <w:bookmarkStart w:id="317" w:name="_Ref467306513"/>
      <w:bookmarkStart w:id="318" w:name="_Toc151190158"/>
      <w:bookmarkStart w:id="319" w:name="_Toc150509282"/>
      <w:bookmarkStart w:id="320" w:name="_Toc151193629"/>
      <w:bookmarkStart w:id="321" w:name="_Toc264969221"/>
      <w:bookmarkStart w:id="322" w:name="_Toc142311033"/>
      <w:bookmarkStart w:id="323" w:name="_Toc150774631"/>
      <w:bookmarkStart w:id="324" w:name="_Toc164351625"/>
      <w:bookmarkStart w:id="325" w:name="_Toc151193773"/>
      <w:bookmarkStart w:id="326" w:name="_Toc127151531"/>
      <w:bookmarkStart w:id="327" w:name="_Toc305158799"/>
      <w:bookmarkStart w:id="328" w:name="_Toc164608645"/>
      <w:bookmarkStart w:id="329" w:name="_Toc150480769"/>
      <w:bookmarkStart w:id="330" w:name="_Toc195842896"/>
      <w:bookmarkStart w:id="331" w:name="_Toc164229372"/>
      <w:bookmarkStart w:id="332" w:name="_Toc305158873"/>
      <w:bookmarkStart w:id="333" w:name="_Toc151193845"/>
      <w:bookmarkStart w:id="334" w:name="_Toc151193919"/>
      <w:bookmarkStart w:id="335" w:name="_Toc226965721"/>
      <w:bookmarkStart w:id="336" w:name="_Toc164229226"/>
      <w:bookmarkStart w:id="337" w:name="_Toc149720824"/>
      <w:bookmarkStart w:id="338" w:name="_Toc127161445"/>
      <w:r>
        <w:rPr>
          <w:rFonts w:hint="eastAsia" w:ascii="宋体" w:hAnsi="宋体" w:eastAsia="宋体" w:cs="宋体"/>
          <w:color w:val="auto"/>
          <w:sz w:val="24"/>
          <w:highlight w:val="none"/>
        </w:rPr>
        <w:t>投标保证金</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743C1320">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bookmarkStart w:id="339" w:name="_Ref467306302"/>
      <w:r>
        <w:rPr>
          <w:rFonts w:hint="eastAsia" w:ascii="宋体" w:hAnsi="宋体" w:eastAsia="宋体" w:cs="宋体"/>
          <w:color w:val="auto"/>
          <w:sz w:val="24"/>
          <w:highlight w:val="none"/>
        </w:rPr>
        <w:t>投标人应按《投标人须知资料表》中规定的金额及要求交纳投标保证金</w:t>
      </w:r>
      <w:bookmarkEnd w:id="339"/>
      <w:r>
        <w:rPr>
          <w:rFonts w:hint="eastAsia" w:ascii="宋体" w:hAnsi="宋体" w:eastAsia="宋体" w:cs="宋体"/>
          <w:color w:val="auto"/>
          <w:sz w:val="24"/>
          <w:highlight w:val="none"/>
        </w:rPr>
        <w:t>。投标人自愿超额缴纳投标保证金的，投标文件不做无效处理。</w:t>
      </w:r>
    </w:p>
    <w:p w14:paraId="3FB6A3D8">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交纳投标保证金可采用的形式：政府采购法律法规接受的支票、汇票、本票、网上银行支付或者金融机构、担保机构出具的保函等非现金形式。</w:t>
      </w:r>
    </w:p>
    <w:p w14:paraId="5CB85AA0">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w:t>
      </w:r>
      <w:bookmarkStart w:id="340" w:name="_Hlk164959831"/>
      <w:r>
        <w:rPr>
          <w:rFonts w:hint="eastAsia" w:ascii="宋体" w:hAnsi="宋体" w:eastAsia="宋体" w:cs="宋体"/>
          <w:color w:val="auto"/>
          <w:sz w:val="24"/>
          <w:highlight w:val="none"/>
          <w:lang w:bidi="ar"/>
        </w:rPr>
        <w:t>。</w:t>
      </w:r>
      <w:bookmarkEnd w:id="340"/>
      <w:r>
        <w:rPr>
          <w:rFonts w:hint="eastAsia" w:ascii="宋体" w:hAnsi="宋体" w:eastAsia="宋体" w:cs="宋体"/>
          <w:color w:val="auto"/>
          <w:sz w:val="24"/>
          <w:highlight w:val="none"/>
        </w:rPr>
        <w:t>未按上述要求缴纳投标保证金的，其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FD81B13">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投标保证金有效期同投标有效期。</w:t>
      </w:r>
    </w:p>
    <w:p w14:paraId="2093A82F">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投标人为联合体的，可以由联合体中的一方或者多方共同交纳投标保证金，其交纳的投标保证金对联合体各方均具有约束力。</w:t>
      </w:r>
    </w:p>
    <w:p w14:paraId="5BA7C55A">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4AE2F7">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投标人在投标截止时间前撤回已提交的投标文件的，自收到投标人书面撤回通知之日起5个工作日内退还已收取的投标保证金；</w:t>
      </w:r>
    </w:p>
    <w:p w14:paraId="29F1EC55">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中标人的投标保证金，自采购合同签订之日起5个工作日内退还中标人；</w:t>
      </w:r>
    </w:p>
    <w:p w14:paraId="4104411C">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未中标投标人的投标保证金，自中标通知书发出之日起5个工作日内退还未中标人；</w:t>
      </w:r>
    </w:p>
    <w:p w14:paraId="5B42ACE8">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终止招标项目已经收取投标保证金的，自终止采购活动后5个工作日内退还已收取的投标保证金及其在银行产生的孳息。</w:t>
      </w:r>
    </w:p>
    <w:p w14:paraId="27F0230A">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有下列情形之一的，采购人或采购代理机构可以不予退还投标保证金：</w:t>
      </w:r>
    </w:p>
    <w:p w14:paraId="427CF98B">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投标有效期内投标人撤销投标文件的；</w:t>
      </w:r>
    </w:p>
    <w:p w14:paraId="4F7E2B34">
      <w:pPr>
        <w:numPr>
          <w:ilvl w:val="2"/>
          <w:numId w:val="8"/>
        </w:numPr>
        <w:tabs>
          <w:tab w:val="left" w:pos="900"/>
          <w:tab w:val="left" w:pos="1080"/>
          <w:tab w:val="left" w:pos="2014"/>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《投标人须知资料表》中规定的其他情形。</w:t>
      </w:r>
    </w:p>
    <w:p w14:paraId="364C3E56">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341" w:name="_Toc150774632"/>
      <w:bookmarkStart w:id="342" w:name="_Toc151193702"/>
      <w:bookmarkStart w:id="343" w:name="_Toc142311034"/>
      <w:bookmarkStart w:id="344" w:name="_Toc195842897"/>
      <w:bookmarkStart w:id="345" w:name="_Toc127151733"/>
      <w:bookmarkStart w:id="346" w:name="_Toc305158874"/>
      <w:bookmarkStart w:id="347" w:name="_Toc151193846"/>
      <w:bookmarkStart w:id="348" w:name="_Toc264969222"/>
      <w:bookmarkStart w:id="349" w:name="_Toc226337228"/>
      <w:bookmarkStart w:id="350" w:name="_Toc164351626"/>
      <w:bookmarkStart w:id="351" w:name="_Toc151193774"/>
      <w:bookmarkStart w:id="352" w:name="_Toc149720825"/>
      <w:bookmarkStart w:id="353" w:name="_Toc127151532"/>
      <w:bookmarkStart w:id="354" w:name="_Toc265228370"/>
      <w:bookmarkStart w:id="355" w:name="_Toc226965722"/>
      <w:bookmarkStart w:id="356" w:name="_Toc520356157"/>
      <w:bookmarkStart w:id="357" w:name="_Toc151193630"/>
      <w:bookmarkStart w:id="358" w:name="_Toc151190159"/>
      <w:bookmarkStart w:id="359" w:name="_Toc164608801"/>
      <w:bookmarkStart w:id="360" w:name="_Toc127161446"/>
      <w:bookmarkStart w:id="361" w:name="_Toc164229227"/>
      <w:bookmarkStart w:id="362" w:name="_Toc150480770"/>
      <w:bookmarkStart w:id="363" w:name="_Toc305158800"/>
      <w:bookmarkStart w:id="364" w:name="_Toc150774737"/>
      <w:bookmarkStart w:id="365" w:name="_Toc226309776"/>
      <w:bookmarkStart w:id="366" w:name="_Toc164608646"/>
      <w:bookmarkStart w:id="367" w:name="_Toc150509283"/>
      <w:bookmarkStart w:id="368" w:name="_Toc151193920"/>
      <w:bookmarkStart w:id="369" w:name="_Toc226965805"/>
      <w:bookmarkStart w:id="370" w:name="_Toc164229373"/>
      <w:r>
        <w:rPr>
          <w:rFonts w:hint="eastAsia" w:ascii="宋体" w:hAnsi="宋体" w:eastAsia="宋体" w:cs="宋体"/>
          <w:color w:val="auto"/>
          <w:sz w:val="24"/>
          <w:highlight w:val="none"/>
        </w:rPr>
        <w:t>投标有效期</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260037EB">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投标文件应在本招标文件《投标人须知资料表》中规定的投标有效期内保持有效，投标有效期少于招标文件规定期限的，其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16E0191">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371" w:name="_Toc195842898"/>
      <w:bookmarkStart w:id="372" w:name="_Toc151193921"/>
      <w:bookmarkStart w:id="373" w:name="_Toc127151533"/>
      <w:bookmarkStart w:id="374" w:name="_Toc150480771"/>
      <w:bookmarkStart w:id="375" w:name="_Toc151193775"/>
      <w:bookmarkStart w:id="376" w:name="_Toc151193703"/>
      <w:bookmarkStart w:id="377" w:name="_Toc520356158"/>
      <w:bookmarkStart w:id="378" w:name="_Toc151193631"/>
      <w:bookmarkStart w:id="379" w:name="_Toc127161447"/>
      <w:bookmarkStart w:id="380" w:name="_Toc264969223"/>
      <w:bookmarkStart w:id="381" w:name="_Toc127151734"/>
      <w:bookmarkStart w:id="382" w:name="_Toc226965723"/>
      <w:bookmarkStart w:id="383" w:name="_Toc150774738"/>
      <w:bookmarkStart w:id="384" w:name="_Toc151190160"/>
      <w:bookmarkStart w:id="385" w:name="_Toc150509284"/>
      <w:bookmarkStart w:id="386" w:name="_Toc151193847"/>
      <w:bookmarkStart w:id="387" w:name="_Toc164229374"/>
      <w:bookmarkStart w:id="388" w:name="_Toc164608802"/>
      <w:bookmarkStart w:id="389" w:name="_Toc164608647"/>
      <w:bookmarkStart w:id="390" w:name="_Toc226337229"/>
      <w:bookmarkStart w:id="391" w:name="_Toc305158875"/>
      <w:bookmarkStart w:id="392" w:name="_Toc226309777"/>
      <w:bookmarkStart w:id="393" w:name="_Toc164351627"/>
      <w:bookmarkStart w:id="394" w:name="_Toc149720826"/>
      <w:bookmarkStart w:id="395" w:name="_Toc164229228"/>
      <w:bookmarkStart w:id="396" w:name="_Toc226965806"/>
      <w:bookmarkStart w:id="397" w:name="_Toc142311035"/>
      <w:bookmarkStart w:id="398" w:name="_Toc265228371"/>
      <w:bookmarkStart w:id="399" w:name="_Toc305158801"/>
      <w:bookmarkStart w:id="400" w:name="_Toc150774633"/>
      <w:r>
        <w:rPr>
          <w:rFonts w:hint="eastAsia" w:ascii="宋体" w:hAnsi="宋体" w:eastAsia="宋体" w:cs="宋体"/>
          <w:color w:val="auto"/>
          <w:sz w:val="24"/>
          <w:highlight w:val="none"/>
        </w:rPr>
        <w:t>投标文件的签署</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rFonts w:hint="eastAsia" w:ascii="宋体" w:hAnsi="宋体" w:eastAsia="宋体" w:cs="宋体"/>
          <w:color w:val="auto"/>
          <w:sz w:val="24"/>
          <w:highlight w:val="none"/>
        </w:rPr>
        <w:t>、盖章</w:t>
      </w:r>
    </w:p>
    <w:p w14:paraId="414C08D6">
      <w:pPr>
        <w:numPr>
          <w:ilvl w:val="1"/>
          <w:numId w:val="8"/>
        </w:numPr>
        <w:tabs>
          <w:tab w:val="left" w:pos="1080"/>
          <w:tab w:val="left" w:pos="2014"/>
        </w:tabs>
        <w:snapToGrid w:val="0"/>
        <w:spacing w:after="0" w:line="360" w:lineRule="auto"/>
        <w:ind w:left="1077" w:hanging="720"/>
        <w:rPr>
          <w:rFonts w:hint="eastAsia" w:ascii="宋体" w:hAnsi="宋体" w:eastAsia="宋体" w:cs="宋体"/>
          <w:color w:val="auto"/>
          <w:sz w:val="24"/>
          <w:highlight w:val="none"/>
        </w:rPr>
      </w:pPr>
      <w:bookmarkStart w:id="401" w:name="_Toc305158802"/>
      <w:bookmarkStart w:id="402" w:name="_Toc226309778"/>
      <w:bookmarkStart w:id="403" w:name="_Toc151193632"/>
      <w:bookmarkStart w:id="404" w:name="_Toc305158876"/>
      <w:bookmarkStart w:id="405" w:name="_Toc226965807"/>
      <w:bookmarkStart w:id="406" w:name="_Toc150774739"/>
      <w:bookmarkStart w:id="407" w:name="_Toc151193922"/>
      <w:bookmarkStart w:id="408" w:name="_Toc264969224"/>
      <w:bookmarkStart w:id="409" w:name="_Toc226337230"/>
      <w:bookmarkStart w:id="410" w:name="_Toc127151534"/>
      <w:bookmarkStart w:id="411" w:name="_Toc150480772"/>
      <w:bookmarkStart w:id="412" w:name="_Toc520356159"/>
      <w:bookmarkStart w:id="413" w:name="_Toc151190161"/>
      <w:bookmarkStart w:id="414" w:name="_Toc226965724"/>
      <w:bookmarkStart w:id="415" w:name="_Toc150509285"/>
      <w:bookmarkStart w:id="416" w:name="_Toc151193704"/>
      <w:bookmarkStart w:id="417" w:name="_Toc150774634"/>
      <w:bookmarkStart w:id="418" w:name="_Toc142311036"/>
      <w:bookmarkStart w:id="419" w:name="_Toc151193848"/>
      <w:bookmarkStart w:id="420" w:name="_Toc195842899"/>
      <w:bookmarkStart w:id="421" w:name="_Toc151193776"/>
      <w:bookmarkStart w:id="422" w:name="_Toc265228372"/>
      <w:r>
        <w:rPr>
          <w:rFonts w:hint="eastAsia" w:ascii="宋体" w:hAnsi="宋体" w:eastAsia="宋体" w:cs="宋体"/>
          <w:color w:val="auto"/>
          <w:sz w:val="24"/>
          <w:highlight w:val="none"/>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1CFBDF0C">
      <w:pPr>
        <w:numPr>
          <w:ilvl w:val="1"/>
          <w:numId w:val="8"/>
        </w:numPr>
        <w:tabs>
          <w:tab w:val="left" w:pos="1080"/>
          <w:tab w:val="left" w:pos="2014"/>
        </w:tabs>
        <w:snapToGrid w:val="0"/>
        <w:spacing w:after="0"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hint="eastAsia" w:ascii="宋体" w:hAnsi="宋体" w:eastAsia="宋体" w:cs="宋体"/>
          <w:b/>
          <w:color w:val="auto"/>
          <w:sz w:val="24"/>
          <w:highlight w:val="none"/>
        </w:rPr>
        <w:t>投标无效</w:t>
      </w:r>
      <w:r>
        <w:rPr>
          <w:rFonts w:hint="eastAsia" w:ascii="宋体" w:hAnsi="宋体" w:eastAsia="宋体" w:cs="宋体"/>
          <w:b/>
          <w:bCs/>
          <w:color w:val="auto"/>
          <w:sz w:val="24"/>
          <w:highlight w:val="none"/>
        </w:rPr>
        <w:t>。</w:t>
      </w:r>
    </w:p>
    <w:p w14:paraId="05A89905">
      <w:pPr>
        <w:numPr>
          <w:ilvl w:val="1"/>
          <w:numId w:val="8"/>
        </w:numPr>
        <w:tabs>
          <w:tab w:val="left" w:pos="1080"/>
          <w:tab w:val="left" w:pos="2014"/>
        </w:tabs>
        <w:snapToGrid w:val="0"/>
        <w:spacing w:after="0"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投标文件应按照《资格证明文件》和《商务技术文件》分成两部分，宜用不可拆装的方式分别装订成册。</w:t>
      </w:r>
    </w:p>
    <w:p w14:paraId="237B44CD">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投标文件因字迹潦草、表达不清或装订不当所引起的后果由投标人负责。</w:t>
      </w:r>
    </w:p>
    <w:p w14:paraId="4B0B2BDD">
      <w:pPr>
        <w:tabs>
          <w:tab w:val="left" w:pos="900"/>
          <w:tab w:val="left" w:pos="1080"/>
        </w:tabs>
        <w:snapToGrid w:val="0"/>
        <w:spacing w:line="360" w:lineRule="auto"/>
        <w:ind w:left="357"/>
        <w:rPr>
          <w:rFonts w:hint="eastAsia" w:ascii="宋体" w:hAnsi="宋体" w:eastAsia="宋体" w:cs="宋体"/>
          <w:color w:val="auto"/>
          <w:highlight w:val="none"/>
        </w:rPr>
      </w:pPr>
    </w:p>
    <w:p w14:paraId="069E8A64">
      <w:pPr>
        <w:pStyle w:val="6"/>
        <w:spacing w:before="0" w:line="36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四   投标文件的提交</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0B2FCE49">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423" w:name="_Toc151193777"/>
      <w:bookmarkStart w:id="424" w:name="_Toc195842900"/>
      <w:bookmarkStart w:id="425" w:name="_Toc226337231"/>
      <w:bookmarkStart w:id="426" w:name="_Toc226965808"/>
      <w:bookmarkStart w:id="427" w:name="_Toc226965725"/>
      <w:bookmarkStart w:id="428" w:name="_Toc150480773"/>
      <w:bookmarkStart w:id="429" w:name="_Toc151193633"/>
      <w:bookmarkStart w:id="430" w:name="_Toc164608649"/>
      <w:bookmarkStart w:id="431" w:name="_Toc164351629"/>
      <w:bookmarkStart w:id="432" w:name="_Toc142311037"/>
      <w:bookmarkStart w:id="433" w:name="_Toc305158877"/>
      <w:bookmarkStart w:id="434" w:name="_Toc150774635"/>
      <w:bookmarkStart w:id="435" w:name="_Toc164229230"/>
      <w:bookmarkStart w:id="436" w:name="_Toc264969225"/>
      <w:bookmarkStart w:id="437" w:name="_Toc520356160"/>
      <w:bookmarkStart w:id="438" w:name="_Toc150509286"/>
      <w:bookmarkStart w:id="439" w:name="_Toc127161449"/>
      <w:bookmarkStart w:id="440" w:name="_Toc151193849"/>
      <w:bookmarkStart w:id="441" w:name="_Toc305158803"/>
      <w:bookmarkStart w:id="442" w:name="_Toc164229376"/>
      <w:bookmarkStart w:id="443" w:name="_Toc226309779"/>
      <w:bookmarkStart w:id="444" w:name="_Toc151193923"/>
      <w:bookmarkStart w:id="445" w:name="_Toc150774740"/>
      <w:bookmarkStart w:id="446" w:name="_Toc127151736"/>
      <w:bookmarkStart w:id="447" w:name="_Toc127151535"/>
      <w:bookmarkStart w:id="448" w:name="_Toc164608804"/>
      <w:bookmarkStart w:id="449" w:name="_Toc265228373"/>
      <w:bookmarkStart w:id="450" w:name="_Toc151193705"/>
      <w:bookmarkStart w:id="451" w:name="_Toc151190162"/>
      <w:bookmarkStart w:id="452" w:name="_Toc149720828"/>
      <w:r>
        <w:rPr>
          <w:rFonts w:hint="eastAsia" w:ascii="宋体" w:hAnsi="宋体" w:eastAsia="宋体" w:cs="宋体"/>
          <w:color w:val="auto"/>
          <w:sz w:val="24"/>
          <w:highlight w:val="none"/>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hint="eastAsia" w:ascii="宋体" w:hAnsi="宋体" w:eastAsia="宋体" w:cs="宋体"/>
          <w:color w:val="auto"/>
          <w:sz w:val="24"/>
          <w:highlight w:val="none"/>
        </w:rPr>
        <w:t>提交</w:t>
      </w:r>
    </w:p>
    <w:p w14:paraId="44098396">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11E216ED">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所有包装封皮和信封上均应：</w:t>
      </w:r>
    </w:p>
    <w:p w14:paraId="2A12D607">
      <w:pPr>
        <w:numPr>
          <w:ilvl w:val="2"/>
          <w:numId w:val="8"/>
        </w:numPr>
        <w:tabs>
          <w:tab w:val="left" w:pos="900"/>
          <w:tab w:val="left" w:pos="1080"/>
          <w:tab w:val="left" w:pos="2014"/>
        </w:tabs>
        <w:snapToGrid w:val="0"/>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注明投标邀请中指明的项目名称、项目编号/包号、包名称（标的名称）、投标人名称和“在（开标时间）之前不得启封”的字样。</w:t>
      </w:r>
    </w:p>
    <w:p w14:paraId="3C09ECC1">
      <w:pPr>
        <w:numPr>
          <w:ilvl w:val="2"/>
          <w:numId w:val="8"/>
        </w:numPr>
        <w:tabs>
          <w:tab w:val="left" w:pos="900"/>
          <w:tab w:val="left" w:pos="1080"/>
          <w:tab w:val="left" w:pos="2014"/>
        </w:tabs>
        <w:snapToGrid w:val="0"/>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在封口处加盖投标人公章，或由法定代表人或委托代理人签字。</w:t>
      </w:r>
    </w:p>
    <w:p w14:paraId="7A71DF34">
      <w:pPr>
        <w:numPr>
          <w:ilvl w:val="1"/>
          <w:numId w:val="8"/>
        </w:numPr>
        <w:tabs>
          <w:tab w:val="left" w:pos="1080"/>
          <w:tab w:val="left" w:pos="2014"/>
        </w:tabs>
        <w:snapToGrid w:val="0"/>
        <w:spacing w:after="0"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如果投标文件未按上述要求密封，将有可能被拒绝接收。</w:t>
      </w:r>
    </w:p>
    <w:p w14:paraId="63CC8B17">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453" w:name="_Toc151190163"/>
      <w:bookmarkStart w:id="454" w:name="_Toc150509287"/>
      <w:bookmarkStart w:id="455" w:name="_Toc142311038"/>
      <w:bookmarkStart w:id="456" w:name="_Toc151193778"/>
      <w:bookmarkStart w:id="457" w:name="_Toc127161450"/>
      <w:bookmarkStart w:id="458" w:name="_Toc164229231"/>
      <w:bookmarkStart w:id="459" w:name="_Toc264969226"/>
      <w:bookmarkStart w:id="460" w:name="_Toc127151536"/>
      <w:bookmarkStart w:id="461" w:name="_Toc226965726"/>
      <w:bookmarkStart w:id="462" w:name="_Toc127151737"/>
      <w:bookmarkStart w:id="463" w:name="_Toc149720829"/>
      <w:bookmarkStart w:id="464" w:name="_Toc265228374"/>
      <w:bookmarkStart w:id="465" w:name="_Toc164229377"/>
      <w:bookmarkStart w:id="466" w:name="_Toc305158878"/>
      <w:bookmarkStart w:id="467" w:name="_Toc151193634"/>
      <w:bookmarkStart w:id="468" w:name="_Toc151193706"/>
      <w:bookmarkStart w:id="469" w:name="_Toc151193924"/>
      <w:bookmarkStart w:id="470" w:name="_Toc305158804"/>
      <w:bookmarkStart w:id="471" w:name="_Toc195842901"/>
      <w:bookmarkStart w:id="472" w:name="_Toc150480774"/>
      <w:bookmarkStart w:id="473" w:name="_Toc226309780"/>
      <w:bookmarkStart w:id="474" w:name="_Toc150774741"/>
      <w:bookmarkStart w:id="475" w:name="_Toc151193850"/>
      <w:bookmarkStart w:id="476" w:name="_Toc164608650"/>
      <w:bookmarkStart w:id="477" w:name="_Toc226337232"/>
      <w:bookmarkStart w:id="478" w:name="_Toc226965809"/>
      <w:bookmarkStart w:id="479" w:name="_Toc150774636"/>
      <w:bookmarkStart w:id="480" w:name="_Toc164351630"/>
      <w:bookmarkStart w:id="481" w:name="_Toc520356161"/>
      <w:bookmarkStart w:id="482" w:name="_Toc164608805"/>
      <w:r>
        <w:rPr>
          <w:rFonts w:hint="eastAsia" w:ascii="宋体" w:hAnsi="宋体" w:eastAsia="宋体" w:cs="宋体"/>
          <w:color w:val="auto"/>
          <w:sz w:val="24"/>
          <w:highlight w:val="none"/>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hint="eastAsia" w:ascii="宋体" w:hAnsi="宋体" w:eastAsia="宋体" w:cs="宋体"/>
          <w:color w:val="auto"/>
          <w:sz w:val="24"/>
          <w:highlight w:val="none"/>
        </w:rPr>
        <w:t>时间</w:t>
      </w:r>
    </w:p>
    <w:p w14:paraId="3900EF89">
      <w:pPr>
        <w:numPr>
          <w:ilvl w:val="1"/>
          <w:numId w:val="8"/>
        </w:numPr>
        <w:tabs>
          <w:tab w:val="left" w:pos="1080"/>
        </w:tabs>
        <w:snapToGrid w:val="0"/>
        <w:spacing w:after="0"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投标人应在招标文件要求提交投标文件截止时间前，将投标文件提交至招标文件指定地点。</w:t>
      </w:r>
    </w:p>
    <w:p w14:paraId="73F2301C">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483" w:name="_Toc150480775"/>
      <w:bookmarkStart w:id="484" w:name="_Toc265228375"/>
      <w:bookmarkStart w:id="485" w:name="_Toc150509288"/>
      <w:bookmarkStart w:id="486" w:name="_Toc142311039"/>
      <w:bookmarkStart w:id="487" w:name="_Toc151193635"/>
      <w:bookmarkStart w:id="488" w:name="_Toc164608806"/>
      <w:bookmarkStart w:id="489" w:name="_Toc151190164"/>
      <w:bookmarkStart w:id="490" w:name="_Toc127151738"/>
      <w:bookmarkStart w:id="491" w:name="_Toc150774637"/>
      <w:bookmarkStart w:id="492" w:name="_Toc226965810"/>
      <w:bookmarkStart w:id="493" w:name="_Toc164229232"/>
      <w:bookmarkStart w:id="494" w:name="_Toc127151537"/>
      <w:bookmarkStart w:id="495" w:name="_Toc127161451"/>
      <w:bookmarkStart w:id="496" w:name="_Toc226965727"/>
      <w:bookmarkStart w:id="497" w:name="_Toc150774742"/>
      <w:bookmarkStart w:id="498" w:name="_Toc164608651"/>
      <w:bookmarkStart w:id="499" w:name="_Toc305158879"/>
      <w:bookmarkStart w:id="500" w:name="_Toc264969227"/>
      <w:bookmarkStart w:id="501" w:name="_Toc520356162"/>
      <w:bookmarkStart w:id="502" w:name="_Toc149720830"/>
      <w:bookmarkStart w:id="503" w:name="_Toc226309781"/>
      <w:bookmarkStart w:id="504" w:name="_Toc151193707"/>
      <w:bookmarkStart w:id="505" w:name="_Toc151193925"/>
      <w:bookmarkStart w:id="506" w:name="_Toc164229378"/>
      <w:bookmarkStart w:id="507" w:name="_Toc195842902"/>
      <w:bookmarkStart w:id="508" w:name="_Toc164351631"/>
      <w:bookmarkStart w:id="509" w:name="_Toc151193851"/>
      <w:bookmarkStart w:id="510" w:name="_Toc226337233"/>
      <w:bookmarkStart w:id="511" w:name="_Toc305158805"/>
      <w:bookmarkStart w:id="512" w:name="_Toc151193779"/>
      <w:r>
        <w:rPr>
          <w:rFonts w:hint="eastAsia" w:ascii="宋体" w:hAnsi="宋体" w:eastAsia="宋体" w:cs="宋体"/>
          <w:color w:val="auto"/>
          <w:sz w:val="24"/>
          <w:highlight w:val="none"/>
        </w:rPr>
        <w:t>投标文件的修改与撤回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2D2C9E1B">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采购人和采购代理机构将按招标文件规定的时间和地点接收投标文件。</w:t>
      </w:r>
    </w:p>
    <w:p w14:paraId="23BA3612">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采购人或者采购代理机构收到投标文件后，应当如实记载投标文件的送达时间和密封情况，并向投标人出具以下签收回执。</w:t>
      </w:r>
    </w:p>
    <w:tbl>
      <w:tblPr>
        <w:tblStyle w:val="43"/>
        <w:tblW w:w="7087" w:type="dxa"/>
        <w:tblInd w:w="1101" w:type="dxa"/>
        <w:tblLayout w:type="fixed"/>
        <w:tblCellMar>
          <w:top w:w="0" w:type="dxa"/>
          <w:left w:w="108" w:type="dxa"/>
          <w:bottom w:w="0" w:type="dxa"/>
          <w:right w:w="108" w:type="dxa"/>
        </w:tblCellMar>
      </w:tblPr>
      <w:tblGrid>
        <w:gridCol w:w="1468"/>
        <w:gridCol w:w="1934"/>
        <w:gridCol w:w="2126"/>
        <w:gridCol w:w="1559"/>
      </w:tblGrid>
      <w:tr w14:paraId="2474CC57">
        <w:tblPrEx>
          <w:tblCellMar>
            <w:top w:w="0" w:type="dxa"/>
            <w:left w:w="108" w:type="dxa"/>
            <w:bottom w:w="0" w:type="dxa"/>
            <w:right w:w="108" w:type="dxa"/>
          </w:tblCellMar>
        </w:tblPrEx>
        <w:trPr>
          <w:trHeight w:val="750" w:hRule="atLeast"/>
        </w:trPr>
        <w:tc>
          <w:tcPr>
            <w:tcW w:w="7087" w:type="dxa"/>
            <w:gridSpan w:val="4"/>
            <w:tcBorders>
              <w:top w:val="nil"/>
              <w:left w:val="nil"/>
              <w:bottom w:val="single" w:color="auto" w:sz="4" w:space="0"/>
              <w:right w:val="nil"/>
            </w:tcBorders>
            <w:vAlign w:val="center"/>
          </w:tcPr>
          <w:p w14:paraId="2FC7F0FC">
            <w:pPr>
              <w:widowControl/>
              <w:spacing w:after="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接收投标文件回执单        </w:t>
            </w:r>
          </w:p>
        </w:tc>
      </w:tr>
      <w:tr w14:paraId="0B5733B3">
        <w:tblPrEx>
          <w:tblCellMar>
            <w:top w:w="0" w:type="dxa"/>
            <w:left w:w="108" w:type="dxa"/>
            <w:bottom w:w="0" w:type="dxa"/>
            <w:right w:w="108" w:type="dxa"/>
          </w:tblCellMar>
        </w:tblPrEx>
        <w:trPr>
          <w:trHeight w:val="315" w:hRule="atLeast"/>
        </w:trPr>
        <w:tc>
          <w:tcPr>
            <w:tcW w:w="1468" w:type="dxa"/>
            <w:tcBorders>
              <w:top w:val="nil"/>
              <w:left w:val="single" w:color="auto" w:sz="4" w:space="0"/>
              <w:bottom w:val="single" w:color="auto" w:sz="4" w:space="0"/>
              <w:right w:val="single" w:color="auto" w:sz="4" w:space="0"/>
            </w:tcBorders>
            <w:vAlign w:val="center"/>
          </w:tcPr>
          <w:p w14:paraId="2FCFE273">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招标编号</w:t>
            </w:r>
          </w:p>
        </w:tc>
        <w:tc>
          <w:tcPr>
            <w:tcW w:w="5619" w:type="dxa"/>
            <w:gridSpan w:val="3"/>
            <w:tcBorders>
              <w:top w:val="single" w:color="auto" w:sz="4" w:space="0"/>
              <w:left w:val="nil"/>
              <w:bottom w:val="single" w:color="auto" w:sz="4" w:space="0"/>
              <w:right w:val="single" w:color="auto" w:sz="4" w:space="0"/>
            </w:tcBorders>
            <w:vAlign w:val="center"/>
          </w:tcPr>
          <w:p w14:paraId="552F1C22">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r>
      <w:tr w14:paraId="7F6804BF">
        <w:tblPrEx>
          <w:tblCellMar>
            <w:top w:w="0" w:type="dxa"/>
            <w:left w:w="108" w:type="dxa"/>
            <w:bottom w:w="0" w:type="dxa"/>
            <w:right w:w="108" w:type="dxa"/>
          </w:tblCellMar>
        </w:tblPrEx>
        <w:trPr>
          <w:trHeight w:val="277" w:hRule="atLeast"/>
        </w:trPr>
        <w:tc>
          <w:tcPr>
            <w:tcW w:w="1468" w:type="dxa"/>
            <w:tcBorders>
              <w:top w:val="nil"/>
              <w:left w:val="single" w:color="auto" w:sz="4" w:space="0"/>
              <w:bottom w:val="single" w:color="auto" w:sz="4" w:space="0"/>
              <w:right w:val="single" w:color="auto" w:sz="4" w:space="0"/>
            </w:tcBorders>
            <w:vAlign w:val="center"/>
          </w:tcPr>
          <w:p w14:paraId="2B670A5C">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项目名称</w:t>
            </w:r>
          </w:p>
        </w:tc>
        <w:tc>
          <w:tcPr>
            <w:tcW w:w="5619" w:type="dxa"/>
            <w:gridSpan w:val="3"/>
            <w:tcBorders>
              <w:top w:val="single" w:color="auto" w:sz="4" w:space="0"/>
              <w:left w:val="nil"/>
              <w:bottom w:val="single" w:color="auto" w:sz="4" w:space="0"/>
              <w:right w:val="single" w:color="auto" w:sz="4" w:space="0"/>
            </w:tcBorders>
            <w:vAlign w:val="center"/>
          </w:tcPr>
          <w:p w14:paraId="2B0524F8">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r>
      <w:tr w14:paraId="479AF71A">
        <w:tblPrEx>
          <w:tblCellMar>
            <w:top w:w="0" w:type="dxa"/>
            <w:left w:w="108" w:type="dxa"/>
            <w:bottom w:w="0" w:type="dxa"/>
            <w:right w:w="108" w:type="dxa"/>
          </w:tblCellMar>
        </w:tblPrEx>
        <w:trPr>
          <w:trHeight w:val="139" w:hRule="atLeast"/>
        </w:trPr>
        <w:tc>
          <w:tcPr>
            <w:tcW w:w="1468" w:type="dxa"/>
            <w:tcBorders>
              <w:top w:val="nil"/>
              <w:left w:val="single" w:color="auto" w:sz="4" w:space="0"/>
              <w:bottom w:val="single" w:color="auto" w:sz="4" w:space="0"/>
              <w:right w:val="single" w:color="auto" w:sz="4" w:space="0"/>
            </w:tcBorders>
            <w:vAlign w:val="center"/>
          </w:tcPr>
          <w:p w14:paraId="548B1E9A">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投标人名称</w:t>
            </w:r>
          </w:p>
        </w:tc>
        <w:tc>
          <w:tcPr>
            <w:tcW w:w="5619" w:type="dxa"/>
            <w:gridSpan w:val="3"/>
            <w:tcBorders>
              <w:top w:val="single" w:color="auto" w:sz="4" w:space="0"/>
              <w:left w:val="nil"/>
              <w:bottom w:val="single" w:color="auto" w:sz="4" w:space="0"/>
              <w:right w:val="single" w:color="auto" w:sz="4" w:space="0"/>
            </w:tcBorders>
            <w:vAlign w:val="center"/>
          </w:tcPr>
          <w:p w14:paraId="7821E6AA">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r>
      <w:tr w14:paraId="4C4FDC89">
        <w:tblPrEx>
          <w:tblCellMar>
            <w:top w:w="0" w:type="dxa"/>
            <w:left w:w="108" w:type="dxa"/>
            <w:bottom w:w="0" w:type="dxa"/>
            <w:right w:w="108" w:type="dxa"/>
          </w:tblCellMar>
        </w:tblPrEx>
        <w:trPr>
          <w:trHeight w:val="299" w:hRule="atLeast"/>
        </w:trPr>
        <w:tc>
          <w:tcPr>
            <w:tcW w:w="1468" w:type="dxa"/>
            <w:tcBorders>
              <w:top w:val="nil"/>
              <w:left w:val="single" w:color="auto" w:sz="4" w:space="0"/>
              <w:bottom w:val="single" w:color="auto" w:sz="4" w:space="0"/>
              <w:right w:val="single" w:color="auto" w:sz="4" w:space="0"/>
            </w:tcBorders>
            <w:vAlign w:val="center"/>
          </w:tcPr>
          <w:p w14:paraId="1F06774A">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递交时间</w:t>
            </w:r>
          </w:p>
        </w:tc>
        <w:tc>
          <w:tcPr>
            <w:tcW w:w="1934" w:type="dxa"/>
            <w:tcBorders>
              <w:top w:val="nil"/>
              <w:left w:val="nil"/>
              <w:bottom w:val="single" w:color="auto" w:sz="4" w:space="0"/>
              <w:right w:val="single" w:color="auto" w:sz="4" w:space="0"/>
            </w:tcBorders>
            <w:vAlign w:val="center"/>
          </w:tcPr>
          <w:p w14:paraId="561B195D">
            <w:pPr>
              <w:widowControl/>
              <w:spacing w:after="0" w:line="360" w:lineRule="auto"/>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c>
          <w:tcPr>
            <w:tcW w:w="2126" w:type="dxa"/>
            <w:tcBorders>
              <w:top w:val="nil"/>
              <w:left w:val="nil"/>
              <w:bottom w:val="single" w:color="auto" w:sz="4" w:space="0"/>
              <w:right w:val="single" w:color="auto" w:sz="4" w:space="0"/>
            </w:tcBorders>
            <w:vAlign w:val="center"/>
          </w:tcPr>
          <w:p w14:paraId="68A8E990">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投标文件密封情况</w:t>
            </w:r>
          </w:p>
        </w:tc>
        <w:tc>
          <w:tcPr>
            <w:tcW w:w="1559" w:type="dxa"/>
            <w:tcBorders>
              <w:top w:val="nil"/>
              <w:left w:val="nil"/>
              <w:bottom w:val="single" w:color="auto" w:sz="4" w:space="0"/>
              <w:right w:val="single" w:color="auto" w:sz="4" w:space="0"/>
            </w:tcBorders>
            <w:vAlign w:val="center"/>
          </w:tcPr>
          <w:p w14:paraId="33151EEB">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r>
      <w:tr w14:paraId="0041B779">
        <w:tblPrEx>
          <w:tblCellMar>
            <w:top w:w="0" w:type="dxa"/>
            <w:left w:w="108" w:type="dxa"/>
            <w:bottom w:w="0" w:type="dxa"/>
            <w:right w:w="108" w:type="dxa"/>
          </w:tblCellMar>
        </w:tblPrEx>
        <w:trPr>
          <w:trHeight w:val="279" w:hRule="atLeast"/>
        </w:trPr>
        <w:tc>
          <w:tcPr>
            <w:tcW w:w="1468" w:type="dxa"/>
            <w:tcBorders>
              <w:top w:val="nil"/>
              <w:left w:val="single" w:color="auto" w:sz="4" w:space="0"/>
              <w:bottom w:val="single" w:color="auto" w:sz="4" w:space="0"/>
              <w:right w:val="single" w:color="auto" w:sz="4" w:space="0"/>
            </w:tcBorders>
            <w:vAlign w:val="center"/>
          </w:tcPr>
          <w:p w14:paraId="2ECC5255">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接收单位</w:t>
            </w:r>
          </w:p>
        </w:tc>
        <w:tc>
          <w:tcPr>
            <w:tcW w:w="5619" w:type="dxa"/>
            <w:gridSpan w:val="3"/>
            <w:tcBorders>
              <w:top w:val="single" w:color="auto" w:sz="4" w:space="0"/>
              <w:left w:val="nil"/>
              <w:bottom w:val="single" w:color="auto" w:sz="4" w:space="0"/>
              <w:right w:val="single" w:color="auto" w:sz="4" w:space="0"/>
            </w:tcBorders>
            <w:vAlign w:val="center"/>
          </w:tcPr>
          <w:p w14:paraId="6F7F4332">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中招国际招标有限公司</w:t>
            </w:r>
          </w:p>
        </w:tc>
      </w:tr>
      <w:tr w14:paraId="66B0E3EB">
        <w:tblPrEx>
          <w:tblCellMar>
            <w:top w:w="0" w:type="dxa"/>
            <w:left w:w="108" w:type="dxa"/>
            <w:bottom w:w="0" w:type="dxa"/>
            <w:right w:w="108" w:type="dxa"/>
          </w:tblCellMar>
        </w:tblPrEx>
        <w:trPr>
          <w:trHeight w:val="269" w:hRule="atLeast"/>
        </w:trPr>
        <w:tc>
          <w:tcPr>
            <w:tcW w:w="1468" w:type="dxa"/>
            <w:tcBorders>
              <w:top w:val="nil"/>
              <w:left w:val="single" w:color="auto" w:sz="4" w:space="0"/>
              <w:bottom w:val="single" w:color="auto" w:sz="4" w:space="0"/>
              <w:right w:val="single" w:color="auto" w:sz="4" w:space="0"/>
            </w:tcBorders>
            <w:vAlign w:val="center"/>
          </w:tcPr>
          <w:p w14:paraId="74285C6B">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接收人签字：</w:t>
            </w:r>
          </w:p>
        </w:tc>
        <w:tc>
          <w:tcPr>
            <w:tcW w:w="5619" w:type="dxa"/>
            <w:gridSpan w:val="3"/>
            <w:tcBorders>
              <w:top w:val="single" w:color="auto" w:sz="4" w:space="0"/>
              <w:left w:val="nil"/>
              <w:bottom w:val="single" w:color="auto" w:sz="4" w:space="0"/>
              <w:right w:val="single" w:color="auto" w:sz="4" w:space="0"/>
            </w:tcBorders>
            <w:vAlign w:val="center"/>
          </w:tcPr>
          <w:p w14:paraId="4B6E6F4E">
            <w:pPr>
              <w:widowControl/>
              <w:spacing w:after="0" w:line="360" w:lineRule="auto"/>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w:t>
            </w:r>
          </w:p>
        </w:tc>
      </w:tr>
    </w:tbl>
    <w:p w14:paraId="590F5F7E">
      <w:pPr>
        <w:tabs>
          <w:tab w:val="left" w:pos="900"/>
          <w:tab w:val="left" w:pos="1080"/>
          <w:tab w:val="left" w:pos="1589"/>
          <w:tab w:val="left" w:pos="2014"/>
        </w:tabs>
        <w:snapToGrid w:val="0"/>
        <w:spacing w:line="360" w:lineRule="auto"/>
        <w:ind w:left="1077"/>
        <w:rPr>
          <w:rFonts w:hint="eastAsia" w:ascii="宋体" w:hAnsi="宋体" w:eastAsia="宋体" w:cs="宋体"/>
          <w:color w:val="auto"/>
          <w:sz w:val="24"/>
          <w:highlight w:val="none"/>
        </w:rPr>
      </w:pPr>
    </w:p>
    <w:p w14:paraId="39B91639">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递交投标文件以后，如果投标人要进行修改，须提出书面通知并在投标截止时间前送达投标地点。投标人对投标文件的补充、修改的内容应当按照招标文件要求签署、盖章，作为投标文件的组成部分。</w:t>
      </w:r>
    </w:p>
    <w:p w14:paraId="67325647">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递交投标文件以后，如果投标人要进行撤回的，须提出书面通知并在投标截止时间前送达开标地点，采购人和采购代理机构将予以接受。</w:t>
      </w:r>
    </w:p>
    <w:p w14:paraId="6FDE1940">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在投标截止时间之后，投标人不得对其投标文件做任何修改。</w:t>
      </w:r>
    </w:p>
    <w:p w14:paraId="70CB910A">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除投标人不足3家未开标外，采购人和采购代理机构对所接收投标文件概不退回。</w:t>
      </w:r>
    </w:p>
    <w:p w14:paraId="0C965FB4">
      <w:pPr>
        <w:pStyle w:val="6"/>
        <w:spacing w:before="0" w:line="360" w:lineRule="auto"/>
        <w:rPr>
          <w:rFonts w:hint="eastAsia" w:ascii="宋体" w:hAnsi="宋体" w:eastAsia="宋体" w:cs="宋体"/>
          <w:color w:val="auto"/>
          <w:sz w:val="28"/>
          <w:highlight w:val="none"/>
        </w:rPr>
      </w:pPr>
      <w:bookmarkStart w:id="513" w:name="_Toc150774638"/>
      <w:bookmarkStart w:id="514" w:name="_Toc150480776"/>
      <w:bookmarkStart w:id="515" w:name="_Toc151193636"/>
      <w:bookmarkStart w:id="516" w:name="_Toc226309782"/>
      <w:bookmarkStart w:id="517" w:name="_Toc264969228"/>
      <w:bookmarkStart w:id="518" w:name="_Toc520356163"/>
      <w:bookmarkStart w:id="519" w:name="_Toc151193780"/>
      <w:bookmarkStart w:id="520" w:name="_Toc226337234"/>
      <w:bookmarkStart w:id="521" w:name="_Toc150774743"/>
      <w:bookmarkStart w:id="522" w:name="_Toc150509289"/>
      <w:bookmarkStart w:id="523" w:name="_Toc151193708"/>
      <w:bookmarkStart w:id="524" w:name="_Toc226965728"/>
      <w:bookmarkStart w:id="525" w:name="_Toc305158806"/>
      <w:bookmarkStart w:id="526" w:name="_Toc127151538"/>
      <w:bookmarkStart w:id="527" w:name="_Toc226965811"/>
      <w:bookmarkStart w:id="528" w:name="_Toc142311040"/>
      <w:bookmarkStart w:id="529" w:name="_Toc305158880"/>
      <w:bookmarkStart w:id="530" w:name="_Toc151190165"/>
      <w:bookmarkStart w:id="531" w:name="_Toc195842903"/>
      <w:bookmarkStart w:id="532" w:name="_Toc265228376"/>
      <w:bookmarkStart w:id="533" w:name="_Toc151193852"/>
      <w:bookmarkStart w:id="534" w:name="_Toc151193926"/>
      <w:r>
        <w:rPr>
          <w:rFonts w:hint="eastAsia" w:ascii="宋体" w:hAnsi="宋体" w:eastAsia="宋体" w:cs="宋体"/>
          <w:color w:val="auto"/>
          <w:sz w:val="28"/>
          <w:highlight w:val="none"/>
        </w:rPr>
        <w:t>五   开标、资格审查及评标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7FE22B71">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535" w:name="_Toc265228377"/>
      <w:bookmarkStart w:id="536" w:name="_Toc150774744"/>
      <w:bookmarkStart w:id="537" w:name="_Toc150509290"/>
      <w:bookmarkStart w:id="538" w:name="_Toc127151539"/>
      <w:bookmarkStart w:id="539" w:name="_Toc151193853"/>
      <w:bookmarkStart w:id="540" w:name="_Toc164608808"/>
      <w:bookmarkStart w:id="541" w:name="_Toc151193637"/>
      <w:bookmarkStart w:id="542" w:name="_Toc226337235"/>
      <w:bookmarkStart w:id="543" w:name="_Toc164351633"/>
      <w:bookmarkStart w:id="544" w:name="_Toc151193709"/>
      <w:bookmarkStart w:id="545" w:name="_Toc226965729"/>
      <w:bookmarkStart w:id="546" w:name="_Toc151193927"/>
      <w:bookmarkStart w:id="547" w:name="_Toc195842904"/>
      <w:bookmarkStart w:id="548" w:name="_Toc305158807"/>
      <w:bookmarkStart w:id="549" w:name="_Toc520356164"/>
      <w:bookmarkStart w:id="550" w:name="_Toc164229380"/>
      <w:bookmarkStart w:id="551" w:name="_Toc151193781"/>
      <w:bookmarkStart w:id="552" w:name="_Toc164229234"/>
      <w:bookmarkStart w:id="553" w:name="_Toc127151740"/>
      <w:bookmarkStart w:id="554" w:name="_Toc149720832"/>
      <w:bookmarkStart w:id="555" w:name="_Toc151190166"/>
      <w:bookmarkStart w:id="556" w:name="_Toc142311041"/>
      <w:bookmarkStart w:id="557" w:name="_Toc226965812"/>
      <w:bookmarkStart w:id="558" w:name="_Toc150774639"/>
      <w:bookmarkStart w:id="559" w:name="_Toc305158881"/>
      <w:bookmarkStart w:id="560" w:name="_Toc164608653"/>
      <w:bookmarkStart w:id="561" w:name="_Toc264969229"/>
      <w:bookmarkStart w:id="562" w:name="_Toc226309783"/>
      <w:bookmarkStart w:id="563" w:name="_Toc127161453"/>
      <w:bookmarkStart w:id="564" w:name="_Toc150480777"/>
      <w:r>
        <w:rPr>
          <w:rFonts w:hint="eastAsia" w:ascii="宋体" w:hAnsi="宋体" w:eastAsia="宋体" w:cs="宋体"/>
          <w:color w:val="auto"/>
          <w:sz w:val="24"/>
          <w:highlight w:val="none"/>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22A990F4">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采购人或采购代理机构将按招标文件的规定，在投标截止时间的同一时间和招标文件预先确定的地点组织开标。</w:t>
      </w:r>
    </w:p>
    <w:p w14:paraId="65A08B22">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3BFD7DC9">
      <w:pPr>
        <w:tabs>
          <w:tab w:val="left" w:pos="1080"/>
          <w:tab w:val="left" w:pos="1589"/>
          <w:tab w:val="left" w:pos="2014"/>
        </w:tabs>
        <w:snapToGrid w:val="0"/>
        <w:spacing w:line="360" w:lineRule="auto"/>
        <w:ind w:left="1077"/>
        <w:rPr>
          <w:rFonts w:hint="eastAsia" w:ascii="宋体" w:hAnsi="宋体" w:eastAsia="宋体" w:cs="宋体"/>
          <w:color w:val="auto"/>
          <w:sz w:val="24"/>
          <w:highlight w:val="none"/>
        </w:rPr>
      </w:pPr>
      <w:r>
        <w:rPr>
          <w:rFonts w:hint="eastAsia" w:ascii="宋体" w:hAnsi="宋体" w:eastAsia="宋体" w:cs="宋体"/>
          <w:color w:val="auto"/>
          <w:sz w:val="24"/>
          <w:highlight w:val="none"/>
        </w:rPr>
        <w:t>未宣读的投标价格、价格折扣等实质内容，评标时不予承认。</w:t>
      </w:r>
    </w:p>
    <w:p w14:paraId="5E2AA0B4">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采购人或采购代理机构将对开标过程进行记录，由参加开标的各投标人代表和相关工作人员签字确认，并存档备查。</w:t>
      </w:r>
    </w:p>
    <w:p w14:paraId="59B7D73D">
      <w:pPr>
        <w:tabs>
          <w:tab w:val="left" w:pos="2014"/>
        </w:tabs>
        <w:snapToGrid w:val="0"/>
        <w:spacing w:line="360" w:lineRule="auto"/>
        <w:ind w:left="1077"/>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投标人未派代表参加开标的，视同投标人认可开标结果。</w:t>
      </w:r>
    </w:p>
    <w:p w14:paraId="2B347C10">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bookmarkStart w:id="565" w:name="_Toc520356165"/>
      <w:r>
        <w:rPr>
          <w:rFonts w:hint="eastAsia" w:ascii="宋体" w:hAnsi="宋体" w:eastAsia="宋体" w:cs="宋体"/>
          <w:color w:val="auto"/>
          <w:sz w:val="24"/>
          <w:highlight w:val="none"/>
        </w:rPr>
        <w:t>投标人对开标过程和开标记录有疑义，以及认为采购人、采购代理机构相关工作人员有需要回避的情形的，应当场提出询问或者回避申请。采购人、采购代理机构对投标人提出的询问或者回避申请将及时处理。</w:t>
      </w:r>
    </w:p>
    <w:p w14:paraId="17883241">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投标人不足3家的，不予开标。</w:t>
      </w:r>
    </w:p>
    <w:p w14:paraId="5EFCA32E">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w:t>
      </w:r>
    </w:p>
    <w:p w14:paraId="1D0D0510">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见第三章《资格审查》。</w:t>
      </w:r>
    </w:p>
    <w:bookmarkEnd w:id="565"/>
    <w:p w14:paraId="1787F920">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566" w:name="_Toc127161454"/>
      <w:bookmarkStart w:id="567" w:name="_Toc164608809"/>
      <w:bookmarkStart w:id="568" w:name="_Toc305158882"/>
      <w:bookmarkStart w:id="569" w:name="_Toc151193928"/>
      <w:bookmarkStart w:id="570" w:name="_Toc226965730"/>
      <w:bookmarkStart w:id="571" w:name="_Toc150480778"/>
      <w:bookmarkStart w:id="572" w:name="_Toc150774745"/>
      <w:bookmarkStart w:id="573" w:name="_Toc127151741"/>
      <w:bookmarkStart w:id="574" w:name="_Toc127151540"/>
      <w:bookmarkStart w:id="575" w:name="_Toc151193638"/>
      <w:bookmarkStart w:id="576" w:name="_Toc164229235"/>
      <w:bookmarkStart w:id="577" w:name="_Toc151193710"/>
      <w:bookmarkStart w:id="578" w:name="_Toc226337236"/>
      <w:bookmarkStart w:id="579" w:name="_Toc151193854"/>
      <w:bookmarkStart w:id="580" w:name="_Toc265228378"/>
      <w:bookmarkStart w:id="581" w:name="_Toc226309784"/>
      <w:bookmarkStart w:id="582" w:name="_Toc150774640"/>
      <w:bookmarkStart w:id="583" w:name="_Toc151190167"/>
      <w:bookmarkStart w:id="584" w:name="_Toc164351634"/>
      <w:bookmarkStart w:id="585" w:name="_Toc151193782"/>
      <w:bookmarkStart w:id="586" w:name="_Toc149720833"/>
      <w:bookmarkStart w:id="587" w:name="_Toc142311042"/>
      <w:bookmarkStart w:id="588" w:name="_Toc150509291"/>
      <w:bookmarkStart w:id="589" w:name="_Toc164608654"/>
      <w:bookmarkStart w:id="590" w:name="_Toc264969230"/>
      <w:bookmarkStart w:id="591" w:name="_Toc305158808"/>
      <w:bookmarkStart w:id="592" w:name="_Toc226965813"/>
      <w:bookmarkStart w:id="593" w:name="_Toc164229381"/>
      <w:bookmarkStart w:id="594" w:name="_Toc195842905"/>
      <w:r>
        <w:rPr>
          <w:rFonts w:hint="eastAsia" w:ascii="宋体" w:hAnsi="宋体" w:eastAsia="宋体" w:cs="宋体"/>
          <w:color w:val="auto"/>
          <w:sz w:val="24"/>
          <w:highlight w:val="none"/>
        </w:rPr>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566D10F2">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评标委员会根据政府采购有关规定和本次采购项目的特点进行组建，并负责具体评标事务，独立履行职责。</w:t>
      </w:r>
      <w:bookmarkStart w:id="595" w:name="_Toc520356166"/>
    </w:p>
    <w:p w14:paraId="31300954">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5"/>
      <w:bookmarkStart w:id="596" w:name="_Toc520356169"/>
    </w:p>
    <w:p w14:paraId="1AE2A732">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评标程序、评标方法和评标标准</w:t>
      </w:r>
    </w:p>
    <w:p w14:paraId="0434EE2D">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见第四章《评标程序、评标方法和评标标准》。</w:t>
      </w:r>
    </w:p>
    <w:p w14:paraId="7DA1F2FC">
      <w:pPr>
        <w:tabs>
          <w:tab w:val="left" w:pos="360"/>
          <w:tab w:val="left" w:pos="1080"/>
        </w:tabs>
        <w:snapToGrid w:val="0"/>
        <w:spacing w:line="360" w:lineRule="auto"/>
        <w:ind w:left="1080"/>
        <w:rPr>
          <w:rFonts w:hint="eastAsia" w:ascii="宋体" w:hAnsi="宋体" w:eastAsia="宋体" w:cs="宋体"/>
          <w:color w:val="auto"/>
          <w:sz w:val="24"/>
          <w:highlight w:val="none"/>
        </w:rPr>
      </w:pPr>
    </w:p>
    <w:p w14:paraId="48F3A80E">
      <w:pPr>
        <w:pStyle w:val="6"/>
        <w:spacing w:before="0" w:line="360" w:lineRule="auto"/>
        <w:rPr>
          <w:rFonts w:hint="eastAsia" w:ascii="宋体" w:hAnsi="宋体" w:eastAsia="宋体" w:cs="宋体"/>
          <w:color w:val="auto"/>
          <w:sz w:val="28"/>
          <w:highlight w:val="none"/>
        </w:rPr>
      </w:pPr>
      <w:bookmarkStart w:id="597" w:name="_Toc226337241"/>
      <w:bookmarkStart w:id="598" w:name="_Toc127151545"/>
      <w:bookmarkStart w:id="599" w:name="_Toc142311047"/>
      <w:bookmarkStart w:id="600" w:name="_Toc151193787"/>
      <w:bookmarkStart w:id="601" w:name="_Toc195842910"/>
      <w:bookmarkStart w:id="602" w:name="_Toc305158813"/>
      <w:bookmarkStart w:id="603" w:name="_Toc305158887"/>
      <w:bookmarkStart w:id="604" w:name="_Toc150509296"/>
      <w:bookmarkStart w:id="605" w:name="_Toc264969235"/>
      <w:bookmarkStart w:id="606" w:name="_Toc265228383"/>
      <w:bookmarkStart w:id="607" w:name="_Toc151193859"/>
      <w:bookmarkStart w:id="608" w:name="_Toc150774750"/>
      <w:bookmarkStart w:id="609" w:name="_Toc150774645"/>
      <w:bookmarkStart w:id="610" w:name="_Toc151193715"/>
      <w:bookmarkStart w:id="611" w:name="_Toc226309789"/>
      <w:bookmarkStart w:id="612" w:name="_Toc226965735"/>
      <w:bookmarkStart w:id="613" w:name="_Toc151193643"/>
      <w:bookmarkStart w:id="614" w:name="_Toc151190172"/>
      <w:bookmarkStart w:id="615" w:name="_Toc226965818"/>
      <w:bookmarkStart w:id="616" w:name="_Toc151193933"/>
      <w:bookmarkStart w:id="617" w:name="_Toc150480783"/>
      <w:r>
        <w:rPr>
          <w:rFonts w:hint="eastAsia" w:ascii="宋体" w:hAnsi="宋体" w:eastAsia="宋体" w:cs="宋体"/>
          <w:color w:val="auto"/>
          <w:sz w:val="28"/>
          <w:highlight w:val="none"/>
        </w:rPr>
        <w:t xml:space="preserve">六   </w:t>
      </w:r>
      <w:bookmarkEnd w:id="596"/>
      <w:r>
        <w:rPr>
          <w:rFonts w:hint="eastAsia" w:ascii="宋体" w:hAnsi="宋体" w:eastAsia="宋体" w:cs="宋体"/>
          <w:color w:val="auto"/>
          <w:sz w:val="28"/>
          <w:highlight w:val="none"/>
        </w:rPr>
        <w:t>确定中标</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Start w:id="618" w:name="_Toc164608661"/>
      <w:bookmarkStart w:id="619" w:name="_Toc164229242"/>
      <w:bookmarkStart w:id="620" w:name="_Toc226965737"/>
      <w:bookmarkStart w:id="621" w:name="_Toc164351641"/>
      <w:bookmarkStart w:id="622" w:name="_Toc264969237"/>
      <w:bookmarkStart w:id="623" w:name="_Toc150774647"/>
      <w:bookmarkStart w:id="624" w:name="_Toc150774752"/>
      <w:bookmarkStart w:id="625" w:name="_Toc150509298"/>
      <w:bookmarkStart w:id="626" w:name="_Toc151193935"/>
      <w:bookmarkStart w:id="627" w:name="_Toc164229388"/>
      <w:bookmarkStart w:id="628" w:name="_Toc265228385"/>
      <w:bookmarkStart w:id="629" w:name="_Toc149720840"/>
      <w:bookmarkStart w:id="630" w:name="_Toc151193861"/>
      <w:bookmarkStart w:id="631" w:name="_Toc305158815"/>
      <w:bookmarkStart w:id="632" w:name="_Toc164608816"/>
      <w:bookmarkStart w:id="633" w:name="_Toc127151547"/>
      <w:bookmarkStart w:id="634" w:name="_Toc151193789"/>
      <w:bookmarkStart w:id="635" w:name="_Toc305158889"/>
      <w:bookmarkStart w:id="636" w:name="_Toc151190174"/>
      <w:bookmarkStart w:id="637" w:name="_Toc226337243"/>
      <w:bookmarkStart w:id="638" w:name="_Toc150480785"/>
      <w:bookmarkStart w:id="639" w:name="_Toc127161461"/>
      <w:bookmarkStart w:id="640" w:name="_Toc127151748"/>
      <w:bookmarkStart w:id="641" w:name="_Toc151193717"/>
      <w:bookmarkStart w:id="642" w:name="_Toc195842912"/>
      <w:bookmarkStart w:id="643" w:name="_Toc142311049"/>
      <w:bookmarkStart w:id="644" w:name="_Toc226965820"/>
      <w:bookmarkStart w:id="645" w:name="_Toc226309791"/>
      <w:bookmarkStart w:id="646" w:name="_Toc151193645"/>
    </w:p>
    <w:p w14:paraId="4682FA53">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29CA28CE">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4B8C3AD5">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647" w:name="_Toc305158817"/>
      <w:bookmarkStart w:id="648" w:name="_Toc305158891"/>
      <w:bookmarkStart w:id="649" w:name="_Toc151193719"/>
      <w:bookmarkStart w:id="650" w:name="_Toc164351643"/>
      <w:bookmarkStart w:id="651" w:name="_Toc195842914"/>
      <w:bookmarkStart w:id="652" w:name="_Toc151193647"/>
      <w:bookmarkStart w:id="653" w:name="_Toc150509300"/>
      <w:bookmarkStart w:id="654" w:name="_Toc151193791"/>
      <w:bookmarkStart w:id="655" w:name="_Toc127161463"/>
      <w:bookmarkStart w:id="656" w:name="_Toc151190176"/>
      <w:bookmarkStart w:id="657" w:name="_Toc150774649"/>
      <w:bookmarkStart w:id="658" w:name="_Toc151193937"/>
      <w:bookmarkStart w:id="659" w:name="_Toc142311051"/>
      <w:bookmarkStart w:id="660" w:name="_Toc265228387"/>
      <w:bookmarkStart w:id="661" w:name="_Toc226965739"/>
      <w:bookmarkStart w:id="662" w:name="_Toc226337245"/>
      <w:bookmarkStart w:id="663" w:name="_Toc127151750"/>
      <w:bookmarkStart w:id="664" w:name="_Toc164229244"/>
      <w:bookmarkStart w:id="665" w:name="_Toc151193863"/>
      <w:bookmarkStart w:id="666" w:name="_Toc164229390"/>
      <w:bookmarkStart w:id="667" w:name="_Toc264969239"/>
      <w:bookmarkStart w:id="668" w:name="_Toc127151549"/>
      <w:bookmarkStart w:id="669" w:name="_Toc164608663"/>
      <w:bookmarkStart w:id="670" w:name="_Toc150774754"/>
      <w:bookmarkStart w:id="671" w:name="_Toc149720842"/>
      <w:bookmarkStart w:id="672" w:name="_Toc150480787"/>
      <w:bookmarkStart w:id="673" w:name="_Toc164608818"/>
      <w:bookmarkStart w:id="674" w:name="_Toc226965822"/>
      <w:bookmarkStart w:id="675" w:name="_Toc226309793"/>
      <w:bookmarkStart w:id="676" w:name="_Ref467307090"/>
      <w:bookmarkStart w:id="677" w:name="_Toc520356176"/>
      <w:bookmarkStart w:id="678" w:name="_Ref467306425"/>
      <w:r>
        <w:rPr>
          <w:rFonts w:hint="eastAsia" w:ascii="宋体" w:hAnsi="宋体" w:eastAsia="宋体" w:cs="宋体"/>
          <w:color w:val="auto"/>
          <w:sz w:val="24"/>
          <w:highlight w:val="none"/>
        </w:rPr>
        <w:t>中标公告与中标通知书</w:t>
      </w:r>
      <w:bookmarkEnd w:id="647"/>
      <w:bookmarkEnd w:id="648"/>
    </w:p>
    <w:p w14:paraId="5DB9C89B">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采购人或采购代理机构自中标人确定之日起2个工作日内，</w:t>
      </w:r>
      <w:r>
        <w:rPr>
          <w:rFonts w:hint="eastAsia" w:ascii="宋体" w:hAnsi="宋体" w:eastAsia="宋体" w:cs="宋体"/>
          <w:color w:val="auto"/>
          <w:kern w:val="0"/>
          <w:sz w:val="24"/>
          <w:highlight w:val="none"/>
        </w:rPr>
        <w:t>在北京市政府采购网公告中标结果</w:t>
      </w:r>
      <w:r>
        <w:rPr>
          <w:rFonts w:hint="eastAsia" w:ascii="宋体" w:hAnsi="宋体" w:eastAsia="宋体" w:cs="宋体"/>
          <w:color w:val="auto"/>
          <w:sz w:val="24"/>
          <w:highlight w:val="none"/>
        </w:rPr>
        <w:t>，同时向中标人发出中标通知书，中标公告期限为1个工作日。</w:t>
      </w:r>
    </w:p>
    <w:p w14:paraId="3B51CA3C">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中标通知书对采购人和中标供应商均具有法律效力。中标通知书发出后，采购人改变中标结果的，或者中标供应商放弃中标项目的，应当依法承担法律责任。</w:t>
      </w:r>
    </w:p>
    <w:p w14:paraId="4BC8372A">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废标</w:t>
      </w:r>
    </w:p>
    <w:p w14:paraId="5AF91827">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在招标采购中，出现下列情形之一的，应予废标：</w:t>
      </w:r>
    </w:p>
    <w:p w14:paraId="21207E77">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符合专业条件的供应商或者对招标文件作实质响应的供应商不足三家的；</w:t>
      </w:r>
    </w:p>
    <w:p w14:paraId="76A05D17">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出现影响采购公正的违法、违规行为的；</w:t>
      </w:r>
    </w:p>
    <w:p w14:paraId="01202E99">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投标人的报价均超过了采购预算，采购人不能支付的；</w:t>
      </w:r>
    </w:p>
    <w:p w14:paraId="4AA86525">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因重大变故，采购任务取消的。</w:t>
      </w:r>
    </w:p>
    <w:p w14:paraId="393D13CF">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废标后，采购人将废标理由书面通知所有投标人。</w:t>
      </w:r>
    </w:p>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14:paraId="772DC98F">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bookmarkStart w:id="679" w:name="_Toc264969240"/>
      <w:bookmarkStart w:id="680" w:name="_Toc151193648"/>
      <w:bookmarkStart w:id="681" w:name="_Toc305158892"/>
      <w:bookmarkStart w:id="682" w:name="_Toc226965823"/>
      <w:bookmarkStart w:id="683" w:name="_Ref467307204"/>
      <w:bookmarkStart w:id="684" w:name="_Toc127151550"/>
      <w:bookmarkStart w:id="685" w:name="_Toc150480788"/>
      <w:bookmarkStart w:id="686" w:name="_Toc164229245"/>
      <w:bookmarkStart w:id="687" w:name="_Toc520356175"/>
      <w:bookmarkStart w:id="688" w:name="_Ref467306978"/>
      <w:bookmarkStart w:id="689" w:name="_Ref467307062"/>
      <w:bookmarkStart w:id="690" w:name="_Toc151193720"/>
      <w:bookmarkStart w:id="691" w:name="_Toc164351644"/>
      <w:bookmarkStart w:id="692" w:name="_Ref467306377"/>
      <w:bookmarkStart w:id="693" w:name="_Toc151193938"/>
      <w:bookmarkStart w:id="694" w:name="_Toc226309794"/>
      <w:bookmarkStart w:id="695" w:name="_Toc164608664"/>
      <w:bookmarkStart w:id="696" w:name="_Toc151193864"/>
      <w:bookmarkStart w:id="697" w:name="_Toc164229391"/>
      <w:bookmarkStart w:id="698" w:name="_Toc150509301"/>
      <w:bookmarkStart w:id="699" w:name="_Toc149720843"/>
      <w:bookmarkStart w:id="700" w:name="_Toc127151751"/>
      <w:bookmarkStart w:id="701" w:name="_Toc164608819"/>
      <w:bookmarkStart w:id="702" w:name="_Toc226965740"/>
      <w:bookmarkStart w:id="703" w:name="_Toc226337246"/>
      <w:bookmarkStart w:id="704" w:name="_Toc151193792"/>
      <w:bookmarkStart w:id="705" w:name="_Toc151190177"/>
      <w:bookmarkStart w:id="706" w:name="_Toc127161464"/>
      <w:bookmarkStart w:id="707" w:name="_Toc195842915"/>
      <w:bookmarkStart w:id="708" w:name="_Toc265228388"/>
      <w:bookmarkStart w:id="709" w:name="_Toc150774755"/>
      <w:bookmarkStart w:id="710" w:name="_Toc305158818"/>
      <w:bookmarkStart w:id="711" w:name="_Toc142311052"/>
      <w:bookmarkStart w:id="712" w:name="_Toc150774650"/>
      <w:r>
        <w:rPr>
          <w:rFonts w:hint="eastAsia" w:ascii="宋体" w:hAnsi="宋体" w:eastAsia="宋体" w:cs="宋体"/>
          <w:color w:val="auto"/>
          <w:sz w:val="24"/>
          <w:highlight w:val="none"/>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329A593A">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中标人、采购人应当自中标通知书发出之日起30日内，按照招标文件和中标人投标文件的规定签订书面合同。所签订的合同不得对招标文件确定的事项和中标人投标文件作实质性修改。</w:t>
      </w:r>
    </w:p>
    <w:p w14:paraId="665DDDA9">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中标人拒绝与采购人签订合同的，采购人可以按照评标报告推荐的中标候选人名单排序，确定下一候选人为中标人，也可以重新开展政府采购活动。</w:t>
      </w:r>
    </w:p>
    <w:p w14:paraId="3A0D8332">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联合体中标的，联合体各方应当共同与采购人签订合同，就采购合同约定的事项向采购人承担连带责任。</w:t>
      </w:r>
    </w:p>
    <w:p w14:paraId="336EF719">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政府采购合同不能转包。</w:t>
      </w:r>
    </w:p>
    <w:p w14:paraId="430A3D11">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。中标人就采购项目和分包项目向采购人负责，分包供应商就分包项目承担责任。</w:t>
      </w:r>
    </w:p>
    <w:p w14:paraId="7AD59DD9">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“政采贷”融资指引：详见《投标人须知资料表》。</w:t>
      </w:r>
    </w:p>
    <w:bookmarkEnd w:id="676"/>
    <w:bookmarkEnd w:id="677"/>
    <w:bookmarkEnd w:id="678"/>
    <w:p w14:paraId="70158484">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询问与质疑</w:t>
      </w:r>
    </w:p>
    <w:p w14:paraId="0489B15F">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询问</w:t>
      </w:r>
    </w:p>
    <w:p w14:paraId="31662EE7">
      <w:pPr>
        <w:numPr>
          <w:ilvl w:val="2"/>
          <w:numId w:val="8"/>
        </w:numPr>
        <w:snapToGrid w:val="0"/>
        <w:spacing w:line="360" w:lineRule="auto"/>
        <w:rPr>
          <w:rFonts w:hint="eastAsia" w:ascii="宋体" w:hAnsi="宋体" w:eastAsia="宋体" w:cs="宋体"/>
          <w:color w:val="auto"/>
          <w:sz w:val="24"/>
          <w:highlight w:val="none"/>
        </w:rPr>
      </w:pPr>
      <w:bookmarkStart w:id="713" w:name="_Hlk179293370"/>
      <w:r>
        <w:rPr>
          <w:rFonts w:hint="eastAsia" w:ascii="宋体" w:hAnsi="宋体" w:eastAsia="宋体" w:cs="宋体"/>
          <w:color w:val="auto"/>
          <w:sz w:val="24"/>
          <w:highlight w:val="none"/>
        </w:rPr>
        <w:t>投标人对政府采购活动事项有疑问的，可依法向采购人或采购代理机构提出询问，提出形式见《投标人须知资料表》。</w:t>
      </w:r>
      <w:bookmarkEnd w:id="713"/>
    </w:p>
    <w:p w14:paraId="38221FE5">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采购人或采购代理机构对供应商依法提出的询问，在3个工作日内作出答复，但答复的内容不得涉及商业秘密。</w:t>
      </w:r>
    </w:p>
    <w:p w14:paraId="102E7514">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质疑</w:t>
      </w:r>
    </w:p>
    <w:p w14:paraId="614E2E6B">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F57BAE1">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质疑函须使用财政部制定的范本文件。投标人为自然人的，质疑函应当由本人签字；投标人为法人或者其他组织的，质疑函应当由法定代表人、主要负责人，或者其授权代表签字或者盖章，并加盖公章。</w:t>
      </w:r>
    </w:p>
    <w:p w14:paraId="33A914D1">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78906FE9">
      <w:pPr>
        <w:numPr>
          <w:ilvl w:val="2"/>
          <w:numId w:val="8"/>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投标人应在法定质疑期内一次性提出针对同一采购程序环节的质疑，法定质疑期内针对同一采购程序环节再次提出的质疑，采购人、采购代理机构有权不予答复。</w:t>
      </w:r>
    </w:p>
    <w:p w14:paraId="5822439D">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接收询问和质疑的联系部门、联系电话和通讯地址见《投标人须知资料表》。</w:t>
      </w:r>
    </w:p>
    <w:p w14:paraId="3588D58C">
      <w:pPr>
        <w:numPr>
          <w:ilvl w:val="0"/>
          <w:numId w:val="8"/>
        </w:numPr>
        <w:tabs>
          <w:tab w:val="left" w:pos="360"/>
        </w:tabs>
        <w:snapToGrid w:val="0"/>
        <w:spacing w:line="360" w:lineRule="auto"/>
        <w:ind w:left="357" w:hanging="357"/>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代理费</w:t>
      </w:r>
    </w:p>
    <w:p w14:paraId="5D752AD5">
      <w:pPr>
        <w:numPr>
          <w:ilvl w:val="1"/>
          <w:numId w:val="8"/>
        </w:numPr>
        <w:tabs>
          <w:tab w:val="left" w:pos="1080"/>
          <w:tab w:val="left" w:pos="2014"/>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收费对象、收费标准及缴纳时间见《投标人须知资料表》。由中标人支付的，中标人须一次性向采购代理机构缴纳代理费，投标报价应包含代理费用。</w:t>
      </w:r>
    </w:p>
    <w:p w14:paraId="72F91873">
      <w:pPr>
        <w:tabs>
          <w:tab w:val="left" w:pos="360"/>
          <w:tab w:val="left" w:pos="1080"/>
        </w:tabs>
        <w:snapToGrid w:val="0"/>
        <w:spacing w:line="360" w:lineRule="auto"/>
        <w:ind w:left="360"/>
        <w:rPr>
          <w:rFonts w:hint="eastAsia" w:ascii="宋体" w:hAnsi="宋体" w:eastAsia="宋体" w:cs="宋体"/>
          <w:color w:val="auto"/>
          <w:sz w:val="24"/>
          <w:highlight w:val="none"/>
        </w:rPr>
      </w:pPr>
    </w:p>
    <w:p w14:paraId="592BE345">
      <w:pPr>
        <w:spacing w:line="360" w:lineRule="auto"/>
        <w:jc w:val="center"/>
        <w:outlineLvl w:val="0"/>
        <w:rPr>
          <w:rFonts w:hint="eastAsia" w:ascii="宋体" w:hAnsi="宋体" w:eastAsia="宋体" w:cs="宋体"/>
          <w:b/>
          <w:color w:val="auto"/>
          <w:sz w:val="36"/>
          <w:szCs w:val="36"/>
          <w:highlight w:val="none"/>
        </w:rPr>
      </w:pPr>
      <w:bookmarkStart w:id="714" w:name="_Toc127151554"/>
      <w:bookmarkStart w:id="715" w:name="_Toc353873934"/>
      <w:bookmarkStart w:id="716" w:name="_Toc150480792"/>
      <w:bookmarkStart w:id="717" w:name="_Toc353825544"/>
      <w:bookmarkStart w:id="718" w:name="_Toc264969244"/>
      <w:bookmarkStart w:id="719" w:name="_Toc226965827"/>
      <w:bookmarkStart w:id="720" w:name="_Toc265228392"/>
      <w:bookmarkStart w:id="721" w:name="_Toc305158822"/>
      <w:bookmarkStart w:id="722" w:name="_Toc353873664"/>
      <w:bookmarkStart w:id="723" w:name="_Toc150774759"/>
      <w:bookmarkStart w:id="724" w:name="_Toc142311056"/>
      <w:bookmarkStart w:id="725" w:name="_Toc305158896"/>
      <w:bookmarkStart w:id="726" w:name="_Toc226337250"/>
      <w:r>
        <w:rPr>
          <w:rFonts w:hint="eastAsia" w:ascii="宋体" w:hAnsi="宋体" w:eastAsia="宋体" w:cs="宋体"/>
          <w:color w:val="auto"/>
          <w:sz w:val="24"/>
          <w:highlight w:val="none"/>
        </w:rPr>
        <w:br w:type="page"/>
      </w:r>
      <w:bookmarkStart w:id="727" w:name="_Toc99301421"/>
      <w:r>
        <w:rPr>
          <w:rFonts w:hint="eastAsia" w:ascii="宋体" w:hAnsi="宋体" w:eastAsia="宋体" w:cs="宋体"/>
          <w:b/>
          <w:color w:val="auto"/>
          <w:sz w:val="36"/>
          <w:szCs w:val="36"/>
          <w:highlight w:val="none"/>
        </w:rPr>
        <w:t xml:space="preserve">第三章   </w:t>
      </w:r>
      <w:bookmarkEnd w:id="714"/>
      <w:bookmarkEnd w:id="715"/>
      <w:bookmarkEnd w:id="716"/>
      <w:bookmarkEnd w:id="717"/>
      <w:bookmarkEnd w:id="718"/>
      <w:bookmarkEnd w:id="719"/>
      <w:bookmarkEnd w:id="720"/>
      <w:bookmarkEnd w:id="721"/>
      <w:bookmarkEnd w:id="722"/>
      <w:bookmarkEnd w:id="723"/>
      <w:bookmarkEnd w:id="724"/>
      <w:bookmarkEnd w:id="725"/>
      <w:bookmarkEnd w:id="726"/>
      <w:r>
        <w:rPr>
          <w:rFonts w:hint="eastAsia" w:ascii="宋体" w:hAnsi="宋体" w:eastAsia="宋体" w:cs="宋体"/>
          <w:b/>
          <w:color w:val="auto"/>
          <w:sz w:val="36"/>
          <w:szCs w:val="36"/>
          <w:highlight w:val="none"/>
        </w:rPr>
        <w:t>资格审查</w:t>
      </w:r>
      <w:bookmarkEnd w:id="727"/>
      <w:bookmarkStart w:id="728" w:name="_Toc487900382"/>
    </w:p>
    <w:p w14:paraId="03BAB2B3">
      <w:pPr>
        <w:tabs>
          <w:tab w:val="left" w:pos="360"/>
          <w:tab w:val="left" w:pos="900"/>
        </w:tabs>
        <w:snapToGrid w:val="0"/>
        <w:spacing w:line="360" w:lineRule="auto"/>
        <w:jc w:val="center"/>
        <w:outlineLvl w:val="1"/>
        <w:rPr>
          <w:rFonts w:hint="eastAsia" w:ascii="宋体" w:hAnsi="宋体" w:eastAsia="宋体" w:cs="宋体"/>
          <w:b/>
          <w:color w:val="auto"/>
          <w:sz w:val="24"/>
          <w:highlight w:val="none"/>
        </w:rPr>
      </w:pPr>
      <w:bookmarkStart w:id="729" w:name="_Toc99301422"/>
      <w:r>
        <w:rPr>
          <w:rFonts w:hint="eastAsia" w:ascii="宋体" w:hAnsi="宋体" w:eastAsia="宋体" w:cs="宋体"/>
          <w:b/>
          <w:color w:val="auto"/>
          <w:sz w:val="24"/>
          <w:highlight w:val="none"/>
        </w:rPr>
        <w:t>一、资格审查程序</w:t>
      </w:r>
      <w:bookmarkEnd w:id="729"/>
    </w:p>
    <w:p w14:paraId="2C662E55">
      <w:pPr>
        <w:numPr>
          <w:ilvl w:val="0"/>
          <w:numId w:val="11"/>
        </w:numPr>
        <w:tabs>
          <w:tab w:val="left" w:pos="426"/>
          <w:tab w:val="left" w:pos="851"/>
          <w:tab w:val="clear" w:pos="900"/>
        </w:tabs>
        <w:snapToGrid w:val="0"/>
        <w:spacing w:line="360" w:lineRule="auto"/>
        <w:ind w:left="426" w:hanging="426"/>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开标结束后，采购人或采购代理机构将根据《资格审查要求》中的规定，对投标人进行资格审查，并形成资格审查结果。</w:t>
      </w:r>
    </w:p>
    <w:p w14:paraId="670C3A49">
      <w:pPr>
        <w:numPr>
          <w:ilvl w:val="0"/>
          <w:numId w:val="11"/>
        </w:numPr>
        <w:tabs>
          <w:tab w:val="left" w:pos="426"/>
          <w:tab w:val="left" w:pos="851"/>
          <w:tab w:val="clear" w:pos="900"/>
        </w:tabs>
        <w:snapToGrid w:val="0"/>
        <w:spacing w:line="360" w:lineRule="auto"/>
        <w:ind w:left="426" w:hanging="426"/>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《资格审查要求》中对格式有要求的，除招标文件另有规定外，均为“实质性格式”文件。</w:t>
      </w:r>
    </w:p>
    <w:p w14:paraId="5B24E054">
      <w:pPr>
        <w:numPr>
          <w:ilvl w:val="0"/>
          <w:numId w:val="11"/>
        </w:numPr>
        <w:tabs>
          <w:tab w:val="left" w:pos="426"/>
          <w:tab w:val="left" w:pos="851"/>
          <w:tab w:val="clear" w:pos="900"/>
        </w:tabs>
        <w:snapToGrid w:val="0"/>
        <w:spacing w:line="360" w:lineRule="auto"/>
        <w:ind w:left="426" w:hanging="426"/>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投标人《资格证明文件》有任何一项不符合《资格审查要求》的，资格审查不合格，其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30BEE03E">
      <w:pPr>
        <w:numPr>
          <w:ilvl w:val="0"/>
          <w:numId w:val="11"/>
        </w:numPr>
        <w:tabs>
          <w:tab w:val="left" w:pos="426"/>
          <w:tab w:val="left" w:pos="851"/>
          <w:tab w:val="clear" w:pos="900"/>
        </w:tabs>
        <w:snapToGrid w:val="0"/>
        <w:spacing w:line="360" w:lineRule="auto"/>
        <w:ind w:left="426" w:hanging="426"/>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资格审查合格的投标人不足3家的，不进行评标。</w:t>
      </w:r>
    </w:p>
    <w:p w14:paraId="25AD6951">
      <w:pPr>
        <w:widowControl/>
        <w:jc w:val="left"/>
        <w:rPr>
          <w:rFonts w:hint="eastAsia" w:ascii="宋体" w:hAnsi="宋体" w:eastAsia="宋体" w:cs="宋体"/>
          <w:color w:val="auto"/>
          <w:sz w:val="24"/>
          <w:highlight w:val="none"/>
        </w:rPr>
      </w:pPr>
    </w:p>
    <w:p w14:paraId="08AE0426">
      <w:pPr>
        <w:tabs>
          <w:tab w:val="left" w:pos="360"/>
          <w:tab w:val="left" w:pos="900"/>
        </w:tabs>
        <w:snapToGrid w:val="0"/>
        <w:spacing w:line="360" w:lineRule="auto"/>
        <w:jc w:val="center"/>
        <w:outlineLvl w:val="1"/>
        <w:rPr>
          <w:rFonts w:hint="eastAsia" w:ascii="宋体" w:hAnsi="宋体" w:eastAsia="宋体" w:cs="宋体"/>
          <w:b/>
          <w:color w:val="auto"/>
          <w:sz w:val="24"/>
          <w:highlight w:val="none"/>
        </w:rPr>
      </w:pPr>
      <w:bookmarkStart w:id="730" w:name="_Hlk143693557"/>
      <w:r>
        <w:rPr>
          <w:rFonts w:hint="eastAsia" w:ascii="宋体" w:hAnsi="宋体" w:eastAsia="宋体" w:cs="宋体"/>
          <w:b/>
          <w:color w:val="auto"/>
          <w:sz w:val="24"/>
          <w:highlight w:val="none"/>
        </w:rPr>
        <w:t>二、资格审查要求</w:t>
      </w:r>
      <w:bookmarkEnd w:id="730"/>
    </w:p>
    <w:tbl>
      <w:tblPr>
        <w:tblStyle w:val="43"/>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4"/>
        <w:gridCol w:w="1934"/>
        <w:gridCol w:w="4705"/>
        <w:gridCol w:w="1599"/>
      </w:tblGrid>
      <w:tr w14:paraId="25644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24" w:type="dxa"/>
            <w:vAlign w:val="center"/>
          </w:tcPr>
          <w:p w14:paraId="16E1D05E">
            <w:pPr>
              <w:tabs>
                <w:tab w:val="left" w:pos="1080"/>
              </w:tabs>
              <w:snapToGrid w:val="0"/>
              <w:jc w:val="center"/>
              <w:rPr>
                <w:rFonts w:hint="eastAsia" w:ascii="宋体" w:hAnsi="宋体" w:eastAsia="宋体" w:cs="宋体"/>
                <w:b/>
                <w:color w:val="auto"/>
                <w:sz w:val="24"/>
                <w:highlight w:val="none"/>
              </w:rPr>
            </w:pPr>
            <w:bookmarkStart w:id="731" w:name="_Hlt487972895"/>
            <w:bookmarkEnd w:id="731"/>
            <w:bookmarkStart w:id="732" w:name="_Hlk143693460"/>
            <w:r>
              <w:rPr>
                <w:rFonts w:hint="eastAsia" w:ascii="宋体" w:hAnsi="宋体" w:eastAsia="宋体" w:cs="宋体"/>
                <w:b/>
                <w:color w:val="auto"/>
                <w:sz w:val="24"/>
                <w:highlight w:val="none"/>
              </w:rPr>
              <w:t>序号</w:t>
            </w:r>
          </w:p>
        </w:tc>
        <w:tc>
          <w:tcPr>
            <w:tcW w:w="1934" w:type="dxa"/>
            <w:vAlign w:val="center"/>
          </w:tcPr>
          <w:p w14:paraId="70036037">
            <w:pPr>
              <w:tabs>
                <w:tab w:val="left" w:pos="1080"/>
              </w:tabs>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审查因素</w:t>
            </w:r>
          </w:p>
        </w:tc>
        <w:tc>
          <w:tcPr>
            <w:tcW w:w="4705" w:type="dxa"/>
            <w:vAlign w:val="center"/>
          </w:tcPr>
          <w:p w14:paraId="4C8F156A">
            <w:pPr>
              <w:tabs>
                <w:tab w:val="left" w:pos="1080"/>
              </w:tabs>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审查内容</w:t>
            </w:r>
          </w:p>
        </w:tc>
        <w:tc>
          <w:tcPr>
            <w:tcW w:w="1599" w:type="dxa"/>
            <w:vAlign w:val="center"/>
          </w:tcPr>
          <w:p w14:paraId="28357207">
            <w:pPr>
              <w:tabs>
                <w:tab w:val="left" w:pos="1080"/>
              </w:tabs>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格式要求</w:t>
            </w:r>
          </w:p>
        </w:tc>
      </w:tr>
      <w:tr w14:paraId="12808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3F6B694">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934" w:type="dxa"/>
            <w:vAlign w:val="center"/>
          </w:tcPr>
          <w:p w14:paraId="7AC70E4C">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满足《中华人民共和国政府采购法》第二十二条规定</w:t>
            </w:r>
          </w:p>
        </w:tc>
        <w:tc>
          <w:tcPr>
            <w:tcW w:w="4705" w:type="dxa"/>
            <w:vAlign w:val="center"/>
          </w:tcPr>
          <w:p w14:paraId="417C8533">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具体规定见第一章《投标邀请》</w:t>
            </w:r>
          </w:p>
        </w:tc>
        <w:tc>
          <w:tcPr>
            <w:tcW w:w="1599" w:type="dxa"/>
            <w:vAlign w:val="center"/>
          </w:tcPr>
          <w:p w14:paraId="610EDEA6">
            <w:pPr>
              <w:tabs>
                <w:tab w:val="left" w:pos="1080"/>
              </w:tabs>
              <w:snapToGrid w:val="0"/>
              <w:rPr>
                <w:rFonts w:hint="eastAsia" w:ascii="宋体" w:hAnsi="宋体" w:eastAsia="宋体" w:cs="宋体"/>
                <w:color w:val="auto"/>
                <w:sz w:val="24"/>
                <w:highlight w:val="none"/>
              </w:rPr>
            </w:pPr>
          </w:p>
        </w:tc>
      </w:tr>
      <w:tr w14:paraId="453F1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66CC255F">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1934" w:type="dxa"/>
            <w:vAlign w:val="center"/>
          </w:tcPr>
          <w:p w14:paraId="40C2A1CD">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营业执照等证明文件</w:t>
            </w:r>
          </w:p>
        </w:tc>
        <w:tc>
          <w:tcPr>
            <w:tcW w:w="4705" w:type="dxa"/>
            <w:vAlign w:val="center"/>
          </w:tcPr>
          <w:p w14:paraId="05C60BB8">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投标人为企业（包括合伙企业）的，应提供有效的“营业执照”；</w:t>
            </w:r>
          </w:p>
          <w:p w14:paraId="19BC47F2">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投标人为事业单位的，应提供有效的“事业单位法人证书”；</w:t>
            </w:r>
          </w:p>
          <w:p w14:paraId="6720C7EF">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投标人是非企业机构的，应提供有效的“执业许可证”、“登记证书”等证明文件；</w:t>
            </w:r>
          </w:p>
          <w:p w14:paraId="6FA2FE6D">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投标人是个体工商户的，应提供有效的“个体工商户营业执照”；</w:t>
            </w:r>
          </w:p>
          <w:p w14:paraId="5B079D4C">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投标人是自然人的，应提供有效的自然人身份证明。</w:t>
            </w:r>
          </w:p>
          <w:p w14:paraId="4E2A56A2">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hint="eastAsia" w:ascii="宋体" w:hAnsi="宋体" w:eastAsia="宋体" w:cs="宋体"/>
                <w:iCs/>
                <w:color w:val="auto"/>
                <w:sz w:val="24"/>
                <w:highlight w:val="none"/>
              </w:rPr>
              <w:t>银行、保险、石油石化、电力、电信等行业的分支机构，可以提供上述</w:t>
            </w:r>
            <w:r>
              <w:rPr>
                <w:rFonts w:hint="eastAsia" w:ascii="宋体" w:hAnsi="宋体" w:eastAsia="宋体" w:cs="宋体"/>
                <w:color w:val="auto"/>
                <w:sz w:val="24"/>
                <w:highlight w:val="none"/>
              </w:rPr>
              <w:t>授权，也可以提供其所属法人/其他组织的有关文件或制度等能够证明授权其独立开展业务的证明材料。</w:t>
            </w:r>
          </w:p>
        </w:tc>
        <w:tc>
          <w:tcPr>
            <w:tcW w:w="1599" w:type="dxa"/>
            <w:vAlign w:val="center"/>
          </w:tcPr>
          <w:p w14:paraId="494A5F84">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提供证明文件的复印件加盖投标人公章</w:t>
            </w:r>
          </w:p>
        </w:tc>
      </w:tr>
      <w:tr w14:paraId="48DF5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21371FA5">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1934" w:type="dxa"/>
            <w:vAlign w:val="center"/>
          </w:tcPr>
          <w:p w14:paraId="5AC5CF49">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投标人资格声明书</w:t>
            </w:r>
          </w:p>
        </w:tc>
        <w:tc>
          <w:tcPr>
            <w:tcW w:w="4705" w:type="dxa"/>
            <w:vAlign w:val="center"/>
          </w:tcPr>
          <w:p w14:paraId="71AE1542">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提供了符合招标文件要求的《投标人资格声明书》。</w:t>
            </w:r>
          </w:p>
        </w:tc>
        <w:tc>
          <w:tcPr>
            <w:tcW w:w="1599" w:type="dxa"/>
            <w:vAlign w:val="center"/>
          </w:tcPr>
          <w:p w14:paraId="3E727AD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格式见《投标文件格式》</w:t>
            </w:r>
          </w:p>
        </w:tc>
      </w:tr>
      <w:tr w14:paraId="48775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3B71DEF3">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1934" w:type="dxa"/>
            <w:vAlign w:val="center"/>
          </w:tcPr>
          <w:p w14:paraId="1A82F369">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投标人信用记录</w:t>
            </w:r>
          </w:p>
        </w:tc>
        <w:tc>
          <w:tcPr>
            <w:tcW w:w="4705" w:type="dxa"/>
            <w:vAlign w:val="center"/>
          </w:tcPr>
          <w:p w14:paraId="2CC0C289">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查询渠道：信用中国网站和中国政府采购网（</w:t>
            </w:r>
            <w:r>
              <w:rPr>
                <w:rFonts w:hint="eastAsia" w:ascii="宋体" w:hAnsi="宋体" w:eastAsia="宋体" w:cs="宋体"/>
                <w:color w:val="auto"/>
                <w:highlight w:val="none"/>
              </w:rPr>
              <w:t>www.creditchina.gov.cn</w:t>
            </w:r>
            <w:r>
              <w:rPr>
                <w:rFonts w:hint="eastAsia" w:ascii="宋体" w:hAnsi="宋体" w:eastAsia="宋体" w:cs="宋体"/>
                <w:color w:val="auto"/>
                <w:sz w:val="24"/>
                <w:highlight w:val="none"/>
              </w:rPr>
              <w:t>、</w:t>
            </w:r>
            <w:r>
              <w:rPr>
                <w:rFonts w:hint="eastAsia" w:ascii="宋体" w:hAnsi="宋体" w:eastAsia="宋体" w:cs="宋体"/>
                <w:color w:val="auto"/>
                <w:highlight w:val="none"/>
              </w:rPr>
              <w:t>www.ccgp.gov.cn</w:t>
            </w:r>
            <w:r>
              <w:rPr>
                <w:rFonts w:hint="eastAsia" w:ascii="宋体" w:hAnsi="宋体" w:eastAsia="宋体" w:cs="宋体"/>
                <w:color w:val="auto"/>
                <w:sz w:val="24"/>
                <w:highlight w:val="none"/>
              </w:rPr>
              <w:t>）；</w:t>
            </w:r>
          </w:p>
          <w:p w14:paraId="79F3CEDE">
            <w:pPr>
              <w:tabs>
                <w:tab w:val="left" w:pos="900"/>
                <w:tab w:val="left" w:pos="19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截止时点：投标截止时间以后、资格审查阶段采购人或采购代理机构的实际查询时间；</w:t>
            </w:r>
          </w:p>
          <w:p w14:paraId="19541755">
            <w:pPr>
              <w:tabs>
                <w:tab w:val="left" w:pos="900"/>
                <w:tab w:val="left" w:pos="19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信用信息查询记录和证据留存具体方式：查询结果网页打印页作为查询记录和证据，与其他采购文件一并保存；</w:t>
            </w:r>
          </w:p>
          <w:p w14:paraId="4A0FD4F2">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信用信息的使用原则：经认定的被列入失信被执行人、重大税收违法案件当事人名单、政府采购严重违法失信行为记录名单的投标人，其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。联合体形式投标的，联合体成员存在不良信用记录，视同联合体存在不良信用记录。</w:t>
            </w:r>
          </w:p>
        </w:tc>
        <w:tc>
          <w:tcPr>
            <w:tcW w:w="1599" w:type="dxa"/>
            <w:vAlign w:val="center"/>
          </w:tcPr>
          <w:p w14:paraId="5C69232D">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无须投标人提供，由采购人或采购代理机构查询。</w:t>
            </w:r>
          </w:p>
        </w:tc>
      </w:tr>
      <w:tr w14:paraId="15536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25846655">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1934" w:type="dxa"/>
            <w:vAlign w:val="center"/>
          </w:tcPr>
          <w:p w14:paraId="6356A038">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法律、行政法规规定的其他条件</w:t>
            </w:r>
          </w:p>
        </w:tc>
        <w:tc>
          <w:tcPr>
            <w:tcW w:w="4705" w:type="dxa"/>
            <w:vAlign w:val="center"/>
          </w:tcPr>
          <w:p w14:paraId="0D4D804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法律、行政法规规定的其他条件</w:t>
            </w:r>
          </w:p>
        </w:tc>
        <w:tc>
          <w:tcPr>
            <w:tcW w:w="1599" w:type="dxa"/>
            <w:vAlign w:val="center"/>
          </w:tcPr>
          <w:p w14:paraId="713EE7E6">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r>
      <w:tr w14:paraId="58B5C0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3BA456C7">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934" w:type="dxa"/>
            <w:vAlign w:val="center"/>
          </w:tcPr>
          <w:p w14:paraId="2AA1E4F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落实政府采购政策需满足的资格要求</w:t>
            </w:r>
          </w:p>
        </w:tc>
        <w:tc>
          <w:tcPr>
            <w:tcW w:w="4705" w:type="dxa"/>
            <w:vAlign w:val="center"/>
          </w:tcPr>
          <w:p w14:paraId="1FD994F3">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具体要求见第一章《投标邀请》</w:t>
            </w:r>
          </w:p>
        </w:tc>
        <w:tc>
          <w:tcPr>
            <w:tcW w:w="1599" w:type="dxa"/>
            <w:vAlign w:val="center"/>
          </w:tcPr>
          <w:p w14:paraId="7933F11C">
            <w:pPr>
              <w:tabs>
                <w:tab w:val="left" w:pos="1080"/>
              </w:tabs>
              <w:snapToGrid w:val="0"/>
              <w:rPr>
                <w:rFonts w:hint="eastAsia" w:ascii="宋体" w:hAnsi="宋体" w:eastAsia="宋体" w:cs="宋体"/>
                <w:color w:val="auto"/>
                <w:sz w:val="24"/>
                <w:highlight w:val="none"/>
              </w:rPr>
            </w:pPr>
          </w:p>
        </w:tc>
      </w:tr>
      <w:tr w14:paraId="54D77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4F9E1612">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1934" w:type="dxa"/>
            <w:vAlign w:val="center"/>
          </w:tcPr>
          <w:p w14:paraId="7EC185C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中小企业政策证明文件</w:t>
            </w:r>
          </w:p>
        </w:tc>
        <w:tc>
          <w:tcPr>
            <w:tcW w:w="4705" w:type="dxa"/>
            <w:vAlign w:val="center"/>
          </w:tcPr>
          <w:p w14:paraId="613724CC">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具体要求见第一章《投标邀请》</w:t>
            </w:r>
          </w:p>
        </w:tc>
        <w:tc>
          <w:tcPr>
            <w:tcW w:w="1599" w:type="dxa"/>
            <w:vAlign w:val="center"/>
          </w:tcPr>
          <w:p w14:paraId="1B8B94C8">
            <w:pPr>
              <w:tabs>
                <w:tab w:val="left" w:pos="1080"/>
              </w:tabs>
              <w:snapToGrid w:val="0"/>
              <w:rPr>
                <w:rFonts w:hint="eastAsia" w:ascii="宋体" w:hAnsi="宋体" w:eastAsia="宋体" w:cs="宋体"/>
                <w:color w:val="auto"/>
                <w:sz w:val="24"/>
                <w:highlight w:val="none"/>
              </w:rPr>
            </w:pPr>
          </w:p>
        </w:tc>
      </w:tr>
      <w:tr w14:paraId="5217D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69966745">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2-1-1</w:t>
            </w:r>
          </w:p>
        </w:tc>
        <w:tc>
          <w:tcPr>
            <w:tcW w:w="1934" w:type="dxa"/>
            <w:vAlign w:val="center"/>
          </w:tcPr>
          <w:p w14:paraId="4A04ABB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中小企业证明文件</w:t>
            </w:r>
          </w:p>
        </w:tc>
        <w:tc>
          <w:tcPr>
            <w:tcW w:w="4705" w:type="dxa"/>
            <w:vAlign w:val="center"/>
          </w:tcPr>
          <w:p w14:paraId="303C69AB">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当本项目（包）涉及预留份额专门面向中小企业采购，此时建议在《资格证明文件》中提供。</w:t>
            </w:r>
          </w:p>
          <w:p w14:paraId="18AE84F6">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1、投标人单独投标的，应提供《中小企业声明函》或《残疾人福利性单位声明函》或由省级以上监狱管理局、戒毒管理局（含新疆生产建设兵团）出具的属于监狱企业的证明文件。</w:t>
            </w:r>
          </w:p>
          <w:p w14:paraId="7A2FA1E9">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106371F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格式见《投标文件格式》</w:t>
            </w:r>
          </w:p>
        </w:tc>
      </w:tr>
      <w:tr w14:paraId="1B5DA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769AE23B">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2-1-2</w:t>
            </w:r>
          </w:p>
        </w:tc>
        <w:tc>
          <w:tcPr>
            <w:tcW w:w="1934" w:type="dxa"/>
            <w:vAlign w:val="center"/>
          </w:tcPr>
          <w:p w14:paraId="2EE5E9FF">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拟分包情况说明及分包意向协议</w:t>
            </w:r>
          </w:p>
        </w:tc>
        <w:tc>
          <w:tcPr>
            <w:tcW w:w="4705" w:type="dxa"/>
            <w:vAlign w:val="center"/>
          </w:tcPr>
          <w:p w14:paraId="454E9927">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如本项目（包）要求通过分包措施预留部分采购份额面向中小企业采购、且投标人因落实政府采购政策拟进行分包的，必须提供；否则无须提供。</w:t>
            </w:r>
          </w:p>
          <w:p w14:paraId="73564BE0">
            <w:pPr>
              <w:tabs>
                <w:tab w:val="left" w:pos="1080"/>
              </w:tabs>
              <w:snapToGrid w:val="0"/>
              <w:spacing w:line="360" w:lineRule="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50A9C0F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格式见《投标文件格式》</w:t>
            </w:r>
          </w:p>
        </w:tc>
      </w:tr>
      <w:tr w14:paraId="08953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735F6BB0">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1934" w:type="dxa"/>
            <w:vAlign w:val="center"/>
          </w:tcPr>
          <w:p w14:paraId="2EB32E35">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其它落实政府采购政策的资格要求</w:t>
            </w:r>
          </w:p>
        </w:tc>
        <w:tc>
          <w:tcPr>
            <w:tcW w:w="4705" w:type="dxa"/>
            <w:vAlign w:val="center"/>
          </w:tcPr>
          <w:p w14:paraId="2B00770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如有，见第一章《投标邀请》</w:t>
            </w:r>
          </w:p>
        </w:tc>
        <w:tc>
          <w:tcPr>
            <w:tcW w:w="1599" w:type="dxa"/>
            <w:vAlign w:val="center"/>
          </w:tcPr>
          <w:p w14:paraId="4BE418B8">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提供证明文件的复印件加盖投标人公章</w:t>
            </w:r>
          </w:p>
        </w:tc>
      </w:tr>
      <w:tr w14:paraId="229CA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EE085E6">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934" w:type="dxa"/>
            <w:vAlign w:val="center"/>
          </w:tcPr>
          <w:p w14:paraId="667D9FD8">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本项目的特定资格要求</w:t>
            </w:r>
          </w:p>
        </w:tc>
        <w:tc>
          <w:tcPr>
            <w:tcW w:w="4705" w:type="dxa"/>
            <w:vAlign w:val="center"/>
          </w:tcPr>
          <w:p w14:paraId="7C6A12C2">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如有，见第一章《投标邀请》</w:t>
            </w:r>
          </w:p>
        </w:tc>
        <w:tc>
          <w:tcPr>
            <w:tcW w:w="1599" w:type="dxa"/>
            <w:vAlign w:val="center"/>
          </w:tcPr>
          <w:p w14:paraId="0C5E8EE5">
            <w:pPr>
              <w:tabs>
                <w:tab w:val="left" w:pos="1080"/>
              </w:tabs>
              <w:snapToGrid w:val="0"/>
              <w:rPr>
                <w:rFonts w:hint="eastAsia" w:ascii="宋体" w:hAnsi="宋体" w:eastAsia="宋体" w:cs="宋体"/>
                <w:color w:val="auto"/>
                <w:sz w:val="24"/>
                <w:highlight w:val="none"/>
              </w:rPr>
            </w:pPr>
          </w:p>
        </w:tc>
      </w:tr>
      <w:tr w14:paraId="25554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6F02CB7A">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1934" w:type="dxa"/>
            <w:vAlign w:val="center"/>
          </w:tcPr>
          <w:p w14:paraId="5944FF94">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本项目对于联合体的要求</w:t>
            </w:r>
          </w:p>
        </w:tc>
        <w:tc>
          <w:tcPr>
            <w:tcW w:w="4705" w:type="dxa"/>
            <w:vAlign w:val="center"/>
          </w:tcPr>
          <w:p w14:paraId="470DBF23">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756A6A8B">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2、联合体各成员单位均须提供本表中序号1-1、1-2的证明文件。联合体各成员单位均应满足本表3-2项规定。</w:t>
            </w:r>
          </w:p>
          <w:p w14:paraId="0E86459E">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3、本表序号3-3项规定的其他特定资格要求中的每一小项要求，联合体各方中至少应当有一方符合本表中其他资格要求并提供证明文件。</w:t>
            </w:r>
          </w:p>
          <w:p w14:paraId="50298042">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4、联合体中有同类资质的供应商按照联合体分工承担相同工作的，应当按照资质等级较低的供应商确定资质等级。</w:t>
            </w:r>
          </w:p>
          <w:p w14:paraId="632A5737">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5、以联合体形式参加政府采购活动的，联合体各方不得再单独参加或者与其他供应商另外组成联合体参加同一合同项下的政府采购活动。</w:t>
            </w:r>
          </w:p>
          <w:p w14:paraId="6A60C0C1">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6、若联合体中任一成员单位中途退出，则该联合体的</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1CCF9BE9">
            <w:pPr>
              <w:tabs>
                <w:tab w:val="left" w:pos="1080"/>
              </w:tabs>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7、本项目不接受联合体投标时，投标人不得为联合体。</w:t>
            </w:r>
          </w:p>
        </w:tc>
        <w:tc>
          <w:tcPr>
            <w:tcW w:w="1599" w:type="dxa"/>
            <w:vAlign w:val="center"/>
          </w:tcPr>
          <w:p w14:paraId="7E6B44A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提供《联合协议》原件</w:t>
            </w:r>
          </w:p>
          <w:p w14:paraId="164D0F6B">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格式见《投标文件格式》</w:t>
            </w:r>
          </w:p>
        </w:tc>
      </w:tr>
      <w:tr w14:paraId="25BAE5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33C5604">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1934" w:type="dxa"/>
            <w:vAlign w:val="center"/>
          </w:tcPr>
          <w:p w14:paraId="4CBCBB7B">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政府购买服务承接主体的要求</w:t>
            </w:r>
          </w:p>
        </w:tc>
        <w:tc>
          <w:tcPr>
            <w:tcW w:w="4705" w:type="dxa"/>
            <w:vAlign w:val="center"/>
          </w:tcPr>
          <w:p w14:paraId="7F714A53">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如本项目属于政府购买服务，投标人不属于公益一类事业单位、使用事业编制且由财政拨款保障的群团组织。</w:t>
            </w:r>
          </w:p>
        </w:tc>
        <w:tc>
          <w:tcPr>
            <w:tcW w:w="1599" w:type="dxa"/>
            <w:vAlign w:val="center"/>
          </w:tcPr>
          <w:p w14:paraId="383D60E4">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格式见《投标文件格式》“1-2 投标人资格声明书”</w:t>
            </w:r>
          </w:p>
        </w:tc>
      </w:tr>
      <w:tr w14:paraId="5D64A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24" w:type="dxa"/>
            <w:vAlign w:val="center"/>
          </w:tcPr>
          <w:p w14:paraId="0E0B83FC">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1934" w:type="dxa"/>
            <w:vAlign w:val="center"/>
          </w:tcPr>
          <w:p w14:paraId="6AD3209A">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其他特定资格要求</w:t>
            </w:r>
          </w:p>
        </w:tc>
        <w:tc>
          <w:tcPr>
            <w:tcW w:w="4705" w:type="dxa"/>
            <w:vAlign w:val="center"/>
          </w:tcPr>
          <w:p w14:paraId="4096ADC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如有，见第一章《投标邀请》</w:t>
            </w:r>
          </w:p>
          <w:p w14:paraId="6F95929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注：如联合体中有同类资质的供应商按照联合体分工承担相同工作的，均应当提供资质证书复印件。</w:t>
            </w:r>
          </w:p>
        </w:tc>
        <w:tc>
          <w:tcPr>
            <w:tcW w:w="1599" w:type="dxa"/>
            <w:vAlign w:val="center"/>
          </w:tcPr>
          <w:p w14:paraId="5826A3BE">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提供证明文件加盖投标人公章</w:t>
            </w:r>
          </w:p>
        </w:tc>
      </w:tr>
      <w:tr w14:paraId="6E621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78CF8980">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934" w:type="dxa"/>
            <w:vAlign w:val="center"/>
          </w:tcPr>
          <w:p w14:paraId="4CDAEFA8">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tc>
        <w:tc>
          <w:tcPr>
            <w:tcW w:w="4705" w:type="dxa"/>
            <w:vAlign w:val="center"/>
          </w:tcPr>
          <w:p w14:paraId="0628D920">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按照招标文件的规定提交投标保证金。</w:t>
            </w:r>
          </w:p>
        </w:tc>
        <w:tc>
          <w:tcPr>
            <w:tcW w:w="1599" w:type="dxa"/>
            <w:vAlign w:val="center"/>
          </w:tcPr>
          <w:p w14:paraId="681E52FA">
            <w:pPr>
              <w:tabs>
                <w:tab w:val="left" w:pos="1080"/>
              </w:tabs>
              <w:snapToGrid w:val="0"/>
              <w:rPr>
                <w:rFonts w:hint="eastAsia" w:ascii="宋体" w:hAnsi="宋体" w:eastAsia="宋体" w:cs="宋体"/>
                <w:color w:val="auto"/>
                <w:sz w:val="24"/>
                <w:highlight w:val="none"/>
              </w:rPr>
            </w:pPr>
          </w:p>
        </w:tc>
      </w:tr>
      <w:tr w14:paraId="1EBA8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450192EE">
            <w:pPr>
              <w:tabs>
                <w:tab w:val="left" w:pos="1080"/>
              </w:tabs>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934" w:type="dxa"/>
            <w:vAlign w:val="center"/>
          </w:tcPr>
          <w:p w14:paraId="686E7D37">
            <w:pPr>
              <w:tabs>
                <w:tab w:val="left" w:pos="1080"/>
              </w:tabs>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获取招标文件</w:t>
            </w:r>
          </w:p>
        </w:tc>
        <w:tc>
          <w:tcPr>
            <w:tcW w:w="4705" w:type="dxa"/>
            <w:vAlign w:val="center"/>
          </w:tcPr>
          <w:p w14:paraId="71C68F21">
            <w:pPr>
              <w:tabs>
                <w:tab w:val="left" w:pos="1080"/>
              </w:tabs>
              <w:snapToGrid w:val="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在规定期限内通过北京市政府采购电子交易平台获取所参与包的招标文件。</w:t>
            </w:r>
          </w:p>
          <w:p w14:paraId="696DD142">
            <w:pPr>
              <w:tabs>
                <w:tab w:val="left" w:pos="1080"/>
              </w:tabs>
              <w:snapToGrid w:val="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注：如本项目接受联合体，且供应商为联合体时，联合体中任一成员获取文件即视为满足要求。</w:t>
            </w:r>
          </w:p>
        </w:tc>
        <w:tc>
          <w:tcPr>
            <w:tcW w:w="1599" w:type="dxa"/>
            <w:vAlign w:val="center"/>
          </w:tcPr>
          <w:p w14:paraId="3501BCF3">
            <w:pPr>
              <w:tabs>
                <w:tab w:val="left" w:pos="1080"/>
              </w:tabs>
              <w:snapToGrid w:val="0"/>
              <w:rPr>
                <w:rFonts w:hint="eastAsia" w:ascii="宋体" w:hAnsi="宋体" w:eastAsia="宋体" w:cs="宋体"/>
                <w:color w:val="auto"/>
                <w:sz w:val="24"/>
                <w:highlight w:val="none"/>
              </w:rPr>
            </w:pPr>
          </w:p>
        </w:tc>
      </w:t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8"/>
      <w:bookmarkEnd w:id="732"/>
    </w:tbl>
    <w:p w14:paraId="74BF1182">
      <w:pPr>
        <w:widowControl/>
        <w:jc w:val="left"/>
        <w:rPr>
          <w:rFonts w:hint="eastAsia" w:ascii="宋体" w:hAnsi="宋体" w:eastAsia="宋体" w:cs="宋体"/>
          <w:color w:val="auto"/>
          <w:sz w:val="24"/>
          <w:highlight w:val="none"/>
        </w:rPr>
      </w:pPr>
      <w:bookmarkStart w:id="733" w:name="_Hlt522424701"/>
      <w:bookmarkEnd w:id="733"/>
      <w:bookmarkStart w:id="734" w:name="_Hlt487900425"/>
      <w:bookmarkEnd w:id="734"/>
      <w:bookmarkStart w:id="735" w:name="_Toc353825550"/>
      <w:bookmarkStart w:id="736" w:name="_Toc127151779"/>
      <w:bookmarkStart w:id="737" w:name="_Toc226965858"/>
      <w:bookmarkStart w:id="738" w:name="_Toc127161490"/>
      <w:bookmarkStart w:id="739" w:name="_Toc353873940"/>
      <w:r>
        <w:rPr>
          <w:rFonts w:hint="eastAsia" w:ascii="宋体" w:hAnsi="宋体" w:eastAsia="宋体" w:cs="宋体"/>
          <w:color w:val="auto"/>
          <w:sz w:val="24"/>
          <w:highlight w:val="none"/>
        </w:rPr>
        <w:br w:type="page"/>
      </w:r>
    </w:p>
    <w:p w14:paraId="610FAAC0">
      <w:pPr>
        <w:spacing w:line="360" w:lineRule="auto"/>
        <w:jc w:val="center"/>
        <w:outlineLvl w:val="0"/>
        <w:rPr>
          <w:rFonts w:hint="eastAsia" w:ascii="宋体" w:hAnsi="宋体" w:eastAsia="宋体" w:cs="宋体"/>
          <w:b/>
          <w:color w:val="auto"/>
          <w:sz w:val="36"/>
          <w:szCs w:val="36"/>
          <w:highlight w:val="none"/>
        </w:rPr>
      </w:pPr>
      <w:bookmarkStart w:id="740" w:name="_Toc99301423"/>
      <w:r>
        <w:rPr>
          <w:rFonts w:hint="eastAsia" w:ascii="宋体" w:hAnsi="宋体" w:eastAsia="宋体" w:cs="宋体"/>
          <w:b/>
          <w:color w:val="auto"/>
          <w:sz w:val="36"/>
          <w:szCs w:val="36"/>
          <w:highlight w:val="none"/>
        </w:rPr>
        <w:t xml:space="preserve">第四章   </w:t>
      </w:r>
      <w:bookmarkEnd w:id="735"/>
      <w:bookmarkEnd w:id="736"/>
      <w:bookmarkEnd w:id="737"/>
      <w:bookmarkEnd w:id="738"/>
      <w:bookmarkEnd w:id="739"/>
      <w:bookmarkStart w:id="741" w:name="_Hlt164229061"/>
      <w:bookmarkEnd w:id="741"/>
      <w:r>
        <w:rPr>
          <w:rFonts w:hint="eastAsia" w:ascii="宋体" w:hAnsi="宋体" w:eastAsia="宋体" w:cs="宋体"/>
          <w:b/>
          <w:color w:val="auto"/>
          <w:sz w:val="36"/>
          <w:szCs w:val="36"/>
          <w:highlight w:val="none"/>
        </w:rPr>
        <w:t>评标程序、评标方法和评标标准</w:t>
      </w:r>
      <w:bookmarkEnd w:id="740"/>
    </w:p>
    <w:p w14:paraId="311671C6">
      <w:pPr>
        <w:tabs>
          <w:tab w:val="left" w:pos="360"/>
          <w:tab w:val="left" w:pos="900"/>
        </w:tabs>
        <w:snapToGrid w:val="0"/>
        <w:spacing w:line="360" w:lineRule="auto"/>
        <w:jc w:val="center"/>
        <w:outlineLvl w:val="1"/>
        <w:rPr>
          <w:rFonts w:hint="eastAsia" w:ascii="宋体" w:hAnsi="宋体" w:eastAsia="宋体" w:cs="宋体"/>
          <w:b/>
          <w:color w:val="auto"/>
          <w:highlight w:val="none"/>
        </w:rPr>
      </w:pPr>
      <w:r>
        <w:rPr>
          <w:rFonts w:hint="eastAsia" w:ascii="宋体" w:hAnsi="宋体" w:eastAsia="宋体" w:cs="宋体"/>
          <w:b/>
          <w:color w:val="auto"/>
          <w:sz w:val="24"/>
          <w:highlight w:val="none"/>
        </w:rPr>
        <w:t>一、评标方法</w:t>
      </w:r>
    </w:p>
    <w:p w14:paraId="45179398">
      <w:pPr>
        <w:numPr>
          <w:ilvl w:val="0"/>
          <w:numId w:val="12"/>
        </w:numPr>
        <w:tabs>
          <w:tab w:val="left" w:pos="360"/>
        </w:tabs>
        <w:snapToGrid w:val="0"/>
        <w:spacing w:line="360" w:lineRule="auto"/>
        <w:outlineLvl w:val="1"/>
        <w:rPr>
          <w:rFonts w:hint="eastAsia" w:ascii="宋体" w:hAnsi="宋体" w:eastAsia="宋体" w:cs="宋体"/>
          <w:color w:val="auto"/>
          <w:sz w:val="24"/>
          <w:highlight w:val="none"/>
        </w:rPr>
      </w:pPr>
      <w:bookmarkStart w:id="742" w:name="_Toc151193783"/>
      <w:bookmarkStart w:id="743" w:name="_Toc264969231"/>
      <w:bookmarkStart w:id="744" w:name="_Toc127161455"/>
      <w:bookmarkStart w:id="745" w:name="_Toc305158809"/>
      <w:bookmarkStart w:id="746" w:name="_Toc151193711"/>
      <w:bookmarkStart w:id="747" w:name="_Toc150480779"/>
      <w:bookmarkStart w:id="748" w:name="_Toc226965731"/>
      <w:bookmarkStart w:id="749" w:name="_Toc265228379"/>
      <w:bookmarkStart w:id="750" w:name="_Toc127151742"/>
      <w:bookmarkStart w:id="751" w:name="_Toc150774746"/>
      <w:bookmarkStart w:id="752" w:name="_Toc142311043"/>
      <w:bookmarkStart w:id="753" w:name="_Toc151193929"/>
      <w:bookmarkStart w:id="754" w:name="_Toc150509292"/>
      <w:bookmarkStart w:id="755" w:name="_Toc151190168"/>
      <w:bookmarkStart w:id="756" w:name="_Toc151193855"/>
      <w:bookmarkStart w:id="757" w:name="_Toc127151541"/>
      <w:bookmarkStart w:id="758" w:name="_Toc226309785"/>
      <w:bookmarkStart w:id="759" w:name="_Toc226337237"/>
      <w:bookmarkStart w:id="760" w:name="_Toc164229382"/>
      <w:bookmarkStart w:id="761" w:name="_Toc195842906"/>
      <w:bookmarkStart w:id="762" w:name="_Toc150774641"/>
      <w:bookmarkStart w:id="763" w:name="_Toc164608810"/>
      <w:bookmarkStart w:id="764" w:name="_Toc164351635"/>
      <w:bookmarkStart w:id="765" w:name="_Toc164608655"/>
      <w:bookmarkStart w:id="766" w:name="_Toc226965814"/>
      <w:bookmarkStart w:id="767" w:name="_Toc151193639"/>
      <w:bookmarkStart w:id="768" w:name="_Toc149720834"/>
      <w:bookmarkStart w:id="769" w:name="_Toc305158883"/>
      <w:bookmarkStart w:id="770" w:name="_Toc164229236"/>
      <w:bookmarkStart w:id="771" w:name="_Toc353825551"/>
      <w:bookmarkStart w:id="772" w:name="_Toc353873941"/>
      <w:bookmarkStart w:id="773" w:name="_Toc353873665"/>
      <w:bookmarkStart w:id="774" w:name="_Toc150774760"/>
      <w:bookmarkStart w:id="775" w:name="_Toc195842920"/>
      <w:bookmarkStart w:id="776" w:name="_Toc127151555"/>
      <w:bookmarkStart w:id="777" w:name="_Toc226965828"/>
      <w:bookmarkStart w:id="778" w:name="_Toc264969245"/>
      <w:bookmarkStart w:id="779" w:name="_Toc305158897"/>
      <w:bookmarkStart w:id="780" w:name="_Toc353825545"/>
      <w:bookmarkStart w:id="781" w:name="_Toc353873935"/>
      <w:bookmarkStart w:id="782" w:name="_Toc142311057"/>
      <w:bookmarkStart w:id="783" w:name="_Toc305158823"/>
      <w:bookmarkStart w:id="784" w:name="_Toc265228393"/>
      <w:bookmarkStart w:id="785" w:name="_Toc226337251"/>
      <w:bookmarkStart w:id="786" w:name="_Toc150480793"/>
      <w:r>
        <w:rPr>
          <w:rFonts w:hint="eastAsia" w:ascii="宋体" w:hAnsi="宋体" w:eastAsia="宋体" w:cs="宋体"/>
          <w:color w:val="auto"/>
          <w:sz w:val="24"/>
          <w:highlight w:val="none"/>
        </w:rPr>
        <w:t>投标文件的符合性审查</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3485FFD1">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评标委员会对资格审查合格的投标人的投标文件进行符合性审查，以确定其是否满足招标文件的实质性要求。</w:t>
      </w:r>
      <w:bookmarkStart w:id="787" w:name="_Toc520356167"/>
    </w:p>
    <w:p w14:paraId="13B3C75A">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7"/>
      <w:r>
        <w:rPr>
          <w:rFonts w:hint="eastAsia" w:ascii="宋体" w:hAnsi="宋体" w:eastAsia="宋体" w:cs="宋体"/>
          <w:color w:val="auto"/>
          <w:sz w:val="24"/>
          <w:highlight w:val="none"/>
        </w:rPr>
        <w:t>要求的，</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2F373AD">
      <w:pPr>
        <w:tabs>
          <w:tab w:val="left" w:pos="900"/>
          <w:tab w:val="left" w:pos="1080"/>
          <w:tab w:val="left" w:pos="1589"/>
        </w:tabs>
        <w:snapToGrid w:val="0"/>
        <w:spacing w:line="360" w:lineRule="auto"/>
        <w:ind w:leftChars="-170" w:hanging="357" w:hangingChars="148"/>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符合性审查要求</w:t>
      </w:r>
    </w:p>
    <w:tbl>
      <w:tblPr>
        <w:tblStyle w:val="43"/>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769"/>
        <w:gridCol w:w="6561"/>
      </w:tblGrid>
      <w:tr w14:paraId="50E35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32" w:type="dxa"/>
            <w:shd w:val="clear" w:color="auto" w:fill="auto"/>
            <w:vAlign w:val="center"/>
          </w:tcPr>
          <w:p w14:paraId="00A9A598">
            <w:pPr>
              <w:widowControl/>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序号</w:t>
            </w:r>
          </w:p>
        </w:tc>
        <w:tc>
          <w:tcPr>
            <w:tcW w:w="1769" w:type="dxa"/>
            <w:shd w:val="clear" w:color="auto" w:fill="auto"/>
            <w:vAlign w:val="center"/>
          </w:tcPr>
          <w:p w14:paraId="07426182">
            <w:pPr>
              <w:widowControl/>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审查因素</w:t>
            </w:r>
          </w:p>
        </w:tc>
        <w:tc>
          <w:tcPr>
            <w:tcW w:w="6561" w:type="dxa"/>
            <w:shd w:val="clear" w:color="auto" w:fill="auto"/>
            <w:vAlign w:val="center"/>
          </w:tcPr>
          <w:p w14:paraId="18A36EEE">
            <w:pPr>
              <w:widowControl/>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审查内容</w:t>
            </w:r>
          </w:p>
        </w:tc>
      </w:tr>
      <w:tr w14:paraId="03920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3B8106A6">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769" w:type="dxa"/>
            <w:shd w:val="clear" w:color="auto" w:fill="auto"/>
            <w:vAlign w:val="center"/>
          </w:tcPr>
          <w:p w14:paraId="5FE8ED03">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授权委托书</w:t>
            </w:r>
          </w:p>
        </w:tc>
        <w:tc>
          <w:tcPr>
            <w:tcW w:w="6561" w:type="dxa"/>
            <w:shd w:val="clear" w:color="auto" w:fill="auto"/>
            <w:vAlign w:val="center"/>
          </w:tcPr>
          <w:p w14:paraId="05D97CB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按招标文件要求提供授权委托书；</w:t>
            </w:r>
          </w:p>
        </w:tc>
      </w:tr>
      <w:tr w14:paraId="1DA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13F60981">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1769" w:type="dxa"/>
            <w:shd w:val="clear" w:color="auto" w:fill="auto"/>
            <w:vAlign w:val="center"/>
          </w:tcPr>
          <w:p w14:paraId="60D766E3">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投标完整性</w:t>
            </w:r>
          </w:p>
        </w:tc>
        <w:tc>
          <w:tcPr>
            <w:tcW w:w="6561" w:type="dxa"/>
            <w:shd w:val="clear" w:color="auto" w:fill="auto"/>
            <w:vAlign w:val="center"/>
          </w:tcPr>
          <w:p w14:paraId="4293082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未将一个采购包中的内容拆分投标；</w:t>
            </w:r>
          </w:p>
        </w:tc>
      </w:tr>
      <w:tr w14:paraId="0487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26298B7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1769" w:type="dxa"/>
            <w:shd w:val="clear" w:color="auto" w:fill="auto"/>
            <w:vAlign w:val="center"/>
          </w:tcPr>
          <w:p w14:paraId="22D7548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投标报价</w:t>
            </w:r>
          </w:p>
        </w:tc>
        <w:tc>
          <w:tcPr>
            <w:tcW w:w="6561" w:type="dxa"/>
            <w:shd w:val="clear" w:color="auto" w:fill="auto"/>
            <w:vAlign w:val="center"/>
          </w:tcPr>
          <w:p w14:paraId="39D391A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投标报价未</w:t>
            </w:r>
            <w:r>
              <w:rPr>
                <w:rFonts w:hint="eastAsia" w:ascii="宋体" w:hAnsi="宋体" w:eastAsia="宋体" w:cs="宋体"/>
                <w:color w:val="auto"/>
                <w:sz w:val="24"/>
                <w:highlight w:val="none"/>
              </w:rPr>
              <w:t>超过招标文件中规定的项目/采购包预算金额或者项目/采购包最高限价</w:t>
            </w:r>
            <w:r>
              <w:rPr>
                <w:rFonts w:hint="eastAsia" w:ascii="宋体" w:hAnsi="宋体" w:eastAsia="宋体" w:cs="宋体"/>
                <w:color w:val="auto"/>
                <w:kern w:val="0"/>
                <w:sz w:val="24"/>
                <w:highlight w:val="none"/>
              </w:rPr>
              <w:t>；</w:t>
            </w:r>
          </w:p>
        </w:tc>
      </w:tr>
      <w:tr w14:paraId="47692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52D8B55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p>
        </w:tc>
        <w:tc>
          <w:tcPr>
            <w:tcW w:w="1769" w:type="dxa"/>
            <w:shd w:val="clear" w:color="auto" w:fill="auto"/>
            <w:vAlign w:val="center"/>
          </w:tcPr>
          <w:p w14:paraId="5EB0E932">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报价唯一性</w:t>
            </w:r>
          </w:p>
        </w:tc>
        <w:tc>
          <w:tcPr>
            <w:tcW w:w="6561" w:type="dxa"/>
            <w:shd w:val="clear" w:color="auto" w:fill="auto"/>
            <w:vAlign w:val="center"/>
          </w:tcPr>
          <w:p w14:paraId="43EF1E4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投标文件未</w:t>
            </w:r>
            <w:r>
              <w:rPr>
                <w:rFonts w:hint="eastAsia" w:ascii="宋体" w:hAnsi="宋体" w:eastAsia="宋体" w:cs="宋体"/>
                <w:color w:val="auto"/>
                <w:sz w:val="24"/>
                <w:highlight w:val="none"/>
              </w:rPr>
              <w:t>出现可选择性或可调整的报价（招标文件另有规定的除外）</w:t>
            </w:r>
            <w:r>
              <w:rPr>
                <w:rFonts w:hint="eastAsia" w:ascii="宋体" w:hAnsi="宋体" w:eastAsia="宋体" w:cs="宋体"/>
                <w:color w:val="auto"/>
                <w:kern w:val="0"/>
                <w:sz w:val="24"/>
                <w:highlight w:val="none"/>
              </w:rPr>
              <w:t>；</w:t>
            </w:r>
          </w:p>
        </w:tc>
      </w:tr>
      <w:tr w14:paraId="0C72F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2821971D">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p>
        </w:tc>
        <w:tc>
          <w:tcPr>
            <w:tcW w:w="1769" w:type="dxa"/>
            <w:shd w:val="clear" w:color="auto" w:fill="auto"/>
            <w:vAlign w:val="center"/>
          </w:tcPr>
          <w:p w14:paraId="2BAF0EA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投标有效期</w:t>
            </w:r>
          </w:p>
        </w:tc>
        <w:tc>
          <w:tcPr>
            <w:tcW w:w="6561" w:type="dxa"/>
            <w:shd w:val="clear" w:color="auto" w:fill="auto"/>
            <w:vAlign w:val="center"/>
          </w:tcPr>
          <w:p w14:paraId="75D1CB5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投标文件中承诺的投标有效期满足招标文件中载明的投标有效期的；</w:t>
            </w:r>
          </w:p>
        </w:tc>
      </w:tr>
      <w:tr w14:paraId="50A2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313CD213">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p>
        </w:tc>
        <w:tc>
          <w:tcPr>
            <w:tcW w:w="1769" w:type="dxa"/>
            <w:shd w:val="clear" w:color="auto" w:fill="auto"/>
            <w:vAlign w:val="center"/>
          </w:tcPr>
          <w:p w14:paraId="0553E717">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实质性格式</w:t>
            </w:r>
          </w:p>
        </w:tc>
        <w:tc>
          <w:tcPr>
            <w:tcW w:w="6561" w:type="dxa"/>
            <w:shd w:val="clear" w:color="auto" w:fill="auto"/>
            <w:vAlign w:val="center"/>
          </w:tcPr>
          <w:p w14:paraId="7ED51C11">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标记为“实质性格式”的文件均按招标文件要求提供且签署、盖章的；</w:t>
            </w:r>
          </w:p>
        </w:tc>
      </w:tr>
      <w:tr w14:paraId="32AA2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0DB910B7">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p>
        </w:tc>
        <w:tc>
          <w:tcPr>
            <w:tcW w:w="1769" w:type="dxa"/>
            <w:shd w:val="clear" w:color="auto" w:fill="auto"/>
            <w:vAlign w:val="center"/>
          </w:tcPr>
          <w:p w14:paraId="0FC2F62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★号条款响应</w:t>
            </w:r>
          </w:p>
        </w:tc>
        <w:tc>
          <w:tcPr>
            <w:tcW w:w="6561" w:type="dxa"/>
            <w:shd w:val="clear" w:color="auto" w:fill="auto"/>
            <w:vAlign w:val="center"/>
          </w:tcPr>
          <w:p w14:paraId="456AF0F1">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投标文件满足招标文件</w:t>
            </w:r>
            <w:r>
              <w:rPr>
                <w:rFonts w:hint="eastAsia" w:ascii="宋体" w:hAnsi="宋体" w:eastAsia="宋体" w:cs="宋体"/>
                <w:color w:val="auto"/>
                <w:sz w:val="24"/>
                <w:highlight w:val="none"/>
              </w:rPr>
              <w:t>第五章《采购需求》</w:t>
            </w:r>
            <w:r>
              <w:rPr>
                <w:rFonts w:hint="eastAsia" w:ascii="宋体" w:hAnsi="宋体" w:eastAsia="宋体" w:cs="宋体"/>
                <w:color w:val="auto"/>
                <w:kern w:val="0"/>
                <w:sz w:val="24"/>
                <w:highlight w:val="none"/>
              </w:rPr>
              <w:t>中★号条款要求的；</w:t>
            </w:r>
          </w:p>
        </w:tc>
      </w:tr>
      <w:tr w14:paraId="66D6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45205437">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p>
        </w:tc>
        <w:tc>
          <w:tcPr>
            <w:tcW w:w="1769" w:type="dxa"/>
            <w:shd w:val="clear" w:color="auto" w:fill="auto"/>
            <w:vAlign w:val="center"/>
          </w:tcPr>
          <w:p w14:paraId="044B9C5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拟分包情况说明（如有）</w:t>
            </w:r>
          </w:p>
        </w:tc>
        <w:tc>
          <w:tcPr>
            <w:tcW w:w="6561" w:type="dxa"/>
            <w:shd w:val="clear" w:color="auto" w:fill="auto"/>
            <w:vAlign w:val="center"/>
          </w:tcPr>
          <w:p w14:paraId="63B9B80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如本项目（包）非因“落实政府采购政策”亦允许分包，且供应商拟进行分包时，必须提供；否则无须提供；</w:t>
            </w:r>
          </w:p>
        </w:tc>
      </w:tr>
      <w:tr w14:paraId="21A77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5A8F881F">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p>
        </w:tc>
        <w:tc>
          <w:tcPr>
            <w:tcW w:w="1769" w:type="dxa"/>
            <w:shd w:val="clear" w:color="auto" w:fill="auto"/>
            <w:vAlign w:val="center"/>
          </w:tcPr>
          <w:p w14:paraId="4F65E6BA">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分包其他要求（如有）</w:t>
            </w:r>
          </w:p>
        </w:tc>
        <w:tc>
          <w:tcPr>
            <w:tcW w:w="6561" w:type="dxa"/>
            <w:shd w:val="clear" w:color="auto" w:fill="auto"/>
            <w:vAlign w:val="center"/>
          </w:tcPr>
          <w:p w14:paraId="135142C4">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分包履行的内容、金额或者比例未超出《投标人须知资料表》中的规定；</w:t>
            </w:r>
          </w:p>
          <w:p w14:paraId="2F7B20D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分包承担主体具备《投标人须知资料表》载明的资质条件且提供了资质证书复印件（如有）；</w:t>
            </w:r>
          </w:p>
        </w:tc>
      </w:tr>
      <w:tr w14:paraId="0F4E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319D3C15">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w:t>
            </w:r>
          </w:p>
        </w:tc>
        <w:tc>
          <w:tcPr>
            <w:tcW w:w="1769" w:type="dxa"/>
            <w:shd w:val="clear" w:color="auto" w:fill="auto"/>
            <w:vAlign w:val="center"/>
          </w:tcPr>
          <w:p w14:paraId="7816B18A">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报价的修正（如有）</w:t>
            </w:r>
          </w:p>
        </w:tc>
        <w:tc>
          <w:tcPr>
            <w:tcW w:w="6561" w:type="dxa"/>
            <w:shd w:val="clear" w:color="auto" w:fill="auto"/>
            <w:vAlign w:val="center"/>
          </w:tcPr>
          <w:p w14:paraId="19A5F904">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不涉及报价修正，或投标文件报价出现前后不一致时，投标人对修正后的报价予以确认；（如有）</w:t>
            </w:r>
          </w:p>
        </w:tc>
      </w:tr>
      <w:tr w14:paraId="66AAB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5C588EC9">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w:t>
            </w:r>
          </w:p>
        </w:tc>
        <w:tc>
          <w:tcPr>
            <w:tcW w:w="1769" w:type="dxa"/>
            <w:shd w:val="clear" w:color="auto" w:fill="auto"/>
            <w:vAlign w:val="center"/>
          </w:tcPr>
          <w:p w14:paraId="4C6A9DF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报价合理性</w:t>
            </w:r>
          </w:p>
        </w:tc>
        <w:tc>
          <w:tcPr>
            <w:tcW w:w="6561" w:type="dxa"/>
            <w:shd w:val="clear" w:color="auto" w:fill="auto"/>
            <w:vAlign w:val="center"/>
          </w:tcPr>
          <w:p w14:paraId="313C057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报价合理，或</w:t>
            </w:r>
            <w:r>
              <w:rPr>
                <w:rFonts w:hint="eastAsia" w:ascii="宋体" w:hAnsi="宋体" w:eastAsia="宋体" w:cs="宋体"/>
                <w:color w:val="auto"/>
                <w:sz w:val="24"/>
                <w:highlight w:val="none"/>
              </w:rPr>
              <w:t>投标人的报价明显低于其他通过符合性审查投标人的报价，有可能影响产品质量或者不能诚信履约的，能够应评标委员会要求在规定时间内证明其报价合理性的</w:t>
            </w:r>
            <w:r>
              <w:rPr>
                <w:rFonts w:hint="eastAsia" w:ascii="宋体" w:hAnsi="宋体" w:eastAsia="宋体" w:cs="宋体"/>
                <w:color w:val="auto"/>
                <w:kern w:val="0"/>
                <w:sz w:val="24"/>
                <w:highlight w:val="none"/>
              </w:rPr>
              <w:t>；</w:t>
            </w:r>
          </w:p>
        </w:tc>
      </w:tr>
      <w:tr w14:paraId="65223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3D692EDB">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w:t>
            </w:r>
          </w:p>
        </w:tc>
        <w:tc>
          <w:tcPr>
            <w:tcW w:w="1769" w:type="dxa"/>
            <w:shd w:val="clear" w:color="auto" w:fill="auto"/>
            <w:vAlign w:val="center"/>
          </w:tcPr>
          <w:p w14:paraId="073764D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进口产品</w:t>
            </w:r>
          </w:p>
          <w:p w14:paraId="732491C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（如有）</w:t>
            </w:r>
          </w:p>
        </w:tc>
        <w:tc>
          <w:tcPr>
            <w:tcW w:w="6561" w:type="dxa"/>
            <w:shd w:val="clear" w:color="auto" w:fill="auto"/>
            <w:vAlign w:val="center"/>
          </w:tcPr>
          <w:p w14:paraId="5CF95AE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招标文件不接受进口产品投标的内容时，投标人所投产品不含进口产品；</w:t>
            </w:r>
          </w:p>
        </w:tc>
      </w:tr>
      <w:tr w14:paraId="7F48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6D646FD0">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w:t>
            </w:r>
          </w:p>
        </w:tc>
        <w:tc>
          <w:tcPr>
            <w:tcW w:w="1769" w:type="dxa"/>
            <w:shd w:val="clear" w:color="auto" w:fill="auto"/>
            <w:vAlign w:val="center"/>
          </w:tcPr>
          <w:p w14:paraId="4122780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国家有关部门对投标人的投标产品有强制性规定或要求的</w:t>
            </w:r>
          </w:p>
        </w:tc>
        <w:tc>
          <w:tcPr>
            <w:tcW w:w="6561" w:type="dxa"/>
            <w:shd w:val="clear" w:color="auto" w:fill="auto"/>
            <w:vAlign w:val="center"/>
          </w:tcPr>
          <w:p w14:paraId="6263429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国家有关部门对投标人的投标产品有强制性规定或要求的（如相应技术、安全、节能和环保等），投标人的投标产品应符合相应规定或要求，并提供证明文件复印件：</w:t>
            </w:r>
          </w:p>
          <w:p w14:paraId="14FE6E7A">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1）采购的产品若属于《节能产品政府采购品目清单》范围中政府强制采购产品，则投标人所报产品必须获得国家确定的认证机构出具的、处于有效期之内的节能产品认证证书；</w:t>
            </w:r>
          </w:p>
          <w:p w14:paraId="7FE10D11">
            <w:pPr>
              <w:widowControl/>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sz w:val="24"/>
                <w:highlight w:val="none"/>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hint="eastAsia" w:ascii="宋体" w:hAnsi="宋体" w:eastAsia="宋体" w:cs="宋体"/>
                <w:color w:val="auto"/>
                <w:kern w:val="0"/>
                <w:sz w:val="24"/>
                <w:highlight w:val="none"/>
              </w:rPr>
              <w:t>公安部颁发的计算机信息系统安全专用产品销售许可证</w:t>
            </w:r>
            <w:r>
              <w:rPr>
                <w:rFonts w:hint="eastAsia" w:ascii="宋体" w:hAnsi="宋体" w:eastAsia="宋体" w:cs="宋体"/>
                <w:color w:val="auto"/>
                <w:sz w:val="24"/>
                <w:highlight w:val="none"/>
              </w:rPr>
              <w:t>，且在有效期内，亦视为符合要求）</w:t>
            </w:r>
          </w:p>
          <w:p w14:paraId="77BF41B4">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3）项目中涉及涂料、胶黏剂、油墨、清洗剂等挥发性有机物产品，且属于强制性标准的，供应商应执行符合本市和国家的VOCs 含量限制标准。</w:t>
            </w:r>
          </w:p>
        </w:tc>
      </w:tr>
      <w:tr w14:paraId="1C92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1E251E36">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w:t>
            </w:r>
          </w:p>
        </w:tc>
        <w:tc>
          <w:tcPr>
            <w:tcW w:w="1769" w:type="dxa"/>
            <w:shd w:val="clear" w:color="auto" w:fill="auto"/>
            <w:vAlign w:val="center"/>
          </w:tcPr>
          <w:p w14:paraId="1104B84A">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公平竞争</w:t>
            </w:r>
          </w:p>
        </w:tc>
        <w:tc>
          <w:tcPr>
            <w:tcW w:w="6561" w:type="dxa"/>
            <w:shd w:val="clear" w:color="auto" w:fill="auto"/>
            <w:vAlign w:val="center"/>
          </w:tcPr>
          <w:p w14:paraId="7D1EAAF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投标人遵循公平竞争的原则，不存在恶意串通，妨碍其他投标人的竞争行为，不存在损害采购人或者其他投标人的合法权益情形的；</w:t>
            </w:r>
          </w:p>
        </w:tc>
      </w:tr>
      <w:tr w14:paraId="71B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2905849C">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w:t>
            </w:r>
          </w:p>
        </w:tc>
        <w:tc>
          <w:tcPr>
            <w:tcW w:w="1769" w:type="dxa"/>
            <w:shd w:val="clear" w:color="auto" w:fill="auto"/>
            <w:vAlign w:val="center"/>
          </w:tcPr>
          <w:p w14:paraId="53BD2E9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串通投标</w:t>
            </w:r>
          </w:p>
        </w:tc>
        <w:tc>
          <w:tcPr>
            <w:tcW w:w="6561" w:type="dxa"/>
            <w:shd w:val="clear" w:color="auto" w:fill="auto"/>
            <w:vAlign w:val="center"/>
          </w:tcPr>
          <w:p w14:paraId="1BB10923">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06812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427ACC5D">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w:t>
            </w:r>
          </w:p>
        </w:tc>
        <w:tc>
          <w:tcPr>
            <w:tcW w:w="1769" w:type="dxa"/>
            <w:shd w:val="clear" w:color="auto" w:fill="auto"/>
            <w:vAlign w:val="center"/>
          </w:tcPr>
          <w:p w14:paraId="7BFED41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附加条件</w:t>
            </w:r>
          </w:p>
        </w:tc>
        <w:tc>
          <w:tcPr>
            <w:tcW w:w="6561" w:type="dxa"/>
            <w:shd w:val="clear" w:color="auto" w:fill="auto"/>
            <w:vAlign w:val="center"/>
          </w:tcPr>
          <w:p w14:paraId="7A1B5B0E">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投标文件未含有采购人不能接受的附加条件的；</w:t>
            </w:r>
          </w:p>
        </w:tc>
      </w:tr>
      <w:tr w14:paraId="30BE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shd w:val="clear" w:color="auto" w:fill="auto"/>
            <w:vAlign w:val="center"/>
          </w:tcPr>
          <w:p w14:paraId="24AB685B">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w:t>
            </w:r>
          </w:p>
        </w:tc>
        <w:tc>
          <w:tcPr>
            <w:tcW w:w="1769" w:type="dxa"/>
            <w:shd w:val="clear" w:color="auto" w:fill="auto"/>
            <w:vAlign w:val="center"/>
          </w:tcPr>
          <w:p w14:paraId="5ECF29D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其他无效情形</w:t>
            </w:r>
          </w:p>
        </w:tc>
        <w:tc>
          <w:tcPr>
            <w:tcW w:w="6561" w:type="dxa"/>
            <w:shd w:val="clear" w:color="auto" w:fill="auto"/>
            <w:vAlign w:val="center"/>
          </w:tcPr>
          <w:p w14:paraId="4C854BEA">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投标人、投标文件不存在不符合法律、法规和招标文件规定的其他无效情形。</w:t>
            </w:r>
          </w:p>
        </w:tc>
      </w:tr>
    </w:tbl>
    <w:p w14:paraId="09022AE6">
      <w:pPr>
        <w:numPr>
          <w:ilvl w:val="0"/>
          <w:numId w:val="13"/>
        </w:numPr>
        <w:tabs>
          <w:tab w:val="left" w:pos="1080"/>
          <w:tab w:val="left" w:pos="1589"/>
        </w:tabs>
        <w:snapToGrid w:val="0"/>
        <w:spacing w:line="360" w:lineRule="auto"/>
        <w:rPr>
          <w:rFonts w:hint="eastAsia" w:ascii="宋体" w:hAnsi="宋体" w:eastAsia="宋体" w:cs="宋体"/>
          <w:color w:val="auto"/>
          <w:sz w:val="24"/>
          <w:highlight w:val="none"/>
        </w:rPr>
        <w:sectPr>
          <w:headerReference r:id="rId14" w:type="first"/>
          <w:footerReference r:id="rId16" w:type="first"/>
          <w:headerReference r:id="rId13" w:type="even"/>
          <w:footerReference r:id="rId15" w:type="even"/>
          <w:pgSz w:w="11907" w:h="16840"/>
          <w:pgMar w:top="1418" w:right="1134" w:bottom="1418" w:left="1701" w:header="851" w:footer="851" w:gutter="0"/>
          <w:cols w:space="720" w:num="1"/>
          <w:docGrid w:linePitch="462" w:charSpace="0"/>
        </w:sectPr>
      </w:pPr>
    </w:p>
    <w:p w14:paraId="33346444">
      <w:pPr>
        <w:numPr>
          <w:ilvl w:val="0"/>
          <w:numId w:val="12"/>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投标文件有关事项的澄清或者说明</w:t>
      </w:r>
    </w:p>
    <w:p w14:paraId="7BF74CB5">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88" w:name="_Hlk144225607"/>
      <w:r>
        <w:rPr>
          <w:rFonts w:hint="eastAsia" w:ascii="宋体" w:hAnsi="宋体" w:eastAsia="宋体" w:cs="宋体"/>
          <w:color w:val="auto"/>
          <w:sz w:val="24"/>
          <w:szCs w:val="20"/>
          <w:highlight w:val="none"/>
        </w:rPr>
        <w:t>若投标人为事业单位或其他组织或分支机构，可为单位负责人</w:t>
      </w:r>
      <w:bookmarkEnd w:id="788"/>
      <w:r>
        <w:rPr>
          <w:rFonts w:hint="eastAsia" w:ascii="宋体" w:hAnsi="宋体" w:eastAsia="宋体" w:cs="宋体"/>
          <w:color w:val="auto"/>
          <w:sz w:val="24"/>
          <w:highlight w:val="none"/>
        </w:rPr>
        <w:t>）或其授权的代表签字。投标人的澄清、说明或者补正不得超出投标文件的范围或者改变投标文件的实质性内容。澄清文件将作为投标文件内容的一部分。</w:t>
      </w:r>
    </w:p>
    <w:p w14:paraId="5946AAF2">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eastAsia="宋体" w:cs="宋体"/>
          <w:b/>
          <w:color w:val="auto"/>
          <w:sz w:val="24"/>
          <w:highlight w:val="none"/>
        </w:rPr>
        <w:t>无效投标处理</w:t>
      </w:r>
      <w:r>
        <w:rPr>
          <w:rFonts w:hint="eastAsia" w:ascii="宋体" w:hAnsi="宋体" w:eastAsia="宋体" w:cs="宋体"/>
          <w:color w:val="auto"/>
          <w:sz w:val="24"/>
          <w:highlight w:val="none"/>
        </w:rPr>
        <w:t>。</w:t>
      </w:r>
    </w:p>
    <w:p w14:paraId="0718F509">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637D1C0E">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投标文件报价出现前后不一致的，按照下列规定修正：</w:t>
      </w:r>
    </w:p>
    <w:p w14:paraId="51AA315B">
      <w:pPr>
        <w:numPr>
          <w:ilvl w:val="2"/>
          <w:numId w:val="12"/>
        </w:numPr>
        <w:tabs>
          <w:tab w:val="left" w:pos="1080"/>
          <w:tab w:val="left" w:pos="1589"/>
          <w:tab w:val="left" w:pos="2035"/>
          <w:tab w:val="left" w:pos="2114"/>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招标文件对于报价修正是否另有规定：</w:t>
      </w:r>
    </w:p>
    <w:p w14:paraId="09345BF6">
      <w:pPr>
        <w:tabs>
          <w:tab w:val="left" w:pos="1080"/>
          <w:tab w:val="left" w:pos="1589"/>
          <w:tab w:val="left" w:pos="2035"/>
          <w:tab w:val="left" w:pos="2114"/>
        </w:tabs>
        <w:snapToGrid w:val="0"/>
        <w:spacing w:line="360" w:lineRule="auto"/>
        <w:ind w:left="2035"/>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□有，具体规定为：______________</w:t>
      </w:r>
    </w:p>
    <w:p w14:paraId="38B88F0F">
      <w:pPr>
        <w:tabs>
          <w:tab w:val="left" w:pos="1080"/>
          <w:tab w:val="left" w:pos="1589"/>
          <w:tab w:val="left" w:pos="2035"/>
          <w:tab w:val="left" w:pos="2114"/>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无，按下述2.4.2-2.4.8项规定修正。</w:t>
      </w:r>
    </w:p>
    <w:p w14:paraId="1B55101D">
      <w:pPr>
        <w:numPr>
          <w:ilvl w:val="2"/>
          <w:numId w:val="12"/>
        </w:numPr>
        <w:tabs>
          <w:tab w:val="left" w:pos="2035"/>
          <w:tab w:val="left" w:pos="2114"/>
          <w:tab w:val="left" w:pos="2977"/>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单独递交的开标一览表（报价表）与投标文件中开标一览表（报价表）内容不一致的，以单独递交的开标一览表（报价表）为准；</w:t>
      </w:r>
    </w:p>
    <w:p w14:paraId="2957DDF6">
      <w:pPr>
        <w:numPr>
          <w:ilvl w:val="2"/>
          <w:numId w:val="12"/>
        </w:numPr>
        <w:tabs>
          <w:tab w:val="left" w:pos="2035"/>
          <w:tab w:val="left" w:pos="2114"/>
          <w:tab w:val="left" w:pos="2977"/>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投标文件中开标一览表（报价表）内容与投标文件中相应内容不一致的，以开标一览表（报价表）为准；</w:t>
      </w:r>
    </w:p>
    <w:p w14:paraId="2AEAED67">
      <w:pPr>
        <w:numPr>
          <w:ilvl w:val="2"/>
          <w:numId w:val="12"/>
        </w:numPr>
        <w:tabs>
          <w:tab w:val="left" w:pos="2035"/>
          <w:tab w:val="left" w:pos="2114"/>
          <w:tab w:val="left" w:pos="2977"/>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大写金额和小写金额不一致的，以大写金额为准；</w:t>
      </w:r>
    </w:p>
    <w:p w14:paraId="11A24364">
      <w:pPr>
        <w:numPr>
          <w:ilvl w:val="2"/>
          <w:numId w:val="12"/>
        </w:numPr>
        <w:tabs>
          <w:tab w:val="left" w:pos="2035"/>
          <w:tab w:val="left" w:pos="2114"/>
          <w:tab w:val="left" w:pos="2977"/>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单价金额小数点或者百分比有明显错位的，以开标一览表的总价为准，并修改单价；</w:t>
      </w:r>
    </w:p>
    <w:p w14:paraId="190004EF">
      <w:pPr>
        <w:numPr>
          <w:ilvl w:val="2"/>
          <w:numId w:val="12"/>
        </w:numPr>
        <w:tabs>
          <w:tab w:val="left" w:pos="2035"/>
          <w:tab w:val="left" w:pos="2114"/>
          <w:tab w:val="left" w:pos="2977"/>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总价金额与按单价汇总金额不一致的，以单价金额计算结果为准。</w:t>
      </w:r>
    </w:p>
    <w:p w14:paraId="30CA01BE">
      <w:pPr>
        <w:numPr>
          <w:ilvl w:val="2"/>
          <w:numId w:val="12"/>
        </w:numPr>
        <w:tabs>
          <w:tab w:val="left" w:pos="1080"/>
          <w:tab w:val="left" w:pos="1589"/>
          <w:tab w:val="left" w:pos="2035"/>
          <w:tab w:val="left" w:pos="2114"/>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同时出现两种以上不一致的，按照前款规定的顺序修正。</w:t>
      </w:r>
    </w:p>
    <w:p w14:paraId="50B1A359">
      <w:pPr>
        <w:numPr>
          <w:ilvl w:val="2"/>
          <w:numId w:val="12"/>
        </w:numPr>
        <w:tabs>
          <w:tab w:val="left" w:pos="1080"/>
          <w:tab w:val="left" w:pos="1589"/>
          <w:tab w:val="left" w:pos="2035"/>
          <w:tab w:val="left" w:pos="2114"/>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修正后的报价经投标人书面确认后产生约束力，投标人不确认的，其</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49D4788E">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落实政府采购政策的价格调整：只有符合第二章《投标人须知》5.2条规定情形的，可以享受中小企业扶持政策，用扣除后的价格参加评审；否则，评标时价格不予扣除。</w:t>
      </w:r>
    </w:p>
    <w:p w14:paraId="7721B6A6">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对于未预留份额专门面向中小企业采购的采购项目，以及预留份额项目中的非预留部分采购包，对小微企业报价给予10%的扣除，用扣除后的价格参加评审。</w:t>
      </w:r>
    </w:p>
    <w:p w14:paraId="6369010D">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4E5A4E93">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组成联合体或者接受分包的小微企业与联合体内其他企业、分包企业之间存在直接控股、管理关系的，不享受价格扣除优惠政策。</w:t>
      </w:r>
    </w:p>
    <w:p w14:paraId="79854B18">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价格扣除比例对小型企业和微型企业同等对待，不作区分。</w:t>
      </w:r>
    </w:p>
    <w:p w14:paraId="099ED4ED">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中小企业参加政府采购活动，应当按照招标文件给定的格式出具《中小企业声明函》，否则不得享受相关中小企业扶持政策。</w:t>
      </w:r>
    </w:p>
    <w:p w14:paraId="2D5B4FA8">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监狱企业提供了由省级以上监狱管理局、戒毒管理局（含新疆生产建设兵团）出具的属于监狱企业的证明文件的，视同小微企业。</w:t>
      </w:r>
    </w:p>
    <w:p w14:paraId="230BA56B">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残疾人福利性单位按招标文件要求提供了《残疾人福利性单位声明函》的，视同小微企业。</w:t>
      </w:r>
    </w:p>
    <w:p w14:paraId="10D5B4FE">
      <w:pPr>
        <w:numPr>
          <w:ilvl w:val="2"/>
          <w:numId w:val="12"/>
        </w:numPr>
        <w:tabs>
          <w:tab w:val="left" w:pos="1080"/>
          <w:tab w:val="left" w:pos="1589"/>
          <w:tab w:val="left" w:pos="2014"/>
          <w:tab w:val="clear" w:pos="1980"/>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若投标人同时属于小型或微型企业、监狱企业、残疾人福利性单位中的两种及以上，将不重复享受小微企业价格扣减的优惠政策。</w:t>
      </w:r>
    </w:p>
    <w:p w14:paraId="718D33CF">
      <w:pPr>
        <w:numPr>
          <w:ilvl w:val="0"/>
          <w:numId w:val="12"/>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投标文件的比较和评价</w:t>
      </w:r>
      <w:bookmarkEnd w:id="771"/>
      <w:bookmarkEnd w:id="772"/>
    </w:p>
    <w:p w14:paraId="51098D9A">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评标委员会将按照招标文件中规定的评标方法和标准，对符合性审查合格的投标文件进行商务和技术评估，综合比较与评价；未通过符合性审查的投标文件不得进入比较与评价。</w:t>
      </w:r>
    </w:p>
    <w:p w14:paraId="768A1B18">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评标方法和评标标准</w:t>
      </w:r>
    </w:p>
    <w:p w14:paraId="2B3E52DE">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本项目采用的评标方法为：</w:t>
      </w:r>
    </w:p>
    <w:p w14:paraId="10FDDEE6">
      <w:pPr>
        <w:tabs>
          <w:tab w:val="left" w:pos="900"/>
          <w:tab w:val="left" w:pos="1589"/>
          <w:tab w:val="left" w:pos="1701"/>
        </w:tabs>
        <w:snapToGrid w:val="0"/>
        <w:spacing w:line="360" w:lineRule="auto"/>
        <w:ind w:left="1985"/>
        <w:rPr>
          <w:rFonts w:hint="eastAsia" w:ascii="宋体" w:hAnsi="宋体" w:eastAsia="宋体" w:cs="宋体"/>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65CE5A2">
      <w:pPr>
        <w:tabs>
          <w:tab w:val="left" w:pos="900"/>
          <w:tab w:val="left" w:pos="1589"/>
          <w:tab w:val="left" w:pos="1701"/>
        </w:tabs>
        <w:snapToGrid w:val="0"/>
        <w:spacing w:line="360" w:lineRule="auto"/>
        <w:ind w:left="1985"/>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□最低评标价法，指投标文件满足招标文件全部实质性要求，且投标报价最低的投标人为中标候选人的评标方法。</w:t>
      </w:r>
    </w:p>
    <w:p w14:paraId="64E26E03">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5DA35429">
      <w:p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□随机抽取</w:t>
      </w:r>
    </w:p>
    <w:p w14:paraId="5DE09863">
      <w:pPr>
        <w:tabs>
          <w:tab w:val="left" w:pos="1080"/>
          <w:tab w:val="left" w:pos="1589"/>
          <w:tab w:val="left" w:pos="2035"/>
        </w:tabs>
        <w:snapToGrid w:val="0"/>
        <w:spacing w:line="360" w:lineRule="auto"/>
        <w:ind w:left="2035"/>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□其他方式，具体要求：_____</w:t>
      </w:r>
    </w:p>
    <w:p w14:paraId="0C42F299">
      <w:pPr>
        <w:numPr>
          <w:ilvl w:val="2"/>
          <w:numId w:val="12"/>
        </w:numPr>
        <w:tabs>
          <w:tab w:val="left" w:pos="1080"/>
          <w:tab w:val="left" w:pos="1589"/>
          <w:tab w:val="left" w:pos="2035"/>
        </w:tabs>
        <w:snapToGrid w:val="0"/>
        <w:spacing w:line="360" w:lineRule="auto"/>
        <w:ind w:left="2035"/>
        <w:rPr>
          <w:rFonts w:hint="eastAsia" w:ascii="宋体" w:hAnsi="宋体" w:eastAsia="宋体" w:cs="宋体"/>
          <w:color w:val="auto"/>
          <w:sz w:val="24"/>
          <w:highlight w:val="none"/>
        </w:rPr>
      </w:pPr>
      <w:r>
        <w:rPr>
          <w:rFonts w:hint="eastAsia" w:ascii="宋体" w:hAnsi="宋体" w:eastAsia="宋体" w:cs="宋体"/>
          <w:color w:val="auto"/>
          <w:sz w:val="24"/>
          <w:highlight w:val="none"/>
        </w:rPr>
        <w:t>非政府强制采购的节能产品或环境标志产品，依据品目清单和认证证书实施政府优先采购。优先采购的具体规定详见评标标准。</w:t>
      </w:r>
    </w:p>
    <w:p w14:paraId="7F6188E2">
      <w:pPr>
        <w:numPr>
          <w:ilvl w:val="0"/>
          <w:numId w:val="12"/>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确定</w:t>
      </w:r>
      <w:bookmarkStart w:id="789" w:name="_Toc164229241"/>
      <w:bookmarkStart w:id="790" w:name="_Toc150774646"/>
      <w:bookmarkStart w:id="791" w:name="_Toc142311048"/>
      <w:bookmarkStart w:id="792" w:name="_Toc151190173"/>
      <w:bookmarkStart w:id="793" w:name="_Toc305158888"/>
      <w:bookmarkStart w:id="794" w:name="_Toc226309790"/>
      <w:bookmarkStart w:id="795" w:name="_Toc127151747"/>
      <w:bookmarkStart w:id="796" w:name="_Toc164229387"/>
      <w:bookmarkStart w:id="797" w:name="_Toc264969236"/>
      <w:bookmarkStart w:id="798" w:name="_Toc149720839"/>
      <w:bookmarkStart w:id="799" w:name="_Toc150774751"/>
      <w:bookmarkStart w:id="800" w:name="_Toc151193716"/>
      <w:bookmarkStart w:id="801" w:name="_Toc164351640"/>
      <w:bookmarkStart w:id="802" w:name="_Toc265228384"/>
      <w:bookmarkStart w:id="803" w:name="_Toc226965819"/>
      <w:bookmarkStart w:id="804" w:name="_Toc151193934"/>
      <w:bookmarkStart w:id="805" w:name="_Toc226337242"/>
      <w:bookmarkStart w:id="806" w:name="_Toc164608815"/>
      <w:bookmarkStart w:id="807" w:name="_Toc127151546"/>
      <w:bookmarkStart w:id="808" w:name="_Toc195842911"/>
      <w:bookmarkStart w:id="809" w:name="_Toc127161460"/>
      <w:bookmarkStart w:id="810" w:name="_Toc150509297"/>
      <w:bookmarkStart w:id="811" w:name="_Toc305158814"/>
      <w:bookmarkStart w:id="812" w:name="_Toc151193644"/>
      <w:bookmarkStart w:id="813" w:name="_Toc150480784"/>
      <w:bookmarkStart w:id="814" w:name="_Ref467307010"/>
      <w:bookmarkStart w:id="815" w:name="_Toc164608660"/>
      <w:bookmarkStart w:id="816" w:name="_Toc151193788"/>
      <w:bookmarkStart w:id="817" w:name="_Toc226965736"/>
      <w:bookmarkStart w:id="818" w:name="_Toc520356170"/>
      <w:bookmarkStart w:id="819" w:name="_Toc151193860"/>
      <w:r>
        <w:rPr>
          <w:rFonts w:hint="eastAsia" w:ascii="宋体" w:hAnsi="宋体" w:eastAsia="宋体" w:cs="宋体"/>
          <w:color w:val="auto"/>
          <w:sz w:val="24"/>
          <w:highlight w:val="none"/>
        </w:rPr>
        <w:t>中标候选人名单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5BCD33DF">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A4BCFE5">
      <w:pPr>
        <w:pStyle w:val="25"/>
        <w:tabs>
          <w:tab w:val="left" w:pos="900"/>
          <w:tab w:val="left" w:pos="2127"/>
        </w:tabs>
        <w:adjustRightInd w:val="0"/>
        <w:snapToGrid w:val="0"/>
        <w:spacing w:line="360" w:lineRule="auto"/>
        <w:ind w:left="993" w:firstLine="136" w:firstLine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□随机抽取</w:t>
      </w:r>
    </w:p>
    <w:p w14:paraId="797374E1">
      <w:pPr>
        <w:pStyle w:val="25"/>
        <w:tabs>
          <w:tab w:val="left" w:pos="900"/>
          <w:tab w:val="left" w:pos="2127"/>
        </w:tabs>
        <w:adjustRightInd w:val="0"/>
        <w:snapToGrid w:val="0"/>
        <w:spacing w:line="360" w:lineRule="auto"/>
        <w:ind w:left="993" w:firstLine="137" w:firstLineChars="57"/>
        <w:rPr>
          <w:rFonts w:hint="eastAsia" w:ascii="宋体" w:hAnsi="宋体" w:eastAsia="宋体" w:cs="宋体"/>
          <w:color w:val="auto"/>
          <w:sz w:val="24"/>
          <w:szCs w:val="24"/>
          <w:highlight w:val="none"/>
        </w:rPr>
      </w:pPr>
      <w:r>
        <w:rPr>
          <w:rFonts w:hint="eastAsia" w:ascii="宋体" w:hAnsi="宋体" w:eastAsia="宋体" w:cs="宋体"/>
          <w:b/>
          <w:color w:val="auto"/>
          <w:sz w:val="24"/>
          <w:highlight w:val="none"/>
        </w:rPr>
        <w:t>■</w:t>
      </w:r>
      <w:r>
        <w:rPr>
          <w:rFonts w:hint="eastAsia" w:ascii="宋体" w:hAnsi="宋体" w:eastAsia="宋体" w:cs="宋体"/>
          <w:color w:val="auto"/>
          <w:sz w:val="24"/>
          <w:szCs w:val="24"/>
          <w:highlight w:val="none"/>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5D57E322">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0FB171E3">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采用最低评标价法时，评标结果按本章2.4、2.5调整后的投标报价由低到高顺序排列。投标报价相同的并列。投标文件满足招标文件全部实质性要求且投标报价最低的投标人为排名第一的中标候选人。</w:t>
      </w:r>
    </w:p>
    <w:p w14:paraId="256ABF79">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评标委员会要对评分汇总情况进行复核，特别是对排名第一的、报价最低的、投标或响应文件被认定为无效的情形进行重点复核。</w:t>
      </w:r>
    </w:p>
    <w:p w14:paraId="0B404CAB">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z w:val="24"/>
          <w:highlight w:val="none"/>
          <w:u w:val="single"/>
        </w:rPr>
        <w:t>三</w:t>
      </w:r>
      <w:r>
        <w:rPr>
          <w:rFonts w:hint="eastAsia" w:ascii="宋体" w:hAnsi="宋体" w:eastAsia="宋体" w:cs="宋体"/>
          <w:color w:val="auto"/>
          <w:sz w:val="24"/>
          <w:highlight w:val="none"/>
        </w:rPr>
        <w:t>名中标候选人。</w:t>
      </w:r>
    </w:p>
    <w:p w14:paraId="3CC9E914">
      <w:pPr>
        <w:numPr>
          <w:ilvl w:val="0"/>
          <w:numId w:val="12"/>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报告违法行为</w:t>
      </w:r>
    </w:p>
    <w:p w14:paraId="28FF7D82">
      <w:pPr>
        <w:numPr>
          <w:ilvl w:val="1"/>
          <w:numId w:val="12"/>
        </w:numPr>
        <w:tabs>
          <w:tab w:val="left" w:pos="1080"/>
        </w:tabs>
        <w:snapToGrid w:val="0"/>
        <w:spacing w:line="360" w:lineRule="auto"/>
        <w:ind w:left="1077" w:hanging="720"/>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评标委员会在评标过程中发现投标人有行贿、提供虚假材料或者串通等违法行为时，应当及时向财政部门报告。</w:t>
      </w:r>
    </w:p>
    <w:p w14:paraId="6C7EA483">
      <w:pPr>
        <w:widowControl/>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517A2FF2">
      <w:pPr>
        <w:numPr>
          <w:ilvl w:val="0"/>
          <w:numId w:val="14"/>
        </w:numPr>
        <w:tabs>
          <w:tab w:val="left" w:pos="360"/>
          <w:tab w:val="left" w:pos="900"/>
        </w:tabs>
        <w:snapToGrid w:val="0"/>
        <w:spacing w:line="360" w:lineRule="auto"/>
        <w:jc w:val="center"/>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评标标准</w:t>
      </w:r>
    </w:p>
    <w:p w14:paraId="46114A85">
      <w:pPr>
        <w:widowControl/>
        <w:spacing w:line="360" w:lineRule="auto"/>
        <w:jc w:val="left"/>
        <w:rPr>
          <w:rFonts w:hint="eastAsia" w:ascii="宋体" w:hAnsi="宋体" w:eastAsia="宋体" w:cs="宋体"/>
          <w:color w:val="auto"/>
          <w:sz w:val="24"/>
          <w:highlight w:val="none"/>
        </w:rPr>
      </w:pPr>
      <w:bookmarkStart w:id="820" w:name="_Toc99301424"/>
      <w:r>
        <w:rPr>
          <w:rFonts w:hint="eastAsia" w:ascii="宋体" w:hAnsi="宋体" w:eastAsia="宋体" w:cs="宋体"/>
          <w:color w:val="auto"/>
          <w:sz w:val="24"/>
          <w:highlight w:val="none"/>
        </w:rPr>
        <w:t>1、评分因素及分值</w:t>
      </w:r>
    </w:p>
    <w:tbl>
      <w:tblPr>
        <w:tblStyle w:val="4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943"/>
        <w:gridCol w:w="2472"/>
        <w:gridCol w:w="1249"/>
        <w:gridCol w:w="4464"/>
      </w:tblGrid>
      <w:tr w14:paraId="71802C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72" w:hRule="atLeast"/>
        </w:trPr>
        <w:tc>
          <w:tcPr>
            <w:tcW w:w="517" w:type="pct"/>
            <w:vAlign w:val="center"/>
          </w:tcPr>
          <w:p w14:paraId="20649F5E">
            <w:pPr>
              <w:snapToGrid w:val="0"/>
              <w:spacing w:line="360" w:lineRule="auto"/>
              <w:ind w:right="-28"/>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1354" w:type="pct"/>
            <w:vAlign w:val="center"/>
          </w:tcPr>
          <w:p w14:paraId="4F42A4D3">
            <w:pPr>
              <w:snapToGrid w:val="0"/>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c>
          <w:tcPr>
            <w:tcW w:w="684" w:type="pct"/>
            <w:vAlign w:val="center"/>
          </w:tcPr>
          <w:p w14:paraId="4ABA1E06">
            <w:pPr>
              <w:snapToGrid w:val="0"/>
              <w:spacing w:line="360" w:lineRule="auto"/>
              <w:ind w:left="113"/>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分值</w:t>
            </w:r>
          </w:p>
        </w:tc>
        <w:tc>
          <w:tcPr>
            <w:tcW w:w="2446" w:type="pct"/>
            <w:vAlign w:val="center"/>
          </w:tcPr>
          <w:p w14:paraId="611EB12E">
            <w:pPr>
              <w:snapToGrid w:val="0"/>
              <w:spacing w:line="360" w:lineRule="auto"/>
              <w:ind w:left="113"/>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w:t>
            </w:r>
          </w:p>
        </w:tc>
      </w:tr>
      <w:tr w14:paraId="74FAC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2" w:hRule="exact"/>
        </w:trPr>
        <w:tc>
          <w:tcPr>
            <w:tcW w:w="517" w:type="pct"/>
            <w:vAlign w:val="center"/>
          </w:tcPr>
          <w:p w14:paraId="5D2D3982">
            <w:pPr>
              <w:spacing w:line="360" w:lineRule="auto"/>
              <w:ind w:right="-2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54" w:type="pct"/>
            <w:vAlign w:val="center"/>
          </w:tcPr>
          <w:p w14:paraId="2B04101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价格部分</w:t>
            </w:r>
          </w:p>
        </w:tc>
        <w:tc>
          <w:tcPr>
            <w:tcW w:w="684" w:type="pct"/>
            <w:vAlign w:val="center"/>
          </w:tcPr>
          <w:p w14:paraId="55E8F580">
            <w:pPr>
              <w:spacing w:line="360" w:lineRule="auto"/>
              <w:ind w:left="113"/>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446" w:type="pct"/>
            <w:vMerge w:val="restart"/>
            <w:vAlign w:val="center"/>
          </w:tcPr>
          <w:p w14:paraId="651F1879">
            <w:pPr>
              <w:spacing w:line="360" w:lineRule="auto"/>
              <w:ind w:left="113"/>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详细的评标内容见下述评分标准</w:t>
            </w:r>
          </w:p>
        </w:tc>
      </w:tr>
      <w:tr w14:paraId="135650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8" w:hRule="exact"/>
        </w:trPr>
        <w:tc>
          <w:tcPr>
            <w:tcW w:w="517" w:type="pct"/>
            <w:vAlign w:val="center"/>
          </w:tcPr>
          <w:p w14:paraId="5390AB18">
            <w:pPr>
              <w:spacing w:line="360" w:lineRule="auto"/>
              <w:ind w:right="-2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354" w:type="pct"/>
            <w:vAlign w:val="center"/>
          </w:tcPr>
          <w:p w14:paraId="7000AB55">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商务部分</w:t>
            </w:r>
          </w:p>
        </w:tc>
        <w:tc>
          <w:tcPr>
            <w:tcW w:w="684" w:type="pct"/>
            <w:vAlign w:val="center"/>
          </w:tcPr>
          <w:p w14:paraId="64B9C022">
            <w:pPr>
              <w:spacing w:line="360" w:lineRule="auto"/>
              <w:ind w:left="113"/>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w:t>
            </w:r>
          </w:p>
        </w:tc>
        <w:tc>
          <w:tcPr>
            <w:tcW w:w="2446" w:type="pct"/>
            <w:vMerge w:val="continue"/>
            <w:vAlign w:val="center"/>
          </w:tcPr>
          <w:p w14:paraId="450CB3B0">
            <w:pPr>
              <w:spacing w:line="360" w:lineRule="auto"/>
              <w:ind w:left="113"/>
              <w:jc w:val="center"/>
              <w:rPr>
                <w:rFonts w:hint="eastAsia" w:ascii="宋体" w:hAnsi="宋体" w:eastAsia="宋体" w:cs="宋体"/>
                <w:color w:val="auto"/>
                <w:sz w:val="24"/>
                <w:highlight w:val="none"/>
              </w:rPr>
            </w:pPr>
          </w:p>
        </w:tc>
      </w:tr>
      <w:tr w14:paraId="3DB16C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5" w:hRule="exact"/>
        </w:trPr>
        <w:tc>
          <w:tcPr>
            <w:tcW w:w="517" w:type="pct"/>
            <w:vAlign w:val="center"/>
          </w:tcPr>
          <w:p w14:paraId="7169E828">
            <w:pPr>
              <w:spacing w:line="360" w:lineRule="auto"/>
              <w:ind w:right="-2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p w14:paraId="06FC429E">
            <w:pPr>
              <w:spacing w:line="360" w:lineRule="auto"/>
              <w:ind w:right="-2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1354" w:type="pct"/>
            <w:vAlign w:val="center"/>
          </w:tcPr>
          <w:p w14:paraId="16945316">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技术部分</w:t>
            </w:r>
          </w:p>
        </w:tc>
        <w:tc>
          <w:tcPr>
            <w:tcW w:w="684" w:type="pct"/>
            <w:vAlign w:val="center"/>
          </w:tcPr>
          <w:p w14:paraId="5344227F">
            <w:pPr>
              <w:spacing w:line="360" w:lineRule="auto"/>
              <w:ind w:left="113"/>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60</w:t>
            </w:r>
          </w:p>
        </w:tc>
        <w:tc>
          <w:tcPr>
            <w:tcW w:w="2446" w:type="pct"/>
            <w:vMerge w:val="continue"/>
            <w:vAlign w:val="center"/>
          </w:tcPr>
          <w:p w14:paraId="77EC421E">
            <w:pPr>
              <w:spacing w:line="360" w:lineRule="auto"/>
              <w:ind w:left="113"/>
              <w:jc w:val="center"/>
              <w:rPr>
                <w:rFonts w:hint="eastAsia" w:ascii="宋体" w:hAnsi="宋体" w:eastAsia="宋体" w:cs="宋体"/>
                <w:color w:val="auto"/>
                <w:sz w:val="24"/>
                <w:highlight w:val="none"/>
              </w:rPr>
            </w:pPr>
          </w:p>
        </w:tc>
      </w:tr>
      <w:tr w14:paraId="4DC881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72" w:hRule="exact"/>
        </w:trPr>
        <w:tc>
          <w:tcPr>
            <w:tcW w:w="1870" w:type="pct"/>
            <w:gridSpan w:val="2"/>
            <w:vAlign w:val="center"/>
          </w:tcPr>
          <w:p w14:paraId="5AAB2132">
            <w:pPr>
              <w:spacing w:line="360" w:lineRule="auto"/>
              <w:ind w:left="113"/>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合计</w:t>
            </w:r>
          </w:p>
        </w:tc>
        <w:tc>
          <w:tcPr>
            <w:tcW w:w="684" w:type="pct"/>
            <w:vAlign w:val="center"/>
          </w:tcPr>
          <w:p w14:paraId="7225681B">
            <w:pPr>
              <w:spacing w:line="360" w:lineRule="auto"/>
              <w:ind w:left="113"/>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100</w:t>
            </w:r>
          </w:p>
        </w:tc>
        <w:tc>
          <w:tcPr>
            <w:tcW w:w="2446" w:type="pct"/>
            <w:vMerge w:val="continue"/>
            <w:vAlign w:val="center"/>
          </w:tcPr>
          <w:p w14:paraId="2017D80F">
            <w:pPr>
              <w:spacing w:line="360" w:lineRule="auto"/>
              <w:ind w:left="113"/>
              <w:jc w:val="center"/>
              <w:rPr>
                <w:rFonts w:hint="eastAsia" w:ascii="宋体" w:hAnsi="宋体" w:eastAsia="宋体" w:cs="宋体"/>
                <w:color w:val="auto"/>
                <w:sz w:val="24"/>
                <w:highlight w:val="none"/>
              </w:rPr>
            </w:pPr>
          </w:p>
        </w:tc>
      </w:tr>
    </w:tbl>
    <w:p w14:paraId="202A7033">
      <w:pPr>
        <w:widowControl/>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2、评分标准</w:t>
      </w:r>
    </w:p>
    <w:p w14:paraId="171F0C80">
      <w:pPr>
        <w:widowControl/>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2.1商务部分</w:t>
      </w:r>
    </w:p>
    <w:tbl>
      <w:tblPr>
        <w:tblStyle w:val="43"/>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59"/>
        <w:gridCol w:w="1826"/>
        <w:gridCol w:w="606"/>
        <w:gridCol w:w="5937"/>
      </w:tblGrid>
      <w:tr w14:paraId="389CC8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60" w:hRule="atLeast"/>
        </w:trPr>
        <w:tc>
          <w:tcPr>
            <w:tcW w:w="416" w:type="pct"/>
            <w:vAlign w:val="center"/>
          </w:tcPr>
          <w:p w14:paraId="1D2F5847">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1000" w:type="pct"/>
            <w:vAlign w:val="center"/>
          </w:tcPr>
          <w:p w14:paraId="3C5A6419">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评分因素分项</w:t>
            </w:r>
          </w:p>
        </w:tc>
        <w:tc>
          <w:tcPr>
            <w:tcW w:w="332" w:type="pct"/>
            <w:vAlign w:val="center"/>
          </w:tcPr>
          <w:p w14:paraId="72BEF7C8">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分值</w:t>
            </w:r>
          </w:p>
        </w:tc>
        <w:tc>
          <w:tcPr>
            <w:tcW w:w="3252" w:type="pct"/>
            <w:vAlign w:val="center"/>
          </w:tcPr>
          <w:p w14:paraId="2334B8A8">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r>
      <w:tr w14:paraId="2B4426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06" w:hRule="atLeast"/>
        </w:trPr>
        <w:tc>
          <w:tcPr>
            <w:tcW w:w="416" w:type="pct"/>
            <w:vAlign w:val="center"/>
          </w:tcPr>
          <w:p w14:paraId="71C0897B">
            <w:pPr>
              <w:widowControl/>
              <w:spacing w:line="360" w:lineRule="auto"/>
              <w:ind w:firstLine="120" w:firstLineChars="50"/>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000" w:type="pct"/>
            <w:vAlign w:val="center"/>
          </w:tcPr>
          <w:p w14:paraId="026715C5">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投标产品在中国境内近三年</w:t>
            </w:r>
            <w:r>
              <w:rPr>
                <w:rFonts w:hint="eastAsia" w:ascii="宋体" w:hAnsi="宋体" w:eastAsia="宋体" w:cs="宋体"/>
                <w:color w:val="auto"/>
                <w:kern w:val="0"/>
                <w:sz w:val="24"/>
                <w:highlight w:val="none"/>
              </w:rPr>
              <w:t>（202</w:t>
            </w: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年</w:t>
            </w:r>
            <w:r>
              <w:rPr>
                <w:rFonts w:hint="eastAsia" w:ascii="宋体" w:hAnsi="宋体" w:cs="宋体"/>
                <w:color w:val="auto"/>
                <w:kern w:val="0"/>
                <w:sz w:val="24"/>
                <w:highlight w:val="none"/>
                <w:lang w:val="en-US" w:eastAsia="zh-CN"/>
              </w:rPr>
              <w:t>10</w:t>
            </w:r>
            <w:r>
              <w:rPr>
                <w:rFonts w:hint="eastAsia" w:ascii="宋体" w:hAnsi="宋体" w:eastAsia="宋体" w:cs="宋体"/>
                <w:color w:val="auto"/>
                <w:kern w:val="0"/>
                <w:sz w:val="24"/>
                <w:highlight w:val="none"/>
              </w:rPr>
              <w:t>月1日至今</w:t>
            </w:r>
            <w:r>
              <w:rPr>
                <w:rFonts w:hint="eastAsia" w:ascii="宋体" w:hAnsi="宋体" w:eastAsia="宋体" w:cs="宋体"/>
                <w:color w:val="auto"/>
                <w:kern w:val="0"/>
                <w:sz w:val="24"/>
                <w:highlight w:val="none"/>
              </w:rPr>
              <w:t>）销售业绩的评价</w:t>
            </w:r>
          </w:p>
        </w:tc>
        <w:tc>
          <w:tcPr>
            <w:tcW w:w="332" w:type="pct"/>
            <w:vAlign w:val="center"/>
          </w:tcPr>
          <w:p w14:paraId="47BAD133">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6</w:t>
            </w:r>
          </w:p>
        </w:tc>
        <w:tc>
          <w:tcPr>
            <w:tcW w:w="3252" w:type="pct"/>
            <w:vAlign w:val="center"/>
          </w:tcPr>
          <w:p w14:paraId="64F878EE">
            <w:pPr>
              <w:widowControl/>
              <w:spacing w:line="360" w:lineRule="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根据投标产品（至少包含核心产品）近三年在中国境内的销售业绩情况，每提供1个业绩得</w:t>
            </w: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分，最高得</w:t>
            </w:r>
            <w:r>
              <w:rPr>
                <w:rFonts w:hint="eastAsia" w:ascii="宋体" w:hAnsi="宋体" w:eastAsia="宋体" w:cs="宋体"/>
                <w:color w:val="auto"/>
                <w:kern w:val="0"/>
                <w:sz w:val="24"/>
                <w:highlight w:val="none"/>
                <w:lang w:val="en-US" w:eastAsia="zh-CN"/>
              </w:rPr>
              <w:t>6</w:t>
            </w:r>
            <w:r>
              <w:rPr>
                <w:rFonts w:hint="eastAsia" w:ascii="宋体" w:hAnsi="宋体" w:eastAsia="宋体" w:cs="宋体"/>
                <w:color w:val="auto"/>
                <w:kern w:val="0"/>
                <w:sz w:val="24"/>
                <w:highlight w:val="none"/>
              </w:rPr>
              <w:t>分</w:t>
            </w:r>
            <w:r>
              <w:rPr>
                <w:rFonts w:hint="eastAsia" w:ascii="宋体" w:hAnsi="宋体" w:eastAsia="宋体" w:cs="宋体"/>
                <w:color w:val="auto"/>
                <w:kern w:val="0"/>
                <w:sz w:val="24"/>
                <w:highlight w:val="none"/>
                <w:lang w:eastAsia="zh-CN"/>
              </w:rPr>
              <w:t>。</w:t>
            </w:r>
          </w:p>
          <w:p w14:paraId="77AF0CB9">
            <w:pPr>
              <w:widowControl/>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w:t>
            </w:r>
          </w:p>
          <w:p w14:paraId="118802E8">
            <w:pPr>
              <w:widowControl/>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1、业绩证明材料：须提供能够体现产品规格型号的合同复印件并加盖单位公章；</w:t>
            </w:r>
          </w:p>
          <w:p w14:paraId="29E42EC3">
            <w:pPr>
              <w:widowControl/>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2、日期以合同签署日期为准，未注明合同签署日期不予认可；</w:t>
            </w:r>
          </w:p>
          <w:p w14:paraId="09D80122">
            <w:pPr>
              <w:widowControl/>
              <w:spacing w:line="360" w:lineRule="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3、销售给经销商/代理商或经销商/代理商之间的销售业绩不予认可。</w:t>
            </w:r>
          </w:p>
        </w:tc>
      </w:tr>
      <w:tr w14:paraId="6775FC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416" w:type="pct"/>
            <w:vAlign w:val="center"/>
          </w:tcPr>
          <w:p w14:paraId="7082962F">
            <w:pPr>
              <w:spacing w:line="360" w:lineRule="auto"/>
              <w:ind w:left="84" w:leftChars="4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000" w:type="pct"/>
            <w:vAlign w:val="center"/>
          </w:tcPr>
          <w:p w14:paraId="5CC87592">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环境标志产品、节能产品</w:t>
            </w:r>
          </w:p>
        </w:tc>
        <w:tc>
          <w:tcPr>
            <w:tcW w:w="332" w:type="pct"/>
            <w:vAlign w:val="center"/>
          </w:tcPr>
          <w:p w14:paraId="11533C7B">
            <w:pPr>
              <w:spacing w:line="360" w:lineRule="auto"/>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1</w:t>
            </w:r>
          </w:p>
        </w:tc>
        <w:tc>
          <w:tcPr>
            <w:tcW w:w="3252" w:type="pct"/>
            <w:vAlign w:val="center"/>
          </w:tcPr>
          <w:p w14:paraId="4143F76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投标人的投标货物属于节能产品、环境标志产品品目清单范围内，且投标人所投产品具有节能产品、环境标志产品认证证书，且认证证书在有效截止日期内，有1个得</w:t>
            </w:r>
            <w:r>
              <w:rPr>
                <w:rFonts w:hint="eastAsia" w:ascii="宋体" w:hAnsi="宋体" w:eastAsia="宋体" w:cs="宋体"/>
                <w:color w:val="auto"/>
                <w:sz w:val="24"/>
                <w:highlight w:val="none"/>
                <w:lang w:val="en-US" w:eastAsia="zh-CN"/>
              </w:rPr>
              <w:t>0.5</w:t>
            </w:r>
            <w:r>
              <w:rPr>
                <w:rFonts w:hint="eastAsia" w:ascii="宋体" w:hAnsi="宋体" w:eastAsia="宋体" w:cs="宋体"/>
                <w:color w:val="auto"/>
                <w:sz w:val="24"/>
                <w:highlight w:val="none"/>
              </w:rPr>
              <w:t>分，最高得</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分。（提供认证证书复印件加盖公章）</w:t>
            </w:r>
          </w:p>
        </w:tc>
      </w:tr>
      <w:tr w14:paraId="1DE4F0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695" w:type="dxa"/>
            <w:vAlign w:val="center"/>
          </w:tcPr>
          <w:p w14:paraId="6F0ADA1E">
            <w:pPr>
              <w:spacing w:after="0" w:line="360" w:lineRule="auto"/>
              <w:ind w:left="84" w:leftChars="4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p>
        </w:tc>
        <w:tc>
          <w:tcPr>
            <w:tcW w:w="1674" w:type="dxa"/>
            <w:vAlign w:val="center"/>
          </w:tcPr>
          <w:p w14:paraId="71018992">
            <w:pPr>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对招标文件商务及合同条款的响应程度</w:t>
            </w:r>
          </w:p>
        </w:tc>
        <w:tc>
          <w:tcPr>
            <w:tcW w:w="556" w:type="dxa"/>
            <w:vAlign w:val="center"/>
          </w:tcPr>
          <w:p w14:paraId="04C178B5">
            <w:pPr>
              <w:spacing w:after="0"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5443" w:type="dxa"/>
            <w:vAlign w:val="center"/>
          </w:tcPr>
          <w:p w14:paraId="0A214133">
            <w:pPr>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商务及合同条款全部满足招标文件要求得3分，否则得0分。</w:t>
            </w:r>
          </w:p>
        </w:tc>
      </w:tr>
    </w:tbl>
    <w:p w14:paraId="346AB09E">
      <w:pPr>
        <w:widowControl/>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2.2技术部分</w:t>
      </w:r>
    </w:p>
    <w:tbl>
      <w:tblPr>
        <w:tblStyle w:val="43"/>
        <w:tblW w:w="4992" w:type="pct"/>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874"/>
        <w:gridCol w:w="720"/>
        <w:gridCol w:w="5942"/>
      </w:tblGrid>
      <w:tr w14:paraId="3D964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397" w:type="pct"/>
            <w:vAlign w:val="center"/>
          </w:tcPr>
          <w:p w14:paraId="7C067356">
            <w:pPr>
              <w:widowControl/>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序号</w:t>
            </w:r>
          </w:p>
        </w:tc>
        <w:tc>
          <w:tcPr>
            <w:tcW w:w="1010" w:type="pct"/>
            <w:vAlign w:val="center"/>
          </w:tcPr>
          <w:p w14:paraId="1E83B78F">
            <w:pPr>
              <w:widowControl/>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评分因素分项</w:t>
            </w:r>
          </w:p>
        </w:tc>
        <w:tc>
          <w:tcPr>
            <w:tcW w:w="388" w:type="pct"/>
            <w:vAlign w:val="center"/>
          </w:tcPr>
          <w:p w14:paraId="3E25B29B">
            <w:pPr>
              <w:widowControl/>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分值</w:t>
            </w:r>
          </w:p>
        </w:tc>
        <w:tc>
          <w:tcPr>
            <w:tcW w:w="3202" w:type="pct"/>
            <w:vAlign w:val="center"/>
          </w:tcPr>
          <w:p w14:paraId="4741ACFD">
            <w:pPr>
              <w:widowControl/>
              <w:spacing w:line="360" w:lineRule="auto"/>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评分标准</w:t>
            </w:r>
          </w:p>
        </w:tc>
      </w:tr>
      <w:tr w14:paraId="20EF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397" w:type="pct"/>
            <w:vAlign w:val="center"/>
          </w:tcPr>
          <w:p w14:paraId="49322DBF">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010" w:type="pct"/>
            <w:vAlign w:val="center"/>
          </w:tcPr>
          <w:p w14:paraId="2511E3E9">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对招标文件技术规格要求的响应程度</w:t>
            </w:r>
          </w:p>
        </w:tc>
        <w:tc>
          <w:tcPr>
            <w:tcW w:w="388" w:type="pct"/>
            <w:vAlign w:val="center"/>
          </w:tcPr>
          <w:p w14:paraId="3A612E39">
            <w:pPr>
              <w:widowControl/>
              <w:spacing w:line="360" w:lineRule="auto"/>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lang w:val="en-US" w:eastAsia="zh-CN"/>
              </w:rPr>
              <w:t>6</w:t>
            </w:r>
          </w:p>
        </w:tc>
        <w:tc>
          <w:tcPr>
            <w:tcW w:w="3202" w:type="pct"/>
            <w:vAlign w:val="center"/>
          </w:tcPr>
          <w:p w14:paraId="2DB5202E">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技术指标全部满足招标文件的要求得46分； </w:t>
            </w:r>
          </w:p>
          <w:p w14:paraId="7BC5C147">
            <w:pPr>
              <w:widowControl/>
              <w:spacing w:after="0" w:line="360" w:lineRule="auto"/>
              <w:jc w:val="left"/>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第1包</w:t>
            </w:r>
          </w:p>
          <w:p w14:paraId="2C39C740">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一项标注</w:t>
            </w:r>
            <w:r>
              <w:rPr>
                <w:rFonts w:ascii="宋体" w:hAnsi="宋体" w:cs="Arial"/>
                <w:bCs/>
                <w:color w:val="auto"/>
                <w:sz w:val="24"/>
                <w:highlight w:val="none"/>
              </w:rPr>
              <w:t>“▲”号</w:t>
            </w:r>
            <w:r>
              <w:rPr>
                <w:rFonts w:hint="eastAsia" w:ascii="宋体" w:hAnsi="宋体" w:eastAsia="宋体" w:cs="宋体"/>
                <w:color w:val="auto"/>
                <w:sz w:val="24"/>
                <w:highlight w:val="none"/>
              </w:rPr>
              <w:t>指标不满足招标文件扣</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 xml:space="preserve">分； </w:t>
            </w:r>
          </w:p>
          <w:p w14:paraId="3F9DA383">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一项普通指标不满足招标文件扣</w:t>
            </w:r>
            <w:r>
              <w:rPr>
                <w:rFonts w:hint="eastAsia" w:ascii="宋体" w:hAnsi="宋体" w:cs="宋体"/>
                <w:color w:val="auto"/>
                <w:sz w:val="24"/>
                <w:highlight w:val="none"/>
                <w:lang w:val="en-US" w:eastAsia="zh-CN"/>
              </w:rPr>
              <w:t>0.30</w:t>
            </w:r>
            <w:r>
              <w:rPr>
                <w:rFonts w:hint="eastAsia" w:ascii="宋体" w:hAnsi="宋体" w:eastAsia="宋体" w:cs="宋体"/>
                <w:color w:val="auto"/>
                <w:sz w:val="24"/>
                <w:highlight w:val="none"/>
              </w:rPr>
              <w:t xml:space="preserve">分。 </w:t>
            </w:r>
          </w:p>
          <w:p w14:paraId="407B3279">
            <w:pPr>
              <w:widowControl/>
              <w:spacing w:after="0" w:line="360" w:lineRule="auto"/>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第2包：</w:t>
            </w:r>
          </w:p>
          <w:p w14:paraId="415B94F6">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一项标注</w:t>
            </w:r>
            <w:r>
              <w:rPr>
                <w:rFonts w:ascii="宋体" w:hAnsi="宋体" w:cs="Arial"/>
                <w:bCs/>
                <w:color w:val="auto"/>
                <w:sz w:val="24"/>
                <w:highlight w:val="none"/>
              </w:rPr>
              <w:t>“▲”号</w:t>
            </w:r>
            <w:r>
              <w:rPr>
                <w:rFonts w:hint="eastAsia" w:ascii="宋体" w:hAnsi="宋体" w:eastAsia="宋体" w:cs="宋体"/>
                <w:color w:val="auto"/>
                <w:sz w:val="24"/>
                <w:highlight w:val="none"/>
              </w:rPr>
              <w:t>指标不满足招标文件扣</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 xml:space="preserve">分； </w:t>
            </w:r>
          </w:p>
          <w:p w14:paraId="15326AED">
            <w:pPr>
              <w:widowControl/>
              <w:spacing w:after="0" w:line="360" w:lineRule="auto"/>
              <w:jc w:val="left"/>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一项普通指标不满足招标文件扣</w:t>
            </w:r>
            <w:r>
              <w:rPr>
                <w:rFonts w:hint="eastAsia" w:ascii="宋体" w:hAnsi="宋体" w:cs="宋体"/>
                <w:color w:val="auto"/>
                <w:sz w:val="24"/>
                <w:highlight w:val="none"/>
                <w:lang w:val="en-US" w:eastAsia="zh-CN"/>
              </w:rPr>
              <w:t>0.18</w:t>
            </w:r>
            <w:bookmarkStart w:id="1026" w:name="_GoBack"/>
            <w:bookmarkEnd w:id="1026"/>
            <w:r>
              <w:rPr>
                <w:rFonts w:hint="eastAsia" w:ascii="宋体" w:hAnsi="宋体" w:eastAsia="宋体" w:cs="宋体"/>
                <w:color w:val="auto"/>
                <w:sz w:val="24"/>
                <w:highlight w:val="none"/>
              </w:rPr>
              <w:t xml:space="preserve">分。 </w:t>
            </w:r>
            <w:r>
              <w:rPr>
                <w:rFonts w:hint="eastAsia" w:ascii="宋体" w:hAnsi="宋体" w:eastAsia="宋体" w:cs="宋体"/>
                <w:color w:val="auto"/>
                <w:sz w:val="24"/>
                <w:highlight w:val="none"/>
              </w:rPr>
              <w:br w:type="textWrapping"/>
            </w:r>
            <w:r>
              <w:rPr>
                <w:rFonts w:hint="eastAsia" w:ascii="宋体" w:hAnsi="宋体" w:cs="宋体"/>
                <w:color w:val="auto"/>
                <w:sz w:val="24"/>
                <w:highlight w:val="none"/>
                <w:lang w:val="en-US" w:eastAsia="zh-CN"/>
              </w:rPr>
              <w:t>第3包：</w:t>
            </w:r>
          </w:p>
          <w:p w14:paraId="5CE7F543">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一项标注</w:t>
            </w:r>
            <w:r>
              <w:rPr>
                <w:rFonts w:ascii="宋体" w:hAnsi="宋体" w:cs="Arial"/>
                <w:bCs/>
                <w:color w:val="auto"/>
                <w:sz w:val="24"/>
                <w:highlight w:val="none"/>
              </w:rPr>
              <w:t>“▲”号</w:t>
            </w:r>
            <w:r>
              <w:rPr>
                <w:rFonts w:hint="eastAsia" w:ascii="宋体" w:hAnsi="宋体" w:eastAsia="宋体" w:cs="宋体"/>
                <w:color w:val="auto"/>
                <w:sz w:val="24"/>
                <w:highlight w:val="none"/>
              </w:rPr>
              <w:t>指标不满足招标文件扣</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 xml:space="preserve">分； </w:t>
            </w:r>
          </w:p>
          <w:p w14:paraId="475F603F">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一项普通指标不满足招标文件扣</w:t>
            </w:r>
            <w:r>
              <w:rPr>
                <w:rFonts w:hint="eastAsia" w:ascii="宋体" w:hAnsi="宋体" w:cs="宋体"/>
                <w:color w:val="auto"/>
                <w:sz w:val="24"/>
                <w:highlight w:val="none"/>
                <w:lang w:val="en-US" w:eastAsia="zh-CN"/>
              </w:rPr>
              <w:t>1.56</w:t>
            </w:r>
            <w:r>
              <w:rPr>
                <w:rFonts w:hint="eastAsia" w:ascii="宋体" w:hAnsi="宋体" w:eastAsia="宋体" w:cs="宋体"/>
                <w:color w:val="auto"/>
                <w:sz w:val="24"/>
                <w:highlight w:val="none"/>
              </w:rPr>
              <w:t>分。</w:t>
            </w:r>
          </w:p>
          <w:p w14:paraId="66AEBD6D">
            <w:pPr>
              <w:widowControl/>
              <w:spacing w:after="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cs="宋体"/>
                <w:color w:val="auto"/>
                <w:sz w:val="24"/>
                <w:highlight w:val="none"/>
                <w:lang w:val="en-US" w:eastAsia="zh-CN"/>
              </w:rPr>
              <w:t>第4包</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一项标注</w:t>
            </w:r>
            <w:r>
              <w:rPr>
                <w:rFonts w:ascii="宋体" w:hAnsi="宋体" w:cs="Arial"/>
                <w:bCs/>
                <w:color w:val="auto"/>
                <w:sz w:val="24"/>
                <w:highlight w:val="none"/>
              </w:rPr>
              <w:t>“▲”号</w:t>
            </w:r>
            <w:r>
              <w:rPr>
                <w:rFonts w:hint="eastAsia" w:ascii="宋体" w:hAnsi="宋体" w:eastAsia="宋体" w:cs="宋体"/>
                <w:color w:val="auto"/>
                <w:sz w:val="24"/>
                <w:highlight w:val="none"/>
              </w:rPr>
              <w:t>指标不满足招标文件扣</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 xml:space="preserve">分； </w:t>
            </w:r>
          </w:p>
          <w:p w14:paraId="1A02D78B">
            <w:pPr>
              <w:widowControl/>
              <w:spacing w:after="0" w:line="360" w:lineRule="auto"/>
              <w:jc w:val="left"/>
              <w:rPr>
                <w:rFonts w:hint="default" w:ascii="宋体" w:hAnsi="宋体" w:cs="宋体"/>
                <w:color w:val="auto"/>
                <w:sz w:val="24"/>
                <w:highlight w:val="none"/>
                <w:lang w:val="en-US" w:eastAsia="zh-CN"/>
              </w:rPr>
            </w:pPr>
            <w:r>
              <w:rPr>
                <w:rFonts w:hint="eastAsia" w:ascii="宋体" w:hAnsi="宋体" w:eastAsia="宋体" w:cs="宋体"/>
                <w:color w:val="auto"/>
                <w:sz w:val="24"/>
                <w:highlight w:val="none"/>
              </w:rPr>
              <w:t>一项普通指标不满足招标文件扣</w:t>
            </w:r>
            <w:r>
              <w:rPr>
                <w:rFonts w:hint="eastAsia" w:ascii="宋体" w:hAnsi="宋体" w:cs="宋体"/>
                <w:color w:val="auto"/>
                <w:sz w:val="24"/>
                <w:highlight w:val="none"/>
                <w:lang w:val="en-US" w:eastAsia="zh-CN"/>
              </w:rPr>
              <w:t>0.73</w:t>
            </w:r>
            <w:r>
              <w:rPr>
                <w:rFonts w:hint="eastAsia" w:ascii="宋体" w:hAnsi="宋体" w:eastAsia="宋体" w:cs="宋体"/>
                <w:color w:val="auto"/>
                <w:sz w:val="24"/>
                <w:highlight w:val="none"/>
              </w:rPr>
              <w:t xml:space="preserve">分。 </w:t>
            </w:r>
          </w:p>
          <w:p w14:paraId="28A84B76">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按招标文件要求提供技术支持资料。</w:t>
            </w:r>
          </w:p>
        </w:tc>
      </w:tr>
      <w:tr w14:paraId="70A80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97" w:type="pct"/>
            <w:vAlign w:val="center"/>
          </w:tcPr>
          <w:p w14:paraId="2CA2D483">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1010" w:type="pct"/>
            <w:vAlign w:val="center"/>
          </w:tcPr>
          <w:p w14:paraId="7DBF7BC1">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售后服务</w:t>
            </w:r>
          </w:p>
        </w:tc>
        <w:tc>
          <w:tcPr>
            <w:tcW w:w="388" w:type="pct"/>
            <w:vAlign w:val="center"/>
          </w:tcPr>
          <w:p w14:paraId="35FB96F8">
            <w:pPr>
              <w:widowControl/>
              <w:spacing w:line="360" w:lineRule="auto"/>
              <w:jc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8</w:t>
            </w:r>
          </w:p>
        </w:tc>
        <w:tc>
          <w:tcPr>
            <w:tcW w:w="3202" w:type="pct"/>
            <w:vAlign w:val="center"/>
          </w:tcPr>
          <w:p w14:paraId="0BC8B9CC">
            <w:pPr>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根据投标人售后服务安排的合理性、维修的反应速度及服务措施情况进行评审：</w:t>
            </w:r>
          </w:p>
          <w:p w14:paraId="2E8C6D19">
            <w:pPr>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保修期满足招标文件要求，方案内容完整、售后服务安排合理可行、维修反应速度快，具体实施细节及措施详尽得8分；</w:t>
            </w:r>
          </w:p>
          <w:p w14:paraId="5C423571">
            <w:pPr>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保修期满足招标文件要求，方案基本涵盖招标文件要求，售后服务安排合理、维修反应速度较慢，提供的具体实施细节及措施不够完善得5分；</w:t>
            </w:r>
          </w:p>
          <w:p w14:paraId="73091653">
            <w:pPr>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保修期满足招标文件要求，方案内容有缺失或未提供具体实施细节及措施得2分；</w:t>
            </w:r>
          </w:p>
          <w:p w14:paraId="7E0B5E47">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保修期不满足招标文件要求或未提供售后服务方案得0分。</w:t>
            </w:r>
          </w:p>
        </w:tc>
      </w:tr>
      <w:tr w14:paraId="58B3C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97" w:type="pct"/>
            <w:vAlign w:val="center"/>
          </w:tcPr>
          <w:p w14:paraId="791C36C1">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1010" w:type="pct"/>
            <w:vAlign w:val="center"/>
          </w:tcPr>
          <w:p w14:paraId="4A6D8EA9">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安装、培训方案</w:t>
            </w:r>
          </w:p>
        </w:tc>
        <w:tc>
          <w:tcPr>
            <w:tcW w:w="388" w:type="pct"/>
            <w:vAlign w:val="center"/>
          </w:tcPr>
          <w:p w14:paraId="6806CFAB">
            <w:pPr>
              <w:widowControl/>
              <w:spacing w:line="360" w:lineRule="auto"/>
              <w:jc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6</w:t>
            </w:r>
          </w:p>
        </w:tc>
        <w:tc>
          <w:tcPr>
            <w:tcW w:w="3202" w:type="pct"/>
            <w:vAlign w:val="center"/>
          </w:tcPr>
          <w:p w14:paraId="62A6D926">
            <w:pPr>
              <w:spacing w:after="0"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对投标人提供的培训方案进行评审：</w:t>
            </w:r>
          </w:p>
          <w:p w14:paraId="35E57A58">
            <w:pPr>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方案内容完整、合理可行、具体实施细节及措施详尽，得6分；</w:t>
            </w:r>
          </w:p>
          <w:p w14:paraId="3F935F41">
            <w:pPr>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方案基本涵盖招标文件要求，提供的具体实施细节及措施不够完善得4分；</w:t>
            </w:r>
          </w:p>
          <w:p w14:paraId="13BA1FED">
            <w:pPr>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方案内容有缺失或未提供具体实施细节及措施，得2分；</w:t>
            </w:r>
          </w:p>
          <w:p w14:paraId="33165A36">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未提供得0分。</w:t>
            </w:r>
          </w:p>
        </w:tc>
      </w:tr>
    </w:tbl>
    <w:p w14:paraId="7F1F2F98">
      <w:pPr>
        <w:widowControl/>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3.3价格部分</w:t>
      </w:r>
    </w:p>
    <w:tbl>
      <w:tblPr>
        <w:tblStyle w:val="43"/>
        <w:tblW w:w="5000" w:type="pct"/>
        <w:tblInd w:w="0" w:type="dxa"/>
        <w:tblLayout w:type="autofit"/>
        <w:tblCellMar>
          <w:top w:w="0" w:type="dxa"/>
          <w:left w:w="108" w:type="dxa"/>
          <w:bottom w:w="0" w:type="dxa"/>
          <w:right w:w="108" w:type="dxa"/>
        </w:tblCellMar>
      </w:tblPr>
      <w:tblGrid>
        <w:gridCol w:w="1506"/>
        <w:gridCol w:w="773"/>
        <w:gridCol w:w="7009"/>
      </w:tblGrid>
      <w:tr w14:paraId="64D1BE82">
        <w:tblPrEx>
          <w:tblCellMar>
            <w:top w:w="0" w:type="dxa"/>
            <w:left w:w="108" w:type="dxa"/>
            <w:bottom w:w="0" w:type="dxa"/>
            <w:right w:w="108" w:type="dxa"/>
          </w:tblCellMar>
        </w:tblPrEx>
        <w:trPr>
          <w:trHeight w:val="420" w:hRule="atLeast"/>
        </w:trPr>
        <w:tc>
          <w:tcPr>
            <w:tcW w:w="811" w:type="pct"/>
            <w:tcBorders>
              <w:top w:val="single" w:color="auto" w:sz="4" w:space="0"/>
              <w:left w:val="single" w:color="auto" w:sz="4" w:space="0"/>
              <w:bottom w:val="single" w:color="auto" w:sz="4" w:space="0"/>
              <w:right w:val="single" w:color="auto" w:sz="4" w:space="0"/>
            </w:tcBorders>
            <w:vAlign w:val="center"/>
          </w:tcPr>
          <w:p w14:paraId="6A71DFE3">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评分因素</w:t>
            </w:r>
          </w:p>
        </w:tc>
        <w:tc>
          <w:tcPr>
            <w:tcW w:w="416" w:type="pct"/>
            <w:tcBorders>
              <w:top w:val="single" w:color="auto" w:sz="4" w:space="0"/>
              <w:left w:val="nil"/>
              <w:bottom w:val="single" w:color="auto" w:sz="4" w:space="0"/>
              <w:right w:val="single" w:color="auto" w:sz="4" w:space="0"/>
            </w:tcBorders>
            <w:vAlign w:val="center"/>
          </w:tcPr>
          <w:p w14:paraId="2DA70978">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分值</w:t>
            </w:r>
          </w:p>
        </w:tc>
        <w:tc>
          <w:tcPr>
            <w:tcW w:w="3773" w:type="pct"/>
            <w:tcBorders>
              <w:top w:val="single" w:color="auto" w:sz="4" w:space="0"/>
              <w:left w:val="nil"/>
              <w:bottom w:val="single" w:color="auto" w:sz="4" w:space="0"/>
              <w:right w:val="single" w:color="000000" w:sz="4" w:space="0"/>
            </w:tcBorders>
            <w:vAlign w:val="center"/>
          </w:tcPr>
          <w:p w14:paraId="7C22F9B0">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评分标准</w:t>
            </w:r>
          </w:p>
        </w:tc>
      </w:tr>
      <w:tr w14:paraId="031DAD07">
        <w:tblPrEx>
          <w:tblCellMar>
            <w:top w:w="0" w:type="dxa"/>
            <w:left w:w="108" w:type="dxa"/>
            <w:bottom w:w="0" w:type="dxa"/>
            <w:right w:w="108" w:type="dxa"/>
          </w:tblCellMar>
        </w:tblPrEx>
        <w:trPr>
          <w:trHeight w:val="956" w:hRule="atLeast"/>
        </w:trPr>
        <w:tc>
          <w:tcPr>
            <w:tcW w:w="811" w:type="pct"/>
            <w:tcBorders>
              <w:top w:val="nil"/>
              <w:left w:val="single" w:color="auto" w:sz="4" w:space="0"/>
              <w:bottom w:val="single" w:color="auto" w:sz="4" w:space="0"/>
              <w:right w:val="single" w:color="auto" w:sz="4" w:space="0"/>
            </w:tcBorders>
            <w:vAlign w:val="center"/>
          </w:tcPr>
          <w:p w14:paraId="5D867EE1">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评标价格</w:t>
            </w:r>
          </w:p>
        </w:tc>
        <w:tc>
          <w:tcPr>
            <w:tcW w:w="416" w:type="pct"/>
            <w:tcBorders>
              <w:top w:val="nil"/>
              <w:left w:val="nil"/>
              <w:bottom w:val="single" w:color="auto" w:sz="4" w:space="0"/>
              <w:right w:val="single" w:color="auto" w:sz="4" w:space="0"/>
            </w:tcBorders>
            <w:vAlign w:val="center"/>
          </w:tcPr>
          <w:p w14:paraId="0BBE6F09">
            <w:pPr>
              <w:widowControl/>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w:t>
            </w:r>
          </w:p>
        </w:tc>
        <w:tc>
          <w:tcPr>
            <w:tcW w:w="3773" w:type="pct"/>
            <w:tcBorders>
              <w:top w:val="single" w:color="auto" w:sz="4" w:space="0"/>
              <w:left w:val="nil"/>
              <w:bottom w:val="single" w:color="auto" w:sz="4" w:space="0"/>
              <w:right w:val="single" w:color="000000" w:sz="4" w:space="0"/>
            </w:tcBorders>
            <w:vAlign w:val="center"/>
          </w:tcPr>
          <w:p w14:paraId="23B651F6">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满足招标文件要求且投标价格最低的投标报价为评标基准价，其价格分为满分。其他投标人的价格分统一按照下列公式计算：</w:t>
            </w:r>
          </w:p>
          <w:p w14:paraId="24730BDB">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投标报价得分＝（评标基准价/投标报价）×30。</w:t>
            </w:r>
          </w:p>
          <w:p w14:paraId="6C9AA0F4">
            <w:pPr>
              <w:widowControl/>
              <w:spacing w:line="360" w:lineRule="auto"/>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此处投标报价指经过报价修正，及因落实政府采购政策进行价格调整后的报价，详见第四章《评标方法和评标标准》2.4及2.5。</w:t>
            </w:r>
          </w:p>
        </w:tc>
      </w:tr>
    </w:tbl>
    <w:p w14:paraId="70B87A9F">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62132973">
      <w:pPr>
        <w:spacing w:line="360" w:lineRule="auto"/>
        <w:jc w:val="center"/>
        <w:outlineLvl w:val="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第五章   采购需求</w:t>
      </w:r>
      <w:bookmarkEnd w:id="820"/>
    </w:p>
    <w:p w14:paraId="2B583491">
      <w:pPr>
        <w:pStyle w:val="73"/>
        <w:numPr>
          <w:ilvl w:val="0"/>
          <w:numId w:val="15"/>
        </w:numPr>
        <w:spacing w:line="360" w:lineRule="auto"/>
        <w:ind w:firstLineChars="0"/>
        <w:contextualSpacing/>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采购标的</w:t>
      </w:r>
    </w:p>
    <w:p w14:paraId="71E57B82">
      <w:pPr>
        <w:numPr>
          <w:ilvl w:val="0"/>
          <w:numId w:val="16"/>
        </w:num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、采购标的（货物需求一览表或简要服务内容及数量）</w:t>
      </w:r>
    </w:p>
    <w:tbl>
      <w:tblPr>
        <w:tblStyle w:val="4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948"/>
        <w:gridCol w:w="2188"/>
        <w:gridCol w:w="842"/>
        <w:gridCol w:w="876"/>
        <w:gridCol w:w="829"/>
        <w:gridCol w:w="1131"/>
        <w:gridCol w:w="1965"/>
      </w:tblGrid>
      <w:tr w14:paraId="30031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4" w:type="pct"/>
            <w:vAlign w:val="center"/>
          </w:tcPr>
          <w:p w14:paraId="1E9AA4D0">
            <w:pPr>
              <w:spacing w:line="240" w:lineRule="auto"/>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包号</w:t>
            </w:r>
          </w:p>
        </w:tc>
        <w:tc>
          <w:tcPr>
            <w:tcW w:w="514" w:type="pct"/>
            <w:vAlign w:val="center"/>
          </w:tcPr>
          <w:p w14:paraId="74F1BE7E">
            <w:pPr>
              <w:spacing w:line="240" w:lineRule="auto"/>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品目</w:t>
            </w:r>
          </w:p>
        </w:tc>
        <w:tc>
          <w:tcPr>
            <w:tcW w:w="1182" w:type="pct"/>
            <w:vAlign w:val="center"/>
          </w:tcPr>
          <w:p w14:paraId="2C13D123">
            <w:pPr>
              <w:spacing w:line="240" w:lineRule="auto"/>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标的名称</w:t>
            </w:r>
          </w:p>
        </w:tc>
        <w:tc>
          <w:tcPr>
            <w:tcW w:w="457" w:type="pct"/>
            <w:vAlign w:val="center"/>
          </w:tcPr>
          <w:p w14:paraId="7A65A6E0">
            <w:pPr>
              <w:spacing w:line="240" w:lineRule="auto"/>
              <w:jc w:val="center"/>
              <w:rPr>
                <w:rFonts w:hint="eastAsia" w:ascii="宋体" w:hAnsi="宋体" w:eastAsia="宋体" w:cs="宋体"/>
                <w:bCs/>
                <w:color w:val="auto"/>
                <w:szCs w:val="21"/>
                <w:highlight w:val="none"/>
              </w:rPr>
            </w:pPr>
            <w:r>
              <w:rPr>
                <w:rFonts w:hint="eastAsia" w:ascii="宋体" w:hAnsi="宋体" w:eastAsia="宋体" w:cs="宋体"/>
                <w:color w:val="auto"/>
                <w:sz w:val="24"/>
                <w:highlight w:val="none"/>
              </w:rPr>
              <w:t>数量</w:t>
            </w:r>
          </w:p>
        </w:tc>
        <w:tc>
          <w:tcPr>
            <w:tcW w:w="450" w:type="pct"/>
            <w:vAlign w:val="center"/>
          </w:tcPr>
          <w:p w14:paraId="09E71A1C">
            <w:pPr>
              <w:spacing w:line="24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最高限价单价</w:t>
            </w:r>
          </w:p>
        </w:tc>
        <w:tc>
          <w:tcPr>
            <w:tcW w:w="450" w:type="pct"/>
            <w:vAlign w:val="center"/>
          </w:tcPr>
          <w:p w14:paraId="495B02A6">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是否进口</w:t>
            </w:r>
          </w:p>
        </w:tc>
        <w:tc>
          <w:tcPr>
            <w:tcW w:w="612" w:type="pct"/>
            <w:vAlign w:val="center"/>
          </w:tcPr>
          <w:p w14:paraId="26E498E4">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是否核心产品</w:t>
            </w:r>
          </w:p>
        </w:tc>
        <w:tc>
          <w:tcPr>
            <w:tcW w:w="1964" w:type="dxa"/>
            <w:vAlign w:val="center"/>
          </w:tcPr>
          <w:p w14:paraId="1DD9704C">
            <w:pPr>
              <w:spacing w:line="240" w:lineRule="auto"/>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质保期</w:t>
            </w:r>
          </w:p>
        </w:tc>
      </w:tr>
      <w:tr w14:paraId="0DDC1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04ADDEA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954" w:type="dxa"/>
            <w:vAlign w:val="center"/>
          </w:tcPr>
          <w:p w14:paraId="5FFAD21B">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1-1</w:t>
            </w:r>
          </w:p>
        </w:tc>
        <w:tc>
          <w:tcPr>
            <w:tcW w:w="2194" w:type="dxa"/>
            <w:vAlign w:val="center"/>
          </w:tcPr>
          <w:p w14:paraId="513F6201">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2"/>
                <w:szCs w:val="22"/>
                <w:highlight w:val="none"/>
                <w:u w:val="none"/>
                <w:lang w:val="en-US" w:eastAsia="zh-CN" w:bidi="ar"/>
              </w:rPr>
              <w:t>三维电生理导航系统</w:t>
            </w:r>
          </w:p>
        </w:tc>
        <w:tc>
          <w:tcPr>
            <w:tcW w:w="848" w:type="dxa"/>
            <w:vAlign w:val="center"/>
          </w:tcPr>
          <w:p w14:paraId="24A07AD4">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43E2338F">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220</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3032BFB1">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1136" w:type="dxa"/>
            <w:vAlign w:val="center"/>
          </w:tcPr>
          <w:p w14:paraId="24B02F04">
            <w:pPr>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否</w:t>
            </w:r>
          </w:p>
        </w:tc>
        <w:tc>
          <w:tcPr>
            <w:tcW w:w="1964" w:type="dxa"/>
            <w:vAlign w:val="center"/>
          </w:tcPr>
          <w:p w14:paraId="23D22F98">
            <w:pPr>
              <w:jc w:val="center"/>
              <w:rPr>
                <w:rFonts w:hint="eastAsia" w:ascii="宋体" w:hAnsi="宋体" w:eastAsia="宋体" w:cs="宋体"/>
                <w:color w:val="auto"/>
                <w:kern w:val="0"/>
                <w:szCs w:val="21"/>
                <w:highlight w:val="none"/>
              </w:rPr>
            </w:pPr>
            <w:r>
              <w:rPr>
                <w:rFonts w:hint="eastAsia" w:ascii="宋体" w:hAnsi="宋体" w:cs="宋体"/>
                <w:color w:val="auto"/>
                <w:kern w:val="0"/>
                <w:sz w:val="24"/>
                <w:highlight w:val="none"/>
                <w:lang w:val="en-US" w:eastAsia="zh-CN"/>
              </w:rPr>
              <w:t>5年</w:t>
            </w:r>
          </w:p>
        </w:tc>
      </w:tr>
      <w:tr w14:paraId="6121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65B7A254">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954" w:type="dxa"/>
            <w:vAlign w:val="center"/>
          </w:tcPr>
          <w:p w14:paraId="4D1D352F">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1-2</w:t>
            </w:r>
          </w:p>
        </w:tc>
        <w:tc>
          <w:tcPr>
            <w:tcW w:w="2194" w:type="dxa"/>
            <w:vAlign w:val="center"/>
          </w:tcPr>
          <w:p w14:paraId="1DD409D4">
            <w:pPr>
              <w:keepNext w:val="0"/>
              <w:keepLines w:val="0"/>
              <w:widowControl/>
              <w:suppressLineNumbers w:val="0"/>
              <w:jc w:val="center"/>
              <w:textAlignment w:val="center"/>
              <w:rPr>
                <w:rFonts w:hint="eastAsia" w:ascii="宋体" w:hAnsi="宋体" w:eastAsia="宋体" w:cs="宋体"/>
                <w:color w:val="auto"/>
                <w:sz w:val="24"/>
                <w:highlight w:val="none"/>
              </w:rPr>
            </w:pPr>
            <w:r>
              <w:rPr>
                <w:rFonts w:hint="eastAsia" w:ascii="宋体" w:hAnsi="宋体" w:eastAsia="宋体" w:cs="宋体"/>
                <w:i w:val="0"/>
                <w:iCs w:val="0"/>
                <w:color w:val="auto"/>
                <w:kern w:val="0"/>
                <w:sz w:val="22"/>
                <w:szCs w:val="22"/>
                <w:highlight w:val="none"/>
                <w:u w:val="none"/>
                <w:lang w:val="en-US" w:eastAsia="zh-CN" w:bidi="ar"/>
              </w:rPr>
              <w:t>视频脑电检测分析系统</w:t>
            </w:r>
          </w:p>
        </w:tc>
        <w:tc>
          <w:tcPr>
            <w:tcW w:w="848" w:type="dxa"/>
            <w:vAlign w:val="center"/>
          </w:tcPr>
          <w:p w14:paraId="61E0BB04">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5CDA6535">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180</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0B02FAFD">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1136" w:type="dxa"/>
            <w:vAlign w:val="center"/>
          </w:tcPr>
          <w:p w14:paraId="584421B2">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是</w:t>
            </w:r>
          </w:p>
        </w:tc>
        <w:tc>
          <w:tcPr>
            <w:tcW w:w="1964" w:type="dxa"/>
            <w:vAlign w:val="center"/>
          </w:tcPr>
          <w:p w14:paraId="5E994117">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61349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656270AC">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01</w:t>
            </w:r>
          </w:p>
        </w:tc>
        <w:tc>
          <w:tcPr>
            <w:tcW w:w="954" w:type="dxa"/>
            <w:vAlign w:val="center"/>
          </w:tcPr>
          <w:p w14:paraId="60DE7504">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1-3</w:t>
            </w:r>
          </w:p>
        </w:tc>
        <w:tc>
          <w:tcPr>
            <w:tcW w:w="2194" w:type="dxa"/>
            <w:vAlign w:val="center"/>
          </w:tcPr>
          <w:p w14:paraId="6B2CDB20">
            <w:pPr>
              <w:keepNext w:val="0"/>
              <w:keepLines w:val="0"/>
              <w:widowControl/>
              <w:suppressLineNumbers w:val="0"/>
              <w:jc w:val="center"/>
              <w:textAlignment w:val="center"/>
              <w:rPr>
                <w:rFonts w:hint="eastAsia" w:ascii="宋体" w:hAnsi="宋体" w:eastAsia="宋体" w:cs="宋体"/>
                <w:color w:val="auto"/>
                <w:sz w:val="24"/>
                <w:highlight w:val="none"/>
              </w:rPr>
            </w:pPr>
            <w:r>
              <w:rPr>
                <w:rFonts w:hint="eastAsia" w:ascii="宋体" w:hAnsi="宋体" w:eastAsia="宋体" w:cs="宋体"/>
                <w:i w:val="0"/>
                <w:iCs w:val="0"/>
                <w:color w:val="auto"/>
                <w:kern w:val="0"/>
                <w:sz w:val="22"/>
                <w:szCs w:val="22"/>
                <w:highlight w:val="none"/>
                <w:u w:val="none"/>
                <w:lang w:val="en-US" w:eastAsia="zh-CN" w:bidi="ar"/>
              </w:rPr>
              <w:t>血流分析系统</w:t>
            </w:r>
          </w:p>
        </w:tc>
        <w:tc>
          <w:tcPr>
            <w:tcW w:w="848" w:type="dxa"/>
            <w:vAlign w:val="center"/>
          </w:tcPr>
          <w:p w14:paraId="66EBF5EA">
            <w:pPr>
              <w:keepNext w:val="0"/>
              <w:keepLines w:val="0"/>
              <w:widowControl/>
              <w:suppressLineNumbers w:val="0"/>
              <w:jc w:val="center"/>
              <w:textAlignment w:val="center"/>
              <w:rPr>
                <w:rFonts w:hint="eastAsia" w:ascii="宋体" w:hAnsi="宋体" w:eastAsia="宋体" w:cs="宋体"/>
                <w:bCs/>
                <w:color w:val="auto"/>
                <w:szCs w:val="21"/>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2B1BF3F9">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50</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783B3CC3">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1136" w:type="dxa"/>
            <w:vAlign w:val="center"/>
          </w:tcPr>
          <w:p w14:paraId="2120404C">
            <w:pPr>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否</w:t>
            </w:r>
          </w:p>
        </w:tc>
        <w:tc>
          <w:tcPr>
            <w:tcW w:w="1964" w:type="dxa"/>
            <w:vAlign w:val="center"/>
          </w:tcPr>
          <w:p w14:paraId="0C72AFE0">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37AF1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5DED7A69">
            <w:pPr>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0</w:t>
            </w:r>
            <w:r>
              <w:rPr>
                <w:rFonts w:hint="eastAsia" w:ascii="宋体" w:hAnsi="宋体" w:cs="宋体"/>
                <w:bCs/>
                <w:color w:val="auto"/>
                <w:szCs w:val="21"/>
                <w:highlight w:val="none"/>
                <w:lang w:val="en-US" w:eastAsia="zh-CN"/>
              </w:rPr>
              <w:t>2</w:t>
            </w:r>
          </w:p>
        </w:tc>
        <w:tc>
          <w:tcPr>
            <w:tcW w:w="954" w:type="dxa"/>
            <w:vAlign w:val="center"/>
          </w:tcPr>
          <w:p w14:paraId="2827F7B5">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2-1</w:t>
            </w:r>
          </w:p>
        </w:tc>
        <w:tc>
          <w:tcPr>
            <w:tcW w:w="2194" w:type="dxa"/>
            <w:vAlign w:val="center"/>
          </w:tcPr>
          <w:p w14:paraId="6C3378D4">
            <w:pPr>
              <w:keepNext w:val="0"/>
              <w:keepLines w:val="0"/>
              <w:widowControl/>
              <w:suppressLineNumbers w:val="0"/>
              <w:jc w:val="center"/>
              <w:textAlignment w:val="center"/>
              <w:rPr>
                <w:rFonts w:hint="eastAsia" w:ascii="宋体" w:hAnsi="宋体" w:eastAsia="宋体" w:cs="宋体"/>
                <w:color w:val="auto"/>
                <w:sz w:val="24"/>
                <w:szCs w:val="28"/>
                <w:highlight w:val="none"/>
              </w:rPr>
            </w:pPr>
            <w:r>
              <w:rPr>
                <w:rFonts w:hint="eastAsia" w:ascii="宋体" w:hAnsi="宋体" w:eastAsia="宋体" w:cs="宋体"/>
                <w:i w:val="0"/>
                <w:iCs w:val="0"/>
                <w:color w:val="auto"/>
                <w:kern w:val="0"/>
                <w:sz w:val="22"/>
                <w:szCs w:val="22"/>
                <w:highlight w:val="none"/>
                <w:u w:val="none"/>
                <w:lang w:val="en-US" w:eastAsia="zh-CN" w:bidi="ar"/>
              </w:rPr>
              <w:t>移动式C形臂X线机</w:t>
            </w:r>
          </w:p>
        </w:tc>
        <w:tc>
          <w:tcPr>
            <w:tcW w:w="848" w:type="dxa"/>
            <w:vAlign w:val="center"/>
          </w:tcPr>
          <w:p w14:paraId="2C0805C0">
            <w:pPr>
              <w:keepNext w:val="0"/>
              <w:keepLines w:val="0"/>
              <w:widowControl/>
              <w:suppressLineNumbers w:val="0"/>
              <w:jc w:val="center"/>
              <w:textAlignment w:val="center"/>
              <w:rPr>
                <w:rFonts w:hint="eastAsia" w:ascii="宋体" w:hAnsi="宋体" w:eastAsia="宋体" w:cs="宋体"/>
                <w:color w:val="auto"/>
                <w:sz w:val="24"/>
                <w:szCs w:val="28"/>
                <w:highlight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5C826B6F">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128</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3DD83E90">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否</w:t>
            </w:r>
          </w:p>
        </w:tc>
        <w:tc>
          <w:tcPr>
            <w:tcW w:w="1136" w:type="dxa"/>
            <w:vAlign w:val="center"/>
          </w:tcPr>
          <w:p w14:paraId="2688A322">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单一产品</w:t>
            </w:r>
          </w:p>
        </w:tc>
        <w:tc>
          <w:tcPr>
            <w:tcW w:w="1964" w:type="dxa"/>
            <w:vAlign w:val="center"/>
          </w:tcPr>
          <w:p w14:paraId="48C3A42A">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641A9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7472B7B4">
            <w:pPr>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03</w:t>
            </w:r>
          </w:p>
        </w:tc>
        <w:tc>
          <w:tcPr>
            <w:tcW w:w="954" w:type="dxa"/>
            <w:vAlign w:val="center"/>
          </w:tcPr>
          <w:p w14:paraId="44BDC839">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3-1</w:t>
            </w:r>
          </w:p>
        </w:tc>
        <w:tc>
          <w:tcPr>
            <w:tcW w:w="2194" w:type="dxa"/>
            <w:vAlign w:val="center"/>
          </w:tcPr>
          <w:p w14:paraId="733C2441">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经颅强交流电刺激仪</w:t>
            </w:r>
          </w:p>
        </w:tc>
        <w:tc>
          <w:tcPr>
            <w:tcW w:w="848" w:type="dxa"/>
            <w:vAlign w:val="center"/>
          </w:tcPr>
          <w:p w14:paraId="672B3180">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65077A85">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85</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3E8BE656">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1136" w:type="dxa"/>
            <w:vAlign w:val="center"/>
          </w:tcPr>
          <w:p w14:paraId="437E9EED">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单一产品</w:t>
            </w:r>
          </w:p>
        </w:tc>
        <w:tc>
          <w:tcPr>
            <w:tcW w:w="1964" w:type="dxa"/>
            <w:vAlign w:val="center"/>
          </w:tcPr>
          <w:p w14:paraId="243D5993">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r w14:paraId="421C8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9" w:type="dxa"/>
            <w:vAlign w:val="center"/>
          </w:tcPr>
          <w:p w14:paraId="19E0EC90">
            <w:pPr>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04</w:t>
            </w:r>
          </w:p>
        </w:tc>
        <w:tc>
          <w:tcPr>
            <w:tcW w:w="954" w:type="dxa"/>
            <w:vAlign w:val="center"/>
          </w:tcPr>
          <w:p w14:paraId="27C6D59E">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4-1</w:t>
            </w:r>
          </w:p>
        </w:tc>
        <w:tc>
          <w:tcPr>
            <w:tcW w:w="2194" w:type="dxa"/>
            <w:vAlign w:val="center"/>
          </w:tcPr>
          <w:p w14:paraId="37F6B21B">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脑电/事件相关电位分析系统（256导）</w:t>
            </w:r>
          </w:p>
        </w:tc>
        <w:tc>
          <w:tcPr>
            <w:tcW w:w="848" w:type="dxa"/>
            <w:vAlign w:val="center"/>
          </w:tcPr>
          <w:p w14:paraId="107C702E">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836" w:type="dxa"/>
            <w:vAlign w:val="center"/>
          </w:tcPr>
          <w:p w14:paraId="4A94007C">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165</w:t>
            </w:r>
            <w:r>
              <w:rPr>
                <w:rFonts w:hint="eastAsia" w:ascii="宋体" w:hAnsi="宋体" w:cs="宋体"/>
                <w:i w:val="0"/>
                <w:iCs w:val="0"/>
                <w:color w:val="auto"/>
                <w:kern w:val="0"/>
                <w:sz w:val="22"/>
                <w:szCs w:val="22"/>
                <w:highlight w:val="none"/>
                <w:u w:val="none"/>
                <w:lang w:val="en-US" w:eastAsia="zh-CN" w:bidi="ar"/>
              </w:rPr>
              <w:t>.00</w:t>
            </w:r>
          </w:p>
        </w:tc>
        <w:tc>
          <w:tcPr>
            <w:tcW w:w="835" w:type="dxa"/>
            <w:vAlign w:val="center"/>
          </w:tcPr>
          <w:p w14:paraId="68510465">
            <w:pPr>
              <w:keepNext w:val="0"/>
              <w:keepLines w:val="0"/>
              <w:widowControl/>
              <w:suppressLineNumbers w:val="0"/>
              <w:jc w:val="center"/>
              <w:textAlignment w:val="center"/>
              <w:rPr>
                <w:rFonts w:hint="eastAsia" w:ascii="宋体" w:hAnsi="宋体" w:eastAsia="宋体" w:cs="宋体"/>
                <w:color w:val="auto"/>
                <w:kern w:val="0"/>
                <w:sz w:val="24"/>
                <w:highlight w:val="none"/>
              </w:rPr>
            </w:pPr>
            <w:r>
              <w:rPr>
                <w:rFonts w:hint="eastAsia" w:ascii="宋体" w:hAnsi="宋体" w:eastAsia="宋体" w:cs="宋体"/>
                <w:i w:val="0"/>
                <w:iCs w:val="0"/>
                <w:color w:val="auto"/>
                <w:kern w:val="0"/>
                <w:sz w:val="22"/>
                <w:szCs w:val="22"/>
                <w:highlight w:val="none"/>
                <w:u w:val="none"/>
                <w:lang w:val="en-US" w:eastAsia="zh-CN" w:bidi="ar"/>
              </w:rPr>
              <w:t>是</w:t>
            </w:r>
          </w:p>
        </w:tc>
        <w:tc>
          <w:tcPr>
            <w:tcW w:w="1136" w:type="dxa"/>
            <w:vAlign w:val="center"/>
          </w:tcPr>
          <w:p w14:paraId="0AC95673">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单一产品</w:t>
            </w:r>
          </w:p>
        </w:tc>
        <w:tc>
          <w:tcPr>
            <w:tcW w:w="1964" w:type="dxa"/>
            <w:vAlign w:val="center"/>
          </w:tcPr>
          <w:p w14:paraId="121D0A9D">
            <w:pPr>
              <w:jc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5年</w:t>
            </w:r>
          </w:p>
        </w:tc>
      </w:tr>
    </w:tbl>
    <w:p w14:paraId="5E8DFE07">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（二）、项目背景/项目概述：</w:t>
      </w:r>
    </w:p>
    <w:p w14:paraId="4C2275F0">
      <w:pPr>
        <w:spacing w:line="360" w:lineRule="auto"/>
        <w:ind w:firstLine="482"/>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首都医科大学宣武医院</w:t>
      </w:r>
      <w:r>
        <w:rPr>
          <w:rFonts w:hint="eastAsia" w:ascii="宋体" w:hAnsi="宋体" w:eastAsia="宋体" w:cs="宋体"/>
          <w:color w:val="auto"/>
          <w:sz w:val="24"/>
          <w:highlight w:val="none"/>
          <w:lang w:val="en-US" w:eastAsia="zh-CN"/>
        </w:rPr>
        <w:t>购置一批</w:t>
      </w:r>
      <w:r>
        <w:rPr>
          <w:rFonts w:hint="eastAsia" w:ascii="宋体" w:hAnsi="宋体" w:cs="宋体"/>
          <w:color w:val="auto"/>
          <w:sz w:val="24"/>
          <w:highlight w:val="none"/>
          <w:lang w:val="en-US" w:eastAsia="zh-CN"/>
        </w:rPr>
        <w:t>临床教学</w:t>
      </w:r>
      <w:r>
        <w:rPr>
          <w:rFonts w:hint="eastAsia" w:ascii="宋体" w:hAnsi="宋体" w:eastAsia="宋体" w:cs="宋体"/>
          <w:color w:val="auto"/>
          <w:sz w:val="24"/>
          <w:highlight w:val="none"/>
          <w:lang w:eastAsia="zh-CN"/>
        </w:rPr>
        <w:t>设备</w:t>
      </w:r>
      <w:r>
        <w:rPr>
          <w:rFonts w:hint="eastAsia" w:ascii="宋体" w:hAnsi="宋体" w:eastAsia="宋体" w:cs="宋体"/>
          <w:color w:val="auto"/>
          <w:sz w:val="24"/>
          <w:highlight w:val="none"/>
        </w:rPr>
        <w:t>。</w:t>
      </w:r>
    </w:p>
    <w:p w14:paraId="17988BE0">
      <w:pPr>
        <w:pStyle w:val="73"/>
        <w:numPr>
          <w:ilvl w:val="0"/>
          <w:numId w:val="15"/>
        </w:numPr>
        <w:spacing w:line="360" w:lineRule="auto"/>
        <w:ind w:firstLineChars="0"/>
        <w:contextualSpacing/>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商务要求</w:t>
      </w:r>
    </w:p>
    <w:p w14:paraId="523AC20D">
      <w:pPr>
        <w:spacing w:line="360" w:lineRule="auto"/>
        <w:contextualSpacing/>
        <w:rPr>
          <w:rFonts w:hint="eastAsia" w:ascii="宋体" w:hAnsi="宋体" w:eastAsia="宋体" w:cs="宋体"/>
          <w:i/>
          <w:color w:val="auto"/>
          <w:sz w:val="24"/>
          <w:highlight w:val="none"/>
        </w:rPr>
      </w:pPr>
      <w:r>
        <w:rPr>
          <w:rFonts w:hint="eastAsia" w:ascii="宋体" w:hAnsi="宋体" w:eastAsia="宋体" w:cs="宋体"/>
          <w:color w:val="auto"/>
          <w:sz w:val="24"/>
          <w:highlight w:val="none"/>
        </w:rPr>
        <w:t>（一）、交付（实施）的时间（期限）和地点（范围）</w:t>
      </w:r>
    </w:p>
    <w:p w14:paraId="7721DC85">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时间：合同签订后90天内交货。</w:t>
      </w:r>
    </w:p>
    <w:p w14:paraId="6915E4A2">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地点：首都医科大学宣武医院</w:t>
      </w:r>
    </w:p>
    <w:p w14:paraId="2FDBD9FE">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color w:val="auto"/>
          <w:sz w:val="24"/>
          <w:highlight w:val="none"/>
        </w:rPr>
        <w:t>（二）、付款条件（进度和方式）：详见合同文本</w:t>
      </w:r>
    </w:p>
    <w:p w14:paraId="542D1812">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（三）、包装和运输（如适用，须满足《关于印发〈商品包装政府采购需求标准（试行）〉、〈快递包装政府采购需求标准（试行）〉的通知》（财办库﹝2020﹞123号））</w:t>
      </w:r>
    </w:p>
    <w:p w14:paraId="08BA4E23">
      <w:pPr>
        <w:spacing w:line="360" w:lineRule="auto"/>
        <w:contextualSpacing/>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（四）、售后服务（质保期）（如适用）</w:t>
      </w:r>
      <w:r>
        <w:rPr>
          <w:rFonts w:hint="eastAsia" w:ascii="宋体" w:hAnsi="宋体" w:cs="宋体"/>
          <w:color w:val="auto"/>
          <w:sz w:val="24"/>
          <w:highlight w:val="none"/>
          <w:lang w:eastAsia="zh-CN"/>
        </w:rPr>
        <w:t>：</w:t>
      </w:r>
      <w:r>
        <w:rPr>
          <w:rFonts w:ascii="仿宋" w:hAnsi="仿宋" w:eastAsia="仿宋" w:cs="Arial"/>
          <w:color w:val="auto"/>
          <w:sz w:val="24"/>
          <w:highlight w:val="none"/>
        </w:rPr>
        <w:t>详见</w:t>
      </w:r>
      <w:r>
        <w:rPr>
          <w:rFonts w:ascii="仿宋" w:hAnsi="仿宋" w:eastAsia="仿宋" w:cs="Arial"/>
          <w:bCs/>
          <w:color w:val="auto"/>
          <w:sz w:val="24"/>
          <w:highlight w:val="none"/>
        </w:rPr>
        <w:t>货物技术规格具体要求</w:t>
      </w:r>
    </w:p>
    <w:p w14:paraId="345C3AB6">
      <w:pPr>
        <w:spacing w:line="360" w:lineRule="auto"/>
        <w:contextualSpacing/>
        <w:rPr>
          <w:rFonts w:hint="eastAsia" w:ascii="宋体" w:hAnsi="宋体" w:eastAsia="宋体" w:cs="宋体"/>
          <w:b/>
          <w:i/>
          <w:color w:val="auto"/>
          <w:sz w:val="24"/>
          <w:highlight w:val="none"/>
          <w:lang w:eastAsia="zh-CN"/>
        </w:rPr>
      </w:pPr>
      <w:r>
        <w:rPr>
          <w:rFonts w:hint="eastAsia" w:ascii="宋体" w:hAnsi="宋体" w:eastAsia="宋体" w:cs="宋体"/>
          <w:color w:val="auto"/>
          <w:sz w:val="24"/>
          <w:highlight w:val="none"/>
        </w:rPr>
        <w:t>（五）、保险（如适用）</w:t>
      </w:r>
      <w:r>
        <w:rPr>
          <w:rFonts w:hint="eastAsia" w:ascii="宋体" w:hAnsi="宋体" w:cs="宋体"/>
          <w:color w:val="auto"/>
          <w:sz w:val="24"/>
          <w:highlight w:val="none"/>
          <w:lang w:eastAsia="zh-CN"/>
        </w:rPr>
        <w:t>：</w:t>
      </w:r>
      <w:r>
        <w:rPr>
          <w:rFonts w:hint="eastAsia" w:ascii="仿宋" w:hAnsi="仿宋" w:eastAsia="仿宋" w:cs="Arial"/>
          <w:color w:val="auto"/>
          <w:sz w:val="24"/>
          <w:highlight w:val="none"/>
        </w:rPr>
        <w:t>详见合同文本</w:t>
      </w:r>
    </w:p>
    <w:p w14:paraId="51453541">
      <w:pPr>
        <w:pStyle w:val="73"/>
        <w:numPr>
          <w:ilvl w:val="0"/>
          <w:numId w:val="15"/>
        </w:numPr>
        <w:spacing w:line="360" w:lineRule="auto"/>
        <w:ind w:firstLineChars="0"/>
        <w:contextualSpacing/>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技术要求</w:t>
      </w:r>
    </w:p>
    <w:p w14:paraId="6718CFFC">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（一）基本要求</w:t>
      </w:r>
    </w:p>
    <w:p w14:paraId="3DEFDA6D">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1.采购标的需实现的功能或者目标：</w:t>
      </w:r>
    </w:p>
    <w:p w14:paraId="722B9532">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本次招标为首都医科大学宣武医院</w:t>
      </w:r>
      <w:r>
        <w:rPr>
          <w:rFonts w:hint="eastAsia" w:ascii="宋体" w:hAnsi="宋体" w:cs="宋体"/>
          <w:color w:val="auto"/>
          <w:sz w:val="24"/>
          <w:highlight w:val="none"/>
          <w:lang w:eastAsia="zh-CN"/>
        </w:rPr>
        <w:t>2025年医用设备购置项目（分散采购）</w:t>
      </w:r>
      <w:r>
        <w:rPr>
          <w:rFonts w:hint="eastAsia" w:ascii="宋体" w:hAnsi="宋体" w:eastAsia="宋体" w:cs="宋体"/>
          <w:color w:val="auto"/>
          <w:sz w:val="24"/>
          <w:highlight w:val="none"/>
        </w:rPr>
        <w:t>项目选择供应商，投标人应根据招标文件所提出的采购需求，提供符合要求得产品，确保质量符合要求，以优良的服务和优惠的价格，充分显示自己的竞争实力。</w:t>
      </w:r>
    </w:p>
    <w:p w14:paraId="3065579D">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★2.需执行的国家相关标准、行业标准、地方标准或者其他标准、规范：</w:t>
      </w:r>
    </w:p>
    <w:p w14:paraId="3AFAEED7">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2.1 提供产品属于医疗器械的，根据产品分类应按《医疗器械监督管理条例》，办理医疗器械注册证或者办理备案，供应商须提供对应产品的医疗器械注册证或备案凭证（复印件加盖供应商单位公章）。</w:t>
      </w:r>
    </w:p>
    <w:p w14:paraId="52A17922">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2.2 提供产品属于医疗器械的，供应商为制造商的根据产品分类须提供医疗器械生产许可证或备案凭证（复印件加盖供应商单位公章）。供应商为代理商的根据产品分类须提供医疗器械经营许可证或备案凭证（复印件加盖供应商单位公章）。</w:t>
      </w:r>
    </w:p>
    <w:p w14:paraId="16E81A39">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2.3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FA7EB04">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46310D92">
      <w:pPr>
        <w:spacing w:line="360" w:lineRule="auto"/>
        <w:contextualSpacing/>
        <w:rPr>
          <w:rFonts w:hint="default" w:ascii="宋体" w:hAnsi="宋体" w:eastAsia="宋体" w:cs="宋体"/>
          <w:bCs/>
          <w:color w:val="auto"/>
          <w:sz w:val="24"/>
          <w:highlight w:val="none"/>
          <w:lang w:val="en-US" w:eastAsia="zh-CN"/>
        </w:rPr>
      </w:pPr>
      <w:r>
        <w:rPr>
          <w:rFonts w:hint="eastAsia" w:ascii="宋体" w:hAnsi="宋体" w:cs="宋体"/>
          <w:bCs/>
          <w:color w:val="auto"/>
          <w:sz w:val="24"/>
          <w:highlight w:val="none"/>
          <w:lang w:val="en-US" w:eastAsia="zh-CN"/>
        </w:rPr>
        <w:t>2.5如投标产品为进口产品时须提供授权书，产品授权链完整，可追溯至投标产品制作商。</w:t>
      </w:r>
    </w:p>
    <w:p w14:paraId="7AC9B33D">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3.为落实政府采购政策需满足的要求：</w:t>
      </w:r>
    </w:p>
    <w:p w14:paraId="26EE2B5D">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3.1</w:t>
      </w:r>
      <w:r>
        <w:rPr>
          <w:rFonts w:hint="eastAsia" w:ascii="宋体" w:hAnsi="宋体" w:eastAsia="宋体" w:cs="宋体"/>
          <w:bCs/>
          <w:color w:val="auto"/>
          <w:sz w:val="24"/>
          <w:szCs w:val="24"/>
          <w:highlight w:val="none"/>
        </w:rPr>
        <w:tab/>
      </w:r>
      <w:r>
        <w:rPr>
          <w:rFonts w:hint="eastAsia" w:ascii="宋体" w:hAnsi="宋体" w:eastAsia="宋体" w:cs="宋体"/>
          <w:bCs/>
          <w:color w:val="auto"/>
          <w:sz w:val="24"/>
          <w:szCs w:val="24"/>
          <w:highlight w:val="none"/>
        </w:rPr>
        <w:t>中小企业、监狱企业及残疾人福利性单位；</w:t>
      </w:r>
    </w:p>
    <w:p w14:paraId="1A026089">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w:t>
      </w:r>
      <w:r>
        <w:rPr>
          <w:rFonts w:hint="eastAsia" w:ascii="宋体" w:hAnsi="宋体" w:eastAsia="宋体" w:cs="宋体"/>
          <w:bCs/>
          <w:color w:val="auto"/>
          <w:sz w:val="24"/>
          <w:szCs w:val="24"/>
          <w:highlight w:val="none"/>
        </w:rPr>
        <w:tab/>
      </w:r>
      <w:r>
        <w:rPr>
          <w:rFonts w:hint="eastAsia" w:ascii="宋体" w:hAnsi="宋体" w:eastAsia="宋体" w:cs="宋体"/>
          <w:bCs/>
          <w:color w:val="auto"/>
          <w:sz w:val="24"/>
          <w:szCs w:val="24"/>
          <w:highlight w:val="none"/>
        </w:rPr>
        <w:t>政府采购节能产品、环境标志产品；</w:t>
      </w:r>
    </w:p>
    <w:p w14:paraId="683E21C3">
      <w:pPr>
        <w:pStyle w:val="255"/>
        <w:spacing w:line="360" w:lineRule="auto"/>
        <w:ind w:firstLine="0" w:firstLineChars="0"/>
        <w:contextualSpacing/>
        <w:rPr>
          <w:rFonts w:hint="eastAsia" w:ascii="宋体" w:hAnsi="宋体" w:eastAsia="宋体" w:cs="宋体"/>
          <w:color w:val="auto"/>
          <w:sz w:val="24"/>
          <w:highlight w:val="none"/>
        </w:rPr>
      </w:pPr>
      <w:r>
        <w:rPr>
          <w:rFonts w:hint="eastAsia" w:ascii="宋体" w:hAnsi="宋体" w:eastAsia="宋体" w:cs="宋体"/>
          <w:bCs/>
          <w:color w:val="auto"/>
          <w:sz w:val="24"/>
          <w:szCs w:val="24"/>
          <w:highlight w:val="none"/>
        </w:rPr>
        <w:t>（二）</w:t>
      </w:r>
      <w:r>
        <w:rPr>
          <w:rFonts w:hint="eastAsia" w:ascii="宋体" w:hAnsi="宋体" w:eastAsia="宋体" w:cs="宋体"/>
          <w:color w:val="auto"/>
          <w:sz w:val="24"/>
          <w:highlight w:val="none"/>
        </w:rPr>
        <w:t>采购标的需满足的质量、安全、技术规格、物理特性等要求：</w:t>
      </w:r>
    </w:p>
    <w:p w14:paraId="179BA4C6">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1、供应商所提供的部件之间及设备之间的连线或接插件均视为设备内部部件，应包含在相应的配置中。 </w:t>
      </w:r>
    </w:p>
    <w:p w14:paraId="6DCE5DE1">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2、工作条件：除了在技术要求中另有规定外，供应商提供的一切仪器、设备和系统，应符合下列条件： </w:t>
      </w:r>
    </w:p>
    <w:p w14:paraId="3B3098E7">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2.1 仪器设备的插头要符合中国电工标准。如不符合，则应提供适合仪器插头的插座，必须要有接地。</w:t>
      </w:r>
    </w:p>
    <w:p w14:paraId="12196FBD">
      <w:pPr>
        <w:pStyle w:val="255"/>
        <w:spacing w:line="360" w:lineRule="auto"/>
        <w:ind w:firstLine="0" w:firstLineChars="0"/>
        <w:contextualSpacing/>
        <w:rPr>
          <w:rFonts w:hint="eastAsia" w:ascii="宋体" w:hAnsi="宋体" w:eastAsia="宋体" w:cs="宋体"/>
          <w:b/>
          <w:color w:val="auto"/>
          <w:sz w:val="32"/>
          <w:szCs w:val="32"/>
          <w:highlight w:val="none"/>
        </w:rPr>
      </w:pPr>
      <w:r>
        <w:rPr>
          <w:rFonts w:hint="eastAsia" w:ascii="宋体" w:hAnsi="宋体" w:eastAsia="宋体" w:cs="宋体"/>
          <w:color w:val="auto"/>
          <w:sz w:val="24"/>
          <w:highlight w:val="none"/>
        </w:rPr>
        <w:t>2.2 如果仪器设备需特殊的工作条件（如：水、电源、磁场强度、特殊温度、湿度、震动强度等），供应商应在有关投标文件中加以说明。</w:t>
      </w:r>
    </w:p>
    <w:p w14:paraId="194A6631">
      <w:pPr>
        <w:spacing w:after="0" w:line="360" w:lineRule="auto"/>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（三）采购标的需满足的服务标准、期限、效率等要求：</w:t>
      </w:r>
    </w:p>
    <w:p w14:paraId="5C7254CE">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1、设备的维护及技术支持</w:t>
      </w:r>
    </w:p>
    <w:p w14:paraId="292C52B5">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1.1经有关部门验收或检测合格后开始计算保修期。</w:t>
      </w:r>
    </w:p>
    <w:p w14:paraId="246DA480">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1.2保修期满后整机每年常规保修费用不超过购置费的5%。</w:t>
      </w:r>
    </w:p>
    <w:p w14:paraId="1D4C8590">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1.3免费提供软件升级服务。</w:t>
      </w:r>
    </w:p>
    <w:p w14:paraId="1BACAE98">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1.4 所有的替代零配件的提供需得到买方的认可。</w:t>
      </w:r>
    </w:p>
    <w:p w14:paraId="4AB2C96C">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47E603A9">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1.5.1 电话咨询：免费提供咨询电话技术支持服务，解答用户的系统使用中遇到的问题，及时提出解决问题的建议和操作方法。</w:t>
      </w:r>
    </w:p>
    <w:p w14:paraId="5E27328D">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20CB21FE">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1C5410A3">
      <w:pPr>
        <w:spacing w:after="0" w:line="360" w:lineRule="auto"/>
        <w:contextualSpacing/>
        <w:rPr>
          <w:rFonts w:hint="eastAsia" w:ascii="宋体" w:hAnsi="宋体" w:eastAsia="宋体" w:cs="宋体"/>
          <w:bCs/>
          <w:color w:val="auto"/>
          <w:sz w:val="24"/>
          <w:szCs w:val="24"/>
          <w:highlight w:val="none"/>
        </w:rPr>
      </w:pPr>
      <w:r>
        <w:rPr>
          <w:rFonts w:ascii="宋体" w:hAnsi="宋体" w:cs="Arial"/>
          <w:bCs/>
          <w:i/>
          <w:iCs/>
          <w:color w:val="auto"/>
          <w:sz w:val="24"/>
          <w:highlight w:val="none"/>
        </w:rPr>
        <w:t>注：上述要求如与</w:t>
      </w:r>
      <w:bookmarkStart w:id="821" w:name="_Hlk116309770"/>
      <w:r>
        <w:rPr>
          <w:rFonts w:ascii="宋体" w:hAnsi="宋体" w:cs="Arial"/>
          <w:bCs/>
          <w:i/>
          <w:iCs/>
          <w:color w:val="auto"/>
          <w:sz w:val="24"/>
          <w:highlight w:val="none"/>
        </w:rPr>
        <w:t>货物技术规格具体要求</w:t>
      </w:r>
      <w:bookmarkEnd w:id="821"/>
      <w:r>
        <w:rPr>
          <w:rFonts w:ascii="宋体" w:hAnsi="宋体" w:cs="Arial"/>
          <w:bCs/>
          <w:i/>
          <w:iCs/>
          <w:color w:val="auto"/>
          <w:sz w:val="24"/>
          <w:highlight w:val="none"/>
        </w:rPr>
        <w:t>以及合同文本冲突则以货物技术规格具体要求以及合同文本要求为准。</w:t>
      </w:r>
    </w:p>
    <w:p w14:paraId="576062D1">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（四）采购标的的其他技术、服务等要求：</w:t>
      </w:r>
    </w:p>
    <w:p w14:paraId="103AA5A7">
      <w:pPr>
        <w:spacing w:line="360" w:lineRule="auto"/>
        <w:contextualSpacing/>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1、投标人在响应采购需求时，应就“货物技术规格具体要求”进行逐条响应，并针对每个设备</w:t>
      </w:r>
      <w:r>
        <w:rPr>
          <w:rFonts w:ascii="宋体" w:hAnsi="宋体" w:cs="Arial"/>
          <w:bCs/>
          <w:color w:val="auto"/>
          <w:sz w:val="24"/>
          <w:highlight w:val="none"/>
        </w:rPr>
        <w:t>（至少包含“</w:t>
      </w:r>
      <w:r>
        <w:rPr>
          <w:rFonts w:ascii="宋体" w:hAnsi="宋体" w:cs="Segoe UI Symbol"/>
          <w:bCs/>
          <w:color w:val="auto"/>
          <w:sz w:val="24"/>
          <w:highlight w:val="none"/>
        </w:rPr>
        <w:t>★</w:t>
      </w:r>
      <w:r>
        <w:rPr>
          <w:rFonts w:ascii="宋体" w:hAnsi="宋体" w:cs="Arial"/>
          <w:bCs/>
          <w:color w:val="auto"/>
          <w:sz w:val="24"/>
          <w:highlight w:val="none"/>
        </w:rPr>
        <w:t>”“▲”号或“#”</w:t>
      </w:r>
      <w:r>
        <w:rPr>
          <w:rFonts w:ascii="宋体" w:hAnsi="宋体" w:cs="Arial"/>
          <w:bCs/>
          <w:color w:val="auto"/>
          <w:sz w:val="24"/>
          <w:highlight w:val="none"/>
        </w:rPr>
        <w:t>号条款）</w:t>
      </w:r>
      <w:r>
        <w:rPr>
          <w:rFonts w:hint="eastAsia" w:ascii="宋体" w:hAnsi="宋体" w:eastAsia="宋体" w:cs="宋体"/>
          <w:bCs/>
          <w:color w:val="auto"/>
          <w:sz w:val="24"/>
          <w:highlight w:val="none"/>
        </w:rPr>
        <w:t>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3C5482A2">
      <w:pPr>
        <w:spacing w:after="0" w:line="360" w:lineRule="auto"/>
        <w:contextualSpacing/>
        <w:rPr>
          <w:rFonts w:hint="eastAsia" w:ascii="宋体" w:hAnsi="宋体" w:cs="Arial"/>
          <w:bCs/>
          <w:color w:val="auto"/>
          <w:sz w:val="24"/>
          <w:highlight w:val="none"/>
        </w:rPr>
      </w:pPr>
      <w:r>
        <w:rPr>
          <w:rFonts w:ascii="宋体" w:hAnsi="宋体" w:cs="Arial"/>
          <w:bCs/>
          <w:color w:val="auto"/>
          <w:sz w:val="24"/>
          <w:highlight w:val="none"/>
        </w:rPr>
        <w:t>2、对于技术规格要求中标注“</w:t>
      </w:r>
      <w:r>
        <w:rPr>
          <w:rFonts w:ascii="宋体" w:hAnsi="宋体" w:cs="Segoe UI Symbol"/>
          <w:bCs/>
          <w:color w:val="auto"/>
          <w:sz w:val="24"/>
          <w:highlight w:val="none"/>
        </w:rPr>
        <w:t>★</w:t>
      </w:r>
      <w:r>
        <w:rPr>
          <w:rFonts w:ascii="宋体" w:hAnsi="宋体" w:cs="Arial"/>
          <w:bCs/>
          <w:color w:val="auto"/>
          <w:sz w:val="24"/>
          <w:highlight w:val="none"/>
        </w:rPr>
        <w:t>”“▲”号或“#”号（如有）的技术参数，在应答采购需求偏离表时具体到技术支持资料页码及条目号。</w:t>
      </w:r>
    </w:p>
    <w:p w14:paraId="234205CB">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w:t>
      </w:r>
      <w:r>
        <w:rPr>
          <w:rFonts w:hint="eastAsia" w:ascii="宋体" w:hAnsi="宋体" w:eastAsia="宋体" w:cs="宋体"/>
          <w:bCs/>
          <w:color w:val="auto"/>
          <w:sz w:val="24"/>
          <w:highlight w:val="none"/>
        </w:rPr>
        <w:t>验收标准：详见合同文本</w:t>
      </w:r>
    </w:p>
    <w:p w14:paraId="52C83DE2">
      <w:pPr>
        <w:pStyle w:val="255"/>
        <w:spacing w:line="360" w:lineRule="auto"/>
        <w:ind w:firstLine="0" w:firstLineChars="0"/>
        <w:contextualSpacing/>
        <w:rPr>
          <w:rFonts w:hint="eastAsia" w:ascii="宋体" w:hAnsi="宋体" w:eastAsia="宋体" w:cs="宋体"/>
          <w:bCs/>
          <w:color w:val="auto"/>
          <w:sz w:val="24"/>
          <w:szCs w:val="24"/>
          <w:highlight w:val="none"/>
        </w:rPr>
      </w:pPr>
      <w:r>
        <w:rPr>
          <w:rFonts w:hint="eastAsia" w:ascii="宋体" w:hAnsi="宋体" w:eastAsia="宋体" w:cs="宋体"/>
          <w:color w:val="auto"/>
          <w:sz w:val="24"/>
          <w:highlight w:val="none"/>
        </w:rPr>
        <w:t>（六）</w:t>
      </w:r>
      <w:r>
        <w:rPr>
          <w:rFonts w:hint="eastAsia" w:ascii="宋体" w:hAnsi="宋体" w:eastAsia="宋体" w:cs="宋体"/>
          <w:bCs/>
          <w:color w:val="auto"/>
          <w:sz w:val="24"/>
          <w:highlight w:val="none"/>
        </w:rPr>
        <w:t>货物技术规格具体要求</w:t>
      </w:r>
    </w:p>
    <w:p w14:paraId="4BA72DEE">
      <w:pPr>
        <w:pStyle w:val="7"/>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第01包：</w:t>
      </w:r>
    </w:p>
    <w:p w14:paraId="6D1D7D0B">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三维电生理导航系统</w:t>
      </w:r>
    </w:p>
    <w:p w14:paraId="39B65617">
      <w:pPr>
        <w:pageBreakBefore w:val="0"/>
        <w:kinsoku/>
        <w:wordWrap/>
        <w:overflowPunct/>
        <w:topLinePunct w:val="0"/>
        <w:bidi w:val="0"/>
        <w:snapToGrid/>
        <w:spacing w:line="312" w:lineRule="auto"/>
        <w:ind w:right="25" w:rightChars="1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1.主机</w:t>
      </w:r>
    </w:p>
    <w:p w14:paraId="3F7D3AD6">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1.1系统化操作软件，可完成信号记录、棘波分类通道、存储、轨迹设定、靶点距离设定、微电极推进控制等功能。</w:t>
      </w:r>
    </w:p>
    <w:p w14:paraId="0F7B1009">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1.2刺激模式包括微刺激模式和宏刺激模</w:t>
      </w:r>
    </w:p>
    <w:p w14:paraId="4885E936">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1.3电流刺激强度≥10mA，分辨率≤0.001mA，记录与刺激之间的模式转换可通过按键操作完成。</w:t>
      </w:r>
    </w:p>
    <w:p w14:paraId="0A9B376C">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1.4软件操作界面包含所有功能。</w:t>
      </w:r>
    </w:p>
    <w:p w14:paraId="2020004E">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1.5软件应带有在线图案辨认软件（OPRA），可显示STN核团的可能性。</w:t>
      </w:r>
    </w:p>
    <w:p w14:paraId="4AAE8376">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1.6软件界面应可同时显示电极移动距离和电极尖端与靶点的距离。</w:t>
      </w:r>
    </w:p>
    <w:p w14:paraId="5EBF55BF">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1.7包含记录、存储的声音、波形可以重复播放的功能。</w:t>
      </w:r>
    </w:p>
    <w:p w14:paraId="63F3BAE2">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1.8配麦克风系统。</w:t>
      </w:r>
    </w:p>
    <w:p w14:paraId="4B76662E">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1.9配有扬声器系统。</w:t>
      </w:r>
    </w:p>
    <w:p w14:paraId="1B201579">
      <w:pPr>
        <w:pageBreakBefore w:val="0"/>
        <w:numPr>
          <w:ilvl w:val="0"/>
          <w:numId w:val="17"/>
        </w:numPr>
        <w:kinsoku/>
        <w:wordWrap/>
        <w:overflowPunct/>
        <w:topLinePunct w:val="0"/>
        <w:bidi w:val="0"/>
        <w:snapToGrid/>
        <w:spacing w:line="312" w:lineRule="auto"/>
        <w:ind w:right="25" w:rightChars="1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放大器及信号调节器</w:t>
      </w:r>
    </w:p>
    <w:p w14:paraId="1EFFA028">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输入阻抗</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kern w:val="0"/>
          <w:sz w:val="24"/>
          <w:szCs w:val="24"/>
          <w:highlight w:val="none"/>
        </w:rPr>
        <w:t>100M/25pF</w:t>
      </w:r>
    </w:p>
    <w:p w14:paraId="65AA5C11">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共模抑制比≥</w:t>
      </w:r>
      <w:r>
        <w:rPr>
          <w:rFonts w:hint="eastAsia" w:ascii="宋体" w:hAnsi="宋体" w:eastAsia="宋体" w:cs="宋体"/>
          <w:color w:val="auto"/>
          <w:kern w:val="0"/>
          <w:sz w:val="24"/>
          <w:szCs w:val="24"/>
          <w:highlight w:val="none"/>
        </w:rPr>
        <w:t>120 dB</w:t>
      </w:r>
    </w:p>
    <w:p w14:paraId="6D558B92">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2.3 频率响应:局部场电位通道(LFP）</w:t>
      </w:r>
      <w:r>
        <w:rPr>
          <w:rFonts w:hint="eastAsia" w:ascii="宋体" w:hAnsi="宋体" w:eastAsia="宋体" w:cs="宋体"/>
          <w:color w:val="auto"/>
          <w:sz w:val="24"/>
          <w:szCs w:val="24"/>
          <w:highlight w:val="none"/>
        </w:rPr>
        <w:t>1Hz - 250Hz；棘波分类通道（250Hz - 7.5KHz）</w:t>
      </w:r>
    </w:p>
    <w:p w14:paraId="06BAD9D9">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噪音</w:t>
      </w:r>
      <w:r>
        <w:rPr>
          <w:rFonts w:hint="eastAsia" w:ascii="宋体" w:hAnsi="宋体" w:eastAsia="宋体" w:cs="宋体"/>
          <w:color w:val="auto"/>
          <w:kern w:val="0"/>
          <w:sz w:val="24"/>
          <w:szCs w:val="24"/>
          <w:highlight w:val="none"/>
        </w:rPr>
        <w:t>(1 Hz- 10KHz BW)</w:t>
      </w:r>
      <w:r>
        <w:rPr>
          <w:rFonts w:hint="eastAsia" w:ascii="宋体" w:hAnsi="宋体" w:eastAsia="宋体" w:cs="宋体"/>
          <w:color w:val="auto"/>
          <w:sz w:val="24"/>
          <w:szCs w:val="24"/>
          <w:highlight w:val="none"/>
        </w:rPr>
        <w:t>&lt; 8μ V P-P</w:t>
      </w:r>
    </w:p>
    <w:p w14:paraId="6037D1AC">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增益倍数：</w:t>
      </w:r>
      <w:r>
        <w:rPr>
          <w:rFonts w:hint="eastAsia" w:ascii="宋体" w:hAnsi="宋体" w:eastAsia="宋体" w:cs="宋体"/>
          <w:color w:val="auto"/>
          <w:kern w:val="0"/>
          <w:sz w:val="24"/>
          <w:szCs w:val="24"/>
          <w:highlight w:val="none"/>
        </w:rPr>
        <w:t>局部场电位通道(LFP）</w:t>
      </w:r>
      <w:r>
        <w:rPr>
          <w:rFonts w:hint="eastAsia" w:ascii="宋体" w:hAnsi="宋体" w:eastAsia="宋体" w:cs="宋体"/>
          <w:color w:val="auto"/>
          <w:sz w:val="24"/>
          <w:szCs w:val="24"/>
          <w:highlight w:val="none"/>
        </w:rPr>
        <w:t>≥1460；棘波分类通道≥1400</w:t>
      </w:r>
    </w:p>
    <w:p w14:paraId="68E2144A">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采样率≥25KHz</w:t>
      </w:r>
    </w:p>
    <w:p w14:paraId="48341DE0">
      <w:pPr>
        <w:pageBreakBefore w:val="0"/>
        <w:kinsoku/>
        <w:wordWrap/>
        <w:overflowPunct/>
        <w:topLinePunct w:val="0"/>
        <w:autoSpaceDE w:val="0"/>
        <w:autoSpaceDN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 分辨率≥12 bits</w:t>
      </w:r>
    </w:p>
    <w:p w14:paraId="5751F1C8">
      <w:pPr>
        <w:pageBreakBefore w:val="0"/>
        <w:kinsoku/>
        <w:wordWrap/>
        <w:overflowPunct/>
        <w:topLinePunct w:val="0"/>
        <w:bidi w:val="0"/>
        <w:snapToGrid/>
        <w:spacing w:line="312" w:lineRule="auto"/>
        <w:ind w:right="25" w:rightChars="1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3.记录分析软件</w:t>
      </w:r>
    </w:p>
    <w:p w14:paraId="3C2DE3D6">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3.1可记录棘波（Spikes）和局部场电位（LFP）信号。</w:t>
      </w:r>
    </w:p>
    <w:p w14:paraId="2E5DE0EF">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3.2包含≥8个信号通道。</w:t>
      </w:r>
    </w:p>
    <w:p w14:paraId="008DCAA5">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3.3微电极在每个深度记录时间应超过5秒，用户可自定义。</w:t>
      </w:r>
    </w:p>
    <w:p w14:paraId="6CFABAE3">
      <w:pPr>
        <w:pageBreakBefore w:val="0"/>
        <w:kinsoku/>
        <w:wordWrap/>
        <w:overflowPunct/>
        <w:topLinePunct w:val="0"/>
        <w:bidi w:val="0"/>
        <w:snapToGrid/>
        <w:spacing w:line="312" w:lineRule="auto"/>
        <w:ind w:right="25" w:rightChars="12"/>
        <w:rPr>
          <w:rFonts w:hint="eastAsia" w:ascii="宋体" w:hAnsi="宋体" w:eastAsia="宋体" w:cs="宋体"/>
          <w:i/>
          <w:color w:val="auto"/>
          <w:sz w:val="24"/>
          <w:szCs w:val="24"/>
          <w:highlight w:val="none"/>
        </w:rPr>
      </w:pPr>
      <w:r>
        <w:rPr>
          <w:rFonts w:hint="eastAsia" w:ascii="宋体" w:hAnsi="宋体" w:eastAsia="宋体" w:cs="宋体"/>
          <w:color w:val="auto"/>
          <w:sz w:val="24"/>
          <w:szCs w:val="24"/>
          <w:highlight w:val="none"/>
        </w:rPr>
        <w:t>3.4微电极移动过程中可实现记录。</w:t>
      </w:r>
    </w:p>
    <w:p w14:paraId="7A6228E3">
      <w:pPr>
        <w:pageBreakBefore w:val="0"/>
        <w:kinsoku/>
        <w:wordWrap/>
        <w:overflowPunct/>
        <w:topLinePunct w:val="0"/>
        <w:bidi w:val="0"/>
        <w:snapToGrid/>
        <w:spacing w:line="312" w:lineRule="auto"/>
        <w:ind w:right="25" w:rightChars="1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4.推进器</w:t>
      </w:r>
    </w:p>
    <w:p w14:paraId="29680CB4">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应包含微电极推进器不但可手动调节，也可通过软件和遥控器控制。</w:t>
      </w:r>
    </w:p>
    <w:p w14:paraId="151DF617">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4.2电极深度</w:t>
      </w:r>
      <w:r>
        <w:rPr>
          <w:rFonts w:hint="eastAsia" w:ascii="宋体" w:hAnsi="宋体" w:eastAsia="宋体" w:cs="宋体"/>
          <w:color w:val="auto"/>
          <w:sz w:val="24"/>
          <w:szCs w:val="24"/>
          <w:highlight w:val="none"/>
        </w:rPr>
        <w:t>双重反馈系统，除遥控器外，可通过软件持续监测电极的推进深度。</w:t>
      </w:r>
    </w:p>
    <w:p w14:paraId="3B53F7C7">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推进器推进范围≥40mm，推进精度≤</w:t>
      </w:r>
      <w:r>
        <w:rPr>
          <w:rFonts w:hint="eastAsia" w:ascii="宋体" w:hAnsi="宋体" w:eastAsia="宋体" w:cs="宋体"/>
          <w:color w:val="auto"/>
          <w:sz w:val="24"/>
          <w:szCs w:val="24"/>
          <w:highlight w:val="none"/>
        </w:rPr>
        <w:t>1μm。</w:t>
      </w:r>
    </w:p>
    <w:p w14:paraId="6B25173F">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推进器自带遥控器，可调节刺激幅度、放电声音监听、阻抗测量、电极移动和做标记，在无菌区外对系统功能进行控制。</w:t>
      </w:r>
    </w:p>
    <w:p w14:paraId="15DCB6C8">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 记录电极的连线与推进器</w:t>
      </w:r>
      <w:r>
        <w:rPr>
          <w:rFonts w:hint="eastAsia" w:ascii="宋体" w:hAnsi="宋体" w:eastAsia="宋体" w:cs="宋体"/>
          <w:color w:val="auto"/>
          <w:sz w:val="24"/>
          <w:szCs w:val="24"/>
          <w:highlight w:val="none"/>
          <w:lang w:val="en-US" w:eastAsia="zh-CN"/>
        </w:rPr>
        <w:t>直接</w:t>
      </w:r>
      <w:r>
        <w:rPr>
          <w:rFonts w:hint="eastAsia" w:ascii="宋体" w:hAnsi="宋体" w:eastAsia="宋体" w:cs="宋体"/>
          <w:color w:val="auto"/>
          <w:sz w:val="24"/>
          <w:szCs w:val="24"/>
          <w:highlight w:val="none"/>
        </w:rPr>
        <w:t>连接，</w:t>
      </w:r>
    </w:p>
    <w:p w14:paraId="6ED6048F">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5针道微电极推进器。 </w:t>
      </w:r>
    </w:p>
    <w:p w14:paraId="113150D3">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 包含导向套管和探针，套管可同时用于DBS植入。</w:t>
      </w:r>
    </w:p>
    <w:p w14:paraId="7D75024D">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 带有脑深部电刺激手术专用安装支架。</w:t>
      </w:r>
    </w:p>
    <w:p w14:paraId="73A5EDFC">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 配有专用DBS标尺。</w:t>
      </w:r>
    </w:p>
    <w:p w14:paraId="055A5E1C">
      <w:pPr>
        <w:pageBreakBefore w:val="0"/>
        <w:kinsoku/>
        <w:wordWrap/>
        <w:overflowPunct/>
        <w:topLinePunct w:val="0"/>
        <w:bidi w:val="0"/>
        <w:snapToGrid/>
        <w:spacing w:line="312" w:lineRule="auto"/>
        <w:ind w:right="25" w:rightChars="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5.适配器：</w:t>
      </w:r>
    </w:p>
    <w:p w14:paraId="004DD767">
      <w:pPr>
        <w:pStyle w:val="159"/>
        <w:pageBreakBefore w:val="0"/>
        <w:kinsoku/>
        <w:wordWrap/>
        <w:overflowPunct/>
        <w:topLinePunct w:val="0"/>
        <w:bidi w:val="0"/>
        <w:snapToGrid/>
        <w:spacing w:line="312" w:lineRule="auto"/>
        <w:ind w:firstLine="0" w:firstLineChars="0"/>
        <w:rPr>
          <w:rFonts w:hint="eastAsia" w:ascii="宋体" w:hAnsi="宋体" w:eastAsia="宋体" w:cs="宋体"/>
          <w:color w:val="auto"/>
          <w:sz w:val="24"/>
          <w:szCs w:val="24"/>
          <w:highlight w:val="none"/>
        </w:rPr>
      </w:pPr>
      <w:bookmarkStart w:id="822" w:name="OLE_LINK4"/>
      <w:r>
        <w:rPr>
          <w:rFonts w:hint="eastAsia" w:ascii="宋体" w:hAnsi="宋体" w:eastAsia="宋体" w:cs="宋体"/>
          <w:color w:val="auto"/>
          <w:sz w:val="24"/>
          <w:szCs w:val="24"/>
          <w:highlight w:val="none"/>
        </w:rPr>
        <w:t>5.1双钉侧具有压力指示计（0~80pound），摇臂可独立旋转360°</w:t>
      </w:r>
    </w:p>
    <w:bookmarkEnd w:id="822"/>
    <w:p w14:paraId="1F79196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5.2配</w:t>
      </w:r>
      <w:r>
        <w:rPr>
          <w:rFonts w:hint="eastAsia" w:ascii="宋体" w:hAnsi="宋体" w:eastAsia="宋体" w:cs="宋体"/>
          <w:bCs/>
          <w:color w:val="auto"/>
          <w:sz w:val="24"/>
          <w:szCs w:val="24"/>
          <w:highlight w:val="none"/>
          <w:lang w:val="en-US" w:eastAsia="zh-CN"/>
        </w:rPr>
        <w:t>备</w:t>
      </w:r>
      <w:r>
        <w:rPr>
          <w:rFonts w:hint="eastAsia" w:ascii="宋体" w:hAnsi="宋体" w:eastAsia="宋体" w:cs="宋体"/>
          <w:color w:val="auto"/>
          <w:sz w:val="24"/>
          <w:szCs w:val="24"/>
          <w:highlight w:val="none"/>
        </w:rPr>
        <w:t>合头夹</w:t>
      </w:r>
    </w:p>
    <w:p w14:paraId="7E9D398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5.3底座：</w:t>
      </w:r>
      <w:r>
        <w:rPr>
          <w:rFonts w:hint="eastAsia" w:ascii="宋体" w:hAnsi="宋体" w:eastAsia="宋体" w:cs="宋体"/>
          <w:bCs/>
          <w:color w:val="auto"/>
          <w:kern w:val="0"/>
          <w:sz w:val="24"/>
          <w:szCs w:val="24"/>
          <w:highlight w:val="none"/>
        </w:rPr>
        <w:t>采用双凸轮动态安全锁，单手柄双锁定。</w:t>
      </w:r>
    </w:p>
    <w:p w14:paraId="0CBD245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免费保修时间不少于5年</w:t>
      </w:r>
    </w:p>
    <w:p w14:paraId="5C18D6C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p>
    <w:p w14:paraId="1A0FB75E">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品目1-2</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视频脑电检测分析系统</w:t>
      </w:r>
    </w:p>
    <w:p w14:paraId="0048B85C">
      <w:pPr>
        <w:rPr>
          <w:rFonts w:hint="default"/>
          <w:color w:val="auto"/>
          <w:highlight w:val="none"/>
          <w:lang w:val="en-US" w:eastAsia="zh-CN"/>
        </w:rPr>
      </w:pPr>
      <w:r>
        <w:rPr>
          <w:rFonts w:hint="eastAsia"/>
          <w:color w:val="auto"/>
          <w:highlight w:val="none"/>
          <w:lang w:val="en-US" w:eastAsia="zh-CN"/>
        </w:rPr>
        <w:t>一、技术要求</w:t>
      </w:r>
    </w:p>
    <w:p w14:paraId="1BEE068D">
      <w:pPr>
        <w:pageBreakBefore w:val="0"/>
        <w:numPr>
          <w:ilvl w:val="0"/>
          <w:numId w:val="18"/>
        </w:numPr>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计算机系统：</w:t>
      </w:r>
    </w:p>
    <w:p w14:paraId="4C135983">
      <w:pPr>
        <w:pageBreakBefore w:val="0"/>
        <w:tabs>
          <w:tab w:val="center" w:pos="4205"/>
        </w:tabs>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中央处理器：≥</w:t>
      </w:r>
      <w:r>
        <w:rPr>
          <w:rFonts w:hint="eastAsia" w:ascii="宋体" w:hAnsi="宋体" w:eastAsia="宋体" w:cs="宋体"/>
          <w:color w:val="auto"/>
          <w:sz w:val="24"/>
          <w:szCs w:val="24"/>
          <w:highlight w:val="none"/>
        </w:rPr>
        <w:t xml:space="preserve">i7 </w:t>
      </w:r>
      <w:r>
        <w:rPr>
          <w:rFonts w:hint="eastAsia" w:ascii="宋体" w:hAnsi="宋体" w:eastAsia="宋体" w:cs="宋体"/>
          <w:color w:val="auto"/>
          <w:sz w:val="24"/>
          <w:szCs w:val="24"/>
          <w:highlight w:val="none"/>
        </w:rPr>
        <w:t>四核处理器；内存：≥16G；硬盘：≥1T；光驱： DVD刻录；鼠标、键盘：USB接口；网卡：≥1000MB；显示终端：≥27寸液晶，分辨率≥1920*1080。</w:t>
      </w:r>
    </w:p>
    <w:p w14:paraId="35C6509D">
      <w:pPr>
        <w:pageBreakBefore w:val="0"/>
        <w:numPr>
          <w:ilvl w:val="0"/>
          <w:numId w:val="18"/>
        </w:numPr>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放大器： </w:t>
      </w:r>
    </w:p>
    <w:p w14:paraId="3327C427">
      <w:pPr>
        <w:keepNext w:val="0"/>
        <w:keepLines w:val="0"/>
        <w:pageBreakBefore w:val="0"/>
        <w:widowControl w:val="0"/>
        <w:tabs>
          <w:tab w:val="center" w:pos="4205"/>
        </w:tabs>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2.1</w:t>
      </w:r>
      <w:r>
        <w:rPr>
          <w:rFonts w:hint="eastAsia" w:ascii="宋体" w:hAnsi="宋体" w:eastAsia="宋体" w:cs="宋体"/>
          <w:color w:val="auto"/>
          <w:sz w:val="24"/>
          <w:szCs w:val="24"/>
          <w:highlight w:val="none"/>
        </w:rPr>
        <w:t>通道数</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w:t>
      </w:r>
      <w:r>
        <w:rPr>
          <w:rFonts w:hint="eastAsia" w:ascii="宋体" w:hAnsi="宋体" w:eastAsia="宋体" w:cs="宋体"/>
          <w:color w:val="auto"/>
          <w:sz w:val="24"/>
          <w:szCs w:val="24"/>
          <w:highlight w:val="none"/>
        </w:rPr>
        <w:t>256个脑电通道，</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16个双极，</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16个DC；</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3个血氧接口，电极头盒与放大器一体化设计</w:t>
      </w:r>
    </w:p>
    <w:p w14:paraId="0FFE3EAE">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2.2放大器与主机数据传输方式：网线传输</w:t>
      </w:r>
    </w:p>
    <w:p w14:paraId="2EDBD10A">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皮层电刺激器脑功能定位模块：放大器内置皮层电刺激器矩阵模块，可连接电刺激器实现脑功能定位</w:t>
      </w:r>
    </w:p>
    <w:p w14:paraId="4CD8ECBE">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2.4输入阻抗：≥1000M</w:t>
      </w:r>
      <w:r>
        <w:rPr>
          <w:rFonts w:hint="eastAsia" w:ascii="宋体" w:hAnsi="宋体" w:eastAsia="宋体" w:cs="宋体"/>
          <w:color w:val="auto"/>
          <w:sz w:val="24"/>
          <w:szCs w:val="24"/>
          <w:highlight w:val="none"/>
        </w:rPr>
        <w:sym w:font="Symbol" w:char="F057"/>
      </w:r>
    </w:p>
    <w:p w14:paraId="7C6D942D">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2.5共模抑制比：</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120dB</w:t>
      </w:r>
    </w:p>
    <w:p w14:paraId="399509C4">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2.6噪音：&lt; 1.5</w:t>
      </w:r>
      <w:r>
        <w:rPr>
          <w:rFonts w:hint="eastAsia" w:ascii="宋体" w:hAnsi="宋体" w:eastAsia="宋体" w:cs="宋体"/>
          <w:color w:val="auto"/>
          <w:sz w:val="24"/>
          <w:szCs w:val="24"/>
          <w:highlight w:val="none"/>
        </w:rPr>
        <w:sym w:font="Symbol" w:char="F06D"/>
      </w:r>
      <w:r>
        <w:rPr>
          <w:rFonts w:hint="eastAsia" w:ascii="宋体" w:hAnsi="宋体" w:eastAsia="宋体" w:cs="宋体"/>
          <w:color w:val="auto"/>
          <w:sz w:val="24"/>
          <w:szCs w:val="24"/>
          <w:highlight w:val="none"/>
        </w:rPr>
        <w:t>V pk-pk</w:t>
      </w:r>
    </w:p>
    <w:p w14:paraId="159B92D0">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2.7数模转换：≥24bits</w:t>
      </w:r>
    </w:p>
    <w:p w14:paraId="4830B6CE">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2.8带宽：0.01～4000Hz</w:t>
      </w:r>
    </w:p>
    <w:p w14:paraId="288F3FC7">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2.9采样精度：＜10nV</w:t>
      </w:r>
    </w:p>
    <w:p w14:paraId="61F6D5CB">
      <w:pPr>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t>.10采样率：256通道同时采集时，每通道≥15000Hz</w:t>
      </w:r>
    </w:p>
    <w:p w14:paraId="15AB9801">
      <w:pPr>
        <w:keepNext w:val="0"/>
        <w:keepLines w:val="0"/>
        <w:pageBreakBefore w:val="0"/>
        <w:widowControl w:val="0"/>
        <w:kinsoku/>
        <w:wordWrap/>
        <w:overflowPunct/>
        <w:topLinePunct w:val="0"/>
        <w:autoSpaceDE/>
        <w:autoSpaceDN/>
        <w:bidi w:val="0"/>
        <w:adjustRightInd/>
        <w:snapToGrid/>
        <w:spacing w:after="0" w:line="312"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2.11灵敏度：10, 20, 30, 50, 70, 100, 150, 200, 300, 500, 700, 1k, 2k, 5k,15k</w:t>
      </w:r>
      <w:r>
        <w:rPr>
          <w:rFonts w:hint="eastAsia" w:ascii="宋体" w:hAnsi="宋体" w:eastAsia="宋体" w:cs="宋体"/>
          <w:color w:val="auto"/>
          <w:sz w:val="24"/>
          <w:szCs w:val="24"/>
          <w:highlight w:val="none"/>
        </w:rPr>
        <w:sym w:font="Symbol" w:char="F06D"/>
      </w:r>
      <w:r>
        <w:rPr>
          <w:rFonts w:hint="eastAsia" w:ascii="宋体" w:hAnsi="宋体" w:eastAsia="宋体" w:cs="宋体"/>
          <w:color w:val="auto"/>
          <w:sz w:val="24"/>
          <w:szCs w:val="24"/>
          <w:highlight w:val="none"/>
        </w:rPr>
        <w:t>V/cm</w:t>
      </w:r>
    </w:p>
    <w:p w14:paraId="1871DB84">
      <w:pPr>
        <w:keepNext w:val="0"/>
        <w:keepLines w:val="0"/>
        <w:pageBreakBefore w:val="0"/>
        <w:widowControl w:val="0"/>
        <w:kinsoku/>
        <w:wordWrap/>
        <w:overflowPunct/>
        <w:topLinePunct w:val="0"/>
        <w:autoSpaceDE/>
        <w:autoSpaceDN/>
        <w:bidi w:val="0"/>
        <w:adjustRightInd/>
        <w:snapToGrid/>
        <w:spacing w:after="0" w:line="312"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1,2, 3, 5, 7, 10, 15, 20, 30, 50, 70, 100, 200, 500,1500</w:t>
      </w:r>
      <w:r>
        <w:rPr>
          <w:rFonts w:hint="eastAsia" w:ascii="宋体" w:hAnsi="宋体" w:eastAsia="宋体" w:cs="宋体"/>
          <w:color w:val="auto"/>
          <w:sz w:val="24"/>
          <w:szCs w:val="24"/>
          <w:highlight w:val="none"/>
        </w:rPr>
        <w:sym w:font="Symbol" w:char="F06D"/>
      </w:r>
      <w:r>
        <w:rPr>
          <w:rFonts w:hint="eastAsia" w:ascii="宋体" w:hAnsi="宋体" w:eastAsia="宋体" w:cs="宋体"/>
          <w:color w:val="auto"/>
          <w:sz w:val="24"/>
          <w:szCs w:val="24"/>
          <w:highlight w:val="none"/>
        </w:rPr>
        <w:t>V/mm</w:t>
      </w:r>
    </w:p>
    <w:p w14:paraId="6CC301F7">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2.12</w:t>
      </w:r>
      <w:r>
        <w:rPr>
          <w:rFonts w:hint="eastAsia" w:ascii="宋体" w:hAnsi="宋体" w:eastAsia="宋体" w:cs="宋体"/>
          <w:color w:val="auto"/>
          <w:sz w:val="24"/>
          <w:szCs w:val="24"/>
          <w:highlight w:val="none"/>
        </w:rPr>
        <w:t>高频滤波</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15, 30, 35, 40, 50, 60, 70, 100，200…6000Hz；</w:t>
      </w:r>
    </w:p>
    <w:p w14:paraId="67C2F15A">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2.13低频滤波</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0.01,0.05，0.16, 0.3, 0.5, 1, 1.6, 2, 3, 5,10,…1000Hz；</w:t>
      </w:r>
    </w:p>
    <w:p w14:paraId="734A91B8">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2.14</w:t>
      </w:r>
      <w:r>
        <w:rPr>
          <w:rFonts w:hint="eastAsia" w:ascii="宋体" w:hAnsi="宋体" w:eastAsia="宋体" w:cs="宋体"/>
          <w:color w:val="auto"/>
          <w:sz w:val="24"/>
          <w:szCs w:val="24"/>
          <w:highlight w:val="none"/>
        </w:rPr>
        <w:t>陷波滤波器</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开关，50/60Hz</w:t>
      </w:r>
    </w:p>
    <w:p w14:paraId="0C6BD3E6">
      <w:pPr>
        <w:keepNext w:val="0"/>
        <w:keepLines w:val="0"/>
        <w:pageBreakBefore w:val="0"/>
        <w:widowControl w:val="0"/>
        <w:kinsoku/>
        <w:wordWrap/>
        <w:overflowPunct/>
        <w:topLinePunct w:val="0"/>
        <w:autoSpaceDE/>
        <w:autoSpaceDN/>
        <w:bidi w:val="0"/>
        <w:adjustRightInd/>
        <w:snapToGrid/>
        <w:spacing w:line="312" w:lineRule="auto"/>
        <w:ind w:left="1800" w:leftChars="0" w:hanging="1800" w:hangingChars="75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2.15</w:t>
      </w:r>
      <w:r>
        <w:rPr>
          <w:rFonts w:hint="eastAsia" w:ascii="宋体" w:hAnsi="宋体" w:eastAsia="宋体" w:cs="宋体"/>
          <w:color w:val="auto"/>
          <w:sz w:val="24"/>
          <w:szCs w:val="24"/>
          <w:highlight w:val="none"/>
        </w:rPr>
        <w:t>时间基准</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 xml:space="preserve">6, 8, 10, 15, 30, 60, 120, 240，500，750,1000mm/秒     </w:t>
      </w:r>
    </w:p>
    <w:p w14:paraId="7E92D741">
      <w:pPr>
        <w:pageBreakBefore w:val="0"/>
        <w:numPr>
          <w:ilvl w:val="0"/>
          <w:numId w:val="18"/>
        </w:numPr>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软件功能： </w:t>
      </w:r>
    </w:p>
    <w:p w14:paraId="00F949F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 </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Windows 7操作系统，中文Office办公软件</w:t>
      </w:r>
    </w:p>
    <w:p w14:paraId="35EC215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3.2中文脑电采集回放软件，可自由切换到中、英、法、德等语言</w:t>
      </w:r>
    </w:p>
    <w:p w14:paraId="13F9711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可根据患者的姓名、年龄、性别、病例类型等多种信息进行病例检索，实现大数据的系统化管理</w:t>
      </w:r>
    </w:p>
    <w:p w14:paraId="3516465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3.4具有阻抗实时监测功能：可对病人阻抗进行实时监测，便于即时发现病人记录电极阻抗状态，阻抗过高时系统需自动标记并报警</w:t>
      </w:r>
    </w:p>
    <w:p w14:paraId="7343F249">
      <w:pPr>
        <w:pStyle w:val="259"/>
        <w:keepNext w:val="0"/>
        <w:keepLines w:val="0"/>
        <w:pageBreakBefore w:val="0"/>
        <w:widowControl/>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3.5断电自动恢复功能：系统断电恢复通电后，可自动开机并记录到断电前的病人记录</w:t>
      </w:r>
    </w:p>
    <w:p w14:paraId="00ABDC0E">
      <w:pPr>
        <w:pStyle w:val="259"/>
        <w:keepNext w:val="0"/>
        <w:keepLines w:val="0"/>
        <w:pageBreakBefore w:val="0"/>
        <w:widowControl/>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状态，同时可自动报警通知护士站，自动恢复记录在2分钟内完成</w:t>
      </w:r>
    </w:p>
    <w:p w14:paraId="00683D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3.6放大器断开时，可继续采集视频，放大器恢复连接后，脑电采集和视频自动恢复同步采集</w:t>
      </w:r>
    </w:p>
    <w:p w14:paraId="5C8B0D2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r>
        <w:rPr>
          <w:rFonts w:hint="eastAsia" w:ascii="宋体" w:hAnsi="宋体" w:eastAsia="宋体" w:cs="宋体"/>
          <w:bCs/>
          <w:color w:val="auto"/>
          <w:sz w:val="24"/>
          <w:szCs w:val="24"/>
          <w:highlight w:val="none"/>
        </w:rPr>
        <w:t>事件列表：对各事件发生的时间，持续时间及次数进行列表统计，阅图时可直接跳转到该事件的数据位置</w:t>
      </w:r>
    </w:p>
    <w:p w14:paraId="27F5028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3.8脑电测量工具：脑电信号的频率及波幅的测量；电子尺实时测量脑电波幅和频率</w:t>
      </w:r>
    </w:p>
    <w:p w14:paraId="5AEF3FDD">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3.9特殊事件标记记录：可对记录时发生的特殊事件进行自动标记或手动标记</w:t>
      </w:r>
    </w:p>
    <w:p w14:paraId="630FEFA0">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rPr>
        <w:t>.10</w:t>
      </w:r>
      <w:r>
        <w:rPr>
          <w:rFonts w:hint="eastAsia" w:ascii="宋体" w:hAnsi="宋体" w:eastAsia="宋体" w:cs="宋体"/>
          <w:bCs/>
          <w:color w:val="auto"/>
          <w:sz w:val="24"/>
          <w:szCs w:val="24"/>
          <w:highlight w:val="none"/>
          <w:lang w:val="en-US" w:eastAsia="zh-CN"/>
        </w:rPr>
        <w:t>具备</w:t>
      </w:r>
      <w:r>
        <w:rPr>
          <w:rFonts w:hint="eastAsia" w:ascii="宋体" w:hAnsi="宋体" w:eastAsia="宋体" w:cs="宋体"/>
          <w:bCs/>
          <w:color w:val="auto"/>
          <w:sz w:val="24"/>
          <w:szCs w:val="24"/>
          <w:highlight w:val="none"/>
        </w:rPr>
        <w:t>棘波检测功能和棘尖波检测功能</w:t>
      </w:r>
    </w:p>
    <w:p w14:paraId="2488BB29">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rPr>
        <w:t>11可以显示量化脑电描记图和帮助用户监测和分析脑电波形的压缩频谱阵列（CSA）</w:t>
      </w:r>
    </w:p>
    <w:p w14:paraId="2A286FC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3.12导联方式：包括原始Ref参考，平均参考（AV，AVE），拉普拉斯区域参考法（Hjorth），源参考法（Source）,耳电极参考法（A1→A2,A2→A1,A1&amp;A2等）</w:t>
      </w:r>
    </w:p>
    <w:p w14:paraId="37C7C66B">
      <w:pPr>
        <w:pageBreakBefore w:val="0"/>
        <w:kinsoku/>
        <w:wordWrap/>
        <w:overflowPunct/>
        <w:topLinePunct w:val="0"/>
        <w:bidi w:val="0"/>
        <w:snapToGrid/>
        <w:spacing w:line="312" w:lineRule="auto"/>
        <w:rPr>
          <w:rFonts w:hint="eastAsia" w:ascii="宋体" w:hAnsi="宋体" w:eastAsia="宋体" w:cs="宋体"/>
          <w:snapToGrid w:val="0"/>
          <w:color w:val="auto"/>
          <w:kern w:val="0"/>
          <w:sz w:val="24"/>
          <w:szCs w:val="24"/>
          <w:highlight w:val="none"/>
        </w:rPr>
      </w:pPr>
      <w:r>
        <w:rPr>
          <w:rFonts w:hint="eastAsia" w:ascii="宋体" w:hAnsi="宋体" w:eastAsia="宋体" w:cs="宋体"/>
          <w:color w:val="auto"/>
          <w:sz w:val="24"/>
          <w:szCs w:val="24"/>
          <w:highlight w:val="none"/>
        </w:rPr>
        <w:t>3.13脑电数据可在任意PC机回放：</w:t>
      </w:r>
      <w:r>
        <w:rPr>
          <w:rFonts w:hint="eastAsia" w:ascii="宋体" w:hAnsi="宋体" w:eastAsia="宋体" w:cs="宋体"/>
          <w:snapToGrid w:val="0"/>
          <w:color w:val="auto"/>
          <w:kern w:val="0"/>
          <w:sz w:val="24"/>
          <w:szCs w:val="24"/>
          <w:highlight w:val="none"/>
        </w:rPr>
        <w:t>可将存储设备（如光盘）中的脑电数据放在任何电脑上回放和分析，方便教学与学术交流</w:t>
      </w:r>
    </w:p>
    <w:p w14:paraId="3EE0C4A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3.14颅内电极植入标记软件：可在头颅模型中定义颅内电极的位置，定义后的电极直接与放大器输入对应，便于编辑监测导联和进行脑功能定位（Mapping）</w:t>
      </w:r>
    </w:p>
    <w:p w14:paraId="311D631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3.15高频脑电分析功能：可分析高频及超高频率脑电波，可同屏显示常规参数和高频参数下的脑电图波形对比</w:t>
      </w:r>
    </w:p>
    <w:p w14:paraId="6D5C3CC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3.16 脑网络皮质电传导研究软件：可实现皮质间电传导路径的研究，含CCEP诱发电位功能</w:t>
      </w:r>
    </w:p>
    <w:p w14:paraId="6ECD667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3.17科研扩展：数据格式具备ASCII，EDF等国际通用编码，可与Matlab，ASA和BESA等数据分析软件兼容</w:t>
      </w:r>
    </w:p>
    <w:p w14:paraId="0E99622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3.18 Anywhere远程控制及监视功能：可通过手机、平板电脑和笔记本电脑等便携式终端，实现远程控制脑电软件操作、远程视频同步监测及远程多中心会诊</w:t>
      </w:r>
    </w:p>
    <w:p w14:paraId="76030DD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3.19 监测报警功能：当患者家属按报警按钮，或者系统检测出患者有癫痫发作时，系统可通过声音和图像标记自动报警</w:t>
      </w:r>
    </w:p>
    <w:p w14:paraId="4007054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3.20 与皮层刺激器联合使用时，刺激完成后，被刺激电极再2秒内可恢复正常脑电记录，便于观察刺激后放电现象</w:t>
      </w:r>
      <w:r>
        <w:rPr>
          <w:rFonts w:hint="eastAsia" w:ascii="宋体" w:hAnsi="宋体" w:eastAsia="宋体" w:cs="宋体"/>
          <w:color w:val="auto"/>
          <w:sz w:val="24"/>
          <w:szCs w:val="24"/>
          <w:highlight w:val="none"/>
          <w:lang w:eastAsia="zh-CN"/>
        </w:rPr>
        <w:t>。</w:t>
      </w:r>
    </w:p>
    <w:p w14:paraId="2B43C106">
      <w:pPr>
        <w:pageBreakBefore w:val="0"/>
        <w:numPr>
          <w:ilvl w:val="0"/>
          <w:numId w:val="18"/>
        </w:numPr>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视频系统：</w:t>
      </w:r>
    </w:p>
    <w:p w14:paraId="34877370">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 摄像头：网络高清摄像头，视频分辨率可达1920*1080</w:t>
      </w:r>
    </w:p>
    <w:p w14:paraId="7FDCFD72">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4.2 旋转范围：360°连续旋转</w:t>
      </w:r>
    </w:p>
    <w:p w14:paraId="05BA9DE9">
      <w:pPr>
        <w:pageBreakBefore w:val="0"/>
        <w:kinsoku/>
        <w:wordWrap/>
        <w:overflowPunct/>
        <w:topLinePunct w:val="0"/>
        <w:bidi w:val="0"/>
        <w:snapToGrid/>
        <w:spacing w:line="312"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4.3变焦距比率：25倍光学变焦及16倍数字变焦</w:t>
      </w:r>
    </w:p>
    <w:p w14:paraId="67C9CC18">
      <w:pPr>
        <w:pageBreakBefore w:val="0"/>
        <w:numPr>
          <w:ilvl w:val="0"/>
          <w:numId w:val="18"/>
        </w:numPr>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闪光刺激器</w:t>
      </w:r>
    </w:p>
    <w:p w14:paraId="6DA5B9B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t>.1 LED闪光刺激器，亮度范围1.5cd～12cd</w:t>
      </w:r>
    </w:p>
    <w:p w14:paraId="3623EFB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5.2可预置</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12种刺激模版</w:t>
      </w:r>
    </w:p>
    <w:p w14:paraId="5A99D8A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5.3</w:t>
      </w:r>
      <w:r>
        <w:rPr>
          <w:rFonts w:hint="eastAsia" w:ascii="宋体" w:hAnsi="宋体" w:eastAsia="宋体" w:cs="宋体"/>
          <w:color w:val="auto"/>
          <w:sz w:val="24"/>
          <w:szCs w:val="24"/>
          <w:highlight w:val="none"/>
        </w:rPr>
        <w:t>刺激最高频率</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60Hz</w:t>
      </w:r>
    </w:p>
    <w:p w14:paraId="46389AC7">
      <w:pPr>
        <w:pageBreakBefore w:val="0"/>
        <w:numPr>
          <w:ilvl w:val="0"/>
          <w:numId w:val="18"/>
        </w:numPr>
        <w:kinsoku/>
        <w:wordWrap/>
        <w:overflowPunct/>
        <w:topLinePunct w:val="0"/>
        <w:bidi w:val="0"/>
        <w:snapToGrid/>
        <w:spacing w:line="312" w:lineRule="auto"/>
        <w:rPr>
          <w:rFonts w:hint="eastAsia"/>
          <w:color w:val="auto"/>
          <w:highlight w:val="none"/>
        </w:rPr>
      </w:pPr>
      <w:r>
        <w:rPr>
          <w:rFonts w:hint="eastAsia" w:ascii="宋体" w:hAnsi="宋体" w:eastAsia="宋体" w:cs="宋体"/>
          <w:b/>
          <w:color w:val="auto"/>
          <w:sz w:val="24"/>
          <w:szCs w:val="24"/>
          <w:highlight w:val="none"/>
        </w:rPr>
        <w:t>免费保修时间不少于5年</w:t>
      </w:r>
    </w:p>
    <w:p w14:paraId="03B92D88">
      <w:pPr>
        <w:pageBreakBefore w:val="0"/>
        <w:numPr>
          <w:ilvl w:val="0"/>
          <w:numId w:val="0"/>
        </w:numPr>
        <w:kinsoku/>
        <w:wordWrap/>
        <w:overflowPunct/>
        <w:topLinePunct w:val="0"/>
        <w:bidi w:val="0"/>
        <w:snapToGrid/>
        <w:spacing w:line="312" w:lineRule="auto"/>
        <w:ind w:leftChars="0"/>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二、</w:t>
      </w:r>
      <w:r>
        <w:rPr>
          <w:rFonts w:hint="eastAsia" w:ascii="宋体" w:hAnsi="宋体" w:eastAsia="宋体" w:cs="宋体"/>
          <w:b/>
          <w:color w:val="auto"/>
          <w:sz w:val="24"/>
          <w:szCs w:val="24"/>
          <w:highlight w:val="none"/>
        </w:rPr>
        <w:t>配置要求</w:t>
      </w:r>
      <w:r>
        <w:rPr>
          <w:rFonts w:hint="eastAsia" w:ascii="宋体" w:hAnsi="宋体" w:cs="宋体"/>
          <w:b/>
          <w:color w:val="auto"/>
          <w:sz w:val="24"/>
          <w:szCs w:val="24"/>
          <w:highlight w:val="none"/>
          <w:lang w:eastAsia="zh-CN"/>
        </w:rPr>
        <w:t>：</w:t>
      </w:r>
    </w:p>
    <w:tbl>
      <w:tblPr>
        <w:tblStyle w:val="43"/>
        <w:tblpPr w:leftFromText="180" w:rightFromText="180" w:vertAnchor="text" w:horzAnchor="margin" w:tblpXSpec="center" w:tblpY="146"/>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5"/>
        <w:gridCol w:w="5590"/>
        <w:gridCol w:w="1211"/>
        <w:gridCol w:w="1542"/>
      </w:tblGrid>
      <w:tr w14:paraId="02F5A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jc w:val="center"/>
        </w:trPr>
        <w:tc>
          <w:tcPr>
            <w:tcW w:w="509" w:type="pct"/>
            <w:noWrap w:val="0"/>
            <w:vAlign w:val="center"/>
          </w:tcPr>
          <w:p w14:paraId="6D2520A0">
            <w:pPr>
              <w:pageBreakBefore w:val="0"/>
              <w:kinsoku/>
              <w:wordWrap/>
              <w:overflowPunct/>
              <w:topLinePunct w:val="0"/>
              <w:bidi w:val="0"/>
              <w:adjustRightInd w:val="0"/>
              <w:snapToGrid/>
              <w:spacing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编号</w:t>
            </w:r>
          </w:p>
        </w:tc>
        <w:tc>
          <w:tcPr>
            <w:tcW w:w="3009" w:type="pct"/>
            <w:noWrap w:val="0"/>
            <w:vAlign w:val="center"/>
          </w:tcPr>
          <w:p w14:paraId="7AD061C4">
            <w:pPr>
              <w:pageBreakBefore w:val="0"/>
              <w:kinsoku/>
              <w:wordWrap/>
              <w:overflowPunct/>
              <w:topLinePunct w:val="0"/>
              <w:bidi w:val="0"/>
              <w:adjustRightInd w:val="0"/>
              <w:snapToGrid/>
              <w:spacing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w:t>
            </w:r>
          </w:p>
        </w:tc>
        <w:tc>
          <w:tcPr>
            <w:tcW w:w="652" w:type="pct"/>
            <w:noWrap w:val="0"/>
            <w:vAlign w:val="center"/>
          </w:tcPr>
          <w:p w14:paraId="6CB62C76">
            <w:pPr>
              <w:pageBreakBefore w:val="0"/>
              <w:kinsoku/>
              <w:wordWrap/>
              <w:overflowPunct/>
              <w:topLinePunct w:val="0"/>
              <w:bidi w:val="0"/>
              <w:adjustRightInd w:val="0"/>
              <w:snapToGrid/>
              <w:spacing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830" w:type="pct"/>
            <w:noWrap w:val="0"/>
            <w:vAlign w:val="center"/>
          </w:tcPr>
          <w:p w14:paraId="1BAD2A26">
            <w:pPr>
              <w:pageBreakBefore w:val="0"/>
              <w:kinsoku/>
              <w:wordWrap/>
              <w:overflowPunct/>
              <w:topLinePunct w:val="0"/>
              <w:bidi w:val="0"/>
              <w:adjustRightInd w:val="0"/>
              <w:snapToGrid/>
              <w:spacing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70A7C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2B831BDD">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009" w:type="pct"/>
            <w:noWrap w:val="0"/>
            <w:vAlign w:val="center"/>
          </w:tcPr>
          <w:p w14:paraId="719B768F">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数据数量终端</w:t>
            </w:r>
          </w:p>
        </w:tc>
        <w:tc>
          <w:tcPr>
            <w:tcW w:w="652" w:type="pct"/>
            <w:noWrap w:val="0"/>
            <w:vAlign w:val="center"/>
          </w:tcPr>
          <w:p w14:paraId="1B1E3C6F">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c>
          <w:tcPr>
            <w:tcW w:w="830" w:type="pct"/>
            <w:noWrap w:val="0"/>
            <w:vAlign w:val="center"/>
          </w:tcPr>
          <w:p w14:paraId="434DD800">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5F5A15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501661F7">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009" w:type="pct"/>
            <w:noWrap w:val="0"/>
            <w:vAlign w:val="center"/>
          </w:tcPr>
          <w:p w14:paraId="0F41D21B">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显示终端</w:t>
            </w:r>
          </w:p>
        </w:tc>
        <w:tc>
          <w:tcPr>
            <w:tcW w:w="652" w:type="pct"/>
            <w:noWrap w:val="0"/>
            <w:vAlign w:val="center"/>
          </w:tcPr>
          <w:p w14:paraId="05C7F99F">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c>
          <w:tcPr>
            <w:tcW w:w="830" w:type="pct"/>
            <w:noWrap w:val="0"/>
            <w:vAlign w:val="center"/>
          </w:tcPr>
          <w:p w14:paraId="2D877024">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26A92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7647D3BA">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009" w:type="pct"/>
            <w:noWrap w:val="0"/>
            <w:vAlign w:val="center"/>
          </w:tcPr>
          <w:p w14:paraId="2D0B50BD">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隔离净化电源装置</w:t>
            </w:r>
          </w:p>
        </w:tc>
        <w:tc>
          <w:tcPr>
            <w:tcW w:w="652" w:type="pct"/>
            <w:noWrap w:val="0"/>
            <w:vAlign w:val="center"/>
          </w:tcPr>
          <w:p w14:paraId="15A2EE6A">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1个</w:t>
            </w:r>
          </w:p>
        </w:tc>
        <w:tc>
          <w:tcPr>
            <w:tcW w:w="830" w:type="pct"/>
            <w:noWrap w:val="0"/>
            <w:vAlign w:val="center"/>
          </w:tcPr>
          <w:p w14:paraId="7288869B">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4B638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6416CC4A">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009" w:type="pct"/>
            <w:noWrap w:val="0"/>
            <w:vAlign w:val="center"/>
          </w:tcPr>
          <w:p w14:paraId="26387862">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256导联前置数字放大器</w:t>
            </w:r>
          </w:p>
        </w:tc>
        <w:tc>
          <w:tcPr>
            <w:tcW w:w="652" w:type="pct"/>
            <w:noWrap w:val="0"/>
            <w:vAlign w:val="center"/>
          </w:tcPr>
          <w:p w14:paraId="1E980F02">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1个</w:t>
            </w:r>
          </w:p>
        </w:tc>
        <w:tc>
          <w:tcPr>
            <w:tcW w:w="830" w:type="pct"/>
            <w:noWrap w:val="0"/>
            <w:vAlign w:val="center"/>
          </w:tcPr>
          <w:p w14:paraId="31763898">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30C6D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09452235">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009" w:type="pct"/>
            <w:noWrap w:val="0"/>
            <w:vAlign w:val="center"/>
          </w:tcPr>
          <w:p w14:paraId="1089D35E">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脑电电极</w:t>
            </w:r>
          </w:p>
        </w:tc>
        <w:tc>
          <w:tcPr>
            <w:tcW w:w="652" w:type="pct"/>
            <w:noWrap w:val="0"/>
            <w:vAlign w:val="center"/>
          </w:tcPr>
          <w:p w14:paraId="5D66E0E3">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12套</w:t>
            </w:r>
          </w:p>
        </w:tc>
        <w:tc>
          <w:tcPr>
            <w:tcW w:w="830" w:type="pct"/>
            <w:noWrap w:val="0"/>
            <w:vAlign w:val="center"/>
          </w:tcPr>
          <w:p w14:paraId="7F17E1C6">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（10根/套）</w:t>
            </w:r>
          </w:p>
        </w:tc>
      </w:tr>
      <w:tr w14:paraId="74379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4FD52E41">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009" w:type="pct"/>
            <w:noWrap w:val="0"/>
            <w:vAlign w:val="center"/>
          </w:tcPr>
          <w:p w14:paraId="649CBEB2">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导电膏</w:t>
            </w:r>
          </w:p>
        </w:tc>
        <w:tc>
          <w:tcPr>
            <w:tcW w:w="652" w:type="pct"/>
            <w:noWrap w:val="0"/>
            <w:vAlign w:val="center"/>
          </w:tcPr>
          <w:p w14:paraId="0BB46701">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1盒</w:t>
            </w:r>
          </w:p>
        </w:tc>
        <w:tc>
          <w:tcPr>
            <w:tcW w:w="830" w:type="pct"/>
            <w:noWrap w:val="0"/>
            <w:vAlign w:val="center"/>
          </w:tcPr>
          <w:p w14:paraId="2E89780A">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695F5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1703F8F4">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009" w:type="pct"/>
            <w:noWrap w:val="0"/>
            <w:vAlign w:val="center"/>
          </w:tcPr>
          <w:p w14:paraId="5EFADFCE">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脑电采集回放软件</w:t>
            </w:r>
          </w:p>
        </w:tc>
        <w:tc>
          <w:tcPr>
            <w:tcW w:w="652" w:type="pct"/>
            <w:noWrap w:val="0"/>
            <w:vAlign w:val="center"/>
          </w:tcPr>
          <w:p w14:paraId="2EC18DE4">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1个</w:t>
            </w:r>
          </w:p>
        </w:tc>
        <w:tc>
          <w:tcPr>
            <w:tcW w:w="830" w:type="pct"/>
            <w:noWrap w:val="0"/>
            <w:vAlign w:val="center"/>
          </w:tcPr>
          <w:p w14:paraId="2BE17335">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514F2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3B6A6B07">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009" w:type="pct"/>
            <w:noWrap w:val="0"/>
            <w:vAlign w:val="center"/>
          </w:tcPr>
          <w:p w14:paraId="221528E7">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脑电采集、回放系统软件</w:t>
            </w:r>
          </w:p>
        </w:tc>
        <w:tc>
          <w:tcPr>
            <w:tcW w:w="652" w:type="pct"/>
            <w:noWrap w:val="0"/>
            <w:vAlign w:val="center"/>
          </w:tcPr>
          <w:p w14:paraId="02324BD7">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52EE4E2D">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42FC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5CC75B2F">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009" w:type="pct"/>
            <w:noWrap w:val="0"/>
            <w:vAlign w:val="center"/>
          </w:tcPr>
          <w:p w14:paraId="16FD7A8D">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中文报告生成软件</w:t>
            </w:r>
          </w:p>
        </w:tc>
        <w:tc>
          <w:tcPr>
            <w:tcW w:w="652" w:type="pct"/>
            <w:noWrap w:val="0"/>
            <w:vAlign w:val="center"/>
          </w:tcPr>
          <w:p w14:paraId="4D0C5F62">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65D7AC04">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1C816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1AABD946">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009" w:type="pct"/>
            <w:noWrap w:val="0"/>
            <w:vAlign w:val="center"/>
          </w:tcPr>
          <w:p w14:paraId="61757DE1">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数据库管理软件</w:t>
            </w:r>
          </w:p>
        </w:tc>
        <w:tc>
          <w:tcPr>
            <w:tcW w:w="652" w:type="pct"/>
            <w:noWrap w:val="0"/>
            <w:vAlign w:val="center"/>
          </w:tcPr>
          <w:p w14:paraId="550BE616">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3D2F1281">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12A55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04D75DA6">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009" w:type="pct"/>
            <w:noWrap w:val="0"/>
            <w:vAlign w:val="center"/>
          </w:tcPr>
          <w:p w14:paraId="11010C06">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超强LED闪光刺激器</w:t>
            </w:r>
          </w:p>
        </w:tc>
        <w:tc>
          <w:tcPr>
            <w:tcW w:w="652" w:type="pct"/>
            <w:noWrap w:val="0"/>
            <w:vAlign w:val="center"/>
          </w:tcPr>
          <w:p w14:paraId="283A007A">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163449F0">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695D7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2C62BACB">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009" w:type="pct"/>
            <w:noWrap w:val="0"/>
            <w:vAlign w:val="center"/>
          </w:tcPr>
          <w:p w14:paraId="265E2030">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视频同步采集回放软件</w:t>
            </w:r>
          </w:p>
        </w:tc>
        <w:tc>
          <w:tcPr>
            <w:tcW w:w="652" w:type="pct"/>
            <w:noWrap w:val="0"/>
            <w:vAlign w:val="center"/>
          </w:tcPr>
          <w:p w14:paraId="5A3A1A93">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75E7BB1C">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70278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13CB342C">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009" w:type="pct"/>
            <w:noWrap w:val="0"/>
            <w:vAlign w:val="center"/>
          </w:tcPr>
          <w:p w14:paraId="5F25E7BB">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高清网络视频采集系统</w:t>
            </w:r>
          </w:p>
        </w:tc>
        <w:tc>
          <w:tcPr>
            <w:tcW w:w="652" w:type="pct"/>
            <w:noWrap w:val="0"/>
            <w:vAlign w:val="center"/>
          </w:tcPr>
          <w:p w14:paraId="506079E7">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5A4A467C">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3BB13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7E81CED5">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009" w:type="pct"/>
            <w:noWrap w:val="0"/>
            <w:vAlign w:val="center"/>
          </w:tcPr>
          <w:p w14:paraId="520E75F9">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音频采集系统</w:t>
            </w:r>
          </w:p>
        </w:tc>
        <w:tc>
          <w:tcPr>
            <w:tcW w:w="652" w:type="pct"/>
            <w:noWrap w:val="0"/>
            <w:vAlign w:val="center"/>
          </w:tcPr>
          <w:p w14:paraId="637C8245">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6C14C96C">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622837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671A92C8">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009" w:type="pct"/>
            <w:noWrap w:val="0"/>
            <w:vAlign w:val="center"/>
          </w:tcPr>
          <w:p w14:paraId="7500F552">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数据服务器（50T）</w:t>
            </w:r>
          </w:p>
        </w:tc>
        <w:tc>
          <w:tcPr>
            <w:tcW w:w="652" w:type="pct"/>
            <w:noWrap w:val="0"/>
            <w:vAlign w:val="center"/>
          </w:tcPr>
          <w:p w14:paraId="1C10EDAD">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75BD7A90">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377F9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78040673">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009" w:type="pct"/>
            <w:noWrap w:val="0"/>
            <w:vAlign w:val="center"/>
          </w:tcPr>
          <w:p w14:paraId="34CF7D46">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网络打印机</w:t>
            </w:r>
          </w:p>
        </w:tc>
        <w:tc>
          <w:tcPr>
            <w:tcW w:w="652" w:type="pct"/>
            <w:noWrap w:val="0"/>
            <w:vAlign w:val="center"/>
          </w:tcPr>
          <w:p w14:paraId="0C8C70BE">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c>
          <w:tcPr>
            <w:tcW w:w="830" w:type="pct"/>
            <w:noWrap w:val="0"/>
            <w:vAlign w:val="center"/>
          </w:tcPr>
          <w:p w14:paraId="6F4605F3">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r w14:paraId="3C93D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09" w:type="pct"/>
            <w:noWrap w:val="0"/>
            <w:vAlign w:val="center"/>
          </w:tcPr>
          <w:p w14:paraId="0D77A195">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009" w:type="pct"/>
            <w:noWrap w:val="0"/>
            <w:vAlign w:val="center"/>
          </w:tcPr>
          <w:p w14:paraId="3C61D480">
            <w:pPr>
              <w:pageBreakBefore w:val="0"/>
              <w:kinsoku/>
              <w:wordWrap/>
              <w:overflowPunct/>
              <w:topLinePunct w:val="0"/>
              <w:bidi w:val="0"/>
              <w:adjustRightInd w:val="0"/>
              <w:snapToGrid/>
              <w:spacing w:line="312"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回放终端（32寸液晶显示器，分辨率4K， CPUi7,硬盘1T，内存16G）</w:t>
            </w:r>
          </w:p>
        </w:tc>
        <w:tc>
          <w:tcPr>
            <w:tcW w:w="652" w:type="pct"/>
            <w:noWrap w:val="0"/>
            <w:vAlign w:val="center"/>
          </w:tcPr>
          <w:p w14:paraId="75D7A2A9">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c>
          <w:tcPr>
            <w:tcW w:w="830" w:type="pct"/>
            <w:noWrap w:val="0"/>
            <w:vAlign w:val="center"/>
          </w:tcPr>
          <w:p w14:paraId="5DC0F377">
            <w:pPr>
              <w:pageBreakBefore w:val="0"/>
              <w:kinsoku/>
              <w:wordWrap/>
              <w:overflowPunct/>
              <w:topLinePunct w:val="0"/>
              <w:bidi w:val="0"/>
              <w:adjustRightInd w:val="0"/>
              <w:snapToGrid/>
              <w:spacing w:line="312" w:lineRule="auto"/>
              <w:jc w:val="center"/>
              <w:rPr>
                <w:rFonts w:hint="eastAsia" w:ascii="宋体" w:hAnsi="宋体" w:eastAsia="宋体" w:cs="宋体"/>
                <w:color w:val="auto"/>
                <w:sz w:val="24"/>
                <w:szCs w:val="24"/>
                <w:highlight w:val="none"/>
              </w:rPr>
            </w:pPr>
          </w:p>
        </w:tc>
      </w:tr>
    </w:tbl>
    <w:p w14:paraId="0CA1743F">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品目1-3</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血流分析系统</w:t>
      </w:r>
    </w:p>
    <w:p w14:paraId="1F7667DC">
      <w:pPr>
        <w:pageBreakBefore w:val="0"/>
        <w:numPr>
          <w:ilvl w:val="0"/>
          <w:numId w:val="19"/>
        </w:numPr>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用途说明</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用于血管血流速及血流方向检测</w:t>
      </w:r>
    </w:p>
    <w:p w14:paraId="554DCD4A">
      <w:pPr>
        <w:pageBreakBefore w:val="0"/>
        <w:numPr>
          <w:ilvl w:val="0"/>
          <w:numId w:val="19"/>
        </w:numPr>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配置规格、附件及零配件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单通道多普勒血流探测仪、 探头、适配器。</w:t>
      </w:r>
    </w:p>
    <w:p w14:paraId="3F624BE8">
      <w:pPr>
        <w:pageBreakBefore w:val="0"/>
        <w:numPr>
          <w:ilvl w:val="0"/>
          <w:numId w:val="19"/>
        </w:numPr>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详细技术要求</w:t>
      </w:r>
      <w:r>
        <w:rPr>
          <w:rFonts w:hint="eastAsia" w:ascii="宋体" w:hAnsi="宋体" w:eastAsia="宋体" w:cs="宋体"/>
          <w:color w:val="auto"/>
          <w:sz w:val="24"/>
          <w:szCs w:val="24"/>
          <w:highlight w:val="none"/>
        </w:rPr>
        <w:tab/>
      </w:r>
    </w:p>
    <w:p w14:paraId="06C07DF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1.液晶屏显示</w:t>
      </w:r>
    </w:p>
    <w:p w14:paraId="3E10203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2.主机内置存储检测数据</w:t>
      </w:r>
    </w:p>
    <w:p w14:paraId="105BF29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3.判断双方向血流状况</w:t>
      </w:r>
    </w:p>
    <w:p w14:paraId="27894D3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4.分别对动、静脉的血管状况进行检查</w:t>
      </w:r>
    </w:p>
    <w:p w14:paraId="6BE3708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5.探头冻结键具备冻结数据及打印检测数据</w:t>
      </w:r>
    </w:p>
    <w:p w14:paraId="6923C3C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6.可随意调整变换探头前端角度</w:t>
      </w:r>
    </w:p>
    <w:p w14:paraId="52F6A98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7.术中探头可重复消毒</w:t>
      </w:r>
    </w:p>
    <w:p w14:paraId="0044AA8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▲8.工作频率探头可供选择 </w:t>
      </w:r>
      <w:r>
        <w:rPr>
          <w:rFonts w:hint="eastAsia" w:ascii="宋体" w:hAnsi="宋体" w:eastAsia="宋体" w:cs="宋体"/>
          <w:color w:val="auto"/>
          <w:sz w:val="24"/>
          <w:szCs w:val="24"/>
          <w:highlight w:val="none"/>
          <w:lang w:val="en-US" w:eastAsia="zh-CN"/>
        </w:rPr>
        <w:t>至少包含</w:t>
      </w:r>
      <w:r>
        <w:rPr>
          <w:rFonts w:hint="eastAsia" w:ascii="宋体" w:hAnsi="宋体" w:eastAsia="宋体" w:cs="宋体"/>
          <w:color w:val="auto"/>
          <w:sz w:val="24"/>
          <w:szCs w:val="24"/>
          <w:highlight w:val="none"/>
        </w:rPr>
        <w:t xml:space="preserve"> 8MHz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10MHz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20MHz</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p>
    <w:p w14:paraId="28FFE86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▲9.实时显示波形模式与数据模式</w:t>
      </w:r>
    </w:p>
    <w:p w14:paraId="7A80464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▲10.可打印血流图及血流数据</w:t>
      </w:r>
    </w:p>
    <w:p w14:paraId="41C6418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11.具有内置打印机打印血流图及血流数据</w:t>
      </w:r>
    </w:p>
    <w:p w14:paraId="337F242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12.检测参数</w:t>
      </w:r>
      <w:r>
        <w:rPr>
          <w:rFonts w:hint="eastAsia" w:ascii="宋体" w:hAnsi="宋体" w:eastAsia="宋体" w:cs="宋体"/>
          <w:color w:val="auto"/>
          <w:sz w:val="24"/>
          <w:szCs w:val="24"/>
          <w:highlight w:val="none"/>
          <w:lang w:val="en-US" w:eastAsia="zh-CN"/>
        </w:rPr>
        <w:t>至少包含</w:t>
      </w:r>
    </w:p>
    <w:p w14:paraId="0C0E97D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S：收缩期血流速率（cm/s）</w:t>
      </w:r>
    </w:p>
    <w:p w14:paraId="0CEB976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MN：平均血流速率（cm/s）</w:t>
      </w:r>
    </w:p>
    <w:p w14:paraId="6275EBC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D： 舒张末期血流速率（cm/s）</w:t>
      </w:r>
    </w:p>
    <w:p w14:paraId="45A468D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RP：阻抗系数   RP＝（S-D）/S  </w:t>
      </w:r>
    </w:p>
    <w:p w14:paraId="25210CE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PI：脉动指数   PI</w:t>
      </w:r>
    </w:p>
    <w:p w14:paraId="1DFE524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SD：S/D比，SD＝S/D</w:t>
      </w:r>
    </w:p>
    <w:p w14:paraId="1C6F096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HR：心率             </w:t>
      </w:r>
    </w:p>
    <w:p w14:paraId="062FD60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.探头最大工作距离</w:t>
      </w:r>
    </w:p>
    <w:p w14:paraId="36DA3D5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13.1</w:t>
      </w:r>
      <w:r>
        <w:rPr>
          <w:rFonts w:hint="eastAsia" w:ascii="宋体" w:hAnsi="宋体" w:eastAsia="宋体" w:cs="宋体"/>
          <w:color w:val="auto"/>
          <w:sz w:val="24"/>
          <w:szCs w:val="24"/>
          <w:highlight w:val="none"/>
        </w:rPr>
        <w:t xml:space="preserve"> 8MHz 最大工作距离不小于10mm</w:t>
      </w:r>
    </w:p>
    <w:p w14:paraId="2D99CCE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13.2</w:t>
      </w:r>
      <w:r>
        <w:rPr>
          <w:rFonts w:hint="eastAsia" w:ascii="宋体" w:hAnsi="宋体" w:eastAsia="宋体" w:cs="宋体"/>
          <w:color w:val="auto"/>
          <w:sz w:val="24"/>
          <w:szCs w:val="24"/>
          <w:highlight w:val="none"/>
        </w:rPr>
        <w:t>10MHz最大工作距离不小于5mm</w:t>
      </w:r>
    </w:p>
    <w:p w14:paraId="11FBBF8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13.3</w:t>
      </w:r>
      <w:r>
        <w:rPr>
          <w:rFonts w:hint="eastAsia" w:ascii="宋体" w:hAnsi="宋体" w:eastAsia="宋体" w:cs="宋体"/>
          <w:color w:val="auto"/>
          <w:sz w:val="24"/>
          <w:szCs w:val="24"/>
          <w:highlight w:val="none"/>
        </w:rPr>
        <w:t>20MHz最大工作距离不小于2mm</w:t>
      </w:r>
    </w:p>
    <w:p w14:paraId="5AC13E2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.测量范围</w:t>
      </w:r>
    </w:p>
    <w:p w14:paraId="6E3A900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14.1</w:t>
      </w:r>
      <w:r>
        <w:rPr>
          <w:rFonts w:hint="eastAsia" w:ascii="宋体" w:hAnsi="宋体" w:eastAsia="宋体" w:cs="宋体"/>
          <w:color w:val="auto"/>
          <w:sz w:val="24"/>
          <w:szCs w:val="24"/>
          <w:highlight w:val="none"/>
        </w:rPr>
        <w:t>8MHz 测量范围不小于3cm/s～60cm/s</w:t>
      </w:r>
    </w:p>
    <w:p w14:paraId="5B4CDD3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14.2</w:t>
      </w:r>
      <w:r>
        <w:rPr>
          <w:rFonts w:hint="eastAsia" w:ascii="宋体" w:hAnsi="宋体" w:eastAsia="宋体" w:cs="宋体"/>
          <w:color w:val="auto"/>
          <w:sz w:val="24"/>
          <w:szCs w:val="24"/>
          <w:highlight w:val="none"/>
        </w:rPr>
        <w:t>10MHz测量范围不小于2.5cm/s～50cm/s</w:t>
      </w:r>
    </w:p>
    <w:p w14:paraId="5B3C7E8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14.3</w:t>
      </w:r>
      <w:r>
        <w:rPr>
          <w:rFonts w:hint="eastAsia" w:ascii="宋体" w:hAnsi="宋体" w:eastAsia="宋体" w:cs="宋体"/>
          <w:color w:val="auto"/>
          <w:sz w:val="24"/>
          <w:szCs w:val="24"/>
          <w:highlight w:val="none"/>
        </w:rPr>
        <w:t>20MHz测量范围不小于1.2cm/s～25cm/s</w:t>
      </w:r>
    </w:p>
    <w:p w14:paraId="42FE6B4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15.免费保修时间不少于5年</w:t>
      </w:r>
    </w:p>
    <w:p w14:paraId="74079E8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p>
    <w:p w14:paraId="300873C8">
      <w:pPr>
        <w:pStyle w:val="7"/>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第2包：</w:t>
      </w:r>
    </w:p>
    <w:p w14:paraId="10D8A38E">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品目2-1</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移动式C形臂X线机</w:t>
      </w:r>
    </w:p>
    <w:tbl>
      <w:tblPr>
        <w:tblStyle w:val="44"/>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2"/>
        <w:gridCol w:w="4911"/>
      </w:tblGrid>
      <w:tr w14:paraId="35C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582" w:type="dxa"/>
            <w:vAlign w:val="center"/>
          </w:tcPr>
          <w:p w14:paraId="13507987">
            <w:pPr>
              <w:pageBreakBefore w:val="0"/>
              <w:kinsoku/>
              <w:wordWrap/>
              <w:overflowPunct/>
              <w:topLinePunct w:val="0"/>
              <w:bidi w:val="0"/>
              <w:snapToGrid/>
              <w:spacing w:before="156" w:beforeLines="50" w:after="156" w:afterLines="50"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技术参数名称</w:t>
            </w:r>
          </w:p>
        </w:tc>
        <w:tc>
          <w:tcPr>
            <w:tcW w:w="4911" w:type="dxa"/>
            <w:vAlign w:val="center"/>
          </w:tcPr>
          <w:p w14:paraId="1152F521">
            <w:pPr>
              <w:pageBreakBefore w:val="0"/>
              <w:kinsoku/>
              <w:wordWrap/>
              <w:overflowPunct/>
              <w:topLinePunct w:val="0"/>
              <w:bidi w:val="0"/>
              <w:snapToGrid/>
              <w:spacing w:before="156" w:beforeLines="50" w:after="156" w:afterLines="50" w:line="312"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技术</w:t>
            </w:r>
            <w:r>
              <w:rPr>
                <w:rFonts w:hint="eastAsia" w:ascii="宋体" w:hAnsi="宋体" w:eastAsia="宋体" w:cs="宋体"/>
                <w:b/>
                <w:bCs/>
                <w:color w:val="auto"/>
                <w:sz w:val="24"/>
                <w:szCs w:val="24"/>
                <w:highlight w:val="none"/>
              </w:rPr>
              <w:t>要求</w:t>
            </w:r>
          </w:p>
        </w:tc>
      </w:tr>
      <w:tr w14:paraId="50D6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1ECB48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一、设备名称:</w:t>
            </w:r>
          </w:p>
        </w:tc>
        <w:tc>
          <w:tcPr>
            <w:tcW w:w="4911" w:type="dxa"/>
            <w:vAlign w:val="center"/>
          </w:tcPr>
          <w:p w14:paraId="1F13607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移动式C形臂X射线机</w:t>
            </w:r>
          </w:p>
        </w:tc>
      </w:tr>
      <w:tr w14:paraId="0CD1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8FEAA2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二、数量:</w:t>
            </w:r>
          </w:p>
        </w:tc>
        <w:tc>
          <w:tcPr>
            <w:tcW w:w="4911" w:type="dxa"/>
            <w:vAlign w:val="center"/>
          </w:tcPr>
          <w:p w14:paraId="6F756E4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壹套</w:t>
            </w:r>
          </w:p>
        </w:tc>
      </w:tr>
      <w:tr w14:paraId="6BF3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675F086">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技术规格及要求：</w:t>
            </w:r>
          </w:p>
        </w:tc>
        <w:tc>
          <w:tcPr>
            <w:tcW w:w="4911" w:type="dxa"/>
            <w:vAlign w:val="center"/>
          </w:tcPr>
          <w:p w14:paraId="7FC964B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543E4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D2FAE92">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功能需求:</w:t>
            </w:r>
          </w:p>
        </w:tc>
        <w:tc>
          <w:tcPr>
            <w:tcW w:w="4911" w:type="dxa"/>
            <w:vAlign w:val="center"/>
          </w:tcPr>
          <w:p w14:paraId="5949130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一体化X线发生器和全数字化平板探测器；超高清监视器集成于C臂机架且多向可调；触摸控制界面；内置集成式UPS电源，具备意外断电数据保护及热插拔式不断电转场功能；满足但不限于诸如骨科、创伤外科、关节外科、脊柱外科、神经外科、泌尿外科、消化及肝胆外科等多学科成人或儿童患者应用。</w:t>
            </w:r>
          </w:p>
        </w:tc>
      </w:tr>
      <w:tr w14:paraId="3C1F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18A490C">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 机架系统</w:t>
            </w:r>
          </w:p>
        </w:tc>
        <w:tc>
          <w:tcPr>
            <w:tcW w:w="4911" w:type="dxa"/>
            <w:vAlign w:val="center"/>
          </w:tcPr>
          <w:p w14:paraId="7121351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1679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FF69F1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垂直升降距离</w:t>
            </w:r>
          </w:p>
        </w:tc>
        <w:tc>
          <w:tcPr>
            <w:tcW w:w="4911" w:type="dxa"/>
            <w:vAlign w:val="center"/>
          </w:tcPr>
          <w:p w14:paraId="1342EA4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 cm，电动</w:t>
            </w:r>
          </w:p>
        </w:tc>
      </w:tr>
      <w:tr w14:paraId="4316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1BBBF7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水平移动距离</w:t>
            </w:r>
          </w:p>
        </w:tc>
        <w:tc>
          <w:tcPr>
            <w:tcW w:w="4911" w:type="dxa"/>
            <w:vAlign w:val="center"/>
          </w:tcPr>
          <w:p w14:paraId="2AACF0B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 cm</w:t>
            </w:r>
          </w:p>
        </w:tc>
      </w:tr>
      <w:tr w14:paraId="3376A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F8EEE3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▲1.3绕轨道旋转角度</w:t>
            </w:r>
          </w:p>
        </w:tc>
        <w:tc>
          <w:tcPr>
            <w:tcW w:w="4911" w:type="dxa"/>
            <w:vAlign w:val="center"/>
          </w:tcPr>
          <w:p w14:paraId="79549A4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≥150°</w:t>
            </w:r>
          </w:p>
        </w:tc>
      </w:tr>
      <w:tr w14:paraId="52B74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88E67E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1.4轴向旋转角度</w:t>
            </w:r>
          </w:p>
        </w:tc>
        <w:tc>
          <w:tcPr>
            <w:tcW w:w="4911" w:type="dxa"/>
            <w:vAlign w:val="center"/>
          </w:tcPr>
          <w:p w14:paraId="1A35127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≥±180°</w:t>
            </w:r>
          </w:p>
        </w:tc>
      </w:tr>
      <w:tr w14:paraId="6490A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E8D48E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C臂左右摆角</w:t>
            </w:r>
          </w:p>
        </w:tc>
        <w:tc>
          <w:tcPr>
            <w:tcW w:w="4911" w:type="dxa"/>
            <w:vAlign w:val="center"/>
          </w:tcPr>
          <w:p w14:paraId="1D31CAD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03DD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4356E9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C臂开口</w:t>
            </w:r>
          </w:p>
        </w:tc>
        <w:tc>
          <w:tcPr>
            <w:tcW w:w="4911" w:type="dxa"/>
            <w:vAlign w:val="center"/>
          </w:tcPr>
          <w:p w14:paraId="00E0A23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cm</w:t>
            </w:r>
          </w:p>
        </w:tc>
      </w:tr>
      <w:tr w14:paraId="3E00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32BD12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C臂弧深</w:t>
            </w:r>
          </w:p>
        </w:tc>
        <w:tc>
          <w:tcPr>
            <w:tcW w:w="4911" w:type="dxa"/>
            <w:vAlign w:val="center"/>
          </w:tcPr>
          <w:p w14:paraId="23030C4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≥70 cm</w:t>
            </w:r>
          </w:p>
        </w:tc>
      </w:tr>
      <w:tr w14:paraId="10693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A53B0D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 彩色编码方位制动手柄及指示标尺</w:t>
            </w:r>
          </w:p>
        </w:tc>
        <w:tc>
          <w:tcPr>
            <w:tcW w:w="4911" w:type="dxa"/>
            <w:vAlign w:val="center"/>
          </w:tcPr>
          <w:p w14:paraId="47B3E70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528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2C43DC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机架转向控制手柄及推动把手</w:t>
            </w:r>
          </w:p>
        </w:tc>
        <w:tc>
          <w:tcPr>
            <w:tcW w:w="4911" w:type="dxa"/>
            <w:vAlign w:val="center"/>
          </w:tcPr>
          <w:p w14:paraId="2D83A6A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A5C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5D5392B">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X线发生器</w:t>
            </w:r>
          </w:p>
        </w:tc>
        <w:tc>
          <w:tcPr>
            <w:tcW w:w="4911" w:type="dxa"/>
            <w:vAlign w:val="center"/>
          </w:tcPr>
          <w:p w14:paraId="4FFEFBE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74553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F64202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X线发生器类型</w:t>
            </w:r>
          </w:p>
        </w:tc>
        <w:tc>
          <w:tcPr>
            <w:tcW w:w="4911" w:type="dxa"/>
            <w:vAlign w:val="center"/>
          </w:tcPr>
          <w:p w14:paraId="6F325E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高压发生器与球管采用一体化设计</w:t>
            </w:r>
          </w:p>
        </w:tc>
      </w:tr>
      <w:tr w14:paraId="59436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E1FD78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发生器功率</w:t>
            </w:r>
          </w:p>
        </w:tc>
        <w:tc>
          <w:tcPr>
            <w:tcW w:w="4911" w:type="dxa"/>
            <w:vAlign w:val="center"/>
          </w:tcPr>
          <w:p w14:paraId="369C18F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kW</w:t>
            </w:r>
          </w:p>
        </w:tc>
      </w:tr>
      <w:tr w14:paraId="33060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A6A4E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发生器最小逆变频率</w:t>
            </w:r>
          </w:p>
        </w:tc>
        <w:tc>
          <w:tcPr>
            <w:tcW w:w="4911" w:type="dxa"/>
            <w:vAlign w:val="center"/>
          </w:tcPr>
          <w:p w14:paraId="1B52FB3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kHz</w:t>
            </w:r>
          </w:p>
        </w:tc>
      </w:tr>
      <w:tr w14:paraId="2E19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E3A06E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最大管电压</w:t>
            </w:r>
          </w:p>
        </w:tc>
        <w:tc>
          <w:tcPr>
            <w:tcW w:w="4911" w:type="dxa"/>
            <w:vAlign w:val="center"/>
          </w:tcPr>
          <w:p w14:paraId="7328999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 kV</w:t>
            </w:r>
          </w:p>
        </w:tc>
      </w:tr>
      <w:tr w14:paraId="1A6F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376B21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最大数字点片管电流</w:t>
            </w:r>
          </w:p>
        </w:tc>
        <w:tc>
          <w:tcPr>
            <w:tcW w:w="4911" w:type="dxa"/>
            <w:vAlign w:val="center"/>
          </w:tcPr>
          <w:p w14:paraId="1B9C0B3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≥150 mA</w:t>
            </w:r>
          </w:p>
        </w:tc>
      </w:tr>
      <w:tr w14:paraId="1B38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1181AA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最大脉冲透视管电流</w:t>
            </w:r>
          </w:p>
        </w:tc>
        <w:tc>
          <w:tcPr>
            <w:tcW w:w="4911" w:type="dxa"/>
            <w:vAlign w:val="center"/>
          </w:tcPr>
          <w:p w14:paraId="34C3BD0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 mA</w:t>
            </w:r>
          </w:p>
        </w:tc>
      </w:tr>
      <w:tr w14:paraId="787E9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CA9478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 最高脉冲频率</w:t>
            </w:r>
          </w:p>
        </w:tc>
        <w:tc>
          <w:tcPr>
            <w:tcW w:w="4911" w:type="dxa"/>
            <w:vAlign w:val="center"/>
          </w:tcPr>
          <w:p w14:paraId="652A745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f/s</w:t>
            </w:r>
          </w:p>
        </w:tc>
      </w:tr>
      <w:tr w14:paraId="5099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9B29BF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 球管类型</w:t>
            </w:r>
          </w:p>
        </w:tc>
        <w:tc>
          <w:tcPr>
            <w:tcW w:w="4911" w:type="dxa"/>
            <w:vAlign w:val="center"/>
          </w:tcPr>
          <w:p w14:paraId="1416B87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旋转阳极</w:t>
            </w:r>
          </w:p>
        </w:tc>
      </w:tr>
      <w:tr w14:paraId="39C9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4F678C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 焦点设计</w:t>
            </w:r>
          </w:p>
        </w:tc>
        <w:tc>
          <w:tcPr>
            <w:tcW w:w="4911" w:type="dxa"/>
            <w:vAlign w:val="center"/>
          </w:tcPr>
          <w:p w14:paraId="1E84552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双焦点，小焦点≤0.3 mm，大焦点≤0.6 mm</w:t>
            </w:r>
          </w:p>
        </w:tc>
      </w:tr>
      <w:tr w14:paraId="1A43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798953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 最大阳极热容量</w:t>
            </w:r>
          </w:p>
        </w:tc>
        <w:tc>
          <w:tcPr>
            <w:tcW w:w="4911" w:type="dxa"/>
            <w:vAlign w:val="center"/>
          </w:tcPr>
          <w:p w14:paraId="63A1546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≥200 kHU</w:t>
            </w:r>
          </w:p>
        </w:tc>
      </w:tr>
      <w:tr w14:paraId="383B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F45C7F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最大阳极散热率</w:t>
            </w:r>
          </w:p>
        </w:tc>
        <w:tc>
          <w:tcPr>
            <w:tcW w:w="4911" w:type="dxa"/>
            <w:vAlign w:val="center"/>
          </w:tcPr>
          <w:p w14:paraId="0313F4F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≥300W</w:t>
            </w:r>
          </w:p>
        </w:tc>
      </w:tr>
      <w:tr w14:paraId="21B7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D822A7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最大系统热容量</w:t>
            </w:r>
          </w:p>
        </w:tc>
        <w:tc>
          <w:tcPr>
            <w:tcW w:w="4911" w:type="dxa"/>
            <w:vAlign w:val="center"/>
          </w:tcPr>
          <w:p w14:paraId="35A3DDA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 </w:t>
            </w:r>
            <w:r>
              <w:rPr>
                <w:rFonts w:hint="eastAsia" w:ascii="宋体" w:hAnsi="宋体" w:eastAsia="宋体" w:cs="宋体"/>
                <w:color w:val="auto"/>
                <w:sz w:val="24"/>
                <w:szCs w:val="24"/>
                <w:highlight w:val="none"/>
                <w:lang w:val="en-US" w:eastAsia="zh-CN"/>
              </w:rPr>
              <w:t>M</w:t>
            </w:r>
            <w:r>
              <w:rPr>
                <w:rFonts w:hint="eastAsia" w:ascii="宋体" w:hAnsi="宋体" w:eastAsia="宋体" w:cs="宋体"/>
                <w:color w:val="auto"/>
                <w:sz w:val="24"/>
                <w:szCs w:val="24"/>
                <w:highlight w:val="none"/>
              </w:rPr>
              <w:t>HU</w:t>
            </w:r>
          </w:p>
        </w:tc>
      </w:tr>
      <w:tr w14:paraId="4B42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6D5595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最大系统散热率</w:t>
            </w:r>
          </w:p>
        </w:tc>
        <w:tc>
          <w:tcPr>
            <w:tcW w:w="4911" w:type="dxa"/>
            <w:vAlign w:val="center"/>
          </w:tcPr>
          <w:p w14:paraId="31D25C9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≥150W</w:t>
            </w:r>
          </w:p>
        </w:tc>
      </w:tr>
      <w:tr w14:paraId="78A4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6B9A35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球管内置总滤过片</w:t>
            </w:r>
          </w:p>
        </w:tc>
        <w:tc>
          <w:tcPr>
            <w:tcW w:w="4911" w:type="dxa"/>
            <w:vAlign w:val="center"/>
          </w:tcPr>
          <w:p w14:paraId="2ABC7B0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具备</w:t>
            </w:r>
          </w:p>
        </w:tc>
      </w:tr>
      <w:tr w14:paraId="6A5F5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C3581C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 双向狭缝型准直器</w:t>
            </w:r>
          </w:p>
        </w:tc>
        <w:tc>
          <w:tcPr>
            <w:tcW w:w="4911" w:type="dxa"/>
            <w:vAlign w:val="center"/>
          </w:tcPr>
          <w:p w14:paraId="5BC1167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9D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D2FEB9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 无射线虚拟准直器</w:t>
            </w:r>
          </w:p>
        </w:tc>
        <w:tc>
          <w:tcPr>
            <w:tcW w:w="4911" w:type="dxa"/>
            <w:vAlign w:val="center"/>
          </w:tcPr>
          <w:p w14:paraId="726DA26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2C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72241C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 X线发生器集成式激光定位装置</w:t>
            </w:r>
          </w:p>
        </w:tc>
        <w:tc>
          <w:tcPr>
            <w:tcW w:w="4911" w:type="dxa"/>
            <w:vAlign w:val="center"/>
          </w:tcPr>
          <w:p w14:paraId="184281C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1B3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49A99E5">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 平板探测器</w:t>
            </w:r>
          </w:p>
        </w:tc>
        <w:tc>
          <w:tcPr>
            <w:tcW w:w="4911" w:type="dxa"/>
            <w:vAlign w:val="center"/>
          </w:tcPr>
          <w:p w14:paraId="5A0EA13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1474C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97CAF6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平板探测器类型</w:t>
            </w:r>
          </w:p>
        </w:tc>
        <w:tc>
          <w:tcPr>
            <w:tcW w:w="4911" w:type="dxa"/>
            <w:vAlign w:val="center"/>
          </w:tcPr>
          <w:p w14:paraId="7F62E1C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aSi-非晶硅平板探测器</w:t>
            </w:r>
          </w:p>
        </w:tc>
      </w:tr>
      <w:tr w14:paraId="7EA30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4CFC46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平板探测器视野尺寸</w:t>
            </w:r>
          </w:p>
        </w:tc>
        <w:tc>
          <w:tcPr>
            <w:tcW w:w="4911" w:type="dxa"/>
            <w:vAlign w:val="center"/>
          </w:tcPr>
          <w:p w14:paraId="21AD759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 cm×30 cm</w:t>
            </w:r>
          </w:p>
        </w:tc>
      </w:tr>
      <w:tr w14:paraId="5FBA1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07DA42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平板探测器采集矩阵</w:t>
            </w:r>
          </w:p>
        </w:tc>
        <w:tc>
          <w:tcPr>
            <w:tcW w:w="4911" w:type="dxa"/>
            <w:vAlign w:val="center"/>
          </w:tcPr>
          <w:p w14:paraId="5F0F8F3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≥2048×2048×16 bit</w:t>
            </w:r>
          </w:p>
        </w:tc>
      </w:tr>
      <w:tr w14:paraId="3752A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E12F39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平板探测器像素尺寸</w:t>
            </w:r>
          </w:p>
        </w:tc>
        <w:tc>
          <w:tcPr>
            <w:tcW w:w="4911" w:type="dxa"/>
            <w:vAlign w:val="center"/>
          </w:tcPr>
          <w:p w14:paraId="5817683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≤150 µm</w:t>
            </w:r>
          </w:p>
        </w:tc>
      </w:tr>
      <w:tr w14:paraId="466E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43FBEA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3.5系统分辨率(摄影模式)</w:t>
            </w:r>
          </w:p>
        </w:tc>
        <w:tc>
          <w:tcPr>
            <w:tcW w:w="4911" w:type="dxa"/>
            <w:vAlign w:val="center"/>
          </w:tcPr>
          <w:p w14:paraId="7C8336C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lp/mm</w:t>
            </w:r>
          </w:p>
        </w:tc>
      </w:tr>
      <w:tr w14:paraId="35564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BAC50A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插拔式可拆卸滤线栅</w:t>
            </w:r>
          </w:p>
        </w:tc>
        <w:tc>
          <w:tcPr>
            <w:tcW w:w="4911" w:type="dxa"/>
            <w:vAlign w:val="center"/>
          </w:tcPr>
          <w:p w14:paraId="7C9F67D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具备且栅密度≥230线/英寸，栅比≥10:1</w:t>
            </w:r>
          </w:p>
        </w:tc>
      </w:tr>
      <w:tr w14:paraId="0F235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F3D8B8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3.7平板探测器自动校准</w:t>
            </w:r>
          </w:p>
        </w:tc>
        <w:tc>
          <w:tcPr>
            <w:tcW w:w="4911" w:type="dxa"/>
            <w:vAlign w:val="center"/>
          </w:tcPr>
          <w:p w14:paraId="771EBB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83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BB14C2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 平板探测器量子探测效率(DQE)</w:t>
            </w:r>
          </w:p>
        </w:tc>
        <w:tc>
          <w:tcPr>
            <w:tcW w:w="4911" w:type="dxa"/>
            <w:vAlign w:val="center"/>
          </w:tcPr>
          <w:p w14:paraId="0BC3D0D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≥72%@0lp/mm</w:t>
            </w:r>
          </w:p>
        </w:tc>
      </w:tr>
      <w:tr w14:paraId="414C0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C68F48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 平板探测器集成式激光定位装置</w:t>
            </w:r>
          </w:p>
        </w:tc>
        <w:tc>
          <w:tcPr>
            <w:tcW w:w="4911" w:type="dxa"/>
            <w:vAlign w:val="center"/>
          </w:tcPr>
          <w:p w14:paraId="617A1DE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FF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CADE6AD">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 图像显示系统</w:t>
            </w:r>
          </w:p>
        </w:tc>
        <w:tc>
          <w:tcPr>
            <w:tcW w:w="4911" w:type="dxa"/>
            <w:vAlign w:val="center"/>
          </w:tcPr>
          <w:p w14:paraId="4677462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0941C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2F00CC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C形臂机架监视器类型及数量</w:t>
            </w:r>
          </w:p>
        </w:tc>
        <w:tc>
          <w:tcPr>
            <w:tcW w:w="4911" w:type="dxa"/>
            <w:vAlign w:val="center"/>
          </w:tcPr>
          <w:p w14:paraId="1E27E82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≥1台27英寸</w:t>
            </w:r>
          </w:p>
        </w:tc>
      </w:tr>
      <w:tr w14:paraId="02842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F04AAF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4.2双屏布局，支持多图同屏对比显示</w:t>
            </w:r>
          </w:p>
        </w:tc>
        <w:tc>
          <w:tcPr>
            <w:tcW w:w="4911" w:type="dxa"/>
            <w:vAlign w:val="center"/>
          </w:tcPr>
          <w:p w14:paraId="3120012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5CD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24DF1A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▲4.3监视器物理分辨率</w:t>
            </w:r>
          </w:p>
        </w:tc>
        <w:tc>
          <w:tcPr>
            <w:tcW w:w="4911" w:type="dxa"/>
            <w:vAlign w:val="center"/>
          </w:tcPr>
          <w:p w14:paraId="233B50A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≥3840×2160</w:t>
            </w:r>
          </w:p>
        </w:tc>
      </w:tr>
      <w:tr w14:paraId="42C3D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8550EB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▲4.4监视器亮度</w:t>
            </w:r>
          </w:p>
        </w:tc>
        <w:tc>
          <w:tcPr>
            <w:tcW w:w="4911" w:type="dxa"/>
            <w:vAlign w:val="center"/>
          </w:tcPr>
          <w:p w14:paraId="02238F3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 cd/m</w:t>
            </w:r>
            <w:r>
              <w:rPr>
                <w:rFonts w:hint="eastAsia" w:ascii="宋体" w:hAnsi="宋体" w:eastAsia="宋体" w:cs="宋体"/>
                <w:color w:val="auto"/>
                <w:sz w:val="24"/>
                <w:szCs w:val="24"/>
                <w:highlight w:val="none"/>
                <w:vertAlign w:val="superscript"/>
              </w:rPr>
              <w:t>2</w:t>
            </w:r>
          </w:p>
        </w:tc>
      </w:tr>
      <w:tr w14:paraId="357BD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11A98E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4.5监视器对比度</w:t>
            </w:r>
          </w:p>
        </w:tc>
        <w:tc>
          <w:tcPr>
            <w:tcW w:w="4911" w:type="dxa"/>
            <w:vAlign w:val="center"/>
          </w:tcPr>
          <w:p w14:paraId="546873D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≥1200:1</w:t>
            </w:r>
          </w:p>
        </w:tc>
      </w:tr>
      <w:tr w14:paraId="3C61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E024BD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4.6监视器触控技术</w:t>
            </w:r>
          </w:p>
        </w:tc>
        <w:tc>
          <w:tcPr>
            <w:tcW w:w="4911" w:type="dxa"/>
            <w:vAlign w:val="center"/>
          </w:tcPr>
          <w:p w14:paraId="1923C14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8E2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4B459A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4.7监视器表面处理</w:t>
            </w:r>
          </w:p>
        </w:tc>
        <w:tc>
          <w:tcPr>
            <w:tcW w:w="4911" w:type="dxa"/>
            <w:vAlign w:val="center"/>
          </w:tcPr>
          <w:p w14:paraId="75E003F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具备抗眩光涂层</w:t>
            </w:r>
          </w:p>
        </w:tc>
      </w:tr>
      <w:tr w14:paraId="300AD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4219ED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4.8监视器可倾斜角度</w:t>
            </w:r>
          </w:p>
        </w:tc>
        <w:tc>
          <w:tcPr>
            <w:tcW w:w="4911" w:type="dxa"/>
            <w:vAlign w:val="center"/>
          </w:tcPr>
          <w:p w14:paraId="18D6857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r>
              <w:rPr>
                <w:rFonts w:hint="eastAsia" w:ascii="宋体" w:hAnsi="宋体" w:eastAsia="宋体" w:cs="宋体"/>
                <w:color w:val="auto"/>
                <w:sz w:val="24"/>
                <w:szCs w:val="24"/>
                <w:highlight w:val="none"/>
                <w:lang w:val="zh-CN"/>
              </w:rPr>
              <w:t>（±60°）</w:t>
            </w:r>
          </w:p>
        </w:tc>
      </w:tr>
      <w:tr w14:paraId="511E8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7A0131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4.9监视器可旋转角度</w:t>
            </w:r>
          </w:p>
        </w:tc>
        <w:tc>
          <w:tcPr>
            <w:tcW w:w="4911" w:type="dxa"/>
            <w:vAlign w:val="center"/>
          </w:tcPr>
          <w:p w14:paraId="530864B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≥180°</w:t>
            </w:r>
            <w:r>
              <w:rPr>
                <w:rFonts w:hint="eastAsia" w:ascii="宋体" w:hAnsi="宋体" w:eastAsia="宋体" w:cs="宋体"/>
                <w:color w:val="auto"/>
                <w:sz w:val="24"/>
                <w:szCs w:val="24"/>
                <w:highlight w:val="none"/>
                <w:lang w:val="zh-CN"/>
              </w:rPr>
              <w:t>（±90°）</w:t>
            </w:r>
          </w:p>
        </w:tc>
      </w:tr>
      <w:tr w14:paraId="01D3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56DF3C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4.10监视器安装于万向监视器旋臂</w:t>
            </w:r>
          </w:p>
        </w:tc>
        <w:tc>
          <w:tcPr>
            <w:tcW w:w="4911" w:type="dxa"/>
            <w:vAlign w:val="center"/>
          </w:tcPr>
          <w:p w14:paraId="162D9F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64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47E60B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4.11监视器支臂旋转角度</w:t>
            </w:r>
          </w:p>
        </w:tc>
        <w:tc>
          <w:tcPr>
            <w:tcW w:w="4911" w:type="dxa"/>
            <w:vAlign w:val="center"/>
          </w:tcPr>
          <w:p w14:paraId="0F502A3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≥260°（±130°）</w:t>
            </w:r>
          </w:p>
        </w:tc>
      </w:tr>
      <w:tr w14:paraId="1954D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2734FA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4.12监视器支臂以中心轴旋转角度</w:t>
            </w:r>
          </w:p>
        </w:tc>
        <w:tc>
          <w:tcPr>
            <w:tcW w:w="4911" w:type="dxa"/>
            <w:vAlign w:val="center"/>
          </w:tcPr>
          <w:p w14:paraId="6CC441D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≥360°</w:t>
            </w:r>
            <w:r>
              <w:rPr>
                <w:rFonts w:hint="eastAsia" w:ascii="宋体" w:hAnsi="宋体" w:eastAsia="宋体" w:cs="宋体"/>
                <w:color w:val="auto"/>
                <w:sz w:val="24"/>
                <w:szCs w:val="24"/>
                <w:highlight w:val="none"/>
                <w:lang w:val="zh-CN"/>
              </w:rPr>
              <w:t>（±180°）</w:t>
            </w:r>
          </w:p>
        </w:tc>
      </w:tr>
      <w:tr w14:paraId="24BD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F33CCE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4.13监视器升降行程</w:t>
            </w:r>
          </w:p>
        </w:tc>
        <w:tc>
          <w:tcPr>
            <w:tcW w:w="4911" w:type="dxa"/>
            <w:vAlign w:val="center"/>
          </w:tcPr>
          <w:p w14:paraId="1147DE5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≥41cm</w:t>
            </w:r>
          </w:p>
        </w:tc>
      </w:tr>
      <w:tr w14:paraId="1D8F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7CB858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▲4.14监视器移动推车监视器类型及数量</w:t>
            </w:r>
          </w:p>
        </w:tc>
        <w:tc>
          <w:tcPr>
            <w:tcW w:w="4911" w:type="dxa"/>
            <w:vAlign w:val="center"/>
          </w:tcPr>
          <w:p w14:paraId="15CE34C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≥1台32英寸</w:t>
            </w:r>
          </w:p>
        </w:tc>
      </w:tr>
      <w:tr w14:paraId="5DC6C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0BD7A5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4.15监视器移动推车监视器物理分辨率</w:t>
            </w:r>
          </w:p>
        </w:tc>
        <w:tc>
          <w:tcPr>
            <w:tcW w:w="4911" w:type="dxa"/>
            <w:vAlign w:val="center"/>
          </w:tcPr>
          <w:p w14:paraId="300C13E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≥3840×2160</w:t>
            </w:r>
          </w:p>
        </w:tc>
      </w:tr>
      <w:tr w14:paraId="39C8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CEFBA2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4.16监视器移动推车</w:t>
            </w:r>
          </w:p>
        </w:tc>
        <w:tc>
          <w:tcPr>
            <w:tcW w:w="4911" w:type="dxa"/>
            <w:vAlign w:val="center"/>
          </w:tcPr>
          <w:p w14:paraId="13C6518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7C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5AF0B59">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 触摸控制用户界面</w:t>
            </w:r>
          </w:p>
        </w:tc>
        <w:tc>
          <w:tcPr>
            <w:tcW w:w="4911" w:type="dxa"/>
            <w:vAlign w:val="center"/>
          </w:tcPr>
          <w:p w14:paraId="4753224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0112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AA7D22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触摸控制界面液晶屏</w:t>
            </w:r>
          </w:p>
        </w:tc>
        <w:tc>
          <w:tcPr>
            <w:tcW w:w="4911" w:type="dxa"/>
            <w:vAlign w:val="center"/>
          </w:tcPr>
          <w:p w14:paraId="1335FCE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≥1台，安装于移动C臂机架</w:t>
            </w:r>
          </w:p>
        </w:tc>
      </w:tr>
      <w:tr w14:paraId="5108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BE242F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液晶触控屏尺寸</w:t>
            </w:r>
          </w:p>
        </w:tc>
        <w:tc>
          <w:tcPr>
            <w:tcW w:w="4911" w:type="dxa"/>
            <w:vAlign w:val="center"/>
          </w:tcPr>
          <w:p w14:paraId="022FC09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≥15英寸</w:t>
            </w:r>
          </w:p>
        </w:tc>
      </w:tr>
      <w:tr w14:paraId="6C19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4F21CC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液晶触控屏分辨率</w:t>
            </w:r>
          </w:p>
        </w:tc>
        <w:tc>
          <w:tcPr>
            <w:tcW w:w="4911" w:type="dxa"/>
            <w:vAlign w:val="center"/>
          </w:tcPr>
          <w:p w14:paraId="7746E93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≥1920×1080</w:t>
            </w:r>
          </w:p>
        </w:tc>
      </w:tr>
      <w:tr w14:paraId="7722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B2FF45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 液晶触控屏可旋转角度</w:t>
            </w:r>
          </w:p>
        </w:tc>
        <w:tc>
          <w:tcPr>
            <w:tcW w:w="4911" w:type="dxa"/>
            <w:vAlign w:val="center"/>
          </w:tcPr>
          <w:p w14:paraId="49BC855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≥360°（±180°）</w:t>
            </w:r>
          </w:p>
        </w:tc>
      </w:tr>
      <w:tr w14:paraId="5288C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6158CF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 液晶触控屏可倾斜角度</w:t>
            </w:r>
          </w:p>
        </w:tc>
        <w:tc>
          <w:tcPr>
            <w:tcW w:w="4911" w:type="dxa"/>
            <w:vAlign w:val="center"/>
          </w:tcPr>
          <w:p w14:paraId="03CE1C4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≥120°（±60°）</w:t>
            </w:r>
          </w:p>
        </w:tc>
      </w:tr>
      <w:tr w14:paraId="0033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6503A4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5.6实时图像与监视器实时屏幕同步显示</w:t>
            </w:r>
          </w:p>
        </w:tc>
        <w:tc>
          <w:tcPr>
            <w:tcW w:w="4911" w:type="dxa"/>
            <w:vAlign w:val="center"/>
          </w:tcPr>
          <w:p w14:paraId="4ED8283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13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33D553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5.7 直观形象的功能图标</w:t>
            </w:r>
          </w:p>
        </w:tc>
        <w:tc>
          <w:tcPr>
            <w:tcW w:w="4911" w:type="dxa"/>
            <w:vAlign w:val="center"/>
          </w:tcPr>
          <w:p w14:paraId="42FA173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0F0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59CDEA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5.8触摸控制用户界面语言</w:t>
            </w:r>
          </w:p>
        </w:tc>
        <w:tc>
          <w:tcPr>
            <w:tcW w:w="4911" w:type="dxa"/>
            <w:vAlign w:val="center"/>
          </w:tcPr>
          <w:p w14:paraId="1E17D03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中文</w:t>
            </w:r>
          </w:p>
        </w:tc>
      </w:tr>
      <w:tr w14:paraId="73F4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C677312">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 图像采集及处理系统</w:t>
            </w:r>
          </w:p>
        </w:tc>
        <w:tc>
          <w:tcPr>
            <w:tcW w:w="4911" w:type="dxa"/>
            <w:vAlign w:val="center"/>
          </w:tcPr>
          <w:p w14:paraId="27B67D5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5F1F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2C4ED5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 实时动态降噪功能</w:t>
            </w:r>
          </w:p>
        </w:tc>
        <w:tc>
          <w:tcPr>
            <w:tcW w:w="4911" w:type="dxa"/>
            <w:vAlign w:val="center"/>
          </w:tcPr>
          <w:p w14:paraId="37D2139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≥5级可调</w:t>
            </w:r>
          </w:p>
        </w:tc>
      </w:tr>
      <w:tr w14:paraId="4FFCC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6B93AC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 最后一幅图像冻结功能</w:t>
            </w:r>
          </w:p>
        </w:tc>
        <w:tc>
          <w:tcPr>
            <w:tcW w:w="4911" w:type="dxa"/>
            <w:vAlign w:val="center"/>
          </w:tcPr>
          <w:p w14:paraId="2B1124A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6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63E173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实时边缘增强功能</w:t>
            </w:r>
          </w:p>
        </w:tc>
        <w:tc>
          <w:tcPr>
            <w:tcW w:w="4911" w:type="dxa"/>
            <w:vAlign w:val="center"/>
          </w:tcPr>
          <w:p w14:paraId="470E7A7E">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≥4级可调</w:t>
            </w:r>
          </w:p>
        </w:tc>
      </w:tr>
      <w:tr w14:paraId="221C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24AA60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 窗宽窗位调整功能</w:t>
            </w:r>
          </w:p>
        </w:tc>
        <w:tc>
          <w:tcPr>
            <w:tcW w:w="4911" w:type="dxa"/>
            <w:vAlign w:val="center"/>
          </w:tcPr>
          <w:p w14:paraId="24D0DBE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具备且支持智能自适应窗宽窗位功能</w:t>
            </w:r>
          </w:p>
        </w:tc>
      </w:tr>
      <w:tr w14:paraId="25B9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57E7DA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6.5动态游走局部放大及智能窗宽窗位调整</w:t>
            </w:r>
          </w:p>
        </w:tc>
        <w:tc>
          <w:tcPr>
            <w:tcW w:w="4911" w:type="dxa"/>
            <w:vAlign w:val="center"/>
          </w:tcPr>
          <w:p w14:paraId="20A7386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625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17ACFB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 图像上下翻转、左右翻转、旋转、黑白反转功能</w:t>
            </w:r>
          </w:p>
        </w:tc>
        <w:tc>
          <w:tcPr>
            <w:tcW w:w="4911" w:type="dxa"/>
            <w:vAlign w:val="center"/>
          </w:tcPr>
          <w:p w14:paraId="6F7EE3A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94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E0F968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 智能金属校正功能</w:t>
            </w:r>
          </w:p>
        </w:tc>
        <w:tc>
          <w:tcPr>
            <w:tcW w:w="4911" w:type="dxa"/>
            <w:vAlign w:val="center"/>
          </w:tcPr>
          <w:p w14:paraId="270E4BD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B9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C14E8A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 全视野动态物体探测</w:t>
            </w:r>
          </w:p>
        </w:tc>
        <w:tc>
          <w:tcPr>
            <w:tcW w:w="4911" w:type="dxa"/>
            <w:vAlign w:val="center"/>
          </w:tcPr>
          <w:p w14:paraId="592D394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481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41DE22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6.9 儿童低剂量模式</w:t>
            </w:r>
          </w:p>
        </w:tc>
        <w:tc>
          <w:tcPr>
            <w:tcW w:w="4911" w:type="dxa"/>
            <w:vAlign w:val="center"/>
          </w:tcPr>
          <w:p w14:paraId="7979538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F1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D52501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6.10 预设解剖透视程序</w:t>
            </w:r>
          </w:p>
        </w:tc>
        <w:tc>
          <w:tcPr>
            <w:tcW w:w="4911" w:type="dxa"/>
            <w:vAlign w:val="center"/>
          </w:tcPr>
          <w:p w14:paraId="39D8327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≥5个</w:t>
            </w:r>
          </w:p>
        </w:tc>
      </w:tr>
      <w:tr w14:paraId="3C2E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B64C4D8">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图像数字裁切功能</w:t>
            </w:r>
          </w:p>
        </w:tc>
        <w:tc>
          <w:tcPr>
            <w:tcW w:w="4911" w:type="dxa"/>
            <w:vAlign w:val="center"/>
          </w:tcPr>
          <w:p w14:paraId="43E07FB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具备且支持圆形裁剪、自定义矩形裁剪和智能自适应裁剪</w:t>
            </w:r>
          </w:p>
        </w:tc>
      </w:tr>
      <w:tr w14:paraId="6204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B63E2F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解剖标记功能</w:t>
            </w:r>
          </w:p>
        </w:tc>
        <w:tc>
          <w:tcPr>
            <w:tcW w:w="4911" w:type="dxa"/>
            <w:vAlign w:val="center"/>
          </w:tcPr>
          <w:p w14:paraId="4206F79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具备且支持文字和箭头标注</w:t>
            </w:r>
          </w:p>
        </w:tc>
      </w:tr>
      <w:tr w14:paraId="3594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546682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 长度及角度数字测量功能</w:t>
            </w:r>
          </w:p>
        </w:tc>
        <w:tc>
          <w:tcPr>
            <w:tcW w:w="4911" w:type="dxa"/>
            <w:vAlign w:val="center"/>
          </w:tcPr>
          <w:p w14:paraId="49156C3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372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3B288F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脊柱Cobb角测量功能</w:t>
            </w:r>
          </w:p>
        </w:tc>
        <w:tc>
          <w:tcPr>
            <w:tcW w:w="4911" w:type="dxa"/>
            <w:vAlign w:val="center"/>
          </w:tcPr>
          <w:p w14:paraId="333CEA4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59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554558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6.15心胸比数字测量功能</w:t>
            </w:r>
          </w:p>
        </w:tc>
        <w:tc>
          <w:tcPr>
            <w:tcW w:w="4911" w:type="dxa"/>
            <w:vAlign w:val="center"/>
          </w:tcPr>
          <w:p w14:paraId="2F61BB7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A6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3EF3D7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矩形数字测量功能</w:t>
            </w:r>
          </w:p>
        </w:tc>
        <w:tc>
          <w:tcPr>
            <w:tcW w:w="4911" w:type="dxa"/>
            <w:vAlign w:val="center"/>
          </w:tcPr>
          <w:p w14:paraId="0C15689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9F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2EDF85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6.17点灰度值测量功能</w:t>
            </w:r>
          </w:p>
        </w:tc>
        <w:tc>
          <w:tcPr>
            <w:tcW w:w="4911" w:type="dxa"/>
            <w:vAlign w:val="center"/>
          </w:tcPr>
          <w:p w14:paraId="7E5DA27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D5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7453575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6.18 数字电影采集功能</w:t>
            </w:r>
          </w:p>
        </w:tc>
        <w:tc>
          <w:tcPr>
            <w:tcW w:w="4911" w:type="dxa"/>
            <w:vAlign w:val="center"/>
          </w:tcPr>
          <w:p w14:paraId="3C49EC2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36E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0DA379A">
            <w:pPr>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 数据管理级存储</w:t>
            </w:r>
          </w:p>
        </w:tc>
        <w:tc>
          <w:tcPr>
            <w:tcW w:w="4911" w:type="dxa"/>
            <w:vAlign w:val="center"/>
          </w:tcPr>
          <w:p w14:paraId="6E93C7A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55AEC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0604F34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16幅图像马赛克显示及检索</w:t>
            </w:r>
          </w:p>
        </w:tc>
        <w:tc>
          <w:tcPr>
            <w:tcW w:w="4911" w:type="dxa"/>
            <w:vAlign w:val="center"/>
          </w:tcPr>
          <w:p w14:paraId="06F5594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08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C01753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7.2预登记功能</w:t>
            </w:r>
          </w:p>
        </w:tc>
        <w:tc>
          <w:tcPr>
            <w:tcW w:w="4911" w:type="dxa"/>
            <w:vAlign w:val="center"/>
          </w:tcPr>
          <w:p w14:paraId="4EF9720D">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C42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5F9F28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手动输入或急诊登记功能</w:t>
            </w:r>
          </w:p>
        </w:tc>
        <w:tc>
          <w:tcPr>
            <w:tcW w:w="4911" w:type="dxa"/>
            <w:vAlign w:val="center"/>
          </w:tcPr>
          <w:p w14:paraId="20D97D7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BD2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E0D6CF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射线剂量监测及显示功能</w:t>
            </w:r>
          </w:p>
        </w:tc>
        <w:tc>
          <w:tcPr>
            <w:tcW w:w="4911" w:type="dxa"/>
            <w:vAlign w:val="center"/>
          </w:tcPr>
          <w:p w14:paraId="141988D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C0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329FE033">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结构化剂量报告功能</w:t>
            </w:r>
          </w:p>
        </w:tc>
        <w:tc>
          <w:tcPr>
            <w:tcW w:w="4911" w:type="dxa"/>
            <w:vAlign w:val="center"/>
          </w:tcPr>
          <w:p w14:paraId="3A68C14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67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063404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本机图像存储数量</w:t>
            </w:r>
          </w:p>
        </w:tc>
        <w:tc>
          <w:tcPr>
            <w:tcW w:w="4911" w:type="dxa"/>
            <w:vAlign w:val="center"/>
          </w:tcPr>
          <w:p w14:paraId="3AA5725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≥150000幅无损图像</w:t>
            </w:r>
          </w:p>
        </w:tc>
      </w:tr>
      <w:tr w14:paraId="68D0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60C2D030">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 数字图像处理存储深度</w:t>
            </w:r>
          </w:p>
        </w:tc>
        <w:tc>
          <w:tcPr>
            <w:tcW w:w="4911" w:type="dxa"/>
            <w:vAlign w:val="center"/>
          </w:tcPr>
          <w:p w14:paraId="2CB9B2E1">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≥16bit</w:t>
            </w:r>
          </w:p>
        </w:tc>
      </w:tr>
      <w:tr w14:paraId="2ADE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2D9EA5E6">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 USB数据导出功能</w:t>
            </w:r>
          </w:p>
        </w:tc>
        <w:tc>
          <w:tcPr>
            <w:tcW w:w="4911" w:type="dxa"/>
            <w:vAlign w:val="center"/>
          </w:tcPr>
          <w:p w14:paraId="3A4F2D44">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具备高速USB 3.0 输出端口，可输出DICOM、TIFF、JPG、PNG、BMP等多种格式文件</w:t>
            </w:r>
          </w:p>
        </w:tc>
      </w:tr>
      <w:tr w14:paraId="4829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8B2E81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DICOM 3.0数据接口及软件，用于数字网络整合</w:t>
            </w:r>
          </w:p>
        </w:tc>
        <w:tc>
          <w:tcPr>
            <w:tcW w:w="4911" w:type="dxa"/>
            <w:vAlign w:val="center"/>
          </w:tcPr>
          <w:p w14:paraId="127EE4E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具备，支持DICOM发送、存储、工作列表及打印功能</w:t>
            </w:r>
          </w:p>
        </w:tc>
      </w:tr>
      <w:tr w14:paraId="1D972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49D6CFA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7.10图像报告编辑功能</w:t>
            </w:r>
          </w:p>
        </w:tc>
        <w:tc>
          <w:tcPr>
            <w:tcW w:w="4911" w:type="dxa"/>
            <w:vAlign w:val="center"/>
          </w:tcPr>
          <w:p w14:paraId="50E96E52">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7E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5D7A72A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▲8手控开关和10米脚踏开关</w:t>
            </w:r>
          </w:p>
        </w:tc>
        <w:tc>
          <w:tcPr>
            <w:tcW w:w="4911" w:type="dxa"/>
            <w:vAlign w:val="center"/>
          </w:tcPr>
          <w:p w14:paraId="3D8DB9DA">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DD2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A4619AE">
            <w:pPr>
              <w:pageBreakBefore w:val="0"/>
              <w:kinsoku/>
              <w:wordWrap/>
              <w:overflowPunct/>
              <w:topLinePunct w:val="0"/>
              <w:bidi w:val="0"/>
              <w:snapToGrid/>
              <w:spacing w:line="312" w:lineRule="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9</w:t>
            </w:r>
            <w:r>
              <w:rPr>
                <w:rFonts w:hint="eastAsia" w:ascii="宋体" w:hAnsi="宋体" w:eastAsia="宋体" w:cs="宋体"/>
                <w:b/>
                <w:color w:val="auto"/>
                <w:sz w:val="24"/>
                <w:szCs w:val="24"/>
                <w:highlight w:val="none"/>
              </w:rPr>
              <w:t>.售后服务</w:t>
            </w:r>
          </w:p>
        </w:tc>
        <w:tc>
          <w:tcPr>
            <w:tcW w:w="4911" w:type="dxa"/>
            <w:vAlign w:val="center"/>
          </w:tcPr>
          <w:p w14:paraId="0E53EDF9">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r w14:paraId="410F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2" w:type="dxa"/>
            <w:vAlign w:val="center"/>
          </w:tcPr>
          <w:p w14:paraId="19B0D3EB">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.1免费保修时间不少于5年</w:t>
            </w:r>
          </w:p>
        </w:tc>
        <w:tc>
          <w:tcPr>
            <w:tcW w:w="4911" w:type="dxa"/>
            <w:vAlign w:val="center"/>
          </w:tcPr>
          <w:p w14:paraId="2FBEAD6C">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tc>
      </w:tr>
    </w:tbl>
    <w:p w14:paraId="19E28E8F">
      <w:pPr>
        <w:pageBreakBefore w:val="0"/>
        <w:kinsoku/>
        <w:wordWrap/>
        <w:overflowPunct/>
        <w:topLinePunct w:val="0"/>
        <w:bidi w:val="0"/>
        <w:snapToGrid/>
        <w:spacing w:line="312" w:lineRule="auto"/>
        <w:rPr>
          <w:rFonts w:hint="eastAsia" w:ascii="宋体" w:hAnsi="宋体" w:eastAsia="宋体" w:cs="宋体"/>
          <w:color w:val="auto"/>
          <w:sz w:val="24"/>
          <w:szCs w:val="24"/>
          <w:highlight w:val="none"/>
        </w:rPr>
      </w:pPr>
    </w:p>
    <w:p w14:paraId="71396395">
      <w:pPr>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p>
    <w:p w14:paraId="460758BE">
      <w:pPr>
        <w:pStyle w:val="7"/>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第3包：</w:t>
      </w:r>
    </w:p>
    <w:p w14:paraId="1E4A557D">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品目3-1</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经颅强交流电刺激仪</w:t>
      </w:r>
    </w:p>
    <w:p w14:paraId="7903A7FC">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1.整体功能要求：</w:t>
      </w:r>
    </w:p>
    <w:p w14:paraId="366A9EAF">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用于缓解中、重度抑郁和失眠症状</w:t>
      </w:r>
      <w:r>
        <w:rPr>
          <w:rFonts w:hint="eastAsia" w:ascii="宋体" w:hAnsi="宋体" w:eastAsia="宋体" w:cs="宋体"/>
          <w:color w:val="auto"/>
          <w:sz w:val="24"/>
          <w:szCs w:val="24"/>
          <w:highlight w:val="none"/>
        </w:rPr>
        <w:t>(医疗器械注册证</w:t>
      </w:r>
      <w:r>
        <w:rPr>
          <w:rFonts w:hint="eastAsia" w:ascii="宋体" w:hAnsi="宋体" w:eastAsia="宋体" w:cs="宋体"/>
          <w:color w:val="auto"/>
          <w:sz w:val="24"/>
          <w:szCs w:val="24"/>
          <w:highlight w:val="none"/>
          <w:lang w:val="en-US" w:eastAsia="zh-CN"/>
        </w:rPr>
        <w:t>适用范围</w:t>
      </w:r>
      <w:r>
        <w:rPr>
          <w:rFonts w:hint="eastAsia" w:ascii="宋体" w:hAnsi="宋体" w:eastAsia="宋体" w:cs="宋体"/>
          <w:color w:val="auto"/>
          <w:sz w:val="24"/>
          <w:szCs w:val="24"/>
          <w:highlight w:val="none"/>
        </w:rPr>
        <w:t>)；</w:t>
      </w:r>
    </w:p>
    <w:p w14:paraId="44188FC2">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技术要求：</w:t>
      </w:r>
    </w:p>
    <w:p w14:paraId="6E93308A">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▲2.1刺激模式：经颅交流电；</w:t>
      </w:r>
    </w:p>
    <w:p w14:paraId="6C8BA0C0">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2.2刺激频率：≥70Hz；</w:t>
      </w:r>
    </w:p>
    <w:p w14:paraId="003F87C8">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2.3电极模式：三电极模式</w:t>
      </w:r>
    </w:p>
    <w:p w14:paraId="43CAADB6">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2.4电极位置：前额及双侧耳后乳突；</w:t>
      </w:r>
    </w:p>
    <w:p w14:paraId="2BD27429">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▲2.5治疗时间：≥30min/次；</w:t>
      </w:r>
    </w:p>
    <w:p w14:paraId="7BF8A9B6">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2.6刺激电流：≥10mA；</w:t>
      </w:r>
    </w:p>
    <w:p w14:paraId="0F4DBDD8">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2.7预设参数：</w:t>
      </w:r>
      <w:r>
        <w:rPr>
          <w:rFonts w:hint="eastAsia" w:ascii="宋体" w:hAnsi="宋体" w:eastAsia="宋体" w:cs="宋体"/>
          <w:color w:val="auto"/>
          <w:sz w:val="24"/>
          <w:szCs w:val="24"/>
          <w:highlight w:val="none"/>
        </w:rPr>
        <w:t>具备治疗抑郁、失眠等症状的预设参数。</w:t>
      </w:r>
    </w:p>
    <w:p w14:paraId="3AD98C26">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2.8显示功能：</w:t>
      </w:r>
    </w:p>
    <w:p w14:paraId="69459FB6">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▲2.8.1 实时显示电流强度数值；</w:t>
      </w:r>
    </w:p>
    <w:p w14:paraId="453B3CB9">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▲2.8.2 实时显示治疗时间；</w:t>
      </w:r>
    </w:p>
    <w:p w14:paraId="502DD06E">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2.8.3 实时显示仪器运行状态；</w:t>
      </w:r>
    </w:p>
    <w:p w14:paraId="7028819F">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安全保障性能：</w:t>
      </w:r>
    </w:p>
    <w:p w14:paraId="5EA6886E">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开机自检功能；</w:t>
      </w:r>
    </w:p>
    <w:p w14:paraId="0C9B9A4B">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电极片脱落实时提示功能；</w:t>
      </w:r>
    </w:p>
    <w:p w14:paraId="77A624DF">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系统故障实时提示功能；</w:t>
      </w:r>
    </w:p>
    <w:p w14:paraId="498CAB46">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有内置备用电池，可支持在断电时完成至少一次治疗；</w:t>
      </w:r>
    </w:p>
    <w:p w14:paraId="2C6D481F">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治疗参数记忆功能：患者中断治疗后，设备自动记忆剩余时间，患者返回可接续治疗。</w:t>
      </w:r>
    </w:p>
    <w:p w14:paraId="15469491">
      <w:pPr>
        <w:pStyle w:val="3"/>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资质要求</w:t>
      </w:r>
      <w:r>
        <w:rPr>
          <w:rFonts w:hint="eastAsia" w:ascii="宋体" w:hAnsi="宋体" w:eastAsia="宋体" w:cs="宋体"/>
          <w:color w:val="auto"/>
          <w:sz w:val="24"/>
          <w:szCs w:val="24"/>
          <w:highlight w:val="none"/>
        </w:rPr>
        <w:t>：设备需具备NMPA</w:t>
      </w:r>
      <w:r>
        <w:rPr>
          <w:rFonts w:hint="eastAsia" w:ascii="宋体" w:hAnsi="宋体" w:eastAsia="宋体" w:cs="宋体"/>
          <w:color w:val="auto"/>
          <w:sz w:val="24"/>
          <w:szCs w:val="24"/>
          <w:highlight w:val="none"/>
          <w:lang w:val="en-US" w:eastAsia="zh-CN"/>
        </w:rPr>
        <w:t>注册证</w:t>
      </w:r>
      <w:r>
        <w:rPr>
          <w:rFonts w:hint="eastAsia" w:ascii="宋体" w:hAnsi="宋体" w:eastAsia="宋体" w:cs="宋体"/>
          <w:color w:val="auto"/>
          <w:sz w:val="24"/>
          <w:szCs w:val="24"/>
          <w:highlight w:val="none"/>
        </w:rPr>
        <w:t>。</w:t>
      </w:r>
    </w:p>
    <w:p w14:paraId="10C567F9">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t xml:space="preserve">  设备运行要求：</w:t>
      </w:r>
    </w:p>
    <w:p w14:paraId="473DCFE2">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电源：220V ，50Hz交流电源；</w:t>
      </w:r>
    </w:p>
    <w:p w14:paraId="525619F9">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操作人员：护理或医技人员经培训后可操作；</w:t>
      </w:r>
    </w:p>
    <w:p w14:paraId="74FDC241">
      <w:pPr>
        <w:keepNext w:val="0"/>
        <w:keepLines w:val="0"/>
        <w:pageBreakBefore w:val="0"/>
        <w:widowControl/>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耗材要求：配套专用耗材；</w:t>
      </w:r>
    </w:p>
    <w:p w14:paraId="5038D907">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5.3.1电极贴具备表面微生物检测符合标准。</w:t>
      </w:r>
    </w:p>
    <w:p w14:paraId="6111E04B">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 配套设备：不需要其他配套设备。</w:t>
      </w:r>
    </w:p>
    <w:p w14:paraId="3F36666F">
      <w:pPr>
        <w:pStyle w:val="2"/>
        <w:keepNext w:val="0"/>
        <w:keepLines w:val="0"/>
        <w:pageBreakBefore w:val="0"/>
        <w:kinsoku/>
        <w:wordWrap/>
        <w:overflowPunct/>
        <w:topLinePunct w:val="0"/>
        <w:autoSpaceDE/>
        <w:autoSpaceDN/>
        <w:bidi w:val="0"/>
        <w:adjustRightInd/>
        <w:snapToGrid/>
        <w:spacing w:line="312" w:lineRule="auto"/>
        <w:ind w:left="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免费保修时间不少于5年</w:t>
      </w:r>
    </w:p>
    <w:p w14:paraId="5C739917">
      <w:pPr>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p>
    <w:p w14:paraId="1D6F3608">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BAA31FE">
      <w:pPr>
        <w:pStyle w:val="7"/>
        <w:pageBreakBefore w:val="0"/>
        <w:kinsoku/>
        <w:wordWrap/>
        <w:overflowPunct/>
        <w:topLinePunct w:val="0"/>
        <w:bidi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第4包</w:t>
      </w:r>
    </w:p>
    <w:p w14:paraId="5F9762ED">
      <w:pPr>
        <w:pStyle w:val="8"/>
        <w:pageBreakBefore w:val="0"/>
        <w:kinsoku/>
        <w:wordWrap/>
        <w:overflowPunct/>
        <w:topLinePunct w:val="0"/>
        <w:bidi w:val="0"/>
        <w:snapToGrid/>
        <w:spacing w:line="312"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品目4-1</w:t>
      </w:r>
      <w:r>
        <w:rPr>
          <w:rFonts w:hint="eastAsia" w:ascii="宋体" w:hAnsi="宋体" w:eastAsia="宋体" w:cs="宋体"/>
          <w:b/>
          <w:bCs/>
          <w:color w:val="auto"/>
          <w:sz w:val="24"/>
          <w:szCs w:val="24"/>
          <w:highlight w:val="none"/>
          <w:lang w:val="en-US" w:eastAsia="zh-CN"/>
        </w:rPr>
        <w:tab/>
      </w:r>
      <w:r>
        <w:rPr>
          <w:rFonts w:hint="eastAsia" w:ascii="宋体" w:hAnsi="宋体" w:eastAsia="宋体" w:cs="宋体"/>
          <w:b/>
          <w:bCs/>
          <w:color w:val="auto"/>
          <w:sz w:val="24"/>
          <w:szCs w:val="24"/>
          <w:highlight w:val="none"/>
          <w:lang w:val="en-US" w:eastAsia="zh-CN"/>
        </w:rPr>
        <w:t>脑电/事件相关电位分析系统（256导）</w:t>
      </w:r>
    </w:p>
    <w:p w14:paraId="10CF3B6C">
      <w:pPr>
        <w:rPr>
          <w:rFonts w:hint="default"/>
          <w:color w:val="auto"/>
          <w:highlight w:val="none"/>
          <w:lang w:val="en-US" w:eastAsia="zh-CN"/>
        </w:rPr>
      </w:pPr>
      <w:r>
        <w:rPr>
          <w:rFonts w:hint="eastAsia" w:ascii="宋体" w:hAnsi="宋体" w:cs="宋体"/>
          <w:b/>
          <w:bCs/>
          <w:color w:val="auto"/>
          <w:sz w:val="24"/>
          <w:szCs w:val="24"/>
          <w:highlight w:val="none"/>
          <w:lang w:val="en-US" w:eastAsia="zh-CN"/>
        </w:rPr>
        <w:t>一、技术要求</w:t>
      </w:r>
    </w:p>
    <w:p w14:paraId="416052CA">
      <w:pPr>
        <w:pageBreakBefore w:val="0"/>
        <w:numPr>
          <w:ilvl w:val="0"/>
          <w:numId w:val="20"/>
        </w:numPr>
        <w:kinsoku/>
        <w:wordWrap/>
        <w:overflowPunct/>
        <w:topLinePunct w:val="0"/>
        <w:autoSpaceDE w:val="0"/>
        <w:autoSpaceDN w:val="0"/>
        <w:bidi w:val="0"/>
        <w:adjustRightInd w:val="0"/>
        <w:snapToGrid/>
        <w:spacing w:line="312"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硬件参数</w:t>
      </w:r>
    </w:p>
    <w:p w14:paraId="6D2023D7">
      <w:pPr>
        <w:pageBreakBefore w:val="0"/>
        <w:kinsoku/>
        <w:wordWrap/>
        <w:overflowPunct/>
        <w:topLinePunct w:val="0"/>
        <w:autoSpaceDE w:val="0"/>
        <w:autoSpaceDN w:val="0"/>
        <w:bidi w:val="0"/>
        <w:adjustRightInd w:val="0"/>
        <w:snapToGrid/>
        <w:spacing w:line="312" w:lineRule="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lang w:val="en-US" w:eastAsia="zh-CN"/>
        </w:rPr>
        <w:t>1.</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lang w:val="en-US" w:eastAsia="zh-CN"/>
        </w:rPr>
        <w:t>、总导联数</w:t>
      </w: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val="en-US" w:eastAsia="zh-CN"/>
        </w:rPr>
        <w:t>256导；</w:t>
      </w:r>
    </w:p>
    <w:p w14:paraId="10DABC29">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lang w:eastAsia="zh-CN"/>
        </w:rPr>
        <w:t>1</w:t>
      </w:r>
      <w:r>
        <w:rPr>
          <w:rFonts w:hint="eastAsia" w:ascii="宋体" w:hAnsi="宋体" w:eastAsia="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单体</w:t>
      </w:r>
      <w:r>
        <w:rPr>
          <w:rFonts w:hint="eastAsia" w:ascii="宋体" w:hAnsi="宋体" w:eastAsia="宋体" w:cs="宋体"/>
          <w:bCs/>
          <w:color w:val="auto"/>
          <w:sz w:val="24"/>
          <w:szCs w:val="24"/>
          <w:highlight w:val="none"/>
          <w:lang w:eastAsia="zh-CN"/>
        </w:rPr>
        <w:t>放大器为一个不可拆分的，即所有64导脑电、</w:t>
      </w:r>
      <w:r>
        <w:rPr>
          <w:rFonts w:hint="eastAsia" w:ascii="宋体" w:hAnsi="宋体" w:eastAsia="宋体" w:cs="宋体"/>
          <w:bCs/>
          <w:color w:val="auto"/>
          <w:sz w:val="24"/>
          <w:szCs w:val="24"/>
          <w:highlight w:val="none"/>
          <w:lang w:val="en-US" w:eastAsia="zh-CN"/>
        </w:rPr>
        <w:t>4个双极</w:t>
      </w:r>
      <w:r>
        <w:rPr>
          <w:rFonts w:hint="eastAsia" w:ascii="宋体" w:hAnsi="宋体" w:eastAsia="宋体" w:cs="宋体"/>
          <w:bCs/>
          <w:color w:val="auto"/>
          <w:sz w:val="24"/>
          <w:szCs w:val="24"/>
          <w:highlight w:val="none"/>
          <w:lang w:eastAsia="zh-CN"/>
        </w:rPr>
        <w:t>通道集中在一块信号放大电路板上，</w:t>
      </w:r>
      <w:r>
        <w:rPr>
          <w:rFonts w:hint="eastAsia" w:ascii="宋体" w:hAnsi="宋体" w:eastAsia="宋体" w:cs="宋体"/>
          <w:bCs/>
          <w:color w:val="auto"/>
          <w:sz w:val="24"/>
          <w:szCs w:val="24"/>
          <w:highlight w:val="none"/>
          <w:lang w:val="en-US" w:eastAsia="zh-CN"/>
        </w:rPr>
        <w:t>保证</w:t>
      </w:r>
      <w:r>
        <w:rPr>
          <w:rFonts w:hint="eastAsia" w:ascii="宋体" w:hAnsi="宋体" w:eastAsia="宋体" w:cs="宋体"/>
          <w:bCs/>
          <w:color w:val="auto"/>
          <w:sz w:val="24"/>
          <w:szCs w:val="24"/>
          <w:highlight w:val="none"/>
          <w:lang w:eastAsia="zh-CN"/>
        </w:rPr>
        <w:t>脑电信号采集的同步性和一致性；单</w:t>
      </w:r>
      <w:r>
        <w:rPr>
          <w:rFonts w:hint="eastAsia" w:ascii="宋体" w:hAnsi="宋体" w:eastAsia="宋体" w:cs="宋体"/>
          <w:bCs/>
          <w:color w:val="auto"/>
          <w:sz w:val="24"/>
          <w:szCs w:val="24"/>
          <w:highlight w:val="none"/>
          <w:lang w:val="en-US" w:eastAsia="zh-CN"/>
        </w:rPr>
        <w:t>体</w:t>
      </w:r>
      <w:r>
        <w:rPr>
          <w:rFonts w:hint="eastAsia" w:ascii="宋体" w:hAnsi="宋体" w:eastAsia="宋体" w:cs="宋体"/>
          <w:bCs/>
          <w:color w:val="auto"/>
          <w:sz w:val="24"/>
          <w:szCs w:val="24"/>
          <w:highlight w:val="none"/>
          <w:lang w:eastAsia="zh-CN"/>
        </w:rPr>
        <w:t>放大器的面板提供额外的≥70个导联电极插口，</w:t>
      </w:r>
      <w:r>
        <w:rPr>
          <w:rFonts w:hint="eastAsia" w:ascii="宋体" w:hAnsi="宋体" w:eastAsia="宋体" w:cs="宋体"/>
          <w:color w:val="auto"/>
          <w:sz w:val="24"/>
          <w:szCs w:val="24"/>
          <w:highlight w:val="none"/>
          <w:lang w:eastAsia="zh-CN"/>
        </w:rPr>
        <w:t>支持最少4个64导脑电同步采集，实现多人同步脑电等功能，</w:t>
      </w:r>
      <w:r>
        <w:rPr>
          <w:rFonts w:hint="eastAsia" w:ascii="宋体" w:hAnsi="宋体" w:eastAsia="宋体" w:cs="宋体"/>
          <w:color w:val="auto"/>
          <w:sz w:val="24"/>
          <w:szCs w:val="24"/>
          <w:highlight w:val="none"/>
          <w:lang w:val="en-US" w:eastAsia="zh-CN"/>
        </w:rPr>
        <w:t>有独立的</w:t>
      </w:r>
      <w:r>
        <w:rPr>
          <w:rFonts w:hint="eastAsia" w:ascii="宋体" w:hAnsi="宋体" w:eastAsia="宋体" w:cs="宋体"/>
          <w:color w:val="auto"/>
          <w:sz w:val="24"/>
          <w:szCs w:val="24"/>
          <w:highlight w:val="none"/>
          <w:lang w:eastAsia="zh-CN"/>
        </w:rPr>
        <w:t>参考、接地；</w:t>
      </w:r>
    </w:p>
    <w:p w14:paraId="17E86E94">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、采样率</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,000 Hz，输入阻抗</w:t>
      </w:r>
      <w:r>
        <w:rPr>
          <w:rFonts w:hint="eastAsia" w:ascii="宋体" w:hAnsi="宋体" w:eastAsia="宋体" w:cs="宋体"/>
          <w:b/>
          <w:bCs/>
          <w:color w:val="auto"/>
          <w:sz w:val="24"/>
          <w:szCs w:val="24"/>
          <w:highlight w:val="none"/>
          <w:lang w:eastAsia="zh-CN"/>
        </w:rPr>
        <w:t>:</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 xml:space="preserve"> GOhms，最大升级容量：≥512导；</w:t>
      </w:r>
    </w:p>
    <w:p w14:paraId="474BDE14">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、带宽</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eastAsia="zh-CN"/>
        </w:rPr>
        <w:t>0～3</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00 Hz；</w:t>
      </w:r>
    </w:p>
    <w:p w14:paraId="2ABAC17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、A/D 转换分辨率</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eastAsia="zh-CN"/>
        </w:rPr>
        <w:t xml:space="preserve"> 24Bit；</w:t>
      </w:r>
    </w:p>
    <w:p w14:paraId="60FB136D">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、共模抑制比</w:t>
      </w: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10</w:t>
      </w:r>
      <w:r>
        <w:rPr>
          <w:rFonts w:hint="eastAsia" w:ascii="宋体" w:hAnsi="宋体" w:eastAsia="宋体" w:cs="宋体"/>
          <w:color w:val="auto"/>
          <w:sz w:val="24"/>
          <w:szCs w:val="24"/>
          <w:highlight w:val="none"/>
        </w:rPr>
        <w:t>dB，输入噪声</w:t>
      </w: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rPr>
        <w:t>≤0.5uV RMS</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灵敏度</w:t>
      </w:r>
      <w:r>
        <w:rPr>
          <w:rFonts w:hint="eastAsia" w:ascii="宋体" w:hAnsi="宋体" w:eastAsia="宋体" w:cs="宋体"/>
          <w:b/>
          <w:bCs/>
          <w:color w:val="auto"/>
          <w:sz w:val="24"/>
          <w:szCs w:val="24"/>
          <w:highlight w:val="none"/>
        </w:rPr>
        <w:t>:</w:t>
      </w:r>
      <w:r>
        <w:rPr>
          <w:rFonts w:hint="eastAsia" w:ascii="宋体" w:hAnsi="宋体" w:eastAsia="宋体" w:cs="宋体"/>
          <w:color w:val="auto"/>
          <w:sz w:val="24"/>
          <w:szCs w:val="24"/>
          <w:highlight w:val="none"/>
        </w:rPr>
        <w:t>DC模式不大于30nV/bit ，AC模式不大于10nV/bit；</w:t>
      </w:r>
    </w:p>
    <w:p w14:paraId="758D67DC">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 xml:space="preserve">、输入范围 </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eastAsia="zh-CN"/>
        </w:rPr>
        <w:t>+/- 900uV；</w:t>
      </w:r>
    </w:p>
    <w:p w14:paraId="765DFF0C">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、系统增益</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eastAsia="zh-CN"/>
        </w:rPr>
        <w:t>2000；</w:t>
      </w:r>
    </w:p>
    <w:p w14:paraId="32C604A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、放大器可与核磁兼容（</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核磁兼容型放大器）。</w:t>
      </w:r>
    </w:p>
    <w:p w14:paraId="116D99BB">
      <w:pPr>
        <w:pageBreakBefore w:val="0"/>
        <w:kinsoku/>
        <w:wordWrap/>
        <w:overflowPunct/>
        <w:topLinePunct w:val="0"/>
        <w:autoSpaceDE w:val="0"/>
        <w:autoSpaceDN w:val="0"/>
        <w:bidi w:val="0"/>
        <w:adjustRightInd w:val="0"/>
        <w:snapToGrid/>
        <w:spacing w:line="312" w:lineRule="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工作站</w:t>
      </w:r>
    </w:p>
    <w:p w14:paraId="18C5905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工作站2套：屏幕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22英寸，CPU型号：</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i7,内存容量：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16</w:t>
      </w:r>
      <w:r>
        <w:rPr>
          <w:rFonts w:hint="eastAsia" w:ascii="宋体" w:hAnsi="宋体" w:eastAsia="宋体" w:cs="宋体"/>
          <w:color w:val="auto"/>
          <w:sz w:val="24"/>
          <w:szCs w:val="24"/>
          <w:highlight w:val="none"/>
        </w:rPr>
        <w:t>GB，独立显卡：</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GB,硬盘容量：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TB，操作系统：Windows 10</w:t>
      </w:r>
      <w:r>
        <w:rPr>
          <w:rFonts w:hint="eastAsia" w:ascii="宋体" w:hAnsi="宋体" w:eastAsia="宋体" w:cs="宋体"/>
          <w:color w:val="auto"/>
          <w:sz w:val="24"/>
          <w:szCs w:val="24"/>
          <w:highlight w:val="none"/>
          <w:lang w:eastAsia="zh-CN"/>
        </w:rPr>
        <w:t>/11。</w:t>
      </w:r>
    </w:p>
    <w:p w14:paraId="10FA13C5">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 xml:space="preserve">3. </w:t>
      </w:r>
      <w:r>
        <w:rPr>
          <w:rFonts w:hint="eastAsia" w:ascii="宋体" w:hAnsi="宋体" w:eastAsia="宋体" w:cs="宋体"/>
          <w:b/>
          <w:bCs/>
          <w:color w:val="auto"/>
          <w:sz w:val="24"/>
          <w:szCs w:val="24"/>
          <w:highlight w:val="none"/>
          <w:lang w:val="en-US" w:eastAsia="zh-CN"/>
        </w:rPr>
        <w:t>软件参数</w:t>
      </w:r>
    </w:p>
    <w:p w14:paraId="69554AEE">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3.1、脑电分析软件为中文操作界面，可完成脑电、ERP功能；</w:t>
      </w:r>
    </w:p>
    <w:p w14:paraId="53FFD644">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3.2、数据采集的是原始信号，记录时改变导联等不影响信号，回放时可进行所需要的处理；</w:t>
      </w:r>
    </w:p>
    <w:p w14:paraId="62EE1D59">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3.3、EEG带通滤波器：在采集和回放数据时，都可以对数据进行滤波设置；</w:t>
      </w:r>
    </w:p>
    <w:p w14:paraId="74B5955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3.4、完备的导联编辑功能：可对输入电极和波形信号进行分组，不同的颜色制定，位置的调整，数值的自定义编辑等；</w:t>
      </w:r>
    </w:p>
    <w:p w14:paraId="25DC135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3.5、具备两种阻抗测试系统（软件和硬件测试），均可获知当前阻抗情况，软件测试中有颜色和数值双重显示，；</w:t>
      </w:r>
    </w:p>
    <w:p w14:paraId="65CB191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3.6、可以在线进行脑电阻抗检测及数据分析；</w:t>
      </w:r>
    </w:p>
    <w:p w14:paraId="05276C1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3.7、诱发试验标记指示：可进行事件标记，下方有相应的颜色条走动表示当前状态。</w:t>
      </w:r>
    </w:p>
    <w:p w14:paraId="5D20B5AD">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3.8、灵活的导联 Montage 及多导图的设定，可根据需要创建所需要的波形显示方式，可创建多个监测导联组合以满足不同的监测需要；</w:t>
      </w:r>
    </w:p>
    <w:p w14:paraId="41779AFA">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3.9、在进行频谱分析时，可以同时打开多个文件多窗口工作，便于同一病人不同时间的EEG资料进行分析对比或者不同病人之间的分析对比；</w:t>
      </w:r>
    </w:p>
    <w:p w14:paraId="728628A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3.10、诱发试验检查流程预设功能:可对事件等进行流程预设，系统按照自定义顺序自动完成检查；</w:t>
      </w:r>
    </w:p>
    <w:p w14:paraId="306B3FF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3.11、双采样率功能：支持双采样率记录，可同时存储高采样和低采样率脑电图，高采样率进行精确分析，低采样率进行快速浏览和查找；</w:t>
      </w:r>
    </w:p>
    <w:p w14:paraId="7C885097">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3.12、多窗口工作功能：可以同时打开多个回放窗口对多个病例进行回放和分析操作；</w:t>
      </w:r>
    </w:p>
    <w:p w14:paraId="583E4DF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3.13、采用图形工具指导数据的回放和编辑，可一步备份EEG波形和视频数据；</w:t>
      </w:r>
    </w:p>
    <w:p w14:paraId="0534226A">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3.14、具有病人档案管理系统，多级别文件夹管理，每个病人有单独的文件夹；</w:t>
      </w:r>
    </w:p>
    <w:p w14:paraId="66273194">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3.15、可以采用Word 格式，可输出任意数据或图形到其他数据库，便于统计分析；</w:t>
      </w:r>
    </w:p>
    <w:p w14:paraId="259E694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3.16、测量功能：可对脑电数据进行手动测量，显示电平值和频率；</w:t>
      </w:r>
    </w:p>
    <w:p w14:paraId="6A0E75E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3.17、报告完全自定义，可任意剪辑脑电图波形粘贴在中文报告上，与中文报告同页打出；</w:t>
      </w:r>
    </w:p>
    <w:p w14:paraId="1FCC440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3.18、所有数据资料可保存在任意的存储器中，并且可在任意一台没有安装读图软件的电脑上回放，编辑，可任意更改导联、滤波等参数；</w:t>
      </w:r>
    </w:p>
    <w:p w14:paraId="3BBF6086">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3.19、视频和检查状况可剪辑成电影，超链接PPT在任意电脑上回放，方便用户开展会诊、教学工作；</w:t>
      </w:r>
    </w:p>
    <w:p w14:paraId="1C78F48B">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3.20、资料管理系统中自带刻录DVD工具，刻录后的病人脑电图信息可自动保留条目标识存储光盘及光盘编号，脑电图数据可存为DVD格式；</w:t>
      </w:r>
    </w:p>
    <w:p w14:paraId="3D324D0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3.21、具有波幅与时限的精确测量，可放大所有导联中任意单个导联的波形；</w:t>
      </w:r>
    </w:p>
    <w:p w14:paraId="3E66B17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3.22、在数据回放时可随时更改导联，改变不同导联波形的颜色。在剪辑脑电图时，可根据需要选择性地进行剪辑一段或多段成为一份脑电图；</w:t>
      </w:r>
    </w:p>
    <w:p w14:paraId="7AEA6D4E">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3.23、支持双路高清数字同步视频，可裂变多视窗，每一视窗可放大或缩小画面；</w:t>
      </w:r>
    </w:p>
    <w:p w14:paraId="0E7B9C8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3.24、脑地形图分析功能包括：2维脑地形图、3D脑地形图、脑地形图动画、频谱图和颅脑相干图；</w:t>
      </w:r>
    </w:p>
    <w:p w14:paraId="034D3949">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3.25、具有快速傅立叶转换FFT查看功能，任意选择一段曲线就可以进行FFT转换并显示频域的曲线和数据；</w:t>
      </w:r>
    </w:p>
    <w:p w14:paraId="2D452CF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3.26、具有高频振荡HFO检测分析功能；</w:t>
      </w:r>
    </w:p>
    <w:p w14:paraId="070BF03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3.27、可进行单极记录和双极记录脑电，参考电极可根据测试要求任意选择相关位置，具有ERP的记录与分析功能。</w:t>
      </w:r>
    </w:p>
    <w:p w14:paraId="163C325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3.28、支持数据预处理，包括滤波、伪迹剔除、数据分段、基线校正。并支持ERP计算与比较。</w:t>
      </w:r>
    </w:p>
    <w:p w14:paraId="47D5B84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3.29、支持同步记录患者临床表现与脑电图信号功能，具备视频系统接入和同步功能。</w:t>
      </w:r>
    </w:p>
    <w:p w14:paraId="1AE412C7">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3.30、支持呈现的刺激是文本、图像、视频和声音（可以呈现多种刺激的任意组合），提供了详细的时间信息和事件细节（包括呈现时间、反应时间、按键值等），可导出为文本格式的原始数据供进一步分析。</w:t>
      </w:r>
    </w:p>
    <w:p w14:paraId="69051212">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售后服务</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免费保修时间不少于5年</w:t>
      </w:r>
      <w:r>
        <w:rPr>
          <w:rFonts w:hint="eastAsia" w:ascii="宋体" w:hAnsi="宋体" w:cs="宋体"/>
          <w:color w:val="auto"/>
          <w:sz w:val="24"/>
          <w:szCs w:val="24"/>
          <w:highlight w:val="none"/>
          <w:lang w:val="en-US" w:eastAsia="zh-CN"/>
        </w:rPr>
        <w:t>.</w:t>
      </w:r>
    </w:p>
    <w:p w14:paraId="521682DA">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配置清单</w:t>
      </w:r>
    </w:p>
    <w:p w14:paraId="3278806C">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1放大器（4个64导联）1套</w:t>
      </w:r>
    </w:p>
    <w:p w14:paraId="65D89FE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2控制盒1</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套</w:t>
      </w:r>
    </w:p>
    <w:p w14:paraId="3A17FA99">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3脑电图软件1套</w:t>
      </w:r>
    </w:p>
    <w:p w14:paraId="5CEBCBE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4ERP软件分析工具包1套</w:t>
      </w:r>
    </w:p>
    <w:p w14:paraId="08B04918">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5刺激软件1套</w:t>
      </w:r>
    </w:p>
    <w:p w14:paraId="29EBDE93">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6导电膏3桶</w:t>
      </w:r>
    </w:p>
    <w:p w14:paraId="7C622771">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7磨砂膏3</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支</w:t>
      </w:r>
    </w:p>
    <w:p w14:paraId="072E6DCD">
      <w:pPr>
        <w:pageBreakBefore w:val="0"/>
        <w:kinsoku/>
        <w:wordWrap/>
        <w:overflowPunct/>
        <w:topLinePunct w:val="0"/>
        <w:autoSpaceDE w:val="0"/>
        <w:autoSpaceDN w:val="0"/>
        <w:bidi w:val="0"/>
        <w:adjustRightInd w:val="0"/>
        <w:snapToGrid/>
        <w:spacing w:line="312"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8数据处理终端2套</w:t>
      </w:r>
    </w:p>
    <w:p w14:paraId="2D21387F">
      <w:pPr>
        <w:rPr>
          <w:rFonts w:hint="eastAsia" w:ascii="宋体" w:hAnsi="宋体" w:eastAsia="宋体" w:cs="宋体"/>
          <w:b/>
          <w:color w:val="auto"/>
          <w:sz w:val="36"/>
          <w:szCs w:val="36"/>
          <w:highlight w:val="none"/>
        </w:rPr>
      </w:pPr>
      <w:bookmarkStart w:id="823" w:name="_Toc99301425"/>
      <w:r>
        <w:rPr>
          <w:rFonts w:hint="eastAsia" w:ascii="宋体" w:hAnsi="宋体" w:eastAsia="宋体" w:cs="宋体"/>
          <w:b/>
          <w:color w:val="auto"/>
          <w:sz w:val="36"/>
          <w:szCs w:val="36"/>
          <w:highlight w:val="none"/>
        </w:rPr>
        <w:br w:type="page"/>
      </w:r>
    </w:p>
    <w:p w14:paraId="6A6C40E4">
      <w:pPr>
        <w:spacing w:line="360" w:lineRule="auto"/>
        <w:jc w:val="center"/>
        <w:outlineLvl w:val="0"/>
        <w:rPr>
          <w:rFonts w:hint="eastAsia" w:ascii="宋体" w:hAnsi="宋体" w:eastAsia="宋体" w:cs="宋体"/>
          <w:color w:val="auto"/>
          <w:sz w:val="24"/>
          <w:szCs w:val="22"/>
          <w:highlight w:val="none"/>
        </w:rPr>
      </w:pPr>
      <w:r>
        <w:rPr>
          <w:rFonts w:hint="eastAsia" w:ascii="宋体" w:hAnsi="宋体" w:eastAsia="宋体" w:cs="宋体"/>
          <w:b/>
          <w:color w:val="auto"/>
          <w:sz w:val="36"/>
          <w:szCs w:val="36"/>
          <w:highlight w:val="none"/>
        </w:rPr>
        <w:t>第六章   拟签订的合同文本</w:t>
      </w:r>
      <w:bookmarkEnd w:id="823"/>
    </w:p>
    <w:p w14:paraId="560261D1">
      <w:pPr>
        <w:tabs>
          <w:tab w:val="left" w:pos="900"/>
          <w:tab w:val="left" w:pos="1080"/>
        </w:tabs>
        <w:snapToGrid w:val="0"/>
        <w:spacing w:line="360" w:lineRule="auto"/>
        <w:jc w:val="center"/>
        <w:rPr>
          <w:rFonts w:hint="eastAsia" w:ascii="宋体" w:hAnsi="宋体" w:eastAsia="宋体" w:cs="宋体"/>
          <w:color w:val="auto"/>
          <w:kern w:val="0"/>
          <w:sz w:val="18"/>
          <w:szCs w:val="18"/>
          <w:highlight w:val="none"/>
        </w:rPr>
      </w:pPr>
      <w:r>
        <w:rPr>
          <w:rFonts w:hint="eastAsia" w:ascii="宋体" w:hAnsi="宋体" w:eastAsia="宋体" w:cs="宋体"/>
          <w:b/>
          <w:color w:val="auto"/>
          <w:sz w:val="24"/>
          <w:highlight w:val="none"/>
        </w:rPr>
        <w:t>（最终合同条款以采购人审计处审计为准）</w:t>
      </w:r>
    </w:p>
    <w:p w14:paraId="009BCE0D">
      <w:pPr>
        <w:pStyle w:val="257"/>
        <w:widowControl w:val="0"/>
        <w:autoSpaceDE w:val="0"/>
        <w:autoSpaceDN w:val="0"/>
        <w:spacing w:before="0" w:after="0" w:line="360" w:lineRule="auto"/>
        <w:ind w:leftChars="-1" w:hanging="2"/>
        <w:jc w:val="center"/>
        <w:rPr>
          <w:rFonts w:hint="eastAsia" w:ascii="宋体" w:hAnsi="宋体" w:cs="Arial"/>
          <w:b/>
          <w:bCs/>
          <w:color w:val="auto"/>
          <w:sz w:val="24"/>
          <w:szCs w:val="24"/>
          <w:highlight w:val="none"/>
          <w:lang w:eastAsia="zh-CN"/>
        </w:rPr>
      </w:pPr>
    </w:p>
    <w:p w14:paraId="0919E339">
      <w:pPr>
        <w:pStyle w:val="257"/>
        <w:widowControl w:val="0"/>
        <w:autoSpaceDE w:val="0"/>
        <w:autoSpaceDN w:val="0"/>
        <w:spacing w:before="0" w:after="0" w:line="360" w:lineRule="auto"/>
        <w:ind w:leftChars="-1" w:hanging="2"/>
        <w:jc w:val="center"/>
        <w:rPr>
          <w:rFonts w:hint="eastAsia" w:ascii="宋体" w:hAnsi="宋体" w:cs="Arial"/>
          <w:b/>
          <w:bCs/>
          <w:color w:val="auto"/>
          <w:sz w:val="24"/>
          <w:szCs w:val="24"/>
          <w:highlight w:val="none"/>
          <w:lang w:eastAsia="zh-CN"/>
        </w:rPr>
      </w:pPr>
    </w:p>
    <w:p w14:paraId="412EC36B">
      <w:pPr>
        <w:spacing w:line="360" w:lineRule="auto"/>
        <w:ind w:left="1080" w:leftChars="257" w:hanging="540"/>
        <w:jc w:val="center"/>
        <w:rPr>
          <w:rFonts w:hint="eastAsia" w:ascii="宋体" w:hAnsi="宋体" w:cs="Arial"/>
          <w:b/>
          <w:color w:val="auto"/>
          <w:kern w:val="44"/>
          <w:sz w:val="32"/>
          <w:szCs w:val="20"/>
          <w:highlight w:val="none"/>
        </w:rPr>
      </w:pPr>
      <w:bookmarkStart w:id="824" w:name="_Toc89586965"/>
      <w:bookmarkStart w:id="825" w:name="_Toc164331020"/>
      <w:bookmarkStart w:id="826" w:name="_Toc237244768"/>
      <w:bookmarkStart w:id="827" w:name="_Toc89058604"/>
      <w:bookmarkStart w:id="828" w:name="_Toc91399464"/>
      <w:bookmarkStart w:id="829" w:name="_Toc237244769"/>
      <w:bookmarkStart w:id="830" w:name="_Toc97562003"/>
      <w:bookmarkStart w:id="831" w:name="_Toc219271394"/>
      <w:bookmarkStart w:id="832" w:name="_Toc184367775"/>
      <w:r>
        <w:rPr>
          <w:rFonts w:ascii="宋体" w:hAnsi="宋体" w:cs="Arial"/>
          <w:b/>
          <w:color w:val="auto"/>
          <w:kern w:val="44"/>
          <w:sz w:val="32"/>
          <w:szCs w:val="20"/>
          <w:highlight w:val="none"/>
        </w:rPr>
        <w:t>（货物类）</w:t>
      </w:r>
    </w:p>
    <w:p w14:paraId="3A0BC52D">
      <w:pPr>
        <w:pStyle w:val="15"/>
        <w:spacing w:line="360" w:lineRule="auto"/>
        <w:ind w:left="540" w:leftChars="257" w:firstLine="560"/>
        <w:rPr>
          <w:rFonts w:hint="eastAsia" w:hAnsi="宋体" w:cs="Arial"/>
          <w:color w:val="auto"/>
          <w:sz w:val="28"/>
          <w:highlight w:val="none"/>
        </w:rPr>
      </w:pPr>
    </w:p>
    <w:p w14:paraId="1604040C">
      <w:pPr>
        <w:spacing w:line="360" w:lineRule="auto"/>
        <w:ind w:left="1080" w:leftChars="257" w:hanging="540"/>
        <w:rPr>
          <w:rFonts w:hint="eastAsia" w:ascii="宋体" w:hAnsi="宋体" w:cs="Arial"/>
          <w:color w:val="auto"/>
          <w:sz w:val="24"/>
          <w:highlight w:val="none"/>
        </w:rPr>
      </w:pPr>
      <w:bookmarkStart w:id="833" w:name="_Toc216513789"/>
      <w:r>
        <w:rPr>
          <w:rFonts w:ascii="宋体" w:hAnsi="宋体" w:cs="Arial"/>
          <w:color w:val="auto"/>
          <w:sz w:val="24"/>
          <w:highlight w:val="none"/>
        </w:rPr>
        <w:t>合同编号：</w:t>
      </w:r>
      <w:bookmarkEnd w:id="833"/>
      <w:r>
        <w:rPr>
          <w:rFonts w:ascii="宋体" w:hAnsi="宋体" w:cs="Arial"/>
          <w:color w:val="auto"/>
          <w:sz w:val="24"/>
          <w:highlight w:val="none"/>
        </w:rPr>
        <w:t xml:space="preserve">        </w:t>
      </w:r>
    </w:p>
    <w:p w14:paraId="331BFB54">
      <w:pPr>
        <w:pStyle w:val="15"/>
        <w:spacing w:line="360" w:lineRule="auto"/>
        <w:ind w:left="540" w:leftChars="257" w:firstLine="480"/>
        <w:rPr>
          <w:rFonts w:hint="eastAsia" w:hAnsi="宋体" w:cs="Arial"/>
          <w:color w:val="auto"/>
          <w:highlight w:val="none"/>
        </w:rPr>
      </w:pPr>
    </w:p>
    <w:p w14:paraId="53859D7B">
      <w:pPr>
        <w:spacing w:line="360" w:lineRule="auto"/>
        <w:ind w:left="1080" w:leftChars="257" w:hanging="540"/>
        <w:rPr>
          <w:rFonts w:hint="eastAsia" w:ascii="宋体" w:hAnsi="宋体" w:cs="Arial"/>
          <w:color w:val="auto"/>
          <w:sz w:val="24"/>
          <w:highlight w:val="none"/>
        </w:rPr>
      </w:pPr>
    </w:p>
    <w:p w14:paraId="47F75AF7">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项目名称：</w:t>
      </w:r>
      <w:r>
        <w:rPr>
          <w:rFonts w:ascii="宋体" w:hAnsi="宋体" w:cs="Arial"/>
          <w:color w:val="auto"/>
          <w:sz w:val="24"/>
          <w:highlight w:val="none"/>
          <w:u w:val="single"/>
        </w:rPr>
        <w:t xml:space="preserve">                                    </w:t>
      </w:r>
    </w:p>
    <w:p w14:paraId="7769830E">
      <w:pPr>
        <w:spacing w:line="360" w:lineRule="auto"/>
        <w:ind w:left="1080" w:leftChars="257" w:hanging="540"/>
        <w:rPr>
          <w:rFonts w:hint="eastAsia" w:ascii="宋体" w:hAnsi="宋体" w:cs="Arial"/>
          <w:color w:val="auto"/>
          <w:sz w:val="24"/>
          <w:highlight w:val="none"/>
        </w:rPr>
      </w:pPr>
    </w:p>
    <w:p w14:paraId="25D59B4F">
      <w:pPr>
        <w:spacing w:line="360" w:lineRule="auto"/>
        <w:ind w:left="1080" w:leftChars="257" w:hanging="540"/>
        <w:rPr>
          <w:rFonts w:hint="eastAsia" w:ascii="宋体" w:hAnsi="宋体" w:cs="Arial"/>
          <w:color w:val="auto"/>
          <w:sz w:val="24"/>
          <w:highlight w:val="none"/>
          <w:u w:val="single"/>
        </w:rPr>
      </w:pPr>
      <w:r>
        <w:rPr>
          <w:rFonts w:ascii="宋体" w:hAnsi="宋体" w:cs="Arial"/>
          <w:color w:val="auto"/>
          <w:sz w:val="24"/>
          <w:highlight w:val="none"/>
        </w:rPr>
        <w:t>货物名称：</w:t>
      </w:r>
      <w:r>
        <w:rPr>
          <w:rFonts w:ascii="宋体" w:hAnsi="宋体" w:cs="Arial"/>
          <w:color w:val="auto"/>
          <w:sz w:val="24"/>
          <w:highlight w:val="none"/>
          <w:u w:val="single"/>
        </w:rPr>
        <w:t xml:space="preserve">                                    </w:t>
      </w:r>
    </w:p>
    <w:p w14:paraId="0EB3FCD8">
      <w:pPr>
        <w:spacing w:line="360" w:lineRule="auto"/>
        <w:ind w:left="1080" w:leftChars="257" w:hanging="540"/>
        <w:rPr>
          <w:rFonts w:hint="eastAsia" w:ascii="宋体" w:hAnsi="宋体" w:cs="Arial"/>
          <w:color w:val="auto"/>
          <w:sz w:val="24"/>
          <w:highlight w:val="none"/>
        </w:rPr>
      </w:pPr>
    </w:p>
    <w:p w14:paraId="29F7A776">
      <w:pPr>
        <w:spacing w:line="360" w:lineRule="auto"/>
        <w:ind w:left="1080" w:leftChars="257" w:hanging="540"/>
        <w:rPr>
          <w:rFonts w:hint="eastAsia" w:ascii="宋体" w:hAnsi="宋体" w:cs="Arial"/>
          <w:color w:val="auto"/>
          <w:sz w:val="24"/>
          <w:highlight w:val="none"/>
        </w:rPr>
      </w:pPr>
    </w:p>
    <w:p w14:paraId="1CE02E2A">
      <w:pPr>
        <w:pStyle w:val="39"/>
        <w:spacing w:line="360" w:lineRule="auto"/>
        <w:ind w:left="1080" w:leftChars="257" w:hanging="540"/>
        <w:rPr>
          <w:rFonts w:hint="eastAsia" w:ascii="宋体" w:hAnsi="宋体" w:cs="Arial"/>
          <w:color w:val="auto"/>
          <w:sz w:val="24"/>
          <w:szCs w:val="24"/>
          <w:highlight w:val="none"/>
        </w:rPr>
      </w:pPr>
    </w:p>
    <w:p w14:paraId="5F57C1FF">
      <w:pPr>
        <w:pStyle w:val="39"/>
        <w:spacing w:line="360" w:lineRule="auto"/>
        <w:ind w:left="1080" w:leftChars="257" w:hanging="540"/>
        <w:rPr>
          <w:rFonts w:hint="eastAsia" w:ascii="宋体" w:hAnsi="宋体" w:cs="Arial"/>
          <w:color w:val="auto"/>
          <w:sz w:val="24"/>
          <w:szCs w:val="24"/>
          <w:highlight w:val="none"/>
        </w:rPr>
      </w:pPr>
    </w:p>
    <w:p w14:paraId="44BA2B14">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买　　方：</w:t>
      </w:r>
      <w:r>
        <w:rPr>
          <w:rFonts w:ascii="宋体" w:hAnsi="宋体" w:cs="Arial"/>
          <w:color w:val="auto"/>
          <w:sz w:val="24"/>
          <w:highlight w:val="none"/>
          <w:u w:val="single"/>
        </w:rPr>
        <w:t xml:space="preserve">                                    </w:t>
      </w:r>
    </w:p>
    <w:p w14:paraId="35137722">
      <w:pPr>
        <w:spacing w:line="360" w:lineRule="auto"/>
        <w:ind w:left="1080" w:leftChars="257" w:hanging="540"/>
        <w:rPr>
          <w:rFonts w:hint="eastAsia" w:ascii="宋体" w:hAnsi="宋体" w:cs="Arial"/>
          <w:color w:val="auto"/>
          <w:sz w:val="24"/>
          <w:highlight w:val="none"/>
        </w:rPr>
      </w:pPr>
    </w:p>
    <w:p w14:paraId="46CE1729">
      <w:pPr>
        <w:spacing w:line="360" w:lineRule="auto"/>
        <w:ind w:left="1080" w:leftChars="257" w:hanging="540"/>
        <w:rPr>
          <w:rFonts w:hint="eastAsia" w:ascii="宋体" w:hAnsi="宋体" w:cs="Arial"/>
          <w:color w:val="auto"/>
          <w:sz w:val="24"/>
          <w:highlight w:val="none"/>
          <w:u w:val="single"/>
        </w:rPr>
      </w:pPr>
      <w:r>
        <w:rPr>
          <w:rFonts w:ascii="宋体" w:hAnsi="宋体" w:cs="Arial"/>
          <w:color w:val="auto"/>
          <w:sz w:val="24"/>
          <w:highlight w:val="none"/>
        </w:rPr>
        <w:t>卖　　方：</w:t>
      </w:r>
      <w:r>
        <w:rPr>
          <w:rFonts w:ascii="宋体" w:hAnsi="宋体" w:cs="Arial"/>
          <w:color w:val="auto"/>
          <w:sz w:val="24"/>
          <w:highlight w:val="none"/>
          <w:u w:val="single"/>
        </w:rPr>
        <w:t xml:space="preserve">                                    </w:t>
      </w:r>
    </w:p>
    <w:p w14:paraId="6B5B687E">
      <w:pPr>
        <w:spacing w:line="360" w:lineRule="auto"/>
        <w:ind w:left="1080" w:leftChars="257" w:hanging="540"/>
        <w:rPr>
          <w:rFonts w:hint="eastAsia" w:ascii="宋体" w:hAnsi="宋体" w:cs="Arial"/>
          <w:color w:val="auto"/>
          <w:sz w:val="24"/>
          <w:highlight w:val="none"/>
        </w:rPr>
      </w:pPr>
    </w:p>
    <w:p w14:paraId="2CC4997E">
      <w:pPr>
        <w:spacing w:line="360" w:lineRule="auto"/>
        <w:ind w:left="1080" w:leftChars="257" w:hanging="540"/>
        <w:jc w:val="center"/>
        <w:rPr>
          <w:rFonts w:hint="eastAsia" w:ascii="宋体" w:hAnsi="宋体" w:cs="Arial"/>
          <w:color w:val="auto"/>
          <w:sz w:val="24"/>
          <w:highlight w:val="none"/>
        </w:rPr>
      </w:pPr>
    </w:p>
    <w:p w14:paraId="0D414A06">
      <w:pPr>
        <w:spacing w:line="360" w:lineRule="auto"/>
        <w:ind w:left="1080" w:leftChars="257" w:hanging="540"/>
        <w:rPr>
          <w:rFonts w:hint="eastAsia" w:ascii="宋体" w:hAnsi="宋体" w:cs="Arial"/>
          <w:color w:val="auto"/>
          <w:sz w:val="24"/>
          <w:highlight w:val="none"/>
          <w:u w:val="single"/>
        </w:rPr>
      </w:pPr>
      <w:r>
        <w:rPr>
          <w:rFonts w:ascii="宋体" w:hAnsi="宋体" w:cs="Arial"/>
          <w:color w:val="auto"/>
          <w:sz w:val="24"/>
          <w:highlight w:val="none"/>
        </w:rPr>
        <w:t>签署日期：</w:t>
      </w:r>
      <w:r>
        <w:rPr>
          <w:rFonts w:ascii="宋体" w:hAnsi="宋体" w:cs="Arial"/>
          <w:color w:val="auto"/>
          <w:sz w:val="24"/>
          <w:highlight w:val="none"/>
          <w:u w:val="single"/>
        </w:rPr>
        <w:t>　　　　　　　　　　　　　　　　　　　</w:t>
      </w:r>
    </w:p>
    <w:p w14:paraId="1CC17417">
      <w:pPr>
        <w:widowControl/>
        <w:jc w:val="left"/>
        <w:rPr>
          <w:rFonts w:hint="eastAsia" w:ascii="宋体" w:hAnsi="宋体" w:cs="Arial"/>
          <w:color w:val="auto"/>
          <w:sz w:val="24"/>
          <w:highlight w:val="none"/>
        </w:rPr>
      </w:pPr>
      <w:r>
        <w:rPr>
          <w:rFonts w:ascii="宋体" w:hAnsi="宋体" w:cs="Arial"/>
          <w:color w:val="auto"/>
          <w:sz w:val="24"/>
          <w:highlight w:val="none"/>
        </w:rPr>
        <w:br w:type="page"/>
      </w:r>
    </w:p>
    <w:p w14:paraId="448F5AC4">
      <w:pPr>
        <w:spacing w:line="360" w:lineRule="auto"/>
        <w:ind w:left="1080" w:leftChars="257" w:hanging="540"/>
        <w:rPr>
          <w:rFonts w:hint="eastAsia" w:ascii="宋体" w:hAnsi="宋体" w:cs="Arial"/>
          <w:color w:val="auto"/>
          <w:sz w:val="24"/>
          <w:highlight w:val="none"/>
          <w:u w:val="single"/>
        </w:rPr>
      </w:pPr>
    </w:p>
    <w:p w14:paraId="4A99E4D3">
      <w:pPr>
        <w:pStyle w:val="7"/>
        <w:tabs>
          <w:tab w:val="left" w:pos="900"/>
        </w:tabs>
        <w:spacing w:before="0" w:after="0" w:line="360" w:lineRule="auto"/>
        <w:ind w:left="1080" w:leftChars="257" w:hanging="540"/>
        <w:jc w:val="center"/>
        <w:rPr>
          <w:rFonts w:hint="eastAsia" w:hAnsi="宋体" w:cs="Arial"/>
          <w:b w:val="0"/>
          <w:color w:val="auto"/>
          <w:szCs w:val="24"/>
          <w:highlight w:val="none"/>
        </w:rPr>
      </w:pPr>
      <w:bookmarkStart w:id="834" w:name="_Toc219175636"/>
      <w:bookmarkStart w:id="835" w:name="_Toc218935352"/>
      <w:bookmarkStart w:id="836" w:name="_Toc220229326"/>
      <w:bookmarkStart w:id="837" w:name="_Toc220229431"/>
      <w:r>
        <w:rPr>
          <w:rFonts w:hAnsi="宋体" w:cs="Arial"/>
          <w:color w:val="auto"/>
          <w:szCs w:val="24"/>
          <w:highlight w:val="none"/>
          <w:u w:val="none"/>
        </w:rPr>
        <w:t>合　　　同　　　书</w:t>
      </w:r>
      <w:bookmarkEnd w:id="834"/>
      <w:bookmarkEnd w:id="835"/>
      <w:bookmarkEnd w:id="836"/>
      <w:bookmarkEnd w:id="837"/>
    </w:p>
    <w:p w14:paraId="0CEC4168">
      <w:pPr>
        <w:spacing w:line="360" w:lineRule="auto"/>
        <w:ind w:left="1080" w:leftChars="257" w:hanging="540"/>
        <w:rPr>
          <w:rFonts w:hint="eastAsia" w:ascii="宋体" w:hAnsi="宋体" w:cs="Arial"/>
          <w:color w:val="auto"/>
          <w:sz w:val="24"/>
          <w:highlight w:val="none"/>
        </w:rPr>
      </w:pPr>
    </w:p>
    <w:p w14:paraId="5E95E295">
      <w:pPr>
        <w:spacing w:line="360" w:lineRule="auto"/>
        <w:ind w:firstLine="480" w:firstLineChars="200"/>
        <w:rPr>
          <w:rFonts w:hint="eastAsia" w:ascii="宋体" w:hAnsi="宋体" w:cs="Arial"/>
          <w:color w:val="auto"/>
          <w:sz w:val="24"/>
          <w:highlight w:val="none"/>
        </w:rPr>
      </w:pPr>
      <w:r>
        <w:rPr>
          <w:rFonts w:ascii="宋体" w:hAnsi="宋体" w:cs="Arial"/>
          <w:color w:val="auto"/>
          <w:sz w:val="24"/>
          <w:highlight w:val="none"/>
        </w:rPr>
        <w:t>买方</w:t>
      </w:r>
      <w:r>
        <w:rPr>
          <w:rFonts w:ascii="宋体" w:hAnsi="宋体" w:cs="Arial"/>
          <w:color w:val="auto"/>
          <w:sz w:val="24"/>
          <w:highlight w:val="none"/>
          <w:u w:val="single"/>
        </w:rPr>
        <w:t xml:space="preserve">   （名称）    </w:t>
      </w:r>
      <w:r>
        <w:rPr>
          <w:rFonts w:ascii="宋体" w:hAnsi="宋体" w:cs="Arial"/>
          <w:color w:val="auto"/>
          <w:sz w:val="24"/>
          <w:highlight w:val="none"/>
        </w:rPr>
        <w:t>的</w:t>
      </w:r>
      <w:r>
        <w:rPr>
          <w:rFonts w:ascii="宋体" w:hAnsi="宋体" w:cs="Arial"/>
          <w:color w:val="auto"/>
          <w:sz w:val="24"/>
          <w:highlight w:val="none"/>
          <w:u w:val="single"/>
        </w:rPr>
        <w:t xml:space="preserve">  (项目名称)   </w:t>
      </w:r>
      <w:r>
        <w:rPr>
          <w:rFonts w:ascii="宋体" w:hAnsi="宋体" w:cs="Arial"/>
          <w:color w:val="auto"/>
          <w:sz w:val="24"/>
          <w:highlight w:val="none"/>
        </w:rPr>
        <w:t>中所需</w:t>
      </w:r>
      <w:r>
        <w:rPr>
          <w:rFonts w:ascii="宋体" w:hAnsi="宋体" w:cs="Arial"/>
          <w:color w:val="auto"/>
          <w:sz w:val="24"/>
          <w:highlight w:val="none"/>
          <w:u w:val="single"/>
        </w:rPr>
        <w:t xml:space="preserve">  (货物名称) </w:t>
      </w:r>
      <w:r>
        <w:rPr>
          <w:rFonts w:ascii="宋体" w:hAnsi="宋体" w:cs="Arial"/>
          <w:color w:val="auto"/>
          <w:sz w:val="24"/>
          <w:highlight w:val="none"/>
        </w:rPr>
        <w:t>经中招国际招标有限公司以</w:t>
      </w:r>
      <w:r>
        <w:rPr>
          <w:rFonts w:ascii="宋体" w:hAnsi="宋体" w:cs="Arial"/>
          <w:color w:val="auto"/>
          <w:sz w:val="24"/>
          <w:highlight w:val="none"/>
          <w:u w:val="single"/>
        </w:rPr>
        <w:t xml:space="preserve"> （招标编号）  </w:t>
      </w:r>
      <w:r>
        <w:rPr>
          <w:rFonts w:ascii="宋体" w:hAnsi="宋体" w:cs="Arial"/>
          <w:color w:val="auto"/>
          <w:sz w:val="24"/>
          <w:highlight w:val="none"/>
        </w:rPr>
        <w:t>招标文件在国内公开招标。经评定，卖方</w:t>
      </w:r>
      <w:r>
        <w:rPr>
          <w:rFonts w:ascii="宋体" w:hAnsi="宋体" w:cs="Arial"/>
          <w:color w:val="auto"/>
          <w:sz w:val="24"/>
          <w:highlight w:val="none"/>
          <w:u w:val="single"/>
        </w:rPr>
        <w:t xml:space="preserve">           </w:t>
      </w:r>
      <w:r>
        <w:rPr>
          <w:rFonts w:ascii="宋体" w:hAnsi="宋体" w:cs="Arial"/>
          <w:color w:val="auto"/>
          <w:sz w:val="24"/>
          <w:highlight w:val="none"/>
        </w:rPr>
        <w:t>为中标供应商。买、卖双方同意按照下面的条款和条件，签署本合同。</w:t>
      </w:r>
    </w:p>
    <w:p w14:paraId="372269FC">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1、合同文件</w:t>
      </w:r>
    </w:p>
    <w:p w14:paraId="3E48CC0D">
      <w:pPr>
        <w:spacing w:line="360" w:lineRule="auto"/>
        <w:ind w:firstLine="540" w:firstLineChars="225"/>
        <w:rPr>
          <w:rFonts w:hint="eastAsia" w:ascii="宋体" w:hAnsi="宋体" w:cs="Arial"/>
          <w:color w:val="auto"/>
          <w:sz w:val="24"/>
          <w:highlight w:val="none"/>
        </w:rPr>
      </w:pPr>
      <w:r>
        <w:rPr>
          <w:rFonts w:ascii="宋体" w:hAnsi="宋体" w:cs="Arial"/>
          <w:color w:val="auto"/>
          <w:sz w:val="24"/>
          <w:highlight w:val="none"/>
        </w:rPr>
        <w:t>下列文件构成本合同的组成部分，应该认为是一个整体，彼此相互解释，相互补充。为便于解释，组成合同的多个文件的优先支配地位的次序如下：</w:t>
      </w:r>
    </w:p>
    <w:p w14:paraId="09C8F0F5">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a.</w:t>
      </w:r>
      <w:r>
        <w:rPr>
          <w:rFonts w:ascii="宋体" w:hAnsi="宋体" w:cs="Arial"/>
          <w:color w:val="auto"/>
          <w:sz w:val="24"/>
          <w:highlight w:val="none"/>
        </w:rPr>
        <w:tab/>
      </w:r>
      <w:r>
        <w:rPr>
          <w:rFonts w:ascii="宋体" w:hAnsi="宋体" w:cs="Arial"/>
          <w:color w:val="auto"/>
          <w:sz w:val="24"/>
          <w:highlight w:val="none"/>
        </w:rPr>
        <w:t>本合同书　</w:t>
      </w:r>
    </w:p>
    <w:p w14:paraId="7CD09F7F">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b.</w:t>
      </w:r>
      <w:r>
        <w:rPr>
          <w:rFonts w:ascii="宋体" w:hAnsi="宋体" w:cs="Arial"/>
          <w:color w:val="auto"/>
          <w:sz w:val="24"/>
          <w:highlight w:val="none"/>
        </w:rPr>
        <w:tab/>
      </w:r>
      <w:r>
        <w:rPr>
          <w:rFonts w:ascii="宋体" w:hAnsi="宋体" w:cs="Arial"/>
          <w:color w:val="auto"/>
          <w:sz w:val="24"/>
          <w:highlight w:val="none"/>
        </w:rPr>
        <w:t>中标通知书</w:t>
      </w:r>
    </w:p>
    <w:p w14:paraId="6A83C9B0">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c.   合同专用条款</w:t>
      </w:r>
    </w:p>
    <w:p w14:paraId="5CDD5D32">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d.   合同通用条款</w:t>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p>
    <w:p w14:paraId="334D3576">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e.</w:t>
      </w:r>
      <w:r>
        <w:rPr>
          <w:rFonts w:ascii="宋体" w:hAnsi="宋体" w:cs="Arial"/>
          <w:color w:val="auto"/>
          <w:sz w:val="24"/>
          <w:highlight w:val="none"/>
        </w:rPr>
        <w:tab/>
      </w:r>
      <w:r>
        <w:rPr>
          <w:rFonts w:ascii="宋体" w:hAnsi="宋体" w:cs="Arial"/>
          <w:color w:val="auto"/>
          <w:sz w:val="24"/>
          <w:highlight w:val="none"/>
        </w:rPr>
        <w:t>投标文件</w:t>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(含澄清文件)</w:t>
      </w:r>
    </w:p>
    <w:p w14:paraId="3408B1BB">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f.</w:t>
      </w:r>
      <w:r>
        <w:rPr>
          <w:rFonts w:ascii="宋体" w:hAnsi="宋体" w:cs="Arial"/>
          <w:color w:val="auto"/>
          <w:sz w:val="24"/>
          <w:highlight w:val="none"/>
        </w:rPr>
        <w:tab/>
      </w:r>
      <w:r>
        <w:rPr>
          <w:rFonts w:ascii="宋体" w:hAnsi="宋体" w:cs="Arial"/>
          <w:color w:val="auto"/>
          <w:sz w:val="24"/>
          <w:highlight w:val="none"/>
        </w:rPr>
        <w:t>招标文件</w:t>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(含招标文件补充通知)</w:t>
      </w:r>
    </w:p>
    <w:p w14:paraId="4C971FCF">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2、货物和数量</w:t>
      </w:r>
    </w:p>
    <w:p w14:paraId="5CAC2FF9">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本合同货物：</w:t>
      </w:r>
      <w:r>
        <w:rPr>
          <w:rFonts w:ascii="宋体" w:hAnsi="宋体" w:cs="Arial"/>
          <w:color w:val="auto"/>
          <w:sz w:val="24"/>
          <w:highlight w:val="none"/>
          <w:u w:val="single"/>
        </w:rPr>
        <w:t>　　　　　　　　　　　　</w:t>
      </w:r>
    </w:p>
    <w:p w14:paraId="54B95340">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数量：</w:t>
      </w:r>
      <w:r>
        <w:rPr>
          <w:rFonts w:ascii="宋体" w:hAnsi="宋体" w:cs="Arial"/>
          <w:color w:val="auto"/>
          <w:sz w:val="24"/>
          <w:highlight w:val="none"/>
          <w:u w:val="single"/>
        </w:rPr>
        <w:t>　　　　　　　　　　　　　　　</w:t>
      </w:r>
    </w:p>
    <w:p w14:paraId="64BB9863">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3、合同总价</w:t>
      </w:r>
    </w:p>
    <w:p w14:paraId="0BD1FB83">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本合同总价为</w:t>
      </w:r>
      <w:r>
        <w:rPr>
          <w:rFonts w:ascii="宋体" w:hAnsi="宋体" w:cs="Arial"/>
          <w:color w:val="auto"/>
          <w:sz w:val="24"/>
          <w:highlight w:val="none"/>
          <w:u w:val="single"/>
        </w:rPr>
        <w:t xml:space="preserve">    　　   </w:t>
      </w:r>
      <w:r>
        <w:rPr>
          <w:rFonts w:ascii="宋体" w:hAnsi="宋体" w:cs="Arial"/>
          <w:color w:val="auto"/>
          <w:sz w:val="24"/>
          <w:highlight w:val="none"/>
        </w:rPr>
        <w:t>元人民币。</w:t>
      </w:r>
    </w:p>
    <w:p w14:paraId="11AA9980">
      <w:pPr>
        <w:spacing w:line="360" w:lineRule="auto"/>
        <w:ind w:left="1080" w:leftChars="257" w:hanging="540"/>
        <w:rPr>
          <w:rFonts w:hint="eastAsia" w:ascii="宋体" w:hAnsi="宋体" w:cs="Arial"/>
          <w:color w:val="auto"/>
          <w:sz w:val="24"/>
          <w:highlight w:val="none"/>
          <w:u w:val="single"/>
        </w:rPr>
      </w:pPr>
      <w:r>
        <w:rPr>
          <w:rFonts w:ascii="宋体" w:hAnsi="宋体" w:cs="Arial"/>
          <w:color w:val="auto"/>
          <w:sz w:val="24"/>
          <w:highlight w:val="none"/>
        </w:rPr>
        <w:t>分项价格：</w:t>
      </w:r>
      <w:r>
        <w:rPr>
          <w:rFonts w:ascii="宋体" w:hAnsi="宋体" w:cs="Arial"/>
          <w:color w:val="auto"/>
          <w:sz w:val="24"/>
          <w:highlight w:val="none"/>
          <w:u w:val="single"/>
        </w:rPr>
        <w:t>　　　　　　　　　　　　</w:t>
      </w:r>
    </w:p>
    <w:p w14:paraId="58CF6CDC">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4、付款方式</w:t>
      </w:r>
    </w:p>
    <w:p w14:paraId="289017F4">
      <w:pPr>
        <w:spacing w:line="360" w:lineRule="auto"/>
        <w:ind w:left="1080" w:leftChars="257" w:hanging="540"/>
        <w:rPr>
          <w:rFonts w:hint="eastAsia" w:ascii="宋体" w:hAnsi="宋体" w:cs="Arial"/>
          <w:color w:val="auto"/>
          <w:sz w:val="24"/>
          <w:highlight w:val="none"/>
          <w:u w:val="single"/>
        </w:rPr>
      </w:pPr>
      <w:r>
        <w:rPr>
          <w:rFonts w:ascii="宋体" w:hAnsi="宋体" w:cs="Arial"/>
          <w:color w:val="auto"/>
          <w:sz w:val="24"/>
          <w:highlight w:val="none"/>
        </w:rPr>
        <w:t>本合同的付款方式为：</w:t>
      </w:r>
      <w:r>
        <w:rPr>
          <w:rFonts w:hint="eastAsia" w:ascii="宋体" w:hAnsi="宋体" w:cs="Arial"/>
          <w:color w:val="auto"/>
          <w:sz w:val="24"/>
          <w:highlight w:val="none"/>
          <w:u w:val="single"/>
        </w:rPr>
        <w:t>买方基于财政资金拨付情况向卖方履行付款义务，卖方应同时向买方提交合同总金额10%的履约保函，有效期至签订合同之日起12个月。</w:t>
      </w:r>
    </w:p>
    <w:p w14:paraId="3AF3B1ED">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5、本合同货物的交货时间及交货地点</w:t>
      </w:r>
    </w:p>
    <w:p w14:paraId="31FD931C">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交货时间：</w:t>
      </w:r>
      <w:r>
        <w:rPr>
          <w:rFonts w:hint="eastAsia" w:ascii="宋体" w:hAnsi="宋体" w:cs="Arial"/>
          <w:color w:val="auto"/>
          <w:sz w:val="24"/>
          <w:highlight w:val="none"/>
        </w:rPr>
        <w:t>合同签订后90交货</w:t>
      </w:r>
    </w:p>
    <w:p w14:paraId="680173FC">
      <w:pPr>
        <w:spacing w:line="360" w:lineRule="auto"/>
        <w:ind w:left="1080" w:leftChars="257" w:hanging="540"/>
        <w:rPr>
          <w:rFonts w:hint="eastAsia" w:ascii="宋体" w:hAnsi="宋体" w:cs="Arial"/>
          <w:color w:val="auto"/>
          <w:sz w:val="24"/>
          <w:highlight w:val="none"/>
        </w:rPr>
      </w:pPr>
      <w:r>
        <w:rPr>
          <w:rFonts w:ascii="宋体" w:hAnsi="宋体" w:cs="Arial"/>
          <w:color w:val="auto"/>
          <w:sz w:val="24"/>
          <w:highlight w:val="none"/>
        </w:rPr>
        <w:t>交货地点：</w:t>
      </w:r>
      <w:r>
        <w:rPr>
          <w:rFonts w:hint="eastAsia" w:ascii="宋体" w:hAnsi="宋体" w:cs="Arial"/>
          <w:color w:val="auto"/>
          <w:sz w:val="24"/>
          <w:highlight w:val="none"/>
        </w:rPr>
        <w:t>首都医科大学宣武医院</w:t>
      </w:r>
    </w:p>
    <w:p w14:paraId="1ACB6A15">
      <w:pPr>
        <w:spacing w:line="360" w:lineRule="auto"/>
        <w:ind w:left="1080" w:leftChars="257" w:hanging="540"/>
        <w:rPr>
          <w:rFonts w:hint="eastAsia" w:ascii="宋体" w:hAnsi="宋体" w:cs="Arial"/>
          <w:b/>
          <w:color w:val="auto"/>
          <w:sz w:val="24"/>
          <w:highlight w:val="none"/>
        </w:rPr>
      </w:pPr>
      <w:r>
        <w:rPr>
          <w:rFonts w:ascii="宋体" w:hAnsi="宋体" w:cs="Arial"/>
          <w:b/>
          <w:color w:val="auto"/>
          <w:sz w:val="24"/>
          <w:highlight w:val="none"/>
        </w:rPr>
        <w:t>6合同的生效。</w:t>
      </w:r>
    </w:p>
    <w:p w14:paraId="08B171D0">
      <w:pPr>
        <w:spacing w:line="360" w:lineRule="auto"/>
        <w:ind w:firstLine="540"/>
        <w:rPr>
          <w:rFonts w:hint="eastAsia" w:ascii="宋体" w:hAnsi="宋体" w:cs="Arial"/>
          <w:color w:val="auto"/>
          <w:sz w:val="24"/>
          <w:highlight w:val="none"/>
        </w:rPr>
      </w:pPr>
      <w:r>
        <w:rPr>
          <w:rFonts w:ascii="宋体" w:hAnsi="宋体" w:cs="Arial"/>
          <w:color w:val="auto"/>
          <w:sz w:val="24"/>
          <w:highlight w:val="none"/>
        </w:rPr>
        <w:t>本合同经双方全权代表签署、加盖单位印章并由卖方递交履约保证金后生效。</w:t>
      </w:r>
    </w:p>
    <w:p w14:paraId="1A67E54C">
      <w:pPr>
        <w:spacing w:line="360" w:lineRule="auto"/>
        <w:ind w:left="1080" w:leftChars="257" w:hanging="540"/>
        <w:rPr>
          <w:rFonts w:hint="eastAsia" w:ascii="宋体" w:hAnsi="宋体" w:cs="Arial"/>
          <w:color w:val="auto"/>
          <w:sz w:val="24"/>
          <w:highlight w:val="none"/>
        </w:rPr>
      </w:pPr>
    </w:p>
    <w:p w14:paraId="1ED458F2">
      <w:pPr>
        <w:spacing w:line="360" w:lineRule="auto"/>
        <w:ind w:left="975" w:leftChars="207" w:hanging="540"/>
        <w:rPr>
          <w:rFonts w:hint="eastAsia" w:ascii="宋体" w:hAnsi="宋体" w:cs="Arial"/>
          <w:color w:val="auto"/>
          <w:sz w:val="24"/>
          <w:highlight w:val="none"/>
          <w:u w:val="single"/>
        </w:rPr>
      </w:pPr>
      <w:r>
        <w:rPr>
          <w:rFonts w:ascii="宋体" w:hAnsi="宋体" w:cs="Arial"/>
          <w:color w:val="auto"/>
          <w:sz w:val="24"/>
          <w:highlight w:val="none"/>
        </w:rPr>
        <w:t>　买  　方：</w:t>
      </w:r>
      <w:r>
        <w:rPr>
          <w:rFonts w:ascii="宋体" w:hAnsi="宋体" w:cs="Arial"/>
          <w:color w:val="auto"/>
          <w:sz w:val="24"/>
          <w:highlight w:val="none"/>
          <w:u w:val="single"/>
        </w:rPr>
        <w:t xml:space="preserve">                 </w:t>
      </w:r>
      <w:r>
        <w:rPr>
          <w:rFonts w:ascii="宋体" w:hAnsi="宋体" w:cs="Arial"/>
          <w:color w:val="auto"/>
          <w:sz w:val="24"/>
          <w:highlight w:val="none"/>
        </w:rPr>
        <w:t xml:space="preserve">      卖　  方：</w:t>
      </w:r>
      <w:r>
        <w:rPr>
          <w:rFonts w:ascii="宋体" w:hAnsi="宋体" w:cs="Arial"/>
          <w:color w:val="auto"/>
          <w:sz w:val="24"/>
          <w:highlight w:val="none"/>
          <w:u w:val="single"/>
        </w:rPr>
        <w:t xml:space="preserve">                  </w:t>
      </w:r>
    </w:p>
    <w:p w14:paraId="53650891">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名　  称：(印章)</w:t>
      </w:r>
      <w:r>
        <w:rPr>
          <w:rFonts w:ascii="宋体" w:hAnsi="宋体" w:cs="Arial"/>
          <w:color w:val="auto"/>
          <w:sz w:val="24"/>
          <w:highlight w:val="none"/>
          <w:u w:val="single"/>
        </w:rPr>
        <w:t>　　　  　</w:t>
      </w:r>
      <w:r>
        <w:rPr>
          <w:rFonts w:ascii="宋体" w:hAnsi="宋体" w:cs="Arial"/>
          <w:color w:val="auto"/>
          <w:sz w:val="24"/>
          <w:highlight w:val="none"/>
        </w:rPr>
        <w:t>　     名　  称：(印章)</w:t>
      </w:r>
      <w:r>
        <w:rPr>
          <w:rFonts w:ascii="宋体" w:hAnsi="宋体" w:cs="Arial"/>
          <w:color w:val="auto"/>
          <w:sz w:val="24"/>
          <w:highlight w:val="none"/>
          <w:u w:val="single"/>
        </w:rPr>
        <w:t xml:space="preserve">            </w:t>
      </w:r>
    </w:p>
    <w:p w14:paraId="6606758B">
      <w:pPr>
        <w:spacing w:line="360" w:lineRule="auto"/>
        <w:ind w:left="1079" w:leftChars="314" w:hanging="420" w:hangingChars="175"/>
        <w:rPr>
          <w:rFonts w:hint="eastAsia" w:ascii="宋体" w:hAnsi="宋体" w:cs="Arial"/>
          <w:color w:val="auto"/>
          <w:sz w:val="24"/>
          <w:highlight w:val="none"/>
          <w:u w:val="single"/>
        </w:rPr>
      </w:pPr>
      <w:r>
        <w:rPr>
          <w:rFonts w:ascii="宋体" w:hAnsi="宋体" w:cs="Arial"/>
          <w:color w:val="auto"/>
          <w:sz w:val="24"/>
          <w:highlight w:val="none"/>
        </w:rPr>
        <w:t>日    期：</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　　   日    期：</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20D851A8">
      <w:pPr>
        <w:spacing w:line="360" w:lineRule="auto"/>
        <w:ind w:firstLine="240" w:firstLineChars="100"/>
        <w:rPr>
          <w:rFonts w:hint="eastAsia" w:ascii="宋体" w:hAnsi="宋体" w:cs="Arial"/>
          <w:color w:val="auto"/>
          <w:sz w:val="24"/>
          <w:highlight w:val="none"/>
          <w:u w:val="single"/>
        </w:rPr>
      </w:pPr>
      <w:r>
        <w:rPr>
          <w:rFonts w:ascii="宋体" w:hAnsi="宋体" w:cs="Arial"/>
          <w:color w:val="auto"/>
          <w:sz w:val="24"/>
          <w:highlight w:val="none"/>
        </w:rPr>
        <w:t>　　授权代表(签字)：</w:t>
      </w:r>
      <w:r>
        <w:rPr>
          <w:rFonts w:ascii="宋体" w:hAnsi="宋体" w:cs="Arial"/>
          <w:color w:val="auto"/>
          <w:sz w:val="24"/>
          <w:highlight w:val="none"/>
          <w:u w:val="single"/>
        </w:rPr>
        <w:t xml:space="preserve">          </w:t>
      </w:r>
      <w:r>
        <w:rPr>
          <w:rFonts w:ascii="宋体" w:hAnsi="宋体" w:cs="Arial"/>
          <w:color w:val="auto"/>
          <w:sz w:val="24"/>
          <w:highlight w:val="none"/>
        </w:rPr>
        <w:tab/>
      </w:r>
      <w:r>
        <w:rPr>
          <w:rFonts w:ascii="宋体" w:hAnsi="宋体" w:cs="Arial"/>
          <w:color w:val="auto"/>
          <w:sz w:val="24"/>
          <w:highlight w:val="none"/>
        </w:rPr>
        <w:t xml:space="preserve">       授权代表(签字)：</w:t>
      </w:r>
      <w:r>
        <w:rPr>
          <w:rFonts w:ascii="宋体" w:hAnsi="宋体" w:cs="Arial"/>
          <w:color w:val="auto"/>
          <w:sz w:val="24"/>
          <w:highlight w:val="none"/>
          <w:u w:val="single"/>
        </w:rPr>
        <w:t xml:space="preserve">            </w:t>
      </w:r>
    </w:p>
    <w:p w14:paraId="25C14CAF">
      <w:pPr>
        <w:spacing w:line="360" w:lineRule="auto"/>
        <w:ind w:left="622" w:leftChars="96" w:hanging="420" w:hangingChars="175"/>
        <w:rPr>
          <w:rFonts w:hint="eastAsia" w:ascii="宋体" w:hAnsi="宋体" w:cs="Arial"/>
          <w:color w:val="auto"/>
          <w:sz w:val="24"/>
          <w:highlight w:val="none"/>
          <w:u w:val="single"/>
        </w:rPr>
      </w:pPr>
      <w:r>
        <w:rPr>
          <w:rFonts w:ascii="宋体" w:hAnsi="宋体" w:cs="Arial"/>
          <w:color w:val="auto"/>
          <w:sz w:val="24"/>
          <w:highlight w:val="none"/>
        </w:rPr>
        <w:t>　　地　　址：</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地　　址：</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03A7A753">
      <w:pPr>
        <w:spacing w:line="360" w:lineRule="auto"/>
        <w:ind w:left="661" w:leftChars="115" w:hanging="420" w:hangingChars="175"/>
        <w:rPr>
          <w:rFonts w:hint="eastAsia" w:ascii="宋体" w:hAnsi="宋体" w:cs="Arial"/>
          <w:color w:val="auto"/>
          <w:sz w:val="24"/>
          <w:highlight w:val="none"/>
          <w:u w:val="single"/>
        </w:rPr>
      </w:pPr>
      <w:r>
        <w:rPr>
          <w:rFonts w:ascii="宋体" w:hAnsi="宋体" w:cs="Arial"/>
          <w:color w:val="auto"/>
          <w:sz w:val="24"/>
          <w:highlight w:val="none"/>
        </w:rPr>
        <w:t>　　邮政编码：</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邮政编码：</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51CAD525">
      <w:pPr>
        <w:spacing w:line="360" w:lineRule="auto"/>
        <w:ind w:left="683" w:leftChars="125" w:hanging="420" w:hangingChars="175"/>
        <w:rPr>
          <w:rFonts w:hint="eastAsia" w:ascii="宋体" w:hAnsi="宋体" w:cs="Arial"/>
          <w:color w:val="auto"/>
          <w:sz w:val="24"/>
          <w:highlight w:val="none"/>
          <w:u w:val="single"/>
        </w:rPr>
      </w:pPr>
      <w:r>
        <w:rPr>
          <w:rFonts w:ascii="宋体" w:hAnsi="宋体" w:cs="Arial"/>
          <w:color w:val="auto"/>
          <w:sz w:val="24"/>
          <w:highlight w:val="none"/>
        </w:rPr>
        <w:t>　  电　　话：</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电　　话：</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6D5FDCE8">
      <w:pPr>
        <w:spacing w:line="360" w:lineRule="auto"/>
        <w:ind w:firstLine="720" w:firstLineChars="300"/>
        <w:rPr>
          <w:rFonts w:hint="eastAsia" w:ascii="宋体" w:hAnsi="宋体" w:cs="Arial"/>
          <w:color w:val="auto"/>
          <w:sz w:val="24"/>
          <w:highlight w:val="none"/>
          <w:u w:val="single"/>
        </w:rPr>
      </w:pPr>
      <w:r>
        <w:rPr>
          <w:rFonts w:ascii="宋体" w:hAnsi="宋体" w:cs="Arial"/>
          <w:color w:val="auto"/>
          <w:sz w:val="24"/>
          <w:highlight w:val="none"/>
        </w:rPr>
        <w:t>开户银行：</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开户银行：</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11AAA2C6">
      <w:pPr>
        <w:spacing w:line="360" w:lineRule="auto"/>
        <w:ind w:firstLine="720" w:firstLineChars="300"/>
        <w:rPr>
          <w:rFonts w:hint="eastAsia" w:ascii="宋体" w:hAnsi="宋体" w:cs="Arial"/>
          <w:color w:val="auto"/>
          <w:sz w:val="24"/>
          <w:highlight w:val="none"/>
          <w:u w:val="single"/>
        </w:rPr>
      </w:pPr>
      <w:r>
        <w:rPr>
          <w:rFonts w:ascii="宋体" w:hAnsi="宋体" w:cs="Arial"/>
          <w:color w:val="auto"/>
          <w:sz w:val="24"/>
          <w:highlight w:val="none"/>
        </w:rPr>
        <w:t>帐　　号：</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r>
        <w:rPr>
          <w:rFonts w:ascii="宋体" w:hAnsi="宋体" w:cs="Arial"/>
          <w:color w:val="auto"/>
          <w:sz w:val="24"/>
          <w:highlight w:val="none"/>
        </w:rPr>
        <w:tab/>
      </w:r>
      <w:r>
        <w:rPr>
          <w:rFonts w:ascii="宋体" w:hAnsi="宋体" w:cs="Arial"/>
          <w:color w:val="auto"/>
          <w:sz w:val="24"/>
          <w:highlight w:val="none"/>
        </w:rPr>
        <w:tab/>
      </w:r>
      <w:r>
        <w:rPr>
          <w:rFonts w:ascii="宋体" w:hAnsi="宋体" w:cs="Arial"/>
          <w:color w:val="auto"/>
          <w:sz w:val="24"/>
          <w:highlight w:val="none"/>
        </w:rPr>
        <w:t>帐　　号：</w:t>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ab/>
      </w:r>
      <w:r>
        <w:rPr>
          <w:rFonts w:ascii="宋体" w:hAnsi="宋体" w:cs="Arial"/>
          <w:color w:val="auto"/>
          <w:sz w:val="24"/>
          <w:highlight w:val="none"/>
          <w:u w:val="single"/>
        </w:rPr>
        <w:t xml:space="preserve">       </w:t>
      </w:r>
      <w:r>
        <w:rPr>
          <w:rFonts w:ascii="宋体" w:hAnsi="宋体" w:cs="Arial"/>
          <w:color w:val="auto"/>
          <w:sz w:val="24"/>
          <w:highlight w:val="none"/>
          <w:u w:val="single"/>
        </w:rPr>
        <w:tab/>
      </w:r>
    </w:p>
    <w:p w14:paraId="5A334E62">
      <w:pPr>
        <w:pStyle w:val="7"/>
        <w:tabs>
          <w:tab w:val="left" w:pos="900"/>
        </w:tabs>
        <w:spacing w:before="0" w:after="0" w:line="360" w:lineRule="auto"/>
        <w:jc w:val="center"/>
        <w:rPr>
          <w:rFonts w:hint="eastAsia" w:hAnsi="宋体" w:cs="Arial"/>
          <w:color w:val="auto"/>
          <w:szCs w:val="24"/>
          <w:highlight w:val="none"/>
          <w:u w:val="none"/>
        </w:rPr>
      </w:pPr>
      <w:r>
        <w:rPr>
          <w:rFonts w:hAnsi="宋体" w:cs="Arial"/>
          <w:color w:val="auto"/>
          <w:highlight w:val="none"/>
        </w:rPr>
        <w:br w:type="page"/>
      </w:r>
      <w:bookmarkStart w:id="838" w:name="_Toc220229432"/>
      <w:bookmarkStart w:id="839" w:name="_Toc218935353"/>
      <w:bookmarkStart w:id="840" w:name="_Toc219175637"/>
      <w:r>
        <w:rPr>
          <w:rFonts w:hAnsi="宋体" w:cs="Arial"/>
          <w:color w:val="auto"/>
          <w:szCs w:val="24"/>
          <w:highlight w:val="none"/>
          <w:u w:val="none"/>
        </w:rPr>
        <w:t>合同专用条款</w:t>
      </w:r>
      <w:bookmarkEnd w:id="838"/>
      <w:bookmarkEnd w:id="839"/>
      <w:bookmarkEnd w:id="840"/>
    </w:p>
    <w:p w14:paraId="7D52F83D">
      <w:pPr>
        <w:spacing w:line="360" w:lineRule="auto"/>
        <w:rPr>
          <w:rFonts w:hint="eastAsia" w:ascii="宋体" w:hAnsi="宋体" w:cs="Arial"/>
          <w:color w:val="auto"/>
          <w:highlight w:val="none"/>
        </w:rPr>
      </w:pPr>
    </w:p>
    <w:p w14:paraId="730A38EA">
      <w:pPr>
        <w:spacing w:line="360" w:lineRule="auto"/>
        <w:ind w:left="-540" w:leftChars="-257" w:firstLine="660" w:firstLineChars="275"/>
        <w:rPr>
          <w:rFonts w:hint="eastAsia" w:ascii="宋体" w:hAnsi="宋体" w:cs="Arial"/>
          <w:color w:val="auto"/>
          <w:sz w:val="24"/>
          <w:highlight w:val="none"/>
        </w:rPr>
      </w:pPr>
      <w:r>
        <w:rPr>
          <w:rFonts w:ascii="宋体" w:hAnsi="宋体" w:cs="Arial"/>
          <w:color w:val="auto"/>
          <w:sz w:val="24"/>
          <w:highlight w:val="none"/>
        </w:rPr>
        <w:t>合同专用条款是合同一般条款的补充和修改。如果两者之间有抵触，应以特殊条款为准。合同特殊条款的序号将与合同一般条款序号相对应。</w:t>
      </w:r>
    </w:p>
    <w:p w14:paraId="6A36537B">
      <w:pPr>
        <w:spacing w:line="360" w:lineRule="auto"/>
        <w:ind w:left="181"/>
        <w:rPr>
          <w:rFonts w:hint="eastAsia" w:ascii="宋体" w:hAnsi="宋体" w:cs="Arial"/>
          <w:color w:val="auto"/>
          <w:sz w:val="24"/>
          <w:highlight w:val="none"/>
        </w:rPr>
      </w:pPr>
      <w:r>
        <w:rPr>
          <w:rFonts w:ascii="宋体" w:hAnsi="宋体" w:cs="Arial"/>
          <w:color w:val="auto"/>
          <w:sz w:val="24"/>
          <w:highlight w:val="none"/>
        </w:rPr>
        <w:t>1、定义</w:t>
      </w:r>
    </w:p>
    <w:p w14:paraId="412D73DE">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1.5 买方：本合同买方系指：</w:t>
      </w:r>
      <w:r>
        <w:rPr>
          <w:rFonts w:ascii="宋体" w:hAnsi="宋体" w:cs="Arial"/>
          <w:color w:val="auto"/>
          <w:sz w:val="24"/>
          <w:highlight w:val="none"/>
          <w:u w:val="single"/>
        </w:rPr>
        <w:t>　首都医科大学宣武医院　</w:t>
      </w:r>
      <w:r>
        <w:rPr>
          <w:rFonts w:ascii="宋体" w:hAnsi="宋体" w:cs="Arial"/>
          <w:color w:val="auto"/>
          <w:sz w:val="24"/>
          <w:highlight w:val="none"/>
        </w:rPr>
        <w:t>。</w:t>
      </w:r>
    </w:p>
    <w:p w14:paraId="07C2F1DB">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1.6 卖方：本合同买方系指：</w:t>
      </w:r>
      <w:r>
        <w:rPr>
          <w:rFonts w:ascii="宋体" w:hAnsi="宋体" w:cs="Arial"/>
          <w:color w:val="auto"/>
          <w:sz w:val="24"/>
          <w:highlight w:val="none"/>
          <w:u w:val="single"/>
        </w:rPr>
        <w:t>　　　　本项目中标人　　　　　　</w:t>
      </w:r>
      <w:r>
        <w:rPr>
          <w:rFonts w:ascii="宋体" w:hAnsi="宋体" w:cs="Arial"/>
          <w:color w:val="auto"/>
          <w:sz w:val="24"/>
          <w:highlight w:val="none"/>
        </w:rPr>
        <w:t>。</w:t>
      </w:r>
    </w:p>
    <w:p w14:paraId="5CC508BE">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1.7 现场：本合同项下的货物安装和运行地点位于：</w:t>
      </w:r>
      <w:r>
        <w:rPr>
          <w:rFonts w:ascii="宋体" w:hAnsi="宋体" w:cs="Arial"/>
          <w:color w:val="auto"/>
          <w:sz w:val="24"/>
          <w:highlight w:val="none"/>
          <w:u w:val="single"/>
        </w:rPr>
        <w:t>用户指定</w:t>
      </w:r>
      <w:r>
        <w:rPr>
          <w:rFonts w:ascii="宋体" w:hAnsi="宋体" w:cs="Arial"/>
          <w:color w:val="auto"/>
          <w:sz w:val="24"/>
          <w:highlight w:val="none"/>
        </w:rPr>
        <w:t>。</w:t>
      </w:r>
    </w:p>
    <w:p w14:paraId="0DED44FB">
      <w:pPr>
        <w:spacing w:line="360" w:lineRule="auto"/>
        <w:ind w:left="29" w:leftChars="14" w:firstLine="152"/>
        <w:rPr>
          <w:rFonts w:hint="eastAsia" w:ascii="宋体" w:hAnsi="宋体" w:cs="Arial"/>
          <w:color w:val="auto"/>
          <w:sz w:val="24"/>
          <w:highlight w:val="none"/>
        </w:rPr>
      </w:pPr>
      <w:r>
        <w:rPr>
          <w:rFonts w:ascii="宋体" w:hAnsi="宋体" w:cs="Arial"/>
          <w:color w:val="auto"/>
          <w:sz w:val="24"/>
          <w:highlight w:val="none"/>
        </w:rPr>
        <w:t>4、包装及运费：货物运输符合的相关国际惯例，货物运达所产生的费用由乙方负责。运输途中的货物破损及损失风险由乙方承担，乙方承担运费。</w:t>
      </w:r>
    </w:p>
    <w:p w14:paraId="627C107F">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6、交货方式</w:t>
      </w:r>
    </w:p>
    <w:p w14:paraId="4C91C4A2">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6.1　本合同项下的货物交货方式为：</w:t>
      </w:r>
      <w:r>
        <w:rPr>
          <w:rFonts w:hint="eastAsia" w:ascii="宋体" w:hAnsi="宋体" w:cs="Arial"/>
          <w:color w:val="auto"/>
          <w:sz w:val="24"/>
          <w:highlight w:val="none"/>
          <w:u w:val="single"/>
        </w:rPr>
        <w:t>现场交货</w:t>
      </w:r>
      <w:r>
        <w:rPr>
          <w:rFonts w:ascii="宋体" w:hAnsi="宋体" w:cs="Arial"/>
          <w:color w:val="auto"/>
          <w:sz w:val="24"/>
          <w:highlight w:val="none"/>
        </w:rPr>
        <w:t>。</w:t>
      </w:r>
    </w:p>
    <w:p w14:paraId="0F31554B">
      <w:pPr>
        <w:spacing w:line="360" w:lineRule="auto"/>
        <w:ind w:left="178" w:leftChars="85"/>
        <w:rPr>
          <w:rFonts w:hint="eastAsia" w:ascii="宋体" w:hAnsi="宋体" w:cs="Arial"/>
          <w:color w:val="auto"/>
          <w:sz w:val="24"/>
          <w:highlight w:val="none"/>
        </w:rPr>
      </w:pPr>
      <w:r>
        <w:rPr>
          <w:rFonts w:ascii="宋体" w:hAnsi="宋体" w:cs="Arial"/>
          <w:color w:val="auto"/>
          <w:sz w:val="24"/>
          <w:highlight w:val="none"/>
        </w:rPr>
        <w:t>6.2  卖方应在货物发出</w:t>
      </w:r>
      <w:r>
        <w:rPr>
          <w:rFonts w:ascii="宋体" w:hAnsi="宋体" w:cs="Arial"/>
          <w:color w:val="auto"/>
          <w:sz w:val="24"/>
          <w:highlight w:val="none"/>
          <w:u w:val="single"/>
        </w:rPr>
        <w:t xml:space="preserve">    </w:t>
      </w:r>
      <w:r>
        <w:rPr>
          <w:rFonts w:ascii="宋体" w:hAnsi="宋体" w:cs="Arial"/>
          <w:color w:val="auto"/>
          <w:sz w:val="24"/>
          <w:highlight w:val="none"/>
        </w:rPr>
        <w:t>天前以电报或传真形式将合同号、货物名称、数量、包装箱件数、总毛重、总体积(立方米)和备妥交货日期通知买方。</w:t>
      </w:r>
    </w:p>
    <w:p w14:paraId="72A1DAEF">
      <w:pPr>
        <w:pStyle w:val="20"/>
        <w:ind w:firstLine="0"/>
        <w:rPr>
          <w:rFonts w:hint="eastAsia" w:ascii="宋体" w:hAnsi="宋体" w:cs="Arial"/>
          <w:color w:val="auto"/>
          <w:sz w:val="24"/>
          <w:highlight w:val="none"/>
          <w:u w:val="single"/>
        </w:rPr>
      </w:pPr>
      <w:r>
        <w:rPr>
          <w:rFonts w:ascii="宋体" w:hAnsi="宋体" w:cs="Arial"/>
          <w:color w:val="auto"/>
          <w:highlight w:val="none"/>
        </w:rPr>
        <w:t>8、付款方式：</w:t>
      </w:r>
      <w:r>
        <w:rPr>
          <w:rFonts w:hint="eastAsia" w:ascii="宋体" w:hAnsi="宋体" w:cs="Arial"/>
          <w:color w:val="auto"/>
          <w:sz w:val="24"/>
          <w:highlight w:val="none"/>
          <w:u w:val="single"/>
        </w:rPr>
        <w:t>买方基于财政资金拨付情况向卖方履行付款义务，卖方应同时向买方提交合同总金额10%的履约保函，有效期至签订合同之日起12个月。</w:t>
      </w:r>
    </w:p>
    <w:p w14:paraId="465907F9">
      <w:pPr>
        <w:spacing w:line="360" w:lineRule="auto"/>
        <w:ind w:left="1081" w:leftChars="86" w:hanging="900"/>
        <w:rPr>
          <w:rFonts w:hint="eastAsia" w:ascii="宋体" w:hAnsi="宋体" w:cs="Arial"/>
          <w:color w:val="auto"/>
          <w:sz w:val="24"/>
          <w:highlight w:val="none"/>
        </w:rPr>
      </w:pPr>
      <w:r>
        <w:rPr>
          <w:rFonts w:ascii="宋体" w:hAnsi="宋体" w:cs="Arial"/>
          <w:color w:val="auto"/>
          <w:sz w:val="24"/>
          <w:highlight w:val="none"/>
        </w:rPr>
        <w:t>9、技术资料</w:t>
      </w:r>
    </w:p>
    <w:p w14:paraId="6093ACC1">
      <w:pPr>
        <w:spacing w:line="360" w:lineRule="auto"/>
        <w:ind w:left="180" w:leftChars="57" w:hanging="60" w:hangingChars="25"/>
        <w:rPr>
          <w:rFonts w:hint="eastAsia" w:ascii="宋体" w:hAnsi="宋体" w:cs="Arial"/>
          <w:color w:val="auto"/>
          <w:sz w:val="24"/>
          <w:highlight w:val="none"/>
        </w:rPr>
      </w:pPr>
      <w:r>
        <w:rPr>
          <w:rFonts w:ascii="宋体" w:hAnsi="宋体" w:cs="Arial"/>
          <w:color w:val="auto"/>
          <w:sz w:val="24"/>
          <w:highlight w:val="none"/>
        </w:rPr>
        <w:t>9.1合同生效后</w:t>
      </w:r>
      <w:r>
        <w:rPr>
          <w:rFonts w:ascii="宋体" w:hAnsi="宋体" w:cs="Arial"/>
          <w:color w:val="auto"/>
          <w:sz w:val="24"/>
          <w:highlight w:val="none"/>
          <w:u w:val="single"/>
        </w:rPr>
        <w:t xml:space="preserve">     </w:t>
      </w:r>
      <w:r>
        <w:rPr>
          <w:rFonts w:ascii="宋体" w:hAnsi="宋体" w:cs="Arial"/>
          <w:color w:val="auto"/>
          <w:sz w:val="24"/>
          <w:highlight w:val="none"/>
        </w:rPr>
        <w:t>天之内，卖方应将每台设备和仪器的中文技术资料一套，如目录索引、图纸、操作手册、使用指南、维修指南和／或服务手册和示意图寄给买方。</w:t>
      </w:r>
    </w:p>
    <w:p w14:paraId="1C574507">
      <w:pPr>
        <w:spacing w:line="360" w:lineRule="auto"/>
        <w:ind w:left="178" w:leftChars="85"/>
        <w:rPr>
          <w:rFonts w:hint="eastAsia" w:ascii="宋体" w:hAnsi="宋体" w:cs="Arial"/>
          <w:color w:val="auto"/>
          <w:sz w:val="24"/>
          <w:highlight w:val="none"/>
        </w:rPr>
      </w:pPr>
      <w:r>
        <w:rPr>
          <w:rFonts w:ascii="宋体" w:hAnsi="宋体" w:cs="Arial"/>
          <w:color w:val="auto"/>
          <w:sz w:val="24"/>
          <w:highlight w:val="none"/>
        </w:rPr>
        <w:t>9.3  如果买方确认卖方提供的技术资料不完整或在运输过程中丢失，卖方将在收到买方通知后</w:t>
      </w:r>
      <w:r>
        <w:rPr>
          <w:rFonts w:ascii="宋体" w:hAnsi="宋体" w:cs="Arial"/>
          <w:color w:val="auto"/>
          <w:sz w:val="24"/>
          <w:highlight w:val="none"/>
          <w:u w:val="single"/>
        </w:rPr>
        <w:t xml:space="preserve">    </w:t>
      </w:r>
      <w:r>
        <w:rPr>
          <w:rFonts w:ascii="宋体" w:hAnsi="宋体" w:cs="Arial"/>
          <w:color w:val="auto"/>
          <w:sz w:val="24"/>
          <w:highlight w:val="none"/>
        </w:rPr>
        <w:t>天内将这些资料免费寄给买方。</w:t>
      </w:r>
    </w:p>
    <w:p w14:paraId="5AFFDA02">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10、质量保证：</w:t>
      </w:r>
    </w:p>
    <w:p w14:paraId="245B6EF9">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10.3 卖方在收到通知后</w:t>
      </w:r>
      <w:r>
        <w:rPr>
          <w:rFonts w:ascii="宋体" w:hAnsi="宋体" w:cs="Arial"/>
          <w:color w:val="auto"/>
          <w:sz w:val="24"/>
          <w:highlight w:val="none"/>
          <w:u w:val="single"/>
        </w:rPr>
        <w:t xml:space="preserve">     </w:t>
      </w:r>
      <w:r>
        <w:rPr>
          <w:rFonts w:ascii="宋体" w:hAnsi="宋体" w:cs="Arial"/>
          <w:color w:val="auto"/>
          <w:sz w:val="24"/>
          <w:highlight w:val="none"/>
        </w:rPr>
        <w:t>天内应免费维修或更换有缺陷的货物或部件。</w:t>
      </w:r>
    </w:p>
    <w:p w14:paraId="62BCFDAD">
      <w:pPr>
        <w:spacing w:line="360" w:lineRule="auto"/>
        <w:ind w:left="239" w:leftChars="114"/>
        <w:rPr>
          <w:rFonts w:hint="eastAsia" w:ascii="宋体" w:hAnsi="宋体" w:cs="Arial"/>
          <w:color w:val="auto"/>
          <w:sz w:val="24"/>
          <w:highlight w:val="none"/>
        </w:rPr>
      </w:pPr>
      <w:r>
        <w:rPr>
          <w:rFonts w:ascii="宋体" w:hAnsi="宋体" w:cs="Arial"/>
          <w:color w:val="auto"/>
          <w:sz w:val="24"/>
          <w:highlight w:val="none"/>
        </w:rPr>
        <w:t>10.4 如果卖方在收到通知后</w:t>
      </w:r>
      <w:r>
        <w:rPr>
          <w:rFonts w:ascii="宋体" w:hAnsi="宋体" w:cs="Arial"/>
          <w:color w:val="auto"/>
          <w:sz w:val="24"/>
          <w:highlight w:val="none"/>
          <w:u w:val="single"/>
        </w:rPr>
        <w:t xml:space="preserve">     </w:t>
      </w:r>
      <w:r>
        <w:rPr>
          <w:rFonts w:ascii="宋体" w:hAnsi="宋体" w:cs="Arial"/>
          <w:color w:val="auto"/>
          <w:sz w:val="24"/>
          <w:highlight w:val="none"/>
        </w:rPr>
        <w:t>天内没有弥补缺陷，买方可采取必要的补救措施，但风险和费用将由卖方承担。</w:t>
      </w:r>
    </w:p>
    <w:p w14:paraId="075CD109">
      <w:pPr>
        <w:spacing w:line="360" w:lineRule="auto"/>
        <w:ind w:left="210" w:leftChars="100"/>
        <w:rPr>
          <w:rFonts w:hint="eastAsia" w:ascii="宋体" w:hAnsi="宋体" w:cs="Arial"/>
          <w:color w:val="auto"/>
          <w:sz w:val="24"/>
          <w:highlight w:val="none"/>
        </w:rPr>
      </w:pPr>
      <w:r>
        <w:rPr>
          <w:rFonts w:ascii="宋体" w:hAnsi="宋体" w:cs="Arial"/>
          <w:color w:val="auto"/>
          <w:sz w:val="24"/>
          <w:highlight w:val="none"/>
        </w:rPr>
        <w:t>10.5合同项下货物的质量保证期：从验收合格，签发接收证书之日起不少于 个月</w:t>
      </w:r>
      <w:r>
        <w:rPr>
          <w:rFonts w:hint="eastAsia" w:ascii="宋体" w:hAnsi="宋体" w:cs="Arial"/>
          <w:color w:val="auto"/>
          <w:sz w:val="24"/>
          <w:highlight w:val="none"/>
        </w:rPr>
        <w:t>，</w:t>
      </w:r>
      <w:r>
        <w:rPr>
          <w:rFonts w:ascii="宋体" w:hAnsi="宋体" w:cs="Arial"/>
          <w:color w:val="auto"/>
          <w:sz w:val="24"/>
          <w:highlight w:val="none"/>
        </w:rPr>
        <w:t>技术规格中有具体要求的</w:t>
      </w:r>
      <w:r>
        <w:rPr>
          <w:rFonts w:hint="eastAsia" w:ascii="宋体" w:hAnsi="宋体" w:cs="Arial"/>
          <w:color w:val="auto"/>
          <w:sz w:val="24"/>
          <w:highlight w:val="none"/>
        </w:rPr>
        <w:t>，</w:t>
      </w:r>
      <w:r>
        <w:rPr>
          <w:rFonts w:ascii="宋体" w:hAnsi="宋体" w:cs="Arial"/>
          <w:color w:val="auto"/>
          <w:sz w:val="24"/>
          <w:highlight w:val="none"/>
        </w:rPr>
        <w:t>按具体要求执行</w:t>
      </w:r>
      <w:r>
        <w:rPr>
          <w:rFonts w:hint="eastAsia" w:ascii="宋体" w:hAnsi="宋体" w:cs="Arial"/>
          <w:color w:val="auto"/>
          <w:sz w:val="24"/>
          <w:highlight w:val="none"/>
        </w:rPr>
        <w:t>。</w:t>
      </w:r>
    </w:p>
    <w:p w14:paraId="0ECBEB10">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11、检验和验收：</w:t>
      </w:r>
    </w:p>
    <w:p w14:paraId="40057F68">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11.2 货物运抵现场后，买方应在</w:t>
      </w:r>
      <w:r>
        <w:rPr>
          <w:rFonts w:ascii="宋体" w:hAnsi="宋体" w:cs="Arial"/>
          <w:color w:val="auto"/>
          <w:sz w:val="24"/>
          <w:highlight w:val="none"/>
          <w:u w:val="single"/>
        </w:rPr>
        <w:t xml:space="preserve">    </w:t>
      </w:r>
      <w:r>
        <w:rPr>
          <w:rFonts w:ascii="宋体" w:hAnsi="宋体" w:cs="Arial"/>
          <w:color w:val="auto"/>
          <w:sz w:val="24"/>
          <w:highlight w:val="none"/>
        </w:rPr>
        <w:t>天内组织验收.</w:t>
      </w:r>
    </w:p>
    <w:p w14:paraId="2DF59445">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验收时间</w:t>
      </w:r>
      <w:r>
        <w:rPr>
          <w:rFonts w:ascii="宋体" w:hAnsi="宋体" w:cs="Arial"/>
          <w:color w:val="auto"/>
          <w:sz w:val="24"/>
          <w:highlight w:val="none"/>
          <w:u w:val="single"/>
        </w:rPr>
        <w:t xml:space="preserve">：        </w:t>
      </w:r>
      <w:r>
        <w:rPr>
          <w:rFonts w:ascii="宋体" w:hAnsi="宋体" w:cs="Arial"/>
          <w:color w:val="auto"/>
          <w:sz w:val="24"/>
          <w:highlight w:val="none"/>
        </w:rPr>
        <w:t>，</w:t>
      </w:r>
    </w:p>
    <w:p w14:paraId="4145EC97">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验收地点</w:t>
      </w:r>
      <w:r>
        <w:rPr>
          <w:rFonts w:ascii="宋体" w:hAnsi="宋体" w:cs="Arial"/>
          <w:color w:val="auto"/>
          <w:sz w:val="24"/>
          <w:highlight w:val="none"/>
          <w:u w:val="single"/>
        </w:rPr>
        <w:t xml:space="preserve">：            </w:t>
      </w:r>
      <w:r>
        <w:rPr>
          <w:rFonts w:ascii="宋体" w:hAnsi="宋体" w:cs="Arial"/>
          <w:color w:val="auto"/>
          <w:sz w:val="24"/>
          <w:highlight w:val="none"/>
        </w:rPr>
        <w:t>，</w:t>
      </w:r>
    </w:p>
    <w:p w14:paraId="3292284F">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验收程序</w:t>
      </w:r>
      <w:r>
        <w:rPr>
          <w:rFonts w:ascii="宋体" w:hAnsi="宋体" w:cs="Arial"/>
          <w:color w:val="auto"/>
          <w:sz w:val="24"/>
          <w:highlight w:val="none"/>
          <w:u w:val="single"/>
        </w:rPr>
        <w:t xml:space="preserve">：                              </w:t>
      </w:r>
      <w:r>
        <w:rPr>
          <w:rFonts w:ascii="宋体" w:hAnsi="宋体" w:cs="Arial"/>
          <w:color w:val="auto"/>
          <w:sz w:val="24"/>
          <w:highlight w:val="none"/>
        </w:rPr>
        <w:t>，</w:t>
      </w:r>
    </w:p>
    <w:p w14:paraId="2C21352B">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验收小组组成</w:t>
      </w:r>
      <w:r>
        <w:rPr>
          <w:rFonts w:ascii="宋体" w:hAnsi="宋体" w:cs="Arial"/>
          <w:color w:val="auto"/>
          <w:sz w:val="24"/>
          <w:highlight w:val="none"/>
          <w:u w:val="single"/>
        </w:rPr>
        <w:t xml:space="preserve">：                     </w:t>
      </w:r>
      <w:r>
        <w:rPr>
          <w:rFonts w:ascii="宋体" w:hAnsi="宋体" w:cs="Arial"/>
          <w:color w:val="auto"/>
          <w:sz w:val="24"/>
          <w:highlight w:val="none"/>
        </w:rPr>
        <w:t>。</w:t>
      </w:r>
    </w:p>
    <w:p w14:paraId="11017DA1">
      <w:pPr>
        <w:spacing w:line="360" w:lineRule="auto"/>
        <w:ind w:left="178" w:leftChars="85" w:firstLine="60" w:firstLineChars="25"/>
        <w:rPr>
          <w:rFonts w:hint="eastAsia" w:ascii="宋体" w:hAnsi="宋体" w:cs="Arial"/>
          <w:color w:val="auto"/>
          <w:sz w:val="24"/>
          <w:highlight w:val="none"/>
        </w:rPr>
      </w:pPr>
      <w:r>
        <w:rPr>
          <w:rFonts w:ascii="宋体" w:hAnsi="宋体" w:cs="Arial"/>
          <w:color w:val="auto"/>
          <w:sz w:val="24"/>
          <w:highlight w:val="none"/>
        </w:rPr>
        <w:t>验收小组制作验收备忘书，签署验收意见 。</w:t>
      </w:r>
    </w:p>
    <w:p w14:paraId="013D3626">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12、索赔：</w:t>
      </w:r>
    </w:p>
    <w:p w14:paraId="24530D2C">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12.3</w:t>
      </w:r>
      <w:r>
        <w:rPr>
          <w:rFonts w:ascii="宋体" w:hAnsi="宋体" w:cs="Arial"/>
          <w:color w:val="auto"/>
          <w:sz w:val="24"/>
          <w:highlight w:val="none"/>
        </w:rPr>
        <w:tab/>
      </w:r>
      <w:r>
        <w:rPr>
          <w:rFonts w:ascii="宋体" w:hAnsi="宋体" w:cs="Arial"/>
          <w:color w:val="auto"/>
          <w:sz w:val="24"/>
          <w:highlight w:val="none"/>
        </w:rPr>
        <w:t>索赔通知期限：</w:t>
      </w:r>
      <w:r>
        <w:rPr>
          <w:rFonts w:ascii="宋体" w:hAnsi="宋体" w:cs="Arial"/>
          <w:color w:val="auto"/>
          <w:sz w:val="24"/>
          <w:highlight w:val="none"/>
          <w:u w:val="single"/>
        </w:rPr>
        <w:t xml:space="preserve">        </w:t>
      </w:r>
      <w:r>
        <w:rPr>
          <w:rFonts w:ascii="宋体" w:hAnsi="宋体" w:cs="Arial"/>
          <w:color w:val="auto"/>
          <w:sz w:val="24"/>
          <w:highlight w:val="none"/>
        </w:rPr>
        <w:t>天。</w:t>
      </w:r>
    </w:p>
    <w:p w14:paraId="212D21C3">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15、不可抗力：</w:t>
      </w:r>
    </w:p>
    <w:p w14:paraId="5B74ED79">
      <w:pPr>
        <w:spacing w:line="360" w:lineRule="auto"/>
        <w:ind w:left="269" w:leftChars="128"/>
        <w:rPr>
          <w:rFonts w:hint="eastAsia" w:ascii="宋体" w:hAnsi="宋体" w:cs="Arial"/>
          <w:color w:val="auto"/>
          <w:sz w:val="24"/>
          <w:highlight w:val="none"/>
        </w:rPr>
      </w:pPr>
      <w:r>
        <w:rPr>
          <w:rFonts w:ascii="宋体" w:hAnsi="宋体" w:cs="Arial"/>
          <w:color w:val="auto"/>
          <w:sz w:val="24"/>
          <w:highlight w:val="none"/>
        </w:rPr>
        <w:t>15.2受事故影响的一方应在不可抗力的事故发生后尽快书面形式通知另一方，并在事故发生后</w:t>
      </w:r>
      <w:r>
        <w:rPr>
          <w:rFonts w:ascii="宋体" w:hAnsi="宋体" w:cs="Arial"/>
          <w:color w:val="auto"/>
          <w:sz w:val="24"/>
          <w:highlight w:val="none"/>
          <w:u w:val="single"/>
        </w:rPr>
        <w:t xml:space="preserve">      </w:t>
      </w:r>
      <w:r>
        <w:rPr>
          <w:rFonts w:ascii="宋体" w:hAnsi="宋体" w:cs="Arial"/>
          <w:color w:val="auto"/>
          <w:sz w:val="24"/>
          <w:highlight w:val="none"/>
        </w:rPr>
        <w:t>天内，将有关部门出具的证明文件送达另一方。</w:t>
      </w:r>
    </w:p>
    <w:p w14:paraId="2FC722EC">
      <w:pPr>
        <w:spacing w:line="360" w:lineRule="auto"/>
        <w:ind w:left="269" w:leftChars="128"/>
        <w:rPr>
          <w:rFonts w:hint="eastAsia" w:ascii="宋体" w:hAnsi="宋体" w:cs="Arial"/>
          <w:color w:val="auto"/>
          <w:sz w:val="24"/>
          <w:highlight w:val="none"/>
        </w:rPr>
      </w:pPr>
      <w:r>
        <w:rPr>
          <w:rFonts w:ascii="宋体" w:hAnsi="宋体" w:cs="Arial"/>
          <w:color w:val="auto"/>
          <w:sz w:val="24"/>
          <w:highlight w:val="none"/>
        </w:rPr>
        <w:t>15.3</w:t>
      </w:r>
      <w:r>
        <w:rPr>
          <w:rFonts w:ascii="宋体" w:hAnsi="宋体" w:cs="Arial"/>
          <w:color w:val="auto"/>
          <w:sz w:val="24"/>
          <w:highlight w:val="none"/>
        </w:rPr>
        <w:tab/>
      </w:r>
      <w:r>
        <w:rPr>
          <w:rFonts w:ascii="宋体" w:hAnsi="宋体" w:cs="Arial"/>
          <w:color w:val="auto"/>
          <w:sz w:val="24"/>
          <w:highlight w:val="none"/>
        </w:rPr>
        <w:t>不可抗力使合同的某些内容有变更必要的， 双方应通过协商在</w:t>
      </w:r>
      <w:r>
        <w:rPr>
          <w:rFonts w:ascii="宋体" w:hAnsi="宋体" w:cs="Arial"/>
          <w:color w:val="auto"/>
          <w:sz w:val="24"/>
          <w:highlight w:val="none"/>
          <w:u w:val="single"/>
        </w:rPr>
        <w:t xml:space="preserve">      </w:t>
      </w:r>
      <w:r>
        <w:rPr>
          <w:rFonts w:ascii="宋体" w:hAnsi="宋体" w:cs="Arial"/>
          <w:color w:val="auto"/>
          <w:sz w:val="24"/>
          <w:highlight w:val="none"/>
        </w:rPr>
        <w:t>天内达成进一步履行合同的协议，因不可抗力致使合同不能履行的，合同终止。</w:t>
      </w:r>
    </w:p>
    <w:p w14:paraId="05937F5F">
      <w:pPr>
        <w:spacing w:line="360" w:lineRule="auto"/>
        <w:ind w:left="810" w:leftChars="100" w:hanging="600" w:hangingChars="250"/>
        <w:rPr>
          <w:rFonts w:hint="eastAsia" w:ascii="宋体" w:hAnsi="宋体" w:cs="Arial"/>
          <w:color w:val="auto"/>
          <w:sz w:val="24"/>
          <w:highlight w:val="none"/>
        </w:rPr>
      </w:pPr>
      <w:r>
        <w:rPr>
          <w:rFonts w:ascii="宋体" w:hAnsi="宋体" w:cs="Arial"/>
          <w:color w:val="auto"/>
          <w:sz w:val="24"/>
          <w:highlight w:val="none"/>
        </w:rPr>
        <w:t>17.1因合同履行中发生的争议，合同当事人双方可通过协商解决。协商不成的，应以以下第</w:t>
      </w:r>
      <w:r>
        <w:rPr>
          <w:rFonts w:ascii="宋体" w:hAnsi="宋体" w:cs="Arial"/>
          <w:color w:val="auto"/>
          <w:sz w:val="24"/>
          <w:highlight w:val="none"/>
          <w:u w:val="single"/>
        </w:rPr>
        <w:t xml:space="preserve">  （2）  </w:t>
      </w:r>
      <w:r>
        <w:rPr>
          <w:rFonts w:ascii="宋体" w:hAnsi="宋体" w:cs="Arial"/>
          <w:color w:val="auto"/>
          <w:sz w:val="24"/>
          <w:highlight w:val="none"/>
        </w:rPr>
        <w:t>种方式解决：</w:t>
      </w:r>
    </w:p>
    <w:p w14:paraId="068A0581">
      <w:pPr>
        <w:spacing w:line="360" w:lineRule="auto"/>
        <w:ind w:left="810" w:leftChars="100" w:hanging="600" w:hangingChars="250"/>
        <w:rPr>
          <w:rFonts w:hint="eastAsia" w:ascii="宋体" w:hAnsi="宋体" w:cs="Arial"/>
          <w:color w:val="auto"/>
          <w:sz w:val="24"/>
          <w:highlight w:val="none"/>
        </w:rPr>
      </w:pPr>
      <w:r>
        <w:rPr>
          <w:rFonts w:ascii="宋体" w:hAnsi="宋体" w:cs="Arial"/>
          <w:color w:val="auto"/>
          <w:sz w:val="24"/>
          <w:highlight w:val="none"/>
        </w:rPr>
        <w:t xml:space="preserve">     （1）提请北京仲裁委员会仲裁；</w:t>
      </w:r>
    </w:p>
    <w:p w14:paraId="7801DCDC">
      <w:pPr>
        <w:spacing w:line="360" w:lineRule="auto"/>
        <w:ind w:left="735" w:leftChars="350" w:firstLine="120" w:firstLineChars="50"/>
        <w:rPr>
          <w:rFonts w:hint="eastAsia" w:ascii="宋体" w:hAnsi="宋体" w:cs="Arial"/>
          <w:color w:val="auto"/>
          <w:sz w:val="24"/>
          <w:highlight w:val="none"/>
        </w:rPr>
      </w:pPr>
      <w:bookmarkStart w:id="841" w:name="OLE_LINK6"/>
      <w:r>
        <w:rPr>
          <w:rFonts w:ascii="宋体" w:hAnsi="宋体" w:cs="Arial"/>
          <w:color w:val="auto"/>
          <w:sz w:val="24"/>
          <w:highlight w:val="none"/>
        </w:rPr>
        <w:t>（2）</w:t>
      </w:r>
      <w:bookmarkEnd w:id="841"/>
      <w:r>
        <w:rPr>
          <w:rFonts w:ascii="宋体" w:hAnsi="宋体" w:cs="Arial"/>
          <w:color w:val="auto"/>
          <w:sz w:val="24"/>
          <w:highlight w:val="none"/>
        </w:rPr>
        <w:t>向购买方住所地人民法院提起诉讼。</w:t>
      </w:r>
    </w:p>
    <w:p w14:paraId="7A82CA32">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25、履约保证金：</w:t>
      </w:r>
    </w:p>
    <w:p w14:paraId="0693DE1F">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25.1提交履约保证金的时间：签订合同后</w:t>
      </w:r>
      <w:r>
        <w:rPr>
          <w:rFonts w:ascii="宋体" w:hAnsi="宋体" w:cs="Arial"/>
          <w:color w:val="auto"/>
          <w:sz w:val="24"/>
          <w:highlight w:val="none"/>
          <w:u w:val="single"/>
        </w:rPr>
        <w:t xml:space="preserve">     </w:t>
      </w:r>
      <w:r>
        <w:rPr>
          <w:rFonts w:ascii="宋体" w:hAnsi="宋体" w:cs="Arial"/>
          <w:color w:val="auto"/>
          <w:sz w:val="24"/>
          <w:highlight w:val="none"/>
        </w:rPr>
        <w:t>天</w:t>
      </w:r>
    </w:p>
    <w:p w14:paraId="71BD0BC6">
      <w:pPr>
        <w:spacing w:line="360" w:lineRule="auto"/>
        <w:ind w:left="1079" w:leftChars="371" w:hanging="300" w:hangingChars="125"/>
        <w:rPr>
          <w:rFonts w:hint="eastAsia" w:ascii="宋体" w:hAnsi="宋体" w:cs="Arial"/>
          <w:color w:val="auto"/>
          <w:sz w:val="24"/>
          <w:highlight w:val="none"/>
          <w:bdr w:val="single" w:color="auto" w:sz="4" w:space="0"/>
        </w:rPr>
      </w:pPr>
      <w:r>
        <w:rPr>
          <w:rFonts w:ascii="宋体" w:hAnsi="宋体" w:cs="Arial"/>
          <w:color w:val="auto"/>
          <w:sz w:val="24"/>
          <w:highlight w:val="none"/>
        </w:rPr>
        <w:t>履约保证金金额：合同总价的</w:t>
      </w:r>
      <w:r>
        <w:rPr>
          <w:rFonts w:ascii="宋体" w:hAnsi="宋体" w:cs="Arial"/>
          <w:color w:val="auto"/>
          <w:sz w:val="24"/>
          <w:highlight w:val="none"/>
          <w:u w:val="single"/>
        </w:rPr>
        <w:t>　  　</w:t>
      </w:r>
      <w:r>
        <w:rPr>
          <w:rFonts w:ascii="宋体" w:hAnsi="宋体" w:cs="Arial"/>
          <w:color w:val="auto"/>
          <w:sz w:val="24"/>
          <w:highlight w:val="none"/>
        </w:rPr>
        <w:t>　</w:t>
      </w:r>
    </w:p>
    <w:p w14:paraId="7C7993D3">
      <w:pPr>
        <w:spacing w:line="360" w:lineRule="auto"/>
        <w:ind w:left="1079" w:leftChars="371" w:hanging="300" w:hangingChars="125"/>
        <w:rPr>
          <w:rFonts w:hint="eastAsia" w:ascii="宋体" w:hAnsi="宋体" w:cs="Arial"/>
          <w:color w:val="auto"/>
          <w:sz w:val="24"/>
          <w:highlight w:val="none"/>
        </w:rPr>
      </w:pPr>
      <w:r>
        <w:rPr>
          <w:rFonts w:ascii="宋体" w:hAnsi="宋体" w:cs="Arial"/>
          <w:color w:val="auto"/>
          <w:sz w:val="24"/>
          <w:highlight w:val="none"/>
        </w:rPr>
        <w:t>履约保证金形式：支票、保函</w:t>
      </w:r>
    </w:p>
    <w:p w14:paraId="5F29113E">
      <w:pPr>
        <w:spacing w:line="360" w:lineRule="auto"/>
        <w:ind w:firstLine="240" w:firstLineChars="100"/>
        <w:rPr>
          <w:rFonts w:hint="eastAsia" w:ascii="宋体" w:hAnsi="宋体" w:cs="Arial"/>
          <w:color w:val="auto"/>
          <w:sz w:val="24"/>
          <w:highlight w:val="none"/>
        </w:rPr>
      </w:pPr>
      <w:r>
        <w:rPr>
          <w:rFonts w:ascii="宋体" w:hAnsi="宋体" w:cs="Arial"/>
          <w:color w:val="auto"/>
          <w:sz w:val="24"/>
          <w:highlight w:val="none"/>
        </w:rPr>
        <w:t>26、合同生效和其它</w:t>
      </w:r>
    </w:p>
    <w:p w14:paraId="458760A6">
      <w:pPr>
        <w:pStyle w:val="15"/>
        <w:spacing w:line="360" w:lineRule="auto"/>
        <w:ind w:firstLine="240" w:firstLineChars="100"/>
        <w:rPr>
          <w:rFonts w:hint="eastAsia" w:hAnsi="宋体" w:cs="Arial"/>
          <w:color w:val="auto"/>
          <w:highlight w:val="none"/>
        </w:rPr>
      </w:pPr>
      <w:r>
        <w:rPr>
          <w:rFonts w:hAnsi="宋体" w:cs="Arial"/>
          <w:color w:val="auto"/>
          <w:highlight w:val="none"/>
        </w:rPr>
        <w:t>26.2  本合同一式</w:t>
      </w:r>
      <w:r>
        <w:rPr>
          <w:rFonts w:hAnsi="宋体" w:cs="Arial"/>
          <w:color w:val="auto"/>
          <w:highlight w:val="none"/>
          <w:u w:val="single"/>
        </w:rPr>
        <w:t>　　</w:t>
      </w:r>
      <w:r>
        <w:rPr>
          <w:rFonts w:hAnsi="宋体" w:cs="Arial"/>
          <w:color w:val="auto"/>
          <w:highlight w:val="none"/>
        </w:rPr>
        <w:t>份，具有同等法律效力。买方和卖方各执</w:t>
      </w:r>
      <w:r>
        <w:rPr>
          <w:rFonts w:hAnsi="宋体" w:cs="Arial"/>
          <w:color w:val="auto"/>
          <w:highlight w:val="none"/>
          <w:u w:val="single"/>
        </w:rPr>
        <w:t>　　</w:t>
      </w:r>
      <w:r>
        <w:rPr>
          <w:rFonts w:hAnsi="宋体" w:cs="Arial"/>
          <w:color w:val="auto"/>
          <w:highlight w:val="none"/>
        </w:rPr>
        <w:t>份。</w:t>
      </w:r>
    </w:p>
    <w:p w14:paraId="75939412">
      <w:pPr>
        <w:pStyle w:val="7"/>
        <w:tabs>
          <w:tab w:val="left" w:pos="900"/>
        </w:tabs>
        <w:spacing w:before="0" w:after="0" w:line="360" w:lineRule="auto"/>
        <w:jc w:val="center"/>
        <w:rPr>
          <w:rFonts w:hint="eastAsia" w:hAnsi="宋体" w:cs="Arial"/>
          <w:color w:val="auto"/>
          <w:szCs w:val="24"/>
          <w:highlight w:val="none"/>
          <w:u w:val="none"/>
        </w:rPr>
      </w:pPr>
      <w:r>
        <w:rPr>
          <w:rFonts w:hAnsi="宋体" w:cs="Arial"/>
          <w:color w:val="auto"/>
          <w:highlight w:val="none"/>
        </w:rPr>
        <w:br w:type="page"/>
      </w:r>
      <w:r>
        <w:rPr>
          <w:rFonts w:hint="eastAsia" w:hAnsi="宋体" w:cs="Arial"/>
          <w:color w:val="auto"/>
          <w:szCs w:val="24"/>
          <w:highlight w:val="none"/>
          <w:u w:val="none"/>
        </w:rPr>
        <w:t>合同通用条款</w:t>
      </w:r>
    </w:p>
    <w:p w14:paraId="39A47997">
      <w:pPr>
        <w:pStyle w:val="7"/>
        <w:tabs>
          <w:tab w:val="left" w:pos="900"/>
        </w:tabs>
        <w:spacing w:before="0" w:after="0" w:line="360" w:lineRule="auto"/>
        <w:rPr>
          <w:rFonts w:hint="eastAsia" w:hAnsi="宋体" w:cs="Arial"/>
          <w:color w:val="auto"/>
          <w:szCs w:val="24"/>
          <w:highlight w:val="none"/>
          <w:u w:val="none"/>
        </w:rPr>
      </w:pPr>
      <w:bookmarkStart w:id="842" w:name="_Ref467379094"/>
      <w:bookmarkStart w:id="843" w:name="_Ref467378404"/>
      <w:bookmarkStart w:id="844" w:name="_Ref467378499"/>
      <w:bookmarkStart w:id="845" w:name="_Ref467379214"/>
      <w:bookmarkStart w:id="846" w:name="_Ref467379109"/>
      <w:bookmarkStart w:id="847" w:name="_Ref467379205"/>
      <w:bookmarkStart w:id="848" w:name="_Ref467379195"/>
      <w:bookmarkStart w:id="849" w:name="_Ref467379225"/>
      <w:bookmarkStart w:id="850" w:name="_Ref467378463"/>
      <w:bookmarkStart w:id="851" w:name="_Ref467379101"/>
      <w:bookmarkStart w:id="852" w:name="_Toc487900349"/>
      <w:bookmarkStart w:id="853" w:name="_Toc508113686"/>
      <w:r>
        <w:rPr>
          <w:rFonts w:hAnsi="宋体" w:cs="Arial"/>
          <w:color w:val="auto"/>
          <w:szCs w:val="24"/>
          <w:highlight w:val="none"/>
          <w:u w:val="none"/>
        </w:rPr>
        <w:t>1．   定义</w:t>
      </w:r>
      <w:bookmarkEnd w:id="842"/>
      <w:bookmarkEnd w:id="843"/>
      <w:bookmarkEnd w:id="844"/>
      <w:bookmarkEnd w:id="845"/>
      <w:bookmarkEnd w:id="846"/>
      <w:bookmarkEnd w:id="847"/>
      <w:bookmarkEnd w:id="848"/>
      <w:bookmarkEnd w:id="849"/>
      <w:bookmarkEnd w:id="850"/>
      <w:bookmarkEnd w:id="851"/>
      <w:bookmarkEnd w:id="852"/>
      <w:bookmarkEnd w:id="853"/>
    </w:p>
    <w:p w14:paraId="75D963DA">
      <w:pPr>
        <w:spacing w:line="360" w:lineRule="auto"/>
        <w:ind w:left="898" w:leftChars="342" w:hanging="180" w:hangingChars="75"/>
        <w:rPr>
          <w:rFonts w:hint="eastAsia" w:ascii="宋体" w:hAnsi="宋体" w:cs="Arial"/>
          <w:color w:val="auto"/>
          <w:sz w:val="24"/>
          <w:highlight w:val="none"/>
        </w:rPr>
      </w:pPr>
      <w:r>
        <w:rPr>
          <w:rFonts w:ascii="宋体" w:hAnsi="宋体" w:cs="Arial"/>
          <w:color w:val="auto"/>
          <w:sz w:val="24"/>
          <w:highlight w:val="none"/>
        </w:rPr>
        <w:t>本合同中的下列术语应解释为：</w:t>
      </w:r>
    </w:p>
    <w:p w14:paraId="2FD8A5C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   “合同”系指买卖双方签署的、合同格式中载明的买卖双方所达成的协议， 包括所有的附件、附录和构成合同的其它文件。</w:t>
      </w:r>
    </w:p>
    <w:p w14:paraId="255C4EE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   “合同价”系指根据合同约定，卖方在完全履行合同义务后买方应付给卖方的价格。</w:t>
      </w:r>
    </w:p>
    <w:p w14:paraId="614BFA0A">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1.3   “货物”系指卖方根据合同约定须向买方提供的一切设备、机械、仪表、备件，包括工具、手册等其它相关资料。</w:t>
      </w:r>
    </w:p>
    <w:p w14:paraId="3AC430B8">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1.4   “服务”系指根据合同约定卖方承担与供货有关的辅助服务，如运输、保险及安装、调试、提供技术援助、培训和其他类似的服务。</w:t>
      </w:r>
    </w:p>
    <w:p w14:paraId="138DC994">
      <w:pPr>
        <w:spacing w:line="360" w:lineRule="auto"/>
        <w:ind w:left="900" w:hanging="900" w:hangingChars="375"/>
        <w:rPr>
          <w:rFonts w:hint="eastAsia" w:ascii="宋体" w:hAnsi="宋体" w:cs="Arial"/>
          <w:color w:val="auto"/>
          <w:sz w:val="24"/>
          <w:highlight w:val="none"/>
        </w:rPr>
      </w:pPr>
      <w:bookmarkStart w:id="854" w:name="_Ref467378840"/>
      <w:r>
        <w:rPr>
          <w:rFonts w:ascii="宋体" w:hAnsi="宋体" w:cs="Arial"/>
          <w:color w:val="auto"/>
          <w:sz w:val="24"/>
          <w:highlight w:val="none"/>
        </w:rPr>
        <w:t>1.5   “买方”系指与中标人签署供货合同的单位（含最终用户）。</w:t>
      </w:r>
      <w:bookmarkEnd w:id="854"/>
    </w:p>
    <w:p w14:paraId="417AF839">
      <w:pPr>
        <w:spacing w:line="360" w:lineRule="auto"/>
        <w:ind w:left="900" w:hanging="900" w:hangingChars="375"/>
        <w:rPr>
          <w:rFonts w:hint="eastAsia" w:ascii="宋体" w:hAnsi="宋体" w:cs="Arial"/>
          <w:color w:val="auto"/>
          <w:sz w:val="24"/>
          <w:highlight w:val="none"/>
        </w:rPr>
      </w:pPr>
      <w:bookmarkStart w:id="855" w:name="_Ref467379400"/>
      <w:r>
        <w:rPr>
          <w:rFonts w:ascii="宋体" w:hAnsi="宋体" w:cs="Arial"/>
          <w:color w:val="auto"/>
          <w:sz w:val="24"/>
          <w:highlight w:val="none"/>
        </w:rPr>
        <w:t>1.6   “卖方”系指根据合同约定提供货物及相关服务的中标人。</w:t>
      </w:r>
      <w:bookmarkEnd w:id="855"/>
    </w:p>
    <w:p w14:paraId="25918B29">
      <w:pPr>
        <w:spacing w:line="360" w:lineRule="auto"/>
        <w:ind w:left="900" w:hanging="900" w:hangingChars="375"/>
        <w:rPr>
          <w:rFonts w:hint="eastAsia" w:ascii="宋体" w:hAnsi="宋体" w:cs="Arial"/>
          <w:color w:val="auto"/>
          <w:sz w:val="24"/>
          <w:highlight w:val="none"/>
        </w:rPr>
      </w:pPr>
      <w:bookmarkStart w:id="856" w:name="_Ref467379436"/>
      <w:r>
        <w:rPr>
          <w:rFonts w:ascii="宋体" w:hAnsi="宋体" w:cs="Arial"/>
          <w:color w:val="auto"/>
          <w:sz w:val="24"/>
          <w:highlight w:val="none"/>
        </w:rPr>
        <w:t>1.7   “现场”系指合同约定货物将要运至和安装的地点。</w:t>
      </w:r>
      <w:bookmarkEnd w:id="856"/>
    </w:p>
    <w:p w14:paraId="5B945F50">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1.8   “验收”系指合同双方依据强制性的国家技术质量规范和合同约定，确认合同项下的货物符合合同规定的活动。</w:t>
      </w:r>
    </w:p>
    <w:p w14:paraId="66195B79">
      <w:pPr>
        <w:pStyle w:val="7"/>
        <w:spacing w:before="0" w:after="0" w:line="360" w:lineRule="auto"/>
        <w:rPr>
          <w:rFonts w:hint="eastAsia" w:hAnsi="宋体" w:cs="Arial"/>
          <w:color w:val="auto"/>
          <w:szCs w:val="24"/>
          <w:highlight w:val="none"/>
          <w:u w:val="none"/>
        </w:rPr>
      </w:pPr>
      <w:bookmarkStart w:id="857" w:name="_Toc508113687"/>
      <w:bookmarkStart w:id="858" w:name="_Toc487900350"/>
      <w:r>
        <w:rPr>
          <w:rFonts w:hAnsi="宋体" w:cs="Arial"/>
          <w:color w:val="auto"/>
          <w:szCs w:val="24"/>
          <w:highlight w:val="none"/>
          <w:u w:val="none"/>
        </w:rPr>
        <w:t>2     技术规范</w:t>
      </w:r>
      <w:bookmarkEnd w:id="857"/>
      <w:bookmarkEnd w:id="858"/>
    </w:p>
    <w:p w14:paraId="75D721DF">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2.1   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14:paraId="593B5DF3">
      <w:pPr>
        <w:pStyle w:val="7"/>
        <w:spacing w:before="0" w:after="0" w:line="360" w:lineRule="auto"/>
        <w:rPr>
          <w:rFonts w:hint="eastAsia" w:hAnsi="宋体" w:cs="Arial"/>
          <w:color w:val="auto"/>
          <w:szCs w:val="24"/>
          <w:highlight w:val="none"/>
          <w:u w:val="none"/>
        </w:rPr>
      </w:pPr>
      <w:bookmarkStart w:id="859" w:name="_Toc508113688"/>
      <w:bookmarkStart w:id="860" w:name="_Toc487900351"/>
      <w:r>
        <w:rPr>
          <w:rFonts w:hAnsi="宋体" w:cs="Arial"/>
          <w:color w:val="auto"/>
          <w:szCs w:val="24"/>
          <w:highlight w:val="none"/>
          <w:u w:val="none"/>
        </w:rPr>
        <w:t>3．   知识产权</w:t>
      </w:r>
      <w:bookmarkEnd w:id="859"/>
      <w:bookmarkEnd w:id="860"/>
    </w:p>
    <w:p w14:paraId="55900985">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3.1   卖方应保证买方在使用该货物或其任何一部分时不受第三方提出的侵犯专利权、著作权、商标权和工业设计权等的起诉。如果任何第三方提出侵权指控，卖方须与第三方交涉并承担由此发生的一切责任、费用和经济赔偿。</w:t>
      </w:r>
    </w:p>
    <w:p w14:paraId="11CA0FC8">
      <w:pPr>
        <w:pStyle w:val="7"/>
        <w:spacing w:before="0" w:after="0" w:line="360" w:lineRule="auto"/>
        <w:rPr>
          <w:rFonts w:hint="eastAsia" w:hAnsi="宋体" w:cs="Arial"/>
          <w:color w:val="auto"/>
          <w:szCs w:val="24"/>
          <w:highlight w:val="none"/>
          <w:u w:val="none"/>
        </w:rPr>
      </w:pPr>
      <w:bookmarkStart w:id="861" w:name="_Toc508113689"/>
      <w:bookmarkStart w:id="862" w:name="_Toc487900352"/>
      <w:r>
        <w:rPr>
          <w:rFonts w:hAnsi="宋体" w:cs="Arial"/>
          <w:color w:val="auto"/>
          <w:szCs w:val="24"/>
          <w:highlight w:val="none"/>
          <w:u w:val="none"/>
        </w:rPr>
        <w:t>4．   包装要求</w:t>
      </w:r>
      <w:bookmarkEnd w:id="861"/>
      <w:bookmarkEnd w:id="862"/>
    </w:p>
    <w:p w14:paraId="0FCC24AE">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4.1   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25A7E37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4.2   每件包装箱内应附一份详细装箱单和质量合格证。</w:t>
      </w:r>
    </w:p>
    <w:p w14:paraId="34CDB47B">
      <w:pPr>
        <w:pStyle w:val="7"/>
        <w:spacing w:before="0" w:after="0" w:line="360" w:lineRule="auto"/>
        <w:rPr>
          <w:rFonts w:hint="eastAsia" w:hAnsi="宋体" w:cs="Arial"/>
          <w:color w:val="auto"/>
          <w:szCs w:val="24"/>
          <w:highlight w:val="none"/>
          <w:u w:val="none"/>
        </w:rPr>
      </w:pPr>
      <w:bookmarkStart w:id="863" w:name="_Toc487900353"/>
      <w:bookmarkStart w:id="864" w:name="_Toc508113690"/>
      <w:r>
        <w:rPr>
          <w:rFonts w:hAnsi="宋体" w:cs="Arial"/>
          <w:color w:val="auto"/>
          <w:szCs w:val="24"/>
          <w:highlight w:val="none"/>
          <w:u w:val="none"/>
        </w:rPr>
        <w:t>5．  装运标志</w:t>
      </w:r>
      <w:bookmarkEnd w:id="863"/>
      <w:bookmarkEnd w:id="864"/>
    </w:p>
    <w:p w14:paraId="5291964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5.1  卖方应在每一包装箱的四侧用不褪色的油漆以醒目的中文字样做出下列标记：</w:t>
      </w:r>
    </w:p>
    <w:p w14:paraId="363EA8C3">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收货人：</w:t>
      </w:r>
      <w:r>
        <w:rPr>
          <w:rFonts w:ascii="宋体" w:hAnsi="宋体" w:cs="Arial"/>
          <w:color w:val="auto"/>
          <w:sz w:val="24"/>
          <w:highlight w:val="none"/>
          <w:u w:val="single"/>
        </w:rPr>
        <w:t xml:space="preserve">                                   </w:t>
      </w:r>
    </w:p>
    <w:p w14:paraId="1CDD168F">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合同号：</w:t>
      </w:r>
      <w:r>
        <w:rPr>
          <w:rFonts w:ascii="宋体" w:hAnsi="宋体" w:cs="Arial"/>
          <w:color w:val="auto"/>
          <w:sz w:val="24"/>
          <w:highlight w:val="none"/>
          <w:u w:val="single"/>
        </w:rPr>
        <w:t xml:space="preserve">                                   </w:t>
      </w:r>
    </w:p>
    <w:p w14:paraId="68B73DFE">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装运标志：</w:t>
      </w:r>
      <w:r>
        <w:rPr>
          <w:rFonts w:ascii="宋体" w:hAnsi="宋体" w:cs="Arial"/>
          <w:color w:val="auto"/>
          <w:sz w:val="24"/>
          <w:highlight w:val="none"/>
          <w:u w:val="single"/>
        </w:rPr>
        <w:t xml:space="preserve">                                 </w:t>
      </w:r>
    </w:p>
    <w:p w14:paraId="58D23581">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收货人代号：</w:t>
      </w:r>
      <w:r>
        <w:rPr>
          <w:rFonts w:ascii="宋体" w:hAnsi="宋体" w:cs="Arial"/>
          <w:color w:val="auto"/>
          <w:sz w:val="24"/>
          <w:highlight w:val="none"/>
          <w:u w:val="single"/>
        </w:rPr>
        <w:t xml:space="preserve">                               </w:t>
      </w:r>
    </w:p>
    <w:p w14:paraId="135B75D9">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目的地：</w:t>
      </w:r>
      <w:r>
        <w:rPr>
          <w:rFonts w:ascii="宋体" w:hAnsi="宋体" w:cs="Arial"/>
          <w:color w:val="auto"/>
          <w:sz w:val="24"/>
          <w:highlight w:val="none"/>
          <w:u w:val="single"/>
        </w:rPr>
        <w:t xml:space="preserve">                                   </w:t>
      </w:r>
    </w:p>
    <w:p w14:paraId="36C4D375">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货物名称、品目号和箱号：</w:t>
      </w:r>
      <w:r>
        <w:rPr>
          <w:rFonts w:ascii="宋体" w:hAnsi="宋体" w:cs="Arial"/>
          <w:color w:val="auto"/>
          <w:sz w:val="24"/>
          <w:highlight w:val="none"/>
          <w:u w:val="single"/>
        </w:rPr>
        <w:t xml:space="preserve">                   </w:t>
      </w:r>
    </w:p>
    <w:p w14:paraId="37F1103D">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毛重／净重：</w:t>
      </w:r>
      <w:r>
        <w:rPr>
          <w:rFonts w:ascii="宋体" w:hAnsi="宋体" w:cs="Arial"/>
          <w:color w:val="auto"/>
          <w:sz w:val="24"/>
          <w:highlight w:val="none"/>
          <w:u w:val="single"/>
        </w:rPr>
        <w:t xml:space="preserve">                               </w:t>
      </w:r>
    </w:p>
    <w:p w14:paraId="3608BABE">
      <w:pPr>
        <w:spacing w:line="360" w:lineRule="auto"/>
        <w:ind w:left="1079" w:leftChars="314" w:hanging="420" w:hangingChars="175"/>
        <w:rPr>
          <w:rFonts w:hint="eastAsia" w:ascii="宋体" w:hAnsi="宋体" w:cs="Arial"/>
          <w:color w:val="auto"/>
          <w:sz w:val="24"/>
          <w:highlight w:val="none"/>
        </w:rPr>
      </w:pPr>
      <w:r>
        <w:rPr>
          <w:rFonts w:ascii="宋体" w:hAnsi="宋体" w:cs="Arial"/>
          <w:color w:val="auto"/>
          <w:sz w:val="24"/>
          <w:highlight w:val="none"/>
        </w:rPr>
        <w:t>尺寸(长×宽×高以厘米计)：</w:t>
      </w:r>
      <w:r>
        <w:rPr>
          <w:rFonts w:ascii="宋体" w:hAnsi="宋体" w:cs="Arial"/>
          <w:color w:val="auto"/>
          <w:sz w:val="24"/>
          <w:highlight w:val="none"/>
          <w:u w:val="single"/>
        </w:rPr>
        <w:t xml:space="preserve">                 </w:t>
      </w:r>
    </w:p>
    <w:p w14:paraId="07F0E8EA">
      <w:pPr>
        <w:spacing w:line="360" w:lineRule="auto"/>
        <w:ind w:left="540" w:hanging="540" w:hangingChars="225"/>
        <w:rPr>
          <w:rFonts w:hint="eastAsia" w:ascii="宋体" w:hAnsi="宋体" w:cs="Arial"/>
          <w:color w:val="auto"/>
          <w:sz w:val="24"/>
          <w:highlight w:val="none"/>
        </w:rPr>
      </w:pPr>
      <w:r>
        <w:rPr>
          <w:rFonts w:ascii="宋体" w:hAnsi="宋体" w:cs="Arial"/>
          <w:color w:val="auto"/>
          <w:sz w:val="24"/>
          <w:highlight w:val="none"/>
        </w:rPr>
        <w:t>5.2  如果货物单件重量在2吨或2吨以上，卖方应在每件包装箱的两侧用中文和适当的运输标记，标明“重心”和“吊装点”，以便装卸和搬运。根据货物的特点和运输的不同要求， 卖方应在包装箱上清楚地标有“小心轻放”、“防潮”、 “勿倒置”等字样和其他适当的标志。</w:t>
      </w:r>
    </w:p>
    <w:p w14:paraId="4023FCF9">
      <w:pPr>
        <w:pStyle w:val="7"/>
        <w:spacing w:before="0" w:after="0" w:line="360" w:lineRule="auto"/>
        <w:rPr>
          <w:rFonts w:hint="eastAsia" w:hAnsi="宋体" w:cs="Arial"/>
          <w:color w:val="auto"/>
          <w:szCs w:val="24"/>
          <w:highlight w:val="none"/>
          <w:u w:val="none"/>
        </w:rPr>
      </w:pPr>
      <w:bookmarkStart w:id="865" w:name="_Ref467379536"/>
      <w:bookmarkStart w:id="866" w:name="_Toc508113691"/>
      <w:bookmarkStart w:id="867" w:name="_Toc487900354"/>
      <w:bookmarkStart w:id="868" w:name="_Ref467378541"/>
      <w:bookmarkStart w:id="869" w:name="_Ref467378591"/>
      <w:bookmarkStart w:id="870" w:name="_Ref467379542"/>
      <w:bookmarkStart w:id="871" w:name="_Ref467379527"/>
      <w:r>
        <w:rPr>
          <w:rFonts w:hAnsi="宋体" w:cs="Arial"/>
          <w:color w:val="auto"/>
          <w:szCs w:val="24"/>
          <w:highlight w:val="none"/>
          <w:u w:val="none"/>
        </w:rPr>
        <w:t>6．   交货方式</w:t>
      </w:r>
      <w:bookmarkEnd w:id="865"/>
      <w:bookmarkEnd w:id="866"/>
      <w:bookmarkEnd w:id="867"/>
      <w:bookmarkEnd w:id="868"/>
      <w:bookmarkEnd w:id="869"/>
      <w:bookmarkEnd w:id="870"/>
      <w:bookmarkEnd w:id="871"/>
    </w:p>
    <w:p w14:paraId="3FACBD7D">
      <w:pPr>
        <w:spacing w:line="360" w:lineRule="auto"/>
        <w:ind w:left="900" w:hanging="900" w:hangingChars="375"/>
        <w:rPr>
          <w:rFonts w:hint="eastAsia" w:ascii="宋体" w:hAnsi="宋体" w:cs="Arial"/>
          <w:color w:val="auto"/>
          <w:sz w:val="24"/>
          <w:highlight w:val="none"/>
        </w:rPr>
      </w:pPr>
      <w:bookmarkStart w:id="872" w:name="_Ref467379657"/>
      <w:r>
        <w:rPr>
          <w:rFonts w:ascii="宋体" w:hAnsi="宋体" w:cs="Arial"/>
          <w:color w:val="auto"/>
          <w:sz w:val="24"/>
          <w:highlight w:val="none"/>
        </w:rPr>
        <w:t>6.1   交货方式一般为下列其中一种，具体在合同专用条款中规定。</w:t>
      </w:r>
      <w:bookmarkEnd w:id="872"/>
    </w:p>
    <w:p w14:paraId="60EE46DD">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6.1.1 现场交货：卖方负责办理运输和保险，将货物运抵现场。有关运输和保险的一切费用由卖方承担。所有货物运抵现场的日期为交货日期。</w:t>
      </w:r>
    </w:p>
    <w:p w14:paraId="3021800D">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6.1.2 工厂交货：由卖方负责代办运输和保险事宜。运输费和保险费由买方承担。运输部门出具收据的日期为交货日期。</w:t>
      </w:r>
    </w:p>
    <w:p w14:paraId="103A3E8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6.1.3 买方自提货物：由买方在合同规定地点自行办理提货。提单日期为交货日期。</w:t>
      </w:r>
    </w:p>
    <w:p w14:paraId="257E7A2C">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6.2   卖方应在合同专用条款规定时间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14:paraId="0021A063">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6.3   在现场交货和工厂交货条件下，卖方装运的货物不应超过合同规定的数量或重量。否则，卖方应对超运部分引起的一切后果负责。</w:t>
      </w:r>
    </w:p>
    <w:p w14:paraId="2512A47F">
      <w:pPr>
        <w:pStyle w:val="7"/>
        <w:spacing w:before="0" w:after="0" w:line="360" w:lineRule="auto"/>
        <w:rPr>
          <w:rFonts w:hint="eastAsia" w:hAnsi="宋体" w:cs="Arial"/>
          <w:color w:val="auto"/>
          <w:szCs w:val="24"/>
          <w:highlight w:val="none"/>
          <w:u w:val="none"/>
        </w:rPr>
      </w:pPr>
      <w:bookmarkStart w:id="873" w:name="_Toc508113692"/>
      <w:bookmarkStart w:id="874" w:name="_Toc487900355"/>
      <w:r>
        <w:rPr>
          <w:rFonts w:hAnsi="宋体" w:cs="Arial"/>
          <w:color w:val="auto"/>
          <w:szCs w:val="24"/>
          <w:highlight w:val="none"/>
          <w:u w:val="none"/>
        </w:rPr>
        <w:t>7．   装运通知</w:t>
      </w:r>
      <w:bookmarkEnd w:id="873"/>
      <w:bookmarkEnd w:id="874"/>
    </w:p>
    <w:p w14:paraId="573D6E42">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7.1   在现场交货和工厂交货条件下的货物，卖方通知买方货物已备妥待运输后24小时之内，应将合同号、货名、数量、毛重、总体积(立方米)、发票金额、运输工具名称及装运日期，以电报或传真通知买方。</w:t>
      </w:r>
    </w:p>
    <w:p w14:paraId="6ABBC532">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7.2   如因卖方延误将上述内容用电报或传真通知买方，由此引起的一切后果损失应由卖方负责。</w:t>
      </w:r>
    </w:p>
    <w:p w14:paraId="40890C98">
      <w:pPr>
        <w:pStyle w:val="7"/>
        <w:spacing w:before="0" w:after="0" w:line="360" w:lineRule="auto"/>
        <w:rPr>
          <w:rFonts w:hint="eastAsia" w:hAnsi="宋体" w:cs="Arial"/>
          <w:color w:val="auto"/>
          <w:szCs w:val="24"/>
          <w:highlight w:val="none"/>
          <w:u w:val="none"/>
        </w:rPr>
      </w:pPr>
      <w:bookmarkStart w:id="875" w:name="_Ref467379807"/>
      <w:bookmarkStart w:id="876" w:name="_Ref467379793"/>
      <w:bookmarkStart w:id="877" w:name="_Toc508113693"/>
      <w:bookmarkStart w:id="878" w:name="_Toc487900357"/>
      <w:r>
        <w:rPr>
          <w:rFonts w:hAnsi="宋体" w:cs="Arial"/>
          <w:color w:val="auto"/>
          <w:szCs w:val="24"/>
          <w:highlight w:val="none"/>
          <w:u w:val="none"/>
        </w:rPr>
        <w:t>8．   付款条件</w:t>
      </w:r>
      <w:bookmarkEnd w:id="875"/>
      <w:bookmarkEnd w:id="876"/>
      <w:bookmarkEnd w:id="877"/>
      <w:bookmarkEnd w:id="878"/>
    </w:p>
    <w:p w14:paraId="64B4FF9A">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 xml:space="preserve">      付款条件见 “</w:t>
      </w:r>
      <w:r>
        <w:rPr>
          <w:rFonts w:ascii="宋体" w:hAnsi="宋体" w:cs="Arial"/>
          <w:color w:val="auto"/>
          <w:sz w:val="24"/>
          <w:highlight w:val="none"/>
          <w:u w:val="single"/>
        </w:rPr>
        <w:t>合同专用条款</w:t>
      </w:r>
      <w:r>
        <w:rPr>
          <w:rFonts w:ascii="宋体" w:hAnsi="宋体" w:cs="Arial"/>
          <w:color w:val="auto"/>
          <w:sz w:val="24"/>
          <w:highlight w:val="none"/>
        </w:rPr>
        <w:t>”。</w:t>
      </w:r>
    </w:p>
    <w:p w14:paraId="0EBEB5BA">
      <w:pPr>
        <w:pStyle w:val="7"/>
        <w:spacing w:before="0" w:after="0" w:line="360" w:lineRule="auto"/>
        <w:rPr>
          <w:rFonts w:hint="eastAsia" w:hAnsi="宋体" w:cs="Arial"/>
          <w:color w:val="auto"/>
          <w:szCs w:val="24"/>
          <w:highlight w:val="none"/>
          <w:u w:val="none"/>
        </w:rPr>
      </w:pPr>
      <w:bookmarkStart w:id="879" w:name="_Ref467379923"/>
      <w:bookmarkStart w:id="880" w:name="_Toc487900358"/>
      <w:bookmarkStart w:id="881" w:name="_Ref467379852"/>
      <w:bookmarkStart w:id="882" w:name="_Toc508113694"/>
      <w:bookmarkStart w:id="883" w:name="_Ref467379863"/>
      <w:r>
        <w:rPr>
          <w:rFonts w:hAnsi="宋体" w:cs="Arial"/>
          <w:color w:val="auto"/>
          <w:szCs w:val="24"/>
          <w:highlight w:val="none"/>
          <w:u w:val="none"/>
        </w:rPr>
        <w:t>9．   技术资料</w:t>
      </w:r>
      <w:bookmarkEnd w:id="879"/>
      <w:bookmarkEnd w:id="880"/>
      <w:bookmarkEnd w:id="881"/>
      <w:bookmarkEnd w:id="882"/>
      <w:bookmarkEnd w:id="883"/>
    </w:p>
    <w:p w14:paraId="454E60EF">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9.1   合同项下技术资料(除合同特殊条款规定外)将以下列方式交付：</w:t>
      </w:r>
    </w:p>
    <w:p w14:paraId="6AE98BC9">
      <w:pPr>
        <w:spacing w:line="360" w:lineRule="auto"/>
        <w:ind w:left="718" w:leftChars="340" w:hanging="4" w:hangingChars="2"/>
        <w:rPr>
          <w:rFonts w:hint="eastAsia" w:ascii="宋体" w:hAnsi="宋体" w:cs="Arial"/>
          <w:color w:val="auto"/>
          <w:sz w:val="24"/>
          <w:highlight w:val="none"/>
        </w:rPr>
      </w:pPr>
      <w:r>
        <w:rPr>
          <w:rFonts w:ascii="宋体" w:hAnsi="宋体" w:cs="Arial"/>
          <w:color w:val="auto"/>
          <w:sz w:val="24"/>
          <w:highlight w:val="none"/>
        </w:rPr>
        <w:t>在合同专用条款规定时间内，卖方应将每台设备和仪器的中文技术资料一套，如目录索引、图纸、操作手册、使用指南、维修指南和／或服务手册和示意图寄给买方。</w:t>
      </w:r>
    </w:p>
    <w:p w14:paraId="1CA48B7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9.2   另外一套完整的上述资料应包装好随同每批货物一起发运。</w:t>
      </w:r>
    </w:p>
    <w:p w14:paraId="6F8822C8">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9.3   如果买方确认卖方提供的技术资料不完整或在运输过程中丢失，卖方将在合同专用条款规定时间内将这些资料免费寄给买方。</w:t>
      </w:r>
    </w:p>
    <w:p w14:paraId="54AB53D5">
      <w:pPr>
        <w:pStyle w:val="7"/>
        <w:spacing w:before="0" w:after="0" w:line="360" w:lineRule="auto"/>
        <w:rPr>
          <w:rFonts w:hint="eastAsia" w:hAnsi="宋体" w:cs="Arial"/>
          <w:color w:val="auto"/>
          <w:szCs w:val="24"/>
          <w:highlight w:val="none"/>
          <w:u w:val="none"/>
        </w:rPr>
      </w:pPr>
      <w:bookmarkStart w:id="884" w:name="_Toc487900359"/>
      <w:bookmarkStart w:id="885" w:name="_Ref467379946"/>
      <w:bookmarkStart w:id="886" w:name="_Toc508113695"/>
      <w:bookmarkStart w:id="887" w:name="_Ref467377962"/>
      <w:bookmarkStart w:id="888" w:name="_Ref467377798"/>
      <w:bookmarkStart w:id="889" w:name="_Ref467379937"/>
      <w:r>
        <w:rPr>
          <w:rFonts w:hAnsi="宋体" w:cs="Arial"/>
          <w:color w:val="auto"/>
          <w:szCs w:val="24"/>
          <w:highlight w:val="none"/>
          <w:u w:val="none"/>
        </w:rPr>
        <w:t>10．  质量保证</w:t>
      </w:r>
      <w:bookmarkEnd w:id="884"/>
      <w:bookmarkEnd w:id="885"/>
      <w:bookmarkEnd w:id="886"/>
      <w:bookmarkEnd w:id="887"/>
      <w:bookmarkEnd w:id="888"/>
      <w:bookmarkEnd w:id="889"/>
    </w:p>
    <w:p w14:paraId="4BBBF1E9">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10.1  卖方须保证货物是全新、未使用过的，并完全符合强制性的国家技术质量规范和合同规定的质量、规格、性能和技术规范等的要求。</w:t>
      </w:r>
    </w:p>
    <w:p w14:paraId="043C6831">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10.2  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1C75CC89">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合同专用条款规定时间内免费维修或更换有缺陷的货物或部件。</w:t>
      </w:r>
    </w:p>
    <w:p w14:paraId="6E34681A">
      <w:pPr>
        <w:spacing w:line="360" w:lineRule="auto"/>
        <w:ind w:left="720" w:hanging="720" w:hangingChars="300"/>
        <w:rPr>
          <w:rFonts w:hint="eastAsia" w:ascii="宋体" w:hAnsi="宋体" w:cs="Arial"/>
          <w:color w:val="auto"/>
          <w:sz w:val="24"/>
          <w:highlight w:val="none"/>
        </w:rPr>
      </w:pPr>
      <w:r>
        <w:rPr>
          <w:rFonts w:ascii="宋体" w:hAnsi="宋体" w:cs="Arial"/>
          <w:color w:val="auto"/>
          <w:sz w:val="24"/>
          <w:highlight w:val="none"/>
        </w:rPr>
        <w:t>10.4  如果卖方在合同专用条款规定时间内没有弥补缺陷，买方可采取必要的补救措施，但由此引发的风险和费用将由卖方承担。</w:t>
      </w:r>
    </w:p>
    <w:p w14:paraId="6B8AA07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10.5  除“合同专用条款”规定外，合同项下货物的质量保证期为自货物通过最终验收起12个月。</w:t>
      </w:r>
    </w:p>
    <w:p w14:paraId="403AA1D0">
      <w:pPr>
        <w:pStyle w:val="7"/>
        <w:spacing w:before="0" w:after="0" w:line="360" w:lineRule="auto"/>
        <w:rPr>
          <w:rFonts w:hint="eastAsia" w:hAnsi="宋体" w:cs="Arial"/>
          <w:color w:val="auto"/>
          <w:szCs w:val="24"/>
          <w:highlight w:val="none"/>
          <w:u w:val="none"/>
        </w:rPr>
      </w:pPr>
      <w:bookmarkStart w:id="890" w:name="_Toc487900360"/>
      <w:bookmarkStart w:id="891" w:name="_Ref467378018"/>
      <w:bookmarkStart w:id="892" w:name="_Toc508113696"/>
      <w:r>
        <w:rPr>
          <w:rFonts w:hAnsi="宋体" w:cs="Arial"/>
          <w:color w:val="auto"/>
          <w:szCs w:val="24"/>
          <w:highlight w:val="none"/>
          <w:u w:val="none"/>
        </w:rPr>
        <w:t>11．   检验</w:t>
      </w:r>
      <w:bookmarkEnd w:id="890"/>
      <w:bookmarkEnd w:id="891"/>
      <w:r>
        <w:rPr>
          <w:rFonts w:hAnsi="宋体" w:cs="Arial"/>
          <w:color w:val="auto"/>
          <w:szCs w:val="24"/>
          <w:highlight w:val="none"/>
          <w:u w:val="none"/>
        </w:rPr>
        <w:t>和验收</w:t>
      </w:r>
      <w:bookmarkEnd w:id="892"/>
    </w:p>
    <w:p w14:paraId="245E8567">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11.1   在交货前，卖方应对货物的质量、规格、性能、数量和重量等进行详细而全面的检验，并出具证明货物符合合同规定的文件。该文件将作为申请付款单据的一部分，但有关质量、规格、性能、数量或重量的检验不应视为最终检验。</w:t>
      </w:r>
    </w:p>
    <w:p w14:paraId="593075EA">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11.2   货物运抵现场后，买方在合同专用条款规定时间内组织验收，依法邀请相关方参加。验收将制作验收备忘录，签署验收书。</w:t>
      </w:r>
    </w:p>
    <w:p w14:paraId="3328865F">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11.3   买方有在货物制造过程中派员监造的权利, 卖方有义务为买方监造人员行使该权利提供方便。</w:t>
      </w:r>
    </w:p>
    <w:p w14:paraId="34B7C7B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11.4   制造厂对所供货物进行机械运转试验和性能试验时，卖方必须提前通知买方。</w:t>
      </w:r>
    </w:p>
    <w:p w14:paraId="0975DC8D">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11.5   检验和验收标准、程序等具体内容按合同约定执行。</w:t>
      </w:r>
    </w:p>
    <w:p w14:paraId="099AC69F">
      <w:pPr>
        <w:pStyle w:val="7"/>
        <w:spacing w:before="0" w:after="0" w:line="360" w:lineRule="auto"/>
        <w:rPr>
          <w:rFonts w:hint="eastAsia" w:hAnsi="宋体" w:cs="Arial"/>
          <w:color w:val="auto"/>
          <w:szCs w:val="24"/>
          <w:highlight w:val="none"/>
          <w:u w:val="none"/>
        </w:rPr>
      </w:pPr>
      <w:bookmarkStart w:id="893" w:name="_Toc508113697"/>
      <w:bookmarkStart w:id="894" w:name="_Toc487900361"/>
      <w:r>
        <w:rPr>
          <w:rFonts w:hAnsi="宋体" w:cs="Arial"/>
          <w:color w:val="auto"/>
          <w:szCs w:val="24"/>
          <w:highlight w:val="none"/>
          <w:u w:val="none"/>
        </w:rPr>
        <w:t>12．   索赔</w:t>
      </w:r>
      <w:bookmarkEnd w:id="893"/>
      <w:bookmarkEnd w:id="894"/>
    </w:p>
    <w:p w14:paraId="11C27A7C">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由保险公司或运输部门承担的除外）。</w:t>
      </w:r>
    </w:p>
    <w:p w14:paraId="6CE1ADC7">
      <w:pPr>
        <w:spacing w:line="360" w:lineRule="auto"/>
        <w:ind w:left="900" w:hanging="900" w:hangingChars="375"/>
        <w:rPr>
          <w:rFonts w:hint="eastAsia" w:ascii="宋体" w:hAnsi="宋体" w:cs="Arial"/>
          <w:color w:val="auto"/>
          <w:sz w:val="24"/>
          <w:highlight w:val="none"/>
        </w:rPr>
      </w:pPr>
      <w:bookmarkStart w:id="895" w:name="_Ref467378076"/>
      <w:r>
        <w:rPr>
          <w:rFonts w:ascii="宋体" w:hAnsi="宋体" w:cs="Arial"/>
          <w:color w:val="auto"/>
          <w:sz w:val="24"/>
          <w:highlight w:val="none"/>
        </w:rPr>
        <w:t>12.2   在根据合同第10条和第11条规定的检验期和质量保证期内，如果卖方对买方提出的索赔负有责任，卖方应按照买方同意的下列一种或多种方式解决索赔事宜：</w:t>
      </w:r>
      <w:bookmarkEnd w:id="895"/>
    </w:p>
    <w:p w14:paraId="28D4971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7EB61C0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12.2.2  根据货物低劣程度、损坏程度以及买方所遭受损失的数额，经买卖双方商定降低货物的价格，或由有权的部门评估，以降低后的价格或评估价格为准。</w:t>
      </w:r>
    </w:p>
    <w:p w14:paraId="2B5F5433">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12.2.3  用符合规格、质量和性能要求的新零件、部件或货物来更换有缺陷的部分或／和修补缺陷部分，卖方应承担一切费用和风险并负担买方所发生的一切直接费用。同时，卖方应按合同第10条规定，相应延长修补或更换件的质量保证期。</w:t>
      </w:r>
    </w:p>
    <w:p w14:paraId="032DFFF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12.3    如果在买方发出索赔通知后，卖方在合同专用条款规定时间内未作答复，上述索赔应视为已被卖方接受。买方将按照本合同第12.2条规定解决索赔事宜，买方将从合同款或从卖方开具的履约保证金保函中扣回索赔金额。如果这些金额不足以补偿索赔金额，买方有权向卖方提出不足部分的补偿。</w:t>
      </w:r>
    </w:p>
    <w:p w14:paraId="16C1A5F6">
      <w:pPr>
        <w:pStyle w:val="7"/>
        <w:spacing w:before="0" w:after="0" w:line="360" w:lineRule="auto"/>
        <w:rPr>
          <w:rFonts w:hint="eastAsia" w:hAnsi="宋体" w:cs="Arial"/>
          <w:color w:val="auto"/>
          <w:szCs w:val="24"/>
          <w:highlight w:val="none"/>
          <w:u w:val="none"/>
        </w:rPr>
      </w:pPr>
      <w:bookmarkStart w:id="896" w:name="_Toc508113698"/>
      <w:bookmarkStart w:id="897" w:name="_Toc487900362"/>
      <w:r>
        <w:rPr>
          <w:rFonts w:hAnsi="宋体" w:cs="Arial"/>
          <w:color w:val="auto"/>
          <w:szCs w:val="24"/>
          <w:highlight w:val="none"/>
          <w:u w:val="none"/>
        </w:rPr>
        <w:t>13．    延迟交货</w:t>
      </w:r>
      <w:bookmarkEnd w:id="896"/>
      <w:bookmarkEnd w:id="897"/>
    </w:p>
    <w:p w14:paraId="1E08922F">
      <w:pPr>
        <w:spacing w:line="360" w:lineRule="auto"/>
        <w:ind w:left="960" w:hanging="960" w:hangingChars="400"/>
        <w:rPr>
          <w:rFonts w:hint="eastAsia" w:ascii="宋体" w:hAnsi="宋体" w:cs="Arial"/>
          <w:color w:val="auto"/>
          <w:sz w:val="24"/>
          <w:highlight w:val="none"/>
        </w:rPr>
      </w:pPr>
      <w:r>
        <w:rPr>
          <w:rFonts w:ascii="宋体" w:hAnsi="宋体" w:cs="Arial"/>
          <w:color w:val="auto"/>
          <w:sz w:val="24"/>
          <w:highlight w:val="none"/>
        </w:rPr>
        <w:t>13.1    卖方应按照“货物需求一览表及技术规格”中买方规定的时间表交货和提供服务。</w:t>
      </w:r>
    </w:p>
    <w:p w14:paraId="49DCC7F3">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13.2    如果卖方无正当理由迟延交货，买方有权提出违约损失赔偿或解除合同。</w:t>
      </w:r>
    </w:p>
    <w:p w14:paraId="35EF9BEE">
      <w:pPr>
        <w:spacing w:line="360" w:lineRule="auto"/>
        <w:ind w:left="960" w:hanging="960" w:hangingChars="400"/>
        <w:rPr>
          <w:rFonts w:hint="eastAsia" w:ascii="宋体" w:hAnsi="宋体" w:cs="Arial"/>
          <w:color w:val="auto"/>
          <w:sz w:val="24"/>
          <w:highlight w:val="none"/>
        </w:rPr>
      </w:pPr>
      <w:r>
        <w:rPr>
          <w:rFonts w:ascii="宋体" w:hAnsi="宋体" w:cs="Arial"/>
          <w:color w:val="auto"/>
          <w:sz w:val="24"/>
          <w:highlight w:val="none"/>
        </w:rPr>
        <w:t>13.3    在履行合同过程中，如果卖方遇到不能按时交货和提供服务的情况，应及时以书面形式将不能按时交货的理由、预期延误时间通知买方。买方收到卖方通知后，认为其理由正当的，可酌情延长交货时间。</w:t>
      </w:r>
    </w:p>
    <w:p w14:paraId="443DCD75">
      <w:pPr>
        <w:pStyle w:val="7"/>
        <w:spacing w:before="0" w:after="0" w:line="360" w:lineRule="auto"/>
        <w:rPr>
          <w:rFonts w:hint="eastAsia" w:hAnsi="宋体" w:cs="Arial"/>
          <w:color w:val="auto"/>
          <w:szCs w:val="24"/>
          <w:highlight w:val="none"/>
          <w:u w:val="none"/>
        </w:rPr>
      </w:pPr>
      <w:bookmarkStart w:id="898" w:name="_Toc487900363"/>
      <w:bookmarkStart w:id="899" w:name="_Toc508113699"/>
      <w:r>
        <w:rPr>
          <w:rFonts w:hAnsi="宋体" w:cs="Arial"/>
          <w:color w:val="auto"/>
          <w:szCs w:val="24"/>
          <w:highlight w:val="none"/>
          <w:u w:val="none"/>
        </w:rPr>
        <w:t>14．   违约赔偿</w:t>
      </w:r>
      <w:bookmarkEnd w:id="898"/>
      <w:bookmarkEnd w:id="899"/>
    </w:p>
    <w:p w14:paraId="11FFCCBC">
      <w:pPr>
        <w:spacing w:line="360" w:lineRule="auto"/>
        <w:ind w:left="718" w:leftChars="-1" w:hanging="720" w:hangingChars="300"/>
        <w:rPr>
          <w:rFonts w:hint="eastAsia" w:ascii="宋体" w:hAnsi="宋体" w:cs="Arial"/>
          <w:color w:val="auto"/>
          <w:sz w:val="24"/>
          <w:highlight w:val="none"/>
        </w:rPr>
      </w:pPr>
      <w:r>
        <w:rPr>
          <w:rFonts w:ascii="宋体" w:hAnsi="宋体" w:cs="Arial"/>
          <w:color w:val="auto"/>
          <w:sz w:val="24"/>
          <w:highlight w:val="none"/>
        </w:rPr>
        <w:t>14.1   除合同第15条规定外，如果卖方没有按照合同规定的时间交货和提供服务，买方可要求卖方支付违约金。违约金按每周迟交货物或未提供服务交货价的0.5%计收。一周按７天计算，不足７天按一周计算。如果达到最高限额，买方有权解除合同。违约金的最高限额为迟交货物或没有提供服务的合同价的5%。</w:t>
      </w:r>
    </w:p>
    <w:p w14:paraId="1D5E09DD">
      <w:pPr>
        <w:pStyle w:val="7"/>
        <w:spacing w:before="0" w:after="0" w:line="360" w:lineRule="auto"/>
        <w:rPr>
          <w:rFonts w:hint="eastAsia" w:hAnsi="宋体" w:cs="Arial"/>
          <w:color w:val="auto"/>
          <w:szCs w:val="24"/>
          <w:highlight w:val="none"/>
          <w:u w:val="none"/>
        </w:rPr>
      </w:pPr>
      <w:bookmarkStart w:id="900" w:name="_Toc487900364"/>
      <w:bookmarkStart w:id="901" w:name="_Toc508113700"/>
      <w:bookmarkStart w:id="902" w:name="_Ref467378121"/>
      <w:r>
        <w:rPr>
          <w:rFonts w:hAnsi="宋体" w:cs="Arial"/>
          <w:color w:val="auto"/>
          <w:szCs w:val="24"/>
          <w:highlight w:val="none"/>
          <w:u w:val="none"/>
        </w:rPr>
        <w:t>15．   不可抗力</w:t>
      </w:r>
      <w:bookmarkEnd w:id="900"/>
      <w:bookmarkEnd w:id="901"/>
      <w:bookmarkEnd w:id="902"/>
    </w:p>
    <w:p w14:paraId="3BAD144A">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15.1   如果双方中任何一方遭遇法律规定的不可抗力，致使合同履行受阻时，履行合同的期限应予延长，延长的期限应相当于不可抗力所影响的时间。</w:t>
      </w:r>
    </w:p>
    <w:p w14:paraId="79F02CC7">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15.2   受事故影响的一方应在不可抗力的事故发生后尽快书面形式通知另一方，并在合同专用条款规定时间内，将有关部门出具的证明文件送达另一方。</w:t>
      </w:r>
    </w:p>
    <w:p w14:paraId="0DF2BC97">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15.3   不可抗力使合同的某些内容有变更必要的， 双方应在合同专用条款规定时间内达成进一步履行合同的协议。因不可抗力致使合同不能履行的，合同终止。</w:t>
      </w:r>
    </w:p>
    <w:p w14:paraId="3439AEB8">
      <w:pPr>
        <w:pStyle w:val="7"/>
        <w:spacing w:before="0" w:after="0" w:line="360" w:lineRule="auto"/>
        <w:rPr>
          <w:rFonts w:hint="eastAsia" w:hAnsi="宋体" w:cs="Arial"/>
          <w:color w:val="auto"/>
          <w:szCs w:val="24"/>
          <w:highlight w:val="none"/>
          <w:u w:val="none"/>
        </w:rPr>
      </w:pPr>
      <w:bookmarkStart w:id="903" w:name="_Toc508113701"/>
      <w:bookmarkStart w:id="904" w:name="_Toc487900365"/>
      <w:r>
        <w:rPr>
          <w:rFonts w:hAnsi="宋体" w:cs="Arial"/>
          <w:color w:val="auto"/>
          <w:szCs w:val="24"/>
          <w:highlight w:val="none"/>
          <w:u w:val="none"/>
        </w:rPr>
        <w:t>16．   税费</w:t>
      </w:r>
      <w:bookmarkEnd w:id="903"/>
      <w:bookmarkEnd w:id="904"/>
    </w:p>
    <w:p w14:paraId="23F095B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16.1   与本合同有关的一切税费均适用中华人民共和国法律的相关规定。</w:t>
      </w:r>
    </w:p>
    <w:p w14:paraId="5FAC9B9E">
      <w:pPr>
        <w:pStyle w:val="7"/>
        <w:spacing w:before="0" w:after="0" w:line="360" w:lineRule="auto"/>
        <w:rPr>
          <w:rFonts w:hint="eastAsia" w:hAnsi="宋体" w:cs="Arial"/>
          <w:color w:val="auto"/>
          <w:szCs w:val="24"/>
          <w:highlight w:val="none"/>
          <w:u w:val="none"/>
        </w:rPr>
      </w:pPr>
      <w:bookmarkStart w:id="905" w:name="_Toc487900366"/>
      <w:bookmarkStart w:id="906" w:name="_Toc508113702"/>
      <w:r>
        <w:rPr>
          <w:rFonts w:hAnsi="宋体" w:cs="Arial"/>
          <w:color w:val="auto"/>
          <w:szCs w:val="24"/>
          <w:highlight w:val="none"/>
          <w:u w:val="none"/>
        </w:rPr>
        <w:t xml:space="preserve">17．   </w:t>
      </w:r>
      <w:bookmarkEnd w:id="905"/>
      <w:r>
        <w:rPr>
          <w:rFonts w:hAnsi="宋体" w:cs="Arial"/>
          <w:color w:val="auto"/>
          <w:szCs w:val="24"/>
          <w:highlight w:val="none"/>
          <w:u w:val="none"/>
        </w:rPr>
        <w:t>合同争议的解决</w:t>
      </w:r>
      <w:bookmarkEnd w:id="906"/>
    </w:p>
    <w:p w14:paraId="7BDAEC30">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17.1   因合同履行中发生的争议，合同当事人双方可通过协商解决。协商不成的，可提请北京仲裁委员会仲裁或向人民法院提起诉讼。</w:t>
      </w:r>
    </w:p>
    <w:p w14:paraId="18A3EDF1">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17.2   仲裁裁决应为最终裁决，当事人一方在规定时间内不履行仲裁机构裁决的，另一方可以申请人民法院强制执行。</w:t>
      </w:r>
    </w:p>
    <w:p w14:paraId="63EBFDC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17.3   仲裁费用和诉讼费用除仲裁机构另有裁决外，应由败诉方负担。</w:t>
      </w:r>
    </w:p>
    <w:p w14:paraId="6F74BE12">
      <w:pPr>
        <w:pStyle w:val="7"/>
        <w:spacing w:before="0" w:after="0" w:line="360" w:lineRule="auto"/>
        <w:rPr>
          <w:rFonts w:hint="eastAsia" w:hAnsi="宋体" w:cs="Arial"/>
          <w:color w:val="auto"/>
          <w:szCs w:val="24"/>
          <w:highlight w:val="none"/>
          <w:u w:val="none"/>
        </w:rPr>
      </w:pPr>
      <w:bookmarkStart w:id="907" w:name="_Toc508113703"/>
      <w:bookmarkStart w:id="908" w:name="_Toc487900367"/>
      <w:r>
        <w:rPr>
          <w:rFonts w:hAnsi="宋体" w:cs="Arial"/>
          <w:color w:val="auto"/>
          <w:szCs w:val="24"/>
          <w:highlight w:val="none"/>
          <w:u w:val="none"/>
        </w:rPr>
        <w:t>18．   违约解除合同</w:t>
      </w:r>
      <w:bookmarkEnd w:id="907"/>
      <w:bookmarkEnd w:id="908"/>
    </w:p>
    <w:p w14:paraId="6CACAA81">
      <w:pPr>
        <w:spacing w:line="360" w:lineRule="auto"/>
        <w:ind w:left="840" w:hanging="840" w:hangingChars="350"/>
        <w:rPr>
          <w:rFonts w:hint="eastAsia" w:ascii="宋体" w:hAnsi="宋体" w:cs="Arial"/>
          <w:color w:val="auto"/>
          <w:sz w:val="24"/>
          <w:highlight w:val="none"/>
        </w:rPr>
      </w:pPr>
      <w:bookmarkStart w:id="909" w:name="_Ref467378234"/>
      <w:r>
        <w:rPr>
          <w:rFonts w:ascii="宋体" w:hAnsi="宋体" w:cs="Arial"/>
          <w:color w:val="auto"/>
          <w:sz w:val="24"/>
          <w:highlight w:val="none"/>
        </w:rPr>
        <w:t>18.1   在卖方违约或出现下列情形的情况下，买方可向卖方发出书面通知，部分或全部终止合同，同时保留向卖方追诉的权利。</w:t>
      </w:r>
      <w:bookmarkEnd w:id="909"/>
    </w:p>
    <w:p w14:paraId="3715FB58">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 xml:space="preserve">18.1.1  卖方未能在合同规定的限期或买方同意延长的限期内，提供全部或部分货物,按合同第18.1的规定可以解除合同的； </w:t>
      </w:r>
    </w:p>
    <w:p w14:paraId="615828C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18.1.2  卖方未能履行合同规定的其它主要义务的；</w:t>
      </w:r>
    </w:p>
    <w:p w14:paraId="0E210A8D">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18.1.3  在本合同履行过程中有腐败和欺诈行为的。</w:t>
      </w:r>
    </w:p>
    <w:p w14:paraId="249E75CD">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18.1.3.1 “腐败行为”和“欺诈行为”定义如下:</w:t>
      </w:r>
    </w:p>
    <w:p w14:paraId="6E1A0440">
      <w:pPr>
        <w:spacing w:line="360" w:lineRule="auto"/>
        <w:ind w:left="1380" w:hanging="1380" w:hangingChars="575"/>
        <w:rPr>
          <w:rFonts w:hint="eastAsia" w:ascii="宋体" w:hAnsi="宋体" w:cs="Arial"/>
          <w:color w:val="auto"/>
          <w:sz w:val="24"/>
          <w:highlight w:val="none"/>
        </w:rPr>
      </w:pPr>
      <w:r>
        <w:rPr>
          <w:rFonts w:ascii="宋体" w:hAnsi="宋体" w:cs="Arial"/>
          <w:color w:val="auto"/>
          <w:sz w:val="24"/>
          <w:highlight w:val="none"/>
        </w:rPr>
        <w:t>18.1.3.1.1“腐败行为”是指提供/给予/接受或索取任何有价值的东西来影响买方在合同签订、履行过程中的行为。</w:t>
      </w:r>
    </w:p>
    <w:p w14:paraId="7721EFBA">
      <w:pPr>
        <w:spacing w:line="360" w:lineRule="auto"/>
        <w:ind w:left="1380" w:hanging="1380" w:hangingChars="575"/>
        <w:rPr>
          <w:rFonts w:hint="eastAsia" w:ascii="宋体" w:hAnsi="宋体" w:cs="Arial"/>
          <w:color w:val="auto"/>
          <w:sz w:val="24"/>
          <w:highlight w:val="none"/>
        </w:rPr>
      </w:pPr>
      <w:r>
        <w:rPr>
          <w:rFonts w:ascii="宋体" w:hAnsi="宋体" w:cs="Arial"/>
          <w:color w:val="auto"/>
          <w:sz w:val="24"/>
          <w:highlight w:val="none"/>
        </w:rPr>
        <w:t>18.1.3.1.2“欺诈行为”是指为了影响合同签订、履行过程，以谎报事实的方法，损害买方的利益的行为。</w:t>
      </w:r>
    </w:p>
    <w:p w14:paraId="6BF6A2BC">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18.2    在买方根据上述第18.1条规定，全部或部分解除合同之后，应当遵循诚实信用原则，全部或部分购买与未交付的货物类似的货物或服务，卖方应承担买方购买类似货物或服务而产生的额外支出。部分解除合同的，卖方应继续履行合同中未解除的部分。</w:t>
      </w:r>
    </w:p>
    <w:p w14:paraId="6FCE0359">
      <w:pPr>
        <w:pStyle w:val="7"/>
        <w:spacing w:before="0" w:after="0" w:line="360" w:lineRule="auto"/>
        <w:rPr>
          <w:rFonts w:hint="eastAsia" w:hAnsi="宋体" w:cs="Arial"/>
          <w:color w:val="auto"/>
          <w:szCs w:val="24"/>
          <w:highlight w:val="none"/>
          <w:u w:val="none"/>
        </w:rPr>
      </w:pPr>
      <w:bookmarkStart w:id="910" w:name="_Toc487900368"/>
      <w:bookmarkStart w:id="911" w:name="_Toc508113704"/>
      <w:r>
        <w:rPr>
          <w:rFonts w:hAnsi="宋体" w:cs="Arial"/>
          <w:color w:val="auto"/>
          <w:szCs w:val="24"/>
          <w:highlight w:val="none"/>
          <w:u w:val="none"/>
        </w:rPr>
        <w:t>19．   破产终止合同</w:t>
      </w:r>
      <w:bookmarkEnd w:id="910"/>
      <w:bookmarkEnd w:id="911"/>
    </w:p>
    <w:p w14:paraId="4D6373A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p>
    <w:p w14:paraId="7B59A7E9">
      <w:pPr>
        <w:pStyle w:val="7"/>
        <w:spacing w:before="0" w:after="0" w:line="360" w:lineRule="auto"/>
        <w:rPr>
          <w:rFonts w:hint="eastAsia" w:hAnsi="宋体" w:cs="Arial"/>
          <w:bCs/>
          <w:color w:val="auto"/>
          <w:kern w:val="2"/>
          <w:szCs w:val="24"/>
          <w:highlight w:val="none"/>
          <w:u w:val="none"/>
        </w:rPr>
      </w:pPr>
      <w:bookmarkStart w:id="912" w:name="_Toc508113705"/>
      <w:bookmarkStart w:id="913" w:name="_Toc487900369"/>
      <w:r>
        <w:rPr>
          <w:rFonts w:hAnsi="宋体" w:cs="Arial"/>
          <w:bCs/>
          <w:color w:val="auto"/>
          <w:kern w:val="2"/>
          <w:szCs w:val="24"/>
          <w:highlight w:val="none"/>
          <w:u w:val="none"/>
        </w:rPr>
        <w:t>20</w:t>
      </w:r>
      <w:r>
        <w:rPr>
          <w:rFonts w:hAnsi="宋体" w:cs="Arial"/>
          <w:color w:val="auto"/>
          <w:szCs w:val="24"/>
          <w:highlight w:val="none"/>
          <w:u w:val="none"/>
        </w:rPr>
        <w:t>．</w:t>
      </w:r>
      <w:r>
        <w:rPr>
          <w:rFonts w:hAnsi="宋体" w:cs="Arial"/>
          <w:bCs/>
          <w:color w:val="auto"/>
          <w:kern w:val="2"/>
          <w:szCs w:val="24"/>
          <w:highlight w:val="none"/>
          <w:u w:val="none"/>
        </w:rPr>
        <w:t xml:space="preserve">   转让和分包</w:t>
      </w:r>
      <w:bookmarkEnd w:id="912"/>
      <w:bookmarkEnd w:id="913"/>
    </w:p>
    <w:p w14:paraId="398B7D5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20.1   政府采购合同不能整体转让。</w:t>
      </w:r>
    </w:p>
    <w:p w14:paraId="375481CB">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20.2   经买方同意，卖方可以将合同项下非主体、非关键性工作分包给他人完成。但必须在投标文件中载明。接受分包的人应当具备相应的资格条件，并不得再次分包。分包后不能解除卖方履行本合同的责任和义务，接受分包的人与卖方共同对买方连带承担合同的责任和义务。</w:t>
      </w:r>
    </w:p>
    <w:p w14:paraId="40042702">
      <w:pPr>
        <w:spacing w:line="360" w:lineRule="auto"/>
        <w:ind w:left="840" w:hanging="840" w:hangingChars="350"/>
        <w:rPr>
          <w:rFonts w:hint="eastAsia" w:ascii="宋体" w:hAnsi="宋体" w:cs="Arial"/>
          <w:color w:val="auto"/>
          <w:sz w:val="24"/>
          <w:highlight w:val="none"/>
        </w:rPr>
      </w:pPr>
      <w:r>
        <w:rPr>
          <w:rFonts w:ascii="宋体" w:hAnsi="宋体" w:cs="Arial"/>
          <w:color w:val="auto"/>
          <w:sz w:val="24"/>
          <w:highlight w:val="none"/>
        </w:rPr>
        <w:t>20.3   买方允许分包的内容，可在专用条款中另行约定。</w:t>
      </w:r>
    </w:p>
    <w:p w14:paraId="7A593E88">
      <w:pPr>
        <w:pStyle w:val="7"/>
        <w:spacing w:before="0" w:after="0" w:line="360" w:lineRule="auto"/>
        <w:rPr>
          <w:rFonts w:hint="eastAsia" w:hAnsi="宋体" w:cs="Arial"/>
          <w:color w:val="auto"/>
          <w:szCs w:val="24"/>
          <w:highlight w:val="none"/>
          <w:u w:val="none"/>
        </w:rPr>
      </w:pPr>
      <w:bookmarkStart w:id="914" w:name="_Toc487900370"/>
      <w:bookmarkStart w:id="915" w:name="_Toc508113706"/>
      <w:r>
        <w:rPr>
          <w:rFonts w:hAnsi="宋体" w:cs="Arial"/>
          <w:color w:val="auto"/>
          <w:szCs w:val="24"/>
          <w:highlight w:val="none"/>
          <w:u w:val="none"/>
        </w:rPr>
        <w:t>21．   合同修改</w:t>
      </w:r>
      <w:bookmarkEnd w:id="914"/>
      <w:bookmarkEnd w:id="915"/>
    </w:p>
    <w:p w14:paraId="4CC0DA32">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21.1   买方和卖方都不得擅自变更本合同，但合同继续履行将违反法律、行政法规的强制性规定和违背公序良俗的除外。如必须对合同条款进行改动时，当事人双方须共同签署书面文件，作为合同的补充，并报同级政府采购监督管理部门备案。</w:t>
      </w:r>
    </w:p>
    <w:p w14:paraId="1D7F947F">
      <w:pPr>
        <w:pStyle w:val="7"/>
        <w:spacing w:before="0" w:after="0" w:line="360" w:lineRule="auto"/>
        <w:rPr>
          <w:rFonts w:hint="eastAsia" w:hAnsi="宋体" w:cs="Arial"/>
          <w:color w:val="auto"/>
          <w:szCs w:val="24"/>
          <w:highlight w:val="none"/>
          <w:u w:val="none"/>
        </w:rPr>
      </w:pPr>
      <w:bookmarkStart w:id="916" w:name="_Toc508113707"/>
      <w:bookmarkStart w:id="917" w:name="_Toc487900371"/>
      <w:r>
        <w:rPr>
          <w:rFonts w:hAnsi="宋体" w:cs="Arial"/>
          <w:color w:val="auto"/>
          <w:szCs w:val="24"/>
          <w:highlight w:val="none"/>
          <w:u w:val="none"/>
        </w:rPr>
        <w:t>22．   通知</w:t>
      </w:r>
      <w:bookmarkEnd w:id="916"/>
      <w:bookmarkEnd w:id="917"/>
    </w:p>
    <w:p w14:paraId="427087E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22.1   本合同任何一方给另一方的通知，都应以书面形式发送，而另一方也应以书面形式确认并发送到对方明确的地址。</w:t>
      </w:r>
    </w:p>
    <w:p w14:paraId="721B8D59">
      <w:pPr>
        <w:pStyle w:val="7"/>
        <w:spacing w:before="0" w:after="0" w:line="360" w:lineRule="auto"/>
        <w:rPr>
          <w:rFonts w:hint="eastAsia" w:hAnsi="宋体" w:cs="Arial"/>
          <w:color w:val="auto"/>
          <w:szCs w:val="24"/>
          <w:highlight w:val="none"/>
          <w:u w:val="none"/>
        </w:rPr>
      </w:pPr>
      <w:bookmarkStart w:id="918" w:name="_Toc508113708"/>
      <w:bookmarkStart w:id="919" w:name="_Toc487900372"/>
      <w:r>
        <w:rPr>
          <w:rFonts w:hAnsi="宋体" w:cs="Arial"/>
          <w:color w:val="auto"/>
          <w:szCs w:val="24"/>
          <w:highlight w:val="none"/>
          <w:u w:val="none"/>
        </w:rPr>
        <w:t>23．   计量单位</w:t>
      </w:r>
      <w:bookmarkEnd w:id="918"/>
      <w:bookmarkEnd w:id="919"/>
    </w:p>
    <w:p w14:paraId="260A9202">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23.1   除技术规范中另有规定外,计量单位均使用中国法定计量单位。</w:t>
      </w:r>
    </w:p>
    <w:p w14:paraId="7E90282C">
      <w:pPr>
        <w:pStyle w:val="7"/>
        <w:spacing w:before="0" w:after="0" w:line="360" w:lineRule="auto"/>
        <w:rPr>
          <w:rFonts w:hint="eastAsia" w:hAnsi="宋体" w:cs="Arial"/>
          <w:color w:val="auto"/>
          <w:szCs w:val="24"/>
          <w:highlight w:val="none"/>
          <w:u w:val="none"/>
        </w:rPr>
      </w:pPr>
      <w:bookmarkStart w:id="920" w:name="_Toc508113709"/>
      <w:bookmarkStart w:id="921" w:name="_Toc487900373"/>
      <w:r>
        <w:rPr>
          <w:rFonts w:hAnsi="宋体" w:cs="Arial"/>
          <w:color w:val="auto"/>
          <w:szCs w:val="24"/>
          <w:highlight w:val="none"/>
          <w:u w:val="none"/>
        </w:rPr>
        <w:t>24．   适用法律</w:t>
      </w:r>
      <w:bookmarkEnd w:id="920"/>
      <w:bookmarkEnd w:id="921"/>
    </w:p>
    <w:p w14:paraId="7B620AD4">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24.1   本合同的履行、违约责任和解决争议的方法等适用《中华人民共和国</w:t>
      </w:r>
      <w:r>
        <w:rPr>
          <w:rFonts w:hint="eastAsia" w:ascii="宋体" w:hAnsi="宋体" w:cs="Arial"/>
          <w:color w:val="auto"/>
          <w:sz w:val="24"/>
          <w:highlight w:val="none"/>
        </w:rPr>
        <w:t>民法典</w:t>
      </w:r>
      <w:r>
        <w:rPr>
          <w:rFonts w:ascii="宋体" w:hAnsi="宋体" w:cs="Arial"/>
          <w:color w:val="auto"/>
          <w:sz w:val="24"/>
          <w:highlight w:val="none"/>
        </w:rPr>
        <w:t>》。</w:t>
      </w:r>
    </w:p>
    <w:p w14:paraId="7B46681D">
      <w:pPr>
        <w:pStyle w:val="7"/>
        <w:spacing w:before="0" w:after="0" w:line="360" w:lineRule="auto"/>
        <w:rPr>
          <w:rFonts w:hint="eastAsia" w:hAnsi="宋体" w:cs="Arial"/>
          <w:color w:val="auto"/>
          <w:szCs w:val="24"/>
          <w:highlight w:val="none"/>
          <w:u w:val="none"/>
        </w:rPr>
      </w:pPr>
      <w:bookmarkStart w:id="922" w:name="_Toc508113710"/>
      <w:bookmarkStart w:id="923" w:name="_Toc487900374"/>
      <w:r>
        <w:rPr>
          <w:rFonts w:hAnsi="宋体" w:cs="Arial"/>
          <w:color w:val="auto"/>
          <w:szCs w:val="24"/>
          <w:highlight w:val="none"/>
          <w:u w:val="none"/>
        </w:rPr>
        <w:t>25．   履约保证金</w:t>
      </w:r>
      <w:bookmarkEnd w:id="922"/>
    </w:p>
    <w:p w14:paraId="57151F8A">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25.1   卖方应按合同专用条款规定缴纳履约保证金。</w:t>
      </w:r>
    </w:p>
    <w:p w14:paraId="6067C679">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25.2   履约保证金用于补偿买方因卖方不能履行其合同义务而蒙受的损失。</w:t>
      </w:r>
    </w:p>
    <w:p w14:paraId="08360BE4">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25.3   履约保证金应使用本合同货币，按下述方式之一提交：</w:t>
      </w:r>
    </w:p>
    <w:p w14:paraId="1C72EDF1">
      <w:pPr>
        <w:spacing w:line="360" w:lineRule="auto"/>
        <w:ind w:left="899" w:leftChars="428"/>
        <w:rPr>
          <w:rFonts w:hint="eastAsia" w:ascii="宋体" w:hAnsi="宋体" w:cs="Arial"/>
          <w:color w:val="auto"/>
          <w:sz w:val="24"/>
          <w:highlight w:val="none"/>
        </w:rPr>
      </w:pPr>
      <w:r>
        <w:rPr>
          <w:rFonts w:ascii="宋体" w:hAnsi="宋体" w:cs="Arial"/>
          <w:color w:val="auto"/>
          <w:sz w:val="24"/>
          <w:highlight w:val="none"/>
        </w:rPr>
        <w:t>A.买方可接受的在中华人民共和国注册和营业的银行，按招标文件提供的格式（附件8），或其他买方可接受的格式。</w:t>
      </w:r>
    </w:p>
    <w:p w14:paraId="001EEE4D">
      <w:pPr>
        <w:spacing w:line="360" w:lineRule="auto"/>
        <w:ind w:left="898" w:leftChars="399" w:hanging="60" w:hangingChars="25"/>
        <w:rPr>
          <w:rFonts w:hint="eastAsia" w:ascii="宋体" w:hAnsi="宋体" w:cs="Arial"/>
          <w:color w:val="auto"/>
          <w:sz w:val="24"/>
          <w:highlight w:val="none"/>
        </w:rPr>
      </w:pPr>
      <w:r>
        <w:rPr>
          <w:rFonts w:ascii="宋体" w:hAnsi="宋体" w:cs="Arial"/>
          <w:color w:val="auto"/>
          <w:sz w:val="24"/>
          <w:highlight w:val="none"/>
        </w:rPr>
        <w:t>B. 支票、汇票。</w:t>
      </w:r>
    </w:p>
    <w:p w14:paraId="3DA8B8D8">
      <w:pPr>
        <w:spacing w:line="360" w:lineRule="auto"/>
        <w:ind w:left="898" w:leftChars="399" w:hanging="60" w:hangingChars="25"/>
        <w:rPr>
          <w:rFonts w:hint="eastAsia" w:ascii="宋体" w:hAnsi="宋体" w:cs="Arial"/>
          <w:color w:val="auto"/>
          <w:sz w:val="24"/>
          <w:highlight w:val="none"/>
        </w:rPr>
      </w:pPr>
      <w:r>
        <w:rPr>
          <w:rFonts w:ascii="宋体" w:hAnsi="宋体" w:cs="Arial"/>
          <w:color w:val="auto"/>
          <w:sz w:val="24"/>
          <w:highlight w:val="none"/>
        </w:rPr>
        <w:t>C. 政府采购利用担保试点范围内的项目，中标人可以按照财政部门的规定，向采购人提供合格的履约担保函。</w:t>
      </w:r>
    </w:p>
    <w:p w14:paraId="0CC80B25">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25.4</w:t>
      </w:r>
      <w:r>
        <w:rPr>
          <w:rFonts w:ascii="宋体" w:hAnsi="宋体" w:cs="Arial"/>
          <w:color w:val="auto"/>
          <w:sz w:val="24"/>
          <w:highlight w:val="none"/>
        </w:rPr>
        <w:tab/>
      </w:r>
      <w:r>
        <w:rPr>
          <w:rFonts w:ascii="宋体" w:hAnsi="宋体" w:cs="Arial"/>
          <w:color w:val="auto"/>
          <w:sz w:val="24"/>
          <w:highlight w:val="none"/>
        </w:rPr>
        <w:t>履约保证金在法定的货物质量保证期期满前应完全有效。</w:t>
      </w:r>
    </w:p>
    <w:p w14:paraId="71602FAE">
      <w:pPr>
        <w:spacing w:line="360" w:lineRule="auto"/>
        <w:ind w:left="900" w:hanging="900" w:hangingChars="375"/>
        <w:rPr>
          <w:rFonts w:hint="eastAsia" w:ascii="宋体" w:hAnsi="宋体" w:cs="Arial"/>
          <w:color w:val="auto"/>
          <w:sz w:val="24"/>
          <w:highlight w:val="none"/>
        </w:rPr>
      </w:pPr>
      <w:r>
        <w:rPr>
          <w:rFonts w:ascii="宋体" w:hAnsi="宋体" w:cs="Arial"/>
          <w:color w:val="auto"/>
          <w:sz w:val="24"/>
          <w:highlight w:val="none"/>
        </w:rPr>
        <w:t>25.5   如果卖方未能按合同规定履行其义务，买方有权从履约保证金中取得补偿。质量保证期结束后三十(30)天内，买方将把履约保证金退还卖方。履约担保函不予退还。</w:t>
      </w:r>
    </w:p>
    <w:p w14:paraId="12120A9E">
      <w:pPr>
        <w:pStyle w:val="7"/>
        <w:spacing w:before="0" w:after="0" w:line="360" w:lineRule="auto"/>
        <w:rPr>
          <w:rFonts w:hint="eastAsia" w:hAnsi="宋体" w:cs="Arial"/>
          <w:color w:val="auto"/>
          <w:szCs w:val="24"/>
          <w:highlight w:val="none"/>
          <w:u w:val="none"/>
        </w:rPr>
      </w:pPr>
      <w:bookmarkStart w:id="924" w:name="_Toc508113711"/>
      <w:r>
        <w:rPr>
          <w:rFonts w:hAnsi="宋体" w:cs="Arial"/>
          <w:color w:val="auto"/>
          <w:szCs w:val="24"/>
          <w:highlight w:val="none"/>
          <w:u w:val="none"/>
        </w:rPr>
        <w:t>26．   合同生效</w:t>
      </w:r>
      <w:bookmarkEnd w:id="923"/>
      <w:r>
        <w:rPr>
          <w:rFonts w:hAnsi="宋体" w:cs="Arial"/>
          <w:color w:val="auto"/>
          <w:szCs w:val="24"/>
          <w:highlight w:val="none"/>
          <w:u w:val="none"/>
        </w:rPr>
        <w:t>和其它</w:t>
      </w:r>
      <w:bookmarkEnd w:id="924"/>
    </w:p>
    <w:p w14:paraId="592E1229">
      <w:pPr>
        <w:spacing w:line="360" w:lineRule="auto"/>
        <w:ind w:left="840" w:hanging="840" w:hangingChars="350"/>
        <w:rPr>
          <w:rFonts w:hint="eastAsia" w:ascii="宋体" w:hAnsi="宋体" w:cs="Arial"/>
          <w:color w:val="auto"/>
          <w:sz w:val="24"/>
          <w:highlight w:val="none"/>
        </w:rPr>
      </w:pPr>
      <w:bookmarkStart w:id="925" w:name="_Toc219175623"/>
      <w:bookmarkStart w:id="926" w:name="_Toc216513786"/>
      <w:bookmarkStart w:id="927" w:name="_Toc218935339"/>
      <w:r>
        <w:rPr>
          <w:rFonts w:ascii="宋体" w:hAnsi="宋体" w:cs="Arial"/>
          <w:color w:val="auto"/>
          <w:sz w:val="24"/>
          <w:highlight w:val="none"/>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签字盖章并由卖方递交履约保证金后开始生效。</w:t>
      </w:r>
      <w:bookmarkEnd w:id="925"/>
      <w:bookmarkEnd w:id="926"/>
      <w:bookmarkEnd w:id="927"/>
    </w:p>
    <w:p w14:paraId="2F62B774">
      <w:pPr>
        <w:spacing w:line="360" w:lineRule="auto"/>
        <w:rPr>
          <w:rFonts w:ascii="宋体" w:hAnsi="宋体" w:cs="Arial"/>
          <w:color w:val="auto"/>
          <w:sz w:val="24"/>
          <w:highlight w:val="none"/>
        </w:rPr>
      </w:pPr>
      <w:r>
        <w:rPr>
          <w:rFonts w:ascii="宋体" w:hAnsi="宋体" w:cs="Arial"/>
          <w:color w:val="auto"/>
          <w:sz w:val="24"/>
          <w:highlight w:val="none"/>
        </w:rPr>
        <w:t>26.2   本合同份数按合同专用条款规定。</w:t>
      </w:r>
      <w:bookmarkEnd w:id="824"/>
      <w:bookmarkEnd w:id="825"/>
      <w:bookmarkEnd w:id="826"/>
      <w:bookmarkEnd w:id="827"/>
      <w:bookmarkEnd w:id="828"/>
      <w:bookmarkEnd w:id="829"/>
      <w:bookmarkEnd w:id="830"/>
      <w:bookmarkEnd w:id="831"/>
      <w:bookmarkEnd w:id="832"/>
    </w:p>
    <w:p w14:paraId="23D3F26A">
      <w:pPr>
        <w:rPr>
          <w:rFonts w:ascii="宋体" w:hAnsi="宋体" w:cs="Arial"/>
          <w:color w:val="auto"/>
          <w:sz w:val="24"/>
          <w:highlight w:val="none"/>
        </w:rPr>
      </w:pPr>
      <w:r>
        <w:rPr>
          <w:rFonts w:ascii="宋体" w:hAnsi="宋体" w:cs="Arial"/>
          <w:color w:val="auto"/>
          <w:sz w:val="24"/>
          <w:highlight w:val="none"/>
        </w:rPr>
        <w:br w:type="page"/>
      </w:r>
    </w:p>
    <w:p w14:paraId="630AB842">
      <w:pPr>
        <w:spacing w:line="360" w:lineRule="auto"/>
        <w:jc w:val="center"/>
        <w:outlineLvl w:val="0"/>
        <w:rPr>
          <w:rFonts w:hint="eastAsia" w:ascii="宋体" w:hAnsi="宋体" w:eastAsia="宋体" w:cs="宋体"/>
          <w:b/>
          <w:color w:val="auto"/>
          <w:sz w:val="36"/>
          <w:szCs w:val="36"/>
          <w:highlight w:val="none"/>
        </w:rPr>
      </w:pPr>
      <w:bookmarkStart w:id="928" w:name="_Toc99301426"/>
      <w:r>
        <w:rPr>
          <w:rFonts w:hint="eastAsia" w:ascii="宋体" w:hAnsi="宋体" w:eastAsia="宋体" w:cs="宋体"/>
          <w:b/>
          <w:color w:val="auto"/>
          <w:sz w:val="36"/>
          <w:szCs w:val="36"/>
          <w:highlight w:val="none"/>
        </w:rPr>
        <w:t>第七章   投标文件格式</w:t>
      </w:r>
      <w:bookmarkEnd w:id="928"/>
    </w:p>
    <w:p w14:paraId="2D4BA22E">
      <w:pPr>
        <w:tabs>
          <w:tab w:val="left" w:pos="900"/>
          <w:tab w:val="left" w:pos="1980"/>
        </w:tabs>
        <w:snapToGrid w:val="0"/>
        <w:spacing w:line="360" w:lineRule="auto"/>
        <w:ind w:left="142"/>
        <w:rPr>
          <w:rFonts w:hint="eastAsia" w:ascii="宋体" w:hAnsi="宋体" w:eastAsia="宋体" w:cs="宋体"/>
          <w:b/>
          <w:color w:val="auto"/>
          <w:sz w:val="24"/>
          <w:highlight w:val="none"/>
        </w:rPr>
      </w:pPr>
    </w:p>
    <w:p w14:paraId="49998F42">
      <w:pPr>
        <w:tabs>
          <w:tab w:val="left" w:pos="900"/>
          <w:tab w:val="left" w:pos="1980"/>
        </w:tabs>
        <w:snapToGrid w:val="0"/>
        <w:spacing w:line="360" w:lineRule="auto"/>
        <w:ind w:left="142"/>
        <w:rPr>
          <w:rFonts w:hint="eastAsia" w:ascii="宋体" w:hAnsi="宋体" w:eastAsia="宋体" w:cs="宋体"/>
          <w:b/>
          <w:color w:val="auto"/>
          <w:sz w:val="24"/>
          <w:highlight w:val="none"/>
        </w:rPr>
      </w:pPr>
    </w:p>
    <w:p w14:paraId="2319BAEF">
      <w:pPr>
        <w:tabs>
          <w:tab w:val="left" w:pos="900"/>
          <w:tab w:val="left" w:pos="1980"/>
        </w:tabs>
        <w:snapToGrid w:val="0"/>
        <w:spacing w:line="360" w:lineRule="auto"/>
        <w:ind w:left="142"/>
        <w:rPr>
          <w:rFonts w:hint="eastAsia" w:ascii="宋体" w:hAnsi="宋体" w:eastAsia="宋体" w:cs="宋体"/>
          <w:color w:val="auto"/>
          <w:sz w:val="24"/>
          <w:highlight w:val="none"/>
        </w:rPr>
      </w:pPr>
      <w:r>
        <w:rPr>
          <w:rFonts w:hint="eastAsia" w:ascii="宋体" w:hAnsi="宋体" w:eastAsia="宋体" w:cs="宋体"/>
          <w:b/>
          <w:color w:val="auto"/>
          <w:sz w:val="24"/>
          <w:highlight w:val="none"/>
        </w:rPr>
        <w:t>投标人编制文件须知</w:t>
      </w:r>
    </w:p>
    <w:p w14:paraId="2D252224">
      <w:pPr>
        <w:tabs>
          <w:tab w:val="left" w:pos="900"/>
          <w:tab w:val="left" w:pos="1980"/>
        </w:tabs>
        <w:snapToGrid w:val="0"/>
        <w:spacing w:line="360" w:lineRule="auto"/>
        <w:ind w:left="142"/>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1、投标人按照本部分的顺序编制投标文件（资格证明文件）、投标文件（商务技术文件），编制中涉及格式资料的，应按照本部分提供的内容和格式（所有表格的格式可扩展）填写提交。</w:t>
      </w:r>
    </w:p>
    <w:p w14:paraId="049B8537">
      <w:pPr>
        <w:tabs>
          <w:tab w:val="left" w:pos="900"/>
          <w:tab w:val="left" w:pos="1980"/>
        </w:tabs>
        <w:snapToGrid w:val="0"/>
        <w:spacing w:line="360" w:lineRule="auto"/>
        <w:ind w:left="142"/>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kern w:val="0"/>
          <w:sz w:val="24"/>
          <w:highlight w:val="none"/>
        </w:rPr>
        <w:t>对于招标文件中标记了“实质性格式”文件的，</w:t>
      </w:r>
      <w:r>
        <w:rPr>
          <w:rFonts w:hint="eastAsia" w:ascii="宋体" w:hAnsi="宋体" w:eastAsia="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eastAsia="宋体" w:cs="宋体"/>
          <w:color w:val="auto"/>
          <w:kern w:val="0"/>
          <w:sz w:val="24"/>
          <w:highlight w:val="none"/>
        </w:rPr>
        <w:t>否则</w:t>
      </w:r>
      <w:r>
        <w:rPr>
          <w:rFonts w:hint="eastAsia" w:ascii="宋体" w:hAnsi="宋体" w:eastAsia="宋体" w:cs="宋体"/>
          <w:b/>
          <w:color w:val="auto"/>
          <w:kern w:val="0"/>
          <w:sz w:val="24"/>
          <w:highlight w:val="none"/>
        </w:rPr>
        <w:t>投标无效</w:t>
      </w:r>
      <w:r>
        <w:rPr>
          <w:rFonts w:hint="eastAsia" w:ascii="宋体" w:hAnsi="宋体" w:eastAsia="宋体" w:cs="宋体"/>
          <w:color w:val="auto"/>
          <w:kern w:val="0"/>
          <w:sz w:val="24"/>
          <w:highlight w:val="none"/>
        </w:rPr>
        <w:t>。未标记“实质性格式”的文件和招标文件未提供格式的内容，可由投标人自行编写。</w:t>
      </w:r>
    </w:p>
    <w:p w14:paraId="5D52430E">
      <w:pPr>
        <w:tabs>
          <w:tab w:val="left" w:pos="900"/>
          <w:tab w:val="left" w:pos="1980"/>
        </w:tabs>
        <w:snapToGrid w:val="0"/>
        <w:spacing w:line="360" w:lineRule="auto"/>
        <w:ind w:left="142"/>
        <w:rPr>
          <w:rFonts w:hint="eastAsia" w:ascii="宋体" w:hAnsi="宋体" w:eastAsia="宋体" w:cs="宋体"/>
          <w:color w:val="auto"/>
          <w:sz w:val="24"/>
          <w:highlight w:val="none"/>
        </w:rPr>
      </w:pPr>
      <w:r>
        <w:rPr>
          <w:rFonts w:hint="eastAsia" w:ascii="宋体" w:hAnsi="宋体" w:eastAsia="宋体" w:cs="宋体"/>
          <w:color w:val="auto"/>
          <w:sz w:val="24"/>
          <w:highlight w:val="none"/>
        </w:rPr>
        <w:t>3、全部声明和问题的回答及所附材料必须是真实的、准确的和完整的。</w:t>
      </w:r>
    </w:p>
    <w:p w14:paraId="37E35324">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26F96ADD">
      <w:pPr>
        <w:keepNext/>
        <w:keepLines/>
        <w:autoSpaceDE w:val="0"/>
        <w:autoSpaceDN w:val="0"/>
        <w:adjustRightInd w:val="0"/>
        <w:spacing w:before="120" w:line="300" w:lineRule="auto"/>
        <w:jc w:val="left"/>
        <w:outlineLvl w:val="1"/>
        <w:rPr>
          <w:rFonts w:hint="eastAsia" w:ascii="宋体" w:hAnsi="宋体" w:eastAsia="宋体" w:cs="宋体"/>
          <w:b/>
          <w:color w:val="auto"/>
          <w:kern w:val="0"/>
          <w:sz w:val="30"/>
          <w:szCs w:val="20"/>
          <w:highlight w:val="none"/>
        </w:rPr>
      </w:pPr>
      <w:r>
        <w:rPr>
          <w:rFonts w:hint="eastAsia" w:ascii="宋体" w:hAnsi="宋体" w:eastAsia="宋体" w:cs="宋体"/>
          <w:b/>
          <w:color w:val="auto"/>
          <w:spacing w:val="20"/>
          <w:sz w:val="24"/>
          <w:highlight w:val="none"/>
        </w:rPr>
        <w:t>一、资格证明文件格式</w:t>
      </w:r>
    </w:p>
    <w:p w14:paraId="49857182">
      <w:pPr>
        <w:rPr>
          <w:rFonts w:hint="eastAsia" w:ascii="宋体" w:hAnsi="宋体" w:eastAsia="宋体" w:cs="宋体"/>
          <w:b/>
          <w:color w:val="auto"/>
          <w:spacing w:val="20"/>
          <w:szCs w:val="21"/>
          <w:highlight w:val="none"/>
        </w:rPr>
      </w:pPr>
    </w:p>
    <w:p w14:paraId="1F605E2C">
      <w:pPr>
        <w:rPr>
          <w:rFonts w:hint="eastAsia" w:ascii="宋体" w:hAnsi="宋体" w:eastAsia="宋体" w:cs="宋体"/>
          <w:b/>
          <w:color w:val="auto"/>
          <w:sz w:val="24"/>
          <w:highlight w:val="none"/>
        </w:rPr>
      </w:pPr>
      <w:r>
        <w:rPr>
          <w:rFonts w:hint="eastAsia" w:ascii="宋体" w:hAnsi="宋体" w:eastAsia="宋体" w:cs="宋体"/>
          <w:b/>
          <w:color w:val="auto"/>
          <w:spacing w:val="20"/>
          <w:sz w:val="24"/>
          <w:highlight w:val="none"/>
        </w:rPr>
        <w:t>投标文件（资格证明文件）</w:t>
      </w:r>
      <w:r>
        <w:rPr>
          <w:rFonts w:hint="eastAsia" w:ascii="宋体" w:hAnsi="宋体" w:eastAsia="宋体" w:cs="宋体"/>
          <w:b/>
          <w:color w:val="auto"/>
          <w:sz w:val="24"/>
          <w:highlight w:val="none"/>
        </w:rPr>
        <w:t>封面（非实质性格式）</w:t>
      </w:r>
    </w:p>
    <w:p w14:paraId="4F097E92">
      <w:pPr>
        <w:jc w:val="center"/>
        <w:rPr>
          <w:rFonts w:hint="eastAsia" w:ascii="宋体" w:hAnsi="宋体" w:eastAsia="宋体" w:cs="宋体"/>
          <w:color w:val="auto"/>
          <w:szCs w:val="21"/>
          <w:highlight w:val="none"/>
        </w:rPr>
      </w:pPr>
    </w:p>
    <w:p w14:paraId="3A4996E8">
      <w:pPr>
        <w:jc w:val="center"/>
        <w:rPr>
          <w:rFonts w:hint="eastAsia" w:ascii="宋体" w:hAnsi="宋体" w:eastAsia="宋体" w:cs="宋体"/>
          <w:b/>
          <w:color w:val="auto"/>
          <w:spacing w:val="60"/>
          <w:sz w:val="84"/>
          <w:szCs w:val="84"/>
          <w:highlight w:val="none"/>
        </w:rPr>
      </w:pPr>
      <w:r>
        <w:rPr>
          <w:rFonts w:hint="eastAsia" w:ascii="宋体" w:hAnsi="宋体" w:eastAsia="宋体" w:cs="宋体"/>
          <w:b/>
          <w:color w:val="auto"/>
          <w:spacing w:val="60"/>
          <w:sz w:val="84"/>
          <w:szCs w:val="84"/>
          <w:highlight w:val="none"/>
        </w:rPr>
        <w:t>投 标 文 件</w:t>
      </w:r>
    </w:p>
    <w:p w14:paraId="342F2364">
      <w:pPr>
        <w:jc w:val="center"/>
        <w:rPr>
          <w:rFonts w:hint="eastAsia" w:ascii="宋体" w:hAnsi="宋体" w:eastAsia="宋体" w:cs="宋体"/>
          <w:b/>
          <w:color w:val="auto"/>
          <w:spacing w:val="60"/>
          <w:sz w:val="52"/>
          <w:szCs w:val="52"/>
          <w:highlight w:val="none"/>
        </w:rPr>
      </w:pPr>
      <w:r>
        <w:rPr>
          <w:rFonts w:hint="eastAsia" w:ascii="宋体" w:hAnsi="宋体" w:eastAsia="宋体" w:cs="宋体"/>
          <w:b/>
          <w:color w:val="auto"/>
          <w:spacing w:val="60"/>
          <w:sz w:val="52"/>
          <w:szCs w:val="52"/>
          <w:highlight w:val="none"/>
        </w:rPr>
        <w:t>（资格证明文件）</w:t>
      </w:r>
    </w:p>
    <w:p w14:paraId="0F6D7664">
      <w:pPr>
        <w:ind w:firstLine="542" w:firstLineChars="150"/>
        <w:rPr>
          <w:rFonts w:hint="eastAsia" w:ascii="宋体" w:hAnsi="宋体" w:eastAsia="宋体" w:cs="宋体"/>
          <w:b/>
          <w:color w:val="auto"/>
          <w:spacing w:val="20"/>
          <w:sz w:val="32"/>
          <w:szCs w:val="32"/>
          <w:highlight w:val="none"/>
        </w:rPr>
      </w:pPr>
    </w:p>
    <w:p w14:paraId="7563A39B">
      <w:pPr>
        <w:ind w:firstLine="542" w:firstLineChars="150"/>
        <w:rPr>
          <w:rFonts w:hint="eastAsia" w:ascii="宋体" w:hAnsi="宋体" w:eastAsia="宋体" w:cs="宋体"/>
          <w:b/>
          <w:color w:val="auto"/>
          <w:spacing w:val="20"/>
          <w:sz w:val="32"/>
          <w:szCs w:val="32"/>
          <w:highlight w:val="none"/>
        </w:rPr>
      </w:pPr>
    </w:p>
    <w:p w14:paraId="0A8863E1">
      <w:pPr>
        <w:ind w:firstLine="542" w:firstLineChars="150"/>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项目名称:</w:t>
      </w:r>
    </w:p>
    <w:p w14:paraId="2D6C57E0">
      <w:pPr>
        <w:ind w:firstLine="542" w:firstLineChars="150"/>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项目编号/包号：</w:t>
      </w:r>
    </w:p>
    <w:p w14:paraId="3073FB80">
      <w:pPr>
        <w:ind w:firstLine="542" w:firstLineChars="150"/>
        <w:rPr>
          <w:rFonts w:hint="eastAsia" w:ascii="宋体" w:hAnsi="宋体" w:eastAsia="宋体" w:cs="宋体"/>
          <w:b/>
          <w:color w:val="auto"/>
          <w:spacing w:val="20"/>
          <w:sz w:val="32"/>
          <w:szCs w:val="32"/>
          <w:highlight w:val="none"/>
        </w:rPr>
      </w:pPr>
    </w:p>
    <w:p w14:paraId="6C843025">
      <w:pPr>
        <w:ind w:firstLine="542" w:firstLineChars="150"/>
        <w:rPr>
          <w:rFonts w:hint="eastAsia" w:ascii="宋体" w:hAnsi="宋体" w:eastAsia="宋体" w:cs="宋体"/>
          <w:b/>
          <w:color w:val="auto"/>
          <w:spacing w:val="20"/>
          <w:sz w:val="32"/>
          <w:szCs w:val="32"/>
          <w:highlight w:val="none"/>
        </w:rPr>
      </w:pPr>
    </w:p>
    <w:p w14:paraId="2637E2B2">
      <w:pPr>
        <w:jc w:val="center"/>
        <w:rPr>
          <w:rFonts w:hint="eastAsia" w:ascii="宋体" w:hAnsi="宋体" w:eastAsia="宋体" w:cs="宋体"/>
          <w:b/>
          <w:color w:val="auto"/>
          <w:sz w:val="32"/>
          <w:szCs w:val="32"/>
          <w:highlight w:val="none"/>
        </w:rPr>
      </w:pPr>
    </w:p>
    <w:p w14:paraId="490085D4">
      <w:pPr>
        <w:jc w:val="center"/>
        <w:rPr>
          <w:rFonts w:hint="eastAsia" w:ascii="宋体" w:hAnsi="宋体" w:eastAsia="宋体" w:cs="宋体"/>
          <w:b/>
          <w:color w:val="auto"/>
          <w:sz w:val="32"/>
          <w:szCs w:val="32"/>
          <w:highlight w:val="none"/>
        </w:rPr>
      </w:pPr>
    </w:p>
    <w:p w14:paraId="341AF494">
      <w:pPr>
        <w:jc w:val="center"/>
        <w:rPr>
          <w:rFonts w:hint="eastAsia" w:ascii="宋体" w:hAnsi="宋体" w:eastAsia="宋体" w:cs="宋体"/>
          <w:b/>
          <w:color w:val="auto"/>
          <w:sz w:val="32"/>
          <w:szCs w:val="32"/>
          <w:highlight w:val="none"/>
        </w:rPr>
      </w:pPr>
    </w:p>
    <w:p w14:paraId="09258E16">
      <w:pPr>
        <w:jc w:val="center"/>
        <w:rPr>
          <w:rFonts w:hint="eastAsia" w:ascii="宋体" w:hAnsi="宋体" w:eastAsia="宋体" w:cs="宋体"/>
          <w:b/>
          <w:color w:val="auto"/>
          <w:spacing w:val="20"/>
          <w:sz w:val="32"/>
          <w:szCs w:val="32"/>
          <w:highlight w:val="none"/>
        </w:rPr>
      </w:pPr>
    </w:p>
    <w:p w14:paraId="00C89DF0">
      <w:pPr>
        <w:jc w:val="center"/>
        <w:rPr>
          <w:rFonts w:hint="eastAsia" w:ascii="宋体" w:hAnsi="宋体" w:eastAsia="宋体" w:cs="宋体"/>
          <w:b/>
          <w:color w:val="auto"/>
          <w:spacing w:val="20"/>
          <w:sz w:val="32"/>
          <w:szCs w:val="32"/>
          <w:highlight w:val="none"/>
        </w:rPr>
      </w:pPr>
    </w:p>
    <w:p w14:paraId="2B5FBFA7">
      <w:pPr>
        <w:jc w:val="center"/>
        <w:rPr>
          <w:rFonts w:hint="eastAsia" w:ascii="宋体" w:hAnsi="宋体" w:eastAsia="宋体" w:cs="宋体"/>
          <w:b/>
          <w:color w:val="auto"/>
          <w:spacing w:val="20"/>
          <w:sz w:val="32"/>
          <w:szCs w:val="32"/>
          <w:highlight w:val="none"/>
        </w:rPr>
      </w:pPr>
    </w:p>
    <w:p w14:paraId="13483DBE">
      <w:pPr>
        <w:spacing w:line="360" w:lineRule="auto"/>
        <w:ind w:firstLine="1445" w:firstLineChars="400"/>
        <w:jc w:val="left"/>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投标人名称：</w:t>
      </w:r>
    </w:p>
    <w:p w14:paraId="5575595B">
      <w:pPr>
        <w:jc w:val="center"/>
        <w:rPr>
          <w:rFonts w:hint="eastAsia" w:ascii="宋体" w:hAnsi="宋体" w:eastAsia="宋体" w:cs="宋体"/>
          <w:b/>
          <w:color w:val="auto"/>
          <w:sz w:val="32"/>
          <w:szCs w:val="32"/>
          <w:highlight w:val="none"/>
        </w:rPr>
      </w:pPr>
    </w:p>
    <w:p w14:paraId="11F1EA84">
      <w:pPr>
        <w:rPr>
          <w:rFonts w:hint="eastAsia" w:ascii="宋体" w:hAnsi="宋体" w:eastAsia="宋体" w:cs="宋体"/>
          <w:b/>
          <w:color w:val="auto"/>
          <w:highlight w:val="none"/>
        </w:rPr>
      </w:pPr>
      <w:r>
        <w:rPr>
          <w:rFonts w:hint="eastAsia" w:ascii="宋体" w:hAnsi="宋体" w:eastAsia="宋体" w:cs="宋体"/>
          <w:b/>
          <w:color w:val="auto"/>
          <w:spacing w:val="20"/>
          <w:sz w:val="32"/>
          <w:szCs w:val="32"/>
          <w:highlight w:val="none"/>
        </w:rPr>
        <w:br w:type="page"/>
      </w:r>
    </w:p>
    <w:p w14:paraId="08BE7BB6">
      <w:pPr>
        <w:numPr>
          <w:ilvl w:val="0"/>
          <w:numId w:val="21"/>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highlight w:val="none"/>
        </w:rPr>
        <w:t>满足《中华人民共和国政府采购法》第二十二条规定</w:t>
      </w:r>
    </w:p>
    <w:p w14:paraId="0E9C999C">
      <w:pPr>
        <w:spacing w:line="360" w:lineRule="auto"/>
        <w:outlineLvl w:val="2"/>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1-1 营业执照等证明文件</w:t>
      </w:r>
    </w:p>
    <w:p w14:paraId="28BDBAC2">
      <w:pPr>
        <w:tabs>
          <w:tab w:val="left" w:pos="1080"/>
        </w:tabs>
        <w:snapToGrid w:val="0"/>
        <w:rPr>
          <w:rFonts w:hint="eastAsia" w:ascii="宋体" w:hAnsi="宋体" w:eastAsia="宋体" w:cs="宋体"/>
          <w:color w:val="auto"/>
          <w:sz w:val="24"/>
          <w:highlight w:val="none"/>
        </w:rPr>
      </w:pPr>
    </w:p>
    <w:p w14:paraId="11B26A17">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highlight w:val="none"/>
        </w:rPr>
        <w:br w:type="page"/>
      </w:r>
    </w:p>
    <w:p w14:paraId="049C9E05">
      <w:pPr>
        <w:pStyle w:val="7"/>
        <w:rPr>
          <w:rFonts w:hint="eastAsia" w:ascii="宋体" w:hAnsi="宋体" w:eastAsia="宋体" w:cs="宋体"/>
          <w:b w:val="0"/>
          <w:bCs/>
          <w:color w:val="auto"/>
          <w:highlight w:val="none"/>
          <w:u w:val="none"/>
        </w:rPr>
      </w:pPr>
      <w:r>
        <w:rPr>
          <w:rFonts w:hint="eastAsia" w:ascii="宋体" w:hAnsi="宋体" w:eastAsia="宋体" w:cs="宋体"/>
          <w:b w:val="0"/>
          <w:color w:val="auto"/>
          <w:highlight w:val="none"/>
          <w:u w:val="none"/>
        </w:rPr>
        <w:t>1-2 投标人资格声明书</w:t>
      </w:r>
    </w:p>
    <w:p w14:paraId="0766D8FF">
      <w:pPr>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投标人资格声明书</w:t>
      </w:r>
    </w:p>
    <w:p w14:paraId="70DCE032">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采购人或采购代理机构</w:t>
      </w:r>
    </w:p>
    <w:p w14:paraId="6491D14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在参与本次项目投标中，我单位承诺：</w:t>
      </w:r>
    </w:p>
    <w:p w14:paraId="49158474">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具有良好的商业信誉和健全的财务会计制度；</w:t>
      </w:r>
    </w:p>
    <w:p w14:paraId="598727D0">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具有履行合同所必需的设备和专业技术能力；</w:t>
      </w:r>
    </w:p>
    <w:p w14:paraId="310F2FF4">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有依法缴纳税收和社会保障资金的良好记录；</w:t>
      </w:r>
    </w:p>
    <w:p w14:paraId="2EAF71DE">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BB01D67">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我单位不属于政府采购法律、行政法规规定的公益一类事业单位、或使用事业编制且由财政拨款保障的群团组织（仅适用于政府购买服务项目）；</w:t>
      </w:r>
    </w:p>
    <w:p w14:paraId="4E64C465">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我单位不存在为采购项目提供整体设计、规范编制或者项目管理、监理、检测等服务后，再参加该采购项目的其他采购活动的情形（单一来源采购项目除外）；</w:t>
      </w:r>
    </w:p>
    <w:p w14:paraId="0ACF3794">
      <w:pPr>
        <w:numPr>
          <w:ilvl w:val="0"/>
          <w:numId w:val="22"/>
        </w:numPr>
        <w:spacing w:line="360" w:lineRule="auto"/>
        <w:ind w:left="113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与我单位存在“单位负责人为同一人或者存在直接控股、管理关系”的其他法人单位信息如下（如有，不论其是否参加同一合同项下的政府采购活动均须填写）：</w:t>
      </w:r>
    </w:p>
    <w:tbl>
      <w:tblPr>
        <w:tblStyle w:val="43"/>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5410B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4A93D6E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574" w:type="dxa"/>
            <w:vAlign w:val="center"/>
          </w:tcPr>
          <w:p w14:paraId="24A8F1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w:t>
            </w:r>
          </w:p>
        </w:tc>
        <w:tc>
          <w:tcPr>
            <w:tcW w:w="2976" w:type="dxa"/>
            <w:vAlign w:val="center"/>
          </w:tcPr>
          <w:p w14:paraId="0040E1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相互关系</w:t>
            </w:r>
          </w:p>
        </w:tc>
      </w:tr>
      <w:tr w14:paraId="097ED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20CC541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574" w:type="dxa"/>
            <w:vAlign w:val="center"/>
          </w:tcPr>
          <w:p w14:paraId="59C3E26E">
            <w:pPr>
              <w:jc w:val="center"/>
              <w:rPr>
                <w:rFonts w:hint="eastAsia" w:ascii="宋体" w:hAnsi="宋体" w:eastAsia="宋体" w:cs="宋体"/>
                <w:color w:val="auto"/>
                <w:sz w:val="24"/>
                <w:highlight w:val="none"/>
              </w:rPr>
            </w:pPr>
          </w:p>
        </w:tc>
        <w:tc>
          <w:tcPr>
            <w:tcW w:w="2976" w:type="dxa"/>
            <w:vAlign w:val="center"/>
          </w:tcPr>
          <w:p w14:paraId="4AD28681">
            <w:pPr>
              <w:jc w:val="center"/>
              <w:rPr>
                <w:rFonts w:hint="eastAsia" w:ascii="宋体" w:hAnsi="宋体" w:eastAsia="宋体" w:cs="宋体"/>
                <w:color w:val="auto"/>
                <w:sz w:val="24"/>
                <w:highlight w:val="none"/>
              </w:rPr>
            </w:pPr>
          </w:p>
        </w:tc>
      </w:tr>
      <w:tr w14:paraId="67A73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1E302B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574" w:type="dxa"/>
            <w:vAlign w:val="center"/>
          </w:tcPr>
          <w:p w14:paraId="5CEB800A">
            <w:pPr>
              <w:jc w:val="center"/>
              <w:rPr>
                <w:rFonts w:hint="eastAsia" w:ascii="宋体" w:hAnsi="宋体" w:eastAsia="宋体" w:cs="宋体"/>
                <w:color w:val="auto"/>
                <w:sz w:val="24"/>
                <w:highlight w:val="none"/>
              </w:rPr>
            </w:pPr>
          </w:p>
        </w:tc>
        <w:tc>
          <w:tcPr>
            <w:tcW w:w="2976" w:type="dxa"/>
            <w:vAlign w:val="center"/>
          </w:tcPr>
          <w:p w14:paraId="519BF8DE">
            <w:pPr>
              <w:jc w:val="center"/>
              <w:rPr>
                <w:rFonts w:hint="eastAsia" w:ascii="宋体" w:hAnsi="宋体" w:eastAsia="宋体" w:cs="宋体"/>
                <w:color w:val="auto"/>
                <w:sz w:val="24"/>
                <w:highlight w:val="none"/>
              </w:rPr>
            </w:pPr>
          </w:p>
        </w:tc>
      </w:tr>
      <w:tr w14:paraId="66F6A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446F21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4574" w:type="dxa"/>
            <w:vAlign w:val="center"/>
          </w:tcPr>
          <w:p w14:paraId="00C147ED">
            <w:pPr>
              <w:jc w:val="center"/>
              <w:rPr>
                <w:rFonts w:hint="eastAsia" w:ascii="宋体" w:hAnsi="宋体" w:eastAsia="宋体" w:cs="宋体"/>
                <w:color w:val="auto"/>
                <w:sz w:val="24"/>
                <w:highlight w:val="none"/>
              </w:rPr>
            </w:pPr>
          </w:p>
        </w:tc>
        <w:tc>
          <w:tcPr>
            <w:tcW w:w="2976" w:type="dxa"/>
            <w:vAlign w:val="center"/>
          </w:tcPr>
          <w:p w14:paraId="11F10918">
            <w:pPr>
              <w:jc w:val="center"/>
              <w:rPr>
                <w:rFonts w:hint="eastAsia" w:ascii="宋体" w:hAnsi="宋体" w:eastAsia="宋体" w:cs="宋体"/>
                <w:color w:val="auto"/>
                <w:sz w:val="24"/>
                <w:highlight w:val="none"/>
              </w:rPr>
            </w:pPr>
          </w:p>
        </w:tc>
      </w:tr>
    </w:tbl>
    <w:p w14:paraId="1F912149">
      <w:pPr>
        <w:rPr>
          <w:rFonts w:hint="eastAsia" w:ascii="宋体" w:hAnsi="宋体" w:eastAsia="宋体" w:cs="宋体"/>
          <w:color w:val="auto"/>
          <w:highlight w:val="none"/>
        </w:rPr>
      </w:pPr>
    </w:p>
    <w:p w14:paraId="1DB69E3A">
      <w:pPr>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highlight w:val="none"/>
        </w:rPr>
        <w:t>上述声明真实有效，否则我方负全部责任。</w:t>
      </w:r>
    </w:p>
    <w:p w14:paraId="01E0CD19">
      <w:pPr>
        <w:spacing w:line="360" w:lineRule="auto"/>
        <w:rPr>
          <w:rFonts w:hint="eastAsia" w:ascii="宋体" w:hAnsi="宋体" w:eastAsia="宋体" w:cs="宋体"/>
          <w:color w:val="auto"/>
          <w:sz w:val="24"/>
          <w:highlight w:val="none"/>
        </w:rPr>
      </w:pPr>
    </w:p>
    <w:p w14:paraId="2828EA23">
      <w:pPr>
        <w:autoSpaceDE w:val="0"/>
        <w:autoSpaceDN w:val="0"/>
        <w:adjustRightInd w:val="0"/>
        <w:snapToGrid w:val="0"/>
        <w:spacing w:before="25" w:after="25" w:line="360" w:lineRule="auto"/>
        <w:jc w:val="right"/>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    ____________</w:t>
      </w:r>
    </w:p>
    <w:p w14:paraId="44AB0115">
      <w:pPr>
        <w:spacing w:line="360" w:lineRule="auto"/>
        <w:ind w:right="360" w:firstLine="480"/>
        <w:jc w:val="right"/>
        <w:rPr>
          <w:rFonts w:hint="eastAsia" w:ascii="宋体" w:hAnsi="宋体" w:eastAsia="宋体" w:cs="宋体"/>
          <w:color w:val="auto"/>
          <w:sz w:val="24"/>
          <w:highlight w:val="none"/>
        </w:rPr>
      </w:pPr>
      <w:r>
        <w:rPr>
          <w:rFonts w:hint="eastAsia" w:ascii="宋体" w:hAnsi="宋体" w:eastAsia="宋体" w:cs="宋体"/>
          <w:color w:val="auto"/>
          <w:sz w:val="24"/>
          <w:szCs w:val="20"/>
          <w:highlight w:val="none"/>
        </w:rPr>
        <w:t xml:space="preserve">日期：_____年______月______日   </w:t>
      </w:r>
    </w:p>
    <w:p w14:paraId="6F554E3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说明：供应商承诺不实的，依据《政府采购法》第七十七条“提供虚假材料谋取中标、成交的”有关规定予以处理。</w:t>
      </w:r>
    </w:p>
    <w:p w14:paraId="36A711D7">
      <w:pPr>
        <w:tabs>
          <w:tab w:val="left" w:pos="5580"/>
        </w:tabs>
        <w:spacing w:line="360" w:lineRule="auto"/>
        <w:rPr>
          <w:rFonts w:hint="eastAsia" w:ascii="宋体" w:hAnsi="宋体" w:eastAsia="宋体" w:cs="宋体"/>
          <w:color w:val="auto"/>
          <w:sz w:val="24"/>
          <w:highlight w:val="none"/>
        </w:rPr>
        <w:sectPr>
          <w:headerReference r:id="rId17" w:type="default"/>
          <w:footerReference r:id="rId18" w:type="default"/>
          <w:pgSz w:w="11907" w:h="16840"/>
          <w:pgMar w:top="1418" w:right="1134" w:bottom="1418" w:left="1701" w:header="851" w:footer="851" w:gutter="0"/>
          <w:cols w:space="720" w:num="1"/>
          <w:docGrid w:linePitch="462" w:charSpace="0"/>
        </w:sectPr>
      </w:pPr>
    </w:p>
    <w:p w14:paraId="426427DE">
      <w:pPr>
        <w:numPr>
          <w:ilvl w:val="0"/>
          <w:numId w:val="21"/>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落实政府采购政策需满足的资格要求（如有）</w:t>
      </w:r>
    </w:p>
    <w:p w14:paraId="175A436C">
      <w:pPr>
        <w:spacing w:line="360" w:lineRule="auto"/>
        <w:outlineLvl w:val="2"/>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2-1 中小企业政策证明文件</w:t>
      </w:r>
    </w:p>
    <w:p w14:paraId="7CD93C8E">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34F507E0">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73BF29E">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11D773DD">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11849E4F">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（4）如本项目（包）预留部分采购项目预算专门面向中小企业采购，且要求供应商以联合体形式参加采购活动</w:t>
      </w:r>
      <w:r>
        <w:rPr>
          <w:rFonts w:hint="eastAsia" w:ascii="宋体" w:hAnsi="宋体" w:eastAsia="宋体" w:cs="宋体"/>
          <w:color w:val="auto"/>
          <w:highlight w:val="none"/>
        </w:rPr>
        <w:t>，</w:t>
      </w:r>
      <w:bookmarkStart w:id="929" w:name="_Hlk145526067"/>
      <w:r>
        <w:rPr>
          <w:rFonts w:hint="eastAsia" w:ascii="宋体" w:hAnsi="宋体" w:eastAsia="宋体" w:cs="宋体"/>
          <w:color w:val="auto"/>
          <w:sz w:val="24"/>
          <w:highlight w:val="none"/>
        </w:rPr>
        <w:t>如供应商为联合体的，</w:t>
      </w:r>
      <w:bookmarkEnd w:id="929"/>
      <w:r>
        <w:rPr>
          <w:rFonts w:hint="eastAsia" w:ascii="宋体" w:hAnsi="宋体" w:eastAsia="宋体" w:cs="宋体"/>
          <w:color w:val="auto"/>
          <w:sz w:val="24"/>
          <w:highlight w:val="none"/>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27B9F8F2">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（5）中小企业声明函填写注意事项</w:t>
      </w:r>
    </w:p>
    <w:p w14:paraId="249010E4">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1）《中小企业声明函》由参加政府采购活动的投标人出具。联合体投标的，《中小企业声明函》可由牵头人出具。</w:t>
      </w:r>
    </w:p>
    <w:p w14:paraId="45E4BE6A">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369BC33">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3）对于多标的采购项目，投标人应充分、准确地了解所提供货物的制造企业、提供服务的承接企业信息。对相关情况了解不清楚的，不建议填报本声明函。</w:t>
      </w:r>
    </w:p>
    <w:p w14:paraId="3A65EC9C">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金融业企业划型标准规定》（〔2015〕309 号）等国务院批准的中小企业划分标准执行。</w:t>
      </w:r>
    </w:p>
    <w:p w14:paraId="7332EEB7">
      <w:pPr>
        <w:tabs>
          <w:tab w:val="left" w:pos="5580"/>
        </w:tabs>
        <w:spacing w:line="360" w:lineRule="auto"/>
        <w:rPr>
          <w:rFonts w:hint="eastAsia" w:ascii="宋体" w:hAnsi="宋体" w:eastAsia="宋体" w:cs="宋体"/>
          <w:color w:val="auto"/>
          <w:sz w:val="24"/>
          <w:highlight w:val="none"/>
        </w:rPr>
      </w:pPr>
    </w:p>
    <w:p w14:paraId="03FCDEB7">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6529F645">
      <w:pPr>
        <w:pStyle w:val="8"/>
        <w:rPr>
          <w:rFonts w:hint="eastAsia" w:ascii="宋体" w:hAnsi="宋体" w:eastAsia="宋体" w:cs="宋体"/>
          <w:color w:val="auto"/>
          <w:highlight w:val="none"/>
        </w:rPr>
      </w:pPr>
      <w:r>
        <w:rPr>
          <w:rFonts w:hint="eastAsia" w:ascii="宋体" w:hAnsi="宋体" w:eastAsia="宋体" w:cs="宋体"/>
          <w:color w:val="auto"/>
          <w:highlight w:val="none"/>
        </w:rPr>
        <w:t>2-1-1 中小企业证明文件</w:t>
      </w:r>
    </w:p>
    <w:p w14:paraId="4CDBB43B">
      <w:pPr>
        <w:spacing w:before="240" w:beforeLines="100" w:after="240" w:afterLines="100" w:line="360" w:lineRule="auto"/>
        <w:jc w:val="center"/>
        <w:rPr>
          <w:rFonts w:hint="eastAsia" w:ascii="宋体" w:hAnsi="宋体" w:eastAsia="宋体" w:cs="宋体"/>
          <w:b/>
          <w:color w:val="auto"/>
          <w:sz w:val="36"/>
          <w:szCs w:val="36"/>
          <w:highlight w:val="none"/>
        </w:rPr>
      </w:pPr>
      <w:r>
        <w:rPr>
          <w:rFonts w:hint="eastAsia" w:ascii="宋体" w:hAnsi="宋体" w:eastAsia="宋体" w:cs="宋体"/>
          <w:b/>
          <w:bCs/>
          <w:color w:val="auto"/>
          <w:sz w:val="36"/>
          <w:szCs w:val="36"/>
          <w:highlight w:val="none"/>
        </w:rPr>
        <w:t>中小企业声明函（货物）格式</w:t>
      </w:r>
    </w:p>
    <w:p w14:paraId="239E2190">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047A5AE5">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1.</w:t>
      </w:r>
      <w:r>
        <w:rPr>
          <w:rFonts w:hint="eastAsia" w:ascii="宋体" w:hAnsi="宋体" w:eastAsia="宋体" w:cs="宋体"/>
          <w:color w:val="auto"/>
          <w:spacing w:val="6"/>
          <w:sz w:val="24"/>
          <w:highlight w:val="none"/>
          <w:u w:val="single"/>
        </w:rPr>
        <w:t>（标的名称）</w:t>
      </w:r>
      <w:r>
        <w:rPr>
          <w:rFonts w:hint="eastAsia" w:ascii="宋体" w:hAnsi="宋体" w:eastAsia="宋体" w:cs="宋体"/>
          <w:color w:val="auto"/>
          <w:spacing w:val="6"/>
          <w:sz w:val="24"/>
          <w:highlight w:val="none"/>
        </w:rPr>
        <w:t>，属于</w:t>
      </w:r>
      <w:r>
        <w:rPr>
          <w:rFonts w:hint="eastAsia" w:ascii="宋体" w:hAnsi="宋体" w:eastAsia="宋体" w:cs="宋体"/>
          <w:color w:val="auto"/>
          <w:spacing w:val="6"/>
          <w:sz w:val="24"/>
          <w:highlight w:val="none"/>
          <w:u w:val="single"/>
        </w:rPr>
        <w:t>（采购文件中明确的所属行业）</w:t>
      </w:r>
      <w:r>
        <w:rPr>
          <w:rFonts w:hint="eastAsia" w:ascii="宋体" w:hAnsi="宋体" w:eastAsia="宋体" w:cs="宋体"/>
          <w:color w:val="auto"/>
          <w:spacing w:val="6"/>
          <w:sz w:val="24"/>
          <w:highlight w:val="none"/>
        </w:rPr>
        <w:t>行业；制造商为</w:t>
      </w:r>
      <w:r>
        <w:rPr>
          <w:rFonts w:hint="eastAsia" w:ascii="宋体" w:hAnsi="宋体" w:eastAsia="宋体" w:cs="宋体"/>
          <w:color w:val="auto"/>
          <w:spacing w:val="6"/>
          <w:sz w:val="24"/>
          <w:highlight w:val="none"/>
          <w:u w:val="single"/>
        </w:rPr>
        <w:t>（企业名称）</w:t>
      </w:r>
      <w:r>
        <w:rPr>
          <w:rFonts w:hint="eastAsia" w:ascii="宋体" w:hAnsi="宋体" w:eastAsia="宋体" w:cs="宋体"/>
          <w:color w:val="auto"/>
          <w:spacing w:val="6"/>
          <w:sz w:val="24"/>
          <w:highlight w:val="none"/>
        </w:rPr>
        <w:t>，从业人员______人，营业收入为______万元，资产总额为______万元</w:t>
      </w:r>
      <w:r>
        <w:rPr>
          <w:rFonts w:hint="eastAsia" w:ascii="宋体" w:hAnsi="宋体" w:eastAsia="宋体" w:cs="宋体"/>
          <w:color w:val="auto"/>
          <w:spacing w:val="6"/>
          <w:sz w:val="24"/>
          <w:highlight w:val="none"/>
          <w:vertAlign w:val="superscript"/>
        </w:rPr>
        <w:t>1</w:t>
      </w:r>
      <w:r>
        <w:rPr>
          <w:rFonts w:hint="eastAsia" w:ascii="宋体" w:hAnsi="宋体" w:eastAsia="宋体" w:cs="宋体"/>
          <w:color w:val="auto"/>
          <w:spacing w:val="6"/>
          <w:sz w:val="24"/>
          <w:highlight w:val="none"/>
        </w:rPr>
        <w:t>，属于（中型企业、小型企业、微型企业）；</w:t>
      </w:r>
    </w:p>
    <w:p w14:paraId="64FDC4E7">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2.</w:t>
      </w:r>
      <w:r>
        <w:rPr>
          <w:rFonts w:hint="eastAsia" w:ascii="宋体" w:hAnsi="宋体" w:eastAsia="宋体" w:cs="宋体"/>
          <w:color w:val="auto"/>
          <w:spacing w:val="6"/>
          <w:sz w:val="24"/>
          <w:highlight w:val="none"/>
          <w:u w:val="single"/>
        </w:rPr>
        <w:t>（标的名称）</w:t>
      </w:r>
      <w:r>
        <w:rPr>
          <w:rFonts w:hint="eastAsia" w:ascii="宋体" w:hAnsi="宋体" w:eastAsia="宋体" w:cs="宋体"/>
          <w:color w:val="auto"/>
          <w:spacing w:val="6"/>
          <w:sz w:val="24"/>
          <w:highlight w:val="none"/>
        </w:rPr>
        <w:t>，属于</w:t>
      </w:r>
      <w:r>
        <w:rPr>
          <w:rFonts w:hint="eastAsia" w:ascii="宋体" w:hAnsi="宋体" w:eastAsia="宋体" w:cs="宋体"/>
          <w:color w:val="auto"/>
          <w:spacing w:val="6"/>
          <w:sz w:val="24"/>
          <w:highlight w:val="none"/>
          <w:u w:val="single"/>
        </w:rPr>
        <w:t>（采购文件中明确的所属行业）</w:t>
      </w:r>
      <w:r>
        <w:rPr>
          <w:rFonts w:hint="eastAsia" w:ascii="宋体" w:hAnsi="宋体" w:eastAsia="宋体" w:cs="宋体"/>
          <w:color w:val="auto"/>
          <w:spacing w:val="6"/>
          <w:sz w:val="24"/>
          <w:highlight w:val="none"/>
        </w:rPr>
        <w:t>行业；制造商为</w:t>
      </w:r>
      <w:r>
        <w:rPr>
          <w:rFonts w:hint="eastAsia" w:ascii="宋体" w:hAnsi="宋体" w:eastAsia="宋体" w:cs="宋体"/>
          <w:color w:val="auto"/>
          <w:spacing w:val="6"/>
          <w:sz w:val="24"/>
          <w:highlight w:val="none"/>
          <w:u w:val="single"/>
        </w:rPr>
        <w:t>（企业名称）</w:t>
      </w:r>
      <w:r>
        <w:rPr>
          <w:rFonts w:hint="eastAsia" w:ascii="宋体" w:hAnsi="宋体" w:eastAsia="宋体" w:cs="宋体"/>
          <w:color w:val="auto"/>
          <w:spacing w:val="6"/>
          <w:sz w:val="24"/>
          <w:highlight w:val="none"/>
        </w:rPr>
        <w:t>，从业人员______人，营业收入为______万元，资产总额为______万元，属于</w:t>
      </w:r>
      <w:r>
        <w:rPr>
          <w:rFonts w:hint="eastAsia" w:ascii="宋体" w:hAnsi="宋体" w:eastAsia="宋体" w:cs="宋体"/>
          <w:color w:val="auto"/>
          <w:spacing w:val="6"/>
          <w:sz w:val="24"/>
          <w:highlight w:val="none"/>
          <w:u w:val="single"/>
        </w:rPr>
        <w:t>（中型企业、小型企业、微型企业）</w:t>
      </w:r>
      <w:r>
        <w:rPr>
          <w:rFonts w:hint="eastAsia" w:ascii="宋体" w:hAnsi="宋体" w:eastAsia="宋体" w:cs="宋体"/>
          <w:color w:val="auto"/>
          <w:spacing w:val="6"/>
          <w:sz w:val="24"/>
          <w:highlight w:val="none"/>
        </w:rPr>
        <w:t>；</w:t>
      </w:r>
    </w:p>
    <w:p w14:paraId="7677B738">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w:t>
      </w:r>
    </w:p>
    <w:p w14:paraId="69BCCF5C">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以上企业，不属于大企业的分支机构，不存在控股股东为大企业的情形，也不存在与大企业的负责人为同一人的情形。</w:t>
      </w:r>
    </w:p>
    <w:p w14:paraId="0B6BEB8B">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本企业对上述声明内容的真实性负责。如有虚假，将依法承担相应责任。</w:t>
      </w:r>
    </w:p>
    <w:p w14:paraId="4637F548">
      <w:pPr>
        <w:spacing w:after="0" w:line="360" w:lineRule="auto"/>
        <w:ind w:firstLine="504"/>
        <w:rPr>
          <w:rFonts w:hint="eastAsia" w:ascii="宋体" w:hAnsi="宋体" w:eastAsia="宋体" w:cs="宋体"/>
          <w:color w:val="auto"/>
          <w:spacing w:val="6"/>
          <w:sz w:val="24"/>
          <w:highlight w:val="none"/>
        </w:rPr>
      </w:pPr>
    </w:p>
    <w:p w14:paraId="6BC9B76D">
      <w:pPr>
        <w:spacing w:after="0" w:line="360" w:lineRule="auto"/>
        <w:ind w:right="360" w:firstLine="48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企业名称（盖章）：________</w:t>
      </w:r>
    </w:p>
    <w:p w14:paraId="348EBC7F">
      <w:pPr>
        <w:spacing w:after="0" w:line="360" w:lineRule="auto"/>
        <w:ind w:right="360" w:firstLine="48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日期：________</w:t>
      </w:r>
    </w:p>
    <w:p w14:paraId="62E21D31">
      <w:pPr>
        <w:spacing w:after="0" w:line="360" w:lineRule="auto"/>
        <w:ind w:right="360" w:firstLine="480"/>
        <w:jc w:val="right"/>
        <w:rPr>
          <w:rFonts w:hint="eastAsia" w:ascii="宋体" w:hAnsi="宋体" w:eastAsia="宋体" w:cs="宋体"/>
          <w:color w:val="auto"/>
          <w:sz w:val="24"/>
          <w:highlight w:val="none"/>
        </w:rPr>
      </w:pPr>
    </w:p>
    <w:p w14:paraId="1786BE77">
      <w:pPr>
        <w:spacing w:after="0" w:line="360" w:lineRule="auto"/>
        <w:ind w:right="360" w:firstLine="480"/>
        <w:jc w:val="right"/>
        <w:rPr>
          <w:rFonts w:hint="eastAsia" w:ascii="宋体" w:hAnsi="宋体" w:eastAsia="宋体" w:cs="宋体"/>
          <w:color w:val="auto"/>
          <w:sz w:val="24"/>
          <w:highlight w:val="none"/>
        </w:rPr>
      </w:pPr>
    </w:p>
    <w:tbl>
      <w:tblPr>
        <w:tblStyle w:val="43"/>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32CB441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274590A8">
            <w:pPr>
              <w:adjustRightInd w:val="0"/>
              <w:snapToGrid w:val="0"/>
              <w:spacing w:after="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vertAlign w:val="superscript"/>
              </w:rPr>
              <w:t>1</w:t>
            </w:r>
            <w:r>
              <w:rPr>
                <w:rFonts w:hint="eastAsia" w:ascii="宋体" w:hAnsi="宋体" w:eastAsia="宋体" w:cs="宋体"/>
                <w:color w:val="auto"/>
                <w:szCs w:val="21"/>
                <w:highlight w:val="none"/>
              </w:rPr>
              <w:t>从业人员、营业收入、资产总额填报上一年度数据，无上一年度数据的新成立企业可不填报。</w:t>
            </w:r>
          </w:p>
        </w:tc>
      </w:tr>
    </w:tbl>
    <w:p w14:paraId="5DDF682A">
      <w:pPr>
        <w:widowControl/>
        <w:spacing w:after="0" w:line="240" w:lineRule="auto"/>
        <w:jc w:val="center"/>
        <w:rPr>
          <w:rFonts w:hint="eastAsia" w:ascii="宋体" w:hAnsi="宋体" w:eastAsia="宋体" w:cs="宋体"/>
          <w:b/>
          <w:color w:val="auto"/>
          <w:sz w:val="36"/>
          <w:szCs w:val="36"/>
          <w:highlight w:val="none"/>
        </w:rPr>
      </w:pPr>
      <w:r>
        <w:rPr>
          <w:rFonts w:hint="eastAsia" w:ascii="宋体" w:hAnsi="宋体" w:eastAsia="宋体" w:cs="宋体"/>
          <w:color w:val="auto"/>
          <w:sz w:val="24"/>
          <w:szCs w:val="20"/>
          <w:highlight w:val="none"/>
        </w:rPr>
        <w:br w:type="page"/>
      </w:r>
      <w:r>
        <w:rPr>
          <w:rFonts w:hint="eastAsia" w:ascii="宋体" w:hAnsi="宋体" w:eastAsia="宋体" w:cs="宋体"/>
          <w:b/>
          <w:bCs/>
          <w:color w:val="auto"/>
          <w:sz w:val="36"/>
          <w:szCs w:val="36"/>
          <w:highlight w:val="none"/>
        </w:rPr>
        <w:t>残疾人福利性单位声明函格式</w:t>
      </w:r>
    </w:p>
    <w:p w14:paraId="5EABFDCE">
      <w:pPr>
        <w:spacing w:line="588" w:lineRule="exact"/>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 141</w:t>
      </w:r>
      <w:r>
        <w:rPr>
          <w:rFonts w:hint="eastAsia" w:ascii="宋体" w:hAnsi="宋体" w:eastAsia="宋体" w:cs="宋体"/>
          <w:color w:val="auto"/>
          <w:spacing w:val="6"/>
          <w:sz w:val="24"/>
          <w:highlight w:val="none"/>
        </w:rPr>
        <w:t>号）的规定，本单位</w:t>
      </w:r>
      <w:r>
        <w:rPr>
          <w:rFonts w:hint="eastAsia" w:ascii="宋体" w:hAnsi="宋体" w:eastAsia="宋体" w:cs="宋体"/>
          <w:b/>
          <w:color w:val="auto"/>
          <w:sz w:val="24"/>
          <w:highlight w:val="none"/>
        </w:rPr>
        <w:t>（请进行选择）</w:t>
      </w:r>
      <w:r>
        <w:rPr>
          <w:rFonts w:hint="eastAsia" w:ascii="宋体" w:hAnsi="宋体" w:eastAsia="宋体" w:cs="宋体"/>
          <w:color w:val="auto"/>
          <w:spacing w:val="6"/>
          <w:sz w:val="24"/>
          <w:highlight w:val="none"/>
        </w:rPr>
        <w:t>：</w:t>
      </w:r>
    </w:p>
    <w:p w14:paraId="0734ACEB">
      <w:pPr>
        <w:spacing w:line="588" w:lineRule="exact"/>
        <w:ind w:firstLine="482"/>
        <w:rPr>
          <w:rFonts w:hint="eastAsia" w:ascii="宋体" w:hAnsi="宋体" w:eastAsia="宋体" w:cs="宋体"/>
          <w:b/>
          <w:color w:val="auto"/>
          <w:spacing w:val="6"/>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pacing w:val="6"/>
          <w:sz w:val="24"/>
          <w:highlight w:val="none"/>
        </w:rPr>
        <w:t>不属于符合条件的残疾人福利性单位。</w:t>
      </w:r>
    </w:p>
    <w:p w14:paraId="0ADA6820">
      <w:pPr>
        <w:spacing w:line="588" w:lineRule="exact"/>
        <w:ind w:firstLine="482"/>
        <w:rPr>
          <w:rFonts w:hint="eastAsia" w:ascii="宋体" w:hAnsi="宋体" w:eastAsia="宋体" w:cs="宋体"/>
          <w:color w:val="auto"/>
          <w:spacing w:val="6"/>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pacing w:val="6"/>
          <w:sz w:val="24"/>
          <w:highlight w:val="none"/>
        </w:rPr>
        <w:t>属于符合条件的残疾人福利性单位，</w:t>
      </w:r>
      <w:r>
        <w:rPr>
          <w:rFonts w:hint="eastAsia" w:ascii="宋体" w:hAnsi="宋体" w:eastAsia="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77D9424D">
      <w:pPr>
        <w:spacing w:line="588" w:lineRule="exact"/>
        <w:ind w:firstLine="506" w:firstLineChars="200"/>
        <w:rPr>
          <w:rFonts w:hint="eastAsia" w:ascii="宋体" w:hAnsi="宋体" w:eastAsia="宋体" w:cs="宋体"/>
          <w:color w:val="auto"/>
          <w:spacing w:val="6"/>
          <w:sz w:val="24"/>
          <w:highlight w:val="none"/>
        </w:rPr>
      </w:pPr>
      <w:r>
        <w:rPr>
          <w:rFonts w:hint="eastAsia" w:ascii="宋体" w:hAnsi="宋体" w:eastAsia="宋体" w:cs="宋体"/>
          <w:b/>
          <w:color w:val="auto"/>
          <w:spacing w:val="6"/>
          <w:sz w:val="24"/>
          <w:highlight w:val="none"/>
        </w:rPr>
        <w:t>本单位对上述声明的真实性负责。如有虚假，将依法承担相应责任。</w:t>
      </w:r>
    </w:p>
    <w:p w14:paraId="64D18A64">
      <w:pPr>
        <w:spacing w:line="588" w:lineRule="exact"/>
        <w:ind w:firstLine="504" w:firstLineChars="200"/>
        <w:rPr>
          <w:rFonts w:hint="eastAsia" w:ascii="宋体" w:hAnsi="宋体" w:eastAsia="宋体" w:cs="宋体"/>
          <w:color w:val="auto"/>
          <w:spacing w:val="6"/>
          <w:sz w:val="24"/>
          <w:highlight w:val="none"/>
        </w:rPr>
      </w:pPr>
    </w:p>
    <w:p w14:paraId="55B7196F">
      <w:pPr>
        <w:spacing w:line="588" w:lineRule="exact"/>
        <w:ind w:firstLine="504" w:firstLineChars="200"/>
        <w:rPr>
          <w:rFonts w:hint="eastAsia" w:ascii="宋体" w:hAnsi="宋体" w:eastAsia="宋体" w:cs="宋体"/>
          <w:color w:val="auto"/>
          <w:spacing w:val="6"/>
          <w:sz w:val="24"/>
          <w:highlight w:val="none"/>
        </w:rPr>
      </w:pPr>
    </w:p>
    <w:p w14:paraId="6C57A1DF">
      <w:pPr>
        <w:tabs>
          <w:tab w:val="left" w:pos="4860"/>
        </w:tabs>
        <w:spacing w:line="588" w:lineRule="exact"/>
        <w:ind w:right="1560" w:firstLine="504" w:firstLineChars="200"/>
        <w:jc w:val="center"/>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 xml:space="preserve">               单位名称（盖章）：</w:t>
      </w:r>
    </w:p>
    <w:p w14:paraId="78E9CD16">
      <w:pPr>
        <w:tabs>
          <w:tab w:val="left" w:pos="4860"/>
        </w:tabs>
        <w:spacing w:line="588" w:lineRule="exact"/>
        <w:ind w:right="1560" w:firstLine="504" w:firstLineChars="200"/>
        <w:jc w:val="center"/>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 xml:space="preserve">       日  期：</w:t>
      </w:r>
    </w:p>
    <w:p w14:paraId="3C6DC68B">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p>
    <w:p w14:paraId="5A669E95">
      <w:pPr>
        <w:pStyle w:val="8"/>
        <w:rPr>
          <w:rFonts w:hint="eastAsia" w:ascii="宋体" w:hAnsi="宋体" w:eastAsia="宋体" w:cs="宋体"/>
          <w:color w:val="auto"/>
          <w:highlight w:val="none"/>
        </w:rPr>
      </w:pPr>
      <w:r>
        <w:rPr>
          <w:rFonts w:hint="eastAsia" w:ascii="宋体" w:hAnsi="宋体" w:eastAsia="宋体" w:cs="宋体"/>
          <w:color w:val="auto"/>
          <w:highlight w:val="none"/>
        </w:rPr>
        <w:t>2-1-2 拟分包情况说明及分包意向协议</w:t>
      </w:r>
    </w:p>
    <w:p w14:paraId="2DDE9D09">
      <w:pPr>
        <w:autoSpaceDE w:val="0"/>
        <w:autoSpaceDN w:val="0"/>
        <w:adjustRightInd w:val="0"/>
        <w:jc w:val="center"/>
        <w:rPr>
          <w:rFonts w:hint="eastAsia" w:ascii="宋体" w:hAnsi="宋体" w:eastAsia="宋体" w:cs="宋体"/>
          <w:color w:val="auto"/>
          <w:sz w:val="30"/>
          <w:szCs w:val="30"/>
          <w:highlight w:val="none"/>
        </w:rPr>
      </w:pPr>
    </w:p>
    <w:p w14:paraId="503B331E">
      <w:pPr>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拟分包情况说明</w:t>
      </w:r>
    </w:p>
    <w:p w14:paraId="0A24DF5E">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（采购人或采购代理机构）</w:t>
      </w:r>
    </w:p>
    <w:p w14:paraId="4399C7FB">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3EBD4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7D99AFD0">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287" w:type="dxa"/>
            <w:vAlign w:val="center"/>
          </w:tcPr>
          <w:p w14:paraId="0BFAB148">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分包承担</w:t>
            </w:r>
          </w:p>
          <w:p w14:paraId="2B6FCE3B">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主体名称</w:t>
            </w:r>
          </w:p>
        </w:tc>
        <w:tc>
          <w:tcPr>
            <w:tcW w:w="1513" w:type="dxa"/>
            <w:vAlign w:val="center"/>
          </w:tcPr>
          <w:p w14:paraId="7B477450">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分包承担</w:t>
            </w:r>
          </w:p>
          <w:p w14:paraId="7F461AD1">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主体类型</w:t>
            </w:r>
          </w:p>
          <w:p w14:paraId="3F7FCA93">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（选择）</w:t>
            </w:r>
          </w:p>
        </w:tc>
        <w:tc>
          <w:tcPr>
            <w:tcW w:w="1125" w:type="dxa"/>
            <w:vAlign w:val="center"/>
          </w:tcPr>
          <w:p w14:paraId="248B2C9D">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资质等级</w:t>
            </w:r>
          </w:p>
        </w:tc>
        <w:tc>
          <w:tcPr>
            <w:tcW w:w="1561" w:type="dxa"/>
            <w:vAlign w:val="center"/>
          </w:tcPr>
          <w:p w14:paraId="0A3B5A41">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拟分包</w:t>
            </w:r>
          </w:p>
          <w:p w14:paraId="22023393">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合同内容</w:t>
            </w:r>
          </w:p>
        </w:tc>
        <w:tc>
          <w:tcPr>
            <w:tcW w:w="1498" w:type="dxa"/>
            <w:vAlign w:val="center"/>
          </w:tcPr>
          <w:p w14:paraId="49815E93">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拟分包</w:t>
            </w:r>
          </w:p>
          <w:p w14:paraId="031614E2">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合同金额</w:t>
            </w:r>
          </w:p>
          <w:p w14:paraId="012BCFAA">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（人民币元）</w:t>
            </w:r>
          </w:p>
        </w:tc>
        <w:tc>
          <w:tcPr>
            <w:tcW w:w="1564" w:type="dxa"/>
            <w:vAlign w:val="center"/>
          </w:tcPr>
          <w:p w14:paraId="08CA4AA9">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占该采购包</w:t>
            </w:r>
          </w:p>
          <w:p w14:paraId="539EEBB6">
            <w:pPr>
              <w:pStyle w:val="248"/>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合同金额的</w:t>
            </w:r>
          </w:p>
          <w:p w14:paraId="12C58649">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比例（%）</w:t>
            </w:r>
          </w:p>
        </w:tc>
      </w:tr>
      <w:tr w14:paraId="5BF4A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ECEC303">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87" w:type="dxa"/>
            <w:vAlign w:val="center"/>
          </w:tcPr>
          <w:p w14:paraId="5D1C58AD">
            <w:pPr>
              <w:pStyle w:val="248"/>
              <w:jc w:val="center"/>
              <w:rPr>
                <w:rFonts w:hint="eastAsia" w:ascii="宋体" w:hAnsi="宋体" w:eastAsia="宋体" w:cs="宋体"/>
                <w:color w:val="auto"/>
                <w:sz w:val="30"/>
                <w:highlight w:val="none"/>
              </w:rPr>
            </w:pPr>
          </w:p>
        </w:tc>
        <w:tc>
          <w:tcPr>
            <w:tcW w:w="1513" w:type="dxa"/>
            <w:vAlign w:val="center"/>
          </w:tcPr>
          <w:p w14:paraId="2382D82A">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□中型企业</w:t>
            </w:r>
          </w:p>
          <w:p w14:paraId="6DAB8BA3">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□小微企业</w:t>
            </w:r>
          </w:p>
          <w:p w14:paraId="6918D7E2">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□其他</w:t>
            </w:r>
          </w:p>
        </w:tc>
        <w:tc>
          <w:tcPr>
            <w:tcW w:w="1125" w:type="dxa"/>
            <w:vAlign w:val="center"/>
          </w:tcPr>
          <w:p w14:paraId="791EFA0D">
            <w:pPr>
              <w:pStyle w:val="248"/>
              <w:jc w:val="center"/>
              <w:rPr>
                <w:rFonts w:hint="eastAsia" w:ascii="宋体" w:hAnsi="宋体" w:eastAsia="宋体" w:cs="宋体"/>
                <w:color w:val="auto"/>
                <w:sz w:val="30"/>
                <w:highlight w:val="none"/>
                <w:lang w:eastAsia="zh-CN"/>
              </w:rPr>
            </w:pPr>
          </w:p>
        </w:tc>
        <w:tc>
          <w:tcPr>
            <w:tcW w:w="1561" w:type="dxa"/>
            <w:vAlign w:val="center"/>
          </w:tcPr>
          <w:p w14:paraId="346BB5B7">
            <w:pPr>
              <w:pStyle w:val="248"/>
              <w:jc w:val="center"/>
              <w:rPr>
                <w:rFonts w:hint="eastAsia" w:ascii="宋体" w:hAnsi="宋体" w:eastAsia="宋体" w:cs="宋体"/>
                <w:color w:val="auto"/>
                <w:sz w:val="30"/>
                <w:highlight w:val="none"/>
                <w:lang w:eastAsia="zh-CN"/>
              </w:rPr>
            </w:pPr>
          </w:p>
        </w:tc>
        <w:tc>
          <w:tcPr>
            <w:tcW w:w="1498" w:type="dxa"/>
            <w:vAlign w:val="center"/>
          </w:tcPr>
          <w:p w14:paraId="23270406">
            <w:pPr>
              <w:pStyle w:val="248"/>
              <w:jc w:val="center"/>
              <w:rPr>
                <w:rFonts w:hint="eastAsia" w:ascii="宋体" w:hAnsi="宋体" w:eastAsia="宋体" w:cs="宋体"/>
                <w:color w:val="auto"/>
                <w:sz w:val="30"/>
                <w:highlight w:val="none"/>
                <w:lang w:eastAsia="zh-CN"/>
              </w:rPr>
            </w:pPr>
          </w:p>
        </w:tc>
        <w:tc>
          <w:tcPr>
            <w:tcW w:w="1564" w:type="dxa"/>
            <w:vAlign w:val="center"/>
          </w:tcPr>
          <w:p w14:paraId="2AD22C27">
            <w:pPr>
              <w:pStyle w:val="248"/>
              <w:jc w:val="center"/>
              <w:rPr>
                <w:rFonts w:hint="eastAsia" w:ascii="宋体" w:hAnsi="宋体" w:eastAsia="宋体" w:cs="宋体"/>
                <w:color w:val="auto"/>
                <w:sz w:val="30"/>
                <w:highlight w:val="none"/>
                <w:lang w:eastAsia="zh-CN"/>
              </w:rPr>
            </w:pPr>
          </w:p>
        </w:tc>
      </w:tr>
      <w:tr w14:paraId="01780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5320A747">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w:t>
            </w:r>
          </w:p>
        </w:tc>
        <w:tc>
          <w:tcPr>
            <w:tcW w:w="1287" w:type="dxa"/>
            <w:vAlign w:val="center"/>
          </w:tcPr>
          <w:p w14:paraId="26BE4269">
            <w:pPr>
              <w:pStyle w:val="248"/>
              <w:jc w:val="center"/>
              <w:rPr>
                <w:rFonts w:hint="eastAsia" w:ascii="宋体" w:hAnsi="宋体" w:eastAsia="宋体" w:cs="宋体"/>
                <w:color w:val="auto"/>
                <w:sz w:val="30"/>
                <w:highlight w:val="none"/>
              </w:rPr>
            </w:pPr>
          </w:p>
        </w:tc>
        <w:tc>
          <w:tcPr>
            <w:tcW w:w="1513" w:type="dxa"/>
            <w:vAlign w:val="center"/>
          </w:tcPr>
          <w:p w14:paraId="6C067408">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□中型企业</w:t>
            </w:r>
          </w:p>
          <w:p w14:paraId="4E9E5875">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□小微企业</w:t>
            </w:r>
          </w:p>
          <w:p w14:paraId="2BB45C98">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□其他</w:t>
            </w:r>
          </w:p>
        </w:tc>
        <w:tc>
          <w:tcPr>
            <w:tcW w:w="1125" w:type="dxa"/>
            <w:vAlign w:val="center"/>
          </w:tcPr>
          <w:p w14:paraId="4150EFC3">
            <w:pPr>
              <w:pStyle w:val="248"/>
              <w:jc w:val="center"/>
              <w:rPr>
                <w:rFonts w:hint="eastAsia" w:ascii="宋体" w:hAnsi="宋体" w:eastAsia="宋体" w:cs="宋体"/>
                <w:color w:val="auto"/>
                <w:sz w:val="30"/>
                <w:highlight w:val="none"/>
                <w:lang w:eastAsia="zh-CN"/>
              </w:rPr>
            </w:pPr>
          </w:p>
        </w:tc>
        <w:tc>
          <w:tcPr>
            <w:tcW w:w="1561" w:type="dxa"/>
            <w:vAlign w:val="center"/>
          </w:tcPr>
          <w:p w14:paraId="590ADCB0">
            <w:pPr>
              <w:pStyle w:val="248"/>
              <w:jc w:val="center"/>
              <w:rPr>
                <w:rFonts w:hint="eastAsia" w:ascii="宋体" w:hAnsi="宋体" w:eastAsia="宋体" w:cs="宋体"/>
                <w:color w:val="auto"/>
                <w:sz w:val="30"/>
                <w:highlight w:val="none"/>
                <w:lang w:eastAsia="zh-CN"/>
              </w:rPr>
            </w:pPr>
          </w:p>
        </w:tc>
        <w:tc>
          <w:tcPr>
            <w:tcW w:w="1498" w:type="dxa"/>
            <w:vAlign w:val="center"/>
          </w:tcPr>
          <w:p w14:paraId="10C12568">
            <w:pPr>
              <w:pStyle w:val="248"/>
              <w:jc w:val="center"/>
              <w:rPr>
                <w:rFonts w:hint="eastAsia" w:ascii="宋体" w:hAnsi="宋体" w:eastAsia="宋体" w:cs="宋体"/>
                <w:color w:val="auto"/>
                <w:sz w:val="30"/>
                <w:highlight w:val="none"/>
                <w:lang w:eastAsia="zh-CN"/>
              </w:rPr>
            </w:pPr>
          </w:p>
        </w:tc>
        <w:tc>
          <w:tcPr>
            <w:tcW w:w="1564" w:type="dxa"/>
            <w:vAlign w:val="center"/>
          </w:tcPr>
          <w:p w14:paraId="5CC4B59C">
            <w:pPr>
              <w:pStyle w:val="248"/>
              <w:jc w:val="center"/>
              <w:rPr>
                <w:rFonts w:hint="eastAsia" w:ascii="宋体" w:hAnsi="宋体" w:eastAsia="宋体" w:cs="宋体"/>
                <w:color w:val="auto"/>
                <w:sz w:val="30"/>
                <w:highlight w:val="none"/>
                <w:lang w:eastAsia="zh-CN"/>
              </w:rPr>
            </w:pPr>
          </w:p>
        </w:tc>
      </w:tr>
      <w:tr w14:paraId="3C0D2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5FDDF78">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p>
        </w:tc>
        <w:tc>
          <w:tcPr>
            <w:tcW w:w="1287" w:type="dxa"/>
            <w:vAlign w:val="center"/>
          </w:tcPr>
          <w:p w14:paraId="27730252">
            <w:pPr>
              <w:pStyle w:val="248"/>
              <w:jc w:val="center"/>
              <w:rPr>
                <w:rFonts w:hint="eastAsia" w:ascii="宋体" w:hAnsi="宋体" w:eastAsia="宋体" w:cs="宋体"/>
                <w:color w:val="auto"/>
                <w:sz w:val="30"/>
                <w:highlight w:val="none"/>
              </w:rPr>
            </w:pPr>
          </w:p>
        </w:tc>
        <w:tc>
          <w:tcPr>
            <w:tcW w:w="1513" w:type="dxa"/>
            <w:vAlign w:val="center"/>
          </w:tcPr>
          <w:p w14:paraId="022CCF3F">
            <w:pPr>
              <w:pStyle w:val="248"/>
              <w:tabs>
                <w:tab w:val="left" w:pos="235"/>
              </w:tabs>
              <w:jc w:val="center"/>
              <w:rPr>
                <w:rFonts w:hint="eastAsia" w:ascii="宋体" w:hAnsi="宋体" w:eastAsia="宋体" w:cs="宋体"/>
                <w:color w:val="auto"/>
                <w:sz w:val="24"/>
                <w:highlight w:val="none"/>
              </w:rPr>
            </w:pPr>
          </w:p>
        </w:tc>
        <w:tc>
          <w:tcPr>
            <w:tcW w:w="1125" w:type="dxa"/>
            <w:vAlign w:val="center"/>
          </w:tcPr>
          <w:p w14:paraId="0C1753FF">
            <w:pPr>
              <w:pStyle w:val="248"/>
              <w:jc w:val="center"/>
              <w:rPr>
                <w:rFonts w:hint="eastAsia" w:ascii="宋体" w:hAnsi="宋体" w:eastAsia="宋体" w:cs="宋体"/>
                <w:color w:val="auto"/>
                <w:sz w:val="30"/>
                <w:highlight w:val="none"/>
              </w:rPr>
            </w:pPr>
          </w:p>
        </w:tc>
        <w:tc>
          <w:tcPr>
            <w:tcW w:w="1561" w:type="dxa"/>
            <w:vAlign w:val="center"/>
          </w:tcPr>
          <w:p w14:paraId="75FE0247">
            <w:pPr>
              <w:pStyle w:val="248"/>
              <w:jc w:val="center"/>
              <w:rPr>
                <w:rFonts w:hint="eastAsia" w:ascii="宋体" w:hAnsi="宋体" w:eastAsia="宋体" w:cs="宋体"/>
                <w:color w:val="auto"/>
                <w:sz w:val="30"/>
                <w:highlight w:val="none"/>
              </w:rPr>
            </w:pPr>
          </w:p>
        </w:tc>
        <w:tc>
          <w:tcPr>
            <w:tcW w:w="1498" w:type="dxa"/>
            <w:vAlign w:val="center"/>
          </w:tcPr>
          <w:p w14:paraId="2CAA47CF">
            <w:pPr>
              <w:pStyle w:val="248"/>
              <w:jc w:val="center"/>
              <w:rPr>
                <w:rFonts w:hint="eastAsia" w:ascii="宋体" w:hAnsi="宋体" w:eastAsia="宋体" w:cs="宋体"/>
                <w:color w:val="auto"/>
                <w:sz w:val="30"/>
                <w:highlight w:val="none"/>
              </w:rPr>
            </w:pPr>
          </w:p>
        </w:tc>
        <w:tc>
          <w:tcPr>
            <w:tcW w:w="1564" w:type="dxa"/>
            <w:vAlign w:val="center"/>
          </w:tcPr>
          <w:p w14:paraId="1B919BA8">
            <w:pPr>
              <w:pStyle w:val="248"/>
              <w:jc w:val="center"/>
              <w:rPr>
                <w:rFonts w:hint="eastAsia" w:ascii="宋体" w:hAnsi="宋体" w:eastAsia="宋体" w:cs="宋体"/>
                <w:color w:val="auto"/>
                <w:sz w:val="30"/>
                <w:highlight w:val="none"/>
              </w:rPr>
            </w:pPr>
          </w:p>
        </w:tc>
      </w:tr>
      <w:tr w14:paraId="2C2F8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606305B7">
            <w:pPr>
              <w:pStyle w:val="248"/>
              <w:ind w:right="57" w:rightChars="27"/>
              <w:jc w:val="righ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合计：</w:t>
            </w:r>
          </w:p>
        </w:tc>
        <w:tc>
          <w:tcPr>
            <w:tcW w:w="1498" w:type="dxa"/>
            <w:vAlign w:val="center"/>
          </w:tcPr>
          <w:p w14:paraId="51DF36DD">
            <w:pPr>
              <w:pStyle w:val="248"/>
              <w:jc w:val="center"/>
              <w:rPr>
                <w:rFonts w:hint="eastAsia" w:ascii="宋体" w:hAnsi="宋体" w:eastAsia="宋体" w:cs="宋体"/>
                <w:color w:val="auto"/>
                <w:sz w:val="30"/>
                <w:highlight w:val="none"/>
              </w:rPr>
            </w:pPr>
          </w:p>
        </w:tc>
        <w:tc>
          <w:tcPr>
            <w:tcW w:w="1564" w:type="dxa"/>
            <w:vAlign w:val="center"/>
          </w:tcPr>
          <w:p w14:paraId="7B48A003">
            <w:pPr>
              <w:pStyle w:val="248"/>
              <w:jc w:val="center"/>
              <w:rPr>
                <w:rFonts w:hint="eastAsia" w:ascii="宋体" w:hAnsi="宋体" w:eastAsia="宋体" w:cs="宋体"/>
                <w:color w:val="auto"/>
                <w:sz w:val="30"/>
                <w:highlight w:val="none"/>
              </w:rPr>
            </w:pPr>
          </w:p>
        </w:tc>
      </w:tr>
    </w:tbl>
    <w:p w14:paraId="16799F50">
      <w:pPr>
        <w:autoSpaceDE w:val="0"/>
        <w:autoSpaceDN w:val="0"/>
        <w:adjustRightInd w:val="0"/>
        <w:snapToGrid w:val="0"/>
        <w:spacing w:before="25" w:after="25" w:line="360" w:lineRule="auto"/>
        <w:jc w:val="right"/>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：____________</w:t>
      </w:r>
    </w:p>
    <w:p w14:paraId="52E190AF">
      <w:pPr>
        <w:spacing w:line="360" w:lineRule="auto"/>
        <w:ind w:right="-57" w:firstLine="480"/>
        <w:jc w:val="right"/>
        <w:rPr>
          <w:rFonts w:hint="eastAsia" w:ascii="宋体" w:hAnsi="宋体" w:eastAsia="宋体" w:cs="宋体"/>
          <w:color w:val="auto"/>
          <w:sz w:val="24"/>
          <w:highlight w:val="none"/>
        </w:rPr>
      </w:pPr>
      <w:r>
        <w:rPr>
          <w:rFonts w:hint="eastAsia" w:ascii="宋体" w:hAnsi="宋体" w:eastAsia="宋体" w:cs="宋体"/>
          <w:color w:val="auto"/>
          <w:sz w:val="24"/>
          <w:szCs w:val="20"/>
          <w:highlight w:val="none"/>
        </w:rPr>
        <w:t>日期：_____年______月______日</w:t>
      </w:r>
    </w:p>
    <w:p w14:paraId="3278747F">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C8C2C2C">
      <w:pPr>
        <w:adjustRightInd w:val="0"/>
        <w:snapToGrid w:val="0"/>
        <w:spacing w:line="360" w:lineRule="auto"/>
        <w:jc w:val="left"/>
        <w:rPr>
          <w:rFonts w:hint="eastAsia" w:ascii="宋体" w:hAnsi="宋体" w:eastAsia="宋体" w:cs="宋体"/>
          <w:color w:val="auto"/>
          <w:sz w:val="30"/>
          <w:szCs w:val="30"/>
          <w:highlight w:val="none"/>
        </w:rPr>
      </w:pPr>
      <w:r>
        <w:rPr>
          <w:rFonts w:hint="eastAsia" w:ascii="宋体" w:hAnsi="宋体" w:eastAsia="宋体" w:cs="宋体"/>
          <w:color w:val="auto"/>
          <w:sz w:val="24"/>
          <w:highlight w:val="none"/>
        </w:rPr>
        <w:t>如本招标文件《投标人须知资料表》载明本项目分包承担主体应具备的相应资质条件，则投标人须在本表中列明分包承担主体的资质等级，并后附资质证书复印件，否则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38876AE7">
      <w:pPr>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color w:val="auto"/>
          <w:sz w:val="30"/>
          <w:szCs w:val="30"/>
          <w:highlight w:val="none"/>
        </w:rPr>
        <w:br w:type="page"/>
      </w:r>
      <w:r>
        <w:rPr>
          <w:rFonts w:hint="eastAsia" w:ascii="宋体" w:hAnsi="宋体" w:eastAsia="宋体" w:cs="宋体"/>
          <w:b/>
          <w:color w:val="auto"/>
          <w:sz w:val="36"/>
          <w:szCs w:val="36"/>
          <w:highlight w:val="none"/>
        </w:rPr>
        <w:t>分包意向协议</w:t>
      </w:r>
    </w:p>
    <w:p w14:paraId="3E1CEE5E">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甲方（投标人）：________</w:t>
      </w:r>
    </w:p>
    <w:p w14:paraId="76F16CCE">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乙方（拟分包单位）：________</w:t>
      </w:r>
    </w:p>
    <w:p w14:paraId="26E800D1">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甲方承诺，一旦在_________（采购项目名称）（项目编号/包号为：_______）招标采购项目中获得采购合同，将按照下述约定将合同项下部分内容分包给乙方：</w:t>
      </w:r>
    </w:p>
    <w:p w14:paraId="2D740DA5">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1.分包内容：_____。</w:t>
      </w:r>
    </w:p>
    <w:p w14:paraId="583C43DD">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2.分包金额：_____，该金额占该采购包合同金额的比例为___%。</w:t>
      </w:r>
    </w:p>
    <w:p w14:paraId="1B0455B8">
      <w:pPr>
        <w:adjustRightInd w:val="0"/>
        <w:snapToGrid w:val="0"/>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color w:val="auto"/>
          <w:sz w:val="24"/>
          <w:highlight w:val="none"/>
        </w:rPr>
        <w:t>乙方承诺将在上述情况下与甲方签订分包合同。</w:t>
      </w:r>
    </w:p>
    <w:p w14:paraId="105944EB">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本协议自各方盖章之日起生效，如甲方未在该项目（采购包）中标，本协议自动终止。</w:t>
      </w:r>
    </w:p>
    <w:p w14:paraId="4BB5B360">
      <w:pPr>
        <w:spacing w:line="360" w:lineRule="auto"/>
        <w:ind w:firstLine="471"/>
        <w:rPr>
          <w:rFonts w:hint="eastAsia" w:ascii="宋体" w:hAnsi="宋体" w:eastAsia="宋体" w:cs="宋体"/>
          <w:b/>
          <w:color w:val="auto"/>
          <w:sz w:val="24"/>
          <w:highlight w:val="none"/>
        </w:rPr>
      </w:pPr>
    </w:p>
    <w:p w14:paraId="14AF5912">
      <w:pPr>
        <w:spacing w:line="360" w:lineRule="auto"/>
        <w:ind w:firstLine="471"/>
        <w:rPr>
          <w:rFonts w:hint="eastAsia" w:ascii="宋体" w:hAnsi="宋体" w:eastAsia="宋体" w:cs="宋体"/>
          <w:b/>
          <w:color w:val="auto"/>
          <w:sz w:val="24"/>
          <w:highlight w:val="none"/>
        </w:rPr>
      </w:pPr>
      <w:r>
        <w:rPr>
          <w:rFonts w:hint="eastAsia" w:ascii="宋体" w:hAnsi="宋体" w:eastAsia="宋体" w:cs="宋体"/>
          <w:color w:val="auto"/>
          <w:sz w:val="24"/>
          <w:highlight w:val="none"/>
        </w:rPr>
        <w:t>甲方（盖章）：_________                 乙方（盖章）：_________</w:t>
      </w:r>
    </w:p>
    <w:p w14:paraId="25F8D04C">
      <w:pPr>
        <w:spacing w:line="360" w:lineRule="auto"/>
        <w:ind w:left="480"/>
        <w:jc w:val="right"/>
        <w:rPr>
          <w:rFonts w:hint="eastAsia" w:ascii="宋体" w:hAnsi="宋体" w:eastAsia="宋体" w:cs="宋体"/>
          <w:color w:val="auto"/>
          <w:sz w:val="24"/>
          <w:highlight w:val="none"/>
        </w:rPr>
      </w:pPr>
    </w:p>
    <w:p w14:paraId="555BB565">
      <w:pPr>
        <w:wordWrap w:val="0"/>
        <w:spacing w:line="360" w:lineRule="auto"/>
        <w:ind w:left="480"/>
        <w:jc w:val="right"/>
        <w:rPr>
          <w:rFonts w:hint="eastAsia" w:ascii="宋体" w:hAnsi="宋体" w:eastAsia="宋体" w:cs="宋体"/>
          <w:b/>
          <w:color w:val="auto"/>
          <w:sz w:val="24"/>
          <w:highlight w:val="none"/>
        </w:rPr>
      </w:pPr>
      <w:r>
        <w:rPr>
          <w:rFonts w:hint="eastAsia" w:ascii="宋体" w:hAnsi="宋体" w:eastAsia="宋体" w:cs="宋体"/>
          <w:color w:val="auto"/>
          <w:sz w:val="24"/>
          <w:szCs w:val="20"/>
          <w:highlight w:val="none"/>
        </w:rPr>
        <w:t xml:space="preserve">日期：_____年______月______日   </w:t>
      </w:r>
    </w:p>
    <w:p w14:paraId="3A4ACFF7">
      <w:pPr>
        <w:tabs>
          <w:tab w:val="left" w:pos="8280"/>
        </w:tabs>
        <w:spacing w:line="360" w:lineRule="auto"/>
        <w:ind w:firstLine="480"/>
        <w:rPr>
          <w:rFonts w:hint="eastAsia" w:ascii="宋体" w:hAnsi="宋体" w:eastAsia="宋体" w:cs="宋体"/>
          <w:color w:val="auto"/>
          <w:sz w:val="24"/>
          <w:highlight w:val="none"/>
        </w:rPr>
      </w:pPr>
    </w:p>
    <w:p w14:paraId="6318FC43">
      <w:pPr>
        <w:tabs>
          <w:tab w:val="left" w:pos="82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09285C2">
      <w:pPr>
        <w:tabs>
          <w:tab w:val="left" w:pos="82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本协议仅在投标人“为落实政府采购政策”而向中小企业分包时必须提供，否则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；且投标人须与所有拟分包单位分别签订《分包意向协议》，每单位签订一份，并在投标文件中提交全部协议原件，否则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20224124">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p>
    <w:p w14:paraId="5D29B780">
      <w:pPr>
        <w:spacing w:line="360" w:lineRule="auto"/>
        <w:outlineLvl w:val="2"/>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2-2 </w:t>
      </w:r>
      <w:r>
        <w:rPr>
          <w:rFonts w:hint="eastAsia" w:ascii="宋体" w:hAnsi="宋体" w:eastAsia="宋体" w:cs="宋体"/>
          <w:color w:val="auto"/>
          <w:sz w:val="24"/>
          <w:highlight w:val="none"/>
        </w:rPr>
        <w:t>其它落实政府采购政策的资格要求</w:t>
      </w:r>
      <w:r>
        <w:rPr>
          <w:rFonts w:hint="eastAsia" w:ascii="宋体" w:hAnsi="宋体" w:eastAsia="宋体" w:cs="宋体"/>
          <w:color w:val="auto"/>
          <w:sz w:val="24"/>
          <w:szCs w:val="20"/>
          <w:highlight w:val="none"/>
        </w:rPr>
        <w:t>（如有）</w:t>
      </w:r>
    </w:p>
    <w:p w14:paraId="247196E6">
      <w:pPr>
        <w:widowControl/>
        <w:jc w:val="left"/>
        <w:rPr>
          <w:rFonts w:hint="eastAsia" w:ascii="宋体" w:hAnsi="宋体" w:eastAsia="宋体" w:cs="宋体"/>
          <w:color w:val="auto"/>
          <w:sz w:val="24"/>
          <w:highlight w:val="none"/>
        </w:rPr>
      </w:pPr>
    </w:p>
    <w:p w14:paraId="34B6B086">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5F9EDCA5">
      <w:pPr>
        <w:numPr>
          <w:ilvl w:val="0"/>
          <w:numId w:val="21"/>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本项目的特定资格要求</w:t>
      </w:r>
      <w:r>
        <w:rPr>
          <w:rFonts w:hint="eastAsia" w:ascii="宋体" w:hAnsi="宋体" w:eastAsia="宋体" w:cs="宋体"/>
          <w:color w:val="auto"/>
          <w:sz w:val="24"/>
          <w:szCs w:val="20"/>
          <w:highlight w:val="none"/>
        </w:rPr>
        <w:t>（如有）</w:t>
      </w:r>
    </w:p>
    <w:p w14:paraId="6C838938">
      <w:pPr>
        <w:spacing w:line="360" w:lineRule="auto"/>
        <w:outlineLvl w:val="2"/>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3-1 联合协议（如有）</w:t>
      </w:r>
    </w:p>
    <w:p w14:paraId="0D341D09">
      <w:pPr>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联合协议</w:t>
      </w:r>
    </w:p>
    <w:p w14:paraId="234AA721">
      <w:pPr>
        <w:spacing w:line="360" w:lineRule="auto"/>
        <w:ind w:firstLine="828" w:firstLineChars="345"/>
        <w:rPr>
          <w:rFonts w:hint="eastAsia" w:ascii="宋体" w:hAnsi="宋体" w:eastAsia="宋体" w:cs="宋体"/>
          <w:bCs/>
          <w:color w:val="auto"/>
          <w:highlight w:val="none"/>
        </w:rPr>
      </w:pPr>
      <w:r>
        <w:rPr>
          <w:rFonts w:hint="eastAsia" w:ascii="宋体" w:hAnsi="宋体" w:eastAsia="宋体" w:cs="宋体"/>
          <w:bCs/>
          <w:color w:val="auto"/>
          <w:sz w:val="24"/>
          <w:highlight w:val="none"/>
        </w:rPr>
        <w:t>______ 、 _____ 及 _____就“________（项目名称）</w:t>
      </w:r>
      <w:r>
        <w:rPr>
          <w:rFonts w:hint="eastAsia" w:ascii="宋体" w:hAnsi="宋体" w:eastAsia="宋体" w:cs="宋体"/>
          <w:color w:val="auto"/>
          <w:sz w:val="24"/>
          <w:highlight w:val="none"/>
        </w:rPr>
        <w:t>”____包</w:t>
      </w:r>
      <w:r>
        <w:rPr>
          <w:rFonts w:hint="eastAsia" w:ascii="宋体" w:hAnsi="宋体" w:eastAsia="宋体" w:cs="宋体"/>
          <w:bCs/>
          <w:color w:val="auto"/>
          <w:sz w:val="24"/>
          <w:highlight w:val="none"/>
        </w:rPr>
        <w:t>招标项目的投标事宜，经各方充分协商一致，达成如下协议：</w:t>
      </w:r>
    </w:p>
    <w:p w14:paraId="01FA740F">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由_________牵头，_________、__________参加，组成联合体共同进行招标项目的投标工作。</w:t>
      </w:r>
    </w:p>
    <w:p w14:paraId="0043197A">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联合体中标后，联合体各方共同与采购人签订合同，就采购合同约定的事项对采购人承担连带责任。</w:t>
      </w:r>
    </w:p>
    <w:p w14:paraId="29350F60">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联合体各方均同意由牵头人代表其他联合体成员单位按招标文件要求出具《授权委托书》。</w:t>
      </w:r>
    </w:p>
    <w:p w14:paraId="739BAD3C">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牵头人为项目的总负责单位；组织各参加方进行项目实施工作。</w:t>
      </w:r>
    </w:p>
    <w:p w14:paraId="3651BECC">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______负责_____，具体工作范围、内容以投标文件及合同为准。</w:t>
      </w:r>
    </w:p>
    <w:p w14:paraId="79117671">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______负责_____，具体工作范围、内容以投标文件及合同为准。</w:t>
      </w:r>
    </w:p>
    <w:p w14:paraId="2DF9C131">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______负责_____（如有），具体工作范围、内容以投标文件及合同为准。</w:t>
      </w:r>
    </w:p>
    <w:p w14:paraId="61753D41">
      <w:pPr>
        <w:numPr>
          <w:ilvl w:val="0"/>
          <w:numId w:val="23"/>
        </w:num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本项目联合协议合同总额为________元，联合体各成员按照如下比例分摊（按联合体成员分别列明）：</w:t>
      </w:r>
    </w:p>
    <w:p w14:paraId="69BBD940">
      <w:pPr>
        <w:tabs>
          <w:tab w:val="left" w:pos="720"/>
          <w:tab w:val="left" w:pos="900"/>
        </w:tabs>
        <w:spacing w:line="360" w:lineRule="auto"/>
        <w:ind w:left="85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w:t>
      </w:r>
      <w:r>
        <w:rPr>
          <w:rFonts w:hint="eastAsia" w:ascii="宋体" w:hAnsi="宋体" w:eastAsia="宋体" w:cs="宋体"/>
          <w:bCs/>
          <w:color w:val="auto"/>
          <w:sz w:val="24"/>
          <w:szCs w:val="20"/>
          <w:highlight w:val="none"/>
        </w:rPr>
        <w:t>______</w:t>
      </w:r>
      <w:r>
        <w:rPr>
          <w:rFonts w:hint="eastAsia" w:ascii="宋体" w:hAnsi="宋体" w:eastAsia="宋体" w:cs="宋体"/>
          <w:color w:val="auto"/>
          <w:sz w:val="24"/>
          <w:szCs w:val="20"/>
          <w:highlight w:val="none"/>
        </w:rPr>
        <w:t>为□大型企业□中型企业、□小微企业（包含监狱企业、残疾人福利性单位）、□其他，合同金额为_____元；</w:t>
      </w:r>
    </w:p>
    <w:p w14:paraId="668A6901">
      <w:pPr>
        <w:tabs>
          <w:tab w:val="left" w:pos="720"/>
          <w:tab w:val="left" w:pos="900"/>
        </w:tabs>
        <w:spacing w:line="360" w:lineRule="auto"/>
        <w:ind w:left="85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w:t>
      </w:r>
      <w:r>
        <w:rPr>
          <w:rFonts w:hint="eastAsia" w:ascii="宋体" w:hAnsi="宋体" w:eastAsia="宋体" w:cs="宋体"/>
          <w:bCs/>
          <w:color w:val="auto"/>
          <w:sz w:val="24"/>
          <w:szCs w:val="20"/>
          <w:highlight w:val="none"/>
        </w:rPr>
        <w:t>______</w:t>
      </w:r>
      <w:r>
        <w:rPr>
          <w:rFonts w:hint="eastAsia" w:ascii="宋体" w:hAnsi="宋体" w:eastAsia="宋体" w:cs="宋体"/>
          <w:color w:val="auto"/>
          <w:sz w:val="24"/>
          <w:szCs w:val="20"/>
          <w:highlight w:val="none"/>
        </w:rPr>
        <w:t>为□大型企业□中型企业、□小微企业（包含监狱企业、残疾人福利性单位）、□其他，合同金额为_____元；</w:t>
      </w:r>
    </w:p>
    <w:p w14:paraId="66EB35C2">
      <w:pPr>
        <w:tabs>
          <w:tab w:val="left" w:pos="720"/>
          <w:tab w:val="left" w:pos="900"/>
        </w:tabs>
        <w:spacing w:line="360" w:lineRule="auto"/>
        <w:ind w:left="85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w:t>
      </w:r>
      <w:r>
        <w:rPr>
          <w:rFonts w:hint="eastAsia" w:ascii="宋体" w:hAnsi="宋体" w:eastAsia="宋体" w:cs="宋体"/>
          <w:bCs/>
          <w:color w:val="auto"/>
          <w:sz w:val="24"/>
          <w:szCs w:val="20"/>
          <w:highlight w:val="none"/>
        </w:rPr>
        <w:t>______</w:t>
      </w:r>
      <w:r>
        <w:rPr>
          <w:rFonts w:hint="eastAsia" w:ascii="宋体" w:hAnsi="宋体" w:eastAsia="宋体" w:cs="宋体"/>
          <w:color w:val="auto"/>
          <w:sz w:val="24"/>
          <w:szCs w:val="20"/>
          <w:highlight w:val="none"/>
        </w:rPr>
        <w:t>为□大型企业□中型企业、□小微企业（包含监狱企业、残疾人福利性单位）、□其他，合同金额为_____元。</w:t>
      </w:r>
    </w:p>
    <w:p w14:paraId="687A50FB">
      <w:pPr>
        <w:numPr>
          <w:ilvl w:val="0"/>
          <w:numId w:val="23"/>
        </w:numPr>
        <w:tabs>
          <w:tab w:val="left" w:pos="993"/>
        </w:tabs>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以联合体形式参加政府采购活动的，联合体各方不得再单独参加或者与其他供应商另外组成联合体参加同一合同项下的政府采购活动。</w:t>
      </w:r>
    </w:p>
    <w:p w14:paraId="3781908A">
      <w:pPr>
        <w:numPr>
          <w:ilvl w:val="0"/>
          <w:numId w:val="23"/>
        </w:num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其他约定（如有）：_______。</w:t>
      </w:r>
    </w:p>
    <w:p w14:paraId="0092D26E">
      <w:pPr>
        <w:tabs>
          <w:tab w:val="left" w:pos="7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本协议自各方盖章后生效，采购合同履行完毕后自动失效。如未中标，本协议自动终止。</w:t>
      </w:r>
      <w:r>
        <w:rPr>
          <w:rFonts w:hint="eastAsia" w:ascii="宋体" w:hAnsi="宋体" w:eastAsia="宋体" w:cs="宋体"/>
          <w:color w:val="auto"/>
          <w:sz w:val="24"/>
          <w:highlight w:val="none"/>
        </w:rPr>
        <w:br w:type="page"/>
      </w:r>
    </w:p>
    <w:p w14:paraId="1B9F86B4">
      <w:pPr>
        <w:spacing w:line="360" w:lineRule="auto"/>
        <w:ind w:firstLine="471"/>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联合体牵头人名称：</w:t>
      </w:r>
      <w:r>
        <w:rPr>
          <w:rFonts w:hint="eastAsia" w:ascii="宋体" w:hAnsi="宋体" w:eastAsia="宋体" w:cs="宋体"/>
          <w:color w:val="auto"/>
          <w:sz w:val="24"/>
          <w:szCs w:val="20"/>
          <w:highlight w:val="none"/>
        </w:rPr>
        <w:t>______</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联合体成员名称：</w:t>
      </w:r>
      <w:r>
        <w:rPr>
          <w:rFonts w:hint="eastAsia" w:ascii="宋体" w:hAnsi="宋体" w:eastAsia="宋体" w:cs="宋体"/>
          <w:color w:val="auto"/>
          <w:sz w:val="24"/>
          <w:szCs w:val="20"/>
          <w:highlight w:val="none"/>
        </w:rPr>
        <w:t>______</w:t>
      </w:r>
    </w:p>
    <w:p w14:paraId="51FF5878">
      <w:pPr>
        <w:spacing w:line="360" w:lineRule="auto"/>
        <w:ind w:firstLine="471"/>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r>
        <w:rPr>
          <w:rFonts w:hint="eastAsia" w:ascii="宋体" w:hAnsi="宋体" w:eastAsia="宋体" w:cs="宋体"/>
          <w:color w:val="auto"/>
          <w:sz w:val="24"/>
          <w:szCs w:val="20"/>
          <w:highlight w:val="none"/>
        </w:rPr>
        <w:t>______</w:t>
      </w:r>
      <w:r>
        <w:rPr>
          <w:rFonts w:hint="eastAsia" w:ascii="宋体" w:hAnsi="宋体" w:eastAsia="宋体" w:cs="宋体"/>
          <w:color w:val="auto"/>
          <w:sz w:val="24"/>
          <w:highlight w:val="none"/>
        </w:rPr>
        <w:t xml:space="preserve">                           盖章：</w:t>
      </w:r>
      <w:r>
        <w:rPr>
          <w:rFonts w:hint="eastAsia" w:ascii="宋体" w:hAnsi="宋体" w:eastAsia="宋体" w:cs="宋体"/>
          <w:color w:val="auto"/>
          <w:sz w:val="24"/>
          <w:szCs w:val="20"/>
          <w:highlight w:val="none"/>
        </w:rPr>
        <w:t>______</w:t>
      </w:r>
    </w:p>
    <w:p w14:paraId="4BF1D7F6">
      <w:pPr>
        <w:spacing w:line="360" w:lineRule="auto"/>
        <w:ind w:firstLine="471"/>
        <w:rPr>
          <w:rFonts w:hint="eastAsia" w:ascii="宋体" w:hAnsi="宋体" w:eastAsia="宋体" w:cs="宋体"/>
          <w:color w:val="auto"/>
          <w:sz w:val="24"/>
          <w:highlight w:val="none"/>
        </w:rPr>
      </w:pPr>
    </w:p>
    <w:p w14:paraId="17F6CACB">
      <w:pPr>
        <w:spacing w:line="360" w:lineRule="auto"/>
        <w:ind w:firstLine="471"/>
        <w:rPr>
          <w:rFonts w:hint="eastAsia" w:ascii="宋体" w:hAnsi="宋体" w:eastAsia="宋体" w:cs="宋体"/>
          <w:color w:val="auto"/>
          <w:sz w:val="24"/>
          <w:highlight w:val="none"/>
        </w:rPr>
      </w:pPr>
    </w:p>
    <w:p w14:paraId="71CE79BA">
      <w:pPr>
        <w:spacing w:line="360" w:lineRule="auto"/>
        <w:ind w:firstLine="471"/>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联合体成员名称：</w:t>
      </w:r>
      <w:r>
        <w:rPr>
          <w:rFonts w:hint="eastAsia" w:ascii="宋体" w:hAnsi="宋体" w:eastAsia="宋体" w:cs="宋体"/>
          <w:color w:val="auto"/>
          <w:sz w:val="24"/>
          <w:szCs w:val="20"/>
          <w:highlight w:val="none"/>
        </w:rPr>
        <w:t>______</w:t>
      </w:r>
    </w:p>
    <w:p w14:paraId="1920C650">
      <w:pPr>
        <w:spacing w:line="360" w:lineRule="auto"/>
        <w:ind w:firstLine="471"/>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r>
        <w:rPr>
          <w:rFonts w:hint="eastAsia" w:ascii="宋体" w:hAnsi="宋体" w:eastAsia="宋体" w:cs="宋体"/>
          <w:color w:val="auto"/>
          <w:sz w:val="24"/>
          <w:szCs w:val="20"/>
          <w:highlight w:val="none"/>
        </w:rPr>
        <w:t>______</w:t>
      </w:r>
      <w:r>
        <w:rPr>
          <w:rFonts w:hint="eastAsia" w:ascii="宋体" w:hAnsi="宋体" w:eastAsia="宋体" w:cs="宋体"/>
          <w:color w:val="auto"/>
          <w:sz w:val="24"/>
          <w:highlight w:val="none"/>
        </w:rPr>
        <w:t xml:space="preserve">                                </w:t>
      </w:r>
    </w:p>
    <w:p w14:paraId="1964BAB7">
      <w:pPr>
        <w:spacing w:line="360" w:lineRule="auto"/>
        <w:ind w:firstLine="471"/>
        <w:rPr>
          <w:rFonts w:hint="eastAsia" w:ascii="宋体" w:hAnsi="宋体" w:eastAsia="宋体" w:cs="宋体"/>
          <w:color w:val="auto"/>
          <w:sz w:val="24"/>
          <w:highlight w:val="none"/>
        </w:rPr>
      </w:pPr>
    </w:p>
    <w:p w14:paraId="485BB52E">
      <w:pPr>
        <w:spacing w:line="360" w:lineRule="auto"/>
        <w:ind w:firstLine="471"/>
        <w:rPr>
          <w:rFonts w:hint="eastAsia" w:ascii="宋体" w:hAnsi="宋体" w:eastAsia="宋体" w:cs="宋体"/>
          <w:color w:val="auto"/>
          <w:sz w:val="24"/>
          <w:highlight w:val="none"/>
        </w:rPr>
      </w:pPr>
    </w:p>
    <w:p w14:paraId="0142701E">
      <w:pPr>
        <w:spacing w:line="360" w:lineRule="auto"/>
        <w:ind w:left="480"/>
        <w:jc w:val="right"/>
        <w:rPr>
          <w:rFonts w:hint="eastAsia" w:ascii="宋体" w:hAnsi="宋体" w:eastAsia="宋体" w:cs="宋体"/>
          <w:color w:val="auto"/>
          <w:sz w:val="24"/>
          <w:highlight w:val="none"/>
        </w:rPr>
      </w:pPr>
    </w:p>
    <w:p w14:paraId="6CD3F089">
      <w:pPr>
        <w:spacing w:line="360" w:lineRule="auto"/>
        <w:ind w:left="480"/>
        <w:jc w:val="right"/>
        <w:rPr>
          <w:rFonts w:hint="eastAsia" w:ascii="宋体" w:hAnsi="宋体" w:eastAsia="宋体" w:cs="宋体"/>
          <w:color w:val="auto"/>
          <w:sz w:val="24"/>
          <w:highlight w:val="none"/>
        </w:rPr>
      </w:pPr>
      <w:r>
        <w:rPr>
          <w:rFonts w:hint="eastAsia" w:ascii="宋体" w:hAnsi="宋体" w:eastAsia="宋体" w:cs="宋体"/>
          <w:color w:val="auto"/>
          <w:sz w:val="24"/>
          <w:szCs w:val="20"/>
          <w:highlight w:val="none"/>
        </w:rPr>
        <w:t>日期：_____年______月______日</w:t>
      </w:r>
    </w:p>
    <w:p w14:paraId="19BF961C">
      <w:pPr>
        <w:spacing w:line="360" w:lineRule="auto"/>
        <w:ind w:left="480"/>
        <w:jc w:val="right"/>
        <w:rPr>
          <w:rFonts w:hint="eastAsia" w:ascii="宋体" w:hAnsi="宋体" w:eastAsia="宋体" w:cs="宋体"/>
          <w:b/>
          <w:color w:val="auto"/>
          <w:sz w:val="24"/>
          <w:highlight w:val="none"/>
        </w:rPr>
      </w:pPr>
    </w:p>
    <w:p w14:paraId="65EE6332">
      <w:pPr>
        <w:tabs>
          <w:tab w:val="left" w:pos="8280"/>
        </w:tabs>
        <w:spacing w:line="360" w:lineRule="auto"/>
        <w:ind w:firstLine="480"/>
        <w:rPr>
          <w:rFonts w:hint="eastAsia" w:ascii="宋体" w:hAnsi="宋体" w:eastAsia="宋体" w:cs="宋体"/>
          <w:color w:val="auto"/>
          <w:sz w:val="24"/>
          <w:highlight w:val="none"/>
        </w:rPr>
      </w:pPr>
    </w:p>
    <w:p w14:paraId="056069C2">
      <w:pPr>
        <w:tabs>
          <w:tab w:val="left" w:pos="8280"/>
        </w:tabs>
        <w:spacing w:line="360" w:lineRule="auto"/>
        <w:ind w:firstLine="480"/>
        <w:rPr>
          <w:rFonts w:hint="eastAsia" w:ascii="宋体" w:hAnsi="宋体" w:eastAsia="宋体" w:cs="宋体"/>
          <w:color w:val="auto"/>
          <w:sz w:val="24"/>
          <w:highlight w:val="none"/>
        </w:rPr>
      </w:pPr>
    </w:p>
    <w:p w14:paraId="5EC5DCDD">
      <w:pPr>
        <w:spacing w:line="360" w:lineRule="auto"/>
        <w:ind w:left="719" w:leftChars="228" w:hanging="240" w:hanging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67B6FCA0">
      <w:pPr>
        <w:spacing w:line="360" w:lineRule="auto"/>
        <w:ind w:left="719" w:leftChars="228" w:hanging="240" w:hanging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1. 如本项目（包）接受供应商以联合体形式参加采购活动，且供应商以联合体形式参与时，须提供《联合协议》，否则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2066701">
      <w:pPr>
        <w:spacing w:line="360" w:lineRule="auto"/>
        <w:ind w:left="719" w:leftChars="228" w:hanging="240" w:hanging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2. 联合体各方成员须在本协议上共同盖章。</w:t>
      </w:r>
    </w:p>
    <w:p w14:paraId="7AAA8C3E">
      <w:pPr>
        <w:spacing w:line="360" w:lineRule="auto"/>
        <w:ind w:left="719" w:leftChars="228" w:hanging="240" w:hanging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7BD32287">
      <w:pPr>
        <w:spacing w:line="360" w:lineRule="auto"/>
        <w:outlineLvl w:val="2"/>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3-2 其他特定资格要求</w:t>
      </w:r>
    </w:p>
    <w:p w14:paraId="6DE0868F">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p>
    <w:p w14:paraId="5996FCFB">
      <w:pPr>
        <w:numPr>
          <w:ilvl w:val="0"/>
          <w:numId w:val="21"/>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投标保证金凭证/交款单据</w:t>
      </w:r>
      <w:r>
        <w:rPr>
          <w:rFonts w:hint="eastAsia" w:ascii="宋体" w:hAnsi="宋体" w:eastAsia="宋体" w:cs="宋体"/>
          <w:color w:val="auto"/>
          <w:sz w:val="24"/>
          <w:highlight w:val="none"/>
        </w:rPr>
        <w:t>复印件</w:t>
      </w:r>
    </w:p>
    <w:p w14:paraId="10740BB8">
      <w:pPr>
        <w:spacing w:line="360" w:lineRule="auto"/>
        <w:rPr>
          <w:rFonts w:hint="eastAsia" w:ascii="宋体" w:hAnsi="宋体" w:eastAsia="宋体" w:cs="宋体"/>
          <w:color w:val="auto"/>
          <w:sz w:val="24"/>
          <w:szCs w:val="20"/>
          <w:highlight w:val="none"/>
        </w:rPr>
      </w:pPr>
    </w:p>
    <w:p w14:paraId="4EF23FD9">
      <w:pPr>
        <w:spacing w:line="360" w:lineRule="auto"/>
        <w:rPr>
          <w:rFonts w:hint="eastAsia" w:ascii="宋体" w:hAnsi="宋体" w:eastAsia="宋体" w:cs="宋体"/>
          <w:color w:val="auto"/>
          <w:sz w:val="24"/>
          <w:szCs w:val="20"/>
          <w:highlight w:val="none"/>
        </w:rPr>
      </w:pPr>
    </w:p>
    <w:p w14:paraId="3E8855E7">
      <w:pPr>
        <w:widowControl/>
        <w:jc w:val="left"/>
        <w:rPr>
          <w:rFonts w:hint="eastAsia" w:ascii="宋体" w:hAnsi="宋体" w:eastAsia="宋体" w:cs="宋体"/>
          <w:color w:val="auto"/>
          <w:kern w:val="0"/>
          <w:sz w:val="24"/>
          <w:szCs w:val="20"/>
          <w:highlight w:val="none"/>
        </w:rPr>
      </w:pPr>
      <w:r>
        <w:rPr>
          <w:rFonts w:hint="eastAsia" w:ascii="宋体" w:hAnsi="宋体" w:eastAsia="宋体" w:cs="宋体"/>
          <w:color w:val="auto"/>
          <w:sz w:val="24"/>
          <w:szCs w:val="20"/>
          <w:highlight w:val="none"/>
        </w:rPr>
        <w:br w:type="page"/>
      </w:r>
    </w:p>
    <w:p w14:paraId="0F54523E">
      <w:pPr>
        <w:keepNext/>
        <w:keepLines/>
        <w:autoSpaceDE w:val="0"/>
        <w:autoSpaceDN w:val="0"/>
        <w:adjustRightInd w:val="0"/>
        <w:spacing w:before="120" w:line="300" w:lineRule="auto"/>
        <w:jc w:val="left"/>
        <w:outlineLvl w:val="1"/>
        <w:rPr>
          <w:rFonts w:hint="eastAsia" w:ascii="宋体" w:hAnsi="宋体" w:eastAsia="宋体" w:cs="宋体"/>
          <w:b/>
          <w:color w:val="auto"/>
          <w:spacing w:val="20"/>
          <w:sz w:val="24"/>
          <w:highlight w:val="none"/>
        </w:rPr>
      </w:pPr>
      <w:r>
        <w:rPr>
          <w:rFonts w:hint="eastAsia" w:ascii="宋体" w:hAnsi="宋体" w:eastAsia="宋体" w:cs="宋体"/>
          <w:b/>
          <w:color w:val="auto"/>
          <w:spacing w:val="20"/>
          <w:sz w:val="24"/>
          <w:highlight w:val="none"/>
        </w:rPr>
        <w:t>二、商务技术文件格式</w:t>
      </w:r>
    </w:p>
    <w:p w14:paraId="30E3C767">
      <w:pPr>
        <w:rPr>
          <w:rFonts w:hint="eastAsia" w:ascii="宋体" w:hAnsi="宋体" w:eastAsia="宋体" w:cs="宋体"/>
          <w:b/>
          <w:color w:val="auto"/>
          <w:spacing w:val="20"/>
          <w:szCs w:val="21"/>
          <w:highlight w:val="none"/>
        </w:rPr>
      </w:pPr>
    </w:p>
    <w:p w14:paraId="2D657AB5">
      <w:pPr>
        <w:rPr>
          <w:rFonts w:hint="eastAsia" w:ascii="宋体" w:hAnsi="宋体" w:eastAsia="宋体" w:cs="宋体"/>
          <w:b/>
          <w:color w:val="auto"/>
          <w:sz w:val="24"/>
          <w:highlight w:val="none"/>
        </w:rPr>
      </w:pPr>
      <w:r>
        <w:rPr>
          <w:rFonts w:hint="eastAsia" w:ascii="宋体" w:hAnsi="宋体" w:eastAsia="宋体" w:cs="宋体"/>
          <w:b/>
          <w:color w:val="auto"/>
          <w:spacing w:val="20"/>
          <w:sz w:val="24"/>
          <w:highlight w:val="none"/>
        </w:rPr>
        <w:t>投标文件（商务技术文件）</w:t>
      </w:r>
      <w:r>
        <w:rPr>
          <w:rFonts w:hint="eastAsia" w:ascii="宋体" w:hAnsi="宋体" w:eastAsia="宋体" w:cs="宋体"/>
          <w:b/>
          <w:color w:val="auto"/>
          <w:sz w:val="24"/>
          <w:highlight w:val="none"/>
        </w:rPr>
        <w:t>封面（非实质性格式）</w:t>
      </w:r>
    </w:p>
    <w:p w14:paraId="292145C0">
      <w:pPr>
        <w:jc w:val="center"/>
        <w:rPr>
          <w:rFonts w:hint="eastAsia" w:ascii="宋体" w:hAnsi="宋体" w:eastAsia="宋体" w:cs="宋体"/>
          <w:color w:val="auto"/>
          <w:szCs w:val="21"/>
          <w:highlight w:val="none"/>
        </w:rPr>
      </w:pPr>
    </w:p>
    <w:p w14:paraId="7C7DA1FA">
      <w:pPr>
        <w:jc w:val="center"/>
        <w:rPr>
          <w:rFonts w:hint="eastAsia" w:ascii="宋体" w:hAnsi="宋体" w:eastAsia="宋体" w:cs="宋体"/>
          <w:b/>
          <w:color w:val="auto"/>
          <w:spacing w:val="60"/>
          <w:sz w:val="84"/>
          <w:szCs w:val="84"/>
          <w:highlight w:val="none"/>
        </w:rPr>
      </w:pPr>
      <w:r>
        <w:rPr>
          <w:rFonts w:hint="eastAsia" w:ascii="宋体" w:hAnsi="宋体" w:eastAsia="宋体" w:cs="宋体"/>
          <w:b/>
          <w:color w:val="auto"/>
          <w:spacing w:val="60"/>
          <w:sz w:val="84"/>
          <w:szCs w:val="84"/>
          <w:highlight w:val="none"/>
        </w:rPr>
        <w:t>投 标 文 件</w:t>
      </w:r>
    </w:p>
    <w:p w14:paraId="7ABBDBBE">
      <w:pPr>
        <w:jc w:val="center"/>
        <w:rPr>
          <w:rFonts w:hint="eastAsia" w:ascii="宋体" w:hAnsi="宋体" w:eastAsia="宋体" w:cs="宋体"/>
          <w:b/>
          <w:color w:val="auto"/>
          <w:spacing w:val="60"/>
          <w:sz w:val="52"/>
          <w:szCs w:val="52"/>
          <w:highlight w:val="none"/>
        </w:rPr>
      </w:pPr>
      <w:r>
        <w:rPr>
          <w:rFonts w:hint="eastAsia" w:ascii="宋体" w:hAnsi="宋体" w:eastAsia="宋体" w:cs="宋体"/>
          <w:b/>
          <w:color w:val="auto"/>
          <w:spacing w:val="60"/>
          <w:sz w:val="52"/>
          <w:szCs w:val="52"/>
          <w:highlight w:val="none"/>
        </w:rPr>
        <w:t>（商务技术文件）</w:t>
      </w:r>
    </w:p>
    <w:p w14:paraId="13EA05D5">
      <w:pPr>
        <w:ind w:firstLine="542" w:firstLineChars="150"/>
        <w:rPr>
          <w:rFonts w:hint="eastAsia" w:ascii="宋体" w:hAnsi="宋体" w:eastAsia="宋体" w:cs="宋体"/>
          <w:b/>
          <w:color w:val="auto"/>
          <w:spacing w:val="20"/>
          <w:sz w:val="32"/>
          <w:szCs w:val="32"/>
          <w:highlight w:val="none"/>
        </w:rPr>
      </w:pPr>
    </w:p>
    <w:p w14:paraId="13EE6EF5">
      <w:pPr>
        <w:ind w:firstLine="542" w:firstLineChars="150"/>
        <w:rPr>
          <w:rFonts w:hint="eastAsia" w:ascii="宋体" w:hAnsi="宋体" w:eastAsia="宋体" w:cs="宋体"/>
          <w:b/>
          <w:color w:val="auto"/>
          <w:spacing w:val="20"/>
          <w:sz w:val="32"/>
          <w:szCs w:val="32"/>
          <w:highlight w:val="none"/>
        </w:rPr>
      </w:pPr>
    </w:p>
    <w:p w14:paraId="3D2377C8">
      <w:pPr>
        <w:ind w:firstLine="542" w:firstLineChars="150"/>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项目名称:</w:t>
      </w:r>
    </w:p>
    <w:p w14:paraId="14B71823">
      <w:pPr>
        <w:ind w:firstLine="542" w:firstLineChars="150"/>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项目编号/包号：</w:t>
      </w:r>
    </w:p>
    <w:p w14:paraId="4F25C072">
      <w:pPr>
        <w:ind w:firstLine="542" w:firstLineChars="150"/>
        <w:rPr>
          <w:rFonts w:hint="eastAsia" w:ascii="宋体" w:hAnsi="宋体" w:eastAsia="宋体" w:cs="宋体"/>
          <w:b/>
          <w:color w:val="auto"/>
          <w:spacing w:val="20"/>
          <w:sz w:val="32"/>
          <w:szCs w:val="32"/>
          <w:highlight w:val="none"/>
        </w:rPr>
      </w:pPr>
    </w:p>
    <w:p w14:paraId="7654A50F">
      <w:pPr>
        <w:ind w:firstLine="542" w:firstLineChars="150"/>
        <w:rPr>
          <w:rFonts w:hint="eastAsia" w:ascii="宋体" w:hAnsi="宋体" w:eastAsia="宋体" w:cs="宋体"/>
          <w:b/>
          <w:color w:val="auto"/>
          <w:spacing w:val="20"/>
          <w:sz w:val="32"/>
          <w:szCs w:val="32"/>
          <w:highlight w:val="none"/>
        </w:rPr>
      </w:pPr>
    </w:p>
    <w:p w14:paraId="284D33E0">
      <w:pPr>
        <w:jc w:val="center"/>
        <w:rPr>
          <w:rFonts w:hint="eastAsia" w:ascii="宋体" w:hAnsi="宋体" w:eastAsia="宋体" w:cs="宋体"/>
          <w:b/>
          <w:color w:val="auto"/>
          <w:sz w:val="32"/>
          <w:szCs w:val="32"/>
          <w:highlight w:val="none"/>
        </w:rPr>
      </w:pPr>
    </w:p>
    <w:p w14:paraId="34CBE2EE">
      <w:pPr>
        <w:jc w:val="center"/>
        <w:rPr>
          <w:rFonts w:hint="eastAsia" w:ascii="宋体" w:hAnsi="宋体" w:eastAsia="宋体" w:cs="宋体"/>
          <w:b/>
          <w:color w:val="auto"/>
          <w:sz w:val="32"/>
          <w:szCs w:val="32"/>
          <w:highlight w:val="none"/>
        </w:rPr>
      </w:pPr>
    </w:p>
    <w:p w14:paraId="0CCD940A">
      <w:pPr>
        <w:jc w:val="center"/>
        <w:rPr>
          <w:rFonts w:hint="eastAsia" w:ascii="宋体" w:hAnsi="宋体" w:eastAsia="宋体" w:cs="宋体"/>
          <w:b/>
          <w:color w:val="auto"/>
          <w:sz w:val="32"/>
          <w:szCs w:val="32"/>
          <w:highlight w:val="none"/>
        </w:rPr>
      </w:pPr>
    </w:p>
    <w:p w14:paraId="45B4F35D">
      <w:pPr>
        <w:jc w:val="center"/>
        <w:rPr>
          <w:rFonts w:hint="eastAsia" w:ascii="宋体" w:hAnsi="宋体" w:eastAsia="宋体" w:cs="宋体"/>
          <w:b/>
          <w:color w:val="auto"/>
          <w:spacing w:val="20"/>
          <w:sz w:val="32"/>
          <w:szCs w:val="32"/>
          <w:highlight w:val="none"/>
        </w:rPr>
      </w:pPr>
    </w:p>
    <w:p w14:paraId="49E9054F">
      <w:pPr>
        <w:jc w:val="center"/>
        <w:rPr>
          <w:rFonts w:hint="eastAsia" w:ascii="宋体" w:hAnsi="宋体" w:eastAsia="宋体" w:cs="宋体"/>
          <w:b/>
          <w:color w:val="auto"/>
          <w:spacing w:val="20"/>
          <w:sz w:val="32"/>
          <w:szCs w:val="32"/>
          <w:highlight w:val="none"/>
        </w:rPr>
      </w:pPr>
    </w:p>
    <w:p w14:paraId="0B7D8F54">
      <w:pPr>
        <w:jc w:val="center"/>
        <w:rPr>
          <w:rFonts w:hint="eastAsia" w:ascii="宋体" w:hAnsi="宋体" w:eastAsia="宋体" w:cs="宋体"/>
          <w:b/>
          <w:color w:val="auto"/>
          <w:spacing w:val="20"/>
          <w:sz w:val="32"/>
          <w:szCs w:val="32"/>
          <w:highlight w:val="none"/>
        </w:rPr>
      </w:pPr>
    </w:p>
    <w:p w14:paraId="6AF04502">
      <w:pPr>
        <w:spacing w:line="360" w:lineRule="auto"/>
        <w:ind w:firstLine="1445" w:firstLineChars="400"/>
        <w:jc w:val="left"/>
        <w:rPr>
          <w:rFonts w:hint="eastAsia" w:ascii="宋体" w:hAnsi="宋体" w:eastAsia="宋体" w:cs="宋体"/>
          <w:b/>
          <w:color w:val="auto"/>
          <w:spacing w:val="20"/>
          <w:sz w:val="32"/>
          <w:szCs w:val="32"/>
          <w:highlight w:val="none"/>
        </w:rPr>
      </w:pPr>
      <w:r>
        <w:rPr>
          <w:rFonts w:hint="eastAsia" w:ascii="宋体" w:hAnsi="宋体" w:eastAsia="宋体" w:cs="宋体"/>
          <w:b/>
          <w:color w:val="auto"/>
          <w:spacing w:val="20"/>
          <w:sz w:val="32"/>
          <w:szCs w:val="32"/>
          <w:highlight w:val="none"/>
        </w:rPr>
        <w:t>投标人名称：</w:t>
      </w:r>
    </w:p>
    <w:p w14:paraId="1E94401C">
      <w:pPr>
        <w:jc w:val="center"/>
        <w:rPr>
          <w:rFonts w:hint="eastAsia" w:ascii="宋体" w:hAnsi="宋体" w:eastAsia="宋体" w:cs="宋体"/>
          <w:b/>
          <w:color w:val="auto"/>
          <w:sz w:val="32"/>
          <w:szCs w:val="32"/>
          <w:highlight w:val="none"/>
        </w:rPr>
      </w:pPr>
    </w:p>
    <w:p w14:paraId="386C38AE">
      <w:pPr>
        <w:widowControl/>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2AC74221">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bookmarkStart w:id="930" w:name="_Hlt520355504"/>
      <w:bookmarkEnd w:id="930"/>
      <w:bookmarkStart w:id="931" w:name="_Hlt520350918"/>
      <w:bookmarkEnd w:id="931"/>
      <w:bookmarkStart w:id="932" w:name="_Hlt520274121"/>
      <w:bookmarkEnd w:id="932"/>
      <w:bookmarkStart w:id="933" w:name="_Hlt520271212"/>
      <w:bookmarkEnd w:id="933"/>
      <w:bookmarkStart w:id="934" w:name="_Hlt520274407"/>
      <w:bookmarkEnd w:id="934"/>
      <w:bookmarkStart w:id="935" w:name="_Hlt520273711"/>
      <w:bookmarkEnd w:id="935"/>
      <w:bookmarkStart w:id="936" w:name="_Hlt520343392"/>
      <w:bookmarkEnd w:id="936"/>
      <w:bookmarkStart w:id="937" w:name="_Hlt520343000"/>
      <w:bookmarkEnd w:id="937"/>
      <w:bookmarkStart w:id="938" w:name="_Hlt520274065"/>
      <w:bookmarkEnd w:id="938"/>
      <w:bookmarkStart w:id="939" w:name="_Hlt520274393"/>
      <w:bookmarkEnd w:id="939"/>
      <w:bookmarkStart w:id="940" w:name="_Toc480942349"/>
      <w:bookmarkStart w:id="941" w:name="_Ref467988698"/>
      <w:bookmarkStart w:id="942" w:name="_Toc195842921"/>
      <w:bookmarkStart w:id="943" w:name="_Toc127151556"/>
      <w:bookmarkStart w:id="944" w:name="_Toc226965746"/>
      <w:bookmarkStart w:id="945" w:name="_Toc142311058"/>
      <w:bookmarkStart w:id="946" w:name="_Toc520356217"/>
      <w:bookmarkStart w:id="947" w:name="_Toc226965829"/>
      <w:bookmarkStart w:id="948" w:name="_Toc150774761"/>
      <w:bookmarkStart w:id="949" w:name="_Toc226337252"/>
      <w:bookmarkStart w:id="950" w:name="_Toc226309800"/>
      <w:bookmarkStart w:id="951" w:name="_Toc150480794"/>
      <w:r>
        <w:rPr>
          <w:rFonts w:hint="eastAsia" w:ascii="宋体" w:hAnsi="宋体" w:eastAsia="宋体" w:cs="宋体"/>
          <w:color w:val="auto"/>
          <w:sz w:val="24"/>
          <w:highlight w:val="none"/>
        </w:rPr>
        <w:t>投标</w:t>
      </w:r>
      <w:bookmarkEnd w:id="940"/>
      <w:bookmarkEnd w:id="941"/>
      <w:r>
        <w:rPr>
          <w:rFonts w:hint="eastAsia" w:ascii="宋体" w:hAnsi="宋体" w:eastAsia="宋体" w:cs="宋体"/>
          <w:color w:val="auto"/>
          <w:sz w:val="24"/>
          <w:highlight w:val="none"/>
        </w:rPr>
        <w:t>书</w:t>
      </w:r>
      <w:bookmarkEnd w:id="942"/>
      <w:bookmarkEnd w:id="943"/>
      <w:bookmarkEnd w:id="944"/>
      <w:bookmarkEnd w:id="945"/>
      <w:bookmarkEnd w:id="946"/>
      <w:bookmarkEnd w:id="947"/>
      <w:bookmarkEnd w:id="948"/>
      <w:bookmarkEnd w:id="949"/>
      <w:bookmarkEnd w:id="950"/>
      <w:bookmarkEnd w:id="951"/>
      <w:r>
        <w:rPr>
          <w:rFonts w:hint="eastAsia" w:ascii="宋体" w:hAnsi="宋体" w:eastAsia="宋体" w:cs="宋体"/>
          <w:color w:val="auto"/>
          <w:sz w:val="24"/>
          <w:szCs w:val="20"/>
          <w:highlight w:val="none"/>
        </w:rPr>
        <w:t>（实质性格式）</w:t>
      </w:r>
    </w:p>
    <w:p w14:paraId="3940BA70">
      <w:pPr>
        <w:tabs>
          <w:tab w:val="left" w:pos="5580"/>
        </w:tabs>
        <w:spacing w:line="360" w:lineRule="auto"/>
        <w:rPr>
          <w:rFonts w:hint="eastAsia" w:ascii="宋体" w:hAnsi="宋体" w:eastAsia="宋体" w:cs="宋体"/>
          <w:color w:val="auto"/>
          <w:sz w:val="24"/>
          <w:highlight w:val="none"/>
        </w:rPr>
      </w:pPr>
    </w:p>
    <w:p w14:paraId="033D3B59">
      <w:pPr>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投标书</w:t>
      </w:r>
    </w:p>
    <w:p w14:paraId="5F1A84F2">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（采购人或采购代理机构）</w:t>
      </w:r>
    </w:p>
    <w:p w14:paraId="176B19ED">
      <w:pPr>
        <w:tabs>
          <w:tab w:val="left" w:pos="5580"/>
        </w:tabs>
        <w:spacing w:line="360" w:lineRule="auto"/>
        <w:rPr>
          <w:rFonts w:hint="eastAsia" w:ascii="宋体" w:hAnsi="宋体" w:eastAsia="宋体" w:cs="宋体"/>
          <w:color w:val="auto"/>
          <w:sz w:val="24"/>
          <w:szCs w:val="20"/>
          <w:highlight w:val="none"/>
        </w:rPr>
      </w:pPr>
    </w:p>
    <w:p w14:paraId="02CE53B2">
      <w:pPr>
        <w:tabs>
          <w:tab w:val="left" w:pos="5580"/>
        </w:tabs>
        <w:spacing w:line="360" w:lineRule="auto"/>
        <w:ind w:firstLine="408"/>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我方参加你方就___________（项目名称，项目编号/包号）组织的招标活动，并对此项目进行投标。</w:t>
      </w:r>
    </w:p>
    <w:p w14:paraId="406D88CA">
      <w:pPr>
        <w:tabs>
          <w:tab w:val="left" w:pos="5580"/>
        </w:tabs>
        <w:spacing w:line="360" w:lineRule="auto"/>
        <w:ind w:firstLine="408"/>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 我方</w:t>
      </w:r>
      <w:r>
        <w:rPr>
          <w:rFonts w:hint="eastAsia" w:ascii="宋体" w:hAnsi="宋体" w:eastAsia="宋体" w:cs="宋体"/>
          <w:color w:val="auto"/>
          <w:sz w:val="24"/>
          <w:highlight w:val="none"/>
        </w:rPr>
        <w:t>已详细审查全部招标文件</w:t>
      </w:r>
      <w:r>
        <w:rPr>
          <w:rFonts w:hint="eastAsia" w:ascii="宋体" w:hAnsi="宋体" w:eastAsia="宋体" w:cs="宋体"/>
          <w:color w:val="auto"/>
          <w:sz w:val="24"/>
          <w:szCs w:val="20"/>
          <w:highlight w:val="none"/>
        </w:rPr>
        <w:t>，自愿参与投标并承诺如下：</w:t>
      </w:r>
    </w:p>
    <w:p w14:paraId="45257EE8">
      <w:pPr>
        <w:tabs>
          <w:tab w:val="left" w:pos="720"/>
          <w:tab w:val="left" w:pos="900"/>
        </w:tabs>
        <w:spacing w:line="360" w:lineRule="auto"/>
        <w:ind w:left="360" w:firstLine="72" w:firstLineChars="3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（1）本投标有效期为自提交投标文件的截止之日起</w:t>
      </w:r>
      <w:r>
        <w:rPr>
          <w:rFonts w:hint="eastAsia" w:ascii="宋体" w:hAnsi="宋体" w:eastAsia="宋体" w:cs="宋体"/>
          <w:color w:val="auto"/>
          <w:sz w:val="24"/>
          <w:highlight w:val="none"/>
        </w:rPr>
        <w:t>_____</w:t>
      </w:r>
      <w:r>
        <w:rPr>
          <w:rFonts w:hint="eastAsia" w:ascii="宋体" w:hAnsi="宋体" w:eastAsia="宋体" w:cs="宋体"/>
          <w:color w:val="auto"/>
          <w:sz w:val="24"/>
          <w:szCs w:val="20"/>
          <w:highlight w:val="none"/>
        </w:rPr>
        <w:t>个日历日。</w:t>
      </w:r>
    </w:p>
    <w:p w14:paraId="4A826CBD">
      <w:pPr>
        <w:tabs>
          <w:tab w:val="left" w:pos="720"/>
          <w:tab w:val="left" w:pos="900"/>
        </w:tabs>
        <w:spacing w:line="360" w:lineRule="auto"/>
        <w:ind w:left="360" w:firstLine="72" w:firstLineChars="3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（2）除合同条款及采购需求偏离表列出的偏离外，我方响应招标文件的全部要求。</w:t>
      </w:r>
    </w:p>
    <w:p w14:paraId="08925C11">
      <w:pPr>
        <w:tabs>
          <w:tab w:val="left" w:pos="5580"/>
        </w:tabs>
        <w:spacing w:line="360" w:lineRule="auto"/>
        <w:ind w:firstLine="420" w:firstLineChars="1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（3）我方已提供的全部文件资料是真实、准确的，并对此承担一切法律后果。</w:t>
      </w:r>
    </w:p>
    <w:p w14:paraId="71E29DA3">
      <w:pPr>
        <w:tabs>
          <w:tab w:val="left" w:pos="5580"/>
        </w:tabs>
        <w:spacing w:line="360" w:lineRule="auto"/>
        <w:ind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szCs w:val="20"/>
          <w:highlight w:val="none"/>
        </w:rPr>
        <w:t>（4）如我方中标，我方将在法律规定的期限内与你方签订合同，按照招标文件要求提交履约保证金，并在合同约定的期限内完成合同规定的全部义务。</w:t>
      </w:r>
    </w:p>
    <w:p w14:paraId="1DC66F87">
      <w:pPr>
        <w:spacing w:line="360" w:lineRule="auto"/>
        <w:ind w:left="420"/>
        <w:rPr>
          <w:rFonts w:hint="eastAsia" w:ascii="宋体" w:hAnsi="宋体" w:eastAsia="宋体" w:cs="宋体"/>
          <w:color w:val="auto"/>
          <w:sz w:val="24"/>
          <w:highlight w:val="none"/>
        </w:rPr>
      </w:pPr>
      <w:r>
        <w:rPr>
          <w:rFonts w:hint="eastAsia" w:ascii="宋体" w:hAnsi="宋体" w:eastAsia="宋体" w:cs="宋体"/>
          <w:color w:val="auto"/>
          <w:sz w:val="24"/>
          <w:highlight w:val="none"/>
        </w:rPr>
        <w:t>2. 其他补充条款（如有）：</w:t>
      </w:r>
      <w:r>
        <w:rPr>
          <w:rFonts w:hint="eastAsia" w:ascii="宋体" w:hAnsi="宋体" w:eastAsia="宋体" w:cs="宋体"/>
          <w:color w:val="auto"/>
          <w:sz w:val="24"/>
          <w:szCs w:val="20"/>
          <w:highlight w:val="none"/>
        </w:rPr>
        <w:t>___________</w:t>
      </w:r>
      <w:r>
        <w:rPr>
          <w:rFonts w:hint="eastAsia" w:ascii="宋体" w:hAnsi="宋体" w:eastAsia="宋体" w:cs="宋体"/>
          <w:color w:val="auto"/>
          <w:sz w:val="24"/>
          <w:highlight w:val="none"/>
        </w:rPr>
        <w:t>。</w:t>
      </w:r>
    </w:p>
    <w:p w14:paraId="60B1448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与本投标有关的一切正式往来信函请寄：</w:t>
      </w:r>
    </w:p>
    <w:p w14:paraId="0B9E57D2">
      <w:pPr>
        <w:tabs>
          <w:tab w:val="left" w:pos="5580"/>
        </w:tabs>
        <w:spacing w:line="360" w:lineRule="auto"/>
        <w:ind w:left="420"/>
        <w:rPr>
          <w:rFonts w:hint="eastAsia" w:ascii="宋体" w:hAnsi="宋体" w:eastAsia="宋体" w:cs="宋体"/>
          <w:color w:val="auto"/>
          <w:sz w:val="24"/>
          <w:szCs w:val="20"/>
          <w:highlight w:val="none"/>
        </w:rPr>
      </w:pPr>
    </w:p>
    <w:p w14:paraId="549BBAED">
      <w:pPr>
        <w:tabs>
          <w:tab w:val="left" w:pos="5580"/>
        </w:tabs>
        <w:spacing w:line="360" w:lineRule="auto"/>
        <w:ind w:left="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地址_________________________     传真____________________________</w:t>
      </w:r>
    </w:p>
    <w:p w14:paraId="755EF34E">
      <w:pPr>
        <w:tabs>
          <w:tab w:val="left" w:pos="5580"/>
        </w:tabs>
        <w:spacing w:line="360" w:lineRule="auto"/>
        <w:ind w:left="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电话_________________________     电子函件________________________</w:t>
      </w:r>
    </w:p>
    <w:p w14:paraId="56A8F60A">
      <w:pPr>
        <w:tabs>
          <w:tab w:val="left" w:pos="5580"/>
        </w:tabs>
        <w:spacing w:line="360" w:lineRule="auto"/>
        <w:ind w:left="420"/>
        <w:rPr>
          <w:rFonts w:hint="eastAsia" w:ascii="宋体" w:hAnsi="宋体" w:eastAsia="宋体" w:cs="宋体"/>
          <w:color w:val="auto"/>
          <w:sz w:val="24"/>
          <w:szCs w:val="20"/>
          <w:highlight w:val="none"/>
        </w:rPr>
      </w:pPr>
    </w:p>
    <w:p w14:paraId="2AF3BD78">
      <w:pPr>
        <w:tabs>
          <w:tab w:val="left" w:pos="5580"/>
        </w:tabs>
        <w:spacing w:line="360" w:lineRule="auto"/>
        <w:ind w:left="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投标人名称（加盖公章） ___________</w:t>
      </w:r>
    </w:p>
    <w:p w14:paraId="33EC0722">
      <w:pPr>
        <w:tabs>
          <w:tab w:val="left" w:pos="5580"/>
        </w:tabs>
        <w:spacing w:line="360" w:lineRule="auto"/>
        <w:ind w:left="420"/>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 xml:space="preserve">日期：_____年______月______日    </w:t>
      </w:r>
    </w:p>
    <w:p w14:paraId="00DA6930">
      <w:pPr>
        <w:widowControl/>
        <w:jc w:val="left"/>
        <w:rPr>
          <w:rFonts w:hint="eastAsia" w:ascii="宋体" w:hAnsi="宋体" w:eastAsia="宋体" w:cs="宋体"/>
          <w:color w:val="auto"/>
          <w:sz w:val="24"/>
          <w:highlight w:val="none"/>
        </w:rPr>
      </w:pPr>
      <w:bookmarkStart w:id="952" w:name="_Hlt520355938"/>
      <w:bookmarkEnd w:id="952"/>
      <w:bookmarkStart w:id="953" w:name="_Hlt520356243"/>
      <w:bookmarkEnd w:id="953"/>
      <w:bookmarkStart w:id="954" w:name="_Ref467988705"/>
      <w:bookmarkStart w:id="955" w:name="_Toc127151557"/>
      <w:bookmarkStart w:id="956" w:name="_Toc150774762"/>
      <w:bookmarkStart w:id="957" w:name="_Toc480942350"/>
      <w:bookmarkStart w:id="958" w:name="_Toc195842922"/>
      <w:bookmarkStart w:id="959" w:name="_Toc150480795"/>
      <w:bookmarkStart w:id="960" w:name="_Toc226337253"/>
      <w:bookmarkStart w:id="961" w:name="_Toc142311059"/>
      <w:bookmarkStart w:id="962" w:name="_Toc226965830"/>
      <w:bookmarkStart w:id="963" w:name="_Toc265228395"/>
      <w:bookmarkStart w:id="964" w:name="_Toc305158899"/>
      <w:bookmarkStart w:id="965" w:name="_Toc305158825"/>
      <w:bookmarkStart w:id="966" w:name="_Toc226309801"/>
      <w:bookmarkStart w:id="967" w:name="_Toc520356218"/>
      <w:bookmarkStart w:id="968" w:name="_Toc226965747"/>
      <w:bookmarkStart w:id="969" w:name="_Toc264969247"/>
      <w:r>
        <w:rPr>
          <w:rFonts w:hint="eastAsia" w:ascii="宋体" w:hAnsi="宋体" w:eastAsia="宋体" w:cs="宋体"/>
          <w:color w:val="auto"/>
          <w:sz w:val="24"/>
          <w:highlight w:val="none"/>
        </w:rPr>
        <w:br w:type="page"/>
      </w:r>
    </w:p>
    <w:p w14:paraId="56021500">
      <w:pPr>
        <w:numPr>
          <w:ilvl w:val="0"/>
          <w:numId w:val="24"/>
        </w:numPr>
        <w:tabs>
          <w:tab w:val="left" w:pos="360"/>
        </w:tabs>
        <w:snapToGrid w:val="0"/>
        <w:spacing w:line="360" w:lineRule="auto"/>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授权委托书（实质性格式）</w:t>
      </w:r>
    </w:p>
    <w:p w14:paraId="28EC948B">
      <w:pPr>
        <w:spacing w:line="36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授权委托书</w:t>
      </w:r>
    </w:p>
    <w:p w14:paraId="170B5AE3">
      <w:pPr>
        <w:spacing w:line="360" w:lineRule="auto"/>
        <w:ind w:firstLine="420"/>
        <w:rPr>
          <w:rFonts w:hint="eastAsia" w:ascii="宋体" w:hAnsi="宋体" w:eastAsia="宋体" w:cs="宋体"/>
          <w:color w:val="auto"/>
          <w:sz w:val="24"/>
          <w:szCs w:val="20"/>
          <w:highlight w:val="none"/>
        </w:rPr>
      </w:pPr>
    </w:p>
    <w:p w14:paraId="29AA6765">
      <w:pPr>
        <w:spacing w:line="360" w:lineRule="auto"/>
        <w:ind w:firstLine="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本人</w:t>
      </w:r>
      <w:r>
        <w:rPr>
          <w:rFonts w:hint="eastAsia" w:ascii="宋体" w:hAnsi="宋体" w:eastAsia="宋体" w:cs="宋体"/>
          <w:color w:val="auto"/>
          <w:sz w:val="24"/>
          <w:highlight w:val="none"/>
          <w:lang w:val="zh-CN"/>
        </w:rPr>
        <w:t>_______</w:t>
      </w:r>
      <w:r>
        <w:rPr>
          <w:rFonts w:hint="eastAsia" w:ascii="宋体" w:hAnsi="宋体" w:eastAsia="宋体" w:cs="宋体"/>
          <w:color w:val="auto"/>
          <w:sz w:val="24"/>
          <w:szCs w:val="20"/>
          <w:highlight w:val="none"/>
        </w:rPr>
        <w:t>（姓名）系</w:t>
      </w:r>
      <w:r>
        <w:rPr>
          <w:rFonts w:hint="eastAsia" w:ascii="宋体" w:hAnsi="宋体" w:eastAsia="宋体" w:cs="宋体"/>
          <w:color w:val="auto"/>
          <w:sz w:val="24"/>
          <w:highlight w:val="none"/>
          <w:lang w:val="zh-CN"/>
        </w:rPr>
        <w:t>________________</w:t>
      </w:r>
      <w:r>
        <w:rPr>
          <w:rFonts w:hint="eastAsia" w:ascii="宋体" w:hAnsi="宋体" w:eastAsia="宋体" w:cs="宋体"/>
          <w:color w:val="auto"/>
          <w:sz w:val="24"/>
          <w:szCs w:val="20"/>
          <w:highlight w:val="none"/>
        </w:rPr>
        <w:t>（投标人名称）的法定代表人（单位负责人），现委托</w:t>
      </w:r>
      <w:r>
        <w:rPr>
          <w:rFonts w:hint="eastAsia" w:ascii="宋体" w:hAnsi="宋体" w:eastAsia="宋体" w:cs="宋体"/>
          <w:color w:val="auto"/>
          <w:sz w:val="24"/>
          <w:highlight w:val="none"/>
          <w:lang w:val="zh-CN"/>
        </w:rPr>
        <w:t>_______</w:t>
      </w:r>
      <w:r>
        <w:rPr>
          <w:rFonts w:hint="eastAsia" w:ascii="宋体" w:hAnsi="宋体" w:eastAsia="宋体" w:cs="宋体"/>
          <w:color w:val="auto"/>
          <w:sz w:val="24"/>
          <w:szCs w:val="20"/>
          <w:highlight w:val="none"/>
        </w:rPr>
        <w:t>（姓名）为我方代理人。代理人根据授权，以我方名义签署、澄清确认、提交、撤回、修改</w:t>
      </w:r>
      <w:r>
        <w:rPr>
          <w:rFonts w:hint="eastAsia" w:ascii="宋体" w:hAnsi="宋体" w:eastAsia="宋体" w:cs="宋体"/>
          <w:color w:val="auto"/>
          <w:sz w:val="24"/>
          <w:highlight w:val="none"/>
          <w:lang w:val="zh-CN"/>
        </w:rPr>
        <w:t>________________</w:t>
      </w:r>
      <w:r>
        <w:rPr>
          <w:rFonts w:hint="eastAsia" w:ascii="宋体" w:hAnsi="宋体" w:eastAsia="宋体" w:cs="宋体"/>
          <w:color w:val="auto"/>
          <w:sz w:val="24"/>
          <w:szCs w:val="20"/>
          <w:highlight w:val="none"/>
        </w:rPr>
        <w:t>（项目名称）投标文件和处理有关事宜，其法律后果由我方承担。</w:t>
      </w:r>
    </w:p>
    <w:p w14:paraId="094D58A0">
      <w:pPr>
        <w:spacing w:line="360" w:lineRule="auto"/>
        <w:ind w:firstLine="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委托期限：自本授权委托书签署之日起至投标有效期届满之日止。</w:t>
      </w:r>
    </w:p>
    <w:p w14:paraId="774D97D0">
      <w:pPr>
        <w:spacing w:line="360" w:lineRule="auto"/>
        <w:ind w:firstLine="42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代理人无转委托权。</w:t>
      </w:r>
      <w:r>
        <w:rPr>
          <w:rFonts w:hint="eastAsia" w:ascii="宋体" w:hAnsi="宋体" w:eastAsia="宋体" w:cs="宋体"/>
          <w:color w:val="auto"/>
          <w:sz w:val="24"/>
          <w:szCs w:val="20"/>
          <w:highlight w:val="none"/>
        </w:rPr>
        <w:cr/>
      </w:r>
    </w:p>
    <w:p w14:paraId="76C5EE69">
      <w:pPr>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：________________</w:t>
      </w:r>
    </w:p>
    <w:p w14:paraId="2258290F">
      <w:pPr>
        <w:spacing w:line="360" w:lineRule="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法定代表人（单位负责人）（签字或签章）：</w:t>
      </w:r>
      <w:r>
        <w:rPr>
          <w:rFonts w:hint="eastAsia" w:ascii="宋体" w:hAnsi="宋体" w:eastAsia="宋体" w:cs="宋体"/>
          <w:color w:val="auto"/>
          <w:sz w:val="24"/>
          <w:highlight w:val="none"/>
          <w:lang w:val="zh-CN"/>
        </w:rPr>
        <w:t>________________</w:t>
      </w:r>
    </w:p>
    <w:p w14:paraId="2B2BE21E">
      <w:pPr>
        <w:autoSpaceDE w:val="0"/>
        <w:autoSpaceDN w:val="0"/>
        <w:adjustRightInd w:val="0"/>
        <w:snapToGrid w:val="0"/>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委托代理人（签字或签章）：</w:t>
      </w:r>
      <w:r>
        <w:rPr>
          <w:rFonts w:hint="eastAsia" w:ascii="宋体" w:hAnsi="宋体" w:eastAsia="宋体" w:cs="宋体"/>
          <w:color w:val="auto"/>
          <w:sz w:val="24"/>
          <w:highlight w:val="none"/>
          <w:lang w:val="zh-CN"/>
        </w:rPr>
        <w:t>________________</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 xml:space="preserve">                      </w:t>
      </w:r>
    </w:p>
    <w:p w14:paraId="4D8E5F2E">
      <w:pPr>
        <w:autoSpaceDE w:val="0"/>
        <w:autoSpaceDN w:val="0"/>
        <w:adjustRightInd w:val="0"/>
        <w:snapToGrid w:val="0"/>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日期：_____年______月______日</w:t>
      </w:r>
    </w:p>
    <w:p w14:paraId="69E65015">
      <w:pPr>
        <w:tabs>
          <w:tab w:val="left" w:pos="5580"/>
        </w:tabs>
        <w:spacing w:line="360" w:lineRule="auto"/>
        <w:ind w:firstLine="480" w:firstLineChars="200"/>
        <w:rPr>
          <w:rFonts w:hint="eastAsia" w:ascii="宋体" w:hAnsi="宋体" w:eastAsia="宋体" w:cs="宋体"/>
          <w:color w:val="auto"/>
          <w:sz w:val="24"/>
          <w:szCs w:val="20"/>
          <w:highlight w:val="none"/>
        </w:rPr>
      </w:pPr>
    </w:p>
    <w:p w14:paraId="439B36CE">
      <w:pPr>
        <w:tabs>
          <w:tab w:val="left" w:pos="5580"/>
        </w:tabs>
        <w:spacing w:line="360" w:lineRule="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附：法定代表人（单位负责人）及委托代理人身份证明文件：</w:t>
      </w:r>
    </w:p>
    <w:p w14:paraId="488F7CED">
      <w:pPr>
        <w:tabs>
          <w:tab w:val="left" w:pos="5580"/>
        </w:tabs>
        <w:spacing w:line="360" w:lineRule="auto"/>
        <w:jc w:val="left"/>
        <w:rPr>
          <w:rFonts w:hint="eastAsia" w:ascii="宋体" w:hAnsi="宋体" w:eastAsia="宋体" w:cs="宋体"/>
          <w:color w:val="auto"/>
          <w:sz w:val="24"/>
          <w:szCs w:val="20"/>
          <w:highlight w:val="none"/>
        </w:rPr>
      </w:pPr>
    </w:p>
    <w:p w14:paraId="43B865D1">
      <w:pPr>
        <w:tabs>
          <w:tab w:val="left" w:pos="5580"/>
        </w:tabs>
        <w:spacing w:line="360" w:lineRule="auto"/>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w:t>
      </w:r>
    </w:p>
    <w:p w14:paraId="1426D4FA">
      <w:pPr>
        <w:tabs>
          <w:tab w:val="left" w:pos="5580"/>
        </w:tabs>
        <w:spacing w:line="360" w:lineRule="auto"/>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1.若供应商为事业单位或其他组织或分支机构，则法定代表人（单位负责人）处的签署人可为单位负责人。</w:t>
      </w:r>
    </w:p>
    <w:p w14:paraId="30C52A53">
      <w:pPr>
        <w:tabs>
          <w:tab w:val="left" w:pos="5580"/>
        </w:tabs>
        <w:spacing w:line="360" w:lineRule="auto"/>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16F59223">
      <w:pPr>
        <w:tabs>
          <w:tab w:val="left" w:pos="5580"/>
        </w:tabs>
        <w:spacing w:line="360" w:lineRule="auto"/>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3.供应商为自然人的情形，可不提供本《授权委托书》。</w:t>
      </w:r>
    </w:p>
    <w:p w14:paraId="65F41657">
      <w:pPr>
        <w:tabs>
          <w:tab w:val="left" w:pos="5580"/>
        </w:tabs>
        <w:spacing w:line="360" w:lineRule="auto"/>
        <w:jc w:val="left"/>
        <w:rPr>
          <w:rFonts w:hint="eastAsia" w:ascii="宋体" w:hAnsi="宋体" w:eastAsia="宋体" w:cs="宋体"/>
          <w:color w:val="auto"/>
          <w:sz w:val="30"/>
          <w:szCs w:val="30"/>
          <w:highlight w:val="none"/>
        </w:rPr>
      </w:pPr>
      <w:r>
        <w:rPr>
          <w:rFonts w:hint="eastAsia" w:ascii="宋体" w:hAnsi="宋体" w:eastAsia="宋体" w:cs="宋体"/>
          <w:color w:val="auto"/>
          <w:sz w:val="24"/>
          <w:szCs w:val="20"/>
          <w:highlight w:val="none"/>
        </w:rPr>
        <w:t>4.供应商应随本《授权委托书》同时提供法定代表人（单位负责人）及委托代理人的有效的身份证或护照等身份证明文件。提供身份证的</w:t>
      </w:r>
      <w:r>
        <w:rPr>
          <w:rFonts w:hint="eastAsia" w:ascii="宋体" w:hAnsi="宋体" w:eastAsia="宋体" w:cs="宋体"/>
          <w:color w:val="auto"/>
          <w:sz w:val="24"/>
          <w:highlight w:val="none"/>
        </w:rPr>
        <w:t>复印件</w:t>
      </w:r>
      <w:r>
        <w:rPr>
          <w:rFonts w:hint="eastAsia" w:ascii="宋体" w:hAnsi="宋体" w:eastAsia="宋体" w:cs="宋体"/>
          <w:color w:val="auto"/>
          <w:sz w:val="24"/>
          <w:szCs w:val="20"/>
          <w:highlight w:val="none"/>
        </w:rPr>
        <w:t>，应同时提供身份证</w:t>
      </w:r>
      <w:r>
        <w:rPr>
          <w:rFonts w:hint="eastAsia" w:ascii="宋体" w:hAnsi="宋体" w:eastAsia="宋体" w:cs="宋体"/>
          <w:b/>
          <w:color w:val="auto"/>
          <w:sz w:val="24"/>
          <w:szCs w:val="20"/>
          <w:highlight w:val="none"/>
        </w:rPr>
        <w:t>双面</w:t>
      </w:r>
      <w:r>
        <w:rPr>
          <w:rFonts w:hint="eastAsia" w:ascii="宋体" w:hAnsi="宋体" w:eastAsia="宋体" w:cs="宋体"/>
          <w:color w:val="auto"/>
          <w:sz w:val="24"/>
          <w:highlight w:val="none"/>
        </w:rPr>
        <w:t>复印件</w:t>
      </w:r>
      <w:r>
        <w:rPr>
          <w:rFonts w:hint="eastAsia" w:ascii="宋体" w:hAnsi="宋体" w:eastAsia="宋体" w:cs="宋体"/>
          <w:color w:val="auto"/>
          <w:sz w:val="24"/>
          <w:szCs w:val="20"/>
          <w:highlight w:val="none"/>
        </w:rPr>
        <w:t>。</w:t>
      </w:r>
      <w:r>
        <w:rPr>
          <w:rFonts w:hint="eastAsia" w:ascii="宋体" w:hAnsi="宋体" w:eastAsia="宋体" w:cs="宋体"/>
          <w:color w:val="auto"/>
          <w:sz w:val="30"/>
          <w:szCs w:val="30"/>
          <w:highlight w:val="none"/>
        </w:rPr>
        <w:br w:type="page"/>
      </w:r>
    </w:p>
    <w:p w14:paraId="6009E856">
      <w:pPr>
        <w:spacing w:line="36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法定代表人（单位负责人）身份证明</w:t>
      </w:r>
    </w:p>
    <w:p w14:paraId="7723182F">
      <w:pPr>
        <w:kinsoku w:val="0"/>
        <w:overflowPunct w:val="0"/>
        <w:spacing w:line="200" w:lineRule="exact"/>
        <w:rPr>
          <w:rFonts w:hint="eastAsia" w:ascii="宋体" w:hAnsi="宋体" w:eastAsia="宋体" w:cs="宋体"/>
          <w:color w:val="auto"/>
          <w:sz w:val="20"/>
          <w:szCs w:val="20"/>
          <w:highlight w:val="none"/>
        </w:rPr>
      </w:pPr>
    </w:p>
    <w:p w14:paraId="1863C753">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（采购人或采购代理机构）</w:t>
      </w:r>
    </w:p>
    <w:p w14:paraId="46E2858E">
      <w:pPr>
        <w:pStyle w:val="2"/>
        <w:tabs>
          <w:tab w:val="left" w:pos="2412"/>
          <w:tab w:val="left" w:pos="3883"/>
          <w:tab w:val="left" w:pos="5352"/>
          <w:tab w:val="left" w:pos="6821"/>
        </w:tabs>
        <w:kinsoku w:val="0"/>
        <w:overflowPunct w:val="0"/>
        <w:spacing w:line="335"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兹证明，</w:t>
      </w:r>
    </w:p>
    <w:p w14:paraId="7B2A8095">
      <w:pPr>
        <w:pStyle w:val="2"/>
        <w:tabs>
          <w:tab w:val="left" w:pos="1690"/>
          <w:tab w:val="left" w:pos="3400"/>
          <w:tab w:val="left" w:pos="5110"/>
          <w:tab w:val="left" w:pos="6821"/>
        </w:tabs>
        <w:kinsoku w:val="0"/>
        <w:overflowPunct w:val="0"/>
        <w:spacing w:line="335" w:lineRule="exact"/>
        <w:rPr>
          <w:rFonts w:hint="eastAsia" w:ascii="宋体" w:hAnsi="宋体" w:eastAsia="宋体" w:cs="宋体"/>
          <w:color w:val="auto"/>
          <w:highlight w:val="none"/>
        </w:rPr>
      </w:pPr>
      <w:r>
        <w:rPr>
          <w:rFonts w:hint="eastAsia" w:ascii="宋体" w:hAnsi="宋体" w:eastAsia="宋体" w:cs="宋体"/>
          <w:color w:val="auto"/>
          <w:highlight w:val="none"/>
        </w:rPr>
        <w:t>姓名：____性别：____年龄：____职务：____</w:t>
      </w:r>
    </w:p>
    <w:p w14:paraId="2893D8D4">
      <w:pPr>
        <w:pStyle w:val="2"/>
        <w:tabs>
          <w:tab w:val="left" w:pos="2412"/>
          <w:tab w:val="left" w:pos="3883"/>
          <w:tab w:val="left" w:pos="5352"/>
          <w:tab w:val="left" w:pos="6821"/>
        </w:tabs>
        <w:kinsoku w:val="0"/>
        <w:overflowPunct w:val="0"/>
        <w:spacing w:line="335" w:lineRule="exact"/>
        <w:rPr>
          <w:rFonts w:hint="eastAsia" w:ascii="宋体" w:hAnsi="宋体" w:eastAsia="宋体" w:cs="宋体"/>
          <w:color w:val="auto"/>
          <w:highlight w:val="none"/>
        </w:rPr>
      </w:pPr>
    </w:p>
    <w:p w14:paraId="4AF20ADE">
      <w:pPr>
        <w:pStyle w:val="2"/>
        <w:tabs>
          <w:tab w:val="left" w:pos="2250"/>
          <w:tab w:val="left" w:pos="2412"/>
          <w:tab w:val="left" w:pos="3883"/>
          <w:tab w:val="left" w:pos="5352"/>
          <w:tab w:val="left" w:pos="6821"/>
          <w:tab w:val="clear" w:pos="567"/>
        </w:tabs>
        <w:kinsoku w:val="0"/>
        <w:overflowPunct w:val="0"/>
        <w:spacing w:line="335" w:lineRule="exact"/>
        <w:rPr>
          <w:rFonts w:hint="eastAsia" w:ascii="宋体" w:hAnsi="宋体" w:eastAsia="宋体" w:cs="宋体"/>
          <w:color w:val="auto"/>
          <w:highlight w:val="none"/>
        </w:rPr>
      </w:pPr>
      <w:r>
        <w:rPr>
          <w:rFonts w:hint="eastAsia" w:ascii="宋体" w:hAnsi="宋体" w:eastAsia="宋体" w:cs="宋体"/>
          <w:color w:val="auto"/>
          <w:highlight w:val="none"/>
        </w:rPr>
        <w:t>系</w:t>
      </w:r>
      <w:r>
        <w:rPr>
          <w:rFonts w:hint="eastAsia" w:ascii="宋体" w:hAnsi="宋体" w:eastAsia="宋体" w:cs="宋体"/>
          <w:color w:val="auto"/>
          <w:highlight w:val="none"/>
          <w:u w:val="single"/>
        </w:rPr>
        <w:tab/>
      </w:r>
      <w:r>
        <w:rPr>
          <w:rFonts w:hint="eastAsia" w:ascii="宋体" w:hAnsi="宋体" w:eastAsia="宋体" w:cs="宋体"/>
          <w:color w:val="auto"/>
          <w:highlight w:val="none"/>
        </w:rPr>
        <w:t>（投标人名称）的法定代表人（单位负责人）。</w:t>
      </w:r>
    </w:p>
    <w:p w14:paraId="4297B5EC">
      <w:pPr>
        <w:pStyle w:val="2"/>
        <w:tabs>
          <w:tab w:val="left" w:pos="2412"/>
          <w:tab w:val="left" w:pos="3883"/>
          <w:tab w:val="left" w:pos="5352"/>
          <w:tab w:val="left" w:pos="6821"/>
        </w:tabs>
        <w:kinsoku w:val="0"/>
        <w:overflowPunct w:val="0"/>
        <w:spacing w:line="335" w:lineRule="exact"/>
        <w:rPr>
          <w:rFonts w:hint="eastAsia" w:ascii="宋体" w:hAnsi="宋体" w:eastAsia="宋体" w:cs="宋体"/>
          <w:color w:val="auto"/>
          <w:highlight w:val="none"/>
        </w:rPr>
      </w:pPr>
    </w:p>
    <w:p w14:paraId="512AFF51">
      <w:pPr>
        <w:pStyle w:val="2"/>
        <w:kinsoku w:val="0"/>
        <w:overflowPunct w:val="0"/>
        <w:spacing w:line="583" w:lineRule="auto"/>
        <w:ind w:right="-46"/>
        <w:rPr>
          <w:rFonts w:hint="eastAsia" w:ascii="宋体" w:hAnsi="宋体" w:eastAsia="宋体" w:cs="宋体"/>
          <w:color w:val="auto"/>
          <w:szCs w:val="20"/>
          <w:highlight w:val="none"/>
        </w:rPr>
      </w:pPr>
      <w:r>
        <w:rPr>
          <w:rFonts w:hint="eastAsia" w:ascii="宋体" w:hAnsi="宋体" w:eastAsia="宋体" w:cs="宋体"/>
          <w:color w:val="auto"/>
          <w:szCs w:val="20"/>
          <w:highlight w:val="none"/>
        </w:rPr>
        <w:t>附：法定代表人（单位负责人）身份证或护照等身份证明文件：</w:t>
      </w:r>
    </w:p>
    <w:p w14:paraId="7991A56F">
      <w:pPr>
        <w:pStyle w:val="2"/>
        <w:kinsoku w:val="0"/>
        <w:overflowPunct w:val="0"/>
        <w:spacing w:line="583" w:lineRule="auto"/>
        <w:ind w:right="4305"/>
        <w:rPr>
          <w:rFonts w:hint="eastAsia" w:ascii="宋体" w:hAnsi="宋体" w:eastAsia="宋体" w:cs="宋体"/>
          <w:color w:val="auto"/>
          <w:spacing w:val="-3"/>
          <w:highlight w:val="none"/>
        </w:rPr>
      </w:pPr>
    </w:p>
    <w:p w14:paraId="63847973">
      <w:pPr>
        <w:autoSpaceDE w:val="0"/>
        <w:autoSpaceDN w:val="0"/>
        <w:adjustRightInd w:val="0"/>
        <w:snapToGrid w:val="0"/>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：________________</w:t>
      </w:r>
    </w:p>
    <w:p w14:paraId="6C3420CB">
      <w:pPr>
        <w:pStyle w:val="2"/>
        <w:kinsoku w:val="0"/>
        <w:overflowPunct w:val="0"/>
        <w:spacing w:line="583" w:lineRule="auto"/>
        <w:ind w:right="95"/>
        <w:rPr>
          <w:rFonts w:hint="eastAsia" w:ascii="宋体" w:hAnsi="宋体" w:eastAsia="宋体" w:cs="宋体"/>
          <w:color w:val="auto"/>
          <w:spacing w:val="-3"/>
          <w:highlight w:val="none"/>
        </w:rPr>
      </w:pPr>
      <w:r>
        <w:rPr>
          <w:rFonts w:hint="eastAsia" w:ascii="宋体" w:hAnsi="宋体" w:eastAsia="宋体" w:cs="宋体"/>
          <w:color w:val="auto"/>
          <w:spacing w:val="-3"/>
          <w:highlight w:val="none"/>
        </w:rPr>
        <w:t>法定代表人（</w:t>
      </w:r>
      <w:r>
        <w:rPr>
          <w:rFonts w:hint="eastAsia" w:ascii="宋体" w:hAnsi="宋体" w:eastAsia="宋体" w:cs="宋体"/>
          <w:color w:val="auto"/>
          <w:highlight w:val="none"/>
        </w:rPr>
        <w:t>单位负责人</w:t>
      </w:r>
      <w:r>
        <w:rPr>
          <w:rFonts w:hint="eastAsia" w:ascii="宋体" w:hAnsi="宋体" w:eastAsia="宋体" w:cs="宋体"/>
          <w:color w:val="auto"/>
          <w:spacing w:val="-3"/>
          <w:highlight w:val="none"/>
        </w:rPr>
        <w:t>）（签字或签章）：_______</w:t>
      </w:r>
    </w:p>
    <w:p w14:paraId="26DAFACB">
      <w:pPr>
        <w:autoSpaceDE w:val="0"/>
        <w:autoSpaceDN w:val="0"/>
        <w:adjustRightInd w:val="0"/>
        <w:snapToGrid w:val="0"/>
        <w:spacing w:line="360" w:lineRule="auto"/>
        <w:rPr>
          <w:rFonts w:hint="eastAsia" w:ascii="宋体" w:hAnsi="宋体" w:eastAsia="宋体" w:cs="宋体"/>
          <w:color w:val="auto"/>
          <w:sz w:val="24"/>
          <w:highlight w:val="none"/>
        </w:rPr>
      </w:pPr>
    </w:p>
    <w:p w14:paraId="39D3F8B7">
      <w:pPr>
        <w:autoSpaceDE w:val="0"/>
        <w:autoSpaceDN w:val="0"/>
        <w:adjustRightInd w:val="0"/>
        <w:snapToGrid w:val="0"/>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日期：_____年______月______日</w:t>
      </w:r>
    </w:p>
    <w:p w14:paraId="13F95C73">
      <w:pPr>
        <w:widowControl/>
        <w:jc w:val="left"/>
        <w:rPr>
          <w:rFonts w:hint="eastAsia" w:ascii="宋体" w:hAnsi="宋体" w:eastAsia="宋体" w:cs="宋体"/>
          <w:i/>
          <w:color w:val="auto"/>
          <w:sz w:val="24"/>
          <w:szCs w:val="20"/>
          <w:highlight w:val="none"/>
          <w:u w:val="single"/>
        </w:rPr>
      </w:pPr>
    </w:p>
    <w:p w14:paraId="605C64B1">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p>
    <w:p w14:paraId="538FCDFD">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开标一览表</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Pr>
          <w:rFonts w:hint="eastAsia" w:ascii="宋体" w:hAnsi="宋体" w:eastAsia="宋体" w:cs="宋体"/>
          <w:color w:val="auto"/>
          <w:sz w:val="24"/>
          <w:szCs w:val="20"/>
          <w:highlight w:val="none"/>
        </w:rPr>
        <w:t>（实质性格式）</w:t>
      </w:r>
    </w:p>
    <w:p w14:paraId="4EDE4E22">
      <w:pPr>
        <w:spacing w:line="360" w:lineRule="exact"/>
        <w:jc w:val="center"/>
        <w:rPr>
          <w:rFonts w:hint="eastAsia" w:ascii="宋体" w:hAnsi="宋体" w:eastAsia="宋体" w:cs="宋体"/>
          <w:b/>
          <w:color w:val="auto"/>
          <w:sz w:val="36"/>
          <w:szCs w:val="36"/>
          <w:highlight w:val="none"/>
        </w:rPr>
      </w:pPr>
      <w:bookmarkStart w:id="970" w:name="_Toc226965748"/>
      <w:bookmarkStart w:id="971" w:name="_Toc305158826"/>
      <w:bookmarkStart w:id="972" w:name="_Toc305158900"/>
      <w:bookmarkStart w:id="973" w:name="_Toc264969248"/>
      <w:bookmarkStart w:id="974" w:name="_Toc195842923"/>
      <w:bookmarkStart w:id="975" w:name="_Toc226309802"/>
      <w:bookmarkStart w:id="976" w:name="_Toc226337254"/>
      <w:bookmarkStart w:id="977" w:name="_Toc226965831"/>
      <w:bookmarkStart w:id="978" w:name="_Toc265228396"/>
      <w:bookmarkStart w:id="979" w:name="_Toc164608827"/>
      <w:bookmarkStart w:id="980" w:name="_Toc164608672"/>
      <w:r>
        <w:rPr>
          <w:rFonts w:hint="eastAsia" w:ascii="宋体" w:hAnsi="宋体" w:eastAsia="宋体" w:cs="宋体"/>
          <w:b/>
          <w:color w:val="auto"/>
          <w:sz w:val="36"/>
          <w:szCs w:val="36"/>
          <w:highlight w:val="none"/>
        </w:rPr>
        <w:t>开标一览表</w:t>
      </w:r>
      <w:bookmarkEnd w:id="970"/>
      <w:bookmarkEnd w:id="971"/>
      <w:bookmarkEnd w:id="972"/>
      <w:bookmarkEnd w:id="973"/>
      <w:bookmarkEnd w:id="974"/>
      <w:bookmarkEnd w:id="975"/>
      <w:bookmarkEnd w:id="976"/>
      <w:bookmarkEnd w:id="977"/>
      <w:bookmarkEnd w:id="978"/>
      <w:bookmarkEnd w:id="979"/>
      <w:bookmarkEnd w:id="980"/>
    </w:p>
    <w:p w14:paraId="0F631A65">
      <w:pPr>
        <w:tabs>
          <w:tab w:val="left" w:pos="1800"/>
          <w:tab w:val="left" w:pos="5580"/>
        </w:tabs>
        <w:spacing w:line="360" w:lineRule="auto"/>
        <w:ind w:firstLine="240" w:firstLineChars="1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项目编号：_____________________     项目名称：____________</w:t>
      </w:r>
    </w:p>
    <w:tbl>
      <w:tblPr>
        <w:tblStyle w:val="43"/>
        <w:tblW w:w="8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8"/>
        <w:gridCol w:w="3700"/>
        <w:gridCol w:w="1985"/>
        <w:gridCol w:w="1980"/>
      </w:tblGrid>
      <w:tr w14:paraId="0D1F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688" w:type="dxa"/>
            <w:vMerge w:val="restart"/>
            <w:vAlign w:val="center"/>
          </w:tcPr>
          <w:p w14:paraId="67F8550D">
            <w:pPr>
              <w:tabs>
                <w:tab w:val="left" w:pos="5580"/>
              </w:tabs>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包号</w:t>
            </w:r>
          </w:p>
        </w:tc>
        <w:tc>
          <w:tcPr>
            <w:tcW w:w="3700" w:type="dxa"/>
            <w:vMerge w:val="restart"/>
            <w:vAlign w:val="center"/>
          </w:tcPr>
          <w:p w14:paraId="3CE3D50D">
            <w:pPr>
              <w:tabs>
                <w:tab w:val="left" w:pos="5580"/>
              </w:tabs>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投标人名称</w:t>
            </w:r>
          </w:p>
        </w:tc>
        <w:tc>
          <w:tcPr>
            <w:tcW w:w="3965" w:type="dxa"/>
            <w:gridSpan w:val="2"/>
            <w:vAlign w:val="center"/>
          </w:tcPr>
          <w:p w14:paraId="0B711AD5">
            <w:pPr>
              <w:tabs>
                <w:tab w:val="left" w:pos="5580"/>
              </w:tabs>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投标报价</w:t>
            </w:r>
          </w:p>
        </w:tc>
      </w:tr>
      <w:tr w14:paraId="54FE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88" w:type="dxa"/>
            <w:vMerge w:val="continue"/>
            <w:vAlign w:val="center"/>
          </w:tcPr>
          <w:p w14:paraId="7E013A44">
            <w:pPr>
              <w:tabs>
                <w:tab w:val="left" w:pos="5580"/>
              </w:tabs>
              <w:jc w:val="center"/>
              <w:rPr>
                <w:rFonts w:hint="eastAsia" w:ascii="宋体" w:hAnsi="宋体" w:eastAsia="宋体" w:cs="宋体"/>
                <w:color w:val="auto"/>
                <w:sz w:val="24"/>
                <w:highlight w:val="none"/>
              </w:rPr>
            </w:pPr>
          </w:p>
        </w:tc>
        <w:tc>
          <w:tcPr>
            <w:tcW w:w="3700" w:type="dxa"/>
            <w:vMerge w:val="continue"/>
            <w:vAlign w:val="center"/>
          </w:tcPr>
          <w:p w14:paraId="10254CB9">
            <w:pPr>
              <w:tabs>
                <w:tab w:val="left" w:pos="5580"/>
              </w:tabs>
              <w:jc w:val="center"/>
              <w:rPr>
                <w:rFonts w:hint="eastAsia" w:ascii="宋体" w:hAnsi="宋体" w:eastAsia="宋体" w:cs="宋体"/>
                <w:color w:val="auto"/>
                <w:sz w:val="24"/>
                <w:highlight w:val="none"/>
              </w:rPr>
            </w:pPr>
          </w:p>
        </w:tc>
        <w:tc>
          <w:tcPr>
            <w:tcW w:w="1985" w:type="dxa"/>
            <w:vAlign w:val="center"/>
          </w:tcPr>
          <w:p w14:paraId="01FD1F2A">
            <w:pPr>
              <w:tabs>
                <w:tab w:val="left" w:pos="5580"/>
              </w:tabs>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大写</w:t>
            </w:r>
          </w:p>
        </w:tc>
        <w:tc>
          <w:tcPr>
            <w:tcW w:w="1980" w:type="dxa"/>
            <w:vAlign w:val="center"/>
          </w:tcPr>
          <w:p w14:paraId="66A14C72">
            <w:pPr>
              <w:tabs>
                <w:tab w:val="left" w:pos="5580"/>
              </w:tabs>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小写</w:t>
            </w:r>
          </w:p>
        </w:tc>
      </w:tr>
      <w:tr w14:paraId="6120C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88" w:type="dxa"/>
            <w:vAlign w:val="center"/>
          </w:tcPr>
          <w:p w14:paraId="489232DA">
            <w:pPr>
              <w:tabs>
                <w:tab w:val="left" w:pos="5580"/>
              </w:tabs>
              <w:jc w:val="center"/>
              <w:rPr>
                <w:rFonts w:hint="eastAsia" w:ascii="宋体" w:hAnsi="宋体" w:eastAsia="宋体" w:cs="宋体"/>
                <w:color w:val="auto"/>
                <w:sz w:val="24"/>
                <w:highlight w:val="none"/>
              </w:rPr>
            </w:pPr>
          </w:p>
        </w:tc>
        <w:tc>
          <w:tcPr>
            <w:tcW w:w="3700" w:type="dxa"/>
            <w:vAlign w:val="center"/>
          </w:tcPr>
          <w:p w14:paraId="2BB5A991">
            <w:pPr>
              <w:tabs>
                <w:tab w:val="left" w:pos="5580"/>
              </w:tabs>
              <w:jc w:val="center"/>
              <w:rPr>
                <w:rFonts w:hint="eastAsia" w:ascii="宋体" w:hAnsi="宋体" w:eastAsia="宋体" w:cs="宋体"/>
                <w:color w:val="auto"/>
                <w:sz w:val="24"/>
                <w:highlight w:val="none"/>
              </w:rPr>
            </w:pPr>
          </w:p>
        </w:tc>
        <w:tc>
          <w:tcPr>
            <w:tcW w:w="1985" w:type="dxa"/>
            <w:vAlign w:val="center"/>
          </w:tcPr>
          <w:p w14:paraId="7336E761">
            <w:pPr>
              <w:tabs>
                <w:tab w:val="left" w:pos="5580"/>
              </w:tabs>
              <w:jc w:val="center"/>
              <w:rPr>
                <w:rFonts w:hint="eastAsia" w:ascii="宋体" w:hAnsi="宋体" w:eastAsia="宋体" w:cs="宋体"/>
                <w:color w:val="auto"/>
                <w:sz w:val="24"/>
                <w:highlight w:val="none"/>
              </w:rPr>
            </w:pPr>
          </w:p>
        </w:tc>
        <w:tc>
          <w:tcPr>
            <w:tcW w:w="1980" w:type="dxa"/>
            <w:vAlign w:val="center"/>
          </w:tcPr>
          <w:p w14:paraId="1C576DED">
            <w:pPr>
              <w:tabs>
                <w:tab w:val="left" w:pos="5580"/>
              </w:tabs>
              <w:jc w:val="center"/>
              <w:rPr>
                <w:rFonts w:hint="eastAsia" w:ascii="宋体" w:hAnsi="宋体" w:eastAsia="宋体" w:cs="宋体"/>
                <w:color w:val="auto"/>
                <w:sz w:val="24"/>
                <w:highlight w:val="none"/>
              </w:rPr>
            </w:pPr>
          </w:p>
        </w:tc>
      </w:tr>
    </w:tbl>
    <w:p w14:paraId="42D76A1C">
      <w:pPr>
        <w:autoSpaceDE w:val="0"/>
        <w:autoSpaceDN w:val="0"/>
        <w:adjustRightInd w:val="0"/>
        <w:jc w:val="left"/>
        <w:rPr>
          <w:rFonts w:hint="eastAsia" w:ascii="宋体" w:hAnsi="宋体" w:eastAsia="宋体" w:cs="宋体"/>
          <w:color w:val="auto"/>
          <w:kern w:val="0"/>
          <w:sz w:val="24"/>
          <w:highlight w:val="none"/>
        </w:rPr>
      </w:pPr>
    </w:p>
    <w:p w14:paraId="5D0E882A">
      <w:pPr>
        <w:autoSpaceDE w:val="0"/>
        <w:autoSpaceDN w:val="0"/>
        <w:adjustRightInd w:val="0"/>
        <w:jc w:val="left"/>
        <w:rPr>
          <w:rFonts w:hint="eastAsia" w:ascii="宋体" w:hAnsi="宋体" w:eastAsia="宋体" w:cs="宋体"/>
          <w:color w:val="auto"/>
          <w:sz w:val="24"/>
          <w:szCs w:val="20"/>
          <w:highlight w:val="none"/>
        </w:rPr>
      </w:pPr>
      <w:r>
        <w:rPr>
          <w:rFonts w:hint="eastAsia" w:ascii="宋体" w:hAnsi="宋体" w:eastAsia="宋体" w:cs="宋体"/>
          <w:color w:val="auto"/>
          <w:kern w:val="0"/>
          <w:sz w:val="24"/>
          <w:highlight w:val="none"/>
        </w:rPr>
        <w:t>注：1</w:t>
      </w:r>
      <w:r>
        <w:rPr>
          <w:rFonts w:hint="eastAsia" w:ascii="宋体" w:hAnsi="宋体" w:eastAsia="宋体" w:cs="宋体"/>
          <w:color w:val="auto"/>
          <w:sz w:val="24"/>
          <w:szCs w:val="20"/>
          <w:highlight w:val="none"/>
        </w:rPr>
        <w:t>.此表中，每包的投标报价应和《投标分项报价表》中的总价相一致。</w:t>
      </w:r>
    </w:p>
    <w:p w14:paraId="118AA4DA">
      <w:pPr>
        <w:tabs>
          <w:tab w:val="left" w:pos="5580"/>
        </w:tabs>
        <w:ind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2.本表必须按包分别填写。</w:t>
      </w:r>
    </w:p>
    <w:p w14:paraId="0EE300C3">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p>
    <w:p w14:paraId="35A0E9D8">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                         </w:t>
      </w:r>
    </w:p>
    <w:p w14:paraId="7937D55D">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：____________</w:t>
      </w:r>
    </w:p>
    <w:p w14:paraId="6E013F14">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szCs w:val="20"/>
          <w:highlight w:val="none"/>
        </w:rPr>
        <w:t xml:space="preserve">日期：_____年______月______日   </w:t>
      </w:r>
    </w:p>
    <w:p w14:paraId="40DDCA7E">
      <w:pPr>
        <w:widowControl/>
        <w:jc w:val="left"/>
        <w:rPr>
          <w:rFonts w:hint="eastAsia" w:ascii="宋体" w:hAnsi="宋体" w:eastAsia="宋体" w:cs="宋体"/>
          <w:color w:val="auto"/>
          <w:sz w:val="24"/>
          <w:szCs w:val="20"/>
          <w:highlight w:val="none"/>
        </w:rPr>
      </w:pPr>
      <w:bookmarkStart w:id="981" w:name="_Toc150480796"/>
      <w:bookmarkStart w:id="982" w:name="_Toc305158901"/>
      <w:bookmarkStart w:id="983" w:name="_Toc226965749"/>
      <w:bookmarkStart w:id="984" w:name="_Toc305158827"/>
      <w:bookmarkStart w:id="985" w:name="_Toc264969249"/>
      <w:bookmarkStart w:id="986" w:name="_Toc226337255"/>
      <w:bookmarkStart w:id="987" w:name="_Toc142311060"/>
      <w:bookmarkStart w:id="988" w:name="_Toc150774763"/>
      <w:bookmarkStart w:id="989" w:name="_Toc127151558"/>
      <w:bookmarkStart w:id="990" w:name="_Toc265228397"/>
      <w:bookmarkStart w:id="991" w:name="_Toc195842924"/>
      <w:bookmarkStart w:id="992" w:name="_Toc226965832"/>
      <w:bookmarkStart w:id="993" w:name="_Toc226309803"/>
    </w:p>
    <w:p w14:paraId="17AE10BA">
      <w:pPr>
        <w:widowControl/>
        <w:jc w:val="left"/>
        <w:rPr>
          <w:rFonts w:hint="eastAsia" w:ascii="宋体" w:hAnsi="宋体" w:eastAsia="宋体" w:cs="宋体"/>
          <w:color w:val="auto"/>
          <w:sz w:val="24"/>
          <w:szCs w:val="20"/>
          <w:highlight w:val="none"/>
        </w:rPr>
      </w:pPr>
    </w:p>
    <w:p w14:paraId="0BC477F4">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sectPr>
          <w:headerReference r:id="rId20" w:type="first"/>
          <w:footerReference r:id="rId22" w:type="first"/>
          <w:headerReference r:id="rId19" w:type="even"/>
          <w:footerReference r:id="rId21" w:type="even"/>
          <w:pgSz w:w="11907" w:h="16840"/>
          <w:pgMar w:top="1418" w:right="1134" w:bottom="1418" w:left="1701" w:header="851" w:footer="851" w:gutter="0"/>
          <w:cols w:space="720" w:num="1"/>
          <w:docGrid w:linePitch="462" w:charSpace="0"/>
        </w:sectPr>
      </w:pPr>
    </w:p>
    <w:p w14:paraId="0B3A90F4">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投标分项报价表</w:t>
      </w:r>
      <w:bookmarkEnd w:id="981"/>
      <w:bookmarkEnd w:id="982"/>
      <w:bookmarkEnd w:id="983"/>
      <w:bookmarkEnd w:id="984"/>
      <w:bookmarkEnd w:id="985"/>
      <w:bookmarkEnd w:id="986"/>
      <w:bookmarkEnd w:id="987"/>
      <w:bookmarkEnd w:id="988"/>
      <w:bookmarkEnd w:id="989"/>
      <w:bookmarkEnd w:id="990"/>
      <w:bookmarkEnd w:id="991"/>
      <w:bookmarkEnd w:id="992"/>
      <w:bookmarkEnd w:id="993"/>
      <w:r>
        <w:rPr>
          <w:rFonts w:hint="eastAsia" w:ascii="宋体" w:hAnsi="宋体" w:eastAsia="宋体" w:cs="宋体"/>
          <w:color w:val="auto"/>
          <w:sz w:val="24"/>
          <w:szCs w:val="20"/>
          <w:highlight w:val="none"/>
        </w:rPr>
        <w:t>（实质性格式）</w:t>
      </w:r>
    </w:p>
    <w:p w14:paraId="7E357B03">
      <w:pPr>
        <w:pStyle w:val="255"/>
        <w:spacing w:line="360" w:lineRule="exact"/>
        <w:ind w:left="900" w:firstLine="0" w:firstLineChars="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投标分项报价表</w:t>
      </w:r>
    </w:p>
    <w:p w14:paraId="64BD21EB">
      <w:pPr>
        <w:pStyle w:val="255"/>
        <w:spacing w:line="260" w:lineRule="exact"/>
        <w:ind w:left="900" w:firstLine="0" w:firstLineChars="0"/>
        <w:rPr>
          <w:rFonts w:hint="eastAsia" w:ascii="宋体" w:hAnsi="宋体" w:eastAsia="宋体" w:cs="宋体"/>
          <w:color w:val="auto"/>
          <w:sz w:val="36"/>
          <w:szCs w:val="36"/>
          <w:highlight w:val="none"/>
        </w:rPr>
      </w:pPr>
    </w:p>
    <w:p w14:paraId="46CB151A">
      <w:pPr>
        <w:pStyle w:val="255"/>
        <w:tabs>
          <w:tab w:val="left" w:pos="1800"/>
          <w:tab w:val="left" w:pos="5580"/>
        </w:tabs>
        <w:ind w:left="90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项目编号/包号：________ 项目名称：__________报价单位：人民币元</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619"/>
        <w:gridCol w:w="798"/>
        <w:gridCol w:w="549"/>
        <w:gridCol w:w="752"/>
        <w:gridCol w:w="752"/>
        <w:gridCol w:w="752"/>
        <w:gridCol w:w="752"/>
        <w:gridCol w:w="752"/>
        <w:gridCol w:w="752"/>
        <w:gridCol w:w="939"/>
        <w:gridCol w:w="475"/>
        <w:gridCol w:w="939"/>
      </w:tblGrid>
      <w:tr w14:paraId="5B379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75" w:type="pct"/>
            <w:vAlign w:val="center"/>
          </w:tcPr>
          <w:p w14:paraId="77F57363">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370" w:type="pct"/>
            <w:vAlign w:val="center"/>
          </w:tcPr>
          <w:p w14:paraId="1E58A137">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产品全称</w:t>
            </w:r>
          </w:p>
        </w:tc>
        <w:tc>
          <w:tcPr>
            <w:tcW w:w="466" w:type="pct"/>
            <w:vAlign w:val="center"/>
          </w:tcPr>
          <w:p w14:paraId="492D8562">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制造商</w:t>
            </w:r>
          </w:p>
        </w:tc>
        <w:tc>
          <w:tcPr>
            <w:tcW w:w="332" w:type="pct"/>
            <w:vAlign w:val="center"/>
          </w:tcPr>
          <w:p w14:paraId="7262E899">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产地/国别</w:t>
            </w:r>
          </w:p>
        </w:tc>
        <w:tc>
          <w:tcPr>
            <w:tcW w:w="441" w:type="pct"/>
            <w:vAlign w:val="center"/>
          </w:tcPr>
          <w:p w14:paraId="57823A47">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制造商</w:t>
            </w:r>
          </w:p>
          <w:p w14:paraId="3A02AA02">
            <w:pPr>
              <w:adjustRightInd w:val="0"/>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统一社会信用代码</w:t>
            </w:r>
          </w:p>
        </w:tc>
        <w:tc>
          <w:tcPr>
            <w:tcW w:w="441" w:type="pct"/>
            <w:vAlign w:val="center"/>
          </w:tcPr>
          <w:p w14:paraId="1340DE01">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制造商</w:t>
            </w:r>
          </w:p>
          <w:p w14:paraId="3A918695">
            <w:pPr>
              <w:adjustRightInd w:val="0"/>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规模</w:t>
            </w:r>
          </w:p>
        </w:tc>
        <w:tc>
          <w:tcPr>
            <w:tcW w:w="441" w:type="pct"/>
          </w:tcPr>
          <w:p w14:paraId="7BE4E122">
            <w:pPr>
              <w:adjustRightInd w:val="0"/>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制造商所属性别</w:t>
            </w:r>
          </w:p>
        </w:tc>
        <w:tc>
          <w:tcPr>
            <w:tcW w:w="441" w:type="pct"/>
          </w:tcPr>
          <w:p w14:paraId="169DE1D8">
            <w:pPr>
              <w:adjustRightInd w:val="0"/>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外商投资类型</w:t>
            </w:r>
          </w:p>
        </w:tc>
        <w:tc>
          <w:tcPr>
            <w:tcW w:w="441" w:type="pct"/>
            <w:vAlign w:val="center"/>
          </w:tcPr>
          <w:p w14:paraId="41EDE520">
            <w:pPr>
              <w:adjustRightInd w:val="0"/>
              <w:snapToGrid w:val="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品牌</w:t>
            </w:r>
          </w:p>
        </w:tc>
        <w:tc>
          <w:tcPr>
            <w:tcW w:w="441" w:type="pct"/>
            <w:vAlign w:val="center"/>
          </w:tcPr>
          <w:p w14:paraId="5E7BC54E">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规格、型号</w:t>
            </w:r>
          </w:p>
        </w:tc>
        <w:tc>
          <w:tcPr>
            <w:tcW w:w="360" w:type="pct"/>
            <w:vAlign w:val="center"/>
          </w:tcPr>
          <w:p w14:paraId="4D4D2284">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单价（元）</w:t>
            </w:r>
          </w:p>
        </w:tc>
        <w:tc>
          <w:tcPr>
            <w:tcW w:w="292" w:type="pct"/>
            <w:vAlign w:val="center"/>
          </w:tcPr>
          <w:p w14:paraId="23321259">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数量</w:t>
            </w:r>
          </w:p>
        </w:tc>
        <w:tc>
          <w:tcPr>
            <w:tcW w:w="359" w:type="pct"/>
            <w:vAlign w:val="center"/>
          </w:tcPr>
          <w:p w14:paraId="52F6A57D">
            <w:pPr>
              <w:adjustRightInd w:val="0"/>
              <w:snapToGrid w:val="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合价（元）</w:t>
            </w:r>
          </w:p>
        </w:tc>
      </w:tr>
      <w:tr w14:paraId="34C57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7FE90B98">
            <w:pPr>
              <w:adjustRightInd w:val="0"/>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70" w:type="pct"/>
            <w:vAlign w:val="center"/>
          </w:tcPr>
          <w:p w14:paraId="2A6EC67F">
            <w:pPr>
              <w:adjustRightInd w:val="0"/>
              <w:snapToGrid w:val="0"/>
              <w:jc w:val="left"/>
              <w:rPr>
                <w:rFonts w:hint="eastAsia" w:ascii="宋体" w:hAnsi="宋体" w:eastAsia="宋体" w:cs="宋体"/>
                <w:color w:val="auto"/>
                <w:sz w:val="24"/>
                <w:highlight w:val="none"/>
              </w:rPr>
            </w:pPr>
          </w:p>
        </w:tc>
        <w:tc>
          <w:tcPr>
            <w:tcW w:w="466" w:type="pct"/>
            <w:vAlign w:val="center"/>
          </w:tcPr>
          <w:p w14:paraId="76C1CEC6">
            <w:pPr>
              <w:adjustRightInd w:val="0"/>
              <w:snapToGrid w:val="0"/>
              <w:jc w:val="left"/>
              <w:rPr>
                <w:rFonts w:hint="eastAsia" w:ascii="宋体" w:hAnsi="宋体" w:eastAsia="宋体" w:cs="宋体"/>
                <w:color w:val="auto"/>
                <w:sz w:val="24"/>
                <w:highlight w:val="none"/>
              </w:rPr>
            </w:pPr>
          </w:p>
        </w:tc>
        <w:tc>
          <w:tcPr>
            <w:tcW w:w="332" w:type="pct"/>
          </w:tcPr>
          <w:p w14:paraId="04267D91">
            <w:pPr>
              <w:adjustRightInd w:val="0"/>
              <w:snapToGrid w:val="0"/>
              <w:jc w:val="left"/>
              <w:rPr>
                <w:rFonts w:hint="eastAsia" w:ascii="宋体" w:hAnsi="宋体" w:eastAsia="宋体" w:cs="宋体"/>
                <w:color w:val="auto"/>
                <w:sz w:val="24"/>
                <w:highlight w:val="none"/>
              </w:rPr>
            </w:pPr>
          </w:p>
        </w:tc>
        <w:tc>
          <w:tcPr>
            <w:tcW w:w="441" w:type="pct"/>
            <w:vAlign w:val="center"/>
          </w:tcPr>
          <w:p w14:paraId="53ABCC10">
            <w:pPr>
              <w:adjustRightInd w:val="0"/>
              <w:snapToGrid w:val="0"/>
              <w:jc w:val="center"/>
              <w:rPr>
                <w:rFonts w:hint="eastAsia" w:ascii="宋体" w:hAnsi="宋体" w:eastAsia="宋体" w:cs="宋体"/>
                <w:color w:val="auto"/>
                <w:sz w:val="24"/>
                <w:highlight w:val="none"/>
              </w:rPr>
            </w:pPr>
          </w:p>
        </w:tc>
        <w:tc>
          <w:tcPr>
            <w:tcW w:w="441" w:type="pct"/>
            <w:vAlign w:val="center"/>
          </w:tcPr>
          <w:p w14:paraId="00C057FC">
            <w:pPr>
              <w:adjustRightInd w:val="0"/>
              <w:snapToGrid w:val="0"/>
              <w:jc w:val="center"/>
              <w:rPr>
                <w:rFonts w:hint="eastAsia" w:ascii="宋体" w:hAnsi="宋体" w:eastAsia="宋体" w:cs="宋体"/>
                <w:color w:val="auto"/>
                <w:sz w:val="24"/>
                <w:highlight w:val="none"/>
              </w:rPr>
            </w:pPr>
          </w:p>
        </w:tc>
        <w:tc>
          <w:tcPr>
            <w:tcW w:w="441" w:type="pct"/>
          </w:tcPr>
          <w:p w14:paraId="6DFC0DAD">
            <w:pPr>
              <w:adjustRightInd w:val="0"/>
              <w:snapToGrid w:val="0"/>
              <w:jc w:val="center"/>
              <w:rPr>
                <w:rFonts w:hint="eastAsia" w:ascii="宋体" w:hAnsi="宋体" w:eastAsia="宋体" w:cs="宋体"/>
                <w:color w:val="auto"/>
                <w:sz w:val="24"/>
                <w:highlight w:val="none"/>
              </w:rPr>
            </w:pPr>
          </w:p>
        </w:tc>
        <w:tc>
          <w:tcPr>
            <w:tcW w:w="441" w:type="pct"/>
          </w:tcPr>
          <w:p w14:paraId="79A5895A">
            <w:pPr>
              <w:adjustRightInd w:val="0"/>
              <w:snapToGrid w:val="0"/>
              <w:jc w:val="center"/>
              <w:rPr>
                <w:rFonts w:hint="eastAsia" w:ascii="宋体" w:hAnsi="宋体" w:eastAsia="宋体" w:cs="宋体"/>
                <w:color w:val="auto"/>
                <w:sz w:val="24"/>
                <w:highlight w:val="none"/>
              </w:rPr>
            </w:pPr>
          </w:p>
        </w:tc>
        <w:tc>
          <w:tcPr>
            <w:tcW w:w="441" w:type="pct"/>
            <w:vAlign w:val="center"/>
          </w:tcPr>
          <w:p w14:paraId="5E932F77">
            <w:pPr>
              <w:adjustRightInd w:val="0"/>
              <w:snapToGrid w:val="0"/>
              <w:jc w:val="center"/>
              <w:rPr>
                <w:rFonts w:hint="eastAsia" w:ascii="宋体" w:hAnsi="宋体" w:eastAsia="宋体" w:cs="宋体"/>
                <w:color w:val="auto"/>
                <w:sz w:val="24"/>
                <w:highlight w:val="none"/>
              </w:rPr>
            </w:pPr>
          </w:p>
        </w:tc>
        <w:tc>
          <w:tcPr>
            <w:tcW w:w="441" w:type="pct"/>
            <w:vAlign w:val="center"/>
          </w:tcPr>
          <w:p w14:paraId="4F90C61D">
            <w:pPr>
              <w:adjustRightInd w:val="0"/>
              <w:snapToGrid w:val="0"/>
              <w:jc w:val="left"/>
              <w:rPr>
                <w:rFonts w:hint="eastAsia" w:ascii="宋体" w:hAnsi="宋体" w:eastAsia="宋体" w:cs="宋体"/>
                <w:color w:val="auto"/>
                <w:sz w:val="24"/>
                <w:highlight w:val="none"/>
              </w:rPr>
            </w:pPr>
          </w:p>
        </w:tc>
        <w:tc>
          <w:tcPr>
            <w:tcW w:w="360" w:type="pct"/>
            <w:vAlign w:val="center"/>
          </w:tcPr>
          <w:p w14:paraId="000D373B">
            <w:pPr>
              <w:adjustRightInd w:val="0"/>
              <w:snapToGrid w:val="0"/>
              <w:jc w:val="left"/>
              <w:rPr>
                <w:rFonts w:hint="eastAsia" w:ascii="宋体" w:hAnsi="宋体" w:eastAsia="宋体" w:cs="宋体"/>
                <w:color w:val="auto"/>
                <w:sz w:val="24"/>
                <w:highlight w:val="none"/>
              </w:rPr>
            </w:pPr>
          </w:p>
        </w:tc>
        <w:tc>
          <w:tcPr>
            <w:tcW w:w="292" w:type="pct"/>
            <w:vAlign w:val="center"/>
          </w:tcPr>
          <w:p w14:paraId="160C8D1B">
            <w:pPr>
              <w:adjustRightInd w:val="0"/>
              <w:snapToGrid w:val="0"/>
              <w:jc w:val="left"/>
              <w:rPr>
                <w:rFonts w:hint="eastAsia" w:ascii="宋体" w:hAnsi="宋体" w:eastAsia="宋体" w:cs="宋体"/>
                <w:color w:val="auto"/>
                <w:sz w:val="24"/>
                <w:highlight w:val="none"/>
              </w:rPr>
            </w:pPr>
          </w:p>
        </w:tc>
        <w:tc>
          <w:tcPr>
            <w:tcW w:w="359" w:type="pct"/>
            <w:vAlign w:val="center"/>
          </w:tcPr>
          <w:p w14:paraId="7A8E00E6">
            <w:pPr>
              <w:adjustRightInd w:val="0"/>
              <w:snapToGrid w:val="0"/>
              <w:jc w:val="left"/>
              <w:rPr>
                <w:rFonts w:hint="eastAsia" w:ascii="宋体" w:hAnsi="宋体" w:eastAsia="宋体" w:cs="宋体"/>
                <w:color w:val="auto"/>
                <w:sz w:val="24"/>
                <w:highlight w:val="none"/>
              </w:rPr>
            </w:pPr>
          </w:p>
        </w:tc>
      </w:tr>
      <w:tr w14:paraId="00AA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16BED52E">
            <w:pPr>
              <w:adjustRightInd w:val="0"/>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370" w:type="pct"/>
            <w:vAlign w:val="center"/>
          </w:tcPr>
          <w:p w14:paraId="32050EB1">
            <w:pPr>
              <w:adjustRightInd w:val="0"/>
              <w:snapToGrid w:val="0"/>
              <w:jc w:val="left"/>
              <w:rPr>
                <w:rFonts w:hint="eastAsia" w:ascii="宋体" w:hAnsi="宋体" w:eastAsia="宋体" w:cs="宋体"/>
                <w:color w:val="auto"/>
                <w:sz w:val="24"/>
                <w:highlight w:val="none"/>
              </w:rPr>
            </w:pPr>
          </w:p>
        </w:tc>
        <w:tc>
          <w:tcPr>
            <w:tcW w:w="466" w:type="pct"/>
            <w:vAlign w:val="center"/>
          </w:tcPr>
          <w:p w14:paraId="071172FF">
            <w:pPr>
              <w:adjustRightInd w:val="0"/>
              <w:snapToGrid w:val="0"/>
              <w:jc w:val="left"/>
              <w:rPr>
                <w:rFonts w:hint="eastAsia" w:ascii="宋体" w:hAnsi="宋体" w:eastAsia="宋体" w:cs="宋体"/>
                <w:color w:val="auto"/>
                <w:sz w:val="24"/>
                <w:highlight w:val="none"/>
              </w:rPr>
            </w:pPr>
          </w:p>
        </w:tc>
        <w:tc>
          <w:tcPr>
            <w:tcW w:w="332" w:type="pct"/>
          </w:tcPr>
          <w:p w14:paraId="43755A2F">
            <w:pPr>
              <w:adjustRightInd w:val="0"/>
              <w:snapToGrid w:val="0"/>
              <w:jc w:val="left"/>
              <w:rPr>
                <w:rFonts w:hint="eastAsia" w:ascii="宋体" w:hAnsi="宋体" w:eastAsia="宋体" w:cs="宋体"/>
                <w:color w:val="auto"/>
                <w:sz w:val="24"/>
                <w:highlight w:val="none"/>
              </w:rPr>
            </w:pPr>
          </w:p>
        </w:tc>
        <w:tc>
          <w:tcPr>
            <w:tcW w:w="441" w:type="pct"/>
            <w:vAlign w:val="center"/>
          </w:tcPr>
          <w:p w14:paraId="081183BC">
            <w:pPr>
              <w:adjustRightInd w:val="0"/>
              <w:snapToGrid w:val="0"/>
              <w:jc w:val="center"/>
              <w:rPr>
                <w:rFonts w:hint="eastAsia" w:ascii="宋体" w:hAnsi="宋体" w:eastAsia="宋体" w:cs="宋体"/>
                <w:color w:val="auto"/>
                <w:sz w:val="24"/>
                <w:highlight w:val="none"/>
              </w:rPr>
            </w:pPr>
          </w:p>
        </w:tc>
        <w:tc>
          <w:tcPr>
            <w:tcW w:w="441" w:type="pct"/>
            <w:vAlign w:val="center"/>
          </w:tcPr>
          <w:p w14:paraId="22F781CA">
            <w:pPr>
              <w:adjustRightInd w:val="0"/>
              <w:snapToGrid w:val="0"/>
              <w:jc w:val="center"/>
              <w:rPr>
                <w:rFonts w:hint="eastAsia" w:ascii="宋体" w:hAnsi="宋体" w:eastAsia="宋体" w:cs="宋体"/>
                <w:color w:val="auto"/>
                <w:sz w:val="24"/>
                <w:highlight w:val="none"/>
              </w:rPr>
            </w:pPr>
          </w:p>
        </w:tc>
        <w:tc>
          <w:tcPr>
            <w:tcW w:w="441" w:type="pct"/>
          </w:tcPr>
          <w:p w14:paraId="0C3AE898">
            <w:pPr>
              <w:adjustRightInd w:val="0"/>
              <w:snapToGrid w:val="0"/>
              <w:jc w:val="center"/>
              <w:rPr>
                <w:rFonts w:hint="eastAsia" w:ascii="宋体" w:hAnsi="宋体" w:eastAsia="宋体" w:cs="宋体"/>
                <w:color w:val="auto"/>
                <w:sz w:val="24"/>
                <w:highlight w:val="none"/>
              </w:rPr>
            </w:pPr>
          </w:p>
        </w:tc>
        <w:tc>
          <w:tcPr>
            <w:tcW w:w="441" w:type="pct"/>
          </w:tcPr>
          <w:p w14:paraId="4AF9CA43">
            <w:pPr>
              <w:adjustRightInd w:val="0"/>
              <w:snapToGrid w:val="0"/>
              <w:jc w:val="center"/>
              <w:rPr>
                <w:rFonts w:hint="eastAsia" w:ascii="宋体" w:hAnsi="宋体" w:eastAsia="宋体" w:cs="宋体"/>
                <w:color w:val="auto"/>
                <w:sz w:val="24"/>
                <w:highlight w:val="none"/>
              </w:rPr>
            </w:pPr>
          </w:p>
        </w:tc>
        <w:tc>
          <w:tcPr>
            <w:tcW w:w="441" w:type="pct"/>
            <w:vAlign w:val="center"/>
          </w:tcPr>
          <w:p w14:paraId="6BD14B46">
            <w:pPr>
              <w:adjustRightInd w:val="0"/>
              <w:snapToGrid w:val="0"/>
              <w:jc w:val="center"/>
              <w:rPr>
                <w:rFonts w:hint="eastAsia" w:ascii="宋体" w:hAnsi="宋体" w:eastAsia="宋体" w:cs="宋体"/>
                <w:color w:val="auto"/>
                <w:sz w:val="24"/>
                <w:highlight w:val="none"/>
              </w:rPr>
            </w:pPr>
          </w:p>
        </w:tc>
        <w:tc>
          <w:tcPr>
            <w:tcW w:w="441" w:type="pct"/>
            <w:vAlign w:val="center"/>
          </w:tcPr>
          <w:p w14:paraId="57419B96">
            <w:pPr>
              <w:adjustRightInd w:val="0"/>
              <w:snapToGrid w:val="0"/>
              <w:jc w:val="left"/>
              <w:rPr>
                <w:rFonts w:hint="eastAsia" w:ascii="宋体" w:hAnsi="宋体" w:eastAsia="宋体" w:cs="宋体"/>
                <w:color w:val="auto"/>
                <w:sz w:val="24"/>
                <w:highlight w:val="none"/>
              </w:rPr>
            </w:pPr>
          </w:p>
        </w:tc>
        <w:tc>
          <w:tcPr>
            <w:tcW w:w="360" w:type="pct"/>
            <w:vAlign w:val="center"/>
          </w:tcPr>
          <w:p w14:paraId="0AFABDB6">
            <w:pPr>
              <w:adjustRightInd w:val="0"/>
              <w:snapToGrid w:val="0"/>
              <w:jc w:val="left"/>
              <w:rPr>
                <w:rFonts w:hint="eastAsia" w:ascii="宋体" w:hAnsi="宋体" w:eastAsia="宋体" w:cs="宋体"/>
                <w:color w:val="auto"/>
                <w:sz w:val="24"/>
                <w:highlight w:val="none"/>
              </w:rPr>
            </w:pPr>
          </w:p>
        </w:tc>
        <w:tc>
          <w:tcPr>
            <w:tcW w:w="292" w:type="pct"/>
            <w:vAlign w:val="center"/>
          </w:tcPr>
          <w:p w14:paraId="504C9807">
            <w:pPr>
              <w:adjustRightInd w:val="0"/>
              <w:snapToGrid w:val="0"/>
              <w:jc w:val="left"/>
              <w:rPr>
                <w:rFonts w:hint="eastAsia" w:ascii="宋体" w:hAnsi="宋体" w:eastAsia="宋体" w:cs="宋体"/>
                <w:color w:val="auto"/>
                <w:sz w:val="24"/>
                <w:highlight w:val="none"/>
              </w:rPr>
            </w:pPr>
          </w:p>
        </w:tc>
        <w:tc>
          <w:tcPr>
            <w:tcW w:w="359" w:type="pct"/>
            <w:vAlign w:val="center"/>
          </w:tcPr>
          <w:p w14:paraId="25712521">
            <w:pPr>
              <w:adjustRightInd w:val="0"/>
              <w:snapToGrid w:val="0"/>
              <w:jc w:val="left"/>
              <w:rPr>
                <w:rFonts w:hint="eastAsia" w:ascii="宋体" w:hAnsi="宋体" w:eastAsia="宋体" w:cs="宋体"/>
                <w:color w:val="auto"/>
                <w:sz w:val="24"/>
                <w:highlight w:val="none"/>
              </w:rPr>
            </w:pPr>
          </w:p>
        </w:tc>
      </w:tr>
      <w:tr w14:paraId="6811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18F2FBFB">
            <w:pPr>
              <w:adjustRightInd w:val="0"/>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370" w:type="pct"/>
            <w:vAlign w:val="center"/>
          </w:tcPr>
          <w:p w14:paraId="3CB995C4">
            <w:pPr>
              <w:adjustRightInd w:val="0"/>
              <w:snapToGrid w:val="0"/>
              <w:jc w:val="left"/>
              <w:rPr>
                <w:rFonts w:hint="eastAsia" w:ascii="宋体" w:hAnsi="宋体" w:eastAsia="宋体" w:cs="宋体"/>
                <w:color w:val="auto"/>
                <w:sz w:val="24"/>
                <w:highlight w:val="none"/>
              </w:rPr>
            </w:pPr>
          </w:p>
        </w:tc>
        <w:tc>
          <w:tcPr>
            <w:tcW w:w="466" w:type="pct"/>
            <w:vAlign w:val="center"/>
          </w:tcPr>
          <w:p w14:paraId="36B34D6B">
            <w:pPr>
              <w:adjustRightInd w:val="0"/>
              <w:snapToGrid w:val="0"/>
              <w:jc w:val="left"/>
              <w:rPr>
                <w:rFonts w:hint="eastAsia" w:ascii="宋体" w:hAnsi="宋体" w:eastAsia="宋体" w:cs="宋体"/>
                <w:color w:val="auto"/>
                <w:sz w:val="24"/>
                <w:highlight w:val="none"/>
              </w:rPr>
            </w:pPr>
          </w:p>
        </w:tc>
        <w:tc>
          <w:tcPr>
            <w:tcW w:w="332" w:type="pct"/>
          </w:tcPr>
          <w:p w14:paraId="17ADCF80">
            <w:pPr>
              <w:adjustRightInd w:val="0"/>
              <w:snapToGrid w:val="0"/>
              <w:jc w:val="left"/>
              <w:rPr>
                <w:rFonts w:hint="eastAsia" w:ascii="宋体" w:hAnsi="宋体" w:eastAsia="宋体" w:cs="宋体"/>
                <w:color w:val="auto"/>
                <w:sz w:val="24"/>
                <w:highlight w:val="none"/>
              </w:rPr>
            </w:pPr>
          </w:p>
        </w:tc>
        <w:tc>
          <w:tcPr>
            <w:tcW w:w="441" w:type="pct"/>
            <w:vAlign w:val="center"/>
          </w:tcPr>
          <w:p w14:paraId="01FE1BE0">
            <w:pPr>
              <w:adjustRightInd w:val="0"/>
              <w:snapToGrid w:val="0"/>
              <w:jc w:val="center"/>
              <w:rPr>
                <w:rFonts w:hint="eastAsia" w:ascii="宋体" w:hAnsi="宋体" w:eastAsia="宋体" w:cs="宋体"/>
                <w:color w:val="auto"/>
                <w:sz w:val="24"/>
                <w:highlight w:val="none"/>
              </w:rPr>
            </w:pPr>
          </w:p>
        </w:tc>
        <w:tc>
          <w:tcPr>
            <w:tcW w:w="441" w:type="pct"/>
            <w:vAlign w:val="center"/>
          </w:tcPr>
          <w:p w14:paraId="0C800099">
            <w:pPr>
              <w:adjustRightInd w:val="0"/>
              <w:snapToGrid w:val="0"/>
              <w:jc w:val="center"/>
              <w:rPr>
                <w:rFonts w:hint="eastAsia" w:ascii="宋体" w:hAnsi="宋体" w:eastAsia="宋体" w:cs="宋体"/>
                <w:color w:val="auto"/>
                <w:sz w:val="24"/>
                <w:highlight w:val="none"/>
              </w:rPr>
            </w:pPr>
          </w:p>
        </w:tc>
        <w:tc>
          <w:tcPr>
            <w:tcW w:w="441" w:type="pct"/>
          </w:tcPr>
          <w:p w14:paraId="25A3A51C">
            <w:pPr>
              <w:adjustRightInd w:val="0"/>
              <w:snapToGrid w:val="0"/>
              <w:jc w:val="center"/>
              <w:rPr>
                <w:rFonts w:hint="eastAsia" w:ascii="宋体" w:hAnsi="宋体" w:eastAsia="宋体" w:cs="宋体"/>
                <w:color w:val="auto"/>
                <w:sz w:val="24"/>
                <w:highlight w:val="none"/>
              </w:rPr>
            </w:pPr>
          </w:p>
        </w:tc>
        <w:tc>
          <w:tcPr>
            <w:tcW w:w="441" w:type="pct"/>
          </w:tcPr>
          <w:p w14:paraId="1201DE22">
            <w:pPr>
              <w:adjustRightInd w:val="0"/>
              <w:snapToGrid w:val="0"/>
              <w:jc w:val="center"/>
              <w:rPr>
                <w:rFonts w:hint="eastAsia" w:ascii="宋体" w:hAnsi="宋体" w:eastAsia="宋体" w:cs="宋体"/>
                <w:color w:val="auto"/>
                <w:sz w:val="24"/>
                <w:highlight w:val="none"/>
              </w:rPr>
            </w:pPr>
          </w:p>
        </w:tc>
        <w:tc>
          <w:tcPr>
            <w:tcW w:w="441" w:type="pct"/>
            <w:vAlign w:val="center"/>
          </w:tcPr>
          <w:p w14:paraId="6CB38711">
            <w:pPr>
              <w:adjustRightInd w:val="0"/>
              <w:snapToGrid w:val="0"/>
              <w:jc w:val="center"/>
              <w:rPr>
                <w:rFonts w:hint="eastAsia" w:ascii="宋体" w:hAnsi="宋体" w:eastAsia="宋体" w:cs="宋体"/>
                <w:color w:val="auto"/>
                <w:sz w:val="24"/>
                <w:highlight w:val="none"/>
              </w:rPr>
            </w:pPr>
          </w:p>
        </w:tc>
        <w:tc>
          <w:tcPr>
            <w:tcW w:w="441" w:type="pct"/>
            <w:vAlign w:val="center"/>
          </w:tcPr>
          <w:p w14:paraId="3E518F06">
            <w:pPr>
              <w:adjustRightInd w:val="0"/>
              <w:snapToGrid w:val="0"/>
              <w:jc w:val="left"/>
              <w:rPr>
                <w:rFonts w:hint="eastAsia" w:ascii="宋体" w:hAnsi="宋体" w:eastAsia="宋体" w:cs="宋体"/>
                <w:color w:val="auto"/>
                <w:sz w:val="24"/>
                <w:highlight w:val="none"/>
              </w:rPr>
            </w:pPr>
          </w:p>
        </w:tc>
        <w:tc>
          <w:tcPr>
            <w:tcW w:w="360" w:type="pct"/>
            <w:vAlign w:val="center"/>
          </w:tcPr>
          <w:p w14:paraId="59E8B45E">
            <w:pPr>
              <w:adjustRightInd w:val="0"/>
              <w:snapToGrid w:val="0"/>
              <w:jc w:val="left"/>
              <w:rPr>
                <w:rFonts w:hint="eastAsia" w:ascii="宋体" w:hAnsi="宋体" w:eastAsia="宋体" w:cs="宋体"/>
                <w:color w:val="auto"/>
                <w:sz w:val="24"/>
                <w:highlight w:val="none"/>
              </w:rPr>
            </w:pPr>
          </w:p>
        </w:tc>
        <w:tc>
          <w:tcPr>
            <w:tcW w:w="292" w:type="pct"/>
            <w:vAlign w:val="center"/>
          </w:tcPr>
          <w:p w14:paraId="4F5C5629">
            <w:pPr>
              <w:adjustRightInd w:val="0"/>
              <w:snapToGrid w:val="0"/>
              <w:jc w:val="left"/>
              <w:rPr>
                <w:rFonts w:hint="eastAsia" w:ascii="宋体" w:hAnsi="宋体" w:eastAsia="宋体" w:cs="宋体"/>
                <w:color w:val="auto"/>
                <w:sz w:val="24"/>
                <w:highlight w:val="none"/>
              </w:rPr>
            </w:pPr>
          </w:p>
        </w:tc>
        <w:tc>
          <w:tcPr>
            <w:tcW w:w="359" w:type="pct"/>
            <w:vAlign w:val="center"/>
          </w:tcPr>
          <w:p w14:paraId="24623ED5">
            <w:pPr>
              <w:adjustRightInd w:val="0"/>
              <w:snapToGrid w:val="0"/>
              <w:jc w:val="left"/>
              <w:rPr>
                <w:rFonts w:hint="eastAsia" w:ascii="宋体" w:hAnsi="宋体" w:eastAsia="宋体" w:cs="宋体"/>
                <w:color w:val="auto"/>
                <w:sz w:val="24"/>
                <w:highlight w:val="none"/>
              </w:rPr>
            </w:pPr>
          </w:p>
        </w:tc>
      </w:tr>
      <w:tr w14:paraId="4D73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79C49D6B">
            <w:pPr>
              <w:adjustRightInd w:val="0"/>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370" w:type="pct"/>
            <w:vAlign w:val="center"/>
          </w:tcPr>
          <w:p w14:paraId="06D810F4">
            <w:pPr>
              <w:adjustRightInd w:val="0"/>
              <w:snapToGrid w:val="0"/>
              <w:jc w:val="left"/>
              <w:rPr>
                <w:rFonts w:hint="eastAsia" w:ascii="宋体" w:hAnsi="宋体" w:eastAsia="宋体" w:cs="宋体"/>
                <w:color w:val="auto"/>
                <w:sz w:val="24"/>
                <w:highlight w:val="none"/>
              </w:rPr>
            </w:pPr>
          </w:p>
        </w:tc>
        <w:tc>
          <w:tcPr>
            <w:tcW w:w="466" w:type="pct"/>
            <w:vAlign w:val="center"/>
          </w:tcPr>
          <w:p w14:paraId="2A0F1684">
            <w:pPr>
              <w:adjustRightInd w:val="0"/>
              <w:snapToGrid w:val="0"/>
              <w:jc w:val="left"/>
              <w:rPr>
                <w:rFonts w:hint="eastAsia" w:ascii="宋体" w:hAnsi="宋体" w:eastAsia="宋体" w:cs="宋体"/>
                <w:color w:val="auto"/>
                <w:sz w:val="24"/>
                <w:highlight w:val="none"/>
              </w:rPr>
            </w:pPr>
          </w:p>
        </w:tc>
        <w:tc>
          <w:tcPr>
            <w:tcW w:w="332" w:type="pct"/>
          </w:tcPr>
          <w:p w14:paraId="1FDF906F">
            <w:pPr>
              <w:adjustRightInd w:val="0"/>
              <w:snapToGrid w:val="0"/>
              <w:jc w:val="left"/>
              <w:rPr>
                <w:rFonts w:hint="eastAsia" w:ascii="宋体" w:hAnsi="宋体" w:eastAsia="宋体" w:cs="宋体"/>
                <w:color w:val="auto"/>
                <w:sz w:val="24"/>
                <w:highlight w:val="none"/>
              </w:rPr>
            </w:pPr>
          </w:p>
        </w:tc>
        <w:tc>
          <w:tcPr>
            <w:tcW w:w="441" w:type="pct"/>
            <w:vAlign w:val="center"/>
          </w:tcPr>
          <w:p w14:paraId="5EB4BAEE">
            <w:pPr>
              <w:adjustRightInd w:val="0"/>
              <w:snapToGrid w:val="0"/>
              <w:jc w:val="center"/>
              <w:rPr>
                <w:rFonts w:hint="eastAsia" w:ascii="宋体" w:hAnsi="宋体" w:eastAsia="宋体" w:cs="宋体"/>
                <w:color w:val="auto"/>
                <w:sz w:val="24"/>
                <w:highlight w:val="none"/>
              </w:rPr>
            </w:pPr>
          </w:p>
        </w:tc>
        <w:tc>
          <w:tcPr>
            <w:tcW w:w="441" w:type="pct"/>
            <w:vAlign w:val="center"/>
          </w:tcPr>
          <w:p w14:paraId="567416AC">
            <w:pPr>
              <w:adjustRightInd w:val="0"/>
              <w:snapToGrid w:val="0"/>
              <w:jc w:val="center"/>
              <w:rPr>
                <w:rFonts w:hint="eastAsia" w:ascii="宋体" w:hAnsi="宋体" w:eastAsia="宋体" w:cs="宋体"/>
                <w:color w:val="auto"/>
                <w:sz w:val="24"/>
                <w:highlight w:val="none"/>
              </w:rPr>
            </w:pPr>
          </w:p>
        </w:tc>
        <w:tc>
          <w:tcPr>
            <w:tcW w:w="441" w:type="pct"/>
          </w:tcPr>
          <w:p w14:paraId="3E96B900">
            <w:pPr>
              <w:adjustRightInd w:val="0"/>
              <w:snapToGrid w:val="0"/>
              <w:jc w:val="center"/>
              <w:rPr>
                <w:rFonts w:hint="eastAsia" w:ascii="宋体" w:hAnsi="宋体" w:eastAsia="宋体" w:cs="宋体"/>
                <w:color w:val="auto"/>
                <w:sz w:val="24"/>
                <w:highlight w:val="none"/>
              </w:rPr>
            </w:pPr>
          </w:p>
        </w:tc>
        <w:tc>
          <w:tcPr>
            <w:tcW w:w="441" w:type="pct"/>
          </w:tcPr>
          <w:p w14:paraId="3743F9C9">
            <w:pPr>
              <w:adjustRightInd w:val="0"/>
              <w:snapToGrid w:val="0"/>
              <w:jc w:val="center"/>
              <w:rPr>
                <w:rFonts w:hint="eastAsia" w:ascii="宋体" w:hAnsi="宋体" w:eastAsia="宋体" w:cs="宋体"/>
                <w:color w:val="auto"/>
                <w:sz w:val="24"/>
                <w:highlight w:val="none"/>
              </w:rPr>
            </w:pPr>
          </w:p>
        </w:tc>
        <w:tc>
          <w:tcPr>
            <w:tcW w:w="441" w:type="pct"/>
            <w:vAlign w:val="center"/>
          </w:tcPr>
          <w:p w14:paraId="45D2641E">
            <w:pPr>
              <w:adjustRightInd w:val="0"/>
              <w:snapToGrid w:val="0"/>
              <w:jc w:val="center"/>
              <w:rPr>
                <w:rFonts w:hint="eastAsia" w:ascii="宋体" w:hAnsi="宋体" w:eastAsia="宋体" w:cs="宋体"/>
                <w:color w:val="auto"/>
                <w:sz w:val="24"/>
                <w:highlight w:val="none"/>
              </w:rPr>
            </w:pPr>
          </w:p>
        </w:tc>
        <w:tc>
          <w:tcPr>
            <w:tcW w:w="441" w:type="pct"/>
            <w:vAlign w:val="center"/>
          </w:tcPr>
          <w:p w14:paraId="3357B368">
            <w:pPr>
              <w:adjustRightInd w:val="0"/>
              <w:snapToGrid w:val="0"/>
              <w:jc w:val="left"/>
              <w:rPr>
                <w:rFonts w:hint="eastAsia" w:ascii="宋体" w:hAnsi="宋体" w:eastAsia="宋体" w:cs="宋体"/>
                <w:color w:val="auto"/>
                <w:sz w:val="24"/>
                <w:highlight w:val="none"/>
              </w:rPr>
            </w:pPr>
          </w:p>
        </w:tc>
        <w:tc>
          <w:tcPr>
            <w:tcW w:w="360" w:type="pct"/>
            <w:vAlign w:val="center"/>
          </w:tcPr>
          <w:p w14:paraId="468A74D2">
            <w:pPr>
              <w:adjustRightInd w:val="0"/>
              <w:snapToGrid w:val="0"/>
              <w:jc w:val="left"/>
              <w:rPr>
                <w:rFonts w:hint="eastAsia" w:ascii="宋体" w:hAnsi="宋体" w:eastAsia="宋体" w:cs="宋体"/>
                <w:color w:val="auto"/>
                <w:sz w:val="24"/>
                <w:highlight w:val="none"/>
              </w:rPr>
            </w:pPr>
          </w:p>
        </w:tc>
        <w:tc>
          <w:tcPr>
            <w:tcW w:w="292" w:type="pct"/>
            <w:vAlign w:val="center"/>
          </w:tcPr>
          <w:p w14:paraId="48B0868A">
            <w:pPr>
              <w:adjustRightInd w:val="0"/>
              <w:snapToGrid w:val="0"/>
              <w:jc w:val="left"/>
              <w:rPr>
                <w:rFonts w:hint="eastAsia" w:ascii="宋体" w:hAnsi="宋体" w:eastAsia="宋体" w:cs="宋体"/>
                <w:color w:val="auto"/>
                <w:sz w:val="24"/>
                <w:highlight w:val="none"/>
              </w:rPr>
            </w:pPr>
          </w:p>
        </w:tc>
        <w:tc>
          <w:tcPr>
            <w:tcW w:w="359" w:type="pct"/>
            <w:vAlign w:val="center"/>
          </w:tcPr>
          <w:p w14:paraId="37262557">
            <w:pPr>
              <w:adjustRightInd w:val="0"/>
              <w:snapToGrid w:val="0"/>
              <w:jc w:val="left"/>
              <w:rPr>
                <w:rFonts w:hint="eastAsia" w:ascii="宋体" w:hAnsi="宋体" w:eastAsia="宋体" w:cs="宋体"/>
                <w:color w:val="auto"/>
                <w:sz w:val="24"/>
                <w:highlight w:val="none"/>
              </w:rPr>
            </w:pPr>
          </w:p>
        </w:tc>
      </w:tr>
      <w:tr w14:paraId="0443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5964EEA6">
            <w:pPr>
              <w:adjustRightInd w:val="0"/>
              <w:snapToGrid w:val="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370" w:type="pct"/>
            <w:vAlign w:val="center"/>
          </w:tcPr>
          <w:p w14:paraId="10244474">
            <w:pPr>
              <w:adjustRightInd w:val="0"/>
              <w:snapToGrid w:val="0"/>
              <w:jc w:val="left"/>
              <w:rPr>
                <w:rFonts w:hint="eastAsia" w:ascii="宋体" w:hAnsi="宋体" w:eastAsia="宋体" w:cs="宋体"/>
                <w:color w:val="auto"/>
                <w:sz w:val="24"/>
                <w:highlight w:val="none"/>
              </w:rPr>
            </w:pPr>
          </w:p>
        </w:tc>
        <w:tc>
          <w:tcPr>
            <w:tcW w:w="466" w:type="pct"/>
            <w:vAlign w:val="center"/>
          </w:tcPr>
          <w:p w14:paraId="5A62CA11">
            <w:pPr>
              <w:adjustRightInd w:val="0"/>
              <w:snapToGrid w:val="0"/>
              <w:jc w:val="left"/>
              <w:rPr>
                <w:rFonts w:hint="eastAsia" w:ascii="宋体" w:hAnsi="宋体" w:eastAsia="宋体" w:cs="宋体"/>
                <w:color w:val="auto"/>
                <w:sz w:val="24"/>
                <w:highlight w:val="none"/>
              </w:rPr>
            </w:pPr>
          </w:p>
        </w:tc>
        <w:tc>
          <w:tcPr>
            <w:tcW w:w="332" w:type="pct"/>
          </w:tcPr>
          <w:p w14:paraId="1AEEC34C">
            <w:pPr>
              <w:adjustRightInd w:val="0"/>
              <w:snapToGrid w:val="0"/>
              <w:jc w:val="left"/>
              <w:rPr>
                <w:rFonts w:hint="eastAsia" w:ascii="宋体" w:hAnsi="宋体" w:eastAsia="宋体" w:cs="宋体"/>
                <w:color w:val="auto"/>
                <w:sz w:val="24"/>
                <w:highlight w:val="none"/>
              </w:rPr>
            </w:pPr>
          </w:p>
        </w:tc>
        <w:tc>
          <w:tcPr>
            <w:tcW w:w="441" w:type="pct"/>
            <w:vAlign w:val="center"/>
          </w:tcPr>
          <w:p w14:paraId="54C6FB46">
            <w:pPr>
              <w:adjustRightInd w:val="0"/>
              <w:snapToGrid w:val="0"/>
              <w:jc w:val="center"/>
              <w:rPr>
                <w:rFonts w:hint="eastAsia" w:ascii="宋体" w:hAnsi="宋体" w:eastAsia="宋体" w:cs="宋体"/>
                <w:color w:val="auto"/>
                <w:sz w:val="24"/>
                <w:highlight w:val="none"/>
              </w:rPr>
            </w:pPr>
          </w:p>
        </w:tc>
        <w:tc>
          <w:tcPr>
            <w:tcW w:w="441" w:type="pct"/>
            <w:vAlign w:val="center"/>
          </w:tcPr>
          <w:p w14:paraId="70A27CE6">
            <w:pPr>
              <w:adjustRightInd w:val="0"/>
              <w:snapToGrid w:val="0"/>
              <w:jc w:val="center"/>
              <w:rPr>
                <w:rFonts w:hint="eastAsia" w:ascii="宋体" w:hAnsi="宋体" w:eastAsia="宋体" w:cs="宋体"/>
                <w:color w:val="auto"/>
                <w:sz w:val="24"/>
                <w:highlight w:val="none"/>
              </w:rPr>
            </w:pPr>
          </w:p>
        </w:tc>
        <w:tc>
          <w:tcPr>
            <w:tcW w:w="441" w:type="pct"/>
          </w:tcPr>
          <w:p w14:paraId="249E86E8">
            <w:pPr>
              <w:adjustRightInd w:val="0"/>
              <w:snapToGrid w:val="0"/>
              <w:jc w:val="center"/>
              <w:rPr>
                <w:rFonts w:hint="eastAsia" w:ascii="宋体" w:hAnsi="宋体" w:eastAsia="宋体" w:cs="宋体"/>
                <w:color w:val="auto"/>
                <w:sz w:val="24"/>
                <w:highlight w:val="none"/>
              </w:rPr>
            </w:pPr>
          </w:p>
        </w:tc>
        <w:tc>
          <w:tcPr>
            <w:tcW w:w="441" w:type="pct"/>
          </w:tcPr>
          <w:p w14:paraId="70AA35CA">
            <w:pPr>
              <w:adjustRightInd w:val="0"/>
              <w:snapToGrid w:val="0"/>
              <w:jc w:val="center"/>
              <w:rPr>
                <w:rFonts w:hint="eastAsia" w:ascii="宋体" w:hAnsi="宋体" w:eastAsia="宋体" w:cs="宋体"/>
                <w:color w:val="auto"/>
                <w:sz w:val="24"/>
                <w:highlight w:val="none"/>
              </w:rPr>
            </w:pPr>
          </w:p>
        </w:tc>
        <w:tc>
          <w:tcPr>
            <w:tcW w:w="441" w:type="pct"/>
            <w:vAlign w:val="center"/>
          </w:tcPr>
          <w:p w14:paraId="4CDE7979">
            <w:pPr>
              <w:adjustRightInd w:val="0"/>
              <w:snapToGrid w:val="0"/>
              <w:jc w:val="center"/>
              <w:rPr>
                <w:rFonts w:hint="eastAsia" w:ascii="宋体" w:hAnsi="宋体" w:eastAsia="宋体" w:cs="宋体"/>
                <w:color w:val="auto"/>
                <w:sz w:val="24"/>
                <w:highlight w:val="none"/>
              </w:rPr>
            </w:pPr>
          </w:p>
        </w:tc>
        <w:tc>
          <w:tcPr>
            <w:tcW w:w="441" w:type="pct"/>
            <w:vAlign w:val="center"/>
          </w:tcPr>
          <w:p w14:paraId="0DE6F0CD">
            <w:pPr>
              <w:adjustRightInd w:val="0"/>
              <w:snapToGrid w:val="0"/>
              <w:jc w:val="left"/>
              <w:rPr>
                <w:rFonts w:hint="eastAsia" w:ascii="宋体" w:hAnsi="宋体" w:eastAsia="宋体" w:cs="宋体"/>
                <w:color w:val="auto"/>
                <w:sz w:val="24"/>
                <w:highlight w:val="none"/>
              </w:rPr>
            </w:pPr>
          </w:p>
        </w:tc>
        <w:tc>
          <w:tcPr>
            <w:tcW w:w="360" w:type="pct"/>
            <w:vAlign w:val="center"/>
          </w:tcPr>
          <w:p w14:paraId="6FB093C7">
            <w:pPr>
              <w:adjustRightInd w:val="0"/>
              <w:snapToGrid w:val="0"/>
              <w:jc w:val="left"/>
              <w:rPr>
                <w:rFonts w:hint="eastAsia" w:ascii="宋体" w:hAnsi="宋体" w:eastAsia="宋体" w:cs="宋体"/>
                <w:color w:val="auto"/>
                <w:sz w:val="24"/>
                <w:highlight w:val="none"/>
              </w:rPr>
            </w:pPr>
          </w:p>
        </w:tc>
        <w:tc>
          <w:tcPr>
            <w:tcW w:w="292" w:type="pct"/>
            <w:vAlign w:val="center"/>
          </w:tcPr>
          <w:p w14:paraId="6422390B">
            <w:pPr>
              <w:adjustRightInd w:val="0"/>
              <w:snapToGrid w:val="0"/>
              <w:jc w:val="left"/>
              <w:rPr>
                <w:rFonts w:hint="eastAsia" w:ascii="宋体" w:hAnsi="宋体" w:eastAsia="宋体" w:cs="宋体"/>
                <w:color w:val="auto"/>
                <w:sz w:val="24"/>
                <w:highlight w:val="none"/>
              </w:rPr>
            </w:pPr>
          </w:p>
        </w:tc>
        <w:tc>
          <w:tcPr>
            <w:tcW w:w="359" w:type="pct"/>
            <w:vAlign w:val="center"/>
          </w:tcPr>
          <w:p w14:paraId="0FF34FAA">
            <w:pPr>
              <w:adjustRightInd w:val="0"/>
              <w:snapToGrid w:val="0"/>
              <w:jc w:val="left"/>
              <w:rPr>
                <w:rFonts w:hint="eastAsia" w:ascii="宋体" w:hAnsi="宋体" w:eastAsia="宋体" w:cs="宋体"/>
                <w:color w:val="auto"/>
                <w:sz w:val="24"/>
                <w:highlight w:val="none"/>
              </w:rPr>
            </w:pPr>
          </w:p>
        </w:tc>
      </w:tr>
      <w:tr w14:paraId="5AD1B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1" w:type="pct"/>
            <w:gridSpan w:val="12"/>
          </w:tcPr>
          <w:p w14:paraId="39ED1BC1">
            <w:pPr>
              <w:jc w:val="righ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总价（元）</w:t>
            </w:r>
          </w:p>
        </w:tc>
        <w:tc>
          <w:tcPr>
            <w:tcW w:w="359" w:type="pct"/>
            <w:vAlign w:val="center"/>
          </w:tcPr>
          <w:p w14:paraId="584E9C5E">
            <w:pPr>
              <w:adjustRightInd w:val="0"/>
              <w:snapToGrid w:val="0"/>
              <w:jc w:val="left"/>
              <w:rPr>
                <w:rFonts w:hint="eastAsia" w:ascii="宋体" w:hAnsi="宋体" w:eastAsia="宋体" w:cs="宋体"/>
                <w:color w:val="auto"/>
                <w:sz w:val="24"/>
                <w:highlight w:val="none"/>
              </w:rPr>
            </w:pPr>
          </w:p>
        </w:tc>
      </w:tr>
    </w:tbl>
    <w:p w14:paraId="3AC697A1">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6FB3C870">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1.本表应按包分别填写。</w:t>
      </w:r>
    </w:p>
    <w:p w14:paraId="5F1D5F6E">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2.如果不提供分项报价将视为没有实质性响应招标文件。</w:t>
      </w:r>
    </w:p>
    <w:p w14:paraId="04E2EAC9">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3.上述各项的详细规格（如有），可另页描述。</w:t>
      </w:r>
    </w:p>
    <w:p w14:paraId="1055E31C">
      <w:pPr>
        <w:tabs>
          <w:tab w:val="left" w:pos="1800"/>
          <w:tab w:val="left" w:pos="5580"/>
        </w:tabs>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4.制造商规模列应填写</w:t>
      </w:r>
      <w:bookmarkStart w:id="994" w:name="_Hlk168431865"/>
      <w:bookmarkStart w:id="995" w:name="_Hlk168431972"/>
      <w:bookmarkStart w:id="996" w:name="_Hlk144194261"/>
      <w:r>
        <w:rPr>
          <w:rFonts w:hint="eastAsia" w:ascii="宋体" w:hAnsi="宋体" w:eastAsia="宋体" w:cs="宋体"/>
          <w:color w:val="auto"/>
          <w:sz w:val="24"/>
          <w:highlight w:val="none"/>
        </w:rPr>
        <w:t>“大型”、</w:t>
      </w:r>
      <w:bookmarkEnd w:id="994"/>
      <w:r>
        <w:rPr>
          <w:rFonts w:hint="eastAsia" w:ascii="宋体" w:hAnsi="宋体" w:eastAsia="宋体" w:cs="宋体"/>
          <w:color w:val="auto"/>
          <w:sz w:val="24"/>
          <w:highlight w:val="none"/>
        </w:rPr>
        <w:t>“</w:t>
      </w:r>
      <w:bookmarkEnd w:id="995"/>
      <w:r>
        <w:rPr>
          <w:rFonts w:hint="eastAsia" w:ascii="宋体" w:hAnsi="宋体" w:eastAsia="宋体" w:cs="宋体"/>
          <w:color w:val="auto"/>
          <w:sz w:val="24"/>
          <w:highlight w:val="none"/>
        </w:rPr>
        <w:t>中型”、“小型”、“微型”或“其他”</w:t>
      </w:r>
      <w:bookmarkEnd w:id="996"/>
      <w:r>
        <w:rPr>
          <w:rFonts w:hint="eastAsia" w:ascii="宋体" w:hAnsi="宋体" w:eastAsia="宋体" w:cs="宋体"/>
          <w:color w:val="auto"/>
          <w:sz w:val="24"/>
          <w:highlight w:val="none"/>
        </w:rPr>
        <w:t>，且不应与《中小企业声明函》或《拟分包情况说明》中内容矛盾。制造商所属性别请填写“男”或“女”， 指拥有制造商51%以上绝对所有权的性别；绝对所有权拥有者可以是一个人，也可以是多人合计计算。外商投资类型请填写“外商单独投资”、“外商部分投资”或“内资”。</w:t>
      </w:r>
    </w:p>
    <w:p w14:paraId="49F66497">
      <w:pPr>
        <w:pStyle w:val="255"/>
        <w:autoSpaceDE w:val="0"/>
        <w:autoSpaceDN w:val="0"/>
        <w:adjustRightInd w:val="0"/>
        <w:snapToGrid w:val="0"/>
        <w:spacing w:before="25" w:after="25" w:line="360" w:lineRule="auto"/>
        <w:ind w:left="900" w:firstLine="0" w:firstLineChars="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                  </w:t>
      </w:r>
    </w:p>
    <w:p w14:paraId="0C7DD045">
      <w:pPr>
        <w:pStyle w:val="255"/>
        <w:autoSpaceDE w:val="0"/>
        <w:autoSpaceDN w:val="0"/>
        <w:adjustRightInd w:val="0"/>
        <w:snapToGrid w:val="0"/>
        <w:spacing w:before="25" w:after="25" w:line="360" w:lineRule="auto"/>
        <w:ind w:left="900" w:firstLine="0" w:firstLineChars="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：____________</w:t>
      </w:r>
    </w:p>
    <w:p w14:paraId="483AD347">
      <w:pPr>
        <w:pStyle w:val="255"/>
        <w:autoSpaceDE w:val="0"/>
        <w:autoSpaceDN w:val="0"/>
        <w:adjustRightInd w:val="0"/>
        <w:snapToGrid w:val="0"/>
        <w:spacing w:before="25" w:after="25" w:line="360" w:lineRule="auto"/>
        <w:ind w:left="900" w:firstLine="0" w:firstLineChars="0"/>
        <w:rPr>
          <w:rFonts w:hint="eastAsia" w:ascii="宋体" w:hAnsi="宋体" w:eastAsia="宋体" w:cs="宋体"/>
          <w:color w:val="auto"/>
          <w:sz w:val="24"/>
          <w:highlight w:val="none"/>
          <w:lang w:val="zh-CN"/>
        </w:rPr>
      </w:pPr>
      <w:r>
        <w:rPr>
          <w:rFonts w:hint="eastAsia" w:ascii="宋体" w:hAnsi="宋体" w:eastAsia="宋体" w:cs="宋体"/>
          <w:color w:val="auto"/>
          <w:sz w:val="24"/>
          <w:szCs w:val="20"/>
          <w:highlight w:val="none"/>
        </w:rPr>
        <w:t xml:space="preserve">日期：_____年______月______日  </w:t>
      </w:r>
    </w:p>
    <w:p w14:paraId="13C82084">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bookmarkStart w:id="997" w:name="_Toc226965752"/>
      <w:bookmarkStart w:id="998" w:name="_Toc142311062"/>
      <w:bookmarkStart w:id="999" w:name="_Toc127151562"/>
      <w:bookmarkStart w:id="1000" w:name="_Toc265228400"/>
      <w:bookmarkStart w:id="1001" w:name="_Toc195842927"/>
      <w:bookmarkStart w:id="1002" w:name="_Toc226337258"/>
      <w:bookmarkStart w:id="1003" w:name="_Toc226309806"/>
      <w:bookmarkStart w:id="1004" w:name="_Toc226965835"/>
      <w:bookmarkStart w:id="1005" w:name="_Toc305158830"/>
      <w:bookmarkStart w:id="1006" w:name="_Toc305158904"/>
      <w:bookmarkStart w:id="1007" w:name="_Toc150774765"/>
      <w:bookmarkStart w:id="1008" w:name="_Toc264969252"/>
      <w:bookmarkStart w:id="1009" w:name="_Toc150480798"/>
      <w:bookmarkStart w:id="1010" w:name="_Toc226337257"/>
      <w:bookmarkStart w:id="1011" w:name="_Toc142311061"/>
      <w:bookmarkStart w:id="1012" w:name="_Toc127151561"/>
      <w:bookmarkStart w:id="1013" w:name="_Toc150774764"/>
      <w:bookmarkStart w:id="1014" w:name="_Toc305158903"/>
      <w:bookmarkStart w:id="1015" w:name="_Toc265228399"/>
      <w:bookmarkStart w:id="1016" w:name="_Toc226309805"/>
      <w:bookmarkStart w:id="1017" w:name="_Toc195842926"/>
      <w:bookmarkStart w:id="1018" w:name="_Toc150480797"/>
      <w:bookmarkStart w:id="1019" w:name="_Toc305158829"/>
      <w:bookmarkStart w:id="1020" w:name="_Toc226965751"/>
      <w:bookmarkStart w:id="1021" w:name="_Toc264969251"/>
      <w:bookmarkStart w:id="1022" w:name="_Toc226965834"/>
      <w:r>
        <w:rPr>
          <w:rFonts w:hint="eastAsia" w:ascii="宋体" w:hAnsi="宋体" w:eastAsia="宋体" w:cs="宋体"/>
          <w:color w:val="auto"/>
          <w:sz w:val="24"/>
          <w:szCs w:val="20"/>
          <w:highlight w:val="none"/>
        </w:rPr>
        <w:br w:type="page"/>
      </w:r>
      <w:r>
        <w:rPr>
          <w:rFonts w:hint="eastAsia" w:ascii="宋体" w:hAnsi="宋体" w:eastAsia="宋体" w:cs="宋体"/>
          <w:color w:val="auto"/>
          <w:sz w:val="24"/>
          <w:szCs w:val="20"/>
          <w:highlight w:val="none"/>
        </w:rPr>
        <w:t>合同条款偏离表</w:t>
      </w:r>
      <w:bookmarkEnd w:id="997"/>
      <w:bookmarkEnd w:id="998"/>
      <w:bookmarkEnd w:id="999"/>
      <w:bookmarkEnd w:id="1000"/>
      <w:bookmarkEnd w:id="1001"/>
      <w:bookmarkEnd w:id="1002"/>
      <w:bookmarkEnd w:id="1003"/>
      <w:bookmarkEnd w:id="1004"/>
      <w:bookmarkEnd w:id="1005"/>
      <w:bookmarkEnd w:id="1006"/>
      <w:bookmarkEnd w:id="1007"/>
      <w:bookmarkEnd w:id="1008"/>
      <w:bookmarkEnd w:id="1009"/>
      <w:r>
        <w:rPr>
          <w:rFonts w:hint="eastAsia" w:ascii="宋体" w:hAnsi="宋体" w:eastAsia="宋体" w:cs="宋体"/>
          <w:color w:val="auto"/>
          <w:sz w:val="24"/>
          <w:szCs w:val="20"/>
          <w:highlight w:val="none"/>
        </w:rPr>
        <w:t>（实质性格式）</w:t>
      </w:r>
    </w:p>
    <w:p w14:paraId="7F9413A2">
      <w:pPr>
        <w:spacing w:line="360" w:lineRule="auto"/>
        <w:rPr>
          <w:rFonts w:hint="eastAsia" w:ascii="宋体" w:hAnsi="宋体" w:eastAsia="宋体" w:cs="宋体"/>
          <w:color w:val="auto"/>
          <w:sz w:val="24"/>
          <w:szCs w:val="20"/>
          <w:highlight w:val="none"/>
        </w:rPr>
      </w:pPr>
    </w:p>
    <w:p w14:paraId="6EC22A15">
      <w:pPr>
        <w:tabs>
          <w:tab w:val="left" w:pos="2775"/>
          <w:tab w:val="center" w:pos="4153"/>
        </w:tabs>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合同条款偏离表</w:t>
      </w:r>
    </w:p>
    <w:p w14:paraId="29D547C3">
      <w:pPr>
        <w:spacing w:line="360" w:lineRule="auto"/>
        <w:rPr>
          <w:rFonts w:hint="eastAsia" w:ascii="宋体" w:hAnsi="宋体" w:eastAsia="宋体" w:cs="宋体"/>
          <w:color w:val="auto"/>
          <w:sz w:val="24"/>
          <w:szCs w:val="20"/>
          <w:highlight w:val="none"/>
        </w:rPr>
      </w:pPr>
    </w:p>
    <w:p w14:paraId="762EDF79">
      <w:pPr>
        <w:tabs>
          <w:tab w:val="left" w:pos="1800"/>
          <w:tab w:val="left" w:pos="5580"/>
        </w:tabs>
        <w:spacing w:line="360" w:lineRule="auto"/>
        <w:ind w:firstLine="360" w:firstLineChars="1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项目编号/包号：_____________________     项目名称：_____________</w:t>
      </w:r>
    </w:p>
    <w:tbl>
      <w:tblPr>
        <w:tblStyle w:val="43"/>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734"/>
        <w:gridCol w:w="1632"/>
        <w:gridCol w:w="1632"/>
        <w:gridCol w:w="1825"/>
        <w:gridCol w:w="1109"/>
      </w:tblGrid>
      <w:tr w14:paraId="34A37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7F402AC7">
            <w:pPr>
              <w:adjustRightInd w:val="0"/>
              <w:snapToGrid w:val="0"/>
              <w:jc w:val="center"/>
              <w:rPr>
                <w:rFonts w:hint="eastAsia" w:ascii="宋体" w:hAnsi="宋体" w:eastAsia="宋体" w:cs="宋体"/>
                <w:color w:val="auto"/>
                <w:sz w:val="24"/>
                <w:highlight w:val="none"/>
              </w:rPr>
            </w:pPr>
            <w:bookmarkStart w:id="1023" w:name="_Hlk144279231"/>
            <w:r>
              <w:rPr>
                <w:rFonts w:hint="eastAsia" w:ascii="宋体" w:hAnsi="宋体" w:eastAsia="宋体" w:cs="宋体"/>
                <w:color w:val="auto"/>
                <w:sz w:val="24"/>
                <w:highlight w:val="none"/>
              </w:rPr>
              <w:t>序号</w:t>
            </w:r>
          </w:p>
        </w:tc>
        <w:tc>
          <w:tcPr>
            <w:tcW w:w="1734" w:type="dxa"/>
            <w:vAlign w:val="center"/>
          </w:tcPr>
          <w:p w14:paraId="5BB5FE04">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招标文件</w:t>
            </w:r>
            <w:r>
              <w:rPr>
                <w:rFonts w:hint="eastAsia" w:ascii="宋体" w:hAnsi="宋体" w:eastAsia="宋体" w:cs="宋体"/>
                <w:color w:val="auto"/>
                <w:sz w:val="24"/>
                <w:highlight w:val="none"/>
              </w:rPr>
              <w:t>条目号（页码）</w:t>
            </w:r>
          </w:p>
        </w:tc>
        <w:tc>
          <w:tcPr>
            <w:tcW w:w="1632" w:type="dxa"/>
            <w:vAlign w:val="center"/>
          </w:tcPr>
          <w:p w14:paraId="6FDEC4AE">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招标文件</w:t>
            </w:r>
            <w:r>
              <w:rPr>
                <w:rFonts w:hint="eastAsia" w:ascii="宋体" w:hAnsi="宋体" w:eastAsia="宋体" w:cs="宋体"/>
                <w:color w:val="auto"/>
                <w:sz w:val="24"/>
                <w:highlight w:val="none"/>
              </w:rPr>
              <w:t>要求</w:t>
            </w:r>
          </w:p>
        </w:tc>
        <w:tc>
          <w:tcPr>
            <w:tcW w:w="1632" w:type="dxa"/>
            <w:vAlign w:val="center"/>
          </w:tcPr>
          <w:p w14:paraId="502C3042">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投标文件内容</w:t>
            </w:r>
          </w:p>
        </w:tc>
        <w:tc>
          <w:tcPr>
            <w:tcW w:w="1825" w:type="dxa"/>
            <w:vAlign w:val="center"/>
          </w:tcPr>
          <w:p w14:paraId="4A44474A">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偏离情况</w:t>
            </w:r>
          </w:p>
        </w:tc>
        <w:tc>
          <w:tcPr>
            <w:tcW w:w="1109" w:type="dxa"/>
            <w:vAlign w:val="center"/>
          </w:tcPr>
          <w:p w14:paraId="386FD0A1">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tc>
      </w:tr>
      <w:tr w14:paraId="22DC6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062" w:type="dxa"/>
            <w:gridSpan w:val="6"/>
            <w:vAlign w:val="center"/>
          </w:tcPr>
          <w:p w14:paraId="7DEAED9F">
            <w:pPr>
              <w:adjustRightInd w:val="0"/>
              <w:snapToGrid w:val="0"/>
              <w:jc w:val="left"/>
              <w:rPr>
                <w:rFonts w:hint="eastAsia" w:ascii="宋体" w:hAnsi="宋体" w:eastAsia="宋体" w:cs="宋体"/>
                <w:bCs/>
                <w:color w:val="auto"/>
                <w:sz w:val="24"/>
                <w:highlight w:val="none"/>
              </w:rPr>
            </w:pPr>
            <w:r>
              <w:rPr>
                <w:rFonts w:hint="eastAsia" w:ascii="宋体" w:hAnsi="宋体" w:eastAsia="宋体" w:cs="宋体"/>
                <w:b/>
                <w:color w:val="auto"/>
                <w:sz w:val="24"/>
                <w:highlight w:val="none"/>
              </w:rPr>
              <w:t>对本项目合同条款的偏离情况</w:t>
            </w:r>
            <w:r>
              <w:rPr>
                <w:rFonts w:hint="eastAsia" w:ascii="宋体" w:hAnsi="宋体" w:eastAsia="宋体" w:cs="宋体"/>
                <w:bCs/>
                <w:color w:val="auto"/>
                <w:sz w:val="24"/>
                <w:highlight w:val="none"/>
              </w:rPr>
              <w:t>（应进行选择，未选择</w:t>
            </w:r>
            <w:r>
              <w:rPr>
                <w:rFonts w:hint="eastAsia" w:ascii="宋体" w:hAnsi="宋体" w:eastAsia="宋体" w:cs="宋体"/>
                <w:b/>
                <w:color w:val="auto"/>
                <w:sz w:val="24"/>
                <w:highlight w:val="none"/>
              </w:rPr>
              <w:t>投标无效</w:t>
            </w:r>
            <w:r>
              <w:rPr>
                <w:rFonts w:hint="eastAsia" w:ascii="宋体" w:hAnsi="宋体" w:eastAsia="宋体" w:cs="宋体"/>
                <w:bCs/>
                <w:color w:val="auto"/>
                <w:sz w:val="24"/>
                <w:highlight w:val="none"/>
              </w:rPr>
              <w:t>）：</w:t>
            </w:r>
          </w:p>
          <w:p w14:paraId="38AAD6C9">
            <w:pPr>
              <w:adjustRightInd w:val="0"/>
              <w:snapToGrid w:val="0"/>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□无偏离</w:t>
            </w:r>
            <w:r>
              <w:rPr>
                <w:rFonts w:hint="eastAsia" w:ascii="宋体" w:hAnsi="宋体" w:eastAsia="宋体" w:cs="宋体"/>
                <w:color w:val="auto"/>
                <w:sz w:val="24"/>
                <w:highlight w:val="none"/>
              </w:rPr>
              <w:t>（</w:t>
            </w:r>
            <w:r>
              <w:rPr>
                <w:rFonts w:hint="eastAsia" w:ascii="宋体" w:hAnsi="宋体" w:eastAsia="宋体" w:cs="宋体"/>
                <w:color w:val="auto"/>
                <w:sz w:val="24"/>
                <w:szCs w:val="21"/>
                <w:highlight w:val="none"/>
              </w:rPr>
              <w:t>如无偏离，仅选择无偏离即可；</w:t>
            </w:r>
            <w:r>
              <w:rPr>
                <w:rFonts w:hint="eastAsia" w:ascii="宋体" w:hAnsi="宋体" w:eastAsia="宋体" w:cs="宋体"/>
                <w:bCs/>
                <w:color w:val="auto"/>
                <w:sz w:val="24"/>
                <w:highlight w:val="none"/>
              </w:rPr>
              <w:t>无偏离即为</w:t>
            </w:r>
            <w:r>
              <w:rPr>
                <w:rFonts w:hint="eastAsia" w:ascii="宋体" w:hAnsi="宋体" w:eastAsia="宋体" w:cs="宋体"/>
                <w:color w:val="auto"/>
                <w:sz w:val="24"/>
                <w:highlight w:val="none"/>
              </w:rPr>
              <w:t>对合同条款中的所有要求，均视作供应商已对之理解和响应。）</w:t>
            </w:r>
          </w:p>
          <w:p w14:paraId="0CFEB7C3">
            <w:pPr>
              <w:adjustRightInd w:val="0"/>
              <w:snapToGrid w:val="0"/>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□有偏离</w:t>
            </w:r>
            <w:r>
              <w:rPr>
                <w:rFonts w:hint="eastAsia" w:ascii="宋体" w:hAnsi="宋体" w:eastAsia="宋体" w:cs="宋体"/>
                <w:color w:val="auto"/>
                <w:sz w:val="24"/>
                <w:highlight w:val="none"/>
              </w:rPr>
              <w:t>（</w:t>
            </w:r>
            <w:r>
              <w:rPr>
                <w:rFonts w:hint="eastAsia" w:ascii="宋体" w:hAnsi="宋体" w:eastAsia="宋体" w:cs="宋体"/>
                <w:color w:val="auto"/>
                <w:sz w:val="24"/>
                <w:szCs w:val="21"/>
                <w:highlight w:val="none"/>
              </w:rPr>
              <w:t>如有偏离，</w:t>
            </w:r>
            <w:r>
              <w:rPr>
                <w:rFonts w:hint="eastAsia" w:ascii="宋体" w:hAnsi="宋体" w:eastAsia="宋体" w:cs="宋体"/>
                <w:color w:val="auto"/>
                <w:sz w:val="24"/>
                <w:highlight w:val="none"/>
              </w:rPr>
              <w:t>则应在本表中对负偏离项逐一列明，否则</w:t>
            </w:r>
            <w:r>
              <w:rPr>
                <w:rFonts w:hint="eastAsia" w:ascii="宋体" w:hAnsi="宋体" w:eastAsia="宋体" w:cs="宋体"/>
                <w:b/>
                <w:bCs/>
                <w:color w:val="auto"/>
                <w:sz w:val="24"/>
                <w:highlight w:val="none"/>
              </w:rPr>
              <w:t>投标无效</w:t>
            </w:r>
            <w:r>
              <w:rPr>
                <w:rFonts w:hint="eastAsia" w:ascii="宋体" w:hAnsi="宋体" w:eastAsia="宋体" w:cs="宋体"/>
                <w:color w:val="auto"/>
                <w:sz w:val="24"/>
                <w:highlight w:val="none"/>
              </w:rPr>
              <w:t>；对合同条款中的所有要求，除本表列明的偏离外，均视作供应商已对之理解和响应。）</w:t>
            </w:r>
          </w:p>
        </w:tc>
      </w:tr>
      <w:tr w14:paraId="3BEBD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7C43824B">
            <w:pPr>
              <w:adjustRightInd w:val="0"/>
              <w:snapToGrid w:val="0"/>
              <w:jc w:val="center"/>
              <w:rPr>
                <w:rFonts w:hint="eastAsia" w:ascii="宋体" w:hAnsi="宋体" w:eastAsia="宋体" w:cs="宋体"/>
                <w:color w:val="auto"/>
                <w:sz w:val="24"/>
                <w:highlight w:val="none"/>
              </w:rPr>
            </w:pPr>
          </w:p>
        </w:tc>
        <w:tc>
          <w:tcPr>
            <w:tcW w:w="1734" w:type="dxa"/>
            <w:vAlign w:val="center"/>
          </w:tcPr>
          <w:p w14:paraId="44EA7055">
            <w:pPr>
              <w:adjustRightInd w:val="0"/>
              <w:snapToGrid w:val="0"/>
              <w:jc w:val="center"/>
              <w:rPr>
                <w:rFonts w:hint="eastAsia" w:ascii="宋体" w:hAnsi="宋体" w:eastAsia="宋体" w:cs="宋体"/>
                <w:color w:val="auto"/>
                <w:sz w:val="24"/>
                <w:highlight w:val="none"/>
              </w:rPr>
            </w:pPr>
          </w:p>
        </w:tc>
        <w:tc>
          <w:tcPr>
            <w:tcW w:w="1632" w:type="dxa"/>
            <w:vAlign w:val="center"/>
          </w:tcPr>
          <w:p w14:paraId="70E434BC">
            <w:pPr>
              <w:adjustRightInd w:val="0"/>
              <w:snapToGrid w:val="0"/>
              <w:jc w:val="center"/>
              <w:rPr>
                <w:rFonts w:hint="eastAsia" w:ascii="宋体" w:hAnsi="宋体" w:eastAsia="宋体" w:cs="宋体"/>
                <w:color w:val="auto"/>
                <w:sz w:val="24"/>
                <w:highlight w:val="none"/>
              </w:rPr>
            </w:pPr>
          </w:p>
        </w:tc>
        <w:tc>
          <w:tcPr>
            <w:tcW w:w="1632" w:type="dxa"/>
            <w:vAlign w:val="center"/>
          </w:tcPr>
          <w:p w14:paraId="7DC7F18D">
            <w:pPr>
              <w:adjustRightInd w:val="0"/>
              <w:snapToGrid w:val="0"/>
              <w:jc w:val="center"/>
              <w:rPr>
                <w:rFonts w:hint="eastAsia" w:ascii="宋体" w:hAnsi="宋体" w:eastAsia="宋体" w:cs="宋体"/>
                <w:color w:val="auto"/>
                <w:sz w:val="24"/>
                <w:highlight w:val="none"/>
              </w:rPr>
            </w:pPr>
          </w:p>
        </w:tc>
        <w:tc>
          <w:tcPr>
            <w:tcW w:w="1825" w:type="dxa"/>
            <w:vAlign w:val="center"/>
          </w:tcPr>
          <w:p w14:paraId="7A8AA5BB">
            <w:pPr>
              <w:adjustRightInd w:val="0"/>
              <w:snapToGrid w:val="0"/>
              <w:jc w:val="center"/>
              <w:rPr>
                <w:rFonts w:hint="eastAsia" w:ascii="宋体" w:hAnsi="宋体" w:eastAsia="宋体" w:cs="宋体"/>
                <w:color w:val="auto"/>
                <w:sz w:val="24"/>
                <w:highlight w:val="none"/>
              </w:rPr>
            </w:pPr>
          </w:p>
        </w:tc>
        <w:tc>
          <w:tcPr>
            <w:tcW w:w="1109" w:type="dxa"/>
            <w:vAlign w:val="center"/>
          </w:tcPr>
          <w:p w14:paraId="3404EC59">
            <w:pPr>
              <w:adjustRightInd w:val="0"/>
              <w:snapToGrid w:val="0"/>
              <w:jc w:val="center"/>
              <w:rPr>
                <w:rFonts w:hint="eastAsia" w:ascii="宋体" w:hAnsi="宋体" w:eastAsia="宋体" w:cs="宋体"/>
                <w:color w:val="auto"/>
                <w:sz w:val="24"/>
                <w:highlight w:val="none"/>
              </w:rPr>
            </w:pPr>
          </w:p>
        </w:tc>
      </w:tr>
      <w:tr w14:paraId="14A92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62B3BDF8">
            <w:pPr>
              <w:adjustRightInd w:val="0"/>
              <w:snapToGrid w:val="0"/>
              <w:jc w:val="center"/>
              <w:rPr>
                <w:rFonts w:hint="eastAsia" w:ascii="宋体" w:hAnsi="宋体" w:eastAsia="宋体" w:cs="宋体"/>
                <w:color w:val="auto"/>
                <w:sz w:val="24"/>
                <w:highlight w:val="none"/>
              </w:rPr>
            </w:pPr>
          </w:p>
        </w:tc>
        <w:tc>
          <w:tcPr>
            <w:tcW w:w="1734" w:type="dxa"/>
            <w:vAlign w:val="center"/>
          </w:tcPr>
          <w:p w14:paraId="248BB3FA">
            <w:pPr>
              <w:adjustRightInd w:val="0"/>
              <w:snapToGrid w:val="0"/>
              <w:jc w:val="center"/>
              <w:rPr>
                <w:rFonts w:hint="eastAsia" w:ascii="宋体" w:hAnsi="宋体" w:eastAsia="宋体" w:cs="宋体"/>
                <w:color w:val="auto"/>
                <w:sz w:val="24"/>
                <w:highlight w:val="none"/>
              </w:rPr>
            </w:pPr>
          </w:p>
        </w:tc>
        <w:tc>
          <w:tcPr>
            <w:tcW w:w="1632" w:type="dxa"/>
            <w:vAlign w:val="center"/>
          </w:tcPr>
          <w:p w14:paraId="1E845257">
            <w:pPr>
              <w:adjustRightInd w:val="0"/>
              <w:snapToGrid w:val="0"/>
              <w:jc w:val="center"/>
              <w:rPr>
                <w:rFonts w:hint="eastAsia" w:ascii="宋体" w:hAnsi="宋体" w:eastAsia="宋体" w:cs="宋体"/>
                <w:color w:val="auto"/>
                <w:sz w:val="24"/>
                <w:highlight w:val="none"/>
              </w:rPr>
            </w:pPr>
          </w:p>
        </w:tc>
        <w:tc>
          <w:tcPr>
            <w:tcW w:w="1632" w:type="dxa"/>
            <w:vAlign w:val="center"/>
          </w:tcPr>
          <w:p w14:paraId="5557A93F">
            <w:pPr>
              <w:adjustRightInd w:val="0"/>
              <w:snapToGrid w:val="0"/>
              <w:jc w:val="center"/>
              <w:rPr>
                <w:rFonts w:hint="eastAsia" w:ascii="宋体" w:hAnsi="宋体" w:eastAsia="宋体" w:cs="宋体"/>
                <w:color w:val="auto"/>
                <w:sz w:val="24"/>
                <w:highlight w:val="none"/>
              </w:rPr>
            </w:pPr>
          </w:p>
        </w:tc>
        <w:tc>
          <w:tcPr>
            <w:tcW w:w="1825" w:type="dxa"/>
            <w:vAlign w:val="center"/>
          </w:tcPr>
          <w:p w14:paraId="1F04C755">
            <w:pPr>
              <w:adjustRightInd w:val="0"/>
              <w:snapToGrid w:val="0"/>
              <w:jc w:val="center"/>
              <w:rPr>
                <w:rFonts w:hint="eastAsia" w:ascii="宋体" w:hAnsi="宋体" w:eastAsia="宋体" w:cs="宋体"/>
                <w:color w:val="auto"/>
                <w:sz w:val="24"/>
                <w:highlight w:val="none"/>
              </w:rPr>
            </w:pPr>
          </w:p>
        </w:tc>
        <w:tc>
          <w:tcPr>
            <w:tcW w:w="1109" w:type="dxa"/>
            <w:vAlign w:val="center"/>
          </w:tcPr>
          <w:p w14:paraId="155FBB82">
            <w:pPr>
              <w:adjustRightInd w:val="0"/>
              <w:snapToGrid w:val="0"/>
              <w:jc w:val="center"/>
              <w:rPr>
                <w:rFonts w:hint="eastAsia" w:ascii="宋体" w:hAnsi="宋体" w:eastAsia="宋体" w:cs="宋体"/>
                <w:color w:val="auto"/>
                <w:sz w:val="24"/>
                <w:highlight w:val="none"/>
              </w:rPr>
            </w:pPr>
          </w:p>
        </w:tc>
      </w:tr>
      <w:tr w14:paraId="7DB4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37C2AA1B">
            <w:pPr>
              <w:adjustRightInd w:val="0"/>
              <w:snapToGrid w:val="0"/>
              <w:jc w:val="center"/>
              <w:rPr>
                <w:rFonts w:hint="eastAsia" w:ascii="宋体" w:hAnsi="宋体" w:eastAsia="宋体" w:cs="宋体"/>
                <w:color w:val="auto"/>
                <w:sz w:val="24"/>
                <w:highlight w:val="none"/>
              </w:rPr>
            </w:pPr>
          </w:p>
        </w:tc>
        <w:tc>
          <w:tcPr>
            <w:tcW w:w="1734" w:type="dxa"/>
            <w:vAlign w:val="center"/>
          </w:tcPr>
          <w:p w14:paraId="42049CC9">
            <w:pPr>
              <w:adjustRightInd w:val="0"/>
              <w:snapToGrid w:val="0"/>
              <w:jc w:val="center"/>
              <w:rPr>
                <w:rFonts w:hint="eastAsia" w:ascii="宋体" w:hAnsi="宋体" w:eastAsia="宋体" w:cs="宋体"/>
                <w:color w:val="auto"/>
                <w:sz w:val="24"/>
                <w:highlight w:val="none"/>
              </w:rPr>
            </w:pPr>
          </w:p>
        </w:tc>
        <w:tc>
          <w:tcPr>
            <w:tcW w:w="1632" w:type="dxa"/>
            <w:vAlign w:val="center"/>
          </w:tcPr>
          <w:p w14:paraId="45FF8FBB">
            <w:pPr>
              <w:adjustRightInd w:val="0"/>
              <w:snapToGrid w:val="0"/>
              <w:jc w:val="center"/>
              <w:rPr>
                <w:rFonts w:hint="eastAsia" w:ascii="宋体" w:hAnsi="宋体" w:eastAsia="宋体" w:cs="宋体"/>
                <w:color w:val="auto"/>
                <w:sz w:val="24"/>
                <w:highlight w:val="none"/>
              </w:rPr>
            </w:pPr>
          </w:p>
        </w:tc>
        <w:tc>
          <w:tcPr>
            <w:tcW w:w="1632" w:type="dxa"/>
            <w:vAlign w:val="center"/>
          </w:tcPr>
          <w:p w14:paraId="7839C20F">
            <w:pPr>
              <w:adjustRightInd w:val="0"/>
              <w:snapToGrid w:val="0"/>
              <w:jc w:val="center"/>
              <w:rPr>
                <w:rFonts w:hint="eastAsia" w:ascii="宋体" w:hAnsi="宋体" w:eastAsia="宋体" w:cs="宋体"/>
                <w:color w:val="auto"/>
                <w:sz w:val="24"/>
                <w:highlight w:val="none"/>
              </w:rPr>
            </w:pPr>
          </w:p>
        </w:tc>
        <w:tc>
          <w:tcPr>
            <w:tcW w:w="1825" w:type="dxa"/>
            <w:vAlign w:val="center"/>
          </w:tcPr>
          <w:p w14:paraId="5AD6C471">
            <w:pPr>
              <w:adjustRightInd w:val="0"/>
              <w:snapToGrid w:val="0"/>
              <w:jc w:val="center"/>
              <w:rPr>
                <w:rFonts w:hint="eastAsia" w:ascii="宋体" w:hAnsi="宋体" w:eastAsia="宋体" w:cs="宋体"/>
                <w:color w:val="auto"/>
                <w:sz w:val="24"/>
                <w:highlight w:val="none"/>
              </w:rPr>
            </w:pPr>
          </w:p>
        </w:tc>
        <w:tc>
          <w:tcPr>
            <w:tcW w:w="1109" w:type="dxa"/>
            <w:vAlign w:val="center"/>
          </w:tcPr>
          <w:p w14:paraId="7C3AFACA">
            <w:pPr>
              <w:adjustRightInd w:val="0"/>
              <w:snapToGrid w:val="0"/>
              <w:jc w:val="center"/>
              <w:rPr>
                <w:rFonts w:hint="eastAsia" w:ascii="宋体" w:hAnsi="宋体" w:eastAsia="宋体" w:cs="宋体"/>
                <w:color w:val="auto"/>
                <w:sz w:val="24"/>
                <w:highlight w:val="none"/>
              </w:rPr>
            </w:pPr>
          </w:p>
        </w:tc>
      </w:tr>
      <w:tr w14:paraId="76CFB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7F41DB19">
            <w:pPr>
              <w:adjustRightInd w:val="0"/>
              <w:snapToGrid w:val="0"/>
              <w:jc w:val="center"/>
              <w:rPr>
                <w:rFonts w:hint="eastAsia" w:ascii="宋体" w:hAnsi="宋体" w:eastAsia="宋体" w:cs="宋体"/>
                <w:color w:val="auto"/>
                <w:sz w:val="24"/>
                <w:highlight w:val="none"/>
              </w:rPr>
            </w:pPr>
          </w:p>
        </w:tc>
        <w:tc>
          <w:tcPr>
            <w:tcW w:w="1734" w:type="dxa"/>
            <w:vAlign w:val="center"/>
          </w:tcPr>
          <w:p w14:paraId="1C7F4632">
            <w:pPr>
              <w:adjustRightInd w:val="0"/>
              <w:snapToGrid w:val="0"/>
              <w:jc w:val="center"/>
              <w:rPr>
                <w:rFonts w:hint="eastAsia" w:ascii="宋体" w:hAnsi="宋体" w:eastAsia="宋体" w:cs="宋体"/>
                <w:color w:val="auto"/>
                <w:sz w:val="24"/>
                <w:highlight w:val="none"/>
              </w:rPr>
            </w:pPr>
          </w:p>
        </w:tc>
        <w:tc>
          <w:tcPr>
            <w:tcW w:w="1632" w:type="dxa"/>
            <w:vAlign w:val="center"/>
          </w:tcPr>
          <w:p w14:paraId="59B4A63B">
            <w:pPr>
              <w:adjustRightInd w:val="0"/>
              <w:snapToGrid w:val="0"/>
              <w:jc w:val="center"/>
              <w:rPr>
                <w:rFonts w:hint="eastAsia" w:ascii="宋体" w:hAnsi="宋体" w:eastAsia="宋体" w:cs="宋体"/>
                <w:color w:val="auto"/>
                <w:sz w:val="24"/>
                <w:highlight w:val="none"/>
              </w:rPr>
            </w:pPr>
          </w:p>
        </w:tc>
        <w:tc>
          <w:tcPr>
            <w:tcW w:w="1632" w:type="dxa"/>
            <w:vAlign w:val="center"/>
          </w:tcPr>
          <w:p w14:paraId="025A1CE0">
            <w:pPr>
              <w:adjustRightInd w:val="0"/>
              <w:snapToGrid w:val="0"/>
              <w:jc w:val="center"/>
              <w:rPr>
                <w:rFonts w:hint="eastAsia" w:ascii="宋体" w:hAnsi="宋体" w:eastAsia="宋体" w:cs="宋体"/>
                <w:color w:val="auto"/>
                <w:sz w:val="24"/>
                <w:highlight w:val="none"/>
              </w:rPr>
            </w:pPr>
          </w:p>
        </w:tc>
        <w:tc>
          <w:tcPr>
            <w:tcW w:w="1825" w:type="dxa"/>
            <w:vAlign w:val="center"/>
          </w:tcPr>
          <w:p w14:paraId="56125F04">
            <w:pPr>
              <w:adjustRightInd w:val="0"/>
              <w:snapToGrid w:val="0"/>
              <w:jc w:val="center"/>
              <w:rPr>
                <w:rFonts w:hint="eastAsia" w:ascii="宋体" w:hAnsi="宋体" w:eastAsia="宋体" w:cs="宋体"/>
                <w:color w:val="auto"/>
                <w:sz w:val="24"/>
                <w:highlight w:val="none"/>
              </w:rPr>
            </w:pPr>
          </w:p>
        </w:tc>
        <w:tc>
          <w:tcPr>
            <w:tcW w:w="1109" w:type="dxa"/>
            <w:vAlign w:val="center"/>
          </w:tcPr>
          <w:p w14:paraId="19D40BA7">
            <w:pPr>
              <w:adjustRightInd w:val="0"/>
              <w:snapToGrid w:val="0"/>
              <w:jc w:val="center"/>
              <w:rPr>
                <w:rFonts w:hint="eastAsia" w:ascii="宋体" w:hAnsi="宋体" w:eastAsia="宋体" w:cs="宋体"/>
                <w:color w:val="auto"/>
                <w:sz w:val="24"/>
                <w:highlight w:val="none"/>
              </w:rPr>
            </w:pPr>
          </w:p>
        </w:tc>
      </w:tr>
      <w:bookmarkEnd w:id="1023"/>
    </w:tbl>
    <w:p w14:paraId="1AE1A7E6">
      <w:pPr>
        <w:tabs>
          <w:tab w:val="left" w:pos="1800"/>
          <w:tab w:val="left" w:pos="5580"/>
        </w:tabs>
        <w:jc w:val="left"/>
        <w:rPr>
          <w:rFonts w:hint="eastAsia" w:ascii="宋体" w:hAnsi="宋体" w:eastAsia="宋体" w:cs="宋体"/>
          <w:color w:val="auto"/>
          <w:sz w:val="24"/>
          <w:highlight w:val="none"/>
        </w:rPr>
      </w:pPr>
    </w:p>
    <w:p w14:paraId="5DF2E95C">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注：“偏离情况”列应据实填写“正偏离”或“负偏离”。</w:t>
      </w:r>
    </w:p>
    <w:p w14:paraId="4AEF6136">
      <w:pPr>
        <w:spacing w:line="360" w:lineRule="auto"/>
        <w:rPr>
          <w:rFonts w:hint="eastAsia" w:ascii="宋体" w:hAnsi="宋体" w:eastAsia="宋体" w:cs="宋体"/>
          <w:color w:val="auto"/>
          <w:sz w:val="24"/>
          <w:szCs w:val="20"/>
          <w:highlight w:val="none"/>
        </w:rPr>
      </w:pPr>
    </w:p>
    <w:p w14:paraId="5C7138F2">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                      </w:t>
      </w:r>
    </w:p>
    <w:p w14:paraId="7EA27E11">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    ____________</w:t>
      </w:r>
    </w:p>
    <w:p w14:paraId="3ACB506E">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szCs w:val="20"/>
          <w:highlight w:val="none"/>
        </w:rPr>
        <w:t xml:space="preserve">日期：_____年______月______日   </w:t>
      </w:r>
    </w:p>
    <w:p w14:paraId="24D96859">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bookmarkEnd w:id="1010"/>
      <w:bookmarkEnd w:id="1011"/>
      <w:bookmarkEnd w:id="1012"/>
      <w:bookmarkEnd w:id="1013"/>
      <w:bookmarkEnd w:id="1014"/>
      <w:bookmarkEnd w:id="1015"/>
      <w:bookmarkEnd w:id="1016"/>
      <w:bookmarkEnd w:id="1017"/>
      <w:bookmarkEnd w:id="1018"/>
      <w:bookmarkEnd w:id="1019"/>
      <w:bookmarkEnd w:id="1020"/>
      <w:bookmarkEnd w:id="1021"/>
      <w:bookmarkEnd w:id="1022"/>
      <w:r>
        <w:rPr>
          <w:rFonts w:hint="eastAsia" w:ascii="宋体" w:hAnsi="宋体" w:eastAsia="宋体" w:cs="宋体"/>
          <w:color w:val="auto"/>
          <w:sz w:val="24"/>
          <w:szCs w:val="20"/>
          <w:highlight w:val="none"/>
        </w:rPr>
        <w:t>采购需求偏离表（实质性格式）</w:t>
      </w:r>
    </w:p>
    <w:p w14:paraId="4384F6BF">
      <w:pPr>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采购需求偏离表</w:t>
      </w:r>
    </w:p>
    <w:p w14:paraId="5EFAE41D">
      <w:pPr>
        <w:tabs>
          <w:tab w:val="left" w:pos="1800"/>
          <w:tab w:val="left" w:pos="5580"/>
        </w:tabs>
        <w:spacing w:line="360" w:lineRule="auto"/>
        <w:ind w:firstLine="360" w:firstLineChars="15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项目编号/包号：_____________________     项目名称：____________</w:t>
      </w:r>
    </w:p>
    <w:tbl>
      <w:tblPr>
        <w:tblStyle w:val="43"/>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482"/>
        <w:gridCol w:w="2384"/>
        <w:gridCol w:w="2126"/>
        <w:gridCol w:w="1875"/>
        <w:gridCol w:w="1009"/>
      </w:tblGrid>
      <w:tr w14:paraId="50BD6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75" w:type="dxa"/>
            <w:vAlign w:val="center"/>
          </w:tcPr>
          <w:p w14:paraId="5A0E077F">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482" w:type="dxa"/>
            <w:vAlign w:val="center"/>
          </w:tcPr>
          <w:p w14:paraId="6742809B">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招标文件条目号(页码)</w:t>
            </w:r>
          </w:p>
        </w:tc>
        <w:tc>
          <w:tcPr>
            <w:tcW w:w="2384" w:type="dxa"/>
            <w:vAlign w:val="center"/>
          </w:tcPr>
          <w:p w14:paraId="7D4CA29B">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招标文件要求</w:t>
            </w:r>
          </w:p>
        </w:tc>
        <w:tc>
          <w:tcPr>
            <w:tcW w:w="2126" w:type="dxa"/>
            <w:vAlign w:val="center"/>
          </w:tcPr>
          <w:p w14:paraId="00070E85">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投标响应内容</w:t>
            </w:r>
          </w:p>
        </w:tc>
        <w:tc>
          <w:tcPr>
            <w:tcW w:w="1875" w:type="dxa"/>
            <w:vAlign w:val="center"/>
          </w:tcPr>
          <w:p w14:paraId="29C4C1AF">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偏离情况</w:t>
            </w:r>
          </w:p>
        </w:tc>
        <w:tc>
          <w:tcPr>
            <w:tcW w:w="1009" w:type="dxa"/>
            <w:vAlign w:val="center"/>
          </w:tcPr>
          <w:p w14:paraId="7C472758">
            <w:pPr>
              <w:adjustRightInd w:val="0"/>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tc>
      </w:tr>
      <w:tr w14:paraId="26D4B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0C50EDDF">
            <w:pPr>
              <w:adjustRightInd w:val="0"/>
              <w:snapToGrid w:val="0"/>
              <w:jc w:val="center"/>
              <w:rPr>
                <w:rFonts w:hint="eastAsia" w:ascii="宋体" w:hAnsi="宋体" w:eastAsia="宋体" w:cs="宋体"/>
                <w:color w:val="auto"/>
                <w:sz w:val="24"/>
                <w:highlight w:val="none"/>
              </w:rPr>
            </w:pPr>
          </w:p>
        </w:tc>
        <w:tc>
          <w:tcPr>
            <w:tcW w:w="1482" w:type="dxa"/>
            <w:vAlign w:val="center"/>
          </w:tcPr>
          <w:p w14:paraId="17C23D1C">
            <w:pPr>
              <w:adjustRightInd w:val="0"/>
              <w:snapToGrid w:val="0"/>
              <w:jc w:val="center"/>
              <w:rPr>
                <w:rFonts w:hint="eastAsia" w:ascii="宋体" w:hAnsi="宋体" w:eastAsia="宋体" w:cs="宋体"/>
                <w:color w:val="auto"/>
                <w:sz w:val="24"/>
                <w:highlight w:val="none"/>
              </w:rPr>
            </w:pPr>
          </w:p>
        </w:tc>
        <w:tc>
          <w:tcPr>
            <w:tcW w:w="2384" w:type="dxa"/>
            <w:vAlign w:val="center"/>
          </w:tcPr>
          <w:p w14:paraId="11AF1E63">
            <w:pPr>
              <w:adjustRightInd w:val="0"/>
              <w:snapToGrid w:val="0"/>
              <w:jc w:val="center"/>
              <w:rPr>
                <w:rFonts w:hint="eastAsia" w:ascii="宋体" w:hAnsi="宋体" w:eastAsia="宋体" w:cs="宋体"/>
                <w:color w:val="auto"/>
                <w:sz w:val="24"/>
                <w:highlight w:val="none"/>
              </w:rPr>
            </w:pPr>
          </w:p>
        </w:tc>
        <w:tc>
          <w:tcPr>
            <w:tcW w:w="2126" w:type="dxa"/>
            <w:vAlign w:val="center"/>
          </w:tcPr>
          <w:p w14:paraId="062D6CD2">
            <w:pPr>
              <w:adjustRightInd w:val="0"/>
              <w:snapToGrid w:val="0"/>
              <w:jc w:val="center"/>
              <w:rPr>
                <w:rFonts w:hint="eastAsia" w:ascii="宋体" w:hAnsi="宋体" w:eastAsia="宋体" w:cs="宋体"/>
                <w:color w:val="auto"/>
                <w:sz w:val="24"/>
                <w:highlight w:val="none"/>
              </w:rPr>
            </w:pPr>
          </w:p>
        </w:tc>
        <w:tc>
          <w:tcPr>
            <w:tcW w:w="1875" w:type="dxa"/>
            <w:vAlign w:val="center"/>
          </w:tcPr>
          <w:p w14:paraId="17B47840">
            <w:pPr>
              <w:adjustRightInd w:val="0"/>
              <w:snapToGrid w:val="0"/>
              <w:jc w:val="center"/>
              <w:rPr>
                <w:rFonts w:hint="eastAsia" w:ascii="宋体" w:hAnsi="宋体" w:eastAsia="宋体" w:cs="宋体"/>
                <w:color w:val="auto"/>
                <w:sz w:val="24"/>
                <w:highlight w:val="none"/>
              </w:rPr>
            </w:pPr>
          </w:p>
        </w:tc>
        <w:tc>
          <w:tcPr>
            <w:tcW w:w="1009" w:type="dxa"/>
            <w:vAlign w:val="center"/>
          </w:tcPr>
          <w:p w14:paraId="0175FF6D">
            <w:pPr>
              <w:adjustRightInd w:val="0"/>
              <w:snapToGrid w:val="0"/>
              <w:jc w:val="center"/>
              <w:rPr>
                <w:rFonts w:hint="eastAsia" w:ascii="宋体" w:hAnsi="宋体" w:eastAsia="宋体" w:cs="宋体"/>
                <w:color w:val="auto"/>
                <w:sz w:val="24"/>
                <w:highlight w:val="none"/>
              </w:rPr>
            </w:pPr>
          </w:p>
        </w:tc>
      </w:tr>
      <w:tr w14:paraId="0F5B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9E54F0A">
            <w:pPr>
              <w:adjustRightInd w:val="0"/>
              <w:snapToGrid w:val="0"/>
              <w:jc w:val="center"/>
              <w:rPr>
                <w:rFonts w:hint="eastAsia" w:ascii="宋体" w:hAnsi="宋体" w:eastAsia="宋体" w:cs="宋体"/>
                <w:color w:val="auto"/>
                <w:sz w:val="24"/>
                <w:highlight w:val="none"/>
              </w:rPr>
            </w:pPr>
          </w:p>
        </w:tc>
        <w:tc>
          <w:tcPr>
            <w:tcW w:w="1482" w:type="dxa"/>
            <w:vAlign w:val="center"/>
          </w:tcPr>
          <w:p w14:paraId="7D160264">
            <w:pPr>
              <w:adjustRightInd w:val="0"/>
              <w:snapToGrid w:val="0"/>
              <w:jc w:val="center"/>
              <w:rPr>
                <w:rFonts w:hint="eastAsia" w:ascii="宋体" w:hAnsi="宋体" w:eastAsia="宋体" w:cs="宋体"/>
                <w:color w:val="auto"/>
                <w:sz w:val="24"/>
                <w:highlight w:val="none"/>
              </w:rPr>
            </w:pPr>
          </w:p>
        </w:tc>
        <w:tc>
          <w:tcPr>
            <w:tcW w:w="2384" w:type="dxa"/>
            <w:vAlign w:val="center"/>
          </w:tcPr>
          <w:p w14:paraId="5066B10F">
            <w:pPr>
              <w:adjustRightInd w:val="0"/>
              <w:snapToGrid w:val="0"/>
              <w:jc w:val="center"/>
              <w:rPr>
                <w:rFonts w:hint="eastAsia" w:ascii="宋体" w:hAnsi="宋体" w:eastAsia="宋体" w:cs="宋体"/>
                <w:color w:val="auto"/>
                <w:sz w:val="24"/>
                <w:highlight w:val="none"/>
              </w:rPr>
            </w:pPr>
          </w:p>
        </w:tc>
        <w:tc>
          <w:tcPr>
            <w:tcW w:w="2126" w:type="dxa"/>
            <w:vAlign w:val="center"/>
          </w:tcPr>
          <w:p w14:paraId="0EA37AAC">
            <w:pPr>
              <w:adjustRightInd w:val="0"/>
              <w:snapToGrid w:val="0"/>
              <w:jc w:val="center"/>
              <w:rPr>
                <w:rFonts w:hint="eastAsia" w:ascii="宋体" w:hAnsi="宋体" w:eastAsia="宋体" w:cs="宋体"/>
                <w:color w:val="auto"/>
                <w:sz w:val="24"/>
                <w:highlight w:val="none"/>
              </w:rPr>
            </w:pPr>
          </w:p>
        </w:tc>
        <w:tc>
          <w:tcPr>
            <w:tcW w:w="1875" w:type="dxa"/>
            <w:vAlign w:val="center"/>
          </w:tcPr>
          <w:p w14:paraId="30A5D361">
            <w:pPr>
              <w:adjustRightInd w:val="0"/>
              <w:snapToGrid w:val="0"/>
              <w:jc w:val="center"/>
              <w:rPr>
                <w:rFonts w:hint="eastAsia" w:ascii="宋体" w:hAnsi="宋体" w:eastAsia="宋体" w:cs="宋体"/>
                <w:color w:val="auto"/>
                <w:sz w:val="24"/>
                <w:highlight w:val="none"/>
              </w:rPr>
            </w:pPr>
          </w:p>
        </w:tc>
        <w:tc>
          <w:tcPr>
            <w:tcW w:w="1009" w:type="dxa"/>
            <w:vAlign w:val="center"/>
          </w:tcPr>
          <w:p w14:paraId="64AB013C">
            <w:pPr>
              <w:adjustRightInd w:val="0"/>
              <w:snapToGrid w:val="0"/>
              <w:jc w:val="center"/>
              <w:rPr>
                <w:rFonts w:hint="eastAsia" w:ascii="宋体" w:hAnsi="宋体" w:eastAsia="宋体" w:cs="宋体"/>
                <w:color w:val="auto"/>
                <w:sz w:val="24"/>
                <w:highlight w:val="none"/>
              </w:rPr>
            </w:pPr>
          </w:p>
        </w:tc>
      </w:tr>
      <w:tr w14:paraId="403F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3B076B7B">
            <w:pPr>
              <w:adjustRightInd w:val="0"/>
              <w:snapToGrid w:val="0"/>
              <w:jc w:val="center"/>
              <w:rPr>
                <w:rFonts w:hint="eastAsia" w:ascii="宋体" w:hAnsi="宋体" w:eastAsia="宋体" w:cs="宋体"/>
                <w:color w:val="auto"/>
                <w:sz w:val="24"/>
                <w:highlight w:val="none"/>
              </w:rPr>
            </w:pPr>
          </w:p>
        </w:tc>
        <w:tc>
          <w:tcPr>
            <w:tcW w:w="1482" w:type="dxa"/>
            <w:vAlign w:val="center"/>
          </w:tcPr>
          <w:p w14:paraId="26B31611">
            <w:pPr>
              <w:adjustRightInd w:val="0"/>
              <w:snapToGrid w:val="0"/>
              <w:jc w:val="center"/>
              <w:rPr>
                <w:rFonts w:hint="eastAsia" w:ascii="宋体" w:hAnsi="宋体" w:eastAsia="宋体" w:cs="宋体"/>
                <w:color w:val="auto"/>
                <w:sz w:val="24"/>
                <w:highlight w:val="none"/>
              </w:rPr>
            </w:pPr>
          </w:p>
        </w:tc>
        <w:tc>
          <w:tcPr>
            <w:tcW w:w="2384" w:type="dxa"/>
            <w:vAlign w:val="center"/>
          </w:tcPr>
          <w:p w14:paraId="3F624F7C">
            <w:pPr>
              <w:adjustRightInd w:val="0"/>
              <w:snapToGrid w:val="0"/>
              <w:jc w:val="center"/>
              <w:rPr>
                <w:rFonts w:hint="eastAsia" w:ascii="宋体" w:hAnsi="宋体" w:eastAsia="宋体" w:cs="宋体"/>
                <w:color w:val="auto"/>
                <w:sz w:val="24"/>
                <w:highlight w:val="none"/>
              </w:rPr>
            </w:pPr>
          </w:p>
        </w:tc>
        <w:tc>
          <w:tcPr>
            <w:tcW w:w="2126" w:type="dxa"/>
            <w:vAlign w:val="center"/>
          </w:tcPr>
          <w:p w14:paraId="39902290">
            <w:pPr>
              <w:adjustRightInd w:val="0"/>
              <w:snapToGrid w:val="0"/>
              <w:jc w:val="center"/>
              <w:rPr>
                <w:rFonts w:hint="eastAsia" w:ascii="宋体" w:hAnsi="宋体" w:eastAsia="宋体" w:cs="宋体"/>
                <w:color w:val="auto"/>
                <w:sz w:val="24"/>
                <w:highlight w:val="none"/>
              </w:rPr>
            </w:pPr>
          </w:p>
        </w:tc>
        <w:tc>
          <w:tcPr>
            <w:tcW w:w="1875" w:type="dxa"/>
            <w:vAlign w:val="center"/>
          </w:tcPr>
          <w:p w14:paraId="698AB1F8">
            <w:pPr>
              <w:adjustRightInd w:val="0"/>
              <w:snapToGrid w:val="0"/>
              <w:jc w:val="center"/>
              <w:rPr>
                <w:rFonts w:hint="eastAsia" w:ascii="宋体" w:hAnsi="宋体" w:eastAsia="宋体" w:cs="宋体"/>
                <w:color w:val="auto"/>
                <w:sz w:val="24"/>
                <w:highlight w:val="none"/>
              </w:rPr>
            </w:pPr>
          </w:p>
        </w:tc>
        <w:tc>
          <w:tcPr>
            <w:tcW w:w="1009" w:type="dxa"/>
            <w:vAlign w:val="center"/>
          </w:tcPr>
          <w:p w14:paraId="08DA7820">
            <w:pPr>
              <w:adjustRightInd w:val="0"/>
              <w:snapToGrid w:val="0"/>
              <w:jc w:val="center"/>
              <w:rPr>
                <w:rFonts w:hint="eastAsia" w:ascii="宋体" w:hAnsi="宋体" w:eastAsia="宋体" w:cs="宋体"/>
                <w:color w:val="auto"/>
                <w:sz w:val="24"/>
                <w:highlight w:val="none"/>
              </w:rPr>
            </w:pPr>
          </w:p>
        </w:tc>
      </w:tr>
      <w:tr w14:paraId="0D81C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E29E058">
            <w:pPr>
              <w:adjustRightInd w:val="0"/>
              <w:snapToGrid w:val="0"/>
              <w:jc w:val="center"/>
              <w:rPr>
                <w:rFonts w:hint="eastAsia" w:ascii="宋体" w:hAnsi="宋体" w:eastAsia="宋体" w:cs="宋体"/>
                <w:color w:val="auto"/>
                <w:sz w:val="24"/>
                <w:highlight w:val="none"/>
              </w:rPr>
            </w:pPr>
          </w:p>
        </w:tc>
        <w:tc>
          <w:tcPr>
            <w:tcW w:w="1482" w:type="dxa"/>
            <w:vAlign w:val="center"/>
          </w:tcPr>
          <w:p w14:paraId="37906251">
            <w:pPr>
              <w:adjustRightInd w:val="0"/>
              <w:snapToGrid w:val="0"/>
              <w:jc w:val="center"/>
              <w:rPr>
                <w:rFonts w:hint="eastAsia" w:ascii="宋体" w:hAnsi="宋体" w:eastAsia="宋体" w:cs="宋体"/>
                <w:color w:val="auto"/>
                <w:sz w:val="24"/>
                <w:highlight w:val="none"/>
              </w:rPr>
            </w:pPr>
          </w:p>
        </w:tc>
        <w:tc>
          <w:tcPr>
            <w:tcW w:w="2384" w:type="dxa"/>
            <w:vAlign w:val="center"/>
          </w:tcPr>
          <w:p w14:paraId="391888CE">
            <w:pPr>
              <w:adjustRightInd w:val="0"/>
              <w:snapToGrid w:val="0"/>
              <w:jc w:val="center"/>
              <w:rPr>
                <w:rFonts w:hint="eastAsia" w:ascii="宋体" w:hAnsi="宋体" w:eastAsia="宋体" w:cs="宋体"/>
                <w:color w:val="auto"/>
                <w:sz w:val="24"/>
                <w:highlight w:val="none"/>
              </w:rPr>
            </w:pPr>
          </w:p>
        </w:tc>
        <w:tc>
          <w:tcPr>
            <w:tcW w:w="2126" w:type="dxa"/>
            <w:vAlign w:val="center"/>
          </w:tcPr>
          <w:p w14:paraId="7D451655">
            <w:pPr>
              <w:adjustRightInd w:val="0"/>
              <w:snapToGrid w:val="0"/>
              <w:jc w:val="center"/>
              <w:rPr>
                <w:rFonts w:hint="eastAsia" w:ascii="宋体" w:hAnsi="宋体" w:eastAsia="宋体" w:cs="宋体"/>
                <w:color w:val="auto"/>
                <w:sz w:val="24"/>
                <w:highlight w:val="none"/>
              </w:rPr>
            </w:pPr>
          </w:p>
        </w:tc>
        <w:tc>
          <w:tcPr>
            <w:tcW w:w="1875" w:type="dxa"/>
            <w:vAlign w:val="center"/>
          </w:tcPr>
          <w:p w14:paraId="5E76B05D">
            <w:pPr>
              <w:adjustRightInd w:val="0"/>
              <w:snapToGrid w:val="0"/>
              <w:jc w:val="center"/>
              <w:rPr>
                <w:rFonts w:hint="eastAsia" w:ascii="宋体" w:hAnsi="宋体" w:eastAsia="宋体" w:cs="宋体"/>
                <w:color w:val="auto"/>
                <w:sz w:val="24"/>
                <w:highlight w:val="none"/>
              </w:rPr>
            </w:pPr>
          </w:p>
        </w:tc>
        <w:tc>
          <w:tcPr>
            <w:tcW w:w="1009" w:type="dxa"/>
            <w:vAlign w:val="center"/>
          </w:tcPr>
          <w:p w14:paraId="0A58D8CC">
            <w:pPr>
              <w:adjustRightInd w:val="0"/>
              <w:snapToGrid w:val="0"/>
              <w:jc w:val="center"/>
              <w:rPr>
                <w:rFonts w:hint="eastAsia" w:ascii="宋体" w:hAnsi="宋体" w:eastAsia="宋体" w:cs="宋体"/>
                <w:color w:val="auto"/>
                <w:sz w:val="24"/>
                <w:highlight w:val="none"/>
              </w:rPr>
            </w:pPr>
          </w:p>
        </w:tc>
      </w:tr>
      <w:tr w14:paraId="4C0BE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7557E04">
            <w:pPr>
              <w:adjustRightInd w:val="0"/>
              <w:snapToGrid w:val="0"/>
              <w:jc w:val="center"/>
              <w:rPr>
                <w:rFonts w:hint="eastAsia" w:ascii="宋体" w:hAnsi="宋体" w:eastAsia="宋体" w:cs="宋体"/>
                <w:color w:val="auto"/>
                <w:sz w:val="24"/>
                <w:highlight w:val="none"/>
              </w:rPr>
            </w:pPr>
          </w:p>
        </w:tc>
        <w:tc>
          <w:tcPr>
            <w:tcW w:w="1482" w:type="dxa"/>
            <w:vAlign w:val="center"/>
          </w:tcPr>
          <w:p w14:paraId="35D03014">
            <w:pPr>
              <w:adjustRightInd w:val="0"/>
              <w:snapToGrid w:val="0"/>
              <w:jc w:val="center"/>
              <w:rPr>
                <w:rFonts w:hint="eastAsia" w:ascii="宋体" w:hAnsi="宋体" w:eastAsia="宋体" w:cs="宋体"/>
                <w:color w:val="auto"/>
                <w:sz w:val="24"/>
                <w:highlight w:val="none"/>
              </w:rPr>
            </w:pPr>
          </w:p>
        </w:tc>
        <w:tc>
          <w:tcPr>
            <w:tcW w:w="2384" w:type="dxa"/>
            <w:vAlign w:val="center"/>
          </w:tcPr>
          <w:p w14:paraId="0ED133D4">
            <w:pPr>
              <w:adjustRightInd w:val="0"/>
              <w:snapToGrid w:val="0"/>
              <w:jc w:val="center"/>
              <w:rPr>
                <w:rFonts w:hint="eastAsia" w:ascii="宋体" w:hAnsi="宋体" w:eastAsia="宋体" w:cs="宋体"/>
                <w:color w:val="auto"/>
                <w:sz w:val="24"/>
                <w:highlight w:val="none"/>
              </w:rPr>
            </w:pPr>
          </w:p>
        </w:tc>
        <w:tc>
          <w:tcPr>
            <w:tcW w:w="2126" w:type="dxa"/>
            <w:vAlign w:val="center"/>
          </w:tcPr>
          <w:p w14:paraId="0ABE0736">
            <w:pPr>
              <w:adjustRightInd w:val="0"/>
              <w:snapToGrid w:val="0"/>
              <w:jc w:val="center"/>
              <w:rPr>
                <w:rFonts w:hint="eastAsia" w:ascii="宋体" w:hAnsi="宋体" w:eastAsia="宋体" w:cs="宋体"/>
                <w:color w:val="auto"/>
                <w:sz w:val="24"/>
                <w:highlight w:val="none"/>
              </w:rPr>
            </w:pPr>
          </w:p>
        </w:tc>
        <w:tc>
          <w:tcPr>
            <w:tcW w:w="1875" w:type="dxa"/>
            <w:vAlign w:val="center"/>
          </w:tcPr>
          <w:p w14:paraId="37276920">
            <w:pPr>
              <w:adjustRightInd w:val="0"/>
              <w:snapToGrid w:val="0"/>
              <w:jc w:val="center"/>
              <w:rPr>
                <w:rFonts w:hint="eastAsia" w:ascii="宋体" w:hAnsi="宋体" w:eastAsia="宋体" w:cs="宋体"/>
                <w:color w:val="auto"/>
                <w:sz w:val="24"/>
                <w:highlight w:val="none"/>
              </w:rPr>
            </w:pPr>
          </w:p>
        </w:tc>
        <w:tc>
          <w:tcPr>
            <w:tcW w:w="1009" w:type="dxa"/>
            <w:vAlign w:val="center"/>
          </w:tcPr>
          <w:p w14:paraId="7DF8C78A">
            <w:pPr>
              <w:adjustRightInd w:val="0"/>
              <w:snapToGrid w:val="0"/>
              <w:jc w:val="center"/>
              <w:rPr>
                <w:rFonts w:hint="eastAsia" w:ascii="宋体" w:hAnsi="宋体" w:eastAsia="宋体" w:cs="宋体"/>
                <w:color w:val="auto"/>
                <w:sz w:val="24"/>
                <w:highlight w:val="none"/>
              </w:rPr>
            </w:pPr>
          </w:p>
        </w:tc>
      </w:tr>
      <w:tr w14:paraId="5DE5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00B43DA7">
            <w:pPr>
              <w:adjustRightInd w:val="0"/>
              <w:snapToGrid w:val="0"/>
              <w:jc w:val="center"/>
              <w:rPr>
                <w:rFonts w:hint="eastAsia" w:ascii="宋体" w:hAnsi="宋体" w:eastAsia="宋体" w:cs="宋体"/>
                <w:color w:val="auto"/>
                <w:sz w:val="24"/>
                <w:highlight w:val="none"/>
              </w:rPr>
            </w:pPr>
          </w:p>
        </w:tc>
        <w:tc>
          <w:tcPr>
            <w:tcW w:w="1482" w:type="dxa"/>
            <w:vAlign w:val="center"/>
          </w:tcPr>
          <w:p w14:paraId="1DADCFE4">
            <w:pPr>
              <w:adjustRightInd w:val="0"/>
              <w:snapToGrid w:val="0"/>
              <w:jc w:val="center"/>
              <w:rPr>
                <w:rFonts w:hint="eastAsia" w:ascii="宋体" w:hAnsi="宋体" w:eastAsia="宋体" w:cs="宋体"/>
                <w:color w:val="auto"/>
                <w:sz w:val="24"/>
                <w:highlight w:val="none"/>
              </w:rPr>
            </w:pPr>
          </w:p>
        </w:tc>
        <w:tc>
          <w:tcPr>
            <w:tcW w:w="2384" w:type="dxa"/>
            <w:vAlign w:val="center"/>
          </w:tcPr>
          <w:p w14:paraId="300D155A">
            <w:pPr>
              <w:adjustRightInd w:val="0"/>
              <w:snapToGrid w:val="0"/>
              <w:jc w:val="center"/>
              <w:rPr>
                <w:rFonts w:hint="eastAsia" w:ascii="宋体" w:hAnsi="宋体" w:eastAsia="宋体" w:cs="宋体"/>
                <w:color w:val="auto"/>
                <w:sz w:val="24"/>
                <w:highlight w:val="none"/>
              </w:rPr>
            </w:pPr>
          </w:p>
        </w:tc>
        <w:tc>
          <w:tcPr>
            <w:tcW w:w="2126" w:type="dxa"/>
            <w:vAlign w:val="center"/>
          </w:tcPr>
          <w:p w14:paraId="00F8F388">
            <w:pPr>
              <w:adjustRightInd w:val="0"/>
              <w:snapToGrid w:val="0"/>
              <w:jc w:val="center"/>
              <w:rPr>
                <w:rFonts w:hint="eastAsia" w:ascii="宋体" w:hAnsi="宋体" w:eastAsia="宋体" w:cs="宋体"/>
                <w:color w:val="auto"/>
                <w:sz w:val="24"/>
                <w:highlight w:val="none"/>
              </w:rPr>
            </w:pPr>
          </w:p>
        </w:tc>
        <w:tc>
          <w:tcPr>
            <w:tcW w:w="1875" w:type="dxa"/>
            <w:vAlign w:val="center"/>
          </w:tcPr>
          <w:p w14:paraId="69A34B5C">
            <w:pPr>
              <w:adjustRightInd w:val="0"/>
              <w:snapToGrid w:val="0"/>
              <w:jc w:val="center"/>
              <w:rPr>
                <w:rFonts w:hint="eastAsia" w:ascii="宋体" w:hAnsi="宋体" w:eastAsia="宋体" w:cs="宋体"/>
                <w:color w:val="auto"/>
                <w:sz w:val="24"/>
                <w:highlight w:val="none"/>
              </w:rPr>
            </w:pPr>
          </w:p>
        </w:tc>
        <w:tc>
          <w:tcPr>
            <w:tcW w:w="1009" w:type="dxa"/>
            <w:vAlign w:val="center"/>
          </w:tcPr>
          <w:p w14:paraId="388EEB4B">
            <w:pPr>
              <w:adjustRightInd w:val="0"/>
              <w:snapToGrid w:val="0"/>
              <w:jc w:val="center"/>
              <w:rPr>
                <w:rFonts w:hint="eastAsia" w:ascii="宋体" w:hAnsi="宋体" w:eastAsia="宋体" w:cs="宋体"/>
                <w:color w:val="auto"/>
                <w:sz w:val="24"/>
                <w:highlight w:val="none"/>
              </w:rPr>
            </w:pPr>
          </w:p>
        </w:tc>
      </w:tr>
    </w:tbl>
    <w:p w14:paraId="43EABE74">
      <w:pPr>
        <w:tabs>
          <w:tab w:val="left" w:pos="1800"/>
          <w:tab w:val="left" w:pos="5580"/>
        </w:tabs>
        <w:spacing w:line="360" w:lineRule="auto"/>
        <w:ind w:firstLine="360" w:firstLineChars="150"/>
        <w:jc w:val="left"/>
        <w:rPr>
          <w:rFonts w:hint="eastAsia" w:ascii="宋体" w:hAnsi="宋体" w:eastAsia="宋体" w:cs="宋体"/>
          <w:color w:val="auto"/>
          <w:sz w:val="24"/>
          <w:highlight w:val="none"/>
          <w:u w:val="single"/>
        </w:rPr>
      </w:pPr>
    </w:p>
    <w:p w14:paraId="1F993D90">
      <w:pPr>
        <w:tabs>
          <w:tab w:val="left" w:pos="1800"/>
          <w:tab w:val="left" w:pos="5580"/>
        </w:tabs>
        <w:spacing w:line="360" w:lineRule="auto"/>
        <w:ind w:firstLine="360" w:firstLineChars="150"/>
        <w:jc w:val="left"/>
        <w:rPr>
          <w:rFonts w:hint="eastAsia" w:ascii="宋体" w:hAnsi="宋体" w:eastAsia="宋体" w:cs="宋体"/>
          <w:color w:val="auto"/>
          <w:sz w:val="24"/>
          <w:highlight w:val="none"/>
          <w:u w:val="single"/>
        </w:rPr>
      </w:pPr>
    </w:p>
    <w:p w14:paraId="54DB737C">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1EA4267">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 对招标文件中的所有商务、技术要求，除本表所列明的所有偏离外，均视作供应商已对之理解和响应。此表中若无任何文字说明，内容为空白的，</w:t>
      </w:r>
      <w:r>
        <w:rPr>
          <w:rFonts w:hint="eastAsia" w:ascii="宋体" w:hAnsi="宋体" w:eastAsia="宋体" w:cs="宋体"/>
          <w:b/>
          <w:color w:val="auto"/>
          <w:sz w:val="24"/>
          <w:highlight w:val="none"/>
        </w:rPr>
        <w:t>投标无效。</w:t>
      </w:r>
    </w:p>
    <w:p w14:paraId="1302218B">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2.“偏离情况”列应据实填写“无偏离”、“正偏离”或“负偏离”。</w:t>
      </w:r>
    </w:p>
    <w:p w14:paraId="5F332DF7">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                  </w:t>
      </w:r>
    </w:p>
    <w:p w14:paraId="49774375">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投标人名称（加盖公章）</w:t>
      </w:r>
      <w:r>
        <w:rPr>
          <w:rFonts w:hint="eastAsia" w:ascii="宋体" w:hAnsi="宋体" w:eastAsia="宋体" w:cs="宋体"/>
          <w:color w:val="auto"/>
          <w:sz w:val="24"/>
          <w:highlight w:val="none"/>
          <w:lang w:val="zh-CN"/>
        </w:rPr>
        <w:t>：    ____________</w:t>
      </w:r>
    </w:p>
    <w:p w14:paraId="7F63BA77">
      <w:pPr>
        <w:autoSpaceDE w:val="0"/>
        <w:autoSpaceDN w:val="0"/>
        <w:adjustRightInd w:val="0"/>
        <w:snapToGrid w:val="0"/>
        <w:spacing w:before="25" w:after="25"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szCs w:val="20"/>
          <w:highlight w:val="none"/>
        </w:rPr>
        <w:t xml:space="preserve">日期：_____年______月______日   </w:t>
      </w:r>
    </w:p>
    <w:p w14:paraId="2FF554B4">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r>
        <w:rPr>
          <w:rFonts w:hint="eastAsia" w:ascii="宋体" w:hAnsi="宋体" w:eastAsia="宋体" w:cs="宋体"/>
          <w:color w:val="auto"/>
          <w:sz w:val="24"/>
          <w:szCs w:val="20"/>
          <w:highlight w:val="none"/>
        </w:rPr>
        <w:t>中小企业证明文件</w:t>
      </w:r>
    </w:p>
    <w:p w14:paraId="71BF3F66">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50F02D3B">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29040FF8">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BE56746">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3）对于多标的采购项目，投标人应充分、准确地了解所提供货物的制造企业、提供服务的承接企业信息。对相关情况了解不清楚的，不建议填报本声明函。</w:t>
      </w:r>
    </w:p>
    <w:p w14:paraId="4AB7BB86">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05A1EE62">
      <w:pPr>
        <w:widowControl/>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p>
    <w:p w14:paraId="4EDF672B">
      <w:pPr>
        <w:spacing w:before="240" w:beforeLines="100" w:after="240" w:afterLines="100" w:line="360" w:lineRule="auto"/>
        <w:jc w:val="center"/>
        <w:rPr>
          <w:rFonts w:hint="eastAsia" w:ascii="宋体" w:hAnsi="宋体" w:eastAsia="宋体" w:cs="宋体"/>
          <w:b/>
          <w:color w:val="auto"/>
          <w:sz w:val="36"/>
          <w:szCs w:val="36"/>
          <w:highlight w:val="none"/>
        </w:rPr>
      </w:pPr>
      <w:r>
        <w:rPr>
          <w:rFonts w:hint="eastAsia" w:ascii="宋体" w:hAnsi="宋体" w:eastAsia="宋体" w:cs="宋体"/>
          <w:b/>
          <w:bCs/>
          <w:color w:val="auto"/>
          <w:sz w:val="36"/>
          <w:szCs w:val="36"/>
          <w:highlight w:val="none"/>
        </w:rPr>
        <w:t>中小企业声明函（货物）格式</w:t>
      </w:r>
    </w:p>
    <w:p w14:paraId="6B85CBE3">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06EBB98E">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1.</w:t>
      </w:r>
      <w:r>
        <w:rPr>
          <w:rFonts w:hint="eastAsia" w:ascii="宋体" w:hAnsi="宋体" w:eastAsia="宋体" w:cs="宋体"/>
          <w:color w:val="auto"/>
          <w:spacing w:val="6"/>
          <w:sz w:val="24"/>
          <w:highlight w:val="none"/>
          <w:u w:val="single"/>
        </w:rPr>
        <w:t>（标的名称）</w:t>
      </w:r>
      <w:r>
        <w:rPr>
          <w:rFonts w:hint="eastAsia" w:ascii="宋体" w:hAnsi="宋体" w:eastAsia="宋体" w:cs="宋体"/>
          <w:color w:val="auto"/>
          <w:spacing w:val="6"/>
          <w:sz w:val="24"/>
          <w:highlight w:val="none"/>
        </w:rPr>
        <w:t>，属于</w:t>
      </w:r>
      <w:r>
        <w:rPr>
          <w:rFonts w:hint="eastAsia" w:ascii="宋体" w:hAnsi="宋体" w:eastAsia="宋体" w:cs="宋体"/>
          <w:color w:val="auto"/>
          <w:spacing w:val="6"/>
          <w:sz w:val="24"/>
          <w:highlight w:val="none"/>
          <w:u w:val="single"/>
        </w:rPr>
        <w:t>（采购文件中明确的所属行业）</w:t>
      </w:r>
      <w:r>
        <w:rPr>
          <w:rFonts w:hint="eastAsia" w:ascii="宋体" w:hAnsi="宋体" w:eastAsia="宋体" w:cs="宋体"/>
          <w:color w:val="auto"/>
          <w:spacing w:val="6"/>
          <w:sz w:val="24"/>
          <w:highlight w:val="none"/>
        </w:rPr>
        <w:t>行业；制造商为</w:t>
      </w:r>
      <w:r>
        <w:rPr>
          <w:rFonts w:hint="eastAsia" w:ascii="宋体" w:hAnsi="宋体" w:eastAsia="宋体" w:cs="宋体"/>
          <w:color w:val="auto"/>
          <w:spacing w:val="6"/>
          <w:sz w:val="24"/>
          <w:highlight w:val="none"/>
          <w:u w:val="single"/>
        </w:rPr>
        <w:t>（企业名称）</w:t>
      </w:r>
      <w:r>
        <w:rPr>
          <w:rFonts w:hint="eastAsia" w:ascii="宋体" w:hAnsi="宋体" w:eastAsia="宋体" w:cs="宋体"/>
          <w:color w:val="auto"/>
          <w:spacing w:val="6"/>
          <w:sz w:val="24"/>
          <w:highlight w:val="none"/>
        </w:rPr>
        <w:t>，从业人员______人，营业收入为______万元，资产总额为______万元</w:t>
      </w:r>
      <w:r>
        <w:rPr>
          <w:rFonts w:hint="eastAsia" w:ascii="宋体" w:hAnsi="宋体" w:eastAsia="宋体" w:cs="宋体"/>
          <w:color w:val="auto"/>
          <w:spacing w:val="6"/>
          <w:sz w:val="24"/>
          <w:highlight w:val="none"/>
          <w:vertAlign w:val="superscript"/>
        </w:rPr>
        <w:t>1</w:t>
      </w:r>
      <w:r>
        <w:rPr>
          <w:rFonts w:hint="eastAsia" w:ascii="宋体" w:hAnsi="宋体" w:eastAsia="宋体" w:cs="宋体"/>
          <w:color w:val="auto"/>
          <w:spacing w:val="6"/>
          <w:sz w:val="24"/>
          <w:highlight w:val="none"/>
        </w:rPr>
        <w:t>，属于（中型企业、小型企业、微型企业）；</w:t>
      </w:r>
    </w:p>
    <w:p w14:paraId="1C3A3A41">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2.</w:t>
      </w:r>
      <w:r>
        <w:rPr>
          <w:rFonts w:hint="eastAsia" w:ascii="宋体" w:hAnsi="宋体" w:eastAsia="宋体" w:cs="宋体"/>
          <w:color w:val="auto"/>
          <w:spacing w:val="6"/>
          <w:sz w:val="24"/>
          <w:highlight w:val="none"/>
          <w:u w:val="single"/>
        </w:rPr>
        <w:t>（标的名称）</w:t>
      </w:r>
      <w:r>
        <w:rPr>
          <w:rFonts w:hint="eastAsia" w:ascii="宋体" w:hAnsi="宋体" w:eastAsia="宋体" w:cs="宋体"/>
          <w:color w:val="auto"/>
          <w:spacing w:val="6"/>
          <w:sz w:val="24"/>
          <w:highlight w:val="none"/>
        </w:rPr>
        <w:t>，属于</w:t>
      </w:r>
      <w:r>
        <w:rPr>
          <w:rFonts w:hint="eastAsia" w:ascii="宋体" w:hAnsi="宋体" w:eastAsia="宋体" w:cs="宋体"/>
          <w:color w:val="auto"/>
          <w:spacing w:val="6"/>
          <w:sz w:val="24"/>
          <w:highlight w:val="none"/>
          <w:u w:val="single"/>
        </w:rPr>
        <w:t>（采购文件中明确的所属行业）</w:t>
      </w:r>
      <w:r>
        <w:rPr>
          <w:rFonts w:hint="eastAsia" w:ascii="宋体" w:hAnsi="宋体" w:eastAsia="宋体" w:cs="宋体"/>
          <w:color w:val="auto"/>
          <w:spacing w:val="6"/>
          <w:sz w:val="24"/>
          <w:highlight w:val="none"/>
        </w:rPr>
        <w:t>行业；制造商为</w:t>
      </w:r>
      <w:r>
        <w:rPr>
          <w:rFonts w:hint="eastAsia" w:ascii="宋体" w:hAnsi="宋体" w:eastAsia="宋体" w:cs="宋体"/>
          <w:color w:val="auto"/>
          <w:spacing w:val="6"/>
          <w:sz w:val="24"/>
          <w:highlight w:val="none"/>
          <w:u w:val="single"/>
        </w:rPr>
        <w:t>（企业名称）</w:t>
      </w:r>
      <w:r>
        <w:rPr>
          <w:rFonts w:hint="eastAsia" w:ascii="宋体" w:hAnsi="宋体" w:eastAsia="宋体" w:cs="宋体"/>
          <w:color w:val="auto"/>
          <w:spacing w:val="6"/>
          <w:sz w:val="24"/>
          <w:highlight w:val="none"/>
        </w:rPr>
        <w:t>，从业人员______人，营业收入为______万元，资产总额为______万元，属于</w:t>
      </w:r>
      <w:r>
        <w:rPr>
          <w:rFonts w:hint="eastAsia" w:ascii="宋体" w:hAnsi="宋体" w:eastAsia="宋体" w:cs="宋体"/>
          <w:color w:val="auto"/>
          <w:spacing w:val="6"/>
          <w:sz w:val="24"/>
          <w:highlight w:val="none"/>
          <w:u w:val="single"/>
        </w:rPr>
        <w:t>（中型企业、小型企业、微型企业）</w:t>
      </w:r>
      <w:r>
        <w:rPr>
          <w:rFonts w:hint="eastAsia" w:ascii="宋体" w:hAnsi="宋体" w:eastAsia="宋体" w:cs="宋体"/>
          <w:color w:val="auto"/>
          <w:spacing w:val="6"/>
          <w:sz w:val="24"/>
          <w:highlight w:val="none"/>
        </w:rPr>
        <w:t>；</w:t>
      </w:r>
    </w:p>
    <w:p w14:paraId="00D995E6">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w:t>
      </w:r>
    </w:p>
    <w:p w14:paraId="36585A91">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以上企业，不属于大企业的分支机构，不存在控股股东为大企业的情形，也不存在与大企业的负责人为同一人的情形。</w:t>
      </w:r>
    </w:p>
    <w:p w14:paraId="7697477D">
      <w:pPr>
        <w:spacing w:after="0" w:line="360" w:lineRule="auto"/>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本企业对上述声明内容的真实性负责。如有虚假，将依法承担相应责任。</w:t>
      </w:r>
    </w:p>
    <w:p w14:paraId="249E7169">
      <w:pPr>
        <w:spacing w:after="0" w:line="360" w:lineRule="auto"/>
        <w:ind w:firstLine="504"/>
        <w:rPr>
          <w:rFonts w:hint="eastAsia" w:ascii="宋体" w:hAnsi="宋体" w:eastAsia="宋体" w:cs="宋体"/>
          <w:color w:val="auto"/>
          <w:spacing w:val="6"/>
          <w:sz w:val="24"/>
          <w:highlight w:val="none"/>
        </w:rPr>
      </w:pPr>
    </w:p>
    <w:p w14:paraId="6D718B4E">
      <w:pPr>
        <w:spacing w:after="0" w:line="360" w:lineRule="auto"/>
        <w:ind w:right="360" w:firstLine="48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企业名称（盖章）：________</w:t>
      </w:r>
    </w:p>
    <w:p w14:paraId="37FA1816">
      <w:pPr>
        <w:spacing w:after="0" w:line="360" w:lineRule="auto"/>
        <w:ind w:right="360" w:firstLine="48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日期：________</w:t>
      </w:r>
    </w:p>
    <w:p w14:paraId="107ADB70">
      <w:pPr>
        <w:spacing w:after="0" w:line="360" w:lineRule="auto"/>
        <w:ind w:right="360" w:firstLine="480"/>
        <w:jc w:val="right"/>
        <w:rPr>
          <w:rFonts w:hint="eastAsia" w:ascii="宋体" w:hAnsi="宋体" w:eastAsia="宋体" w:cs="宋体"/>
          <w:color w:val="auto"/>
          <w:sz w:val="24"/>
          <w:highlight w:val="none"/>
        </w:rPr>
      </w:pPr>
    </w:p>
    <w:p w14:paraId="54410A30">
      <w:pPr>
        <w:spacing w:after="0" w:line="360" w:lineRule="auto"/>
        <w:ind w:right="360" w:firstLine="480"/>
        <w:jc w:val="right"/>
        <w:rPr>
          <w:rFonts w:hint="eastAsia" w:ascii="宋体" w:hAnsi="宋体" w:eastAsia="宋体" w:cs="宋体"/>
          <w:color w:val="auto"/>
          <w:sz w:val="24"/>
          <w:highlight w:val="none"/>
        </w:rPr>
      </w:pPr>
    </w:p>
    <w:tbl>
      <w:tblPr>
        <w:tblStyle w:val="43"/>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0EE6F246">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5E30BD9C">
            <w:pPr>
              <w:adjustRightInd w:val="0"/>
              <w:snapToGrid w:val="0"/>
              <w:spacing w:after="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vertAlign w:val="superscript"/>
              </w:rPr>
              <w:t>1</w:t>
            </w:r>
            <w:r>
              <w:rPr>
                <w:rFonts w:hint="eastAsia" w:ascii="宋体" w:hAnsi="宋体" w:eastAsia="宋体" w:cs="宋体"/>
                <w:color w:val="auto"/>
                <w:szCs w:val="21"/>
                <w:highlight w:val="none"/>
              </w:rPr>
              <w:t>从业人员、营业收入、资产总额填报上一年度数据，无上一年度数据的新成立企业可不填报。</w:t>
            </w:r>
          </w:p>
        </w:tc>
      </w:tr>
    </w:tbl>
    <w:p w14:paraId="4CE930C9">
      <w:pPr>
        <w:adjustRightInd w:val="0"/>
        <w:snapToGrid w:val="0"/>
        <w:jc w:val="left"/>
        <w:rPr>
          <w:rFonts w:hint="eastAsia" w:ascii="宋体" w:hAnsi="宋体" w:eastAsia="宋体" w:cs="宋体"/>
          <w:color w:val="auto"/>
          <w:szCs w:val="21"/>
          <w:highlight w:val="none"/>
          <w:vertAlign w:val="superscript"/>
        </w:rPr>
      </w:pPr>
    </w:p>
    <w:p w14:paraId="5C2410E5">
      <w:pPr>
        <w:widowControl/>
        <w:spacing w:after="0" w:line="240" w:lineRule="auto"/>
        <w:jc w:val="left"/>
        <w:rPr>
          <w:rFonts w:hint="eastAsia" w:ascii="宋体" w:hAnsi="宋体" w:eastAsia="宋体" w:cs="宋体"/>
          <w:color w:val="auto"/>
          <w:szCs w:val="21"/>
          <w:highlight w:val="none"/>
          <w:vertAlign w:val="superscript"/>
        </w:rPr>
      </w:pPr>
      <w:r>
        <w:rPr>
          <w:rFonts w:hint="eastAsia" w:ascii="宋体" w:hAnsi="宋体" w:eastAsia="宋体" w:cs="宋体"/>
          <w:b/>
          <w:bCs/>
          <w:color w:val="auto"/>
          <w:sz w:val="36"/>
          <w:szCs w:val="36"/>
          <w:highlight w:val="none"/>
        </w:rPr>
        <w:br w:type="page"/>
      </w:r>
    </w:p>
    <w:p w14:paraId="1F5F66A1">
      <w:pPr>
        <w:spacing w:line="360" w:lineRule="auto"/>
        <w:jc w:val="center"/>
        <w:outlineLvl w:val="2"/>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残疾人福利性单位声明函格式</w:t>
      </w:r>
    </w:p>
    <w:p w14:paraId="29F0F7FF">
      <w:pPr>
        <w:spacing w:line="588" w:lineRule="exact"/>
        <w:ind w:firstLine="504"/>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〔2017〕141</w:t>
      </w:r>
      <w:r>
        <w:rPr>
          <w:rFonts w:hint="eastAsia" w:ascii="宋体" w:hAnsi="宋体" w:eastAsia="宋体" w:cs="宋体"/>
          <w:color w:val="auto"/>
          <w:spacing w:val="6"/>
          <w:sz w:val="24"/>
          <w:highlight w:val="none"/>
        </w:rPr>
        <w:t>号）的规定，本单位</w:t>
      </w:r>
      <w:r>
        <w:rPr>
          <w:rFonts w:hint="eastAsia" w:ascii="宋体" w:hAnsi="宋体" w:eastAsia="宋体" w:cs="宋体"/>
          <w:b/>
          <w:color w:val="auto"/>
          <w:sz w:val="24"/>
          <w:highlight w:val="none"/>
        </w:rPr>
        <w:t>（请进行选择）</w:t>
      </w:r>
      <w:r>
        <w:rPr>
          <w:rFonts w:hint="eastAsia" w:ascii="宋体" w:hAnsi="宋体" w:eastAsia="宋体" w:cs="宋体"/>
          <w:color w:val="auto"/>
          <w:spacing w:val="6"/>
          <w:sz w:val="24"/>
          <w:highlight w:val="none"/>
        </w:rPr>
        <w:t>：</w:t>
      </w:r>
    </w:p>
    <w:p w14:paraId="1C66AC62">
      <w:pPr>
        <w:spacing w:line="588" w:lineRule="exact"/>
        <w:ind w:firstLine="482"/>
        <w:rPr>
          <w:rFonts w:hint="eastAsia" w:ascii="宋体" w:hAnsi="宋体" w:eastAsia="宋体" w:cs="宋体"/>
          <w:b/>
          <w:color w:val="auto"/>
          <w:spacing w:val="6"/>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pacing w:val="6"/>
          <w:sz w:val="24"/>
          <w:highlight w:val="none"/>
        </w:rPr>
        <w:t>不属于符合条件的残疾人福利性单位。</w:t>
      </w:r>
    </w:p>
    <w:p w14:paraId="29EFEEAA">
      <w:pPr>
        <w:spacing w:line="588" w:lineRule="exact"/>
        <w:ind w:firstLine="482"/>
        <w:rPr>
          <w:rFonts w:hint="eastAsia" w:ascii="宋体" w:hAnsi="宋体" w:eastAsia="宋体" w:cs="宋体"/>
          <w:color w:val="auto"/>
          <w:spacing w:val="6"/>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pacing w:val="6"/>
          <w:sz w:val="24"/>
          <w:highlight w:val="none"/>
        </w:rPr>
        <w:t>属于符合条件的残疾人福利性单位，</w:t>
      </w:r>
      <w:r>
        <w:rPr>
          <w:rFonts w:hint="eastAsia" w:ascii="宋体" w:hAnsi="宋体" w:eastAsia="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74A3B909">
      <w:pPr>
        <w:spacing w:line="588" w:lineRule="exact"/>
        <w:ind w:firstLine="506" w:firstLineChars="200"/>
        <w:rPr>
          <w:rFonts w:hint="eastAsia" w:ascii="宋体" w:hAnsi="宋体" w:eastAsia="宋体" w:cs="宋体"/>
          <w:color w:val="auto"/>
          <w:spacing w:val="6"/>
          <w:sz w:val="24"/>
          <w:highlight w:val="none"/>
        </w:rPr>
      </w:pPr>
      <w:r>
        <w:rPr>
          <w:rFonts w:hint="eastAsia" w:ascii="宋体" w:hAnsi="宋体" w:eastAsia="宋体" w:cs="宋体"/>
          <w:b/>
          <w:color w:val="auto"/>
          <w:spacing w:val="6"/>
          <w:sz w:val="24"/>
          <w:highlight w:val="none"/>
        </w:rPr>
        <w:t>本单位对上述声明的真实性负责。如有虚假，将依法承担相应责任。</w:t>
      </w:r>
    </w:p>
    <w:p w14:paraId="47FE80D6">
      <w:pPr>
        <w:spacing w:line="588" w:lineRule="exact"/>
        <w:ind w:firstLine="504" w:firstLineChars="200"/>
        <w:rPr>
          <w:rFonts w:hint="eastAsia" w:ascii="宋体" w:hAnsi="宋体" w:eastAsia="宋体" w:cs="宋体"/>
          <w:color w:val="auto"/>
          <w:spacing w:val="6"/>
          <w:sz w:val="24"/>
          <w:highlight w:val="none"/>
        </w:rPr>
      </w:pPr>
    </w:p>
    <w:p w14:paraId="09A1613F">
      <w:pPr>
        <w:spacing w:line="588" w:lineRule="exact"/>
        <w:ind w:firstLine="504" w:firstLineChars="200"/>
        <w:rPr>
          <w:rFonts w:hint="eastAsia" w:ascii="宋体" w:hAnsi="宋体" w:eastAsia="宋体" w:cs="宋体"/>
          <w:color w:val="auto"/>
          <w:spacing w:val="6"/>
          <w:sz w:val="24"/>
          <w:highlight w:val="none"/>
        </w:rPr>
      </w:pPr>
    </w:p>
    <w:p w14:paraId="0F1C56A7">
      <w:pPr>
        <w:tabs>
          <w:tab w:val="left" w:pos="4860"/>
        </w:tabs>
        <w:spacing w:line="588" w:lineRule="exact"/>
        <w:ind w:right="1560" w:firstLine="504" w:firstLineChars="200"/>
        <w:jc w:val="center"/>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 xml:space="preserve">               单位名称（盖章）：</w:t>
      </w:r>
    </w:p>
    <w:p w14:paraId="4D34F0F3">
      <w:pPr>
        <w:tabs>
          <w:tab w:val="left" w:pos="4860"/>
        </w:tabs>
        <w:spacing w:line="588" w:lineRule="exact"/>
        <w:ind w:right="1560" w:firstLine="504" w:firstLineChars="200"/>
        <w:jc w:val="center"/>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 xml:space="preserve">       日  期：</w:t>
      </w:r>
    </w:p>
    <w:p w14:paraId="030C8188">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Cs w:val="20"/>
          <w:highlight w:val="none"/>
        </w:rPr>
        <w:br w:type="page"/>
      </w:r>
      <w:r>
        <w:rPr>
          <w:rFonts w:hint="eastAsia" w:ascii="宋体" w:hAnsi="宋体" w:eastAsia="宋体" w:cs="宋体"/>
          <w:color w:val="auto"/>
          <w:sz w:val="24"/>
          <w:szCs w:val="20"/>
          <w:highlight w:val="none"/>
        </w:rPr>
        <w:t>拟分包情况说明</w:t>
      </w:r>
    </w:p>
    <w:p w14:paraId="11D1FD6D">
      <w:pPr>
        <w:autoSpaceDE w:val="0"/>
        <w:autoSpaceDN w:val="0"/>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拟分包情况说明</w:t>
      </w:r>
    </w:p>
    <w:p w14:paraId="3FF3E8DC">
      <w:pPr>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（采购人或采购代理机构）</w:t>
      </w:r>
    </w:p>
    <w:p w14:paraId="0B391B7D">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43A53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28E03C8A">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287" w:type="dxa"/>
            <w:vAlign w:val="center"/>
          </w:tcPr>
          <w:p w14:paraId="3D7F4177">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分包承担</w:t>
            </w:r>
          </w:p>
          <w:p w14:paraId="55FF4912">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主体名称</w:t>
            </w:r>
          </w:p>
        </w:tc>
        <w:tc>
          <w:tcPr>
            <w:tcW w:w="1513" w:type="dxa"/>
            <w:vAlign w:val="center"/>
          </w:tcPr>
          <w:p w14:paraId="3DA32562">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分包承担</w:t>
            </w:r>
          </w:p>
          <w:p w14:paraId="36DE0562">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主体类型</w:t>
            </w:r>
          </w:p>
          <w:p w14:paraId="7E813FD6">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（选择）</w:t>
            </w:r>
          </w:p>
        </w:tc>
        <w:tc>
          <w:tcPr>
            <w:tcW w:w="1125" w:type="dxa"/>
            <w:vAlign w:val="center"/>
          </w:tcPr>
          <w:p w14:paraId="3F7B00A2">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资质等级</w:t>
            </w:r>
          </w:p>
        </w:tc>
        <w:tc>
          <w:tcPr>
            <w:tcW w:w="1561" w:type="dxa"/>
            <w:vAlign w:val="center"/>
          </w:tcPr>
          <w:p w14:paraId="6CD4257C">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拟分包</w:t>
            </w:r>
          </w:p>
          <w:p w14:paraId="21AEEFB3">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合同内容</w:t>
            </w:r>
          </w:p>
        </w:tc>
        <w:tc>
          <w:tcPr>
            <w:tcW w:w="1498" w:type="dxa"/>
            <w:vAlign w:val="center"/>
          </w:tcPr>
          <w:p w14:paraId="4F2E5E00">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拟分包</w:t>
            </w:r>
          </w:p>
          <w:p w14:paraId="40D8F3C7">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合同金额</w:t>
            </w:r>
          </w:p>
          <w:p w14:paraId="5E0CE199">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（人民币元）</w:t>
            </w:r>
          </w:p>
        </w:tc>
        <w:tc>
          <w:tcPr>
            <w:tcW w:w="1564" w:type="dxa"/>
            <w:vAlign w:val="center"/>
          </w:tcPr>
          <w:p w14:paraId="2F378F49">
            <w:pPr>
              <w:pStyle w:val="248"/>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占合同金额</w:t>
            </w:r>
          </w:p>
          <w:p w14:paraId="0180C228">
            <w:pPr>
              <w:pStyle w:val="248"/>
              <w:jc w:val="center"/>
              <w:rPr>
                <w:rFonts w:hint="eastAsia" w:ascii="宋体" w:hAnsi="宋体" w:eastAsia="宋体" w:cs="宋体"/>
                <w:color w:val="auto"/>
                <w:sz w:val="24"/>
                <w:highlight w:val="none"/>
                <w:lang w:eastAsia="zh-CN"/>
              </w:rPr>
            </w:pPr>
            <w:r>
              <w:rPr>
                <w:rFonts w:hint="eastAsia" w:ascii="宋体" w:hAnsi="宋体" w:eastAsia="宋体" w:cs="宋体"/>
                <w:b/>
                <w:color w:val="auto"/>
                <w:sz w:val="24"/>
                <w:highlight w:val="none"/>
                <w:lang w:eastAsia="zh-CN"/>
              </w:rPr>
              <w:t>的比例（%）</w:t>
            </w:r>
          </w:p>
        </w:tc>
      </w:tr>
      <w:tr w14:paraId="522FF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34F49F1D">
            <w:pPr>
              <w:pStyle w:val="248"/>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87" w:type="dxa"/>
            <w:vAlign w:val="center"/>
          </w:tcPr>
          <w:p w14:paraId="2788E6D7">
            <w:pPr>
              <w:pStyle w:val="248"/>
              <w:jc w:val="center"/>
              <w:rPr>
                <w:rFonts w:hint="eastAsia" w:ascii="宋体" w:hAnsi="宋体" w:eastAsia="宋体" w:cs="宋体"/>
                <w:color w:val="auto"/>
                <w:sz w:val="30"/>
                <w:highlight w:val="none"/>
              </w:rPr>
            </w:pPr>
          </w:p>
        </w:tc>
        <w:tc>
          <w:tcPr>
            <w:tcW w:w="1513" w:type="dxa"/>
            <w:vAlign w:val="center"/>
          </w:tcPr>
          <w:p w14:paraId="4A0C8EA3">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□中型企业</w:t>
            </w:r>
          </w:p>
          <w:p w14:paraId="5EC8D675">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□小微企业</w:t>
            </w:r>
          </w:p>
          <w:p w14:paraId="59D83F23">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□其他</w:t>
            </w:r>
          </w:p>
        </w:tc>
        <w:tc>
          <w:tcPr>
            <w:tcW w:w="1125" w:type="dxa"/>
            <w:vAlign w:val="center"/>
          </w:tcPr>
          <w:p w14:paraId="57FB0C7D">
            <w:pPr>
              <w:pStyle w:val="248"/>
              <w:jc w:val="center"/>
              <w:rPr>
                <w:rFonts w:hint="eastAsia" w:ascii="宋体" w:hAnsi="宋体" w:eastAsia="宋体" w:cs="宋体"/>
                <w:color w:val="auto"/>
                <w:sz w:val="30"/>
                <w:highlight w:val="none"/>
                <w:lang w:eastAsia="zh-CN"/>
              </w:rPr>
            </w:pPr>
          </w:p>
        </w:tc>
        <w:tc>
          <w:tcPr>
            <w:tcW w:w="1561" w:type="dxa"/>
            <w:vAlign w:val="center"/>
          </w:tcPr>
          <w:p w14:paraId="551AEB07">
            <w:pPr>
              <w:pStyle w:val="248"/>
              <w:jc w:val="center"/>
              <w:rPr>
                <w:rFonts w:hint="eastAsia" w:ascii="宋体" w:hAnsi="宋体" w:eastAsia="宋体" w:cs="宋体"/>
                <w:color w:val="auto"/>
                <w:sz w:val="30"/>
                <w:highlight w:val="none"/>
                <w:lang w:eastAsia="zh-CN"/>
              </w:rPr>
            </w:pPr>
          </w:p>
        </w:tc>
        <w:tc>
          <w:tcPr>
            <w:tcW w:w="1498" w:type="dxa"/>
            <w:vAlign w:val="center"/>
          </w:tcPr>
          <w:p w14:paraId="04B760A9">
            <w:pPr>
              <w:pStyle w:val="248"/>
              <w:jc w:val="center"/>
              <w:rPr>
                <w:rFonts w:hint="eastAsia" w:ascii="宋体" w:hAnsi="宋体" w:eastAsia="宋体" w:cs="宋体"/>
                <w:color w:val="auto"/>
                <w:sz w:val="30"/>
                <w:highlight w:val="none"/>
                <w:lang w:eastAsia="zh-CN"/>
              </w:rPr>
            </w:pPr>
          </w:p>
        </w:tc>
        <w:tc>
          <w:tcPr>
            <w:tcW w:w="1564" w:type="dxa"/>
            <w:vAlign w:val="center"/>
          </w:tcPr>
          <w:p w14:paraId="0A03E334">
            <w:pPr>
              <w:pStyle w:val="248"/>
              <w:jc w:val="center"/>
              <w:rPr>
                <w:rFonts w:hint="eastAsia" w:ascii="宋体" w:hAnsi="宋体" w:eastAsia="宋体" w:cs="宋体"/>
                <w:color w:val="auto"/>
                <w:sz w:val="30"/>
                <w:highlight w:val="none"/>
                <w:lang w:eastAsia="zh-CN"/>
              </w:rPr>
            </w:pPr>
          </w:p>
        </w:tc>
      </w:tr>
      <w:tr w14:paraId="1864F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143E3053">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w:t>
            </w:r>
          </w:p>
        </w:tc>
        <w:tc>
          <w:tcPr>
            <w:tcW w:w="1287" w:type="dxa"/>
            <w:vAlign w:val="center"/>
          </w:tcPr>
          <w:p w14:paraId="30D09C05">
            <w:pPr>
              <w:pStyle w:val="248"/>
              <w:jc w:val="center"/>
              <w:rPr>
                <w:rFonts w:hint="eastAsia" w:ascii="宋体" w:hAnsi="宋体" w:eastAsia="宋体" w:cs="宋体"/>
                <w:color w:val="auto"/>
                <w:sz w:val="30"/>
                <w:highlight w:val="none"/>
              </w:rPr>
            </w:pPr>
          </w:p>
        </w:tc>
        <w:tc>
          <w:tcPr>
            <w:tcW w:w="1513" w:type="dxa"/>
            <w:vAlign w:val="center"/>
          </w:tcPr>
          <w:p w14:paraId="4DFE4AAD">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□中型企业</w:t>
            </w:r>
          </w:p>
          <w:p w14:paraId="2F83A70A">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□小微企业</w:t>
            </w:r>
          </w:p>
          <w:p w14:paraId="68ABFC74">
            <w:pPr>
              <w:pStyle w:val="248"/>
              <w:tabs>
                <w:tab w:val="left" w:pos="235"/>
              </w:tabs>
              <w:ind w:left="1" w:leftChars="-43" w:hanging="91" w:hangingChars="3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□其他</w:t>
            </w:r>
          </w:p>
        </w:tc>
        <w:tc>
          <w:tcPr>
            <w:tcW w:w="1125" w:type="dxa"/>
            <w:vAlign w:val="center"/>
          </w:tcPr>
          <w:p w14:paraId="2900D578">
            <w:pPr>
              <w:pStyle w:val="248"/>
              <w:jc w:val="center"/>
              <w:rPr>
                <w:rFonts w:hint="eastAsia" w:ascii="宋体" w:hAnsi="宋体" w:eastAsia="宋体" w:cs="宋体"/>
                <w:color w:val="auto"/>
                <w:sz w:val="30"/>
                <w:highlight w:val="none"/>
                <w:lang w:eastAsia="zh-CN"/>
              </w:rPr>
            </w:pPr>
          </w:p>
        </w:tc>
        <w:tc>
          <w:tcPr>
            <w:tcW w:w="1561" w:type="dxa"/>
            <w:vAlign w:val="center"/>
          </w:tcPr>
          <w:p w14:paraId="200A2294">
            <w:pPr>
              <w:pStyle w:val="248"/>
              <w:jc w:val="center"/>
              <w:rPr>
                <w:rFonts w:hint="eastAsia" w:ascii="宋体" w:hAnsi="宋体" w:eastAsia="宋体" w:cs="宋体"/>
                <w:color w:val="auto"/>
                <w:sz w:val="30"/>
                <w:highlight w:val="none"/>
                <w:lang w:eastAsia="zh-CN"/>
              </w:rPr>
            </w:pPr>
          </w:p>
        </w:tc>
        <w:tc>
          <w:tcPr>
            <w:tcW w:w="1498" w:type="dxa"/>
            <w:vAlign w:val="center"/>
          </w:tcPr>
          <w:p w14:paraId="3FDD5445">
            <w:pPr>
              <w:pStyle w:val="248"/>
              <w:jc w:val="center"/>
              <w:rPr>
                <w:rFonts w:hint="eastAsia" w:ascii="宋体" w:hAnsi="宋体" w:eastAsia="宋体" w:cs="宋体"/>
                <w:color w:val="auto"/>
                <w:sz w:val="30"/>
                <w:highlight w:val="none"/>
                <w:lang w:eastAsia="zh-CN"/>
              </w:rPr>
            </w:pPr>
          </w:p>
        </w:tc>
        <w:tc>
          <w:tcPr>
            <w:tcW w:w="1564" w:type="dxa"/>
            <w:vAlign w:val="center"/>
          </w:tcPr>
          <w:p w14:paraId="28F6A001">
            <w:pPr>
              <w:pStyle w:val="248"/>
              <w:jc w:val="center"/>
              <w:rPr>
                <w:rFonts w:hint="eastAsia" w:ascii="宋体" w:hAnsi="宋体" w:eastAsia="宋体" w:cs="宋体"/>
                <w:color w:val="auto"/>
                <w:sz w:val="30"/>
                <w:highlight w:val="none"/>
                <w:lang w:eastAsia="zh-CN"/>
              </w:rPr>
            </w:pPr>
          </w:p>
        </w:tc>
      </w:tr>
      <w:tr w14:paraId="68173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5727788">
            <w:pPr>
              <w:pStyle w:val="248"/>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p>
        </w:tc>
        <w:tc>
          <w:tcPr>
            <w:tcW w:w="1287" w:type="dxa"/>
            <w:vAlign w:val="center"/>
          </w:tcPr>
          <w:p w14:paraId="43609B8F">
            <w:pPr>
              <w:pStyle w:val="248"/>
              <w:jc w:val="center"/>
              <w:rPr>
                <w:rFonts w:hint="eastAsia" w:ascii="宋体" w:hAnsi="宋体" w:eastAsia="宋体" w:cs="宋体"/>
                <w:color w:val="auto"/>
                <w:sz w:val="30"/>
                <w:highlight w:val="none"/>
              </w:rPr>
            </w:pPr>
          </w:p>
        </w:tc>
        <w:tc>
          <w:tcPr>
            <w:tcW w:w="1513" w:type="dxa"/>
            <w:vAlign w:val="center"/>
          </w:tcPr>
          <w:p w14:paraId="6C3CA03A">
            <w:pPr>
              <w:pStyle w:val="248"/>
              <w:tabs>
                <w:tab w:val="left" w:pos="235"/>
              </w:tabs>
              <w:jc w:val="center"/>
              <w:rPr>
                <w:rFonts w:hint="eastAsia" w:ascii="宋体" w:hAnsi="宋体" w:eastAsia="宋体" w:cs="宋体"/>
                <w:color w:val="auto"/>
                <w:sz w:val="24"/>
                <w:highlight w:val="none"/>
              </w:rPr>
            </w:pPr>
          </w:p>
        </w:tc>
        <w:tc>
          <w:tcPr>
            <w:tcW w:w="1125" w:type="dxa"/>
            <w:vAlign w:val="center"/>
          </w:tcPr>
          <w:p w14:paraId="6CDBC4C2">
            <w:pPr>
              <w:pStyle w:val="248"/>
              <w:jc w:val="center"/>
              <w:rPr>
                <w:rFonts w:hint="eastAsia" w:ascii="宋体" w:hAnsi="宋体" w:eastAsia="宋体" w:cs="宋体"/>
                <w:color w:val="auto"/>
                <w:sz w:val="30"/>
                <w:highlight w:val="none"/>
              </w:rPr>
            </w:pPr>
          </w:p>
        </w:tc>
        <w:tc>
          <w:tcPr>
            <w:tcW w:w="1561" w:type="dxa"/>
            <w:vAlign w:val="center"/>
          </w:tcPr>
          <w:p w14:paraId="461831B3">
            <w:pPr>
              <w:pStyle w:val="248"/>
              <w:jc w:val="center"/>
              <w:rPr>
                <w:rFonts w:hint="eastAsia" w:ascii="宋体" w:hAnsi="宋体" w:eastAsia="宋体" w:cs="宋体"/>
                <w:color w:val="auto"/>
                <w:sz w:val="30"/>
                <w:highlight w:val="none"/>
              </w:rPr>
            </w:pPr>
          </w:p>
        </w:tc>
        <w:tc>
          <w:tcPr>
            <w:tcW w:w="1498" w:type="dxa"/>
            <w:vAlign w:val="center"/>
          </w:tcPr>
          <w:p w14:paraId="2937772C">
            <w:pPr>
              <w:pStyle w:val="248"/>
              <w:jc w:val="center"/>
              <w:rPr>
                <w:rFonts w:hint="eastAsia" w:ascii="宋体" w:hAnsi="宋体" w:eastAsia="宋体" w:cs="宋体"/>
                <w:color w:val="auto"/>
                <w:sz w:val="30"/>
                <w:highlight w:val="none"/>
              </w:rPr>
            </w:pPr>
          </w:p>
        </w:tc>
        <w:tc>
          <w:tcPr>
            <w:tcW w:w="1564" w:type="dxa"/>
            <w:vAlign w:val="center"/>
          </w:tcPr>
          <w:p w14:paraId="4FE38FFA">
            <w:pPr>
              <w:pStyle w:val="248"/>
              <w:jc w:val="center"/>
              <w:rPr>
                <w:rFonts w:hint="eastAsia" w:ascii="宋体" w:hAnsi="宋体" w:eastAsia="宋体" w:cs="宋体"/>
                <w:color w:val="auto"/>
                <w:sz w:val="30"/>
                <w:highlight w:val="none"/>
              </w:rPr>
            </w:pPr>
          </w:p>
        </w:tc>
      </w:tr>
      <w:tr w14:paraId="2EAD4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5EB6C5A3">
            <w:pPr>
              <w:pStyle w:val="248"/>
              <w:ind w:right="57" w:rightChars="27"/>
              <w:jc w:val="righ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合计：</w:t>
            </w:r>
          </w:p>
        </w:tc>
        <w:tc>
          <w:tcPr>
            <w:tcW w:w="1498" w:type="dxa"/>
            <w:vAlign w:val="center"/>
          </w:tcPr>
          <w:p w14:paraId="24C8D5A8">
            <w:pPr>
              <w:pStyle w:val="248"/>
              <w:jc w:val="center"/>
              <w:rPr>
                <w:rFonts w:hint="eastAsia" w:ascii="宋体" w:hAnsi="宋体" w:eastAsia="宋体" w:cs="宋体"/>
                <w:color w:val="auto"/>
                <w:sz w:val="30"/>
                <w:highlight w:val="none"/>
              </w:rPr>
            </w:pPr>
          </w:p>
        </w:tc>
        <w:tc>
          <w:tcPr>
            <w:tcW w:w="1564" w:type="dxa"/>
            <w:vAlign w:val="center"/>
          </w:tcPr>
          <w:p w14:paraId="47B966E5">
            <w:pPr>
              <w:pStyle w:val="248"/>
              <w:jc w:val="center"/>
              <w:rPr>
                <w:rFonts w:hint="eastAsia" w:ascii="宋体" w:hAnsi="宋体" w:eastAsia="宋体" w:cs="宋体"/>
                <w:color w:val="auto"/>
                <w:sz w:val="30"/>
                <w:highlight w:val="none"/>
              </w:rPr>
            </w:pPr>
          </w:p>
        </w:tc>
      </w:tr>
    </w:tbl>
    <w:p w14:paraId="48E45D63">
      <w:pPr>
        <w:adjustRightInd w:val="0"/>
        <w:snapToGrid w:val="0"/>
        <w:spacing w:line="360" w:lineRule="auto"/>
        <w:ind w:firstLine="480" w:firstLineChars="200"/>
        <w:jc w:val="left"/>
        <w:rPr>
          <w:rFonts w:hint="eastAsia" w:ascii="宋体" w:hAnsi="宋体" w:eastAsia="宋体" w:cs="宋体"/>
          <w:color w:val="auto"/>
          <w:sz w:val="24"/>
          <w:highlight w:val="none"/>
        </w:rPr>
      </w:pPr>
    </w:p>
    <w:p w14:paraId="7BDF6851">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注： </w:t>
      </w:r>
    </w:p>
    <w:p w14:paraId="44B1E4F6">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 如本项目（包）允许分包，且投标人拟进行分包时，必须提供；如未提供，或提供了但未填写分包承担主体名称、拟分包合同内容、拟分包合同金额，</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77A97CD1">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2.如本招标文件《投标人须知资料表》载明本项目分包承担主体应具备的相应资质条件，则投标人须在本表中列明分包承担主体的资质等级，并后附资质证书复印件，否则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w:t>
      </w:r>
    </w:p>
    <w:p w14:paraId="3C265AC2">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 投标人“为落实政府采购政策”而向中小企业分包时请仔细阅读资格证明文件格式2-1中说明，并建议按要求在资格证明文件中提供相关全部文件；投标人非“为落实政府采购政策”而向中小企业分包时，建议在本册提供。</w:t>
      </w:r>
    </w:p>
    <w:p w14:paraId="26748FA2">
      <w:pPr>
        <w:adjustRightInd w:val="0"/>
        <w:snapToGrid w:val="0"/>
        <w:spacing w:line="360" w:lineRule="auto"/>
        <w:jc w:val="left"/>
        <w:rPr>
          <w:rFonts w:hint="eastAsia" w:ascii="宋体" w:hAnsi="宋体" w:eastAsia="宋体" w:cs="宋体"/>
          <w:color w:val="auto"/>
          <w:sz w:val="24"/>
          <w:highlight w:val="none"/>
        </w:rPr>
      </w:pPr>
    </w:p>
    <w:p w14:paraId="60B6F472">
      <w:pPr>
        <w:adjustRightInd w:val="0"/>
        <w:snapToGrid w:val="0"/>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投标人名称（盖章）：______</w:t>
      </w:r>
    </w:p>
    <w:p w14:paraId="65CC94E6">
      <w:pPr>
        <w:adjustRightInd w:val="0"/>
        <w:snapToGrid w:val="0"/>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日期：_____年______月______日</w:t>
      </w:r>
    </w:p>
    <w:p w14:paraId="74793370">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68B74180">
      <w:pPr>
        <w:autoSpaceDE w:val="0"/>
        <w:autoSpaceDN w:val="0"/>
        <w:adjustRightInd w:val="0"/>
        <w:spacing w:line="360" w:lineRule="auto"/>
        <w:jc w:val="center"/>
        <w:rPr>
          <w:rFonts w:hint="eastAsia" w:ascii="宋体" w:hAnsi="宋体" w:eastAsia="宋体" w:cs="宋体"/>
          <w:b/>
          <w:color w:val="auto"/>
          <w:sz w:val="36"/>
          <w:szCs w:val="36"/>
          <w:highlight w:val="none"/>
        </w:rPr>
      </w:pPr>
      <w:bookmarkStart w:id="1024" w:name="_Hlk176956326"/>
      <w:r>
        <w:rPr>
          <w:rFonts w:hint="eastAsia" w:ascii="宋体" w:hAnsi="宋体" w:eastAsia="宋体" w:cs="宋体"/>
          <w:b/>
          <w:color w:val="auto"/>
          <w:sz w:val="36"/>
          <w:szCs w:val="36"/>
          <w:highlight w:val="none"/>
        </w:rPr>
        <w:t>分包意向协议</w:t>
      </w:r>
    </w:p>
    <w:p w14:paraId="5958C867">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甲方（投标人）：________</w:t>
      </w:r>
    </w:p>
    <w:p w14:paraId="3E0D0FC1">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乙方（拟分包单位）：________</w:t>
      </w:r>
    </w:p>
    <w:p w14:paraId="16222E04">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甲方承诺，一旦在_________（采购项目名称）（项目编号/包号为：_______）招标采购项目中获得采购合同，将按照下述约定将合同项下部分内容分包给乙方：</w:t>
      </w:r>
    </w:p>
    <w:p w14:paraId="384C0D32">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1.分包内容：_____。</w:t>
      </w:r>
    </w:p>
    <w:p w14:paraId="58A3046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2.分包金额：_____，该金额占该采购包合同金额的比例为___%。</w:t>
      </w:r>
    </w:p>
    <w:p w14:paraId="00ED3AC4">
      <w:pPr>
        <w:adjustRightInd w:val="0"/>
        <w:snapToGrid w:val="0"/>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color w:val="auto"/>
          <w:sz w:val="24"/>
          <w:highlight w:val="none"/>
        </w:rPr>
        <w:t>乙方承诺将在上述情况下与甲方签订分包合同。</w:t>
      </w:r>
    </w:p>
    <w:p w14:paraId="27F42608">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本协议自各方盖章之日起生效，如甲方未在该项目（采购包）中标，本协议自动终止。</w:t>
      </w:r>
    </w:p>
    <w:p w14:paraId="5C63B68E">
      <w:pPr>
        <w:spacing w:line="360" w:lineRule="auto"/>
        <w:ind w:firstLine="471"/>
        <w:rPr>
          <w:rFonts w:hint="eastAsia" w:ascii="宋体" w:hAnsi="宋体" w:eastAsia="宋体" w:cs="宋体"/>
          <w:b/>
          <w:color w:val="auto"/>
          <w:sz w:val="24"/>
          <w:highlight w:val="none"/>
        </w:rPr>
      </w:pPr>
    </w:p>
    <w:p w14:paraId="785F4D05">
      <w:pPr>
        <w:spacing w:line="360" w:lineRule="auto"/>
        <w:ind w:firstLine="471"/>
        <w:rPr>
          <w:rFonts w:hint="eastAsia" w:ascii="宋体" w:hAnsi="宋体" w:eastAsia="宋体" w:cs="宋体"/>
          <w:b/>
          <w:color w:val="auto"/>
          <w:sz w:val="24"/>
          <w:highlight w:val="none"/>
        </w:rPr>
      </w:pPr>
      <w:r>
        <w:rPr>
          <w:rFonts w:hint="eastAsia" w:ascii="宋体" w:hAnsi="宋体" w:eastAsia="宋体" w:cs="宋体"/>
          <w:color w:val="auto"/>
          <w:sz w:val="24"/>
          <w:highlight w:val="none"/>
        </w:rPr>
        <w:t>甲方（盖章）：_________                 乙方（盖章）：_________</w:t>
      </w:r>
    </w:p>
    <w:p w14:paraId="7B1AC2D5">
      <w:pPr>
        <w:spacing w:line="360" w:lineRule="auto"/>
        <w:ind w:left="480"/>
        <w:jc w:val="right"/>
        <w:rPr>
          <w:rFonts w:hint="eastAsia" w:ascii="宋体" w:hAnsi="宋体" w:eastAsia="宋体" w:cs="宋体"/>
          <w:color w:val="auto"/>
          <w:sz w:val="24"/>
          <w:highlight w:val="none"/>
        </w:rPr>
      </w:pPr>
    </w:p>
    <w:p w14:paraId="4CB155B2">
      <w:pPr>
        <w:wordWrap w:val="0"/>
        <w:spacing w:line="360" w:lineRule="auto"/>
        <w:ind w:left="480"/>
        <w:jc w:val="right"/>
        <w:rPr>
          <w:rFonts w:hint="eastAsia" w:ascii="宋体" w:hAnsi="宋体" w:eastAsia="宋体" w:cs="宋体"/>
          <w:b/>
          <w:color w:val="auto"/>
          <w:sz w:val="24"/>
          <w:highlight w:val="none"/>
        </w:rPr>
      </w:pPr>
      <w:r>
        <w:rPr>
          <w:rFonts w:hint="eastAsia" w:ascii="宋体" w:hAnsi="宋体" w:eastAsia="宋体" w:cs="宋体"/>
          <w:color w:val="auto"/>
          <w:sz w:val="24"/>
          <w:szCs w:val="20"/>
          <w:highlight w:val="none"/>
        </w:rPr>
        <w:t xml:space="preserve">日期：_____年______月______日   </w:t>
      </w:r>
    </w:p>
    <w:p w14:paraId="4A31724B">
      <w:pPr>
        <w:tabs>
          <w:tab w:val="left" w:pos="8280"/>
        </w:tabs>
        <w:spacing w:line="360" w:lineRule="auto"/>
        <w:ind w:firstLine="480"/>
        <w:rPr>
          <w:rFonts w:hint="eastAsia" w:ascii="宋体" w:hAnsi="宋体" w:eastAsia="宋体" w:cs="宋体"/>
          <w:color w:val="auto"/>
          <w:sz w:val="24"/>
          <w:highlight w:val="none"/>
        </w:rPr>
      </w:pPr>
    </w:p>
    <w:p w14:paraId="65FA7EE9">
      <w:pPr>
        <w:tabs>
          <w:tab w:val="left" w:pos="8280"/>
        </w:tabs>
        <w:spacing w:line="360" w:lineRule="auto"/>
        <w:rPr>
          <w:rFonts w:hint="eastAsia" w:ascii="宋体" w:hAnsi="宋体" w:eastAsia="宋体" w:cs="宋体"/>
          <w:color w:val="auto"/>
          <w:sz w:val="24"/>
          <w:highlight w:val="none"/>
        </w:rPr>
      </w:pPr>
      <w:bookmarkStart w:id="1025" w:name="_Hlk176956306"/>
      <w:r>
        <w:rPr>
          <w:rFonts w:hint="eastAsia" w:ascii="宋体" w:hAnsi="宋体" w:eastAsia="宋体" w:cs="宋体"/>
          <w:color w:val="auto"/>
          <w:sz w:val="24"/>
          <w:highlight w:val="none"/>
        </w:rPr>
        <w:t>注：</w:t>
      </w:r>
    </w:p>
    <w:p w14:paraId="55E39E6A">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 投标人“为落实政府采购政策”而向中小企业分包时必须提供，否则</w:t>
      </w:r>
      <w:r>
        <w:rPr>
          <w:rFonts w:hint="eastAsia" w:ascii="宋体" w:hAnsi="宋体" w:eastAsia="宋体" w:cs="宋体"/>
          <w:b/>
          <w:color w:val="auto"/>
          <w:sz w:val="24"/>
          <w:highlight w:val="none"/>
        </w:rPr>
        <w:t>投标无效</w:t>
      </w:r>
      <w:r>
        <w:rPr>
          <w:rFonts w:hint="eastAsia" w:ascii="宋体" w:hAnsi="宋体" w:eastAsia="宋体" w:cs="宋体"/>
          <w:color w:val="auto"/>
          <w:sz w:val="24"/>
          <w:highlight w:val="none"/>
        </w:rPr>
        <w:t>；且建议按照采购文件要求在资格证明文件部分提供；</w:t>
      </w:r>
    </w:p>
    <w:p w14:paraId="18412652">
      <w:pPr>
        <w:adjustRightInd w:val="0"/>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 投标人满足《政府采购促进中小企业发展管理办法》（财库〔2020〕46号）第九条有关规定，拟享受中小企业政策优惠措施的，仍需提供本协议，否则不予认可；</w:t>
      </w:r>
    </w:p>
    <w:p w14:paraId="1667DB27">
      <w:pPr>
        <w:adjustRightInd w:val="0"/>
        <w:snapToGrid w:val="0"/>
        <w:spacing w:line="360" w:lineRule="auto"/>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3. 投标人须与所有拟分包单位分别签订《分包意向协议》，每单位签订一份，并在投标文件中提交全部协议原件，否则</w:t>
      </w:r>
      <w:r>
        <w:rPr>
          <w:rFonts w:hint="eastAsia" w:ascii="宋体" w:hAnsi="宋体" w:eastAsia="宋体" w:cs="宋体"/>
          <w:bCs/>
          <w:color w:val="auto"/>
          <w:sz w:val="24"/>
          <w:highlight w:val="none"/>
        </w:rPr>
        <w:t>不予认可</w:t>
      </w:r>
      <w:r>
        <w:rPr>
          <w:rFonts w:hint="eastAsia" w:ascii="宋体" w:hAnsi="宋体" w:eastAsia="宋体" w:cs="宋体"/>
          <w:color w:val="auto"/>
          <w:sz w:val="24"/>
          <w:highlight w:val="none"/>
        </w:rPr>
        <w:t>。</w:t>
      </w:r>
      <w:bookmarkEnd w:id="1025"/>
    </w:p>
    <w:bookmarkEnd w:id="1024"/>
    <w:p w14:paraId="294F25F6">
      <w:pPr>
        <w:numPr>
          <w:ilvl w:val="0"/>
          <w:numId w:val="24"/>
        </w:numPr>
        <w:tabs>
          <w:tab w:val="left" w:pos="360"/>
        </w:tabs>
        <w:snapToGrid w:val="0"/>
        <w:spacing w:line="360" w:lineRule="auto"/>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r>
        <w:rPr>
          <w:rFonts w:hint="eastAsia" w:ascii="宋体" w:hAnsi="宋体" w:eastAsia="宋体" w:cs="宋体"/>
          <w:color w:val="auto"/>
          <w:sz w:val="24"/>
          <w:szCs w:val="20"/>
          <w:highlight w:val="none"/>
        </w:rPr>
        <w:t>招标文件要求提供或投标人认为应附的其他材料</w:t>
      </w:r>
    </w:p>
    <w:p w14:paraId="5C700A15">
      <w:pPr>
        <w:widowControl/>
        <w:jc w:val="lef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9-1供应商信息采集表</w:t>
      </w:r>
    </w:p>
    <w:tbl>
      <w:tblPr>
        <w:tblStyle w:val="44"/>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22"/>
        <w:gridCol w:w="3021"/>
        <w:gridCol w:w="3019"/>
      </w:tblGrid>
      <w:tr w14:paraId="68A04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3022" w:type="dxa"/>
          </w:tcPr>
          <w:p w14:paraId="513FBEEA">
            <w:pP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3021" w:type="dxa"/>
          </w:tcPr>
          <w:p w14:paraId="158BF772">
            <w:pP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供应商所属性别</w:t>
            </w:r>
          </w:p>
        </w:tc>
        <w:tc>
          <w:tcPr>
            <w:tcW w:w="3019" w:type="dxa"/>
          </w:tcPr>
          <w:p w14:paraId="35A07B20">
            <w:pPr>
              <w:rPr>
                <w:rFonts w:hint="eastAsia" w:ascii="宋体" w:hAnsi="宋体" w:eastAsia="宋体" w:cs="宋体"/>
                <w:color w:val="auto"/>
                <w:sz w:val="24"/>
                <w:highlight w:val="none"/>
              </w:rPr>
            </w:pPr>
            <w:r>
              <w:rPr>
                <w:rFonts w:hint="eastAsia" w:ascii="宋体" w:hAnsi="宋体" w:eastAsia="宋体" w:cs="宋体"/>
                <w:color w:val="auto"/>
                <w:sz w:val="24"/>
                <w:highlight w:val="none"/>
              </w:rPr>
              <w:t>外商投资类型</w:t>
            </w:r>
          </w:p>
        </w:tc>
      </w:tr>
      <w:tr w14:paraId="560CE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3022" w:type="dxa"/>
          </w:tcPr>
          <w:p w14:paraId="672909AE">
            <w:pPr>
              <w:rPr>
                <w:rFonts w:hint="eastAsia" w:ascii="宋体" w:hAnsi="宋体" w:eastAsia="宋体" w:cs="宋体"/>
                <w:color w:val="auto"/>
                <w:sz w:val="24"/>
                <w:highlight w:val="none"/>
              </w:rPr>
            </w:pPr>
          </w:p>
        </w:tc>
        <w:tc>
          <w:tcPr>
            <w:tcW w:w="3021" w:type="dxa"/>
          </w:tcPr>
          <w:p w14:paraId="2C654755">
            <w:pPr>
              <w:rPr>
                <w:rFonts w:hint="eastAsia" w:ascii="宋体" w:hAnsi="宋体" w:eastAsia="宋体" w:cs="宋体"/>
                <w:color w:val="auto"/>
                <w:sz w:val="24"/>
                <w:highlight w:val="none"/>
              </w:rPr>
            </w:pPr>
          </w:p>
        </w:tc>
        <w:tc>
          <w:tcPr>
            <w:tcW w:w="3019" w:type="dxa"/>
          </w:tcPr>
          <w:p w14:paraId="446E49AA">
            <w:pPr>
              <w:rPr>
                <w:rFonts w:hint="eastAsia" w:ascii="宋体" w:hAnsi="宋体" w:eastAsia="宋体" w:cs="宋体"/>
                <w:color w:val="auto"/>
                <w:sz w:val="24"/>
                <w:highlight w:val="none"/>
              </w:rPr>
            </w:pPr>
          </w:p>
        </w:tc>
      </w:tr>
      <w:tr w14:paraId="2225A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022" w:type="dxa"/>
          </w:tcPr>
          <w:p w14:paraId="48A15771">
            <w:pPr>
              <w:rPr>
                <w:rFonts w:hint="eastAsia" w:ascii="宋体" w:hAnsi="宋体" w:eastAsia="宋体" w:cs="宋体"/>
                <w:color w:val="auto"/>
                <w:sz w:val="24"/>
                <w:highlight w:val="none"/>
              </w:rPr>
            </w:pPr>
          </w:p>
        </w:tc>
        <w:tc>
          <w:tcPr>
            <w:tcW w:w="3021" w:type="dxa"/>
          </w:tcPr>
          <w:p w14:paraId="70A4531A">
            <w:pPr>
              <w:rPr>
                <w:rFonts w:hint="eastAsia" w:ascii="宋体" w:hAnsi="宋体" w:eastAsia="宋体" w:cs="宋体"/>
                <w:color w:val="auto"/>
                <w:sz w:val="24"/>
                <w:highlight w:val="none"/>
              </w:rPr>
            </w:pPr>
          </w:p>
        </w:tc>
        <w:tc>
          <w:tcPr>
            <w:tcW w:w="3019" w:type="dxa"/>
          </w:tcPr>
          <w:p w14:paraId="6B151077">
            <w:pPr>
              <w:rPr>
                <w:rFonts w:hint="eastAsia" w:ascii="宋体" w:hAnsi="宋体" w:eastAsia="宋体" w:cs="宋体"/>
                <w:color w:val="auto"/>
                <w:sz w:val="24"/>
                <w:highlight w:val="none"/>
              </w:rPr>
            </w:pPr>
          </w:p>
        </w:tc>
      </w:tr>
      <w:tr w14:paraId="30E3E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3022" w:type="dxa"/>
          </w:tcPr>
          <w:p w14:paraId="1998E174">
            <w:pPr>
              <w:rPr>
                <w:rFonts w:hint="eastAsia" w:ascii="宋体" w:hAnsi="宋体" w:eastAsia="宋体" w:cs="宋体"/>
                <w:color w:val="auto"/>
                <w:sz w:val="24"/>
                <w:highlight w:val="none"/>
              </w:rPr>
            </w:pPr>
          </w:p>
        </w:tc>
        <w:tc>
          <w:tcPr>
            <w:tcW w:w="3021" w:type="dxa"/>
          </w:tcPr>
          <w:p w14:paraId="190DD8D7">
            <w:pPr>
              <w:rPr>
                <w:rFonts w:hint="eastAsia" w:ascii="宋体" w:hAnsi="宋体" w:eastAsia="宋体" w:cs="宋体"/>
                <w:color w:val="auto"/>
                <w:sz w:val="24"/>
                <w:highlight w:val="none"/>
              </w:rPr>
            </w:pPr>
          </w:p>
        </w:tc>
        <w:tc>
          <w:tcPr>
            <w:tcW w:w="3019" w:type="dxa"/>
          </w:tcPr>
          <w:p w14:paraId="43445E56">
            <w:pPr>
              <w:rPr>
                <w:rFonts w:hint="eastAsia" w:ascii="宋体" w:hAnsi="宋体" w:eastAsia="宋体" w:cs="宋体"/>
                <w:color w:val="auto"/>
                <w:sz w:val="24"/>
                <w:highlight w:val="none"/>
              </w:rPr>
            </w:pPr>
          </w:p>
        </w:tc>
      </w:tr>
      <w:tr w14:paraId="151D4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3022" w:type="dxa"/>
          </w:tcPr>
          <w:p w14:paraId="31F5C984">
            <w:pPr>
              <w:rPr>
                <w:rFonts w:hint="eastAsia" w:ascii="宋体" w:hAnsi="宋体" w:eastAsia="宋体" w:cs="宋体"/>
                <w:color w:val="auto"/>
                <w:sz w:val="24"/>
                <w:highlight w:val="none"/>
              </w:rPr>
            </w:pPr>
          </w:p>
        </w:tc>
        <w:tc>
          <w:tcPr>
            <w:tcW w:w="3021" w:type="dxa"/>
          </w:tcPr>
          <w:p w14:paraId="3D40A751">
            <w:pPr>
              <w:rPr>
                <w:rFonts w:hint="eastAsia" w:ascii="宋体" w:hAnsi="宋体" w:eastAsia="宋体" w:cs="宋体"/>
                <w:color w:val="auto"/>
                <w:sz w:val="24"/>
                <w:highlight w:val="none"/>
              </w:rPr>
            </w:pPr>
          </w:p>
        </w:tc>
        <w:tc>
          <w:tcPr>
            <w:tcW w:w="3019" w:type="dxa"/>
          </w:tcPr>
          <w:p w14:paraId="745FAA83">
            <w:pPr>
              <w:rPr>
                <w:rFonts w:hint="eastAsia" w:ascii="宋体" w:hAnsi="宋体" w:eastAsia="宋体" w:cs="宋体"/>
                <w:color w:val="auto"/>
                <w:sz w:val="24"/>
                <w:highlight w:val="none"/>
              </w:rPr>
            </w:pPr>
          </w:p>
        </w:tc>
      </w:tr>
    </w:tbl>
    <w:p w14:paraId="1F2646FD">
      <w:pPr>
        <w:tabs>
          <w:tab w:val="left" w:pos="1800"/>
          <w:tab w:val="left" w:pos="5580"/>
        </w:tabs>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注：1.供应商如为联合体，则应填写联合体各成员信息。</w:t>
      </w:r>
    </w:p>
    <w:p w14:paraId="1A7E0B04">
      <w:pPr>
        <w:tabs>
          <w:tab w:val="left" w:pos="1800"/>
          <w:tab w:val="left" w:pos="5580"/>
        </w:tabs>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2.供应商所属性别请填写“男”或“女”，指拥有供应商51%以上绝对所有权的性别；绝对所有权拥有者可以是一个人，也可以是多人合计计算。</w:t>
      </w:r>
    </w:p>
    <w:p w14:paraId="70794748">
      <w:pPr>
        <w:tabs>
          <w:tab w:val="left" w:pos="1800"/>
          <w:tab w:val="left" w:pos="5580"/>
        </w:tabs>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3.外商投资类型请填写“外商单独投资”、“外商部分投资”或“内资”。</w:t>
      </w:r>
    </w:p>
    <w:p w14:paraId="64E7FD59">
      <w:pPr>
        <w:widowControl/>
        <w:jc w:val="left"/>
        <w:rPr>
          <w:rFonts w:hint="eastAsia" w:ascii="宋体" w:hAnsi="宋体" w:eastAsia="宋体" w:cs="宋体"/>
          <w:b/>
          <w:color w:val="auto"/>
          <w:sz w:val="36"/>
          <w:szCs w:val="36"/>
          <w:highlight w:val="none"/>
        </w:rPr>
      </w:pPr>
    </w:p>
    <w:sectPr>
      <w:pgSz w:w="11907" w:h="16840"/>
      <w:pgMar w:top="1418" w:right="1134" w:bottom="1418" w:left="1701" w:header="851" w:footer="851" w:gutter="0"/>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 w:name="Microsoft YaHei UI">
    <w:panose1 w:val="020B0503020204020204"/>
    <w:charset w:val="86"/>
    <w:family w:val="swiss"/>
    <w:pitch w:val="default"/>
    <w:sig w:usb0="80000287" w:usb1="2ACF3C50" w:usb2="00000016" w:usb3="00000000" w:csb0="0004001F" w:csb1="00000000"/>
  </w:font>
  <w:font w:name="Frutiger Roman">
    <w:altName w:val="Lucida Sans Unicode"/>
    <w:panose1 w:val="00000000000000000000"/>
    <w:charset w:val="00"/>
    <w:family w:val="swiss"/>
    <w:pitch w:val="default"/>
    <w:sig w:usb0="00000000" w:usb1="00000000" w:usb2="00000000" w:usb3="00000000" w:csb0="00000013" w:csb1="00000000"/>
  </w:font>
  <w:font w:name="Lucida Sans Unicode">
    <w:panose1 w:val="020B0602030504020204"/>
    <w:charset w:val="00"/>
    <w:family w:val="auto"/>
    <w:pitch w:val="default"/>
    <w:sig w:usb0="80001AFF" w:usb1="0000396B" w:usb2="00000000" w:usb3="00000000" w:csb0="200000BF" w:csb1="D7F7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A4E59">
    <w:pPr>
      <w:pStyle w:val="30"/>
      <w:framePr w:wrap="around" w:vAnchor="text" w:hAnchor="margin" w:y="1"/>
      <w:ind w:right="360"/>
      <w:rPr>
        <w:rStyle w:val="48"/>
      </w:rPr>
    </w:pPr>
  </w:p>
  <w:p w14:paraId="512C644E">
    <w:pPr>
      <w:pStyle w:val="30"/>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E8FCD">
    <w:pPr>
      <w:pStyle w:val="30"/>
      <w:framePr w:wrap="around" w:vAnchor="text" w:hAnchor="margin" w:xAlign="center" w:y="1"/>
      <w:rPr>
        <w:rStyle w:val="48"/>
      </w:rPr>
    </w:pPr>
    <w:r>
      <w:fldChar w:fldCharType="begin"/>
    </w:r>
    <w:r>
      <w:rPr>
        <w:rStyle w:val="48"/>
      </w:rPr>
      <w:instrText xml:space="preserve">PAGE  </w:instrText>
    </w:r>
    <w:r>
      <w:fldChar w:fldCharType="end"/>
    </w:r>
  </w:p>
  <w:p w14:paraId="639F63F7">
    <w:pPr>
      <w:pStyle w:val="3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65A07">
    <w:pPr>
      <w:pStyle w:val="30"/>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7508949"/>
    </w:sdtPr>
    <w:sdtContent>
      <w:p w14:paraId="5A5171C5">
        <w:pPr>
          <w:pStyle w:val="30"/>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38</w:t>
        </w:r>
        <w:r>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F2744">
    <w:pPr>
      <w:pStyle w:val="30"/>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4AA23C83">
    <w:pPr>
      <w:pStyle w:val="30"/>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AE06">
    <w:pPr>
      <w:pStyle w:val="3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0EAC2">
    <w:pPr>
      <w:pStyle w:val="30"/>
      <w:framePr w:wrap="around" w:vAnchor="text" w:hAnchor="margin" w:xAlign="center" w:y="1"/>
      <w:rPr>
        <w:rStyle w:val="48"/>
      </w:rPr>
    </w:pPr>
    <w:r>
      <w:rPr>
        <w:rStyle w:val="48"/>
      </w:rPr>
      <w:fldChar w:fldCharType="begin"/>
    </w:r>
    <w:r>
      <w:rPr>
        <w:rStyle w:val="48"/>
      </w:rPr>
      <w:instrText xml:space="preserve">PAGE  </w:instrText>
    </w:r>
    <w:r>
      <w:rPr>
        <w:rStyle w:val="48"/>
      </w:rPr>
      <w:fldChar w:fldCharType="separate"/>
    </w:r>
    <w:r>
      <w:rPr>
        <w:rStyle w:val="48"/>
      </w:rPr>
      <w:t>74</w:t>
    </w:r>
    <w:r>
      <w:rPr>
        <w:rStyle w:val="48"/>
      </w:rPr>
      <w:fldChar w:fldCharType="end"/>
    </w:r>
  </w:p>
  <w:p w14:paraId="5CBAEAB8">
    <w:pPr>
      <w:pStyle w:val="3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A0678">
    <w:pPr>
      <w:pStyle w:val="30"/>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76B729DE">
    <w:pPr>
      <w:pStyle w:val="30"/>
      <w:ind w:right="360"/>
    </w:pPr>
  </w:p>
  <w:p w14:paraId="6BCE28A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073DD">
    <w:pPr>
      <w:pStyle w:val="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99E14">
    <w:pPr>
      <w:pStyle w:val="31"/>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D32CF">
    <w:pPr>
      <w:pStyle w:val="3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96AD8">
    <w:pPr>
      <w:pStyle w:val="31"/>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4F147">
    <w:pPr>
      <w:pStyle w:val="31"/>
      <w:jc w:val="right"/>
    </w:pPr>
    <w:r>
      <w:rPr>
        <w:rFonts w:hint="eastAsia"/>
      </w:rPr>
      <w:t>北京市政府</w:t>
    </w:r>
    <w:r>
      <w:t>采购</w:t>
    </w:r>
    <w:r>
      <w:rPr>
        <w:rFonts w:hint="eastAsia"/>
      </w:rPr>
      <w:t>项目公开招标文件示范文本</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033CF">
    <w:pPr>
      <w:pStyle w:val="3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70602">
    <w:pPr>
      <w:pStyle w:val="3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940C">
    <w:pPr>
      <w:pStyle w:val="31"/>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AEA43">
    <w:pPr>
      <w:pStyle w:val="31"/>
    </w:pPr>
  </w:p>
  <w:p w14:paraId="6D39C86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B9CBC">
    <w:pPr>
      <w:pStyle w:val="3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B32EF0"/>
    <w:multiLevelType w:val="singleLevel"/>
    <w:tmpl w:val="AAB32EF0"/>
    <w:lvl w:ilvl="0" w:tentative="0">
      <w:start w:val="1"/>
      <w:numFmt w:val="chineseCounting"/>
      <w:suff w:val="nothing"/>
      <w:lvlText w:val="（%1）"/>
      <w:lvlJc w:val="left"/>
      <w:rPr>
        <w:rFonts w:hint="eastAsia"/>
      </w:rPr>
    </w:lvl>
  </w:abstractNum>
  <w:abstractNum w:abstractNumId="1">
    <w:nsid w:val="C97D6CF8"/>
    <w:multiLevelType w:val="singleLevel"/>
    <w:tmpl w:val="C97D6CF8"/>
    <w:lvl w:ilvl="0" w:tentative="0">
      <w:start w:val="2"/>
      <w:numFmt w:val="chineseCounting"/>
      <w:suff w:val="nothing"/>
      <w:lvlText w:val="%1、"/>
      <w:lvlJc w:val="left"/>
      <w:rPr>
        <w:rFonts w:hint="eastAsia"/>
      </w:rPr>
    </w:lvl>
  </w:abstractNum>
  <w:abstractNum w:abstractNumId="2">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3">
    <w:nsid w:val="0000000A"/>
    <w:multiLevelType w:val="multilevel"/>
    <w:tmpl w:val="0000000A"/>
    <w:lvl w:ilvl="0" w:tentative="0">
      <w:start w:val="1"/>
      <w:numFmt w:val="decimal"/>
      <w:pStyle w:val="88"/>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D"/>
    <w:multiLevelType w:val="multilevel"/>
    <w:tmpl w:val="0000000D"/>
    <w:lvl w:ilvl="0" w:tentative="0">
      <w:start w:val="1"/>
      <w:numFmt w:val="lowerLetter"/>
      <w:pStyle w:val="163"/>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
    <w:nsid w:val="00000013"/>
    <w:multiLevelType w:val="singleLevel"/>
    <w:tmpl w:val="00000013"/>
    <w:lvl w:ilvl="0" w:tentative="0">
      <w:start w:val="1"/>
      <w:numFmt w:val="decimal"/>
      <w:pStyle w:val="133"/>
      <w:lvlText w:val="%1."/>
      <w:lvlJc w:val="left"/>
      <w:pPr>
        <w:tabs>
          <w:tab w:val="left" w:pos="360"/>
        </w:tabs>
        <w:ind w:left="360" w:hanging="360"/>
      </w:pPr>
      <w:rPr>
        <w:rFonts w:hint="default"/>
      </w:rPr>
    </w:lvl>
  </w:abstractNum>
  <w:abstractNum w:abstractNumId="6">
    <w:nsid w:val="00000026"/>
    <w:multiLevelType w:val="multilevel"/>
    <w:tmpl w:val="00000026"/>
    <w:lvl w:ilvl="0" w:tentative="0">
      <w:start w:val="1"/>
      <w:numFmt w:val="decimal"/>
      <w:pStyle w:val="82"/>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1"/>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18"/>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7"/>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6"/>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39"/>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2"/>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7">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0"/>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8">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9">
    <w:nsid w:val="0000002F"/>
    <w:multiLevelType w:val="multilevel"/>
    <w:tmpl w:val="0000002F"/>
    <w:lvl w:ilvl="0" w:tentative="0">
      <w:start w:val="1"/>
      <w:numFmt w:val="decimal"/>
      <w:pStyle w:val="87"/>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E230849"/>
    <w:multiLevelType w:val="multilevel"/>
    <w:tmpl w:val="0E230849"/>
    <w:lvl w:ilvl="0" w:tentative="0">
      <w:start w:val="1"/>
      <w:numFmt w:val="decimal"/>
      <w:pStyle w:val="191"/>
      <w:lvlText w:val="%1"/>
      <w:lvlJc w:val="left"/>
      <w:pPr>
        <w:ind w:left="680" w:hanging="680"/>
      </w:pPr>
      <w:rPr>
        <w:rFonts w:hint="eastAsia" w:ascii="宋体" w:hAnsi="宋体" w:eastAsia="宋体"/>
      </w:rPr>
    </w:lvl>
    <w:lvl w:ilvl="1" w:tentative="0">
      <w:start w:val="1"/>
      <w:numFmt w:val="decimal"/>
      <w:pStyle w:val="192"/>
      <w:lvlText w:val="%1.%2"/>
      <w:lvlJc w:val="left"/>
      <w:pPr>
        <w:ind w:left="851" w:hanging="851"/>
      </w:pPr>
      <w:rPr>
        <w:rFonts w:hint="eastAsia" w:ascii="宋体" w:hAnsi="宋体" w:eastAsia="宋体"/>
        <w:color w:val="auto"/>
      </w:rPr>
    </w:lvl>
    <w:lvl w:ilvl="2" w:tentative="0">
      <w:start w:val="1"/>
      <w:numFmt w:val="decimal"/>
      <w:pStyle w:val="193"/>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1">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2">
    <w:nsid w:val="13851098"/>
    <w:multiLevelType w:val="multilevel"/>
    <w:tmpl w:val="13851098"/>
    <w:lvl w:ilvl="0" w:tentative="0">
      <w:start w:val="1"/>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29D91C1F"/>
    <w:multiLevelType w:val="multilevel"/>
    <w:tmpl w:val="29D91C1F"/>
    <w:lvl w:ilvl="0" w:tentative="0">
      <w:start w:val="1"/>
      <w:numFmt w:val="decimal"/>
      <w:lvlText w:val="%1."/>
      <w:lvlJc w:val="left"/>
      <w:pPr>
        <w:ind w:left="360" w:hanging="360"/>
      </w:pPr>
      <w:rPr>
        <w:rFonts w:hint="default"/>
      </w:rPr>
    </w:lvl>
    <w:lvl w:ilvl="1" w:tentative="0">
      <w:start w:val="3"/>
      <w:numFmt w:val="decimal"/>
      <w:isLgl/>
      <w:lvlText w:val="%1.%2"/>
      <w:lvlJc w:val="left"/>
      <w:pPr>
        <w:ind w:left="1035" w:hanging="720"/>
      </w:pPr>
      <w:rPr>
        <w:rFonts w:hint="default"/>
      </w:rPr>
    </w:lvl>
    <w:lvl w:ilvl="2" w:tentative="0">
      <w:start w:val="1"/>
      <w:numFmt w:val="decimal"/>
      <w:isLgl/>
      <w:lvlText w:val="%1.%2.%3"/>
      <w:lvlJc w:val="left"/>
      <w:pPr>
        <w:ind w:left="1350" w:hanging="720"/>
      </w:pPr>
      <w:rPr>
        <w:rFonts w:hint="default"/>
      </w:rPr>
    </w:lvl>
    <w:lvl w:ilvl="3" w:tentative="0">
      <w:start w:val="1"/>
      <w:numFmt w:val="decimal"/>
      <w:isLgl/>
      <w:lvlText w:val="%1.%2.%3.%4"/>
      <w:lvlJc w:val="left"/>
      <w:pPr>
        <w:ind w:left="2025" w:hanging="1080"/>
      </w:pPr>
      <w:rPr>
        <w:rFonts w:hint="default"/>
      </w:rPr>
    </w:lvl>
    <w:lvl w:ilvl="4" w:tentative="0">
      <w:start w:val="1"/>
      <w:numFmt w:val="decimal"/>
      <w:isLgl/>
      <w:lvlText w:val="%1.%2.%3.%4.%5"/>
      <w:lvlJc w:val="left"/>
      <w:pPr>
        <w:ind w:left="2700" w:hanging="1440"/>
      </w:pPr>
      <w:rPr>
        <w:rFonts w:hint="default"/>
      </w:rPr>
    </w:lvl>
    <w:lvl w:ilvl="5" w:tentative="0">
      <w:start w:val="1"/>
      <w:numFmt w:val="decimal"/>
      <w:isLgl/>
      <w:lvlText w:val="%1.%2.%3.%4.%5.%6"/>
      <w:lvlJc w:val="left"/>
      <w:pPr>
        <w:ind w:left="3015" w:hanging="1440"/>
      </w:pPr>
      <w:rPr>
        <w:rFonts w:hint="default"/>
      </w:rPr>
    </w:lvl>
    <w:lvl w:ilvl="6" w:tentative="0">
      <w:start w:val="1"/>
      <w:numFmt w:val="decimal"/>
      <w:isLgl/>
      <w:lvlText w:val="%1.%2.%3.%4.%5.%6.%7"/>
      <w:lvlJc w:val="left"/>
      <w:pPr>
        <w:ind w:left="3690" w:hanging="1800"/>
      </w:pPr>
      <w:rPr>
        <w:rFonts w:hint="default"/>
      </w:rPr>
    </w:lvl>
    <w:lvl w:ilvl="7" w:tentative="0">
      <w:start w:val="1"/>
      <w:numFmt w:val="decimal"/>
      <w:isLgl/>
      <w:lvlText w:val="%1.%2.%3.%4.%5.%6.%7.%8"/>
      <w:lvlJc w:val="left"/>
      <w:pPr>
        <w:ind w:left="4365" w:hanging="2160"/>
      </w:pPr>
      <w:rPr>
        <w:rFonts w:hint="default"/>
      </w:rPr>
    </w:lvl>
    <w:lvl w:ilvl="8" w:tentative="0">
      <w:start w:val="1"/>
      <w:numFmt w:val="decimal"/>
      <w:isLgl/>
      <w:lvlText w:val="%1.%2.%3.%4.%5.%6.%7.%8.%9"/>
      <w:lvlJc w:val="left"/>
      <w:pPr>
        <w:ind w:left="4680" w:hanging="2160"/>
      </w:pPr>
      <w:rPr>
        <w:rFonts w:hint="default"/>
      </w:rPr>
    </w:lvl>
  </w:abstractNum>
  <w:abstractNum w:abstractNumId="15">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8">
    <w:nsid w:val="42BA18A0"/>
    <w:multiLevelType w:val="multilevel"/>
    <w:tmpl w:val="42BA18A0"/>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20">
    <w:nsid w:val="4DFC7D58"/>
    <w:multiLevelType w:val="multilevel"/>
    <w:tmpl w:val="4DFC7D58"/>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365DD6E"/>
    <w:multiLevelType w:val="singleLevel"/>
    <w:tmpl w:val="5365DD6E"/>
    <w:lvl w:ilvl="0" w:tentative="0">
      <w:start w:val="2"/>
      <w:numFmt w:val="decimal"/>
      <w:suff w:val="nothing"/>
      <w:lvlText w:val="%1."/>
      <w:lvlJc w:val="left"/>
    </w:lvl>
  </w:abstractNum>
  <w:abstractNum w:abstractNumId="22">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3">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6"/>
  </w:num>
  <w:num w:numId="2">
    <w:abstractNumId w:val="9"/>
  </w:num>
  <w:num w:numId="3">
    <w:abstractNumId w:val="3"/>
  </w:num>
  <w:num w:numId="4">
    <w:abstractNumId w:val="7"/>
  </w:num>
  <w:num w:numId="5">
    <w:abstractNumId w:val="5"/>
  </w:num>
  <w:num w:numId="6">
    <w:abstractNumId w:val="4"/>
  </w:num>
  <w:num w:numId="7">
    <w:abstractNumId w:val="10"/>
  </w:num>
  <w:num w:numId="8">
    <w:abstractNumId w:val="8"/>
  </w:num>
  <w:num w:numId="9">
    <w:abstractNumId w:val="13"/>
  </w:num>
  <w:num w:numId="10">
    <w:abstractNumId w:val="2"/>
  </w:num>
  <w:num w:numId="11">
    <w:abstractNumId w:val="17"/>
  </w:num>
  <w:num w:numId="12">
    <w:abstractNumId w:val="11"/>
  </w:num>
  <w:num w:numId="13">
    <w:abstractNumId w:val="23"/>
  </w:num>
  <w:num w:numId="14">
    <w:abstractNumId w:val="1"/>
  </w:num>
  <w:num w:numId="15">
    <w:abstractNumId w:val="12"/>
  </w:num>
  <w:num w:numId="16">
    <w:abstractNumId w:val="0"/>
  </w:num>
  <w:num w:numId="17">
    <w:abstractNumId w:val="21"/>
  </w:num>
  <w:num w:numId="18">
    <w:abstractNumId w:val="14"/>
  </w:num>
  <w:num w:numId="19">
    <w:abstractNumId w:val="2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5"/>
  </w:num>
  <w:num w:numId="23">
    <w:abstractNumId w:val="1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Formatting/>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31A"/>
    <w:rsid w:val="00001711"/>
    <w:rsid w:val="00001895"/>
    <w:rsid w:val="00001948"/>
    <w:rsid w:val="00001E9A"/>
    <w:rsid w:val="00001F7F"/>
    <w:rsid w:val="00001F9C"/>
    <w:rsid w:val="000020BD"/>
    <w:rsid w:val="0000218D"/>
    <w:rsid w:val="000023ED"/>
    <w:rsid w:val="0000240B"/>
    <w:rsid w:val="000026F7"/>
    <w:rsid w:val="0000279B"/>
    <w:rsid w:val="000027EB"/>
    <w:rsid w:val="00002944"/>
    <w:rsid w:val="00002BA7"/>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2BA"/>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CAC"/>
    <w:rsid w:val="00005DF0"/>
    <w:rsid w:val="00005EC8"/>
    <w:rsid w:val="000060A7"/>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DEA"/>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C5A"/>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AD"/>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6AB"/>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75"/>
    <w:rsid w:val="0002328F"/>
    <w:rsid w:val="00023458"/>
    <w:rsid w:val="000234AD"/>
    <w:rsid w:val="00023CAF"/>
    <w:rsid w:val="00023D59"/>
    <w:rsid w:val="00023E4F"/>
    <w:rsid w:val="000241D9"/>
    <w:rsid w:val="00024343"/>
    <w:rsid w:val="00024427"/>
    <w:rsid w:val="00024446"/>
    <w:rsid w:val="0002455F"/>
    <w:rsid w:val="000249B1"/>
    <w:rsid w:val="00024B4F"/>
    <w:rsid w:val="00024BB5"/>
    <w:rsid w:val="00024D50"/>
    <w:rsid w:val="00024D59"/>
    <w:rsid w:val="00024FD8"/>
    <w:rsid w:val="00025050"/>
    <w:rsid w:val="000251C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01E"/>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C7"/>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497"/>
    <w:rsid w:val="000415CF"/>
    <w:rsid w:val="00041993"/>
    <w:rsid w:val="00041A0A"/>
    <w:rsid w:val="00041BE6"/>
    <w:rsid w:val="00041C8A"/>
    <w:rsid w:val="00041D94"/>
    <w:rsid w:val="00041DA9"/>
    <w:rsid w:val="0004221A"/>
    <w:rsid w:val="000422C8"/>
    <w:rsid w:val="000422FA"/>
    <w:rsid w:val="00042453"/>
    <w:rsid w:val="000424A2"/>
    <w:rsid w:val="00042558"/>
    <w:rsid w:val="000426DE"/>
    <w:rsid w:val="0004276D"/>
    <w:rsid w:val="0004277A"/>
    <w:rsid w:val="00042934"/>
    <w:rsid w:val="00042AC7"/>
    <w:rsid w:val="00042BAD"/>
    <w:rsid w:val="00042C3E"/>
    <w:rsid w:val="00042FD2"/>
    <w:rsid w:val="0004302D"/>
    <w:rsid w:val="0004311D"/>
    <w:rsid w:val="000431B4"/>
    <w:rsid w:val="0004336D"/>
    <w:rsid w:val="00043A61"/>
    <w:rsid w:val="00043B1C"/>
    <w:rsid w:val="00043C68"/>
    <w:rsid w:val="00043D59"/>
    <w:rsid w:val="00043DD6"/>
    <w:rsid w:val="00043F2F"/>
    <w:rsid w:val="000440AF"/>
    <w:rsid w:val="000441F6"/>
    <w:rsid w:val="000446D5"/>
    <w:rsid w:val="0004473A"/>
    <w:rsid w:val="0004483E"/>
    <w:rsid w:val="00044AA1"/>
    <w:rsid w:val="00044D33"/>
    <w:rsid w:val="00044D9C"/>
    <w:rsid w:val="00044EDD"/>
    <w:rsid w:val="00045112"/>
    <w:rsid w:val="00045147"/>
    <w:rsid w:val="000452DC"/>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0"/>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6F"/>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8D"/>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6A1"/>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12E"/>
    <w:rsid w:val="00077705"/>
    <w:rsid w:val="000778B7"/>
    <w:rsid w:val="00077A02"/>
    <w:rsid w:val="00077C79"/>
    <w:rsid w:val="00077D3D"/>
    <w:rsid w:val="00077FE5"/>
    <w:rsid w:val="000801CC"/>
    <w:rsid w:val="00080289"/>
    <w:rsid w:val="00080443"/>
    <w:rsid w:val="000805BC"/>
    <w:rsid w:val="00080608"/>
    <w:rsid w:val="0008086B"/>
    <w:rsid w:val="00080982"/>
    <w:rsid w:val="000809DF"/>
    <w:rsid w:val="00080C51"/>
    <w:rsid w:val="0008131C"/>
    <w:rsid w:val="000816F9"/>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0B4"/>
    <w:rsid w:val="000861B9"/>
    <w:rsid w:val="000861C0"/>
    <w:rsid w:val="0008620D"/>
    <w:rsid w:val="0008626C"/>
    <w:rsid w:val="000866B3"/>
    <w:rsid w:val="00086927"/>
    <w:rsid w:val="00086998"/>
    <w:rsid w:val="00086C03"/>
    <w:rsid w:val="00086EFE"/>
    <w:rsid w:val="00087282"/>
    <w:rsid w:val="00087C66"/>
    <w:rsid w:val="00087D11"/>
    <w:rsid w:val="00087DE9"/>
    <w:rsid w:val="0009011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0D4"/>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3AB"/>
    <w:rsid w:val="000A6689"/>
    <w:rsid w:val="000A6A43"/>
    <w:rsid w:val="000A6D69"/>
    <w:rsid w:val="000A6F72"/>
    <w:rsid w:val="000A6F99"/>
    <w:rsid w:val="000A6FE6"/>
    <w:rsid w:val="000A721F"/>
    <w:rsid w:val="000A77E9"/>
    <w:rsid w:val="000A79A7"/>
    <w:rsid w:val="000A7ACC"/>
    <w:rsid w:val="000A7D7F"/>
    <w:rsid w:val="000B0123"/>
    <w:rsid w:val="000B0141"/>
    <w:rsid w:val="000B04CE"/>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46A"/>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583"/>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B17"/>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7D3"/>
    <w:rsid w:val="000D38C3"/>
    <w:rsid w:val="000D398B"/>
    <w:rsid w:val="000D3E70"/>
    <w:rsid w:val="000D3EA8"/>
    <w:rsid w:val="000D3F97"/>
    <w:rsid w:val="000D3FA5"/>
    <w:rsid w:val="000D3FE7"/>
    <w:rsid w:val="000D4081"/>
    <w:rsid w:val="000D409C"/>
    <w:rsid w:val="000D42FB"/>
    <w:rsid w:val="000D45CE"/>
    <w:rsid w:val="000D47A9"/>
    <w:rsid w:val="000D4985"/>
    <w:rsid w:val="000D4A23"/>
    <w:rsid w:val="000D4BAD"/>
    <w:rsid w:val="000D4CDB"/>
    <w:rsid w:val="000D4D8F"/>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0C7D"/>
    <w:rsid w:val="000E10BC"/>
    <w:rsid w:val="000E11BF"/>
    <w:rsid w:val="000E1232"/>
    <w:rsid w:val="000E1253"/>
    <w:rsid w:val="000E12D6"/>
    <w:rsid w:val="000E1590"/>
    <w:rsid w:val="000E1859"/>
    <w:rsid w:val="000E1C30"/>
    <w:rsid w:val="000E1CCF"/>
    <w:rsid w:val="000E208B"/>
    <w:rsid w:val="000E2595"/>
    <w:rsid w:val="000E2745"/>
    <w:rsid w:val="000E27E2"/>
    <w:rsid w:val="000E2961"/>
    <w:rsid w:val="000E2A71"/>
    <w:rsid w:val="000E2C27"/>
    <w:rsid w:val="000E2D24"/>
    <w:rsid w:val="000E2F58"/>
    <w:rsid w:val="000E2F7A"/>
    <w:rsid w:val="000E321B"/>
    <w:rsid w:val="000E321F"/>
    <w:rsid w:val="000E3359"/>
    <w:rsid w:val="000E371C"/>
    <w:rsid w:val="000E37B4"/>
    <w:rsid w:val="000E3C86"/>
    <w:rsid w:val="000E3D59"/>
    <w:rsid w:val="000E3DAC"/>
    <w:rsid w:val="000E401D"/>
    <w:rsid w:val="000E4215"/>
    <w:rsid w:val="000E439E"/>
    <w:rsid w:val="000E4476"/>
    <w:rsid w:val="000E4703"/>
    <w:rsid w:val="000E478F"/>
    <w:rsid w:val="000E480A"/>
    <w:rsid w:val="000E48E2"/>
    <w:rsid w:val="000E48F7"/>
    <w:rsid w:val="000E4CBB"/>
    <w:rsid w:val="000E4DCA"/>
    <w:rsid w:val="000E5132"/>
    <w:rsid w:val="000E53E9"/>
    <w:rsid w:val="000E5525"/>
    <w:rsid w:val="000E554E"/>
    <w:rsid w:val="000E57D3"/>
    <w:rsid w:val="000E5827"/>
    <w:rsid w:val="000E60DC"/>
    <w:rsid w:val="000E6113"/>
    <w:rsid w:val="000E62CE"/>
    <w:rsid w:val="000E62D4"/>
    <w:rsid w:val="000E62F5"/>
    <w:rsid w:val="000E6382"/>
    <w:rsid w:val="000E678B"/>
    <w:rsid w:val="000E6A44"/>
    <w:rsid w:val="000E6D2C"/>
    <w:rsid w:val="000E7152"/>
    <w:rsid w:val="000E71F2"/>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5F2"/>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425"/>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228"/>
    <w:rsid w:val="001073A4"/>
    <w:rsid w:val="001077D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9F3"/>
    <w:rsid w:val="00126AF0"/>
    <w:rsid w:val="00126B14"/>
    <w:rsid w:val="00126B3B"/>
    <w:rsid w:val="00126BFE"/>
    <w:rsid w:val="00126D60"/>
    <w:rsid w:val="001271FC"/>
    <w:rsid w:val="001273F8"/>
    <w:rsid w:val="0012745B"/>
    <w:rsid w:val="001274A9"/>
    <w:rsid w:val="0012753A"/>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5FF"/>
    <w:rsid w:val="001338D0"/>
    <w:rsid w:val="001339AC"/>
    <w:rsid w:val="001339FA"/>
    <w:rsid w:val="00133D72"/>
    <w:rsid w:val="001342F7"/>
    <w:rsid w:val="00134320"/>
    <w:rsid w:val="00134437"/>
    <w:rsid w:val="001344F5"/>
    <w:rsid w:val="0013450B"/>
    <w:rsid w:val="001346A0"/>
    <w:rsid w:val="001347EA"/>
    <w:rsid w:val="001348C4"/>
    <w:rsid w:val="00134B36"/>
    <w:rsid w:val="00134DBA"/>
    <w:rsid w:val="00134E4E"/>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D74"/>
    <w:rsid w:val="00146FDE"/>
    <w:rsid w:val="00147261"/>
    <w:rsid w:val="00147382"/>
    <w:rsid w:val="001473A6"/>
    <w:rsid w:val="001473C3"/>
    <w:rsid w:val="00147A05"/>
    <w:rsid w:val="00147FCF"/>
    <w:rsid w:val="00147FEA"/>
    <w:rsid w:val="0015008E"/>
    <w:rsid w:val="001501D5"/>
    <w:rsid w:val="00150506"/>
    <w:rsid w:val="001506B7"/>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3AF"/>
    <w:rsid w:val="0015643F"/>
    <w:rsid w:val="001564FC"/>
    <w:rsid w:val="00156D28"/>
    <w:rsid w:val="00156D64"/>
    <w:rsid w:val="00156EF9"/>
    <w:rsid w:val="00157375"/>
    <w:rsid w:val="001573A2"/>
    <w:rsid w:val="00157500"/>
    <w:rsid w:val="00157721"/>
    <w:rsid w:val="001577D5"/>
    <w:rsid w:val="00157952"/>
    <w:rsid w:val="00157A47"/>
    <w:rsid w:val="00157E8A"/>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25"/>
    <w:rsid w:val="00161A84"/>
    <w:rsid w:val="00161AF3"/>
    <w:rsid w:val="00161D1B"/>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30C"/>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7C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357F"/>
    <w:rsid w:val="00174052"/>
    <w:rsid w:val="00174088"/>
    <w:rsid w:val="00174325"/>
    <w:rsid w:val="00174359"/>
    <w:rsid w:val="001743FA"/>
    <w:rsid w:val="001744DA"/>
    <w:rsid w:val="00174694"/>
    <w:rsid w:val="0017476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105"/>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6B8"/>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81"/>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16"/>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23C"/>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33"/>
    <w:rsid w:val="001B49F0"/>
    <w:rsid w:val="001B504D"/>
    <w:rsid w:val="001B5307"/>
    <w:rsid w:val="001B53EE"/>
    <w:rsid w:val="001B56F4"/>
    <w:rsid w:val="001B5918"/>
    <w:rsid w:val="001B5BA3"/>
    <w:rsid w:val="001B5CD4"/>
    <w:rsid w:val="001B6154"/>
    <w:rsid w:val="001B64AB"/>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48E"/>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6CE8"/>
    <w:rsid w:val="001D6FAE"/>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3BC"/>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1C7"/>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15F"/>
    <w:rsid w:val="001F2402"/>
    <w:rsid w:val="001F28AA"/>
    <w:rsid w:val="001F2AB7"/>
    <w:rsid w:val="001F2D4E"/>
    <w:rsid w:val="001F2E43"/>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953"/>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98"/>
    <w:rsid w:val="002021B4"/>
    <w:rsid w:val="00202316"/>
    <w:rsid w:val="002023D4"/>
    <w:rsid w:val="00202B06"/>
    <w:rsid w:val="00202B44"/>
    <w:rsid w:val="00202F6B"/>
    <w:rsid w:val="00203009"/>
    <w:rsid w:val="00203118"/>
    <w:rsid w:val="00203153"/>
    <w:rsid w:val="002033CB"/>
    <w:rsid w:val="002034C2"/>
    <w:rsid w:val="002035DC"/>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61D"/>
    <w:rsid w:val="00211BE3"/>
    <w:rsid w:val="00211CF4"/>
    <w:rsid w:val="00211DA3"/>
    <w:rsid w:val="00211E81"/>
    <w:rsid w:val="00212379"/>
    <w:rsid w:val="002124C1"/>
    <w:rsid w:val="002125D6"/>
    <w:rsid w:val="002128EA"/>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A71"/>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7A8"/>
    <w:rsid w:val="00222A23"/>
    <w:rsid w:val="00222B6A"/>
    <w:rsid w:val="00222B97"/>
    <w:rsid w:val="00222CE5"/>
    <w:rsid w:val="00223224"/>
    <w:rsid w:val="0022334D"/>
    <w:rsid w:val="002239ED"/>
    <w:rsid w:val="00223B55"/>
    <w:rsid w:val="00223C8D"/>
    <w:rsid w:val="0022418F"/>
    <w:rsid w:val="0022432D"/>
    <w:rsid w:val="002243F5"/>
    <w:rsid w:val="002244D1"/>
    <w:rsid w:val="0022472F"/>
    <w:rsid w:val="002247A9"/>
    <w:rsid w:val="002248DA"/>
    <w:rsid w:val="0022490C"/>
    <w:rsid w:val="00224943"/>
    <w:rsid w:val="002249DA"/>
    <w:rsid w:val="00224B15"/>
    <w:rsid w:val="00224C42"/>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5D0"/>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419"/>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66C"/>
    <w:rsid w:val="00237712"/>
    <w:rsid w:val="00237B33"/>
    <w:rsid w:val="00237B36"/>
    <w:rsid w:val="00237C8B"/>
    <w:rsid w:val="00237DF5"/>
    <w:rsid w:val="00237E9C"/>
    <w:rsid w:val="00237EAA"/>
    <w:rsid w:val="00240071"/>
    <w:rsid w:val="00240561"/>
    <w:rsid w:val="00240612"/>
    <w:rsid w:val="0024080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93"/>
    <w:rsid w:val="00242BD7"/>
    <w:rsid w:val="00242BFB"/>
    <w:rsid w:val="00242C2F"/>
    <w:rsid w:val="00242D52"/>
    <w:rsid w:val="00242E43"/>
    <w:rsid w:val="002431D2"/>
    <w:rsid w:val="002431E3"/>
    <w:rsid w:val="00243352"/>
    <w:rsid w:val="00243380"/>
    <w:rsid w:val="0024345C"/>
    <w:rsid w:val="00243846"/>
    <w:rsid w:val="00243ACD"/>
    <w:rsid w:val="00243C5E"/>
    <w:rsid w:val="00243CC7"/>
    <w:rsid w:val="00243EB8"/>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4F5"/>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CC"/>
    <w:rsid w:val="0025129E"/>
    <w:rsid w:val="00251429"/>
    <w:rsid w:val="002515FE"/>
    <w:rsid w:val="00251844"/>
    <w:rsid w:val="0025187A"/>
    <w:rsid w:val="002518B2"/>
    <w:rsid w:val="00251A07"/>
    <w:rsid w:val="00251A9B"/>
    <w:rsid w:val="00251B30"/>
    <w:rsid w:val="00251C79"/>
    <w:rsid w:val="00251D5A"/>
    <w:rsid w:val="00251FDC"/>
    <w:rsid w:val="002522D3"/>
    <w:rsid w:val="0025234D"/>
    <w:rsid w:val="002525FE"/>
    <w:rsid w:val="002527A2"/>
    <w:rsid w:val="002527B3"/>
    <w:rsid w:val="0025298E"/>
    <w:rsid w:val="00252B5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143"/>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3B"/>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768"/>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2F17"/>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4F3E"/>
    <w:rsid w:val="002654F2"/>
    <w:rsid w:val="00265791"/>
    <w:rsid w:val="00265EFB"/>
    <w:rsid w:val="00266784"/>
    <w:rsid w:val="002667BA"/>
    <w:rsid w:val="002667E4"/>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4FF"/>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DD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7F9"/>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CD8"/>
    <w:rsid w:val="00282F4A"/>
    <w:rsid w:val="00283031"/>
    <w:rsid w:val="002832A6"/>
    <w:rsid w:val="002834E4"/>
    <w:rsid w:val="002837B1"/>
    <w:rsid w:val="00283AA1"/>
    <w:rsid w:val="00283C48"/>
    <w:rsid w:val="00283D5E"/>
    <w:rsid w:val="00283E2E"/>
    <w:rsid w:val="00283ED2"/>
    <w:rsid w:val="00283FC0"/>
    <w:rsid w:val="002844B2"/>
    <w:rsid w:val="00284572"/>
    <w:rsid w:val="002846A1"/>
    <w:rsid w:val="00284829"/>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CC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C79"/>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47"/>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00"/>
    <w:rsid w:val="002B10CA"/>
    <w:rsid w:val="002B12E7"/>
    <w:rsid w:val="002B1614"/>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478"/>
    <w:rsid w:val="002B75F9"/>
    <w:rsid w:val="002B76C6"/>
    <w:rsid w:val="002B779B"/>
    <w:rsid w:val="002B7903"/>
    <w:rsid w:val="002B79C4"/>
    <w:rsid w:val="002B7A47"/>
    <w:rsid w:val="002B7B00"/>
    <w:rsid w:val="002B7B0E"/>
    <w:rsid w:val="002B7BF3"/>
    <w:rsid w:val="002B7C9A"/>
    <w:rsid w:val="002B7CFD"/>
    <w:rsid w:val="002B7E33"/>
    <w:rsid w:val="002B7F68"/>
    <w:rsid w:val="002C0062"/>
    <w:rsid w:val="002C02E5"/>
    <w:rsid w:val="002C067A"/>
    <w:rsid w:val="002C0957"/>
    <w:rsid w:val="002C09AB"/>
    <w:rsid w:val="002C0A54"/>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BD5"/>
    <w:rsid w:val="002C4ECA"/>
    <w:rsid w:val="002C50AE"/>
    <w:rsid w:val="002C5272"/>
    <w:rsid w:val="002C52BB"/>
    <w:rsid w:val="002C5322"/>
    <w:rsid w:val="002C53C5"/>
    <w:rsid w:val="002C541B"/>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47"/>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09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5BD8"/>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D7D2A"/>
    <w:rsid w:val="002E0044"/>
    <w:rsid w:val="002E00FB"/>
    <w:rsid w:val="002E0993"/>
    <w:rsid w:val="002E0A10"/>
    <w:rsid w:val="002E0B22"/>
    <w:rsid w:val="002E0B7C"/>
    <w:rsid w:val="002E0C91"/>
    <w:rsid w:val="002E0D1D"/>
    <w:rsid w:val="002E0DB8"/>
    <w:rsid w:val="002E0FE5"/>
    <w:rsid w:val="002E13A6"/>
    <w:rsid w:val="002E13CE"/>
    <w:rsid w:val="002E1429"/>
    <w:rsid w:val="002E1645"/>
    <w:rsid w:val="002E1797"/>
    <w:rsid w:val="002E18EB"/>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ED2"/>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26A"/>
    <w:rsid w:val="002F33A6"/>
    <w:rsid w:val="002F33EA"/>
    <w:rsid w:val="002F348E"/>
    <w:rsid w:val="002F350C"/>
    <w:rsid w:val="002F3523"/>
    <w:rsid w:val="002F3590"/>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B65"/>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0F0"/>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CAB"/>
    <w:rsid w:val="00313D9D"/>
    <w:rsid w:val="003140A8"/>
    <w:rsid w:val="003141FD"/>
    <w:rsid w:val="00314235"/>
    <w:rsid w:val="00314291"/>
    <w:rsid w:val="003143F0"/>
    <w:rsid w:val="0031481D"/>
    <w:rsid w:val="0031494D"/>
    <w:rsid w:val="0031495F"/>
    <w:rsid w:val="00314AAF"/>
    <w:rsid w:val="00314D15"/>
    <w:rsid w:val="00314D31"/>
    <w:rsid w:val="00315055"/>
    <w:rsid w:val="0031524C"/>
    <w:rsid w:val="003152F2"/>
    <w:rsid w:val="0031572F"/>
    <w:rsid w:val="00315D8D"/>
    <w:rsid w:val="00315D9A"/>
    <w:rsid w:val="00315E32"/>
    <w:rsid w:val="00315E6E"/>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1FE"/>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294"/>
    <w:rsid w:val="0032636C"/>
    <w:rsid w:val="003264D5"/>
    <w:rsid w:val="003265F3"/>
    <w:rsid w:val="00326646"/>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C6"/>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C49"/>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A"/>
    <w:rsid w:val="00337D1D"/>
    <w:rsid w:val="00337FC4"/>
    <w:rsid w:val="00340245"/>
    <w:rsid w:val="0034048B"/>
    <w:rsid w:val="0034055B"/>
    <w:rsid w:val="0034060B"/>
    <w:rsid w:val="0034065D"/>
    <w:rsid w:val="00340888"/>
    <w:rsid w:val="003409AD"/>
    <w:rsid w:val="00340B47"/>
    <w:rsid w:val="00341185"/>
    <w:rsid w:val="0034179B"/>
    <w:rsid w:val="00341A17"/>
    <w:rsid w:val="00341A8B"/>
    <w:rsid w:val="00341CFB"/>
    <w:rsid w:val="00341E81"/>
    <w:rsid w:val="00341F08"/>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3FED"/>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6C9"/>
    <w:rsid w:val="00347954"/>
    <w:rsid w:val="00347ACA"/>
    <w:rsid w:val="00347BB1"/>
    <w:rsid w:val="00347D36"/>
    <w:rsid w:val="00347D5F"/>
    <w:rsid w:val="00347DCE"/>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DE0"/>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74"/>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03"/>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966"/>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3BB"/>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00"/>
    <w:rsid w:val="0039653A"/>
    <w:rsid w:val="00396ADA"/>
    <w:rsid w:val="00396EB5"/>
    <w:rsid w:val="003970A7"/>
    <w:rsid w:val="0039735D"/>
    <w:rsid w:val="00397502"/>
    <w:rsid w:val="00397515"/>
    <w:rsid w:val="00397608"/>
    <w:rsid w:val="00397999"/>
    <w:rsid w:val="00397BFE"/>
    <w:rsid w:val="003A0247"/>
    <w:rsid w:val="003A0359"/>
    <w:rsid w:val="003A03C1"/>
    <w:rsid w:val="003A0486"/>
    <w:rsid w:val="003A057E"/>
    <w:rsid w:val="003A0647"/>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A6A"/>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279"/>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B6"/>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465"/>
    <w:rsid w:val="003C4515"/>
    <w:rsid w:val="003C4966"/>
    <w:rsid w:val="003C4E96"/>
    <w:rsid w:val="003C5054"/>
    <w:rsid w:val="003C5201"/>
    <w:rsid w:val="003C5276"/>
    <w:rsid w:val="003C54E8"/>
    <w:rsid w:val="003C5687"/>
    <w:rsid w:val="003C578D"/>
    <w:rsid w:val="003C5793"/>
    <w:rsid w:val="003C5C29"/>
    <w:rsid w:val="003C5D7D"/>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28C"/>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0D4"/>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CF"/>
    <w:rsid w:val="003E3AFB"/>
    <w:rsid w:val="003E3BA5"/>
    <w:rsid w:val="003E3C9E"/>
    <w:rsid w:val="003E3F63"/>
    <w:rsid w:val="003E4039"/>
    <w:rsid w:val="003E4526"/>
    <w:rsid w:val="003E4725"/>
    <w:rsid w:val="003E4766"/>
    <w:rsid w:val="003E4837"/>
    <w:rsid w:val="003E4893"/>
    <w:rsid w:val="003E49A0"/>
    <w:rsid w:val="003E4AE1"/>
    <w:rsid w:val="003E4B27"/>
    <w:rsid w:val="003E4BE9"/>
    <w:rsid w:val="003E50C8"/>
    <w:rsid w:val="003E5628"/>
    <w:rsid w:val="003E56E1"/>
    <w:rsid w:val="003E5C42"/>
    <w:rsid w:val="003E5D2E"/>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8D2"/>
    <w:rsid w:val="003E792A"/>
    <w:rsid w:val="003E7BD4"/>
    <w:rsid w:val="003F0228"/>
    <w:rsid w:val="003F022F"/>
    <w:rsid w:val="003F0461"/>
    <w:rsid w:val="003F071F"/>
    <w:rsid w:val="003F0781"/>
    <w:rsid w:val="003F07E2"/>
    <w:rsid w:val="003F0A92"/>
    <w:rsid w:val="003F0C88"/>
    <w:rsid w:val="003F0D04"/>
    <w:rsid w:val="003F1152"/>
    <w:rsid w:val="003F122D"/>
    <w:rsid w:val="003F14D8"/>
    <w:rsid w:val="003F158D"/>
    <w:rsid w:val="003F1718"/>
    <w:rsid w:val="003F1C16"/>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C92"/>
    <w:rsid w:val="003F4E62"/>
    <w:rsid w:val="003F4F42"/>
    <w:rsid w:val="003F5425"/>
    <w:rsid w:val="003F5537"/>
    <w:rsid w:val="003F55BE"/>
    <w:rsid w:val="003F583E"/>
    <w:rsid w:val="003F5CFF"/>
    <w:rsid w:val="003F6044"/>
    <w:rsid w:val="003F6088"/>
    <w:rsid w:val="003F635B"/>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D8"/>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A35"/>
    <w:rsid w:val="00406C82"/>
    <w:rsid w:val="00406D6D"/>
    <w:rsid w:val="00406DB3"/>
    <w:rsid w:val="004072D4"/>
    <w:rsid w:val="0040762C"/>
    <w:rsid w:val="004076C9"/>
    <w:rsid w:val="00407728"/>
    <w:rsid w:val="00407796"/>
    <w:rsid w:val="00407A48"/>
    <w:rsid w:val="00407B86"/>
    <w:rsid w:val="00407FD4"/>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46"/>
    <w:rsid w:val="00412CAE"/>
    <w:rsid w:val="0041333F"/>
    <w:rsid w:val="00413352"/>
    <w:rsid w:val="0041350D"/>
    <w:rsid w:val="00413546"/>
    <w:rsid w:val="00413562"/>
    <w:rsid w:val="00413AD8"/>
    <w:rsid w:val="00413FF3"/>
    <w:rsid w:val="0041402C"/>
    <w:rsid w:val="004142FE"/>
    <w:rsid w:val="00414511"/>
    <w:rsid w:val="004147DF"/>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683"/>
    <w:rsid w:val="00421BFB"/>
    <w:rsid w:val="00421D59"/>
    <w:rsid w:val="00421D7F"/>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7"/>
    <w:rsid w:val="0042619A"/>
    <w:rsid w:val="00426255"/>
    <w:rsid w:val="004262D9"/>
    <w:rsid w:val="004263FE"/>
    <w:rsid w:val="0042655A"/>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92E"/>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07"/>
    <w:rsid w:val="00440DD7"/>
    <w:rsid w:val="00440DED"/>
    <w:rsid w:val="00440EC0"/>
    <w:rsid w:val="00440F20"/>
    <w:rsid w:val="00440F5D"/>
    <w:rsid w:val="00441030"/>
    <w:rsid w:val="00441405"/>
    <w:rsid w:val="00441490"/>
    <w:rsid w:val="00441AAC"/>
    <w:rsid w:val="00441B3D"/>
    <w:rsid w:val="00441BFB"/>
    <w:rsid w:val="004421E8"/>
    <w:rsid w:val="00442243"/>
    <w:rsid w:val="00442310"/>
    <w:rsid w:val="004423DE"/>
    <w:rsid w:val="004423F4"/>
    <w:rsid w:val="0044240E"/>
    <w:rsid w:val="00442543"/>
    <w:rsid w:val="00442A84"/>
    <w:rsid w:val="00442BC6"/>
    <w:rsid w:val="00442FAE"/>
    <w:rsid w:val="004430BB"/>
    <w:rsid w:val="004431A7"/>
    <w:rsid w:val="004432C2"/>
    <w:rsid w:val="00443636"/>
    <w:rsid w:val="0044365F"/>
    <w:rsid w:val="0044383B"/>
    <w:rsid w:val="00443B3F"/>
    <w:rsid w:val="00443B9B"/>
    <w:rsid w:val="00443BD1"/>
    <w:rsid w:val="00443CE7"/>
    <w:rsid w:val="0044403F"/>
    <w:rsid w:val="00444120"/>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B87"/>
    <w:rsid w:val="00450D50"/>
    <w:rsid w:val="00451076"/>
    <w:rsid w:val="004510BF"/>
    <w:rsid w:val="004511CD"/>
    <w:rsid w:val="0045139D"/>
    <w:rsid w:val="004513B1"/>
    <w:rsid w:val="004514CB"/>
    <w:rsid w:val="00451A83"/>
    <w:rsid w:val="00451DAF"/>
    <w:rsid w:val="00451E04"/>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6BB"/>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35"/>
    <w:rsid w:val="00466FCB"/>
    <w:rsid w:val="004671AE"/>
    <w:rsid w:val="004672B1"/>
    <w:rsid w:val="004672EF"/>
    <w:rsid w:val="0046732E"/>
    <w:rsid w:val="00467B4A"/>
    <w:rsid w:val="00467B78"/>
    <w:rsid w:val="00467D61"/>
    <w:rsid w:val="00467E0F"/>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4FB5"/>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16"/>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CDA"/>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59"/>
    <w:rsid w:val="00490CE2"/>
    <w:rsid w:val="00490F7C"/>
    <w:rsid w:val="004910E9"/>
    <w:rsid w:val="00491443"/>
    <w:rsid w:val="004915BF"/>
    <w:rsid w:val="004916DF"/>
    <w:rsid w:val="00491711"/>
    <w:rsid w:val="004919B7"/>
    <w:rsid w:val="00491A90"/>
    <w:rsid w:val="00491AB9"/>
    <w:rsid w:val="00491BAB"/>
    <w:rsid w:val="00491BD0"/>
    <w:rsid w:val="00491BF9"/>
    <w:rsid w:val="00491CCC"/>
    <w:rsid w:val="00491D30"/>
    <w:rsid w:val="00491F97"/>
    <w:rsid w:val="00491FAE"/>
    <w:rsid w:val="004920F3"/>
    <w:rsid w:val="004922E7"/>
    <w:rsid w:val="00492365"/>
    <w:rsid w:val="00492674"/>
    <w:rsid w:val="004928AB"/>
    <w:rsid w:val="004929F0"/>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21"/>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EC7"/>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6F92"/>
    <w:rsid w:val="004A725E"/>
    <w:rsid w:val="004A786A"/>
    <w:rsid w:val="004A78F8"/>
    <w:rsid w:val="004A7C75"/>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09"/>
    <w:rsid w:val="004B2764"/>
    <w:rsid w:val="004B2C16"/>
    <w:rsid w:val="004B2C7A"/>
    <w:rsid w:val="004B2EF7"/>
    <w:rsid w:val="004B2FC6"/>
    <w:rsid w:val="004B313E"/>
    <w:rsid w:val="004B350E"/>
    <w:rsid w:val="004B3630"/>
    <w:rsid w:val="004B3788"/>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7D3"/>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90"/>
    <w:rsid w:val="004E16E4"/>
    <w:rsid w:val="004E19C3"/>
    <w:rsid w:val="004E1D7B"/>
    <w:rsid w:val="004E1FF2"/>
    <w:rsid w:val="004E2740"/>
    <w:rsid w:val="004E2772"/>
    <w:rsid w:val="004E2B6D"/>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0F2"/>
    <w:rsid w:val="004E6220"/>
    <w:rsid w:val="004E6330"/>
    <w:rsid w:val="004E6474"/>
    <w:rsid w:val="004E6487"/>
    <w:rsid w:val="004E651E"/>
    <w:rsid w:val="004E6729"/>
    <w:rsid w:val="004E6857"/>
    <w:rsid w:val="004E69DB"/>
    <w:rsid w:val="004E6B94"/>
    <w:rsid w:val="004E6D99"/>
    <w:rsid w:val="004E6E66"/>
    <w:rsid w:val="004E6F88"/>
    <w:rsid w:val="004E6FF2"/>
    <w:rsid w:val="004E7095"/>
    <w:rsid w:val="004E70BF"/>
    <w:rsid w:val="004E7268"/>
    <w:rsid w:val="004E75E3"/>
    <w:rsid w:val="004E7627"/>
    <w:rsid w:val="004E7761"/>
    <w:rsid w:val="004E783E"/>
    <w:rsid w:val="004E79D9"/>
    <w:rsid w:val="004E7A13"/>
    <w:rsid w:val="004E7ADD"/>
    <w:rsid w:val="004E7D16"/>
    <w:rsid w:val="004F0319"/>
    <w:rsid w:val="004F03BD"/>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EA3"/>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3F9"/>
    <w:rsid w:val="004F4752"/>
    <w:rsid w:val="004F4870"/>
    <w:rsid w:val="004F4990"/>
    <w:rsid w:val="004F4FDD"/>
    <w:rsid w:val="004F50AD"/>
    <w:rsid w:val="004F535D"/>
    <w:rsid w:val="004F54BD"/>
    <w:rsid w:val="004F599C"/>
    <w:rsid w:val="004F6066"/>
    <w:rsid w:val="004F6069"/>
    <w:rsid w:val="004F6349"/>
    <w:rsid w:val="004F639C"/>
    <w:rsid w:val="004F6435"/>
    <w:rsid w:val="004F66C8"/>
    <w:rsid w:val="004F670B"/>
    <w:rsid w:val="004F68E3"/>
    <w:rsid w:val="004F6B36"/>
    <w:rsid w:val="004F6DC6"/>
    <w:rsid w:val="004F6E67"/>
    <w:rsid w:val="004F70B5"/>
    <w:rsid w:val="004F7456"/>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3EF7"/>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B85"/>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6F76"/>
    <w:rsid w:val="00517139"/>
    <w:rsid w:val="0051713F"/>
    <w:rsid w:val="00517299"/>
    <w:rsid w:val="005174DB"/>
    <w:rsid w:val="005176F7"/>
    <w:rsid w:val="005177DB"/>
    <w:rsid w:val="00517871"/>
    <w:rsid w:val="005178F0"/>
    <w:rsid w:val="00517A3D"/>
    <w:rsid w:val="00517A74"/>
    <w:rsid w:val="00517EE4"/>
    <w:rsid w:val="0052052D"/>
    <w:rsid w:val="005205B6"/>
    <w:rsid w:val="0052062A"/>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2CF8"/>
    <w:rsid w:val="00523026"/>
    <w:rsid w:val="0052311F"/>
    <w:rsid w:val="00523423"/>
    <w:rsid w:val="00523489"/>
    <w:rsid w:val="005236A9"/>
    <w:rsid w:val="00523A6C"/>
    <w:rsid w:val="00523AFF"/>
    <w:rsid w:val="00523B93"/>
    <w:rsid w:val="00523CE4"/>
    <w:rsid w:val="00523E4B"/>
    <w:rsid w:val="00523F89"/>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0C"/>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AEC"/>
    <w:rsid w:val="00532BE3"/>
    <w:rsid w:val="00532CE4"/>
    <w:rsid w:val="00532E4F"/>
    <w:rsid w:val="00532E86"/>
    <w:rsid w:val="005330CA"/>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06"/>
    <w:rsid w:val="005355D8"/>
    <w:rsid w:val="00535804"/>
    <w:rsid w:val="0053592A"/>
    <w:rsid w:val="00535C12"/>
    <w:rsid w:val="00535D55"/>
    <w:rsid w:val="00535DC6"/>
    <w:rsid w:val="00535DC8"/>
    <w:rsid w:val="00535F8D"/>
    <w:rsid w:val="005361BB"/>
    <w:rsid w:val="005362B0"/>
    <w:rsid w:val="00536577"/>
    <w:rsid w:val="00536578"/>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A9"/>
    <w:rsid w:val="005501FB"/>
    <w:rsid w:val="005503D2"/>
    <w:rsid w:val="005505D4"/>
    <w:rsid w:val="005506ED"/>
    <w:rsid w:val="00550771"/>
    <w:rsid w:val="005507E7"/>
    <w:rsid w:val="0055095F"/>
    <w:rsid w:val="0055098E"/>
    <w:rsid w:val="005509B9"/>
    <w:rsid w:val="005509D8"/>
    <w:rsid w:val="00550CCA"/>
    <w:rsid w:val="00550D04"/>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58"/>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3F3"/>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58F"/>
    <w:rsid w:val="00570896"/>
    <w:rsid w:val="00570A64"/>
    <w:rsid w:val="00570C25"/>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0E"/>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DA1"/>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3F2E"/>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33F"/>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0F"/>
    <w:rsid w:val="00593065"/>
    <w:rsid w:val="0059329B"/>
    <w:rsid w:val="00593350"/>
    <w:rsid w:val="0059389C"/>
    <w:rsid w:val="00593C7C"/>
    <w:rsid w:val="00593D33"/>
    <w:rsid w:val="00594208"/>
    <w:rsid w:val="0059420E"/>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EDD"/>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C3B"/>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BEE"/>
    <w:rsid w:val="005B3C99"/>
    <w:rsid w:val="005B3DB8"/>
    <w:rsid w:val="005B3E7B"/>
    <w:rsid w:val="005B3EFF"/>
    <w:rsid w:val="005B404D"/>
    <w:rsid w:val="005B40C9"/>
    <w:rsid w:val="005B430B"/>
    <w:rsid w:val="005B46E9"/>
    <w:rsid w:val="005B4888"/>
    <w:rsid w:val="005B49B4"/>
    <w:rsid w:val="005B4D05"/>
    <w:rsid w:val="005B4E8C"/>
    <w:rsid w:val="005B57CD"/>
    <w:rsid w:val="005B58F8"/>
    <w:rsid w:val="005B5F99"/>
    <w:rsid w:val="005B5FF2"/>
    <w:rsid w:val="005B603E"/>
    <w:rsid w:val="005B60C4"/>
    <w:rsid w:val="005B60D3"/>
    <w:rsid w:val="005B640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71A"/>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C13"/>
    <w:rsid w:val="005C2E53"/>
    <w:rsid w:val="005C3002"/>
    <w:rsid w:val="005C307B"/>
    <w:rsid w:val="005C342F"/>
    <w:rsid w:val="005C3973"/>
    <w:rsid w:val="005C3BDD"/>
    <w:rsid w:val="005C3F31"/>
    <w:rsid w:val="005C4021"/>
    <w:rsid w:val="005C404B"/>
    <w:rsid w:val="005C41B1"/>
    <w:rsid w:val="005C466B"/>
    <w:rsid w:val="005C4719"/>
    <w:rsid w:val="005C4A16"/>
    <w:rsid w:val="005C4A32"/>
    <w:rsid w:val="005C4BC1"/>
    <w:rsid w:val="005C4D3D"/>
    <w:rsid w:val="005C54D3"/>
    <w:rsid w:val="005C5540"/>
    <w:rsid w:val="005C567A"/>
    <w:rsid w:val="005C5719"/>
    <w:rsid w:val="005C5911"/>
    <w:rsid w:val="005C5944"/>
    <w:rsid w:val="005C5A89"/>
    <w:rsid w:val="005C5B2A"/>
    <w:rsid w:val="005C5E5C"/>
    <w:rsid w:val="005C63CC"/>
    <w:rsid w:val="005C65F6"/>
    <w:rsid w:val="005C668A"/>
    <w:rsid w:val="005C6735"/>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189"/>
    <w:rsid w:val="005D02EF"/>
    <w:rsid w:val="005D032D"/>
    <w:rsid w:val="005D0456"/>
    <w:rsid w:val="005D04B0"/>
    <w:rsid w:val="005D0859"/>
    <w:rsid w:val="005D088A"/>
    <w:rsid w:val="005D10FC"/>
    <w:rsid w:val="005D157E"/>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EC6"/>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AE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529"/>
    <w:rsid w:val="005D770B"/>
    <w:rsid w:val="005D7A07"/>
    <w:rsid w:val="005D7CC7"/>
    <w:rsid w:val="005D7DA9"/>
    <w:rsid w:val="005D7ED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054"/>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112"/>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2CE"/>
    <w:rsid w:val="00600305"/>
    <w:rsid w:val="00600574"/>
    <w:rsid w:val="006009B0"/>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3F"/>
    <w:rsid w:val="00602768"/>
    <w:rsid w:val="00602AF5"/>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6EE4"/>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EA1"/>
    <w:rsid w:val="00615FA2"/>
    <w:rsid w:val="00616057"/>
    <w:rsid w:val="006162AE"/>
    <w:rsid w:val="0061636D"/>
    <w:rsid w:val="006166F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A1E"/>
    <w:rsid w:val="00622B52"/>
    <w:rsid w:val="00622BC5"/>
    <w:rsid w:val="00622F60"/>
    <w:rsid w:val="00623071"/>
    <w:rsid w:val="00623114"/>
    <w:rsid w:val="00623180"/>
    <w:rsid w:val="0062318E"/>
    <w:rsid w:val="006231D2"/>
    <w:rsid w:val="0062330E"/>
    <w:rsid w:val="00623327"/>
    <w:rsid w:val="0062335C"/>
    <w:rsid w:val="006236F1"/>
    <w:rsid w:val="0062388A"/>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6F75"/>
    <w:rsid w:val="0062711B"/>
    <w:rsid w:val="006274B7"/>
    <w:rsid w:val="0062759C"/>
    <w:rsid w:val="0062781B"/>
    <w:rsid w:val="0062795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4F5"/>
    <w:rsid w:val="006325B9"/>
    <w:rsid w:val="0063276B"/>
    <w:rsid w:val="006327B3"/>
    <w:rsid w:val="00632A99"/>
    <w:rsid w:val="00632D4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DF7"/>
    <w:rsid w:val="00650F31"/>
    <w:rsid w:val="00651076"/>
    <w:rsid w:val="00651223"/>
    <w:rsid w:val="00651373"/>
    <w:rsid w:val="00651490"/>
    <w:rsid w:val="006514DB"/>
    <w:rsid w:val="0065157A"/>
    <w:rsid w:val="006516F6"/>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1C9"/>
    <w:rsid w:val="006603E1"/>
    <w:rsid w:val="00660574"/>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AEF"/>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722"/>
    <w:rsid w:val="00665803"/>
    <w:rsid w:val="00665829"/>
    <w:rsid w:val="006659C6"/>
    <w:rsid w:val="00665A65"/>
    <w:rsid w:val="00665B53"/>
    <w:rsid w:val="00665C03"/>
    <w:rsid w:val="00665C22"/>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13"/>
    <w:rsid w:val="00667730"/>
    <w:rsid w:val="00667846"/>
    <w:rsid w:val="006679B8"/>
    <w:rsid w:val="006679EB"/>
    <w:rsid w:val="00667AC1"/>
    <w:rsid w:val="00667BC5"/>
    <w:rsid w:val="00667C2B"/>
    <w:rsid w:val="00667D0D"/>
    <w:rsid w:val="0067003B"/>
    <w:rsid w:val="00670088"/>
    <w:rsid w:val="00670209"/>
    <w:rsid w:val="00670268"/>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2B1"/>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BCD"/>
    <w:rsid w:val="00682C75"/>
    <w:rsid w:val="00683044"/>
    <w:rsid w:val="00683238"/>
    <w:rsid w:val="00683388"/>
    <w:rsid w:val="00683471"/>
    <w:rsid w:val="006834FA"/>
    <w:rsid w:val="006835A5"/>
    <w:rsid w:val="0068374C"/>
    <w:rsid w:val="006839F5"/>
    <w:rsid w:val="00683C9D"/>
    <w:rsid w:val="00684173"/>
    <w:rsid w:val="0068454A"/>
    <w:rsid w:val="00684ACD"/>
    <w:rsid w:val="00684B8F"/>
    <w:rsid w:val="006851D4"/>
    <w:rsid w:val="006853DA"/>
    <w:rsid w:val="00685632"/>
    <w:rsid w:val="00685A09"/>
    <w:rsid w:val="00685DB2"/>
    <w:rsid w:val="00685E50"/>
    <w:rsid w:val="00685EE4"/>
    <w:rsid w:val="00685F1A"/>
    <w:rsid w:val="00685F3C"/>
    <w:rsid w:val="00685F5D"/>
    <w:rsid w:val="0068621E"/>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26"/>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3F5"/>
    <w:rsid w:val="0069451E"/>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40"/>
    <w:rsid w:val="00696822"/>
    <w:rsid w:val="00696A57"/>
    <w:rsid w:val="00696C09"/>
    <w:rsid w:val="00696C0D"/>
    <w:rsid w:val="00696CF7"/>
    <w:rsid w:val="00696DFB"/>
    <w:rsid w:val="0069714B"/>
    <w:rsid w:val="0069729C"/>
    <w:rsid w:val="00697517"/>
    <w:rsid w:val="0069769A"/>
    <w:rsid w:val="006977F0"/>
    <w:rsid w:val="006979DB"/>
    <w:rsid w:val="00697B32"/>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4C8"/>
    <w:rsid w:val="006A2721"/>
    <w:rsid w:val="006A2733"/>
    <w:rsid w:val="006A292C"/>
    <w:rsid w:val="006A2D29"/>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545"/>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083C"/>
    <w:rsid w:val="006B1003"/>
    <w:rsid w:val="006B1449"/>
    <w:rsid w:val="006B179D"/>
    <w:rsid w:val="006B1815"/>
    <w:rsid w:val="006B1ACC"/>
    <w:rsid w:val="006B1C2B"/>
    <w:rsid w:val="006B1C4E"/>
    <w:rsid w:val="006B1E1A"/>
    <w:rsid w:val="006B1E6E"/>
    <w:rsid w:val="006B1FAF"/>
    <w:rsid w:val="006B24F7"/>
    <w:rsid w:val="006B2596"/>
    <w:rsid w:val="006B261E"/>
    <w:rsid w:val="006B29B7"/>
    <w:rsid w:val="006B29C5"/>
    <w:rsid w:val="006B2D14"/>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11"/>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3A8"/>
    <w:rsid w:val="006C44AB"/>
    <w:rsid w:val="006C44F0"/>
    <w:rsid w:val="006C453E"/>
    <w:rsid w:val="006C475C"/>
    <w:rsid w:val="006C4872"/>
    <w:rsid w:val="006C4980"/>
    <w:rsid w:val="006C4C23"/>
    <w:rsid w:val="006C4E45"/>
    <w:rsid w:val="006C4E9A"/>
    <w:rsid w:val="006C512C"/>
    <w:rsid w:val="006C52A4"/>
    <w:rsid w:val="006C55E2"/>
    <w:rsid w:val="006C5614"/>
    <w:rsid w:val="006C57DE"/>
    <w:rsid w:val="006C58ED"/>
    <w:rsid w:val="006C5E1A"/>
    <w:rsid w:val="006C60B6"/>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1DA"/>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396"/>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5F37"/>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E7EB4"/>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7A2"/>
    <w:rsid w:val="006F3826"/>
    <w:rsid w:val="006F38DB"/>
    <w:rsid w:val="006F3AAE"/>
    <w:rsid w:val="006F3CB4"/>
    <w:rsid w:val="006F3FE5"/>
    <w:rsid w:val="006F417F"/>
    <w:rsid w:val="006F431D"/>
    <w:rsid w:val="006F436F"/>
    <w:rsid w:val="006F449A"/>
    <w:rsid w:val="006F4576"/>
    <w:rsid w:val="006F464B"/>
    <w:rsid w:val="006F4762"/>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3D6"/>
    <w:rsid w:val="006F6549"/>
    <w:rsid w:val="006F6899"/>
    <w:rsid w:val="006F68B9"/>
    <w:rsid w:val="006F69AA"/>
    <w:rsid w:val="006F6A8C"/>
    <w:rsid w:val="006F6BA8"/>
    <w:rsid w:val="006F6CD0"/>
    <w:rsid w:val="006F6EFC"/>
    <w:rsid w:val="006F7365"/>
    <w:rsid w:val="006F7423"/>
    <w:rsid w:val="006F7586"/>
    <w:rsid w:val="006F772D"/>
    <w:rsid w:val="006F78B8"/>
    <w:rsid w:val="006F7B25"/>
    <w:rsid w:val="006F7D91"/>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84C"/>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9E9"/>
    <w:rsid w:val="00712D21"/>
    <w:rsid w:val="00712ECA"/>
    <w:rsid w:val="00712EDE"/>
    <w:rsid w:val="0071356C"/>
    <w:rsid w:val="00713704"/>
    <w:rsid w:val="007137A2"/>
    <w:rsid w:val="00713962"/>
    <w:rsid w:val="0071398F"/>
    <w:rsid w:val="00713D24"/>
    <w:rsid w:val="00713DC1"/>
    <w:rsid w:val="00713DEE"/>
    <w:rsid w:val="00713E84"/>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47B"/>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D9A"/>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40"/>
    <w:rsid w:val="00723AC2"/>
    <w:rsid w:val="00723B97"/>
    <w:rsid w:val="00723BD9"/>
    <w:rsid w:val="00723EE2"/>
    <w:rsid w:val="00723F71"/>
    <w:rsid w:val="00723F81"/>
    <w:rsid w:val="00723F94"/>
    <w:rsid w:val="00723FB9"/>
    <w:rsid w:val="00724035"/>
    <w:rsid w:val="00724176"/>
    <w:rsid w:val="007243E5"/>
    <w:rsid w:val="007247C4"/>
    <w:rsid w:val="00724851"/>
    <w:rsid w:val="00724892"/>
    <w:rsid w:val="00724988"/>
    <w:rsid w:val="00724A43"/>
    <w:rsid w:val="00724AF1"/>
    <w:rsid w:val="00724B26"/>
    <w:rsid w:val="00724C3A"/>
    <w:rsid w:val="00724EFD"/>
    <w:rsid w:val="0072526A"/>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B14"/>
    <w:rsid w:val="00731D9B"/>
    <w:rsid w:val="00731EF3"/>
    <w:rsid w:val="00732333"/>
    <w:rsid w:val="00732414"/>
    <w:rsid w:val="007325A8"/>
    <w:rsid w:val="007327A2"/>
    <w:rsid w:val="00732C13"/>
    <w:rsid w:val="00732C39"/>
    <w:rsid w:val="00732DFF"/>
    <w:rsid w:val="00732E65"/>
    <w:rsid w:val="00732FE9"/>
    <w:rsid w:val="00733064"/>
    <w:rsid w:val="00733076"/>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1B4"/>
    <w:rsid w:val="00737278"/>
    <w:rsid w:val="007372F9"/>
    <w:rsid w:val="00737414"/>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84"/>
    <w:rsid w:val="00744091"/>
    <w:rsid w:val="00744164"/>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497"/>
    <w:rsid w:val="007479EB"/>
    <w:rsid w:val="00747F2A"/>
    <w:rsid w:val="0075018D"/>
    <w:rsid w:val="00750376"/>
    <w:rsid w:val="00750408"/>
    <w:rsid w:val="00750915"/>
    <w:rsid w:val="00750B42"/>
    <w:rsid w:val="00750D77"/>
    <w:rsid w:val="00750DB3"/>
    <w:rsid w:val="00750E16"/>
    <w:rsid w:val="00750E3F"/>
    <w:rsid w:val="00750E44"/>
    <w:rsid w:val="00751054"/>
    <w:rsid w:val="00751311"/>
    <w:rsid w:val="007515BE"/>
    <w:rsid w:val="007515EA"/>
    <w:rsid w:val="0075161A"/>
    <w:rsid w:val="00751695"/>
    <w:rsid w:val="00751A57"/>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24"/>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AB"/>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55"/>
    <w:rsid w:val="007600FB"/>
    <w:rsid w:val="00760258"/>
    <w:rsid w:val="007602C9"/>
    <w:rsid w:val="00760816"/>
    <w:rsid w:val="00760C0D"/>
    <w:rsid w:val="00760FB1"/>
    <w:rsid w:val="0076103F"/>
    <w:rsid w:val="007612CA"/>
    <w:rsid w:val="00761924"/>
    <w:rsid w:val="00761A15"/>
    <w:rsid w:val="00761A4D"/>
    <w:rsid w:val="00761ADD"/>
    <w:rsid w:val="00761DFA"/>
    <w:rsid w:val="00761E2D"/>
    <w:rsid w:val="00761EA7"/>
    <w:rsid w:val="00762056"/>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09E"/>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77"/>
    <w:rsid w:val="007708BE"/>
    <w:rsid w:val="00770927"/>
    <w:rsid w:val="00770AC4"/>
    <w:rsid w:val="00770BC7"/>
    <w:rsid w:val="00770CBA"/>
    <w:rsid w:val="00770E29"/>
    <w:rsid w:val="00770F07"/>
    <w:rsid w:val="00770FA9"/>
    <w:rsid w:val="007712FD"/>
    <w:rsid w:val="00771A53"/>
    <w:rsid w:val="00771AAB"/>
    <w:rsid w:val="00771CDE"/>
    <w:rsid w:val="00772046"/>
    <w:rsid w:val="007720DC"/>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DC4"/>
    <w:rsid w:val="00773E05"/>
    <w:rsid w:val="00773E2D"/>
    <w:rsid w:val="00773F38"/>
    <w:rsid w:val="007742C6"/>
    <w:rsid w:val="0077433D"/>
    <w:rsid w:val="0077449C"/>
    <w:rsid w:val="007744B2"/>
    <w:rsid w:val="0077455A"/>
    <w:rsid w:val="0077459A"/>
    <w:rsid w:val="007745FD"/>
    <w:rsid w:val="007749EF"/>
    <w:rsid w:val="00774C0A"/>
    <w:rsid w:val="00774F73"/>
    <w:rsid w:val="00775263"/>
    <w:rsid w:val="007755D1"/>
    <w:rsid w:val="00775605"/>
    <w:rsid w:val="0077569F"/>
    <w:rsid w:val="007757AC"/>
    <w:rsid w:val="00775A80"/>
    <w:rsid w:val="00775B18"/>
    <w:rsid w:val="00775DAC"/>
    <w:rsid w:val="00775F18"/>
    <w:rsid w:val="00775FAC"/>
    <w:rsid w:val="007760FC"/>
    <w:rsid w:val="0077614B"/>
    <w:rsid w:val="007762A0"/>
    <w:rsid w:val="007762DB"/>
    <w:rsid w:val="007764D9"/>
    <w:rsid w:val="00776581"/>
    <w:rsid w:val="0077684E"/>
    <w:rsid w:val="00776A7F"/>
    <w:rsid w:val="00776F56"/>
    <w:rsid w:val="0077709D"/>
    <w:rsid w:val="00777313"/>
    <w:rsid w:val="00777521"/>
    <w:rsid w:val="00777532"/>
    <w:rsid w:val="007777BD"/>
    <w:rsid w:val="007779EC"/>
    <w:rsid w:val="00777B42"/>
    <w:rsid w:val="00780169"/>
    <w:rsid w:val="0078019A"/>
    <w:rsid w:val="00780222"/>
    <w:rsid w:val="0078023B"/>
    <w:rsid w:val="00780322"/>
    <w:rsid w:val="00780548"/>
    <w:rsid w:val="007805E1"/>
    <w:rsid w:val="00780A17"/>
    <w:rsid w:val="00780A86"/>
    <w:rsid w:val="00780DC2"/>
    <w:rsid w:val="00780E2D"/>
    <w:rsid w:val="00780EDD"/>
    <w:rsid w:val="00781160"/>
    <w:rsid w:val="0078131D"/>
    <w:rsid w:val="007813C8"/>
    <w:rsid w:val="00781582"/>
    <w:rsid w:val="007815F7"/>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6"/>
    <w:rsid w:val="007922B6"/>
    <w:rsid w:val="0079278D"/>
    <w:rsid w:val="00793436"/>
    <w:rsid w:val="00793493"/>
    <w:rsid w:val="0079367E"/>
    <w:rsid w:val="0079376A"/>
    <w:rsid w:val="007939D8"/>
    <w:rsid w:val="00793CAB"/>
    <w:rsid w:val="00793CBC"/>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B8C"/>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1F84"/>
    <w:rsid w:val="007A20DD"/>
    <w:rsid w:val="007A234F"/>
    <w:rsid w:val="007A23D1"/>
    <w:rsid w:val="007A2429"/>
    <w:rsid w:val="007A2455"/>
    <w:rsid w:val="007A2457"/>
    <w:rsid w:val="007A2483"/>
    <w:rsid w:val="007A2630"/>
    <w:rsid w:val="007A2C36"/>
    <w:rsid w:val="007A2C72"/>
    <w:rsid w:val="007A2D17"/>
    <w:rsid w:val="007A2E6F"/>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8B"/>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7A"/>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881"/>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11"/>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5F32"/>
    <w:rsid w:val="007D6076"/>
    <w:rsid w:val="007D6108"/>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D9F"/>
    <w:rsid w:val="007E5E24"/>
    <w:rsid w:val="007E5F1A"/>
    <w:rsid w:val="007E5FA6"/>
    <w:rsid w:val="007E60DE"/>
    <w:rsid w:val="007E6261"/>
    <w:rsid w:val="007E63F7"/>
    <w:rsid w:val="007E69B0"/>
    <w:rsid w:val="007E6A2A"/>
    <w:rsid w:val="007E6D4F"/>
    <w:rsid w:val="007E6DCC"/>
    <w:rsid w:val="007E6DD5"/>
    <w:rsid w:val="007E6F84"/>
    <w:rsid w:val="007E7143"/>
    <w:rsid w:val="007E72DD"/>
    <w:rsid w:val="007E747A"/>
    <w:rsid w:val="007E7AD7"/>
    <w:rsid w:val="007E7DF4"/>
    <w:rsid w:val="007E7ED3"/>
    <w:rsid w:val="007E7EE2"/>
    <w:rsid w:val="007F02BA"/>
    <w:rsid w:val="007F075E"/>
    <w:rsid w:val="007F07AE"/>
    <w:rsid w:val="007F07EA"/>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7F1"/>
    <w:rsid w:val="007F2B0C"/>
    <w:rsid w:val="007F2EDF"/>
    <w:rsid w:val="007F2F35"/>
    <w:rsid w:val="007F31AB"/>
    <w:rsid w:val="007F32AE"/>
    <w:rsid w:val="007F32DB"/>
    <w:rsid w:val="007F33C2"/>
    <w:rsid w:val="007F34BD"/>
    <w:rsid w:val="007F3AD1"/>
    <w:rsid w:val="007F3C5D"/>
    <w:rsid w:val="007F3D8E"/>
    <w:rsid w:val="007F3EB7"/>
    <w:rsid w:val="007F3F48"/>
    <w:rsid w:val="007F3FB6"/>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7F7E59"/>
    <w:rsid w:val="0080016C"/>
    <w:rsid w:val="008001CE"/>
    <w:rsid w:val="00800249"/>
    <w:rsid w:val="00800280"/>
    <w:rsid w:val="00800904"/>
    <w:rsid w:val="00800919"/>
    <w:rsid w:val="00800A8E"/>
    <w:rsid w:val="00800D8E"/>
    <w:rsid w:val="00800DEE"/>
    <w:rsid w:val="00800E4F"/>
    <w:rsid w:val="0080104C"/>
    <w:rsid w:val="00801294"/>
    <w:rsid w:val="00801630"/>
    <w:rsid w:val="008017AC"/>
    <w:rsid w:val="00801A51"/>
    <w:rsid w:val="0080214E"/>
    <w:rsid w:val="00802339"/>
    <w:rsid w:val="008026A4"/>
    <w:rsid w:val="00802830"/>
    <w:rsid w:val="008029A1"/>
    <w:rsid w:val="008029AA"/>
    <w:rsid w:val="00802B8B"/>
    <w:rsid w:val="00802F36"/>
    <w:rsid w:val="0080325D"/>
    <w:rsid w:val="0080334E"/>
    <w:rsid w:val="008038CC"/>
    <w:rsid w:val="008039CC"/>
    <w:rsid w:val="00803B2B"/>
    <w:rsid w:val="00803CC7"/>
    <w:rsid w:val="00803D9B"/>
    <w:rsid w:val="00803E48"/>
    <w:rsid w:val="00804226"/>
    <w:rsid w:val="00804306"/>
    <w:rsid w:val="0080435F"/>
    <w:rsid w:val="0080443D"/>
    <w:rsid w:val="008044AF"/>
    <w:rsid w:val="008044C1"/>
    <w:rsid w:val="008044FA"/>
    <w:rsid w:val="008047E4"/>
    <w:rsid w:val="00804B9A"/>
    <w:rsid w:val="00804C23"/>
    <w:rsid w:val="00804D33"/>
    <w:rsid w:val="00804F05"/>
    <w:rsid w:val="00804FF5"/>
    <w:rsid w:val="00805188"/>
    <w:rsid w:val="008052FD"/>
    <w:rsid w:val="00805538"/>
    <w:rsid w:val="00805763"/>
    <w:rsid w:val="00805C03"/>
    <w:rsid w:val="00805D99"/>
    <w:rsid w:val="0080631D"/>
    <w:rsid w:val="00806441"/>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7F"/>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3BE"/>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0A9"/>
    <w:rsid w:val="00822387"/>
    <w:rsid w:val="00822412"/>
    <w:rsid w:val="0082255B"/>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961"/>
    <w:rsid w:val="00824C43"/>
    <w:rsid w:val="00824CC9"/>
    <w:rsid w:val="0082521D"/>
    <w:rsid w:val="00825508"/>
    <w:rsid w:val="0082553A"/>
    <w:rsid w:val="008255BB"/>
    <w:rsid w:val="008256BC"/>
    <w:rsid w:val="00825AAC"/>
    <w:rsid w:val="00825BCE"/>
    <w:rsid w:val="00825BE4"/>
    <w:rsid w:val="00825DF2"/>
    <w:rsid w:val="00825E12"/>
    <w:rsid w:val="00825EBE"/>
    <w:rsid w:val="0082602B"/>
    <w:rsid w:val="008260AB"/>
    <w:rsid w:val="008263C1"/>
    <w:rsid w:val="008263E1"/>
    <w:rsid w:val="00826907"/>
    <w:rsid w:val="00826C10"/>
    <w:rsid w:val="00826CB3"/>
    <w:rsid w:val="00826EB9"/>
    <w:rsid w:val="0082700E"/>
    <w:rsid w:val="008270A9"/>
    <w:rsid w:val="008270F4"/>
    <w:rsid w:val="00827320"/>
    <w:rsid w:val="00827366"/>
    <w:rsid w:val="008274CC"/>
    <w:rsid w:val="00827B82"/>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12E"/>
    <w:rsid w:val="008337A3"/>
    <w:rsid w:val="0083395D"/>
    <w:rsid w:val="00833A00"/>
    <w:rsid w:val="00834524"/>
    <w:rsid w:val="00834CBE"/>
    <w:rsid w:val="00834EE2"/>
    <w:rsid w:val="00834F3A"/>
    <w:rsid w:val="0083530C"/>
    <w:rsid w:val="00835420"/>
    <w:rsid w:val="00835645"/>
    <w:rsid w:val="0083566F"/>
    <w:rsid w:val="00835753"/>
    <w:rsid w:val="00835A5F"/>
    <w:rsid w:val="00835B7E"/>
    <w:rsid w:val="00835BE3"/>
    <w:rsid w:val="00835ECD"/>
    <w:rsid w:val="00835F94"/>
    <w:rsid w:val="008366C8"/>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1B3"/>
    <w:rsid w:val="0084149A"/>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9C"/>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161"/>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988"/>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7D"/>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592"/>
    <w:rsid w:val="00867712"/>
    <w:rsid w:val="00867D0B"/>
    <w:rsid w:val="00867D83"/>
    <w:rsid w:val="00867E81"/>
    <w:rsid w:val="00867E8E"/>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9D"/>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F9"/>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D45"/>
    <w:rsid w:val="00881F98"/>
    <w:rsid w:val="008823A4"/>
    <w:rsid w:val="00882694"/>
    <w:rsid w:val="00882BF9"/>
    <w:rsid w:val="00882CDE"/>
    <w:rsid w:val="00883153"/>
    <w:rsid w:val="00883189"/>
    <w:rsid w:val="00883329"/>
    <w:rsid w:val="00883365"/>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313"/>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571"/>
    <w:rsid w:val="00887725"/>
    <w:rsid w:val="00887849"/>
    <w:rsid w:val="008878C7"/>
    <w:rsid w:val="00887A73"/>
    <w:rsid w:val="00887ABA"/>
    <w:rsid w:val="00887AD4"/>
    <w:rsid w:val="00887E69"/>
    <w:rsid w:val="00887F78"/>
    <w:rsid w:val="008900C0"/>
    <w:rsid w:val="008900F3"/>
    <w:rsid w:val="00890728"/>
    <w:rsid w:val="00890780"/>
    <w:rsid w:val="00890812"/>
    <w:rsid w:val="00890A1A"/>
    <w:rsid w:val="00890A87"/>
    <w:rsid w:val="00890AA3"/>
    <w:rsid w:val="00890FAB"/>
    <w:rsid w:val="008911CC"/>
    <w:rsid w:val="0089125B"/>
    <w:rsid w:val="008912F8"/>
    <w:rsid w:val="0089130C"/>
    <w:rsid w:val="00891CB4"/>
    <w:rsid w:val="00891FD8"/>
    <w:rsid w:val="008923EF"/>
    <w:rsid w:val="00892554"/>
    <w:rsid w:val="008927ED"/>
    <w:rsid w:val="0089297A"/>
    <w:rsid w:val="00892A3A"/>
    <w:rsid w:val="00892A8C"/>
    <w:rsid w:val="00892DD0"/>
    <w:rsid w:val="00892DDB"/>
    <w:rsid w:val="0089328B"/>
    <w:rsid w:val="00893391"/>
    <w:rsid w:val="008933EB"/>
    <w:rsid w:val="00893435"/>
    <w:rsid w:val="00893470"/>
    <w:rsid w:val="00893921"/>
    <w:rsid w:val="008939F8"/>
    <w:rsid w:val="00893B56"/>
    <w:rsid w:val="00893BD4"/>
    <w:rsid w:val="00893C94"/>
    <w:rsid w:val="00893E6C"/>
    <w:rsid w:val="00893E73"/>
    <w:rsid w:val="00893F26"/>
    <w:rsid w:val="008945E2"/>
    <w:rsid w:val="00894767"/>
    <w:rsid w:val="0089478D"/>
    <w:rsid w:val="008947F8"/>
    <w:rsid w:val="0089491C"/>
    <w:rsid w:val="00894BC7"/>
    <w:rsid w:val="00894DF2"/>
    <w:rsid w:val="00895094"/>
    <w:rsid w:val="00895161"/>
    <w:rsid w:val="008952ED"/>
    <w:rsid w:val="008955B1"/>
    <w:rsid w:val="008957B0"/>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E5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DC0"/>
    <w:rsid w:val="008D2E4C"/>
    <w:rsid w:val="008D2F10"/>
    <w:rsid w:val="008D33F2"/>
    <w:rsid w:val="008D3421"/>
    <w:rsid w:val="008D365B"/>
    <w:rsid w:val="008D373D"/>
    <w:rsid w:val="008D3761"/>
    <w:rsid w:val="008D37EB"/>
    <w:rsid w:val="008D3907"/>
    <w:rsid w:val="008D3E2A"/>
    <w:rsid w:val="008D3EA8"/>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3A1"/>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580"/>
    <w:rsid w:val="008E28A5"/>
    <w:rsid w:val="008E298E"/>
    <w:rsid w:val="008E29E3"/>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E7B21"/>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280"/>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888"/>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C33"/>
    <w:rsid w:val="00903D9D"/>
    <w:rsid w:val="0090404C"/>
    <w:rsid w:val="00904088"/>
    <w:rsid w:val="009043BA"/>
    <w:rsid w:val="009044EA"/>
    <w:rsid w:val="0090463B"/>
    <w:rsid w:val="009046D4"/>
    <w:rsid w:val="009047B8"/>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829"/>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EFC"/>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570"/>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4AA"/>
    <w:rsid w:val="009225AB"/>
    <w:rsid w:val="009225FD"/>
    <w:rsid w:val="0092263B"/>
    <w:rsid w:val="009226DE"/>
    <w:rsid w:val="009227DC"/>
    <w:rsid w:val="009228FA"/>
    <w:rsid w:val="0092295F"/>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891"/>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23"/>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011"/>
    <w:rsid w:val="009306F9"/>
    <w:rsid w:val="009309B4"/>
    <w:rsid w:val="00930A31"/>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35"/>
    <w:rsid w:val="009373B9"/>
    <w:rsid w:val="0093746C"/>
    <w:rsid w:val="00937B39"/>
    <w:rsid w:val="00937D6F"/>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36"/>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745"/>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331"/>
    <w:rsid w:val="00951450"/>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BCB"/>
    <w:rsid w:val="00956DAB"/>
    <w:rsid w:val="00956FDB"/>
    <w:rsid w:val="009576B3"/>
    <w:rsid w:val="00957747"/>
    <w:rsid w:val="009578F0"/>
    <w:rsid w:val="00957AE1"/>
    <w:rsid w:val="00957B91"/>
    <w:rsid w:val="00957C00"/>
    <w:rsid w:val="00957C4E"/>
    <w:rsid w:val="00957CB5"/>
    <w:rsid w:val="009606DD"/>
    <w:rsid w:val="009606E9"/>
    <w:rsid w:val="00960981"/>
    <w:rsid w:val="009609D0"/>
    <w:rsid w:val="00960C9C"/>
    <w:rsid w:val="00960E19"/>
    <w:rsid w:val="00960E79"/>
    <w:rsid w:val="00960E85"/>
    <w:rsid w:val="00960EC8"/>
    <w:rsid w:val="00960EF2"/>
    <w:rsid w:val="00960F82"/>
    <w:rsid w:val="0096114D"/>
    <w:rsid w:val="00961307"/>
    <w:rsid w:val="0096138C"/>
    <w:rsid w:val="009614A4"/>
    <w:rsid w:val="009615D5"/>
    <w:rsid w:val="0096191D"/>
    <w:rsid w:val="00961935"/>
    <w:rsid w:val="00961E94"/>
    <w:rsid w:val="009620AB"/>
    <w:rsid w:val="009623CA"/>
    <w:rsid w:val="00962437"/>
    <w:rsid w:val="00962995"/>
    <w:rsid w:val="0096299A"/>
    <w:rsid w:val="00962B1A"/>
    <w:rsid w:val="00962B51"/>
    <w:rsid w:val="009632EE"/>
    <w:rsid w:val="009634DD"/>
    <w:rsid w:val="009636E9"/>
    <w:rsid w:val="00963710"/>
    <w:rsid w:val="009637A9"/>
    <w:rsid w:val="00963872"/>
    <w:rsid w:val="00963C4E"/>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5C"/>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485"/>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33"/>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7B"/>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15"/>
    <w:rsid w:val="009B1488"/>
    <w:rsid w:val="009B1695"/>
    <w:rsid w:val="009B1905"/>
    <w:rsid w:val="009B1D0E"/>
    <w:rsid w:val="009B1E23"/>
    <w:rsid w:val="009B2084"/>
    <w:rsid w:val="009B21D9"/>
    <w:rsid w:val="009B24F6"/>
    <w:rsid w:val="009B264A"/>
    <w:rsid w:val="009B2773"/>
    <w:rsid w:val="009B27D5"/>
    <w:rsid w:val="009B2981"/>
    <w:rsid w:val="009B2A33"/>
    <w:rsid w:val="009B2F2F"/>
    <w:rsid w:val="009B30AC"/>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688"/>
    <w:rsid w:val="009B477C"/>
    <w:rsid w:val="009B485A"/>
    <w:rsid w:val="009B4D64"/>
    <w:rsid w:val="009B4DD2"/>
    <w:rsid w:val="009B4E95"/>
    <w:rsid w:val="009B50D4"/>
    <w:rsid w:val="009B511C"/>
    <w:rsid w:val="009B51FB"/>
    <w:rsid w:val="009B53FA"/>
    <w:rsid w:val="009B55F9"/>
    <w:rsid w:val="009B573E"/>
    <w:rsid w:val="009B5A1E"/>
    <w:rsid w:val="009B5B35"/>
    <w:rsid w:val="009B5EFD"/>
    <w:rsid w:val="009B6031"/>
    <w:rsid w:val="009B63A6"/>
    <w:rsid w:val="009B6B70"/>
    <w:rsid w:val="009B6B99"/>
    <w:rsid w:val="009B6C11"/>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4E7"/>
    <w:rsid w:val="009C3875"/>
    <w:rsid w:val="009C3CF4"/>
    <w:rsid w:val="009C3CFE"/>
    <w:rsid w:val="009C3EA3"/>
    <w:rsid w:val="009C3EA4"/>
    <w:rsid w:val="009C4023"/>
    <w:rsid w:val="009C406A"/>
    <w:rsid w:val="009C42EE"/>
    <w:rsid w:val="009C44CD"/>
    <w:rsid w:val="009C45C5"/>
    <w:rsid w:val="009C45EF"/>
    <w:rsid w:val="009C46EC"/>
    <w:rsid w:val="009C49DA"/>
    <w:rsid w:val="009C4B2A"/>
    <w:rsid w:val="009C4CA4"/>
    <w:rsid w:val="009C504B"/>
    <w:rsid w:val="009C51B7"/>
    <w:rsid w:val="009C51EC"/>
    <w:rsid w:val="009C5263"/>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5A4"/>
    <w:rsid w:val="009D461E"/>
    <w:rsid w:val="009D470F"/>
    <w:rsid w:val="009D4A13"/>
    <w:rsid w:val="009D4BC6"/>
    <w:rsid w:val="009D4C97"/>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47B"/>
    <w:rsid w:val="009E258F"/>
    <w:rsid w:val="009E25AA"/>
    <w:rsid w:val="009E267A"/>
    <w:rsid w:val="009E2709"/>
    <w:rsid w:val="009E271E"/>
    <w:rsid w:val="009E28FB"/>
    <w:rsid w:val="009E302B"/>
    <w:rsid w:val="009E32C6"/>
    <w:rsid w:val="009E3533"/>
    <w:rsid w:val="009E398D"/>
    <w:rsid w:val="009E39AA"/>
    <w:rsid w:val="009E3CC4"/>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A9F"/>
    <w:rsid w:val="009F0C95"/>
    <w:rsid w:val="009F0D6F"/>
    <w:rsid w:val="009F0FFD"/>
    <w:rsid w:val="009F1428"/>
    <w:rsid w:val="009F152C"/>
    <w:rsid w:val="009F178C"/>
    <w:rsid w:val="009F1AAB"/>
    <w:rsid w:val="009F1B6E"/>
    <w:rsid w:val="009F1E22"/>
    <w:rsid w:val="009F2076"/>
    <w:rsid w:val="009F2295"/>
    <w:rsid w:val="009F2467"/>
    <w:rsid w:val="009F297A"/>
    <w:rsid w:val="009F2B85"/>
    <w:rsid w:val="009F2C82"/>
    <w:rsid w:val="009F2EE3"/>
    <w:rsid w:val="009F3032"/>
    <w:rsid w:val="009F31A7"/>
    <w:rsid w:val="009F33DC"/>
    <w:rsid w:val="009F3920"/>
    <w:rsid w:val="009F3948"/>
    <w:rsid w:val="009F3A1F"/>
    <w:rsid w:val="009F3F7A"/>
    <w:rsid w:val="009F3FE7"/>
    <w:rsid w:val="009F4049"/>
    <w:rsid w:val="009F41F3"/>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0CA"/>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102"/>
    <w:rsid w:val="00A02405"/>
    <w:rsid w:val="00A024C9"/>
    <w:rsid w:val="00A025BB"/>
    <w:rsid w:val="00A02805"/>
    <w:rsid w:val="00A02874"/>
    <w:rsid w:val="00A02B56"/>
    <w:rsid w:val="00A02C0C"/>
    <w:rsid w:val="00A02EE1"/>
    <w:rsid w:val="00A02F96"/>
    <w:rsid w:val="00A02FAC"/>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1C9"/>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1"/>
    <w:rsid w:val="00A10914"/>
    <w:rsid w:val="00A10A9E"/>
    <w:rsid w:val="00A10CD3"/>
    <w:rsid w:val="00A10D24"/>
    <w:rsid w:val="00A10F73"/>
    <w:rsid w:val="00A113F3"/>
    <w:rsid w:val="00A115BF"/>
    <w:rsid w:val="00A11863"/>
    <w:rsid w:val="00A118FA"/>
    <w:rsid w:val="00A11A14"/>
    <w:rsid w:val="00A11A26"/>
    <w:rsid w:val="00A11A61"/>
    <w:rsid w:val="00A11AA1"/>
    <w:rsid w:val="00A11AD2"/>
    <w:rsid w:val="00A11B95"/>
    <w:rsid w:val="00A11C1E"/>
    <w:rsid w:val="00A11F12"/>
    <w:rsid w:val="00A11FD6"/>
    <w:rsid w:val="00A12425"/>
    <w:rsid w:val="00A12641"/>
    <w:rsid w:val="00A126A9"/>
    <w:rsid w:val="00A1279B"/>
    <w:rsid w:val="00A12815"/>
    <w:rsid w:val="00A128F8"/>
    <w:rsid w:val="00A12AB9"/>
    <w:rsid w:val="00A12C18"/>
    <w:rsid w:val="00A12F49"/>
    <w:rsid w:val="00A12FA4"/>
    <w:rsid w:val="00A131A5"/>
    <w:rsid w:val="00A13296"/>
    <w:rsid w:val="00A132A9"/>
    <w:rsid w:val="00A132EA"/>
    <w:rsid w:val="00A132F6"/>
    <w:rsid w:val="00A1361A"/>
    <w:rsid w:val="00A137F2"/>
    <w:rsid w:val="00A13CC8"/>
    <w:rsid w:val="00A14025"/>
    <w:rsid w:val="00A14112"/>
    <w:rsid w:val="00A14113"/>
    <w:rsid w:val="00A14120"/>
    <w:rsid w:val="00A1416C"/>
    <w:rsid w:val="00A1424A"/>
    <w:rsid w:val="00A1427A"/>
    <w:rsid w:val="00A145E0"/>
    <w:rsid w:val="00A14693"/>
    <w:rsid w:val="00A14870"/>
    <w:rsid w:val="00A1488E"/>
    <w:rsid w:val="00A148CD"/>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3AD"/>
    <w:rsid w:val="00A167FD"/>
    <w:rsid w:val="00A16AFB"/>
    <w:rsid w:val="00A16B6B"/>
    <w:rsid w:val="00A16BD2"/>
    <w:rsid w:val="00A170A8"/>
    <w:rsid w:val="00A17323"/>
    <w:rsid w:val="00A17926"/>
    <w:rsid w:val="00A1792D"/>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BC5"/>
    <w:rsid w:val="00A24C6C"/>
    <w:rsid w:val="00A24E28"/>
    <w:rsid w:val="00A24F20"/>
    <w:rsid w:val="00A24FB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6E0F"/>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5C"/>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5FEC"/>
    <w:rsid w:val="00A46144"/>
    <w:rsid w:val="00A4616A"/>
    <w:rsid w:val="00A46623"/>
    <w:rsid w:val="00A46754"/>
    <w:rsid w:val="00A46E9B"/>
    <w:rsid w:val="00A46EDD"/>
    <w:rsid w:val="00A47495"/>
    <w:rsid w:val="00A474D3"/>
    <w:rsid w:val="00A47686"/>
    <w:rsid w:val="00A476AE"/>
    <w:rsid w:val="00A47A11"/>
    <w:rsid w:val="00A47B20"/>
    <w:rsid w:val="00A47B50"/>
    <w:rsid w:val="00A47D0C"/>
    <w:rsid w:val="00A5018B"/>
    <w:rsid w:val="00A50442"/>
    <w:rsid w:val="00A50736"/>
    <w:rsid w:val="00A5083B"/>
    <w:rsid w:val="00A50851"/>
    <w:rsid w:val="00A50BEE"/>
    <w:rsid w:val="00A50C46"/>
    <w:rsid w:val="00A50F5C"/>
    <w:rsid w:val="00A50FC2"/>
    <w:rsid w:val="00A514E9"/>
    <w:rsid w:val="00A51561"/>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274"/>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29C"/>
    <w:rsid w:val="00A56309"/>
    <w:rsid w:val="00A5662D"/>
    <w:rsid w:val="00A566A4"/>
    <w:rsid w:val="00A56A6B"/>
    <w:rsid w:val="00A56CDE"/>
    <w:rsid w:val="00A56DB5"/>
    <w:rsid w:val="00A56FD9"/>
    <w:rsid w:val="00A57032"/>
    <w:rsid w:val="00A57352"/>
    <w:rsid w:val="00A57481"/>
    <w:rsid w:val="00A574D7"/>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292"/>
    <w:rsid w:val="00A633A4"/>
    <w:rsid w:val="00A6374D"/>
    <w:rsid w:val="00A637DE"/>
    <w:rsid w:val="00A638C5"/>
    <w:rsid w:val="00A638FA"/>
    <w:rsid w:val="00A63900"/>
    <w:rsid w:val="00A63A44"/>
    <w:rsid w:val="00A63CEF"/>
    <w:rsid w:val="00A63FF6"/>
    <w:rsid w:val="00A64055"/>
    <w:rsid w:val="00A64171"/>
    <w:rsid w:val="00A6455B"/>
    <w:rsid w:val="00A64572"/>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99C"/>
    <w:rsid w:val="00A65CCC"/>
    <w:rsid w:val="00A660E4"/>
    <w:rsid w:val="00A66596"/>
    <w:rsid w:val="00A666C2"/>
    <w:rsid w:val="00A666FC"/>
    <w:rsid w:val="00A66B88"/>
    <w:rsid w:val="00A66C49"/>
    <w:rsid w:val="00A66CB2"/>
    <w:rsid w:val="00A66DDD"/>
    <w:rsid w:val="00A66ED9"/>
    <w:rsid w:val="00A67120"/>
    <w:rsid w:val="00A6739E"/>
    <w:rsid w:val="00A67524"/>
    <w:rsid w:val="00A676A8"/>
    <w:rsid w:val="00A67883"/>
    <w:rsid w:val="00A67886"/>
    <w:rsid w:val="00A678A4"/>
    <w:rsid w:val="00A67C35"/>
    <w:rsid w:val="00A70367"/>
    <w:rsid w:val="00A7040A"/>
    <w:rsid w:val="00A7040C"/>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1CE"/>
    <w:rsid w:val="00A72306"/>
    <w:rsid w:val="00A725D9"/>
    <w:rsid w:val="00A72707"/>
    <w:rsid w:val="00A7281D"/>
    <w:rsid w:val="00A729D0"/>
    <w:rsid w:val="00A72A7B"/>
    <w:rsid w:val="00A72B08"/>
    <w:rsid w:val="00A72E25"/>
    <w:rsid w:val="00A731B0"/>
    <w:rsid w:val="00A7342E"/>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862"/>
    <w:rsid w:val="00A77993"/>
    <w:rsid w:val="00A80272"/>
    <w:rsid w:val="00A80365"/>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7F1"/>
    <w:rsid w:val="00A82A0F"/>
    <w:rsid w:val="00A82AB3"/>
    <w:rsid w:val="00A82B11"/>
    <w:rsid w:val="00A82B66"/>
    <w:rsid w:val="00A82C21"/>
    <w:rsid w:val="00A82F1D"/>
    <w:rsid w:val="00A83679"/>
    <w:rsid w:val="00A83CF5"/>
    <w:rsid w:val="00A83EC4"/>
    <w:rsid w:val="00A84195"/>
    <w:rsid w:val="00A8434F"/>
    <w:rsid w:val="00A844EF"/>
    <w:rsid w:val="00A84596"/>
    <w:rsid w:val="00A846A7"/>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DB3"/>
    <w:rsid w:val="00A91EDF"/>
    <w:rsid w:val="00A92347"/>
    <w:rsid w:val="00A92407"/>
    <w:rsid w:val="00A92508"/>
    <w:rsid w:val="00A9253B"/>
    <w:rsid w:val="00A925F3"/>
    <w:rsid w:val="00A92DAC"/>
    <w:rsid w:val="00A92DF9"/>
    <w:rsid w:val="00A92E9F"/>
    <w:rsid w:val="00A92EF0"/>
    <w:rsid w:val="00A93101"/>
    <w:rsid w:val="00A9338F"/>
    <w:rsid w:val="00A935BD"/>
    <w:rsid w:val="00A93D0E"/>
    <w:rsid w:val="00A93F0B"/>
    <w:rsid w:val="00A93F4F"/>
    <w:rsid w:val="00A940DF"/>
    <w:rsid w:val="00A941F3"/>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BB8"/>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1BA5"/>
    <w:rsid w:val="00AA240A"/>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CD1"/>
    <w:rsid w:val="00AA3F07"/>
    <w:rsid w:val="00AA4003"/>
    <w:rsid w:val="00AA4174"/>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2E"/>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95E"/>
    <w:rsid w:val="00AB3A06"/>
    <w:rsid w:val="00AB3AAE"/>
    <w:rsid w:val="00AB3B39"/>
    <w:rsid w:val="00AB3B93"/>
    <w:rsid w:val="00AB3D53"/>
    <w:rsid w:val="00AB3E6E"/>
    <w:rsid w:val="00AB4283"/>
    <w:rsid w:val="00AB462E"/>
    <w:rsid w:val="00AB474C"/>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16"/>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98"/>
    <w:rsid w:val="00AC31D1"/>
    <w:rsid w:val="00AC33F1"/>
    <w:rsid w:val="00AC3717"/>
    <w:rsid w:val="00AC39D0"/>
    <w:rsid w:val="00AC3A68"/>
    <w:rsid w:val="00AC3FBF"/>
    <w:rsid w:val="00AC4C08"/>
    <w:rsid w:val="00AC511C"/>
    <w:rsid w:val="00AC5357"/>
    <w:rsid w:val="00AC566A"/>
    <w:rsid w:val="00AC56B2"/>
    <w:rsid w:val="00AC5D9D"/>
    <w:rsid w:val="00AC5DDE"/>
    <w:rsid w:val="00AC5F08"/>
    <w:rsid w:val="00AC614A"/>
    <w:rsid w:val="00AC62F8"/>
    <w:rsid w:val="00AC64A3"/>
    <w:rsid w:val="00AC6845"/>
    <w:rsid w:val="00AC68D3"/>
    <w:rsid w:val="00AC6A5A"/>
    <w:rsid w:val="00AC6A9B"/>
    <w:rsid w:val="00AC6CA4"/>
    <w:rsid w:val="00AC6F2E"/>
    <w:rsid w:val="00AC736F"/>
    <w:rsid w:val="00AC756F"/>
    <w:rsid w:val="00AC7D08"/>
    <w:rsid w:val="00AC7DAA"/>
    <w:rsid w:val="00AD0099"/>
    <w:rsid w:val="00AD0135"/>
    <w:rsid w:val="00AD06E3"/>
    <w:rsid w:val="00AD0AF2"/>
    <w:rsid w:val="00AD0D6E"/>
    <w:rsid w:val="00AD0FFF"/>
    <w:rsid w:val="00AD1124"/>
    <w:rsid w:val="00AD1174"/>
    <w:rsid w:val="00AD176A"/>
    <w:rsid w:val="00AD1808"/>
    <w:rsid w:val="00AD19BD"/>
    <w:rsid w:val="00AD1AFF"/>
    <w:rsid w:val="00AD1B60"/>
    <w:rsid w:val="00AD209C"/>
    <w:rsid w:val="00AD235D"/>
    <w:rsid w:val="00AD2668"/>
    <w:rsid w:val="00AD293E"/>
    <w:rsid w:val="00AD2D43"/>
    <w:rsid w:val="00AD3383"/>
    <w:rsid w:val="00AD34AA"/>
    <w:rsid w:val="00AD351F"/>
    <w:rsid w:val="00AD36DC"/>
    <w:rsid w:val="00AD3740"/>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901"/>
    <w:rsid w:val="00AD4B41"/>
    <w:rsid w:val="00AD4CA9"/>
    <w:rsid w:val="00AD4DDC"/>
    <w:rsid w:val="00AD4E56"/>
    <w:rsid w:val="00AD50EA"/>
    <w:rsid w:val="00AD50FB"/>
    <w:rsid w:val="00AD5813"/>
    <w:rsid w:val="00AD59EB"/>
    <w:rsid w:val="00AD5A0B"/>
    <w:rsid w:val="00AD5A3D"/>
    <w:rsid w:val="00AD5AE7"/>
    <w:rsid w:val="00AD5BCC"/>
    <w:rsid w:val="00AD5BF2"/>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6C3"/>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81B"/>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873"/>
    <w:rsid w:val="00AF1CF7"/>
    <w:rsid w:val="00AF1EB2"/>
    <w:rsid w:val="00AF2164"/>
    <w:rsid w:val="00AF2325"/>
    <w:rsid w:val="00AF23C9"/>
    <w:rsid w:val="00AF2572"/>
    <w:rsid w:val="00AF276D"/>
    <w:rsid w:val="00AF284F"/>
    <w:rsid w:val="00AF2F95"/>
    <w:rsid w:val="00AF324C"/>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4985"/>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AF7F09"/>
    <w:rsid w:val="00B00000"/>
    <w:rsid w:val="00B00028"/>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8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507"/>
    <w:rsid w:val="00B146F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453"/>
    <w:rsid w:val="00B2087F"/>
    <w:rsid w:val="00B20B60"/>
    <w:rsid w:val="00B20D55"/>
    <w:rsid w:val="00B20FD2"/>
    <w:rsid w:val="00B21439"/>
    <w:rsid w:val="00B21494"/>
    <w:rsid w:val="00B21D08"/>
    <w:rsid w:val="00B21D2C"/>
    <w:rsid w:val="00B22269"/>
    <w:rsid w:val="00B222C8"/>
    <w:rsid w:val="00B2243C"/>
    <w:rsid w:val="00B224D1"/>
    <w:rsid w:val="00B225FE"/>
    <w:rsid w:val="00B226F2"/>
    <w:rsid w:val="00B2274E"/>
    <w:rsid w:val="00B227C5"/>
    <w:rsid w:val="00B22801"/>
    <w:rsid w:val="00B22829"/>
    <w:rsid w:val="00B22AC3"/>
    <w:rsid w:val="00B22C26"/>
    <w:rsid w:val="00B22FC1"/>
    <w:rsid w:val="00B230D5"/>
    <w:rsid w:val="00B230F0"/>
    <w:rsid w:val="00B231DA"/>
    <w:rsid w:val="00B23827"/>
    <w:rsid w:val="00B23932"/>
    <w:rsid w:val="00B23B32"/>
    <w:rsid w:val="00B23D98"/>
    <w:rsid w:val="00B23DCC"/>
    <w:rsid w:val="00B23F89"/>
    <w:rsid w:val="00B2413F"/>
    <w:rsid w:val="00B246A8"/>
    <w:rsid w:val="00B2471B"/>
    <w:rsid w:val="00B24924"/>
    <w:rsid w:val="00B2492E"/>
    <w:rsid w:val="00B24934"/>
    <w:rsid w:val="00B24C0A"/>
    <w:rsid w:val="00B24C8B"/>
    <w:rsid w:val="00B24E0C"/>
    <w:rsid w:val="00B24EB8"/>
    <w:rsid w:val="00B24EE1"/>
    <w:rsid w:val="00B253C9"/>
    <w:rsid w:val="00B254AB"/>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78"/>
    <w:rsid w:val="00B30AFC"/>
    <w:rsid w:val="00B30BBD"/>
    <w:rsid w:val="00B30C8B"/>
    <w:rsid w:val="00B30CFB"/>
    <w:rsid w:val="00B30E52"/>
    <w:rsid w:val="00B31025"/>
    <w:rsid w:val="00B31204"/>
    <w:rsid w:val="00B314AB"/>
    <w:rsid w:val="00B31566"/>
    <w:rsid w:val="00B31581"/>
    <w:rsid w:val="00B316F3"/>
    <w:rsid w:val="00B318F2"/>
    <w:rsid w:val="00B31982"/>
    <w:rsid w:val="00B31A2B"/>
    <w:rsid w:val="00B31A5C"/>
    <w:rsid w:val="00B31FDF"/>
    <w:rsid w:val="00B3227B"/>
    <w:rsid w:val="00B3235B"/>
    <w:rsid w:val="00B3261B"/>
    <w:rsid w:val="00B3269A"/>
    <w:rsid w:val="00B32BB0"/>
    <w:rsid w:val="00B32D49"/>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2FA"/>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149"/>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775"/>
    <w:rsid w:val="00B528F3"/>
    <w:rsid w:val="00B52A02"/>
    <w:rsid w:val="00B52F7E"/>
    <w:rsid w:val="00B53165"/>
    <w:rsid w:val="00B53384"/>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AF1"/>
    <w:rsid w:val="00B55B8F"/>
    <w:rsid w:val="00B55D61"/>
    <w:rsid w:val="00B55F8D"/>
    <w:rsid w:val="00B56297"/>
    <w:rsid w:val="00B5651D"/>
    <w:rsid w:val="00B56796"/>
    <w:rsid w:val="00B56AF7"/>
    <w:rsid w:val="00B56B9B"/>
    <w:rsid w:val="00B56B9D"/>
    <w:rsid w:val="00B56F47"/>
    <w:rsid w:val="00B57039"/>
    <w:rsid w:val="00B570C5"/>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4B1"/>
    <w:rsid w:val="00B635F8"/>
    <w:rsid w:val="00B6387E"/>
    <w:rsid w:val="00B6391C"/>
    <w:rsid w:val="00B63A91"/>
    <w:rsid w:val="00B63AB7"/>
    <w:rsid w:val="00B63C37"/>
    <w:rsid w:val="00B63CBC"/>
    <w:rsid w:val="00B63E94"/>
    <w:rsid w:val="00B63F7D"/>
    <w:rsid w:val="00B6437B"/>
    <w:rsid w:val="00B644CF"/>
    <w:rsid w:val="00B645A6"/>
    <w:rsid w:val="00B64BC8"/>
    <w:rsid w:val="00B64D0E"/>
    <w:rsid w:val="00B654E9"/>
    <w:rsid w:val="00B655D8"/>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B98"/>
    <w:rsid w:val="00B73D9B"/>
    <w:rsid w:val="00B73FA3"/>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7C3"/>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4F66"/>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300"/>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5C"/>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669"/>
    <w:rsid w:val="00B948DA"/>
    <w:rsid w:val="00B94CD2"/>
    <w:rsid w:val="00B95341"/>
    <w:rsid w:val="00B9536A"/>
    <w:rsid w:val="00B953FA"/>
    <w:rsid w:val="00B95AB0"/>
    <w:rsid w:val="00B95B94"/>
    <w:rsid w:val="00B95C70"/>
    <w:rsid w:val="00B95DBF"/>
    <w:rsid w:val="00B95E24"/>
    <w:rsid w:val="00B96006"/>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4B"/>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220"/>
    <w:rsid w:val="00BA23F6"/>
    <w:rsid w:val="00BA242D"/>
    <w:rsid w:val="00BA246A"/>
    <w:rsid w:val="00BA27FC"/>
    <w:rsid w:val="00BA3350"/>
    <w:rsid w:val="00BA388A"/>
    <w:rsid w:val="00BA3A40"/>
    <w:rsid w:val="00BA3FED"/>
    <w:rsid w:val="00BA401F"/>
    <w:rsid w:val="00BA40E8"/>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60D"/>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6BD"/>
    <w:rsid w:val="00BB1907"/>
    <w:rsid w:val="00BB19A9"/>
    <w:rsid w:val="00BB1B4D"/>
    <w:rsid w:val="00BB1F56"/>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4B7"/>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68"/>
    <w:rsid w:val="00BB6BCA"/>
    <w:rsid w:val="00BB6D89"/>
    <w:rsid w:val="00BB6EA6"/>
    <w:rsid w:val="00BB6F54"/>
    <w:rsid w:val="00BB7114"/>
    <w:rsid w:val="00BB748D"/>
    <w:rsid w:val="00BB7652"/>
    <w:rsid w:val="00BB7EEF"/>
    <w:rsid w:val="00BB7F93"/>
    <w:rsid w:val="00BC0005"/>
    <w:rsid w:val="00BC001B"/>
    <w:rsid w:val="00BC02EA"/>
    <w:rsid w:val="00BC0561"/>
    <w:rsid w:val="00BC0709"/>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052"/>
    <w:rsid w:val="00BD2742"/>
    <w:rsid w:val="00BD2766"/>
    <w:rsid w:val="00BD2843"/>
    <w:rsid w:val="00BD2926"/>
    <w:rsid w:val="00BD299E"/>
    <w:rsid w:val="00BD2A15"/>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351"/>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2E43"/>
    <w:rsid w:val="00BE3451"/>
    <w:rsid w:val="00BE3506"/>
    <w:rsid w:val="00BE3AE6"/>
    <w:rsid w:val="00BE3CA2"/>
    <w:rsid w:val="00BE3E18"/>
    <w:rsid w:val="00BE3EF6"/>
    <w:rsid w:val="00BE3FAB"/>
    <w:rsid w:val="00BE403A"/>
    <w:rsid w:val="00BE490D"/>
    <w:rsid w:val="00BE4A40"/>
    <w:rsid w:val="00BE53DF"/>
    <w:rsid w:val="00BE54CF"/>
    <w:rsid w:val="00BE5602"/>
    <w:rsid w:val="00BE5604"/>
    <w:rsid w:val="00BE5642"/>
    <w:rsid w:val="00BE5713"/>
    <w:rsid w:val="00BE58BD"/>
    <w:rsid w:val="00BE5911"/>
    <w:rsid w:val="00BE5A6F"/>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1A3"/>
    <w:rsid w:val="00BF63C4"/>
    <w:rsid w:val="00BF659C"/>
    <w:rsid w:val="00BF67EF"/>
    <w:rsid w:val="00BF68A0"/>
    <w:rsid w:val="00BF68D9"/>
    <w:rsid w:val="00BF6B12"/>
    <w:rsid w:val="00BF6B85"/>
    <w:rsid w:val="00BF6D9F"/>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AF"/>
    <w:rsid w:val="00C019FC"/>
    <w:rsid w:val="00C01B0B"/>
    <w:rsid w:val="00C01E7D"/>
    <w:rsid w:val="00C01EBD"/>
    <w:rsid w:val="00C01F1E"/>
    <w:rsid w:val="00C02001"/>
    <w:rsid w:val="00C0202B"/>
    <w:rsid w:val="00C02049"/>
    <w:rsid w:val="00C0216F"/>
    <w:rsid w:val="00C021BB"/>
    <w:rsid w:val="00C021EB"/>
    <w:rsid w:val="00C02299"/>
    <w:rsid w:val="00C0240F"/>
    <w:rsid w:val="00C029EA"/>
    <w:rsid w:val="00C02A20"/>
    <w:rsid w:val="00C02B39"/>
    <w:rsid w:val="00C02B4F"/>
    <w:rsid w:val="00C02DE3"/>
    <w:rsid w:val="00C02ECB"/>
    <w:rsid w:val="00C02FE1"/>
    <w:rsid w:val="00C03012"/>
    <w:rsid w:val="00C03091"/>
    <w:rsid w:val="00C03421"/>
    <w:rsid w:val="00C036E8"/>
    <w:rsid w:val="00C0371A"/>
    <w:rsid w:val="00C0373D"/>
    <w:rsid w:val="00C03DA6"/>
    <w:rsid w:val="00C03EA6"/>
    <w:rsid w:val="00C03F92"/>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A1"/>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D61"/>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2D"/>
    <w:rsid w:val="00C253D2"/>
    <w:rsid w:val="00C25692"/>
    <w:rsid w:val="00C25A2D"/>
    <w:rsid w:val="00C25EFB"/>
    <w:rsid w:val="00C26018"/>
    <w:rsid w:val="00C2632E"/>
    <w:rsid w:val="00C267F3"/>
    <w:rsid w:val="00C2684E"/>
    <w:rsid w:val="00C26B1C"/>
    <w:rsid w:val="00C26BBA"/>
    <w:rsid w:val="00C26C21"/>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AD3"/>
    <w:rsid w:val="00C40B04"/>
    <w:rsid w:val="00C40C3D"/>
    <w:rsid w:val="00C40C5C"/>
    <w:rsid w:val="00C40E4D"/>
    <w:rsid w:val="00C40E78"/>
    <w:rsid w:val="00C412CD"/>
    <w:rsid w:val="00C41366"/>
    <w:rsid w:val="00C41407"/>
    <w:rsid w:val="00C41557"/>
    <w:rsid w:val="00C41A77"/>
    <w:rsid w:val="00C41C83"/>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19"/>
    <w:rsid w:val="00C47D7C"/>
    <w:rsid w:val="00C47F39"/>
    <w:rsid w:val="00C47FE6"/>
    <w:rsid w:val="00C50321"/>
    <w:rsid w:val="00C50A6A"/>
    <w:rsid w:val="00C510DD"/>
    <w:rsid w:val="00C511E3"/>
    <w:rsid w:val="00C513EF"/>
    <w:rsid w:val="00C51561"/>
    <w:rsid w:val="00C517F3"/>
    <w:rsid w:val="00C51E31"/>
    <w:rsid w:val="00C51E7E"/>
    <w:rsid w:val="00C52399"/>
    <w:rsid w:val="00C5258C"/>
    <w:rsid w:val="00C525DD"/>
    <w:rsid w:val="00C52734"/>
    <w:rsid w:val="00C5277F"/>
    <w:rsid w:val="00C527E5"/>
    <w:rsid w:val="00C528D4"/>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4E8"/>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7E7"/>
    <w:rsid w:val="00C5683B"/>
    <w:rsid w:val="00C56842"/>
    <w:rsid w:val="00C56861"/>
    <w:rsid w:val="00C568F7"/>
    <w:rsid w:val="00C56901"/>
    <w:rsid w:val="00C56E1F"/>
    <w:rsid w:val="00C5707C"/>
    <w:rsid w:val="00C572B3"/>
    <w:rsid w:val="00C5738D"/>
    <w:rsid w:val="00C57632"/>
    <w:rsid w:val="00C576D9"/>
    <w:rsid w:val="00C5776B"/>
    <w:rsid w:val="00C57A68"/>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6F"/>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6FCD"/>
    <w:rsid w:val="00C6703C"/>
    <w:rsid w:val="00C676EE"/>
    <w:rsid w:val="00C67874"/>
    <w:rsid w:val="00C678F6"/>
    <w:rsid w:val="00C67E1C"/>
    <w:rsid w:val="00C67E40"/>
    <w:rsid w:val="00C67F10"/>
    <w:rsid w:val="00C70069"/>
    <w:rsid w:val="00C70100"/>
    <w:rsid w:val="00C702E2"/>
    <w:rsid w:val="00C70519"/>
    <w:rsid w:val="00C70599"/>
    <w:rsid w:val="00C705D0"/>
    <w:rsid w:val="00C7067C"/>
    <w:rsid w:val="00C707A1"/>
    <w:rsid w:val="00C707B4"/>
    <w:rsid w:val="00C70CDD"/>
    <w:rsid w:val="00C7115C"/>
    <w:rsid w:val="00C71227"/>
    <w:rsid w:val="00C713D1"/>
    <w:rsid w:val="00C7147D"/>
    <w:rsid w:val="00C715D6"/>
    <w:rsid w:val="00C71727"/>
    <w:rsid w:val="00C71909"/>
    <w:rsid w:val="00C71B0E"/>
    <w:rsid w:val="00C71B91"/>
    <w:rsid w:val="00C71D14"/>
    <w:rsid w:val="00C7207A"/>
    <w:rsid w:val="00C72281"/>
    <w:rsid w:val="00C7237B"/>
    <w:rsid w:val="00C72411"/>
    <w:rsid w:val="00C724EB"/>
    <w:rsid w:val="00C7261F"/>
    <w:rsid w:val="00C72633"/>
    <w:rsid w:val="00C726D6"/>
    <w:rsid w:val="00C72701"/>
    <w:rsid w:val="00C72A16"/>
    <w:rsid w:val="00C72A34"/>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686"/>
    <w:rsid w:val="00C77763"/>
    <w:rsid w:val="00C77AA1"/>
    <w:rsid w:val="00C77CA0"/>
    <w:rsid w:val="00C77D0B"/>
    <w:rsid w:val="00C77EAA"/>
    <w:rsid w:val="00C80530"/>
    <w:rsid w:val="00C8053D"/>
    <w:rsid w:val="00C805B9"/>
    <w:rsid w:val="00C80612"/>
    <w:rsid w:val="00C80766"/>
    <w:rsid w:val="00C80A18"/>
    <w:rsid w:val="00C80A98"/>
    <w:rsid w:val="00C80AFB"/>
    <w:rsid w:val="00C80DB0"/>
    <w:rsid w:val="00C80DE5"/>
    <w:rsid w:val="00C8116B"/>
    <w:rsid w:val="00C813CD"/>
    <w:rsid w:val="00C81487"/>
    <w:rsid w:val="00C81A94"/>
    <w:rsid w:val="00C81BA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9B4"/>
    <w:rsid w:val="00C87CFC"/>
    <w:rsid w:val="00C900CA"/>
    <w:rsid w:val="00C902DA"/>
    <w:rsid w:val="00C90560"/>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D49"/>
    <w:rsid w:val="00C97F50"/>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F2E"/>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180"/>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960"/>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8A9"/>
    <w:rsid w:val="00CB69AA"/>
    <w:rsid w:val="00CB6A8E"/>
    <w:rsid w:val="00CB6B3A"/>
    <w:rsid w:val="00CB6FEF"/>
    <w:rsid w:val="00CB71D2"/>
    <w:rsid w:val="00CB738A"/>
    <w:rsid w:val="00CB73E7"/>
    <w:rsid w:val="00CB758D"/>
    <w:rsid w:val="00CB7700"/>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0C1"/>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2AF"/>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22"/>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563"/>
    <w:rsid w:val="00CE1670"/>
    <w:rsid w:val="00CE1767"/>
    <w:rsid w:val="00CE1B9A"/>
    <w:rsid w:val="00CE1D2D"/>
    <w:rsid w:val="00CE1E9C"/>
    <w:rsid w:val="00CE1F90"/>
    <w:rsid w:val="00CE2209"/>
    <w:rsid w:val="00CE222E"/>
    <w:rsid w:val="00CE2560"/>
    <w:rsid w:val="00CE26B4"/>
    <w:rsid w:val="00CE278A"/>
    <w:rsid w:val="00CE2C72"/>
    <w:rsid w:val="00CE2EA7"/>
    <w:rsid w:val="00CE339D"/>
    <w:rsid w:val="00CE33DA"/>
    <w:rsid w:val="00CE347A"/>
    <w:rsid w:val="00CE34D3"/>
    <w:rsid w:val="00CE352F"/>
    <w:rsid w:val="00CE36FE"/>
    <w:rsid w:val="00CE37A0"/>
    <w:rsid w:val="00CE38FD"/>
    <w:rsid w:val="00CE3BA8"/>
    <w:rsid w:val="00CE40C0"/>
    <w:rsid w:val="00CE4281"/>
    <w:rsid w:val="00CE4747"/>
    <w:rsid w:val="00CE4793"/>
    <w:rsid w:val="00CE4A80"/>
    <w:rsid w:val="00CE4A97"/>
    <w:rsid w:val="00CE4B35"/>
    <w:rsid w:val="00CE4FB1"/>
    <w:rsid w:val="00CE4FDC"/>
    <w:rsid w:val="00CE5425"/>
    <w:rsid w:val="00CE569B"/>
    <w:rsid w:val="00CE56E7"/>
    <w:rsid w:val="00CE5824"/>
    <w:rsid w:val="00CE5903"/>
    <w:rsid w:val="00CE592A"/>
    <w:rsid w:val="00CE5A11"/>
    <w:rsid w:val="00CE5C36"/>
    <w:rsid w:val="00CE5DCB"/>
    <w:rsid w:val="00CE5F5A"/>
    <w:rsid w:val="00CE5F9D"/>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073"/>
    <w:rsid w:val="00CF130A"/>
    <w:rsid w:val="00CF13AF"/>
    <w:rsid w:val="00CF1441"/>
    <w:rsid w:val="00CF1782"/>
    <w:rsid w:val="00CF1B11"/>
    <w:rsid w:val="00CF1BDA"/>
    <w:rsid w:val="00CF1D86"/>
    <w:rsid w:val="00CF2564"/>
    <w:rsid w:val="00CF25B2"/>
    <w:rsid w:val="00CF2AE6"/>
    <w:rsid w:val="00CF304C"/>
    <w:rsid w:val="00CF393C"/>
    <w:rsid w:val="00CF3C43"/>
    <w:rsid w:val="00CF3C57"/>
    <w:rsid w:val="00CF404F"/>
    <w:rsid w:val="00CF414C"/>
    <w:rsid w:val="00CF4656"/>
    <w:rsid w:val="00CF49BD"/>
    <w:rsid w:val="00CF4C53"/>
    <w:rsid w:val="00CF4FA6"/>
    <w:rsid w:val="00CF5018"/>
    <w:rsid w:val="00CF5257"/>
    <w:rsid w:val="00CF52CF"/>
    <w:rsid w:val="00CF53CD"/>
    <w:rsid w:val="00CF552F"/>
    <w:rsid w:val="00CF5599"/>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87E"/>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548"/>
    <w:rsid w:val="00D21602"/>
    <w:rsid w:val="00D2162E"/>
    <w:rsid w:val="00D2196D"/>
    <w:rsid w:val="00D219EC"/>
    <w:rsid w:val="00D21B2C"/>
    <w:rsid w:val="00D21F98"/>
    <w:rsid w:val="00D220D9"/>
    <w:rsid w:val="00D22473"/>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898"/>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15"/>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A9D"/>
    <w:rsid w:val="00D41B77"/>
    <w:rsid w:val="00D41DC9"/>
    <w:rsid w:val="00D41F29"/>
    <w:rsid w:val="00D4205D"/>
    <w:rsid w:val="00D4252D"/>
    <w:rsid w:val="00D42685"/>
    <w:rsid w:val="00D42902"/>
    <w:rsid w:val="00D4299C"/>
    <w:rsid w:val="00D42A22"/>
    <w:rsid w:val="00D42AE4"/>
    <w:rsid w:val="00D42B1F"/>
    <w:rsid w:val="00D42F1E"/>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D86"/>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821"/>
    <w:rsid w:val="00D70A11"/>
    <w:rsid w:val="00D70C62"/>
    <w:rsid w:val="00D70E26"/>
    <w:rsid w:val="00D70EC0"/>
    <w:rsid w:val="00D70F94"/>
    <w:rsid w:val="00D713E9"/>
    <w:rsid w:val="00D71417"/>
    <w:rsid w:val="00D714F6"/>
    <w:rsid w:val="00D7152E"/>
    <w:rsid w:val="00D71824"/>
    <w:rsid w:val="00D71880"/>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51A"/>
    <w:rsid w:val="00D82780"/>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840"/>
    <w:rsid w:val="00D879FB"/>
    <w:rsid w:val="00D87CC8"/>
    <w:rsid w:val="00D87DEA"/>
    <w:rsid w:val="00D87F46"/>
    <w:rsid w:val="00D900B9"/>
    <w:rsid w:val="00D901A8"/>
    <w:rsid w:val="00D902C3"/>
    <w:rsid w:val="00D902D3"/>
    <w:rsid w:val="00D90655"/>
    <w:rsid w:val="00D909AE"/>
    <w:rsid w:val="00D909F9"/>
    <w:rsid w:val="00D90B84"/>
    <w:rsid w:val="00D90DCF"/>
    <w:rsid w:val="00D91045"/>
    <w:rsid w:val="00D91610"/>
    <w:rsid w:val="00D916CC"/>
    <w:rsid w:val="00D916ED"/>
    <w:rsid w:val="00D91761"/>
    <w:rsid w:val="00D919CF"/>
    <w:rsid w:val="00D91BA7"/>
    <w:rsid w:val="00D92426"/>
    <w:rsid w:val="00D928DF"/>
    <w:rsid w:val="00D9298C"/>
    <w:rsid w:val="00D92A04"/>
    <w:rsid w:val="00D92A91"/>
    <w:rsid w:val="00D92B12"/>
    <w:rsid w:val="00D92BEF"/>
    <w:rsid w:val="00D92C59"/>
    <w:rsid w:val="00D92CCF"/>
    <w:rsid w:val="00D92F56"/>
    <w:rsid w:val="00D931E2"/>
    <w:rsid w:val="00D93719"/>
    <w:rsid w:val="00D939FD"/>
    <w:rsid w:val="00D93A3A"/>
    <w:rsid w:val="00D93B11"/>
    <w:rsid w:val="00D93C24"/>
    <w:rsid w:val="00D94689"/>
    <w:rsid w:val="00D948A7"/>
    <w:rsid w:val="00D94B94"/>
    <w:rsid w:val="00D94C69"/>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363"/>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06B7"/>
    <w:rsid w:val="00DA10E1"/>
    <w:rsid w:val="00DA12B1"/>
    <w:rsid w:val="00DA1766"/>
    <w:rsid w:val="00DA19D4"/>
    <w:rsid w:val="00DA1A57"/>
    <w:rsid w:val="00DA1DB2"/>
    <w:rsid w:val="00DA1F46"/>
    <w:rsid w:val="00DA20E5"/>
    <w:rsid w:val="00DA2B9E"/>
    <w:rsid w:val="00DA2D8E"/>
    <w:rsid w:val="00DA2E17"/>
    <w:rsid w:val="00DA2E2C"/>
    <w:rsid w:val="00DA2FA4"/>
    <w:rsid w:val="00DA3037"/>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8B"/>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3E5"/>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6F0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29"/>
    <w:rsid w:val="00DC7489"/>
    <w:rsid w:val="00DC7553"/>
    <w:rsid w:val="00DC766F"/>
    <w:rsid w:val="00DC76B5"/>
    <w:rsid w:val="00DC7888"/>
    <w:rsid w:val="00DC78B7"/>
    <w:rsid w:val="00DC7921"/>
    <w:rsid w:val="00DC7B4A"/>
    <w:rsid w:val="00DC7E9A"/>
    <w:rsid w:val="00DC7F66"/>
    <w:rsid w:val="00DD0144"/>
    <w:rsid w:val="00DD01BE"/>
    <w:rsid w:val="00DD0270"/>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298"/>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11B"/>
    <w:rsid w:val="00DE7847"/>
    <w:rsid w:val="00DE784C"/>
    <w:rsid w:val="00DE7880"/>
    <w:rsid w:val="00DE7A26"/>
    <w:rsid w:val="00DE7D39"/>
    <w:rsid w:val="00DE7EE8"/>
    <w:rsid w:val="00DF05C8"/>
    <w:rsid w:val="00DF0768"/>
    <w:rsid w:val="00DF0C29"/>
    <w:rsid w:val="00DF0C96"/>
    <w:rsid w:val="00DF0FD9"/>
    <w:rsid w:val="00DF1593"/>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2D7"/>
    <w:rsid w:val="00E004FE"/>
    <w:rsid w:val="00E00709"/>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925"/>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84B"/>
    <w:rsid w:val="00E06B00"/>
    <w:rsid w:val="00E07354"/>
    <w:rsid w:val="00E074FB"/>
    <w:rsid w:val="00E076FC"/>
    <w:rsid w:val="00E07897"/>
    <w:rsid w:val="00E07ACC"/>
    <w:rsid w:val="00E07B1B"/>
    <w:rsid w:val="00E07C91"/>
    <w:rsid w:val="00E07D0C"/>
    <w:rsid w:val="00E1056D"/>
    <w:rsid w:val="00E10788"/>
    <w:rsid w:val="00E109C4"/>
    <w:rsid w:val="00E10A17"/>
    <w:rsid w:val="00E10D28"/>
    <w:rsid w:val="00E10D34"/>
    <w:rsid w:val="00E10F98"/>
    <w:rsid w:val="00E110A4"/>
    <w:rsid w:val="00E11213"/>
    <w:rsid w:val="00E115D7"/>
    <w:rsid w:val="00E116E5"/>
    <w:rsid w:val="00E11835"/>
    <w:rsid w:val="00E11877"/>
    <w:rsid w:val="00E11A77"/>
    <w:rsid w:val="00E11D5A"/>
    <w:rsid w:val="00E11D68"/>
    <w:rsid w:val="00E11FE6"/>
    <w:rsid w:val="00E120C9"/>
    <w:rsid w:val="00E122E3"/>
    <w:rsid w:val="00E12390"/>
    <w:rsid w:val="00E126C4"/>
    <w:rsid w:val="00E126D5"/>
    <w:rsid w:val="00E12851"/>
    <w:rsid w:val="00E12AD7"/>
    <w:rsid w:val="00E12CB5"/>
    <w:rsid w:val="00E12E55"/>
    <w:rsid w:val="00E13003"/>
    <w:rsid w:val="00E13046"/>
    <w:rsid w:val="00E131E8"/>
    <w:rsid w:val="00E135F8"/>
    <w:rsid w:val="00E13A86"/>
    <w:rsid w:val="00E13C9E"/>
    <w:rsid w:val="00E13DFD"/>
    <w:rsid w:val="00E13E06"/>
    <w:rsid w:val="00E140C2"/>
    <w:rsid w:val="00E14165"/>
    <w:rsid w:val="00E14237"/>
    <w:rsid w:val="00E1428C"/>
    <w:rsid w:val="00E1463B"/>
    <w:rsid w:val="00E14756"/>
    <w:rsid w:val="00E14C91"/>
    <w:rsid w:val="00E1562D"/>
    <w:rsid w:val="00E1598D"/>
    <w:rsid w:val="00E159AC"/>
    <w:rsid w:val="00E15D4C"/>
    <w:rsid w:val="00E15EDD"/>
    <w:rsid w:val="00E16030"/>
    <w:rsid w:val="00E163CF"/>
    <w:rsid w:val="00E16862"/>
    <w:rsid w:val="00E16868"/>
    <w:rsid w:val="00E16869"/>
    <w:rsid w:val="00E16C3E"/>
    <w:rsid w:val="00E16D8A"/>
    <w:rsid w:val="00E16E34"/>
    <w:rsid w:val="00E16EEE"/>
    <w:rsid w:val="00E173C1"/>
    <w:rsid w:val="00E1768D"/>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89"/>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1"/>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A58"/>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1A2"/>
    <w:rsid w:val="00E31217"/>
    <w:rsid w:val="00E312F5"/>
    <w:rsid w:val="00E31342"/>
    <w:rsid w:val="00E315F7"/>
    <w:rsid w:val="00E31665"/>
    <w:rsid w:val="00E318F4"/>
    <w:rsid w:val="00E318F9"/>
    <w:rsid w:val="00E3198C"/>
    <w:rsid w:val="00E31995"/>
    <w:rsid w:val="00E319AE"/>
    <w:rsid w:val="00E31DAA"/>
    <w:rsid w:val="00E31E1C"/>
    <w:rsid w:val="00E321AB"/>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2F2"/>
    <w:rsid w:val="00E3754A"/>
    <w:rsid w:val="00E3754C"/>
    <w:rsid w:val="00E37B1A"/>
    <w:rsid w:val="00E37B6D"/>
    <w:rsid w:val="00E37D0A"/>
    <w:rsid w:val="00E37D7E"/>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1DD5"/>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CA4"/>
    <w:rsid w:val="00E47D82"/>
    <w:rsid w:val="00E47FB4"/>
    <w:rsid w:val="00E50193"/>
    <w:rsid w:val="00E50376"/>
    <w:rsid w:val="00E50405"/>
    <w:rsid w:val="00E50450"/>
    <w:rsid w:val="00E50554"/>
    <w:rsid w:val="00E506A1"/>
    <w:rsid w:val="00E50709"/>
    <w:rsid w:val="00E5076B"/>
    <w:rsid w:val="00E507C5"/>
    <w:rsid w:val="00E507CF"/>
    <w:rsid w:val="00E50B0A"/>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40"/>
    <w:rsid w:val="00E54756"/>
    <w:rsid w:val="00E54809"/>
    <w:rsid w:val="00E54A9B"/>
    <w:rsid w:val="00E54E0A"/>
    <w:rsid w:val="00E55056"/>
    <w:rsid w:val="00E55079"/>
    <w:rsid w:val="00E556E9"/>
    <w:rsid w:val="00E557A0"/>
    <w:rsid w:val="00E557B2"/>
    <w:rsid w:val="00E5589A"/>
    <w:rsid w:val="00E55AA5"/>
    <w:rsid w:val="00E55CF9"/>
    <w:rsid w:val="00E562E2"/>
    <w:rsid w:val="00E564A7"/>
    <w:rsid w:val="00E5659C"/>
    <w:rsid w:val="00E56627"/>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182"/>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30"/>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B9"/>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24E"/>
    <w:rsid w:val="00E7667C"/>
    <w:rsid w:val="00E769E0"/>
    <w:rsid w:val="00E76A29"/>
    <w:rsid w:val="00E77248"/>
    <w:rsid w:val="00E77435"/>
    <w:rsid w:val="00E774EA"/>
    <w:rsid w:val="00E77521"/>
    <w:rsid w:val="00E77601"/>
    <w:rsid w:val="00E776BC"/>
    <w:rsid w:val="00E777D8"/>
    <w:rsid w:val="00E77821"/>
    <w:rsid w:val="00E778D9"/>
    <w:rsid w:val="00E7795D"/>
    <w:rsid w:val="00E77AF5"/>
    <w:rsid w:val="00E77D78"/>
    <w:rsid w:val="00E803F4"/>
    <w:rsid w:val="00E80409"/>
    <w:rsid w:val="00E80BC2"/>
    <w:rsid w:val="00E80C1B"/>
    <w:rsid w:val="00E80D88"/>
    <w:rsid w:val="00E80D9B"/>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4AE"/>
    <w:rsid w:val="00E828A3"/>
    <w:rsid w:val="00E82CEB"/>
    <w:rsid w:val="00E82D51"/>
    <w:rsid w:val="00E82DDF"/>
    <w:rsid w:val="00E83116"/>
    <w:rsid w:val="00E832B5"/>
    <w:rsid w:val="00E83482"/>
    <w:rsid w:val="00E83672"/>
    <w:rsid w:val="00E836B5"/>
    <w:rsid w:val="00E838DC"/>
    <w:rsid w:val="00E83C69"/>
    <w:rsid w:val="00E83D41"/>
    <w:rsid w:val="00E83DF2"/>
    <w:rsid w:val="00E83EEB"/>
    <w:rsid w:val="00E83F82"/>
    <w:rsid w:val="00E841A5"/>
    <w:rsid w:val="00E842D7"/>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531"/>
    <w:rsid w:val="00E915CC"/>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3CF"/>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7B4"/>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5F4"/>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2F59"/>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343"/>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936"/>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46"/>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BF"/>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7E0"/>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28"/>
    <w:rsid w:val="00F05942"/>
    <w:rsid w:val="00F05BA9"/>
    <w:rsid w:val="00F06199"/>
    <w:rsid w:val="00F06919"/>
    <w:rsid w:val="00F06A73"/>
    <w:rsid w:val="00F06B95"/>
    <w:rsid w:val="00F06DA4"/>
    <w:rsid w:val="00F07D4F"/>
    <w:rsid w:val="00F07DC2"/>
    <w:rsid w:val="00F07F24"/>
    <w:rsid w:val="00F07F33"/>
    <w:rsid w:val="00F10244"/>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E78"/>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ACB"/>
    <w:rsid w:val="00F17B27"/>
    <w:rsid w:val="00F17DD5"/>
    <w:rsid w:val="00F17DD9"/>
    <w:rsid w:val="00F2047D"/>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987"/>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338"/>
    <w:rsid w:val="00F33455"/>
    <w:rsid w:val="00F3347C"/>
    <w:rsid w:val="00F334B5"/>
    <w:rsid w:val="00F335E1"/>
    <w:rsid w:val="00F33659"/>
    <w:rsid w:val="00F33822"/>
    <w:rsid w:val="00F33C9E"/>
    <w:rsid w:val="00F3425B"/>
    <w:rsid w:val="00F3474F"/>
    <w:rsid w:val="00F34A4B"/>
    <w:rsid w:val="00F34BD2"/>
    <w:rsid w:val="00F34C70"/>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DB3"/>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5C6E"/>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A50"/>
    <w:rsid w:val="00F47C76"/>
    <w:rsid w:val="00F47DA7"/>
    <w:rsid w:val="00F47EE0"/>
    <w:rsid w:val="00F47F65"/>
    <w:rsid w:val="00F47F7B"/>
    <w:rsid w:val="00F500DE"/>
    <w:rsid w:val="00F50264"/>
    <w:rsid w:val="00F50293"/>
    <w:rsid w:val="00F50CB4"/>
    <w:rsid w:val="00F50D1E"/>
    <w:rsid w:val="00F5116C"/>
    <w:rsid w:val="00F513CD"/>
    <w:rsid w:val="00F515D2"/>
    <w:rsid w:val="00F51915"/>
    <w:rsid w:val="00F51B80"/>
    <w:rsid w:val="00F51B96"/>
    <w:rsid w:val="00F5205C"/>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54"/>
    <w:rsid w:val="00F55639"/>
    <w:rsid w:val="00F5586B"/>
    <w:rsid w:val="00F55A55"/>
    <w:rsid w:val="00F55B31"/>
    <w:rsid w:val="00F55B5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6B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B57"/>
    <w:rsid w:val="00F65C3F"/>
    <w:rsid w:val="00F65DB0"/>
    <w:rsid w:val="00F65F2F"/>
    <w:rsid w:val="00F65FC8"/>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595"/>
    <w:rsid w:val="00F7090E"/>
    <w:rsid w:val="00F70D58"/>
    <w:rsid w:val="00F70EF1"/>
    <w:rsid w:val="00F70F6B"/>
    <w:rsid w:val="00F70FAD"/>
    <w:rsid w:val="00F711AF"/>
    <w:rsid w:val="00F7120C"/>
    <w:rsid w:val="00F712EE"/>
    <w:rsid w:val="00F71383"/>
    <w:rsid w:val="00F716BF"/>
    <w:rsid w:val="00F716E7"/>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C50"/>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041"/>
    <w:rsid w:val="00F811D4"/>
    <w:rsid w:val="00F811DC"/>
    <w:rsid w:val="00F811DF"/>
    <w:rsid w:val="00F811F3"/>
    <w:rsid w:val="00F814C5"/>
    <w:rsid w:val="00F816C7"/>
    <w:rsid w:val="00F818F5"/>
    <w:rsid w:val="00F819E8"/>
    <w:rsid w:val="00F81C01"/>
    <w:rsid w:val="00F81DE1"/>
    <w:rsid w:val="00F81DEB"/>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54A"/>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3E5"/>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4E"/>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2C6"/>
    <w:rsid w:val="00FA2333"/>
    <w:rsid w:val="00FA272F"/>
    <w:rsid w:val="00FA277C"/>
    <w:rsid w:val="00FA3090"/>
    <w:rsid w:val="00FA30B6"/>
    <w:rsid w:val="00FA3264"/>
    <w:rsid w:val="00FA329E"/>
    <w:rsid w:val="00FA3306"/>
    <w:rsid w:val="00FA3578"/>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20"/>
    <w:rsid w:val="00FB1C91"/>
    <w:rsid w:val="00FB1C98"/>
    <w:rsid w:val="00FB1CB3"/>
    <w:rsid w:val="00FB1E07"/>
    <w:rsid w:val="00FB21AF"/>
    <w:rsid w:val="00FB2262"/>
    <w:rsid w:val="00FB2290"/>
    <w:rsid w:val="00FB231B"/>
    <w:rsid w:val="00FB238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4677"/>
    <w:rsid w:val="00FB5189"/>
    <w:rsid w:val="00FB5361"/>
    <w:rsid w:val="00FB53E3"/>
    <w:rsid w:val="00FB5403"/>
    <w:rsid w:val="00FB55F0"/>
    <w:rsid w:val="00FB566A"/>
    <w:rsid w:val="00FB56C5"/>
    <w:rsid w:val="00FB599D"/>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EBA"/>
    <w:rsid w:val="00FC051D"/>
    <w:rsid w:val="00FC05C8"/>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739"/>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737"/>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30A"/>
    <w:rsid w:val="00FD043B"/>
    <w:rsid w:val="00FD0983"/>
    <w:rsid w:val="00FD0991"/>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0D0"/>
    <w:rsid w:val="00FD22E2"/>
    <w:rsid w:val="00FD236F"/>
    <w:rsid w:val="00FD294E"/>
    <w:rsid w:val="00FD2FA9"/>
    <w:rsid w:val="00FD31AA"/>
    <w:rsid w:val="00FD3958"/>
    <w:rsid w:val="00FD3967"/>
    <w:rsid w:val="00FD39F1"/>
    <w:rsid w:val="00FD3C58"/>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9BC"/>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BDD"/>
    <w:rsid w:val="00FE2E25"/>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BBC"/>
    <w:rsid w:val="00FE5C69"/>
    <w:rsid w:val="00FE609C"/>
    <w:rsid w:val="00FE6230"/>
    <w:rsid w:val="00FE6468"/>
    <w:rsid w:val="00FE65A6"/>
    <w:rsid w:val="00FE6646"/>
    <w:rsid w:val="00FE669B"/>
    <w:rsid w:val="00FE6738"/>
    <w:rsid w:val="00FE6917"/>
    <w:rsid w:val="00FE714D"/>
    <w:rsid w:val="00FE7352"/>
    <w:rsid w:val="00FE7D6A"/>
    <w:rsid w:val="00FF018D"/>
    <w:rsid w:val="00FF01B0"/>
    <w:rsid w:val="00FF029E"/>
    <w:rsid w:val="00FF034B"/>
    <w:rsid w:val="00FF03B0"/>
    <w:rsid w:val="00FF0403"/>
    <w:rsid w:val="00FF0448"/>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8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1115B19"/>
    <w:rsid w:val="01213882"/>
    <w:rsid w:val="017442FA"/>
    <w:rsid w:val="01890ABE"/>
    <w:rsid w:val="01A3073B"/>
    <w:rsid w:val="01AD5116"/>
    <w:rsid w:val="021533E7"/>
    <w:rsid w:val="02301FCF"/>
    <w:rsid w:val="02381E39"/>
    <w:rsid w:val="02467A44"/>
    <w:rsid w:val="02533F0F"/>
    <w:rsid w:val="025D4496"/>
    <w:rsid w:val="02697479"/>
    <w:rsid w:val="026C6D7F"/>
    <w:rsid w:val="02A76009"/>
    <w:rsid w:val="02C31095"/>
    <w:rsid w:val="02C44E0D"/>
    <w:rsid w:val="02DA1F3A"/>
    <w:rsid w:val="02E94EF6"/>
    <w:rsid w:val="02F05C02"/>
    <w:rsid w:val="03196F07"/>
    <w:rsid w:val="031C2553"/>
    <w:rsid w:val="03457CFC"/>
    <w:rsid w:val="03930E57"/>
    <w:rsid w:val="03993FF9"/>
    <w:rsid w:val="03A72764"/>
    <w:rsid w:val="03B409DD"/>
    <w:rsid w:val="03C2134C"/>
    <w:rsid w:val="03EF1A15"/>
    <w:rsid w:val="04207E21"/>
    <w:rsid w:val="047563BF"/>
    <w:rsid w:val="048605CC"/>
    <w:rsid w:val="048900BC"/>
    <w:rsid w:val="0498252B"/>
    <w:rsid w:val="04B0389B"/>
    <w:rsid w:val="04C063AA"/>
    <w:rsid w:val="052102F4"/>
    <w:rsid w:val="052120A3"/>
    <w:rsid w:val="053242B0"/>
    <w:rsid w:val="053E0EA6"/>
    <w:rsid w:val="05597A8E"/>
    <w:rsid w:val="055E50A5"/>
    <w:rsid w:val="05A056BD"/>
    <w:rsid w:val="05D435B9"/>
    <w:rsid w:val="05F17CC7"/>
    <w:rsid w:val="064E5119"/>
    <w:rsid w:val="06A42F8B"/>
    <w:rsid w:val="06A66D03"/>
    <w:rsid w:val="06CE1DB6"/>
    <w:rsid w:val="06D66EBD"/>
    <w:rsid w:val="06DA075B"/>
    <w:rsid w:val="07222102"/>
    <w:rsid w:val="074F1149"/>
    <w:rsid w:val="075C1AB8"/>
    <w:rsid w:val="07B90CB8"/>
    <w:rsid w:val="07CD4764"/>
    <w:rsid w:val="08314CF2"/>
    <w:rsid w:val="085F6B82"/>
    <w:rsid w:val="0885645A"/>
    <w:rsid w:val="089332B7"/>
    <w:rsid w:val="089A2898"/>
    <w:rsid w:val="08E65ADD"/>
    <w:rsid w:val="08F24482"/>
    <w:rsid w:val="08F57ACE"/>
    <w:rsid w:val="090830A4"/>
    <w:rsid w:val="092959CA"/>
    <w:rsid w:val="099077F7"/>
    <w:rsid w:val="09C37BCC"/>
    <w:rsid w:val="09DD3BCE"/>
    <w:rsid w:val="0A051F93"/>
    <w:rsid w:val="0A1017D7"/>
    <w:rsid w:val="0A342878"/>
    <w:rsid w:val="0A380254"/>
    <w:rsid w:val="0A424F95"/>
    <w:rsid w:val="0A5B6057"/>
    <w:rsid w:val="0A60366D"/>
    <w:rsid w:val="0A7113D6"/>
    <w:rsid w:val="0A892BC4"/>
    <w:rsid w:val="0AB85257"/>
    <w:rsid w:val="0AC51F3F"/>
    <w:rsid w:val="0AC7549A"/>
    <w:rsid w:val="0B660C1A"/>
    <w:rsid w:val="0B6F6D66"/>
    <w:rsid w:val="0BB264F5"/>
    <w:rsid w:val="0BC8278A"/>
    <w:rsid w:val="0BF95B27"/>
    <w:rsid w:val="0C0128F7"/>
    <w:rsid w:val="0C01678A"/>
    <w:rsid w:val="0C0D15D3"/>
    <w:rsid w:val="0C232BA4"/>
    <w:rsid w:val="0C452C63"/>
    <w:rsid w:val="0C580AA0"/>
    <w:rsid w:val="0C5A2487"/>
    <w:rsid w:val="0C5B0590"/>
    <w:rsid w:val="0C656D19"/>
    <w:rsid w:val="0CA84E57"/>
    <w:rsid w:val="0CB11F5E"/>
    <w:rsid w:val="0CC954FA"/>
    <w:rsid w:val="0CD8573D"/>
    <w:rsid w:val="0D295F98"/>
    <w:rsid w:val="0D3D7C96"/>
    <w:rsid w:val="0D802B47"/>
    <w:rsid w:val="0D9F625A"/>
    <w:rsid w:val="0DB52D2F"/>
    <w:rsid w:val="0DC83A03"/>
    <w:rsid w:val="0DFA5B87"/>
    <w:rsid w:val="0E2F5830"/>
    <w:rsid w:val="0E35096D"/>
    <w:rsid w:val="0E3966AF"/>
    <w:rsid w:val="0E412690"/>
    <w:rsid w:val="0E464928"/>
    <w:rsid w:val="0E541B40"/>
    <w:rsid w:val="0E664FCA"/>
    <w:rsid w:val="0E767FF6"/>
    <w:rsid w:val="0E9C279A"/>
    <w:rsid w:val="0ED85EC8"/>
    <w:rsid w:val="0EF80318"/>
    <w:rsid w:val="0F087E2F"/>
    <w:rsid w:val="0F476BAA"/>
    <w:rsid w:val="0F4946D0"/>
    <w:rsid w:val="0F751969"/>
    <w:rsid w:val="0FB3423F"/>
    <w:rsid w:val="0FED3A67"/>
    <w:rsid w:val="10294501"/>
    <w:rsid w:val="10394744"/>
    <w:rsid w:val="10594DE6"/>
    <w:rsid w:val="10797237"/>
    <w:rsid w:val="10967DE9"/>
    <w:rsid w:val="10D426BF"/>
    <w:rsid w:val="110F7B9B"/>
    <w:rsid w:val="116021A5"/>
    <w:rsid w:val="11755C50"/>
    <w:rsid w:val="11A402E3"/>
    <w:rsid w:val="11A740F6"/>
    <w:rsid w:val="11B54F2C"/>
    <w:rsid w:val="11BF336F"/>
    <w:rsid w:val="11DC5CCF"/>
    <w:rsid w:val="11E06E41"/>
    <w:rsid w:val="11F12DFD"/>
    <w:rsid w:val="120174E4"/>
    <w:rsid w:val="12266F4A"/>
    <w:rsid w:val="12307DC9"/>
    <w:rsid w:val="123E1747"/>
    <w:rsid w:val="124F64A1"/>
    <w:rsid w:val="12577104"/>
    <w:rsid w:val="129C545E"/>
    <w:rsid w:val="12B96010"/>
    <w:rsid w:val="13516249"/>
    <w:rsid w:val="13581385"/>
    <w:rsid w:val="13653AA2"/>
    <w:rsid w:val="14076907"/>
    <w:rsid w:val="142B0848"/>
    <w:rsid w:val="14427A9F"/>
    <w:rsid w:val="14535FF1"/>
    <w:rsid w:val="14863CD0"/>
    <w:rsid w:val="149A3C1F"/>
    <w:rsid w:val="14AF1479"/>
    <w:rsid w:val="14C8078D"/>
    <w:rsid w:val="14D964F6"/>
    <w:rsid w:val="152F25BA"/>
    <w:rsid w:val="15322192"/>
    <w:rsid w:val="156F29B6"/>
    <w:rsid w:val="157B75AD"/>
    <w:rsid w:val="15C54CCC"/>
    <w:rsid w:val="15E213DA"/>
    <w:rsid w:val="16135A37"/>
    <w:rsid w:val="16302145"/>
    <w:rsid w:val="16C44F84"/>
    <w:rsid w:val="16C46D32"/>
    <w:rsid w:val="16EB0762"/>
    <w:rsid w:val="16FE0496"/>
    <w:rsid w:val="17011D34"/>
    <w:rsid w:val="170B2BB3"/>
    <w:rsid w:val="17283764"/>
    <w:rsid w:val="17AC7EF2"/>
    <w:rsid w:val="17CC40F0"/>
    <w:rsid w:val="17DF2075"/>
    <w:rsid w:val="17F93E0B"/>
    <w:rsid w:val="18043949"/>
    <w:rsid w:val="180C6BE2"/>
    <w:rsid w:val="182B52BA"/>
    <w:rsid w:val="18455C50"/>
    <w:rsid w:val="185D2F9A"/>
    <w:rsid w:val="18BD7EDC"/>
    <w:rsid w:val="18CB759E"/>
    <w:rsid w:val="18CD45C3"/>
    <w:rsid w:val="19061883"/>
    <w:rsid w:val="190B6E9A"/>
    <w:rsid w:val="192B3098"/>
    <w:rsid w:val="193A152D"/>
    <w:rsid w:val="19A03A86"/>
    <w:rsid w:val="19C05ED6"/>
    <w:rsid w:val="19CA28B1"/>
    <w:rsid w:val="1A045DC3"/>
    <w:rsid w:val="1A134258"/>
    <w:rsid w:val="1A163D48"/>
    <w:rsid w:val="1A2E2E40"/>
    <w:rsid w:val="1A646862"/>
    <w:rsid w:val="1A7B1DFD"/>
    <w:rsid w:val="1AA90718"/>
    <w:rsid w:val="1ABD2416"/>
    <w:rsid w:val="1ACB41A7"/>
    <w:rsid w:val="1B083691"/>
    <w:rsid w:val="1B1C538E"/>
    <w:rsid w:val="1B395F40"/>
    <w:rsid w:val="1B593EEC"/>
    <w:rsid w:val="1BA86C22"/>
    <w:rsid w:val="1BB27AA1"/>
    <w:rsid w:val="1BF27E9D"/>
    <w:rsid w:val="1BF73705"/>
    <w:rsid w:val="1C34700D"/>
    <w:rsid w:val="1C43089F"/>
    <w:rsid w:val="1C44694B"/>
    <w:rsid w:val="1C455CA5"/>
    <w:rsid w:val="1C6E1C1A"/>
    <w:rsid w:val="1C7F3E27"/>
    <w:rsid w:val="1CCE4466"/>
    <w:rsid w:val="1CD22153"/>
    <w:rsid w:val="1D2422D8"/>
    <w:rsid w:val="1D2C69D2"/>
    <w:rsid w:val="1D320E99"/>
    <w:rsid w:val="1D554B87"/>
    <w:rsid w:val="1D5F77B4"/>
    <w:rsid w:val="1D884F5D"/>
    <w:rsid w:val="1DF443A0"/>
    <w:rsid w:val="1E064989"/>
    <w:rsid w:val="1E4C5F8A"/>
    <w:rsid w:val="1E51534F"/>
    <w:rsid w:val="1E6C0941"/>
    <w:rsid w:val="1EFF124F"/>
    <w:rsid w:val="1F345F2A"/>
    <w:rsid w:val="1FB2006F"/>
    <w:rsid w:val="1FB931AC"/>
    <w:rsid w:val="1FCB1131"/>
    <w:rsid w:val="1FD44489"/>
    <w:rsid w:val="1FD75D28"/>
    <w:rsid w:val="1FD955FC"/>
    <w:rsid w:val="1FE12599"/>
    <w:rsid w:val="1FE3647B"/>
    <w:rsid w:val="2010022D"/>
    <w:rsid w:val="203D202F"/>
    <w:rsid w:val="208337BA"/>
    <w:rsid w:val="208732AA"/>
    <w:rsid w:val="20AC4ABE"/>
    <w:rsid w:val="20BD0AAB"/>
    <w:rsid w:val="20C91B14"/>
    <w:rsid w:val="20FB5A46"/>
    <w:rsid w:val="21042B4C"/>
    <w:rsid w:val="21260D15"/>
    <w:rsid w:val="21341CA3"/>
    <w:rsid w:val="218912A4"/>
    <w:rsid w:val="21920158"/>
    <w:rsid w:val="21935C7E"/>
    <w:rsid w:val="219A0DBB"/>
    <w:rsid w:val="22543660"/>
    <w:rsid w:val="226513C9"/>
    <w:rsid w:val="22714212"/>
    <w:rsid w:val="22877591"/>
    <w:rsid w:val="228A52D3"/>
    <w:rsid w:val="22AE0FC2"/>
    <w:rsid w:val="233E4DFB"/>
    <w:rsid w:val="238910E7"/>
    <w:rsid w:val="23983A20"/>
    <w:rsid w:val="239E00B4"/>
    <w:rsid w:val="23E564D4"/>
    <w:rsid w:val="23F23130"/>
    <w:rsid w:val="240D7F6A"/>
    <w:rsid w:val="24174945"/>
    <w:rsid w:val="24284DA4"/>
    <w:rsid w:val="2433552A"/>
    <w:rsid w:val="24346C8D"/>
    <w:rsid w:val="24C820E3"/>
    <w:rsid w:val="24D6035C"/>
    <w:rsid w:val="250824DF"/>
    <w:rsid w:val="251E74A4"/>
    <w:rsid w:val="253024AD"/>
    <w:rsid w:val="253F66D1"/>
    <w:rsid w:val="2554491A"/>
    <w:rsid w:val="25956469"/>
    <w:rsid w:val="25BD151C"/>
    <w:rsid w:val="25F50CB6"/>
    <w:rsid w:val="260E7FC9"/>
    <w:rsid w:val="26263565"/>
    <w:rsid w:val="26413EFB"/>
    <w:rsid w:val="266D2F42"/>
    <w:rsid w:val="26760C2A"/>
    <w:rsid w:val="26C16DEA"/>
    <w:rsid w:val="26F31699"/>
    <w:rsid w:val="272E0923"/>
    <w:rsid w:val="272E26D1"/>
    <w:rsid w:val="277420AE"/>
    <w:rsid w:val="277B168E"/>
    <w:rsid w:val="27843CE5"/>
    <w:rsid w:val="27910EB2"/>
    <w:rsid w:val="27E17743"/>
    <w:rsid w:val="27EB05C2"/>
    <w:rsid w:val="282F4953"/>
    <w:rsid w:val="28575C58"/>
    <w:rsid w:val="2858552C"/>
    <w:rsid w:val="287C56BE"/>
    <w:rsid w:val="28893937"/>
    <w:rsid w:val="28A349F9"/>
    <w:rsid w:val="28B95A3F"/>
    <w:rsid w:val="28DC615D"/>
    <w:rsid w:val="28F72F97"/>
    <w:rsid w:val="29233D8C"/>
    <w:rsid w:val="299407E6"/>
    <w:rsid w:val="29D11A3A"/>
    <w:rsid w:val="29DF7CB3"/>
    <w:rsid w:val="2A241B69"/>
    <w:rsid w:val="2A6603D4"/>
    <w:rsid w:val="2A9071FF"/>
    <w:rsid w:val="2AC84BEB"/>
    <w:rsid w:val="2B25431C"/>
    <w:rsid w:val="2B65068C"/>
    <w:rsid w:val="2B6E5792"/>
    <w:rsid w:val="2BBD2276"/>
    <w:rsid w:val="2BD31A99"/>
    <w:rsid w:val="2BDF3F0E"/>
    <w:rsid w:val="2C1A4849"/>
    <w:rsid w:val="2C1F6A8C"/>
    <w:rsid w:val="2C5B2595"/>
    <w:rsid w:val="2C66290D"/>
    <w:rsid w:val="2C6B7F24"/>
    <w:rsid w:val="2C7F752B"/>
    <w:rsid w:val="2C9A4365"/>
    <w:rsid w:val="2CB74F17"/>
    <w:rsid w:val="2CFC6DCE"/>
    <w:rsid w:val="2D1E4F96"/>
    <w:rsid w:val="2D241F6F"/>
    <w:rsid w:val="2D2C06F3"/>
    <w:rsid w:val="2D4B38B1"/>
    <w:rsid w:val="2D684463"/>
    <w:rsid w:val="2DA15F14"/>
    <w:rsid w:val="2DF47AA5"/>
    <w:rsid w:val="2DFD4BAB"/>
    <w:rsid w:val="2E3F3416"/>
    <w:rsid w:val="2E7D3F3E"/>
    <w:rsid w:val="2E8B21B7"/>
    <w:rsid w:val="2F1C3757"/>
    <w:rsid w:val="2F1F6DA3"/>
    <w:rsid w:val="2F454A5C"/>
    <w:rsid w:val="2F566C69"/>
    <w:rsid w:val="2F6A001E"/>
    <w:rsid w:val="2F794705"/>
    <w:rsid w:val="2F882B9B"/>
    <w:rsid w:val="2FCF2577"/>
    <w:rsid w:val="2FF344B8"/>
    <w:rsid w:val="2FFA3A98"/>
    <w:rsid w:val="301A5EE8"/>
    <w:rsid w:val="302723B3"/>
    <w:rsid w:val="302F3016"/>
    <w:rsid w:val="30517430"/>
    <w:rsid w:val="305A4537"/>
    <w:rsid w:val="306233EC"/>
    <w:rsid w:val="30CB71E3"/>
    <w:rsid w:val="30D342E9"/>
    <w:rsid w:val="30D37E45"/>
    <w:rsid w:val="30D42A97"/>
    <w:rsid w:val="316513E5"/>
    <w:rsid w:val="3171536C"/>
    <w:rsid w:val="319D4954"/>
    <w:rsid w:val="31CD0D39"/>
    <w:rsid w:val="31CE554C"/>
    <w:rsid w:val="31D245A1"/>
    <w:rsid w:val="32476D3D"/>
    <w:rsid w:val="32951856"/>
    <w:rsid w:val="32B12408"/>
    <w:rsid w:val="32C1089D"/>
    <w:rsid w:val="32E4633A"/>
    <w:rsid w:val="32EB653A"/>
    <w:rsid w:val="333E1EEE"/>
    <w:rsid w:val="334D0949"/>
    <w:rsid w:val="33B020BC"/>
    <w:rsid w:val="33B57CD6"/>
    <w:rsid w:val="33DE722D"/>
    <w:rsid w:val="34016277"/>
    <w:rsid w:val="34456BE3"/>
    <w:rsid w:val="34A57D4B"/>
    <w:rsid w:val="34D66156"/>
    <w:rsid w:val="34E558BF"/>
    <w:rsid w:val="3518676F"/>
    <w:rsid w:val="35611EC4"/>
    <w:rsid w:val="359A3628"/>
    <w:rsid w:val="36343134"/>
    <w:rsid w:val="36371DF8"/>
    <w:rsid w:val="364D2448"/>
    <w:rsid w:val="36F13DD3"/>
    <w:rsid w:val="371067E0"/>
    <w:rsid w:val="37305FF2"/>
    <w:rsid w:val="3772660A"/>
    <w:rsid w:val="378B3228"/>
    <w:rsid w:val="37B564F7"/>
    <w:rsid w:val="380F3E59"/>
    <w:rsid w:val="382362A3"/>
    <w:rsid w:val="38563836"/>
    <w:rsid w:val="385E6B8E"/>
    <w:rsid w:val="38635F53"/>
    <w:rsid w:val="391060DB"/>
    <w:rsid w:val="392576AC"/>
    <w:rsid w:val="39317DFF"/>
    <w:rsid w:val="393671C3"/>
    <w:rsid w:val="395D6E46"/>
    <w:rsid w:val="396816E2"/>
    <w:rsid w:val="39A84565"/>
    <w:rsid w:val="39BF18AF"/>
    <w:rsid w:val="39CB2002"/>
    <w:rsid w:val="39E60BE9"/>
    <w:rsid w:val="39EE6050"/>
    <w:rsid w:val="39F350B4"/>
    <w:rsid w:val="3A217E73"/>
    <w:rsid w:val="3A272D2D"/>
    <w:rsid w:val="3A540249"/>
    <w:rsid w:val="3A543DA5"/>
    <w:rsid w:val="3A5F274A"/>
    <w:rsid w:val="3AA32C70"/>
    <w:rsid w:val="3AAC1E33"/>
    <w:rsid w:val="3AC727C9"/>
    <w:rsid w:val="3ACF5B21"/>
    <w:rsid w:val="3AD924FC"/>
    <w:rsid w:val="3B311A6B"/>
    <w:rsid w:val="3B691AD2"/>
    <w:rsid w:val="3B7D37CF"/>
    <w:rsid w:val="3B84690C"/>
    <w:rsid w:val="3B9C1EA7"/>
    <w:rsid w:val="3B9F3746"/>
    <w:rsid w:val="3BCB0097"/>
    <w:rsid w:val="3BCB6780"/>
    <w:rsid w:val="3BD80A06"/>
    <w:rsid w:val="3BDF7FE6"/>
    <w:rsid w:val="3BE058FC"/>
    <w:rsid w:val="3C5C33E5"/>
    <w:rsid w:val="3C793F97"/>
    <w:rsid w:val="3C7C5835"/>
    <w:rsid w:val="3C917532"/>
    <w:rsid w:val="3CA37266"/>
    <w:rsid w:val="3CA8662A"/>
    <w:rsid w:val="3CB52AF5"/>
    <w:rsid w:val="3CD25455"/>
    <w:rsid w:val="3CF61143"/>
    <w:rsid w:val="3CFD6976"/>
    <w:rsid w:val="3D436353"/>
    <w:rsid w:val="3D4A76E1"/>
    <w:rsid w:val="3D566086"/>
    <w:rsid w:val="3D69400B"/>
    <w:rsid w:val="3D950CBD"/>
    <w:rsid w:val="3EC314F9"/>
    <w:rsid w:val="3F3D5750"/>
    <w:rsid w:val="3F5D05FC"/>
    <w:rsid w:val="3F8A64BB"/>
    <w:rsid w:val="3FB42EC7"/>
    <w:rsid w:val="3FB53538"/>
    <w:rsid w:val="3FDB2873"/>
    <w:rsid w:val="400C5122"/>
    <w:rsid w:val="40104C12"/>
    <w:rsid w:val="402266F3"/>
    <w:rsid w:val="40580367"/>
    <w:rsid w:val="406B3BF6"/>
    <w:rsid w:val="40754A75"/>
    <w:rsid w:val="4095054D"/>
    <w:rsid w:val="40AF442B"/>
    <w:rsid w:val="40E165AE"/>
    <w:rsid w:val="41232723"/>
    <w:rsid w:val="412C5A7C"/>
    <w:rsid w:val="412D35A2"/>
    <w:rsid w:val="413E130B"/>
    <w:rsid w:val="41406E31"/>
    <w:rsid w:val="414C3A28"/>
    <w:rsid w:val="414D59F2"/>
    <w:rsid w:val="415D3E87"/>
    <w:rsid w:val="419D0727"/>
    <w:rsid w:val="41C932CA"/>
    <w:rsid w:val="41E9571B"/>
    <w:rsid w:val="41EA4FEF"/>
    <w:rsid w:val="42100EF9"/>
    <w:rsid w:val="423A7D24"/>
    <w:rsid w:val="423F533B"/>
    <w:rsid w:val="42894808"/>
    <w:rsid w:val="42A17DA3"/>
    <w:rsid w:val="42B775C7"/>
    <w:rsid w:val="42CD0A98"/>
    <w:rsid w:val="42E303BC"/>
    <w:rsid w:val="42F73E67"/>
    <w:rsid w:val="430622FC"/>
    <w:rsid w:val="430D5439"/>
    <w:rsid w:val="431A0C09"/>
    <w:rsid w:val="433B01F8"/>
    <w:rsid w:val="434150E2"/>
    <w:rsid w:val="434509F3"/>
    <w:rsid w:val="43DB5537"/>
    <w:rsid w:val="43E4263E"/>
    <w:rsid w:val="44290050"/>
    <w:rsid w:val="443F1622"/>
    <w:rsid w:val="44B57B36"/>
    <w:rsid w:val="44D51F86"/>
    <w:rsid w:val="44E95A32"/>
    <w:rsid w:val="451E1B7F"/>
    <w:rsid w:val="4557299B"/>
    <w:rsid w:val="4574179F"/>
    <w:rsid w:val="458F3906"/>
    <w:rsid w:val="45A007E6"/>
    <w:rsid w:val="45AA085D"/>
    <w:rsid w:val="45B20178"/>
    <w:rsid w:val="45BC54BB"/>
    <w:rsid w:val="45F11042"/>
    <w:rsid w:val="46250CEB"/>
    <w:rsid w:val="462D194E"/>
    <w:rsid w:val="46340F2E"/>
    <w:rsid w:val="46380A1F"/>
    <w:rsid w:val="46582E6F"/>
    <w:rsid w:val="465D66D7"/>
    <w:rsid w:val="46963997"/>
    <w:rsid w:val="46B81B60"/>
    <w:rsid w:val="46B868DE"/>
    <w:rsid w:val="46F30DEA"/>
    <w:rsid w:val="471425D5"/>
    <w:rsid w:val="47CC58C3"/>
    <w:rsid w:val="47FB1D04"/>
    <w:rsid w:val="48052B82"/>
    <w:rsid w:val="480E2158"/>
    <w:rsid w:val="481D7ECC"/>
    <w:rsid w:val="4851401A"/>
    <w:rsid w:val="485853A8"/>
    <w:rsid w:val="48895562"/>
    <w:rsid w:val="48917B4E"/>
    <w:rsid w:val="48AC1250"/>
    <w:rsid w:val="49C01457"/>
    <w:rsid w:val="4A0B78D0"/>
    <w:rsid w:val="4A1B48DF"/>
    <w:rsid w:val="4A4F27DB"/>
    <w:rsid w:val="4A6C513B"/>
    <w:rsid w:val="4A9326C8"/>
    <w:rsid w:val="4A9A1CA8"/>
    <w:rsid w:val="4AE01685"/>
    <w:rsid w:val="4AFA44F5"/>
    <w:rsid w:val="4AFF1B0B"/>
    <w:rsid w:val="4B254A30"/>
    <w:rsid w:val="4B4439C2"/>
    <w:rsid w:val="4B553E21"/>
    <w:rsid w:val="4B614574"/>
    <w:rsid w:val="4B65373A"/>
    <w:rsid w:val="4B895879"/>
    <w:rsid w:val="4BB072A9"/>
    <w:rsid w:val="4BE31237"/>
    <w:rsid w:val="4BF74ED8"/>
    <w:rsid w:val="4C1B0BC7"/>
    <w:rsid w:val="4C286E40"/>
    <w:rsid w:val="4C2B408B"/>
    <w:rsid w:val="4C5A2EA1"/>
    <w:rsid w:val="4C786019"/>
    <w:rsid w:val="4C87625C"/>
    <w:rsid w:val="4CAF7561"/>
    <w:rsid w:val="4CCE79E7"/>
    <w:rsid w:val="4CD46FC7"/>
    <w:rsid w:val="4CD86AB8"/>
    <w:rsid w:val="4CE23492"/>
    <w:rsid w:val="4D00163A"/>
    <w:rsid w:val="4D27359B"/>
    <w:rsid w:val="4DE1199C"/>
    <w:rsid w:val="4DFC4A28"/>
    <w:rsid w:val="4E2A6045"/>
    <w:rsid w:val="4EA50C1B"/>
    <w:rsid w:val="4EB33338"/>
    <w:rsid w:val="4EB86BA1"/>
    <w:rsid w:val="4EBD41B7"/>
    <w:rsid w:val="4EE47996"/>
    <w:rsid w:val="4EEC684A"/>
    <w:rsid w:val="4F0F5BE3"/>
    <w:rsid w:val="4F1B712F"/>
    <w:rsid w:val="4FA62E9D"/>
    <w:rsid w:val="4FB530E0"/>
    <w:rsid w:val="4FC275AB"/>
    <w:rsid w:val="4FD80B7D"/>
    <w:rsid w:val="4FE85264"/>
    <w:rsid w:val="4FEB6B02"/>
    <w:rsid w:val="4FED287A"/>
    <w:rsid w:val="50281B04"/>
    <w:rsid w:val="503469BD"/>
    <w:rsid w:val="50416722"/>
    <w:rsid w:val="50744D49"/>
    <w:rsid w:val="507A1C34"/>
    <w:rsid w:val="50E61077"/>
    <w:rsid w:val="5114771B"/>
    <w:rsid w:val="51205DB5"/>
    <w:rsid w:val="516721B8"/>
    <w:rsid w:val="5167665C"/>
    <w:rsid w:val="51864D34"/>
    <w:rsid w:val="51907961"/>
    <w:rsid w:val="51B977CF"/>
    <w:rsid w:val="51CE0489"/>
    <w:rsid w:val="51FF4AE6"/>
    <w:rsid w:val="52195BA8"/>
    <w:rsid w:val="52383B54"/>
    <w:rsid w:val="52422029"/>
    <w:rsid w:val="525210BA"/>
    <w:rsid w:val="52770B21"/>
    <w:rsid w:val="528374C6"/>
    <w:rsid w:val="52A15B9E"/>
    <w:rsid w:val="52B21B59"/>
    <w:rsid w:val="52D7511B"/>
    <w:rsid w:val="52F83A10"/>
    <w:rsid w:val="52FF78E7"/>
    <w:rsid w:val="531D3476"/>
    <w:rsid w:val="53682217"/>
    <w:rsid w:val="53760DD8"/>
    <w:rsid w:val="539179C0"/>
    <w:rsid w:val="53BD6A07"/>
    <w:rsid w:val="53C438F2"/>
    <w:rsid w:val="53E45D42"/>
    <w:rsid w:val="53FC12DE"/>
    <w:rsid w:val="540957A8"/>
    <w:rsid w:val="544113E6"/>
    <w:rsid w:val="545729B8"/>
    <w:rsid w:val="54AF5068"/>
    <w:rsid w:val="54CA67C4"/>
    <w:rsid w:val="54DC4C6B"/>
    <w:rsid w:val="54F75F49"/>
    <w:rsid w:val="55040901"/>
    <w:rsid w:val="55052414"/>
    <w:rsid w:val="55142657"/>
    <w:rsid w:val="554747DA"/>
    <w:rsid w:val="55801A9A"/>
    <w:rsid w:val="55A0038E"/>
    <w:rsid w:val="55F10BEA"/>
    <w:rsid w:val="56063820"/>
    <w:rsid w:val="5616239D"/>
    <w:rsid w:val="56843604"/>
    <w:rsid w:val="568D446F"/>
    <w:rsid w:val="56937008"/>
    <w:rsid w:val="56AF0889"/>
    <w:rsid w:val="56D46542"/>
    <w:rsid w:val="56DF05DE"/>
    <w:rsid w:val="571526B6"/>
    <w:rsid w:val="57154464"/>
    <w:rsid w:val="572172AD"/>
    <w:rsid w:val="572C012C"/>
    <w:rsid w:val="573C40E7"/>
    <w:rsid w:val="575D20A6"/>
    <w:rsid w:val="57664CC0"/>
    <w:rsid w:val="578A4E52"/>
    <w:rsid w:val="57923D07"/>
    <w:rsid w:val="57D305A7"/>
    <w:rsid w:val="57FC6189"/>
    <w:rsid w:val="584E5E80"/>
    <w:rsid w:val="5878114F"/>
    <w:rsid w:val="58D97E3F"/>
    <w:rsid w:val="58DA5965"/>
    <w:rsid w:val="58F24A5D"/>
    <w:rsid w:val="590F3861"/>
    <w:rsid w:val="592A069B"/>
    <w:rsid w:val="593A7C4F"/>
    <w:rsid w:val="59635888"/>
    <w:rsid w:val="596F2552"/>
    <w:rsid w:val="599975CF"/>
    <w:rsid w:val="59A435EF"/>
    <w:rsid w:val="59C53F20"/>
    <w:rsid w:val="5AB32454"/>
    <w:rsid w:val="5AB741B0"/>
    <w:rsid w:val="5ADC59C5"/>
    <w:rsid w:val="5B392E17"/>
    <w:rsid w:val="5B3E042E"/>
    <w:rsid w:val="5B773940"/>
    <w:rsid w:val="5B8878FB"/>
    <w:rsid w:val="5B8F0C89"/>
    <w:rsid w:val="5B90055D"/>
    <w:rsid w:val="5B914A01"/>
    <w:rsid w:val="5BBE156E"/>
    <w:rsid w:val="5BC052E6"/>
    <w:rsid w:val="5BD13050"/>
    <w:rsid w:val="5BE508A9"/>
    <w:rsid w:val="5C02145B"/>
    <w:rsid w:val="5C163158"/>
    <w:rsid w:val="5C5D48E3"/>
    <w:rsid w:val="5C910A31"/>
    <w:rsid w:val="5CAB1AF3"/>
    <w:rsid w:val="5CB63FF4"/>
    <w:rsid w:val="5CD56B70"/>
    <w:rsid w:val="5CE768A3"/>
    <w:rsid w:val="5CEC5C67"/>
    <w:rsid w:val="5CF3349A"/>
    <w:rsid w:val="5D123920"/>
    <w:rsid w:val="5D2E002E"/>
    <w:rsid w:val="5D3C274B"/>
    <w:rsid w:val="5D6879E4"/>
    <w:rsid w:val="5D6F2B20"/>
    <w:rsid w:val="5DCF1811"/>
    <w:rsid w:val="5DDB6408"/>
    <w:rsid w:val="5E3B1C05"/>
    <w:rsid w:val="5E6D4B86"/>
    <w:rsid w:val="5E7423B8"/>
    <w:rsid w:val="5E7D301B"/>
    <w:rsid w:val="5E826883"/>
    <w:rsid w:val="5E850121"/>
    <w:rsid w:val="5E877F0C"/>
    <w:rsid w:val="5E912ACB"/>
    <w:rsid w:val="5EA42C9D"/>
    <w:rsid w:val="5EB50A07"/>
    <w:rsid w:val="5EB81E46"/>
    <w:rsid w:val="5EF77271"/>
    <w:rsid w:val="5F0279C4"/>
    <w:rsid w:val="5F073306"/>
    <w:rsid w:val="5F0D0843"/>
    <w:rsid w:val="5F4C0C3F"/>
    <w:rsid w:val="5F5E109E"/>
    <w:rsid w:val="5F5F73B9"/>
    <w:rsid w:val="5F950838"/>
    <w:rsid w:val="5FAA42E4"/>
    <w:rsid w:val="601C6962"/>
    <w:rsid w:val="60413BFC"/>
    <w:rsid w:val="604858AA"/>
    <w:rsid w:val="608A7377"/>
    <w:rsid w:val="60A96349"/>
    <w:rsid w:val="613D2F35"/>
    <w:rsid w:val="61A134C4"/>
    <w:rsid w:val="61D76EE6"/>
    <w:rsid w:val="61E241E7"/>
    <w:rsid w:val="622540F5"/>
    <w:rsid w:val="624520A2"/>
    <w:rsid w:val="626A5FAC"/>
    <w:rsid w:val="62E01743"/>
    <w:rsid w:val="62E47B0C"/>
    <w:rsid w:val="632048BD"/>
    <w:rsid w:val="63220635"/>
    <w:rsid w:val="6346457F"/>
    <w:rsid w:val="638C3BB3"/>
    <w:rsid w:val="63BC2837"/>
    <w:rsid w:val="63C0151E"/>
    <w:rsid w:val="63C811DC"/>
    <w:rsid w:val="63DF02D4"/>
    <w:rsid w:val="63E1229E"/>
    <w:rsid w:val="63FE4BFE"/>
    <w:rsid w:val="64063AB3"/>
    <w:rsid w:val="641A755E"/>
    <w:rsid w:val="642503DD"/>
    <w:rsid w:val="642D3D62"/>
    <w:rsid w:val="64835103"/>
    <w:rsid w:val="64D30F5B"/>
    <w:rsid w:val="64FE29DC"/>
    <w:rsid w:val="65293EFC"/>
    <w:rsid w:val="653B59DE"/>
    <w:rsid w:val="654F3237"/>
    <w:rsid w:val="65556AA0"/>
    <w:rsid w:val="65652A5B"/>
    <w:rsid w:val="65896749"/>
    <w:rsid w:val="65FA7647"/>
    <w:rsid w:val="6655119C"/>
    <w:rsid w:val="66666A8A"/>
    <w:rsid w:val="66794A10"/>
    <w:rsid w:val="667B0788"/>
    <w:rsid w:val="66AD46B9"/>
    <w:rsid w:val="66C67529"/>
    <w:rsid w:val="66E005EB"/>
    <w:rsid w:val="67127412"/>
    <w:rsid w:val="672506F4"/>
    <w:rsid w:val="674C7A2E"/>
    <w:rsid w:val="67530DBD"/>
    <w:rsid w:val="675D1C3B"/>
    <w:rsid w:val="67762CFD"/>
    <w:rsid w:val="67BB4BB4"/>
    <w:rsid w:val="6817003C"/>
    <w:rsid w:val="6838144E"/>
    <w:rsid w:val="68394457"/>
    <w:rsid w:val="685017A0"/>
    <w:rsid w:val="68727968"/>
    <w:rsid w:val="68993147"/>
    <w:rsid w:val="68AA7398"/>
    <w:rsid w:val="68AD6BF3"/>
    <w:rsid w:val="68C161FA"/>
    <w:rsid w:val="68C61A62"/>
    <w:rsid w:val="690E58E3"/>
    <w:rsid w:val="69146C72"/>
    <w:rsid w:val="69474460"/>
    <w:rsid w:val="69692B1A"/>
    <w:rsid w:val="6985191D"/>
    <w:rsid w:val="69A41463"/>
    <w:rsid w:val="69A9560C"/>
    <w:rsid w:val="69DC778F"/>
    <w:rsid w:val="6A256060"/>
    <w:rsid w:val="6A2B6021"/>
    <w:rsid w:val="6A7C062B"/>
    <w:rsid w:val="6A7F011B"/>
    <w:rsid w:val="6A9040D6"/>
    <w:rsid w:val="6AE12B83"/>
    <w:rsid w:val="6AED0D1A"/>
    <w:rsid w:val="6B054AC4"/>
    <w:rsid w:val="6B0A20DA"/>
    <w:rsid w:val="6B120F8F"/>
    <w:rsid w:val="6BB40298"/>
    <w:rsid w:val="6BC404DB"/>
    <w:rsid w:val="6C022DB1"/>
    <w:rsid w:val="6C3A254B"/>
    <w:rsid w:val="6D631F76"/>
    <w:rsid w:val="6D6A50B2"/>
    <w:rsid w:val="6D7C6B93"/>
    <w:rsid w:val="6D8343C6"/>
    <w:rsid w:val="6DA22A9E"/>
    <w:rsid w:val="6DA85BDA"/>
    <w:rsid w:val="6DC42A14"/>
    <w:rsid w:val="6DEC1F6B"/>
    <w:rsid w:val="6DEE5CE3"/>
    <w:rsid w:val="6DF606F4"/>
    <w:rsid w:val="6E005A16"/>
    <w:rsid w:val="6E34121C"/>
    <w:rsid w:val="6E46167B"/>
    <w:rsid w:val="6E587601"/>
    <w:rsid w:val="6E804461"/>
    <w:rsid w:val="6EB8009F"/>
    <w:rsid w:val="6EE40E94"/>
    <w:rsid w:val="6EE42C42"/>
    <w:rsid w:val="6EED3605"/>
    <w:rsid w:val="6EF32E85"/>
    <w:rsid w:val="6EF8049C"/>
    <w:rsid w:val="6F0F5F11"/>
    <w:rsid w:val="6F6D0E8A"/>
    <w:rsid w:val="6F814935"/>
    <w:rsid w:val="6FBB7E47"/>
    <w:rsid w:val="6FBE0D36"/>
    <w:rsid w:val="6FC7059A"/>
    <w:rsid w:val="6FD827A7"/>
    <w:rsid w:val="6FF375E1"/>
    <w:rsid w:val="70027824"/>
    <w:rsid w:val="703419A7"/>
    <w:rsid w:val="704C6CF1"/>
    <w:rsid w:val="70F21646"/>
    <w:rsid w:val="7139702E"/>
    <w:rsid w:val="71877260"/>
    <w:rsid w:val="719601A3"/>
    <w:rsid w:val="719F0332"/>
    <w:rsid w:val="71D13952"/>
    <w:rsid w:val="71E33685"/>
    <w:rsid w:val="71F31B1A"/>
    <w:rsid w:val="71FB277D"/>
    <w:rsid w:val="72001B41"/>
    <w:rsid w:val="72516841"/>
    <w:rsid w:val="725400DF"/>
    <w:rsid w:val="7298446F"/>
    <w:rsid w:val="72A66B8C"/>
    <w:rsid w:val="72BA2638"/>
    <w:rsid w:val="72D74F98"/>
    <w:rsid w:val="72E6342D"/>
    <w:rsid w:val="733221CE"/>
    <w:rsid w:val="73566BD5"/>
    <w:rsid w:val="73812C97"/>
    <w:rsid w:val="738A200A"/>
    <w:rsid w:val="73A66718"/>
    <w:rsid w:val="741D2E7E"/>
    <w:rsid w:val="742C597A"/>
    <w:rsid w:val="743957DE"/>
    <w:rsid w:val="744E128A"/>
    <w:rsid w:val="74B65081"/>
    <w:rsid w:val="74E05C5A"/>
    <w:rsid w:val="74E7348C"/>
    <w:rsid w:val="750202C6"/>
    <w:rsid w:val="752E2E69"/>
    <w:rsid w:val="755A3C5E"/>
    <w:rsid w:val="75644ADD"/>
    <w:rsid w:val="759C6025"/>
    <w:rsid w:val="75D7705D"/>
    <w:rsid w:val="76051E1C"/>
    <w:rsid w:val="760A5684"/>
    <w:rsid w:val="76544B51"/>
    <w:rsid w:val="767B3E8C"/>
    <w:rsid w:val="76870A83"/>
    <w:rsid w:val="76D33CC8"/>
    <w:rsid w:val="76E9529A"/>
    <w:rsid w:val="76EF6628"/>
    <w:rsid w:val="76FB4FCD"/>
    <w:rsid w:val="770976EA"/>
    <w:rsid w:val="7726029C"/>
    <w:rsid w:val="7735228D"/>
    <w:rsid w:val="77364257"/>
    <w:rsid w:val="773A5AF5"/>
    <w:rsid w:val="774E77F3"/>
    <w:rsid w:val="77521091"/>
    <w:rsid w:val="77640DC4"/>
    <w:rsid w:val="7798281C"/>
    <w:rsid w:val="77B07B65"/>
    <w:rsid w:val="781520BE"/>
    <w:rsid w:val="78153E6C"/>
    <w:rsid w:val="781B5927"/>
    <w:rsid w:val="785726D7"/>
    <w:rsid w:val="78760DAF"/>
    <w:rsid w:val="78AF42C1"/>
    <w:rsid w:val="78B96EEE"/>
    <w:rsid w:val="790068CB"/>
    <w:rsid w:val="79116D2A"/>
    <w:rsid w:val="79766B8D"/>
    <w:rsid w:val="79A47EB6"/>
    <w:rsid w:val="79C97604"/>
    <w:rsid w:val="79D02741"/>
    <w:rsid w:val="79EB1329"/>
    <w:rsid w:val="79EE0E19"/>
    <w:rsid w:val="79FC3536"/>
    <w:rsid w:val="7A85177D"/>
    <w:rsid w:val="7B25086A"/>
    <w:rsid w:val="7B476A33"/>
    <w:rsid w:val="7B783090"/>
    <w:rsid w:val="7B9F23CB"/>
    <w:rsid w:val="7BB37C24"/>
    <w:rsid w:val="7BB57E40"/>
    <w:rsid w:val="7BBF0CBF"/>
    <w:rsid w:val="7BC260B9"/>
    <w:rsid w:val="7BCE2CB0"/>
    <w:rsid w:val="7BDA78A7"/>
    <w:rsid w:val="7C684EB3"/>
    <w:rsid w:val="7C833A9B"/>
    <w:rsid w:val="7CB43C54"/>
    <w:rsid w:val="7CBB1486"/>
    <w:rsid w:val="7CBB5D4D"/>
    <w:rsid w:val="7CF84488"/>
    <w:rsid w:val="7D197F5B"/>
    <w:rsid w:val="7D360B0D"/>
    <w:rsid w:val="7D4551F4"/>
    <w:rsid w:val="7D6A2A1C"/>
    <w:rsid w:val="7DA4016C"/>
    <w:rsid w:val="7DA55C93"/>
    <w:rsid w:val="7DA57A41"/>
    <w:rsid w:val="7DC26844"/>
    <w:rsid w:val="7E01736D"/>
    <w:rsid w:val="7E2E3EDA"/>
    <w:rsid w:val="7E4436FD"/>
    <w:rsid w:val="7E5E47BF"/>
    <w:rsid w:val="7EB75C7D"/>
    <w:rsid w:val="7EC02D84"/>
    <w:rsid w:val="7EC860DC"/>
    <w:rsid w:val="7ED625A7"/>
    <w:rsid w:val="7EE17242"/>
    <w:rsid w:val="7EED519B"/>
    <w:rsid w:val="7F076C05"/>
    <w:rsid w:val="7F0C421B"/>
    <w:rsid w:val="7F10538E"/>
    <w:rsid w:val="7F272E03"/>
    <w:rsid w:val="7F3217A8"/>
    <w:rsid w:val="7F4E65E2"/>
    <w:rsid w:val="7F743B6E"/>
    <w:rsid w:val="7F752917"/>
    <w:rsid w:val="7F855D7C"/>
    <w:rsid w:val="7F8C0EB8"/>
    <w:rsid w:val="7FA75CF2"/>
    <w:rsid w:val="7FB4040F"/>
    <w:rsid w:val="7FC468A4"/>
    <w:rsid w:val="7FF3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2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6">
    <w:name w:val="heading 2"/>
    <w:basedOn w:val="1"/>
    <w:next w:val="1"/>
    <w:link w:val="5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7">
    <w:name w:val="heading 3"/>
    <w:basedOn w:val="1"/>
    <w:next w:val="1"/>
    <w:link w:val="5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8">
    <w:name w:val="heading 4"/>
    <w:basedOn w:val="1"/>
    <w:next w:val="1"/>
    <w:link w:val="230"/>
    <w:qFormat/>
    <w:uiPriority w:val="0"/>
    <w:pPr>
      <w:keepNext/>
      <w:keepLines/>
      <w:adjustRightInd w:val="0"/>
      <w:spacing w:before="280" w:after="290" w:line="376" w:lineRule="atLeast"/>
      <w:textAlignment w:val="baseline"/>
      <w:outlineLvl w:val="3"/>
    </w:pPr>
    <w:rPr>
      <w:kern w:val="0"/>
      <w:sz w:val="24"/>
      <w:szCs w:val="20"/>
    </w:rPr>
  </w:style>
  <w:style w:type="paragraph" w:styleId="9">
    <w:name w:val="heading 5"/>
    <w:basedOn w:val="1"/>
    <w:next w:val="1"/>
    <w:link w:val="231"/>
    <w:qFormat/>
    <w:uiPriority w:val="0"/>
    <w:pPr>
      <w:keepNext/>
      <w:keepLines/>
      <w:adjustRightInd w:val="0"/>
      <w:spacing w:before="280" w:after="290" w:line="376" w:lineRule="atLeast"/>
      <w:textAlignment w:val="baseline"/>
      <w:outlineLvl w:val="4"/>
    </w:pPr>
    <w:rPr>
      <w:b/>
      <w:kern w:val="0"/>
      <w:sz w:val="28"/>
      <w:szCs w:val="20"/>
    </w:rPr>
  </w:style>
  <w:style w:type="paragraph" w:styleId="10">
    <w:name w:val="heading 6"/>
    <w:basedOn w:val="1"/>
    <w:next w:val="1"/>
    <w:link w:val="232"/>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11">
    <w:name w:val="heading 7"/>
    <w:basedOn w:val="1"/>
    <w:next w:val="1"/>
    <w:link w:val="233"/>
    <w:qFormat/>
    <w:uiPriority w:val="0"/>
    <w:pPr>
      <w:keepNext/>
      <w:keepLines/>
      <w:adjustRightInd w:val="0"/>
      <w:spacing w:before="240" w:after="64" w:line="320" w:lineRule="atLeast"/>
      <w:textAlignment w:val="baseline"/>
      <w:outlineLvl w:val="6"/>
    </w:pPr>
    <w:rPr>
      <w:b/>
      <w:kern w:val="0"/>
      <w:sz w:val="24"/>
      <w:szCs w:val="20"/>
    </w:rPr>
  </w:style>
  <w:style w:type="paragraph" w:styleId="12">
    <w:name w:val="heading 8"/>
    <w:basedOn w:val="1"/>
    <w:next w:val="1"/>
    <w:link w:val="234"/>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3">
    <w:name w:val="heading 9"/>
    <w:basedOn w:val="1"/>
    <w:next w:val="1"/>
    <w:link w:val="235"/>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38"/>
    <w:qFormat/>
    <w:uiPriority w:val="0"/>
    <w:pPr>
      <w:tabs>
        <w:tab w:val="left" w:pos="567"/>
      </w:tabs>
      <w:spacing w:before="120" w:line="22" w:lineRule="atLeast"/>
    </w:pPr>
    <w:rPr>
      <w:rFonts w:ascii="宋体" w:hAnsi="宋体"/>
      <w:sz w:val="24"/>
    </w:rPr>
  </w:style>
  <w:style w:type="paragraph" w:styleId="3">
    <w:name w:val="Body Text First Indent"/>
    <w:basedOn w:val="2"/>
    <w:next w:val="4"/>
    <w:qFormat/>
    <w:uiPriority w:val="0"/>
    <w:pPr>
      <w:widowControl w:val="0"/>
      <w:spacing w:line="360" w:lineRule="auto"/>
      <w:ind w:firstLine="200" w:firstLineChars="200"/>
    </w:pPr>
    <w:rPr>
      <w:rFonts w:ascii="仿宋_GB2312" w:eastAsia="仿宋_GB2312"/>
      <w:bCs/>
      <w:kern w:val="2"/>
      <w:sz w:val="30"/>
      <w:szCs w:val="24"/>
    </w:rPr>
  </w:style>
  <w:style w:type="paragraph" w:styleId="4">
    <w:name w:val="toc 6"/>
    <w:basedOn w:val="1"/>
    <w:next w:val="1"/>
    <w:qFormat/>
    <w:uiPriority w:val="0"/>
    <w:pPr>
      <w:ind w:left="2100" w:leftChars="1000"/>
    </w:pPr>
  </w:style>
  <w:style w:type="paragraph" w:styleId="14">
    <w:name w:val="toc 7"/>
    <w:basedOn w:val="1"/>
    <w:next w:val="1"/>
    <w:qFormat/>
    <w:uiPriority w:val="0"/>
    <w:pPr>
      <w:ind w:left="2520" w:leftChars="1200"/>
    </w:pPr>
  </w:style>
  <w:style w:type="paragraph" w:styleId="15">
    <w:name w:val="Normal Indent"/>
    <w:basedOn w:val="1"/>
    <w:link w:val="62"/>
    <w:qFormat/>
    <w:uiPriority w:val="0"/>
    <w:pPr>
      <w:autoSpaceDE w:val="0"/>
      <w:autoSpaceDN w:val="0"/>
      <w:adjustRightInd w:val="0"/>
      <w:ind w:firstLine="420"/>
      <w:jc w:val="left"/>
    </w:pPr>
    <w:rPr>
      <w:rFonts w:ascii="宋体"/>
      <w:sz w:val="24"/>
    </w:rPr>
  </w:style>
  <w:style w:type="paragraph" w:styleId="16">
    <w:name w:val="caption"/>
    <w:basedOn w:val="1"/>
    <w:next w:val="1"/>
    <w:qFormat/>
    <w:uiPriority w:val="0"/>
    <w:pPr>
      <w:spacing w:line="480" w:lineRule="auto"/>
    </w:pPr>
    <w:rPr>
      <w:rFonts w:ascii="华文中宋" w:hAnsi="华文中宋" w:eastAsia="华文中宋"/>
      <w:sz w:val="36"/>
      <w:szCs w:val="20"/>
    </w:rPr>
  </w:style>
  <w:style w:type="paragraph" w:styleId="17">
    <w:name w:val="Document Map"/>
    <w:basedOn w:val="1"/>
    <w:link w:val="236"/>
    <w:qFormat/>
    <w:uiPriority w:val="0"/>
    <w:pPr>
      <w:shd w:val="clear" w:color="auto" w:fill="000080"/>
    </w:pPr>
  </w:style>
  <w:style w:type="paragraph" w:styleId="18">
    <w:name w:val="annotation text"/>
    <w:basedOn w:val="1"/>
    <w:link w:val="182"/>
    <w:qFormat/>
    <w:uiPriority w:val="99"/>
    <w:pPr>
      <w:jc w:val="left"/>
    </w:pPr>
  </w:style>
  <w:style w:type="paragraph" w:styleId="19">
    <w:name w:val="Body Text 3"/>
    <w:basedOn w:val="1"/>
    <w:link w:val="237"/>
    <w:qFormat/>
    <w:uiPriority w:val="0"/>
    <w:pPr>
      <w:spacing w:after="120"/>
    </w:pPr>
    <w:rPr>
      <w:sz w:val="16"/>
      <w:szCs w:val="16"/>
    </w:rPr>
  </w:style>
  <w:style w:type="paragraph" w:styleId="20">
    <w:name w:val="Body Text Indent"/>
    <w:basedOn w:val="1"/>
    <w:link w:val="67"/>
    <w:qFormat/>
    <w:uiPriority w:val="0"/>
    <w:pPr>
      <w:spacing w:line="360" w:lineRule="auto"/>
      <w:ind w:firstLine="570"/>
    </w:pPr>
    <w:rPr>
      <w:sz w:val="24"/>
    </w:rPr>
  </w:style>
  <w:style w:type="paragraph" w:styleId="21">
    <w:name w:val="List 2"/>
    <w:basedOn w:val="1"/>
    <w:qFormat/>
    <w:uiPriority w:val="0"/>
    <w:pPr>
      <w:ind w:left="100" w:leftChars="200" w:hanging="200" w:hangingChars="200"/>
    </w:pPr>
  </w:style>
  <w:style w:type="paragraph" w:styleId="22">
    <w:name w:val="Block Text"/>
    <w:basedOn w:val="1"/>
    <w:qFormat/>
    <w:uiPriority w:val="0"/>
    <w:pPr>
      <w:widowControl/>
      <w:ind w:left="480" w:right="-341" w:firstLine="513"/>
    </w:pPr>
    <w:rPr>
      <w:kern w:val="0"/>
      <w:sz w:val="24"/>
      <w:szCs w:val="20"/>
    </w:rPr>
  </w:style>
  <w:style w:type="paragraph" w:styleId="23">
    <w:name w:val="toc 5"/>
    <w:basedOn w:val="1"/>
    <w:next w:val="1"/>
    <w:qFormat/>
    <w:uiPriority w:val="0"/>
    <w:pPr>
      <w:ind w:left="1680" w:leftChars="800"/>
    </w:pPr>
  </w:style>
  <w:style w:type="paragraph" w:styleId="24">
    <w:name w:val="toc 3"/>
    <w:basedOn w:val="1"/>
    <w:next w:val="1"/>
    <w:qFormat/>
    <w:uiPriority w:val="39"/>
    <w:pPr>
      <w:ind w:left="840" w:leftChars="400"/>
    </w:pPr>
  </w:style>
  <w:style w:type="paragraph" w:styleId="25">
    <w:name w:val="Plain Text"/>
    <w:basedOn w:val="1"/>
    <w:link w:val="202"/>
    <w:qFormat/>
    <w:uiPriority w:val="0"/>
    <w:rPr>
      <w:rFonts w:hint="eastAsia" w:ascii="宋体" w:hAnsi="Courier New"/>
      <w:szCs w:val="20"/>
    </w:rPr>
  </w:style>
  <w:style w:type="paragraph" w:styleId="26">
    <w:name w:val="toc 8"/>
    <w:basedOn w:val="1"/>
    <w:next w:val="1"/>
    <w:qFormat/>
    <w:uiPriority w:val="0"/>
    <w:pPr>
      <w:ind w:left="2940" w:leftChars="1400"/>
    </w:pPr>
  </w:style>
  <w:style w:type="paragraph" w:styleId="27">
    <w:name w:val="Date"/>
    <w:basedOn w:val="1"/>
    <w:next w:val="1"/>
    <w:link w:val="239"/>
    <w:qFormat/>
    <w:uiPriority w:val="0"/>
    <w:pPr>
      <w:ind w:left="100" w:leftChars="2500"/>
    </w:pPr>
    <w:rPr>
      <w:rFonts w:ascii="仿宋_GB2312" w:hAnsi="宋体" w:eastAsia="仿宋_GB2312"/>
      <w:color w:val="000000"/>
      <w:sz w:val="24"/>
    </w:rPr>
  </w:style>
  <w:style w:type="paragraph" w:styleId="28">
    <w:name w:val="Body Text Indent 2"/>
    <w:basedOn w:val="1"/>
    <w:link w:val="240"/>
    <w:qFormat/>
    <w:uiPriority w:val="0"/>
    <w:pPr>
      <w:ind w:firstLine="480" w:firstLineChars="200"/>
    </w:pPr>
    <w:rPr>
      <w:rFonts w:ascii="仿宋_GB2312" w:eastAsia="仿宋_GB2312"/>
      <w:sz w:val="24"/>
    </w:rPr>
  </w:style>
  <w:style w:type="paragraph" w:styleId="29">
    <w:name w:val="Balloon Text"/>
    <w:basedOn w:val="1"/>
    <w:link w:val="241"/>
    <w:qFormat/>
    <w:uiPriority w:val="0"/>
    <w:rPr>
      <w:sz w:val="18"/>
      <w:szCs w:val="18"/>
    </w:rPr>
  </w:style>
  <w:style w:type="paragraph" w:styleId="30">
    <w:name w:val="footer"/>
    <w:basedOn w:val="1"/>
    <w:link w:val="169"/>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31">
    <w:name w:val="header"/>
    <w:basedOn w:val="1"/>
    <w:link w:val="76"/>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3">
    <w:name w:val="toc 4"/>
    <w:basedOn w:val="1"/>
    <w:next w:val="1"/>
    <w:qFormat/>
    <w:uiPriority w:val="0"/>
    <w:pPr>
      <w:ind w:left="1260" w:leftChars="600"/>
    </w:pPr>
  </w:style>
  <w:style w:type="paragraph" w:styleId="34">
    <w:name w:val="Body Text Indent 3"/>
    <w:basedOn w:val="1"/>
    <w:link w:val="242"/>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HTML Preformatted"/>
    <w:basedOn w:val="1"/>
    <w:link w:val="2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rPr>
      <w:szCs w:val="20"/>
    </w:rPr>
  </w:style>
  <w:style w:type="paragraph" w:styleId="40">
    <w:name w:val="Title"/>
    <w:basedOn w:val="1"/>
    <w:link w:val="188"/>
    <w:qFormat/>
    <w:uiPriority w:val="0"/>
    <w:pPr>
      <w:jc w:val="center"/>
      <w:outlineLvl w:val="0"/>
    </w:pPr>
    <w:rPr>
      <w:b/>
      <w:sz w:val="32"/>
      <w:szCs w:val="20"/>
    </w:rPr>
  </w:style>
  <w:style w:type="paragraph" w:styleId="41">
    <w:name w:val="annotation subject"/>
    <w:basedOn w:val="18"/>
    <w:next w:val="18"/>
    <w:link w:val="244"/>
    <w:qFormat/>
    <w:uiPriority w:val="0"/>
    <w:rPr>
      <w:b/>
      <w:bCs/>
    </w:rPr>
  </w:style>
  <w:style w:type="paragraph" w:styleId="42">
    <w:name w:val="Body Text First Indent 2"/>
    <w:basedOn w:val="20"/>
    <w:link w:val="245"/>
    <w:qFormat/>
    <w:uiPriority w:val="0"/>
    <w:pPr>
      <w:spacing w:after="120" w:line="480" w:lineRule="exact"/>
      <w:ind w:left="420" w:leftChars="200" w:firstLine="420" w:firstLineChars="200"/>
    </w:pPr>
    <w:rPr>
      <w:szCs w:val="20"/>
    </w:rPr>
  </w:style>
  <w:style w:type="table" w:styleId="44">
    <w:name w:val="Table Grid"/>
    <w:basedOn w:val="4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5">
    <w:name w:val="Medium Grid 1 Accent 2"/>
    <w:basedOn w:val="43"/>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qFormat/>
    <w:uiPriority w:val="0"/>
    <w:rPr>
      <w:color w:val="CC0033"/>
    </w:rPr>
  </w:style>
  <w:style w:type="character" w:styleId="51">
    <w:name w:val="Hyperlink"/>
    <w:qFormat/>
    <w:uiPriority w:val="99"/>
    <w:rPr>
      <w:color w:val="0000FF"/>
      <w:u w:val="single"/>
    </w:rPr>
  </w:style>
  <w:style w:type="character" w:styleId="52">
    <w:name w:val="annotation reference"/>
    <w:qFormat/>
    <w:uiPriority w:val="99"/>
    <w:rPr>
      <w:sz w:val="21"/>
      <w:szCs w:val="21"/>
    </w:rPr>
  </w:style>
  <w:style w:type="character" w:styleId="53">
    <w:name w:val="HTML Cite"/>
    <w:qFormat/>
    <w:uiPriority w:val="0"/>
    <w:rPr>
      <w:i/>
      <w:iCs/>
    </w:rPr>
  </w:style>
  <w:style w:type="character" w:customStyle="1" w:styleId="54">
    <w:name w:val="标题 2 字符"/>
    <w:link w:val="6"/>
    <w:qFormat/>
    <w:uiPriority w:val="0"/>
    <w:rPr>
      <w:rFonts w:ascii="Arial" w:hAnsi="Arial" w:eastAsia="黑体"/>
      <w:b/>
      <w:sz w:val="30"/>
      <w:lang w:val="en-US" w:eastAsia="zh-CN" w:bidi="ar-SA"/>
    </w:rPr>
  </w:style>
  <w:style w:type="character" w:customStyle="1" w:styleId="55">
    <w:name w:val="标题 3 字符"/>
    <w:link w:val="7"/>
    <w:qFormat/>
    <w:uiPriority w:val="0"/>
    <w:rPr>
      <w:rFonts w:ascii="宋体" w:eastAsia="宋体"/>
      <w:b/>
      <w:sz w:val="24"/>
      <w:u w:val="single"/>
      <w:lang w:val="en-US" w:eastAsia="zh-CN" w:bidi="ar-SA"/>
    </w:rPr>
  </w:style>
  <w:style w:type="character" w:customStyle="1" w:styleId="56">
    <w:name w:val="c21"/>
    <w:qFormat/>
    <w:uiPriority w:val="0"/>
    <w:rPr>
      <w:rFonts w:hint="default" w:ascii="ˎ̥" w:hAnsi="ˎ̥"/>
      <w:color w:val="000000"/>
      <w:sz w:val="20"/>
      <w:szCs w:val="20"/>
      <w:u w:val="none"/>
    </w:rPr>
  </w:style>
  <w:style w:type="character" w:customStyle="1" w:styleId="57">
    <w:name w:val="title4"/>
    <w:qFormat/>
    <w:uiPriority w:val="0"/>
    <w:rPr>
      <w:b/>
      <w:bCs/>
      <w:color w:val="1D87B3"/>
      <w:sz w:val="15"/>
      <w:szCs w:val="15"/>
    </w:rPr>
  </w:style>
  <w:style w:type="character" w:customStyle="1" w:styleId="58">
    <w:name w:val="标题 2 Char Char"/>
    <w:qFormat/>
    <w:uiPriority w:val="0"/>
    <w:rPr>
      <w:rFonts w:ascii="Arial" w:hAnsi="Arial" w:eastAsia="黑体"/>
      <w:b/>
      <w:bCs/>
      <w:kern w:val="2"/>
      <w:sz w:val="32"/>
      <w:szCs w:val="32"/>
      <w:lang w:val="en-US" w:eastAsia="zh-CN" w:bidi="ar-SA"/>
    </w:rPr>
  </w:style>
  <w:style w:type="character" w:customStyle="1" w:styleId="59">
    <w:name w:val="black1"/>
    <w:qFormat/>
    <w:uiPriority w:val="0"/>
    <w:rPr>
      <w:color w:val="000000"/>
    </w:rPr>
  </w:style>
  <w:style w:type="character" w:customStyle="1" w:styleId="60">
    <w:name w:val="street-address"/>
    <w:basedOn w:val="46"/>
    <w:qFormat/>
    <w:uiPriority w:val="0"/>
  </w:style>
  <w:style w:type="character" w:customStyle="1" w:styleId="61">
    <w:name w:val="locality"/>
    <w:basedOn w:val="46"/>
    <w:qFormat/>
    <w:uiPriority w:val="0"/>
  </w:style>
  <w:style w:type="character" w:customStyle="1" w:styleId="62">
    <w:name w:val="正文缩进 字符"/>
    <w:link w:val="15"/>
    <w:qFormat/>
    <w:uiPriority w:val="0"/>
    <w:rPr>
      <w:rFonts w:ascii="宋体" w:eastAsia="宋体"/>
      <w:kern w:val="2"/>
      <w:sz w:val="24"/>
      <w:szCs w:val="24"/>
      <w:lang w:val="en-US" w:eastAsia="zh-CN" w:bidi="ar-SA"/>
    </w:rPr>
  </w:style>
  <w:style w:type="character" w:customStyle="1" w:styleId="63">
    <w:name w:val="正文文本缩进 Char1"/>
    <w:link w:val="64"/>
    <w:qFormat/>
    <w:uiPriority w:val="0"/>
    <w:rPr>
      <w:rFonts w:ascii="宋体" w:hAnsi="宋体" w:eastAsia="宋体"/>
      <w:sz w:val="24"/>
      <w:szCs w:val="24"/>
      <w:lang w:bidi="ar-SA"/>
    </w:rPr>
  </w:style>
  <w:style w:type="paragraph" w:customStyle="1" w:styleId="64">
    <w:name w:val="正文文本缩进1"/>
    <w:basedOn w:val="1"/>
    <w:link w:val="63"/>
    <w:qFormat/>
    <w:uiPriority w:val="0"/>
    <w:pPr>
      <w:spacing w:line="480" w:lineRule="exact"/>
      <w:ind w:firstLine="480" w:firstLineChars="200"/>
    </w:pPr>
    <w:rPr>
      <w:rFonts w:ascii="宋体" w:hAnsi="宋体"/>
      <w:kern w:val="0"/>
      <w:sz w:val="24"/>
    </w:rPr>
  </w:style>
  <w:style w:type="character" w:customStyle="1" w:styleId="65">
    <w:name w:val="Char Char11"/>
    <w:qFormat/>
    <w:uiPriority w:val="0"/>
    <w:rPr>
      <w:rFonts w:ascii="宋体" w:eastAsia="宋体"/>
      <w:b/>
      <w:sz w:val="24"/>
      <w:u w:val="single"/>
      <w:lang w:val="en-US" w:eastAsia="zh-CN" w:bidi="ar-SA"/>
    </w:rPr>
  </w:style>
  <w:style w:type="character" w:customStyle="1" w:styleId="66">
    <w:name w:val="txt"/>
    <w:basedOn w:val="46"/>
    <w:qFormat/>
    <w:uiPriority w:val="0"/>
  </w:style>
  <w:style w:type="character" w:customStyle="1" w:styleId="67">
    <w:name w:val="正文文本缩进 字符"/>
    <w:link w:val="20"/>
    <w:qFormat/>
    <w:uiPriority w:val="0"/>
    <w:rPr>
      <w:rFonts w:eastAsia="宋体"/>
      <w:kern w:val="2"/>
      <w:sz w:val="24"/>
      <w:szCs w:val="24"/>
      <w:lang w:val="en-US" w:eastAsia="zh-CN" w:bidi="ar-SA"/>
    </w:rPr>
  </w:style>
  <w:style w:type="character" w:customStyle="1" w:styleId="68">
    <w:name w:val="正文缩进 Char Char"/>
    <w:link w:val="69"/>
    <w:qFormat/>
    <w:uiPriority w:val="0"/>
    <w:rPr>
      <w:rFonts w:ascii="宋体" w:eastAsia="宋体"/>
      <w:snapToGrid w:val="0"/>
      <w:color w:val="000000"/>
      <w:kern w:val="28"/>
      <w:sz w:val="28"/>
      <w:lang w:bidi="ar-SA"/>
    </w:rPr>
  </w:style>
  <w:style w:type="paragraph" w:customStyle="1" w:styleId="69">
    <w:name w:val="正文缩进1"/>
    <w:basedOn w:val="1"/>
    <w:link w:val="68"/>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0">
    <w:name w:val="普通文字1 Char1"/>
    <w:qFormat/>
    <w:uiPriority w:val="0"/>
    <w:rPr>
      <w:rFonts w:ascii="宋体" w:hAnsi="Courier New" w:eastAsia="宋体"/>
      <w:kern w:val="2"/>
      <w:sz w:val="21"/>
      <w:lang w:val="en-US" w:eastAsia="zh-CN" w:bidi="ar-SA"/>
    </w:rPr>
  </w:style>
  <w:style w:type="character" w:customStyle="1" w:styleId="71">
    <w:name w:val="chanpin1"/>
    <w:qFormat/>
    <w:uiPriority w:val="0"/>
    <w:rPr>
      <w:rFonts w:hint="default" w:ascii="ˎ̥" w:hAnsi="ˎ̥"/>
      <w:color w:val="000000"/>
      <w:sz w:val="20"/>
      <w:szCs w:val="20"/>
      <w:u w:val="none"/>
    </w:rPr>
  </w:style>
  <w:style w:type="character" w:customStyle="1" w:styleId="72">
    <w:name w:val="列表段落 字符"/>
    <w:link w:val="73"/>
    <w:qFormat/>
    <w:uiPriority w:val="34"/>
    <w:rPr>
      <w:rFonts w:ascii="Calibri" w:hAnsi="Calibri" w:eastAsia="宋体"/>
      <w:kern w:val="2"/>
      <w:sz w:val="21"/>
      <w:szCs w:val="22"/>
      <w:lang w:val="en-US" w:eastAsia="zh-CN" w:bidi="ar-SA"/>
    </w:rPr>
  </w:style>
  <w:style w:type="paragraph" w:customStyle="1" w:styleId="73">
    <w:name w:val="列表段落1"/>
    <w:basedOn w:val="1"/>
    <w:link w:val="72"/>
    <w:qFormat/>
    <w:uiPriority w:val="34"/>
    <w:pPr>
      <w:ind w:firstLine="420" w:firstLineChars="200"/>
    </w:pPr>
    <w:rPr>
      <w:rFonts w:ascii="Calibri" w:hAnsi="Calibri"/>
      <w:szCs w:val="22"/>
    </w:rPr>
  </w:style>
  <w:style w:type="character" w:customStyle="1" w:styleId="74">
    <w:name w:val="标题 3 Char Char"/>
    <w:qFormat/>
    <w:uiPriority w:val="0"/>
    <w:rPr>
      <w:rFonts w:eastAsia="宋体"/>
      <w:b/>
      <w:bCs/>
      <w:kern w:val="2"/>
      <w:sz w:val="32"/>
      <w:szCs w:val="32"/>
      <w:lang w:val="en-US" w:eastAsia="zh-CN" w:bidi="ar-SA"/>
    </w:rPr>
  </w:style>
  <w:style w:type="character" w:customStyle="1" w:styleId="75">
    <w:name w:val="段1 Char"/>
    <w:qFormat/>
    <w:uiPriority w:val="0"/>
    <w:rPr>
      <w:rFonts w:ascii="宋体" w:eastAsia="宋体"/>
      <w:sz w:val="24"/>
      <w:lang w:val="en-US" w:eastAsia="zh-CN" w:bidi="ar-SA"/>
    </w:rPr>
  </w:style>
  <w:style w:type="character" w:customStyle="1" w:styleId="76">
    <w:name w:val="页眉 字符"/>
    <w:link w:val="31"/>
    <w:qFormat/>
    <w:uiPriority w:val="0"/>
    <w:rPr>
      <w:rFonts w:eastAsia="宋体"/>
      <w:kern w:val="2"/>
      <w:sz w:val="18"/>
      <w:szCs w:val="18"/>
      <w:lang w:val="en-US" w:eastAsia="zh-CN" w:bidi="ar-SA"/>
    </w:rPr>
  </w:style>
  <w:style w:type="character" w:customStyle="1" w:styleId="77">
    <w:name w:val="chanpin拷贝"/>
    <w:basedOn w:val="46"/>
    <w:qFormat/>
    <w:uiPriority w:val="0"/>
  </w:style>
  <w:style w:type="character" w:customStyle="1" w:styleId="78">
    <w:name w:val="纯文本 Char1"/>
    <w:qFormat/>
    <w:uiPriority w:val="0"/>
    <w:rPr>
      <w:rFonts w:ascii="宋体" w:hAnsi="Courier New" w:eastAsia="宋体"/>
      <w:kern w:val="2"/>
      <w:sz w:val="21"/>
      <w:lang w:val="en-US" w:eastAsia="zh-CN" w:bidi="ar-SA"/>
    </w:rPr>
  </w:style>
  <w:style w:type="character" w:customStyle="1" w:styleId="79">
    <w:name w:val="apple-style-span"/>
    <w:qFormat/>
    <w:uiPriority w:val="0"/>
    <w:rPr>
      <w:rFonts w:cs="Times New Roman"/>
    </w:rPr>
  </w:style>
  <w:style w:type="paragraph" w:customStyle="1" w:styleId="80">
    <w:name w:val="二级条标题"/>
    <w:basedOn w:val="81"/>
    <w:next w:val="1"/>
    <w:qFormat/>
    <w:uiPriority w:val="0"/>
    <w:pPr>
      <w:numPr>
        <w:numId w:val="0"/>
      </w:numPr>
      <w:tabs>
        <w:tab w:val="left" w:pos="360"/>
        <w:tab w:val="left" w:pos="840"/>
      </w:tabs>
      <w:ind w:hanging="840"/>
      <w:outlineLvl w:val="2"/>
    </w:pPr>
    <w:rPr>
      <w:rFonts w:ascii="宋体" w:eastAsia="宋体"/>
      <w:b w:val="0"/>
    </w:rPr>
  </w:style>
  <w:style w:type="paragraph" w:customStyle="1" w:styleId="81">
    <w:name w:val="一级条标题"/>
    <w:basedOn w:val="82"/>
    <w:next w:val="1"/>
    <w:qFormat/>
    <w:uiPriority w:val="0"/>
    <w:pPr>
      <w:numPr>
        <w:ilvl w:val="1"/>
      </w:numPr>
      <w:tabs>
        <w:tab w:val="left" w:pos="360"/>
        <w:tab w:val="left" w:pos="840"/>
      </w:tabs>
      <w:ind w:left="0" w:hanging="840"/>
      <w:outlineLvl w:val="1"/>
    </w:pPr>
  </w:style>
  <w:style w:type="paragraph" w:customStyle="1" w:styleId="82">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3">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4">
    <w:name w:val="字元 字元"/>
    <w:basedOn w:val="1"/>
    <w:qFormat/>
    <w:uiPriority w:val="0"/>
    <w:rPr>
      <w:rFonts w:ascii="Tahoma" w:hAnsi="Tahoma"/>
      <w:sz w:val="24"/>
      <w:szCs w:val="20"/>
    </w:rPr>
  </w:style>
  <w:style w:type="paragraph" w:customStyle="1" w:styleId="85">
    <w:name w:val="Char3 Char Char Char"/>
    <w:basedOn w:val="1"/>
    <w:qFormat/>
    <w:uiPriority w:val="0"/>
    <w:rPr>
      <w:rFonts w:ascii="Tahoma" w:hAnsi="Tahoma"/>
      <w:sz w:val="24"/>
      <w:szCs w:val="20"/>
    </w:rPr>
  </w:style>
  <w:style w:type="paragraph" w:customStyle="1" w:styleId="86">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7">
    <w:name w:val="项目编号2"/>
    <w:basedOn w:val="88"/>
    <w:qFormat/>
    <w:uiPriority w:val="0"/>
    <w:pPr>
      <w:numPr>
        <w:numId w:val="2"/>
      </w:numPr>
    </w:pPr>
  </w:style>
  <w:style w:type="paragraph" w:customStyle="1" w:styleId="88">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89">
    <w:name w:val="图中文字"/>
    <w:basedOn w:val="1"/>
    <w:qFormat/>
    <w:uiPriority w:val="0"/>
    <w:pPr>
      <w:adjustRightInd w:val="0"/>
      <w:snapToGrid w:val="0"/>
      <w:spacing w:line="0" w:lineRule="atLeast"/>
      <w:jc w:val="center"/>
    </w:pPr>
    <w:rPr>
      <w:sz w:val="24"/>
      <w:szCs w:val="20"/>
    </w:rPr>
  </w:style>
  <w:style w:type="paragraph" w:customStyle="1" w:styleId="90">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2">
    <w:name w:val="Char2"/>
    <w:basedOn w:val="1"/>
    <w:qFormat/>
    <w:uiPriority w:val="0"/>
    <w:rPr>
      <w:rFonts w:ascii="Tahoma" w:hAnsi="Tahoma"/>
      <w:sz w:val="24"/>
      <w:szCs w:val="20"/>
    </w:rPr>
  </w:style>
  <w:style w:type="paragraph" w:customStyle="1" w:styleId="93">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4">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5">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6">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98">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99">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0">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1">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2">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4">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5">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6">
    <w:name w:val="font8"/>
    <w:basedOn w:val="1"/>
    <w:qFormat/>
    <w:uiPriority w:val="0"/>
    <w:pPr>
      <w:widowControl/>
      <w:spacing w:before="100" w:beforeAutospacing="1" w:after="100" w:afterAutospacing="1"/>
      <w:jc w:val="left"/>
    </w:pPr>
    <w:rPr>
      <w:kern w:val="0"/>
      <w:sz w:val="36"/>
      <w:szCs w:val="36"/>
    </w:rPr>
  </w:style>
  <w:style w:type="paragraph" w:customStyle="1" w:styleId="107">
    <w:name w:val="Char"/>
    <w:basedOn w:val="1"/>
    <w:qFormat/>
    <w:uiPriority w:val="0"/>
    <w:pPr>
      <w:tabs>
        <w:tab w:val="left" w:pos="360"/>
      </w:tabs>
    </w:pPr>
    <w:rPr>
      <w:sz w:val="24"/>
    </w:rPr>
  </w:style>
  <w:style w:type="paragraph" w:customStyle="1" w:styleId="108">
    <w:name w:val="Char Char Char Char Char Char Char Char Char Char Char Char Char Char Char Char"/>
    <w:basedOn w:val="1"/>
    <w:qFormat/>
    <w:uiPriority w:val="0"/>
    <w:pPr>
      <w:widowControl/>
      <w:spacing w:line="240" w:lineRule="exact"/>
      <w:jc w:val="center"/>
    </w:pPr>
    <w:rPr>
      <w:rFonts w:ascii="宋体" w:hAnsi="宋体"/>
      <w:b/>
      <w:kern w:val="0"/>
      <w:sz w:val="30"/>
      <w:szCs w:val="30"/>
      <w:lang w:eastAsia="en-US"/>
    </w:rPr>
  </w:style>
  <w:style w:type="paragraph" w:customStyle="1" w:styleId="109">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0">
    <w:name w:val="Char Char1 Char Char Char Char Char Char"/>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11">
    <w:name w:val="Char Char1"/>
    <w:basedOn w:val="17"/>
    <w:qFormat/>
    <w:uiPriority w:val="0"/>
    <w:rPr>
      <w:rFonts w:ascii="Tahoma" w:hAnsi="Tahoma"/>
      <w:sz w:val="24"/>
    </w:rPr>
  </w:style>
  <w:style w:type="paragraph" w:customStyle="1" w:styleId="11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4">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5">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6">
    <w:name w:val="Char1 Char Char Char1"/>
    <w:basedOn w:val="1"/>
    <w:qFormat/>
    <w:uiPriority w:val="0"/>
    <w:rPr>
      <w:rFonts w:ascii="Tahoma" w:hAnsi="Tahoma" w:cs="仿宋_GB2312"/>
      <w:sz w:val="24"/>
      <w:szCs w:val="28"/>
    </w:rPr>
  </w:style>
  <w:style w:type="paragraph" w:customStyle="1" w:styleId="117">
    <w:name w:val="四级条标题"/>
    <w:basedOn w:val="118"/>
    <w:next w:val="1"/>
    <w:qFormat/>
    <w:uiPriority w:val="0"/>
    <w:pPr>
      <w:numPr>
        <w:ilvl w:val="4"/>
      </w:numPr>
      <w:tabs>
        <w:tab w:val="left" w:pos="360"/>
        <w:tab w:val="left" w:pos="840"/>
      </w:tabs>
      <w:ind w:left="0" w:hanging="840"/>
      <w:outlineLvl w:val="4"/>
    </w:pPr>
  </w:style>
  <w:style w:type="paragraph" w:customStyle="1" w:styleId="118">
    <w:name w:val="三级条标题"/>
    <w:basedOn w:val="80"/>
    <w:next w:val="1"/>
    <w:qFormat/>
    <w:uiPriority w:val="0"/>
    <w:pPr>
      <w:numPr>
        <w:ilvl w:val="3"/>
        <w:numId w:val="1"/>
      </w:numPr>
      <w:ind w:left="0" w:hanging="840"/>
      <w:outlineLvl w:val="3"/>
    </w:pPr>
  </w:style>
  <w:style w:type="paragraph" w:customStyle="1" w:styleId="119">
    <w:name w:val="??"/>
    <w:qFormat/>
    <w:uiPriority w:val="0"/>
    <w:pPr>
      <w:widowControl w:val="0"/>
      <w:overflowPunct w:val="0"/>
      <w:autoSpaceDE w:val="0"/>
      <w:autoSpaceDN w:val="0"/>
      <w:adjustRightInd w:val="0"/>
      <w:spacing w:after="160" w:line="278" w:lineRule="auto"/>
      <w:jc w:val="both"/>
    </w:pPr>
    <w:rPr>
      <w:rFonts w:ascii="Times New Roman" w:hAnsi="Times New Roman" w:eastAsia="宋体" w:cs="Times New Roman"/>
      <w:kern w:val="2"/>
      <w:sz w:val="21"/>
      <w:lang w:val="en-US" w:eastAsia="en-US" w:bidi="ar-SA"/>
    </w:rPr>
  </w:style>
  <w:style w:type="paragraph" w:customStyle="1" w:styleId="120">
    <w:name w:val="样式 标题 2 + 宋体 五号 行距: 单倍行距"/>
    <w:basedOn w:val="6"/>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1">
    <w:name w:val="List Paragraph1"/>
    <w:basedOn w:val="1"/>
    <w:qFormat/>
    <w:uiPriority w:val="0"/>
    <w:pPr>
      <w:ind w:firstLine="420" w:firstLineChars="200"/>
    </w:pPr>
    <w:rPr>
      <w:rFonts w:ascii="Calibri" w:hAnsi="Calibri"/>
      <w:szCs w:val="22"/>
    </w:rPr>
  </w:style>
  <w:style w:type="paragraph" w:customStyle="1" w:styleId="122">
    <w:name w:val="项目符号1"/>
    <w:basedOn w:val="123"/>
    <w:qFormat/>
    <w:uiPriority w:val="0"/>
    <w:pPr>
      <w:ind w:left="-25" w:firstLine="0"/>
    </w:pPr>
  </w:style>
  <w:style w:type="paragraph" w:customStyle="1" w:styleId="123">
    <w:name w:val="正文文本样式"/>
    <w:basedOn w:val="1"/>
    <w:qFormat/>
    <w:uiPriority w:val="0"/>
    <w:pPr>
      <w:spacing w:line="360" w:lineRule="auto"/>
      <w:ind w:firstLine="482"/>
    </w:pPr>
    <w:rPr>
      <w:rFonts w:cs="宋体"/>
      <w:sz w:val="24"/>
      <w:szCs w:val="20"/>
    </w:rPr>
  </w:style>
  <w:style w:type="paragraph" w:customStyle="1" w:styleId="12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6">
    <w:name w:val="五级条标题"/>
    <w:basedOn w:val="117"/>
    <w:next w:val="1"/>
    <w:qFormat/>
    <w:uiPriority w:val="0"/>
    <w:pPr>
      <w:numPr>
        <w:ilvl w:val="5"/>
      </w:numPr>
      <w:ind w:left="0" w:hanging="840"/>
      <w:outlineLvl w:val="5"/>
    </w:pPr>
  </w:style>
  <w:style w:type="paragraph" w:customStyle="1" w:styleId="127">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28">
    <w:name w:val="文档正文"/>
    <w:basedOn w:val="1"/>
    <w:qFormat/>
    <w:uiPriority w:val="0"/>
    <w:pPr>
      <w:snapToGrid w:val="0"/>
      <w:spacing w:before="120" w:after="120" w:line="180" w:lineRule="auto"/>
    </w:pPr>
    <w:rPr>
      <w:rFonts w:ascii="Arial" w:hAnsi="Arial"/>
      <w:szCs w:val="20"/>
    </w:rPr>
  </w:style>
  <w:style w:type="paragraph" w:customStyle="1" w:styleId="129">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0">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1">
    <w:name w:val="Char Char Char1 Char"/>
    <w:basedOn w:val="1"/>
    <w:qFormat/>
    <w:uiPriority w:val="0"/>
    <w:rPr>
      <w:rFonts w:ascii="Tahoma" w:hAnsi="Tahoma"/>
      <w:sz w:val="24"/>
      <w:szCs w:val="20"/>
    </w:rPr>
  </w:style>
  <w:style w:type="paragraph" w:customStyle="1" w:styleId="132">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3">
    <w:name w:val="1名"/>
    <w:basedOn w:val="1"/>
    <w:qFormat/>
    <w:uiPriority w:val="0"/>
    <w:pPr>
      <w:numPr>
        <w:ilvl w:val="0"/>
        <w:numId w:val="5"/>
      </w:numPr>
      <w:spacing w:before="120"/>
    </w:pPr>
    <w:rPr>
      <w:rFonts w:ascii="宋体"/>
      <w:sz w:val="28"/>
      <w:szCs w:val="20"/>
    </w:rPr>
  </w:style>
  <w:style w:type="paragraph" w:customStyle="1" w:styleId="134">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5">
    <w:name w:val="Char Char Char1 Char1"/>
    <w:basedOn w:val="1"/>
    <w:qFormat/>
    <w:uiPriority w:val="0"/>
    <w:rPr>
      <w:rFonts w:ascii="Tahoma" w:hAnsi="Tahoma"/>
      <w:sz w:val="24"/>
      <w:szCs w:val="20"/>
    </w:rPr>
  </w:style>
  <w:style w:type="paragraph" w:customStyle="1" w:styleId="136">
    <w:name w:val="Char Char Char Char Char Char Char Char Char Char"/>
    <w:basedOn w:val="1"/>
    <w:qFormat/>
    <w:uiPriority w:val="0"/>
  </w:style>
  <w:style w:type="paragraph" w:customStyle="1" w:styleId="137">
    <w:name w:val="Char Char1 Char Char Char Char Char Char Char Char"/>
    <w:basedOn w:val="1"/>
    <w:qFormat/>
    <w:uiPriority w:val="0"/>
    <w:pPr>
      <w:widowControl/>
      <w:spacing w:line="240" w:lineRule="exact"/>
      <w:jc w:val="left"/>
    </w:pPr>
    <w:rPr>
      <w:rFonts w:ascii="Verdana" w:hAnsi="Verdana"/>
      <w:kern w:val="0"/>
      <w:sz w:val="20"/>
      <w:szCs w:val="20"/>
      <w:lang w:eastAsia="en-US"/>
    </w:rPr>
  </w:style>
  <w:style w:type="paragraph" w:customStyle="1" w:styleId="138">
    <w:name w:val="Char1"/>
    <w:basedOn w:val="1"/>
    <w:qFormat/>
    <w:uiPriority w:val="0"/>
    <w:pPr>
      <w:tabs>
        <w:tab w:val="left" w:pos="360"/>
      </w:tabs>
    </w:pPr>
    <w:rPr>
      <w:sz w:val="24"/>
    </w:rPr>
  </w:style>
  <w:style w:type="paragraph" w:customStyle="1" w:styleId="139">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1">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默认段落字体 Para Char Char Char Char"/>
    <w:basedOn w:val="1"/>
    <w:qFormat/>
    <w:uiPriority w:val="0"/>
    <w:rPr>
      <w:rFonts w:ascii="Arial" w:hAnsi="Arial" w:cs="Arial"/>
      <w:szCs w:val="21"/>
    </w:rPr>
  </w:style>
  <w:style w:type="paragraph" w:customStyle="1" w:styleId="143">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6">
    <w:name w:val="Char Char Char"/>
    <w:basedOn w:val="1"/>
    <w:qFormat/>
    <w:uiPriority w:val="0"/>
    <w:rPr>
      <w:rFonts w:ascii="Tahoma" w:hAnsi="Tahoma"/>
      <w:sz w:val="24"/>
      <w:szCs w:val="20"/>
    </w:rPr>
  </w:style>
  <w:style w:type="paragraph" w:customStyle="1" w:styleId="14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48">
    <w:name w:val="缺省文本"/>
    <w:basedOn w:val="1"/>
    <w:qFormat/>
    <w:uiPriority w:val="0"/>
    <w:pPr>
      <w:autoSpaceDE w:val="0"/>
      <w:autoSpaceDN w:val="0"/>
      <w:adjustRightInd w:val="0"/>
      <w:jc w:val="left"/>
    </w:pPr>
    <w:rPr>
      <w:kern w:val="0"/>
      <w:sz w:val="24"/>
    </w:rPr>
  </w:style>
  <w:style w:type="paragraph" w:customStyle="1" w:styleId="149">
    <w:name w:val="Char Char Char1"/>
    <w:basedOn w:val="1"/>
    <w:qFormat/>
    <w:uiPriority w:val="0"/>
    <w:rPr>
      <w:rFonts w:ascii="Tahoma" w:hAnsi="Tahoma"/>
      <w:sz w:val="24"/>
      <w:szCs w:val="20"/>
    </w:rPr>
  </w:style>
  <w:style w:type="paragraph" w:customStyle="1" w:styleId="15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2">
    <w:name w:val="样式2"/>
    <w:basedOn w:val="39"/>
    <w:qFormat/>
    <w:uiPriority w:val="0"/>
    <w:pPr>
      <w:spacing w:line="360" w:lineRule="auto"/>
      <w:jc w:val="center"/>
    </w:pPr>
    <w:rPr>
      <w:sz w:val="24"/>
    </w:rPr>
  </w:style>
  <w:style w:type="paragraph" w:customStyle="1" w:styleId="15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4">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5">
    <w:name w:val="正文 + 楷体_GB2312"/>
    <w:basedOn w:val="1"/>
    <w:qFormat/>
    <w:uiPriority w:val="0"/>
    <w:pPr>
      <w:widowControl/>
      <w:jc w:val="left"/>
    </w:pPr>
    <w:rPr>
      <w:rFonts w:ascii="楷体_GB2312" w:eastAsia="楷体_GB2312" w:cs="Arial"/>
      <w:kern w:val="0"/>
      <w:sz w:val="24"/>
    </w:rPr>
  </w:style>
  <w:style w:type="paragraph" w:customStyle="1" w:styleId="156">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7">
    <w:name w:val="1 Char Char Char Char"/>
    <w:basedOn w:val="1"/>
    <w:qFormat/>
    <w:uiPriority w:val="0"/>
    <w:rPr>
      <w:rFonts w:ascii="Tahoma" w:hAnsi="Tahoma"/>
      <w:sz w:val="24"/>
      <w:szCs w:val="20"/>
    </w:rPr>
  </w:style>
  <w:style w:type="paragraph" w:customStyle="1" w:styleId="158">
    <w:name w:val="Default"/>
    <w:qFormat/>
    <w:uiPriority w:val="0"/>
    <w:pPr>
      <w:widowControl w:val="0"/>
      <w:autoSpaceDE w:val="0"/>
      <w:autoSpaceDN w:val="0"/>
      <w:adjustRightInd w:val="0"/>
      <w:spacing w:after="160" w:line="278" w:lineRule="auto"/>
    </w:pPr>
    <w:rPr>
      <w:rFonts w:ascii="Symbol" w:hAnsi="Symbol" w:eastAsia="宋体" w:cs="Symbol"/>
      <w:color w:val="000000"/>
      <w:sz w:val="24"/>
      <w:szCs w:val="24"/>
      <w:lang w:val="en-US" w:eastAsia="zh-CN" w:bidi="ar-SA"/>
    </w:rPr>
  </w:style>
  <w:style w:type="paragraph" w:customStyle="1" w:styleId="159">
    <w:name w:val="列出段落1"/>
    <w:basedOn w:val="1"/>
    <w:qFormat/>
    <w:uiPriority w:val="0"/>
    <w:pPr>
      <w:ind w:firstLine="420" w:firstLineChars="200"/>
    </w:pPr>
    <w:rPr>
      <w:rFonts w:ascii="Calibri" w:hAnsi="Calibri"/>
      <w:szCs w:val="22"/>
    </w:rPr>
  </w:style>
  <w:style w:type="paragraph" w:customStyle="1" w:styleId="160">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1">
    <w:name w:val="字元 字元1"/>
    <w:basedOn w:val="1"/>
    <w:qFormat/>
    <w:uiPriority w:val="0"/>
    <w:rPr>
      <w:rFonts w:ascii="Tahoma" w:hAnsi="Tahoma"/>
      <w:sz w:val="24"/>
      <w:szCs w:val="20"/>
    </w:rPr>
  </w:style>
  <w:style w:type="paragraph" w:customStyle="1" w:styleId="162">
    <w:name w:val="_Style 160"/>
    <w:qFormat/>
    <w:uiPriority w:val="0"/>
    <w:pPr>
      <w:spacing w:after="160" w:line="278" w:lineRule="auto"/>
    </w:pPr>
    <w:rPr>
      <w:rFonts w:ascii="Times New Roman" w:hAnsi="Times New Roman" w:eastAsia="宋体" w:cs="Times New Roman"/>
      <w:kern w:val="2"/>
      <w:sz w:val="21"/>
      <w:szCs w:val="24"/>
      <w:lang w:val="en-US" w:eastAsia="zh-CN" w:bidi="ar-SA"/>
    </w:rPr>
  </w:style>
  <w:style w:type="paragraph" w:customStyle="1" w:styleId="163">
    <w:name w:val="项目编号3"/>
    <w:basedOn w:val="123"/>
    <w:qFormat/>
    <w:uiPriority w:val="0"/>
    <w:pPr>
      <w:numPr>
        <w:ilvl w:val="0"/>
        <w:numId w:val="6"/>
      </w:numPr>
    </w:pPr>
  </w:style>
  <w:style w:type="paragraph" w:customStyle="1" w:styleId="164">
    <w:name w:val="Char21"/>
    <w:basedOn w:val="1"/>
    <w:qFormat/>
    <w:uiPriority w:val="0"/>
    <w:rPr>
      <w:rFonts w:ascii="Tahoma" w:hAnsi="Tahoma"/>
      <w:sz w:val="24"/>
      <w:szCs w:val="20"/>
    </w:rPr>
  </w:style>
  <w:style w:type="paragraph" w:customStyle="1" w:styleId="165">
    <w:name w:val="表格文字"/>
    <w:basedOn w:val="20"/>
    <w:qFormat/>
    <w:uiPriority w:val="0"/>
    <w:pPr>
      <w:spacing w:before="20" w:after="20" w:line="240" w:lineRule="auto"/>
      <w:ind w:firstLine="0"/>
    </w:pPr>
    <w:rPr>
      <w:rFonts w:ascii="Century Gothic" w:hAnsi="Century Gothic"/>
      <w:sz w:val="20"/>
      <w:szCs w:val="20"/>
    </w:rPr>
  </w:style>
  <w:style w:type="paragraph" w:customStyle="1" w:styleId="166">
    <w:name w:val="Char Char Char Char Char Char Char Char Char Char1"/>
    <w:basedOn w:val="1"/>
    <w:qFormat/>
    <w:uiPriority w:val="0"/>
    <w:rPr>
      <w:rFonts w:ascii="宋体" w:hAnsi="宋体" w:cs="Courier New"/>
      <w:sz w:val="32"/>
      <w:szCs w:val="32"/>
    </w:rPr>
  </w:style>
  <w:style w:type="paragraph" w:customStyle="1" w:styleId="167">
    <w:name w:val="正文文本样式 加粗"/>
    <w:basedOn w:val="123"/>
    <w:qFormat/>
    <w:uiPriority w:val="0"/>
    <w:rPr>
      <w:b/>
    </w:rPr>
  </w:style>
  <w:style w:type="paragraph" w:customStyle="1" w:styleId="168">
    <w:name w:val="Char2 Char Char Char Char Char Char"/>
    <w:basedOn w:val="1"/>
    <w:qFormat/>
    <w:uiPriority w:val="0"/>
    <w:pPr>
      <w:widowControl/>
      <w:spacing w:line="400" w:lineRule="exact"/>
      <w:jc w:val="center"/>
    </w:pPr>
  </w:style>
  <w:style w:type="character" w:customStyle="1" w:styleId="169">
    <w:name w:val="页脚 字符"/>
    <w:link w:val="30"/>
    <w:qFormat/>
    <w:uiPriority w:val="99"/>
    <w:rPr>
      <w:rFonts w:ascii="宋体" w:eastAsia="宋体"/>
      <w:sz w:val="18"/>
      <w:lang w:val="en-US" w:eastAsia="zh-CN" w:bidi="ar-SA"/>
    </w:rPr>
  </w:style>
  <w:style w:type="paragraph" w:customStyle="1" w:styleId="170">
    <w:name w:val="Char Char4"/>
    <w:basedOn w:val="1"/>
    <w:qFormat/>
    <w:uiPriority w:val="0"/>
    <w:pPr>
      <w:widowControl/>
      <w:spacing w:line="400" w:lineRule="exact"/>
      <w:jc w:val="center"/>
    </w:pPr>
  </w:style>
  <w:style w:type="paragraph" w:customStyle="1" w:styleId="171">
    <w:name w:val="Char3 Char Char Char1"/>
    <w:basedOn w:val="1"/>
    <w:qFormat/>
    <w:uiPriority w:val="0"/>
    <w:rPr>
      <w:rFonts w:ascii="Tahoma" w:hAnsi="Tahoma"/>
      <w:sz w:val="24"/>
      <w:szCs w:val="20"/>
    </w:rPr>
  </w:style>
  <w:style w:type="paragraph" w:customStyle="1" w:styleId="172">
    <w:name w:val="无间隔1"/>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customStyle="1" w:styleId="173">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4">
    <w:name w:val="中等深浅网格 1 - 强调文字颜色 2 Char"/>
    <w:link w:val="175"/>
    <w:qFormat/>
    <w:uiPriority w:val="0"/>
    <w:rPr>
      <w:kern w:val="2"/>
      <w:sz w:val="21"/>
      <w:szCs w:val="24"/>
      <w:lang w:val="zh-CN" w:eastAsia="zh-CN"/>
    </w:rPr>
  </w:style>
  <w:style w:type="paragraph" w:customStyle="1" w:styleId="175">
    <w:name w:val="1"/>
    <w:link w:val="174"/>
    <w:qFormat/>
    <w:uiPriority w:val="0"/>
    <w:pPr>
      <w:spacing w:after="160" w:line="278" w:lineRule="auto"/>
    </w:pPr>
    <w:rPr>
      <w:rFonts w:ascii="Times New Roman" w:hAnsi="Times New Roman" w:eastAsia="宋体" w:cs="Times New Roman"/>
      <w:kern w:val="2"/>
      <w:sz w:val="21"/>
      <w:szCs w:val="24"/>
      <w:lang w:val="zh-CN" w:eastAsia="zh-CN" w:bidi="ar-SA"/>
    </w:rPr>
  </w:style>
  <w:style w:type="paragraph" w:customStyle="1" w:styleId="176">
    <w:name w:val="图文"/>
    <w:basedOn w:val="1"/>
    <w:qFormat/>
    <w:uiPriority w:val="0"/>
    <w:pPr>
      <w:adjustRightInd w:val="0"/>
      <w:snapToGrid w:val="0"/>
      <w:spacing w:after="50" w:line="360" w:lineRule="auto"/>
    </w:pPr>
    <w:rPr>
      <w:sz w:val="24"/>
    </w:rPr>
  </w:style>
  <w:style w:type="paragraph" w:customStyle="1" w:styleId="177">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78">
    <w:name w:val="正文表格"/>
    <w:basedOn w:val="1"/>
    <w:link w:val="179"/>
    <w:qFormat/>
    <w:uiPriority w:val="0"/>
    <w:pPr>
      <w:adjustRightInd w:val="0"/>
      <w:snapToGrid w:val="0"/>
      <w:jc w:val="left"/>
    </w:pPr>
    <w:rPr>
      <w:rFonts w:ascii="宋体" w:hAnsi="宋体"/>
      <w:color w:val="000000"/>
      <w:szCs w:val="21"/>
    </w:rPr>
  </w:style>
  <w:style w:type="character" w:customStyle="1" w:styleId="179">
    <w:name w:val="正文表格 Char"/>
    <w:link w:val="178"/>
    <w:qFormat/>
    <w:uiPriority w:val="0"/>
    <w:rPr>
      <w:rFonts w:ascii="宋体" w:hAnsi="宋体"/>
      <w:color w:val="000000"/>
      <w:kern w:val="2"/>
      <w:sz w:val="21"/>
      <w:szCs w:val="21"/>
    </w:rPr>
  </w:style>
  <w:style w:type="paragraph" w:customStyle="1" w:styleId="180">
    <w:name w:val="正文重点"/>
    <w:basedOn w:val="1"/>
    <w:link w:val="181"/>
    <w:qFormat/>
    <w:uiPriority w:val="0"/>
    <w:pPr>
      <w:adjustRightInd w:val="0"/>
      <w:spacing w:line="360" w:lineRule="auto"/>
      <w:ind w:firstLine="482" w:firstLineChars="200"/>
      <w:jc w:val="left"/>
      <w:textAlignment w:val="baseline"/>
    </w:pPr>
    <w:rPr>
      <w:b/>
      <w:kern w:val="0"/>
      <w:sz w:val="24"/>
      <w:szCs w:val="20"/>
    </w:rPr>
  </w:style>
  <w:style w:type="character" w:customStyle="1" w:styleId="181">
    <w:name w:val="正文重点 Char"/>
    <w:link w:val="180"/>
    <w:qFormat/>
    <w:uiPriority w:val="0"/>
    <w:rPr>
      <w:b/>
      <w:sz w:val="24"/>
    </w:rPr>
  </w:style>
  <w:style w:type="character" w:customStyle="1" w:styleId="182">
    <w:name w:val="批注文字 字符1"/>
    <w:link w:val="18"/>
    <w:qFormat/>
    <w:uiPriority w:val="99"/>
    <w:rPr>
      <w:kern w:val="2"/>
      <w:sz w:val="21"/>
      <w:szCs w:val="24"/>
    </w:rPr>
  </w:style>
  <w:style w:type="paragraph" w:customStyle="1" w:styleId="183">
    <w:name w:val="标题1-附件"/>
    <w:basedOn w:val="5"/>
    <w:qFormat/>
    <w:uiPriority w:val="0"/>
    <w:pPr>
      <w:jc w:val="left"/>
    </w:pPr>
    <w:rPr>
      <w:sz w:val="24"/>
      <w:szCs w:val="24"/>
    </w:rPr>
  </w:style>
  <w:style w:type="paragraph" w:customStyle="1" w:styleId="184">
    <w:name w:val="正文小标题"/>
    <w:basedOn w:val="1"/>
    <w:next w:val="15"/>
    <w:link w:val="185"/>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5">
    <w:name w:val="正文小标题 Char"/>
    <w:link w:val="184"/>
    <w:qFormat/>
    <w:uiPriority w:val="0"/>
    <w:rPr>
      <w:rFonts w:ascii="宋体" w:hAnsi="宋体"/>
      <w:b/>
      <w:i/>
      <w:color w:val="FF0000"/>
      <w:kern w:val="2"/>
      <w:sz w:val="24"/>
    </w:rPr>
  </w:style>
  <w:style w:type="paragraph" w:customStyle="1" w:styleId="186">
    <w:name w:val="正文大标题"/>
    <w:basedOn w:val="184"/>
    <w:next w:val="15"/>
    <w:link w:val="187"/>
    <w:qFormat/>
    <w:uiPriority w:val="0"/>
    <w:pPr>
      <w:jc w:val="center"/>
    </w:pPr>
    <w:rPr>
      <w:i w:val="0"/>
      <w:color w:val="000000"/>
      <w:sz w:val="28"/>
      <w:szCs w:val="21"/>
    </w:rPr>
  </w:style>
  <w:style w:type="character" w:customStyle="1" w:styleId="187">
    <w:name w:val="正文大标题 Char"/>
    <w:link w:val="186"/>
    <w:qFormat/>
    <w:uiPriority w:val="0"/>
    <w:rPr>
      <w:rFonts w:ascii="宋体" w:hAnsi="宋体"/>
      <w:b/>
      <w:color w:val="000000"/>
      <w:kern w:val="2"/>
      <w:sz w:val="28"/>
      <w:szCs w:val="21"/>
    </w:rPr>
  </w:style>
  <w:style w:type="character" w:customStyle="1" w:styleId="188">
    <w:name w:val="标题 字符"/>
    <w:link w:val="40"/>
    <w:qFormat/>
    <w:uiPriority w:val="0"/>
    <w:rPr>
      <w:b/>
      <w:kern w:val="2"/>
      <w:sz w:val="32"/>
    </w:rPr>
  </w:style>
  <w:style w:type="paragraph" w:customStyle="1" w:styleId="189">
    <w:name w:val="注释"/>
    <w:basedOn w:val="1"/>
    <w:link w:val="190"/>
    <w:qFormat/>
    <w:uiPriority w:val="0"/>
    <w:pPr>
      <w:adjustRightInd w:val="0"/>
      <w:snapToGrid w:val="0"/>
      <w:ind w:left="420" w:hanging="420" w:hangingChars="200"/>
      <w:jc w:val="left"/>
    </w:pPr>
    <w:rPr>
      <w:rFonts w:ascii="宋体" w:hAnsi="宋体"/>
      <w:szCs w:val="21"/>
    </w:rPr>
  </w:style>
  <w:style w:type="character" w:customStyle="1" w:styleId="190">
    <w:name w:val="注释 Char"/>
    <w:link w:val="189"/>
    <w:qFormat/>
    <w:uiPriority w:val="0"/>
    <w:rPr>
      <w:rFonts w:ascii="宋体" w:hAnsi="宋体"/>
      <w:kern w:val="2"/>
      <w:sz w:val="21"/>
      <w:szCs w:val="21"/>
    </w:rPr>
  </w:style>
  <w:style w:type="paragraph" w:customStyle="1" w:styleId="191">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2">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3">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4">
    <w:name w:val="批注文字 字符"/>
    <w:qFormat/>
    <w:uiPriority w:val="99"/>
    <w:rPr>
      <w:rFonts w:ascii="Times New Roman" w:hAnsi="Times New Roman" w:eastAsia="宋体" w:cs="Times New Roman"/>
      <w:sz w:val="24"/>
      <w:lang w:val="en-US" w:eastAsia="zh-CN" w:bidi="ar-SA"/>
    </w:rPr>
  </w:style>
  <w:style w:type="character" w:customStyle="1" w:styleId="195">
    <w:name w:val="纯文本 字符"/>
    <w:qFormat/>
    <w:uiPriority w:val="99"/>
    <w:rPr>
      <w:rFonts w:ascii="宋体" w:hAnsi="Courier New" w:eastAsia="宋体" w:cs="Times New Roman"/>
      <w:kern w:val="2"/>
      <w:sz w:val="21"/>
      <w:szCs w:val="21"/>
      <w:lang w:val="en-US" w:eastAsia="zh-CN" w:bidi="ar-SA"/>
    </w:rPr>
  </w:style>
  <w:style w:type="paragraph" w:customStyle="1" w:styleId="196">
    <w:name w:val="表格1"/>
    <w:basedOn w:val="1"/>
    <w:qFormat/>
    <w:uiPriority w:val="0"/>
    <w:pPr>
      <w:ind w:firstLine="480" w:firstLineChars="200"/>
      <w:jc w:val="center"/>
    </w:pPr>
    <w:rPr>
      <w:sz w:val="24"/>
      <w:szCs w:val="20"/>
    </w:rPr>
  </w:style>
  <w:style w:type="character" w:customStyle="1" w:styleId="197">
    <w:name w:val="纯文本 字符1"/>
    <w:qFormat/>
    <w:uiPriority w:val="0"/>
    <w:rPr>
      <w:rFonts w:ascii="宋体" w:hAnsi="Courier New"/>
    </w:rPr>
  </w:style>
  <w:style w:type="character" w:customStyle="1" w:styleId="198">
    <w:name w:val="bjh-p"/>
    <w:qFormat/>
    <w:uiPriority w:val="0"/>
  </w:style>
  <w:style w:type="paragraph" w:customStyle="1" w:styleId="199">
    <w:name w:val="无标题条"/>
    <w:next w:val="1"/>
    <w:qFormat/>
    <w:uiPriority w:val="0"/>
    <w:pPr>
      <w:spacing w:after="160" w:line="278" w:lineRule="auto"/>
      <w:jc w:val="both"/>
    </w:pPr>
    <w:rPr>
      <w:rFonts w:ascii="Times New Roman" w:hAnsi="Times New Roman" w:eastAsia="宋体" w:cs="Times New Roman"/>
      <w:sz w:val="21"/>
      <w:lang w:val="en-US" w:eastAsia="zh-CN" w:bidi="ar-SA"/>
    </w:rPr>
  </w:style>
  <w:style w:type="character" w:customStyle="1" w:styleId="200">
    <w:name w:val="正文格式 Char"/>
    <w:link w:val="201"/>
    <w:qFormat/>
    <w:locked/>
    <w:uiPriority w:val="0"/>
    <w:rPr>
      <w:rFonts w:ascii="宋体" w:hAnsi="宋体"/>
      <w:sz w:val="24"/>
      <w:szCs w:val="24"/>
      <w:lang w:val="en-GB"/>
    </w:rPr>
  </w:style>
  <w:style w:type="paragraph" w:customStyle="1" w:styleId="201">
    <w:name w:val="正文格式"/>
    <w:basedOn w:val="1"/>
    <w:link w:val="200"/>
    <w:qFormat/>
    <w:uiPriority w:val="0"/>
    <w:pPr>
      <w:spacing w:beforeLines="50" w:line="360" w:lineRule="auto"/>
      <w:ind w:firstLine="480" w:firstLineChars="200"/>
    </w:pPr>
    <w:rPr>
      <w:rFonts w:ascii="宋体" w:hAnsi="宋体"/>
      <w:kern w:val="0"/>
      <w:sz w:val="24"/>
      <w:lang w:val="en-GB"/>
    </w:rPr>
  </w:style>
  <w:style w:type="character" w:customStyle="1" w:styleId="202">
    <w:name w:val="纯文本 字符2"/>
    <w:basedOn w:val="46"/>
    <w:link w:val="25"/>
    <w:qFormat/>
    <w:uiPriority w:val="0"/>
    <w:rPr>
      <w:rFonts w:hint="eastAsia" w:ascii="宋体" w:hAnsi="Courier New" w:eastAsia="宋体" w:cs="宋体"/>
      <w:kern w:val="2"/>
      <w:sz w:val="21"/>
    </w:rPr>
  </w:style>
  <w:style w:type="character" w:customStyle="1" w:styleId="203">
    <w:name w:val="标题 3 Char"/>
    <w:qFormat/>
    <w:uiPriority w:val="0"/>
    <w:rPr>
      <w:rFonts w:ascii="宋体" w:eastAsia="宋体"/>
      <w:b/>
      <w:sz w:val="24"/>
      <w:u w:val="single"/>
      <w:lang w:val="en-US" w:eastAsia="zh-CN" w:bidi="ar-SA"/>
    </w:rPr>
  </w:style>
  <w:style w:type="character" w:customStyle="1" w:styleId="204">
    <w:name w:val="正文缩进 Char"/>
    <w:qFormat/>
    <w:uiPriority w:val="0"/>
    <w:rPr>
      <w:rFonts w:ascii="宋体" w:eastAsia="宋体"/>
      <w:kern w:val="2"/>
      <w:sz w:val="24"/>
      <w:szCs w:val="24"/>
      <w:lang w:val="en-US" w:eastAsia="zh-CN" w:bidi="ar-SA"/>
    </w:rPr>
  </w:style>
  <w:style w:type="character" w:customStyle="1" w:styleId="205">
    <w:name w:val="Char Char111"/>
    <w:qFormat/>
    <w:uiPriority w:val="0"/>
    <w:rPr>
      <w:rFonts w:ascii="宋体" w:eastAsia="宋体"/>
      <w:b/>
      <w:sz w:val="24"/>
      <w:u w:val="single"/>
      <w:lang w:val="en-US" w:eastAsia="zh-CN" w:bidi="ar-SA"/>
    </w:rPr>
  </w:style>
  <w:style w:type="character" w:customStyle="1" w:styleId="206">
    <w:name w:val="正文文本缩进 Char"/>
    <w:qFormat/>
    <w:uiPriority w:val="0"/>
    <w:rPr>
      <w:rFonts w:eastAsia="宋体"/>
      <w:kern w:val="2"/>
      <w:sz w:val="24"/>
      <w:szCs w:val="24"/>
      <w:lang w:val="en-US" w:eastAsia="zh-CN" w:bidi="ar-SA"/>
    </w:rPr>
  </w:style>
  <w:style w:type="character" w:customStyle="1" w:styleId="207">
    <w:name w:val="列出段落 Char"/>
    <w:qFormat/>
    <w:uiPriority w:val="0"/>
    <w:rPr>
      <w:rFonts w:ascii="Calibri" w:hAnsi="Calibri" w:eastAsia="宋体"/>
      <w:kern w:val="2"/>
      <w:sz w:val="21"/>
      <w:szCs w:val="22"/>
      <w:lang w:val="en-US" w:eastAsia="zh-CN" w:bidi="ar-SA"/>
    </w:rPr>
  </w:style>
  <w:style w:type="character" w:customStyle="1" w:styleId="208">
    <w:name w:val="页眉 Char"/>
    <w:qFormat/>
    <w:uiPriority w:val="0"/>
    <w:rPr>
      <w:rFonts w:eastAsia="宋体"/>
      <w:kern w:val="2"/>
      <w:sz w:val="18"/>
      <w:szCs w:val="18"/>
      <w:lang w:val="en-US" w:eastAsia="zh-CN" w:bidi="ar-SA"/>
    </w:rPr>
  </w:style>
  <w:style w:type="character" w:customStyle="1" w:styleId="209">
    <w:name w:val="标题 2 Char"/>
    <w:qFormat/>
    <w:uiPriority w:val="0"/>
    <w:rPr>
      <w:rFonts w:ascii="Arial" w:hAnsi="Arial" w:eastAsia="黑体"/>
      <w:b/>
      <w:sz w:val="30"/>
      <w:lang w:val="en-US" w:eastAsia="zh-CN" w:bidi="ar-SA"/>
    </w:rPr>
  </w:style>
  <w:style w:type="paragraph" w:customStyle="1" w:styleId="210">
    <w:name w:val="字元 字元2"/>
    <w:basedOn w:val="1"/>
    <w:qFormat/>
    <w:uiPriority w:val="0"/>
    <w:rPr>
      <w:rFonts w:ascii="Tahoma" w:hAnsi="Tahoma"/>
      <w:sz w:val="24"/>
      <w:szCs w:val="20"/>
    </w:rPr>
  </w:style>
  <w:style w:type="paragraph" w:customStyle="1" w:styleId="211">
    <w:name w:val="Char3 Char Char Char2"/>
    <w:basedOn w:val="1"/>
    <w:qFormat/>
    <w:uiPriority w:val="0"/>
    <w:rPr>
      <w:rFonts w:ascii="Tahoma" w:hAnsi="Tahoma"/>
      <w:sz w:val="24"/>
      <w:szCs w:val="20"/>
    </w:rPr>
  </w:style>
  <w:style w:type="paragraph" w:customStyle="1" w:styleId="212">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3">
    <w:name w:val="Char3"/>
    <w:basedOn w:val="1"/>
    <w:qFormat/>
    <w:uiPriority w:val="0"/>
    <w:pPr>
      <w:tabs>
        <w:tab w:val="left" w:pos="360"/>
      </w:tabs>
    </w:pPr>
    <w:rPr>
      <w:sz w:val="24"/>
    </w:rPr>
  </w:style>
  <w:style w:type="paragraph" w:customStyle="1" w:styleId="214">
    <w:name w:val="Char Char Char Char Char Char Char Char Char Char Char Char Char Char Char Char1"/>
    <w:basedOn w:val="1"/>
    <w:qFormat/>
    <w:uiPriority w:val="0"/>
    <w:pPr>
      <w:widowControl/>
      <w:spacing w:line="240" w:lineRule="exact"/>
      <w:jc w:val="center"/>
    </w:pPr>
    <w:rPr>
      <w:rFonts w:ascii="宋体" w:hAnsi="宋体"/>
      <w:b/>
      <w:kern w:val="0"/>
      <w:sz w:val="30"/>
      <w:szCs w:val="30"/>
      <w:lang w:eastAsia="en-US"/>
    </w:rPr>
  </w:style>
  <w:style w:type="paragraph" w:customStyle="1" w:styleId="215">
    <w:name w:val="Char Char1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216">
    <w:name w:val="列出段落2"/>
    <w:basedOn w:val="1"/>
    <w:qFormat/>
    <w:uiPriority w:val="0"/>
    <w:pPr>
      <w:ind w:firstLine="420" w:firstLineChars="200"/>
    </w:pPr>
    <w:rPr>
      <w:rFonts w:ascii="Calibri" w:hAnsi="Calibri"/>
      <w:szCs w:val="22"/>
    </w:rPr>
  </w:style>
  <w:style w:type="paragraph" w:customStyle="1" w:styleId="217">
    <w:name w:val="Char Char Char1 Char2"/>
    <w:basedOn w:val="1"/>
    <w:qFormat/>
    <w:uiPriority w:val="0"/>
    <w:rPr>
      <w:rFonts w:ascii="Tahoma" w:hAnsi="Tahoma"/>
      <w:sz w:val="24"/>
      <w:szCs w:val="20"/>
    </w:rPr>
  </w:style>
  <w:style w:type="paragraph" w:customStyle="1" w:styleId="218">
    <w:name w:val="Char Char Char2"/>
    <w:basedOn w:val="1"/>
    <w:qFormat/>
    <w:uiPriority w:val="0"/>
    <w:rPr>
      <w:rFonts w:ascii="Tahoma" w:hAnsi="Tahoma"/>
      <w:sz w:val="24"/>
      <w:szCs w:val="20"/>
    </w:rPr>
  </w:style>
  <w:style w:type="paragraph" w:customStyle="1" w:styleId="219">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0">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1">
    <w:name w:val="修订1"/>
    <w:qFormat/>
    <w:uiPriority w:val="0"/>
    <w:pPr>
      <w:spacing w:after="160" w:line="278" w:lineRule="auto"/>
    </w:pPr>
    <w:rPr>
      <w:rFonts w:ascii="Times New Roman" w:hAnsi="Times New Roman" w:eastAsia="宋体" w:cs="Times New Roman"/>
      <w:kern w:val="2"/>
      <w:sz w:val="21"/>
      <w:szCs w:val="24"/>
      <w:lang w:val="en-US" w:eastAsia="zh-CN" w:bidi="ar-SA"/>
    </w:rPr>
  </w:style>
  <w:style w:type="paragraph" w:customStyle="1" w:styleId="222">
    <w:name w:val="Char22"/>
    <w:basedOn w:val="1"/>
    <w:qFormat/>
    <w:uiPriority w:val="0"/>
    <w:rPr>
      <w:rFonts w:ascii="Tahoma" w:hAnsi="Tahoma"/>
      <w:sz w:val="24"/>
      <w:szCs w:val="20"/>
    </w:rPr>
  </w:style>
  <w:style w:type="paragraph" w:customStyle="1" w:styleId="223">
    <w:name w:val="Char Char Char Char Char Char Char Char Char Char2"/>
    <w:basedOn w:val="1"/>
    <w:qFormat/>
    <w:uiPriority w:val="0"/>
    <w:rPr>
      <w:rFonts w:ascii="宋体" w:hAnsi="宋体" w:cs="Courier New"/>
      <w:sz w:val="32"/>
      <w:szCs w:val="32"/>
    </w:rPr>
  </w:style>
  <w:style w:type="paragraph" w:customStyle="1" w:styleId="224">
    <w:name w:val="Char2 Char Char Char Char Char Char1"/>
    <w:basedOn w:val="1"/>
    <w:qFormat/>
    <w:uiPriority w:val="0"/>
    <w:pPr>
      <w:widowControl/>
      <w:spacing w:line="400" w:lineRule="exact"/>
      <w:jc w:val="center"/>
    </w:pPr>
  </w:style>
  <w:style w:type="character" w:customStyle="1" w:styleId="225">
    <w:name w:val="页脚 Char"/>
    <w:qFormat/>
    <w:uiPriority w:val="0"/>
    <w:rPr>
      <w:rFonts w:ascii="宋体" w:eastAsia="宋体"/>
      <w:sz w:val="18"/>
      <w:lang w:val="en-US" w:eastAsia="zh-CN" w:bidi="ar-SA"/>
    </w:rPr>
  </w:style>
  <w:style w:type="paragraph" w:customStyle="1" w:styleId="226">
    <w:name w:val="Char Char41"/>
    <w:basedOn w:val="1"/>
    <w:qFormat/>
    <w:uiPriority w:val="0"/>
    <w:pPr>
      <w:widowControl/>
      <w:spacing w:line="400" w:lineRule="exact"/>
      <w:jc w:val="center"/>
    </w:pPr>
  </w:style>
  <w:style w:type="character" w:customStyle="1" w:styleId="227">
    <w:name w:val="批注文字 Char"/>
    <w:qFormat/>
    <w:uiPriority w:val="99"/>
    <w:rPr>
      <w:kern w:val="2"/>
      <w:sz w:val="21"/>
      <w:szCs w:val="24"/>
    </w:rPr>
  </w:style>
  <w:style w:type="character" w:customStyle="1" w:styleId="228">
    <w:name w:val="标题 Char"/>
    <w:qFormat/>
    <w:uiPriority w:val="0"/>
    <w:rPr>
      <w:b/>
      <w:kern w:val="2"/>
      <w:sz w:val="32"/>
    </w:rPr>
  </w:style>
  <w:style w:type="character" w:customStyle="1" w:styleId="229">
    <w:name w:val="标题 1 字符"/>
    <w:basedOn w:val="46"/>
    <w:link w:val="5"/>
    <w:qFormat/>
    <w:uiPriority w:val="0"/>
    <w:rPr>
      <w:rFonts w:ascii="宋体"/>
      <w:b/>
      <w:kern w:val="44"/>
      <w:sz w:val="32"/>
    </w:rPr>
  </w:style>
  <w:style w:type="character" w:customStyle="1" w:styleId="230">
    <w:name w:val="标题 4 字符"/>
    <w:basedOn w:val="46"/>
    <w:link w:val="8"/>
    <w:qFormat/>
    <w:uiPriority w:val="0"/>
    <w:rPr>
      <w:sz w:val="24"/>
    </w:rPr>
  </w:style>
  <w:style w:type="character" w:customStyle="1" w:styleId="231">
    <w:name w:val="标题 5 字符"/>
    <w:basedOn w:val="46"/>
    <w:link w:val="9"/>
    <w:qFormat/>
    <w:uiPriority w:val="0"/>
    <w:rPr>
      <w:b/>
      <w:sz w:val="28"/>
    </w:rPr>
  </w:style>
  <w:style w:type="character" w:customStyle="1" w:styleId="232">
    <w:name w:val="标题 6 字符"/>
    <w:basedOn w:val="46"/>
    <w:link w:val="10"/>
    <w:qFormat/>
    <w:uiPriority w:val="0"/>
    <w:rPr>
      <w:rFonts w:ascii="Arial" w:hAnsi="Arial" w:eastAsia="黑体"/>
      <w:b/>
      <w:sz w:val="24"/>
    </w:rPr>
  </w:style>
  <w:style w:type="character" w:customStyle="1" w:styleId="233">
    <w:name w:val="标题 7 字符"/>
    <w:basedOn w:val="46"/>
    <w:link w:val="11"/>
    <w:qFormat/>
    <w:uiPriority w:val="0"/>
    <w:rPr>
      <w:b/>
      <w:sz w:val="24"/>
    </w:rPr>
  </w:style>
  <w:style w:type="character" w:customStyle="1" w:styleId="234">
    <w:name w:val="标题 8 字符"/>
    <w:basedOn w:val="46"/>
    <w:link w:val="12"/>
    <w:qFormat/>
    <w:uiPriority w:val="0"/>
    <w:rPr>
      <w:rFonts w:ascii="Arial" w:hAnsi="Arial" w:eastAsia="黑体"/>
      <w:sz w:val="24"/>
    </w:rPr>
  </w:style>
  <w:style w:type="character" w:customStyle="1" w:styleId="235">
    <w:name w:val="标题 9 字符"/>
    <w:basedOn w:val="46"/>
    <w:link w:val="13"/>
    <w:qFormat/>
    <w:uiPriority w:val="0"/>
    <w:rPr>
      <w:rFonts w:ascii="Arial" w:hAnsi="Arial" w:eastAsia="黑体"/>
      <w:sz w:val="21"/>
    </w:rPr>
  </w:style>
  <w:style w:type="character" w:customStyle="1" w:styleId="236">
    <w:name w:val="文档结构图 字符"/>
    <w:basedOn w:val="46"/>
    <w:link w:val="17"/>
    <w:qFormat/>
    <w:uiPriority w:val="0"/>
    <w:rPr>
      <w:kern w:val="2"/>
      <w:sz w:val="21"/>
      <w:szCs w:val="24"/>
      <w:shd w:val="clear" w:color="auto" w:fill="000080"/>
    </w:rPr>
  </w:style>
  <w:style w:type="character" w:customStyle="1" w:styleId="237">
    <w:name w:val="正文文本 3 字符"/>
    <w:basedOn w:val="46"/>
    <w:link w:val="19"/>
    <w:qFormat/>
    <w:uiPriority w:val="0"/>
    <w:rPr>
      <w:kern w:val="2"/>
      <w:sz w:val="16"/>
      <w:szCs w:val="16"/>
    </w:rPr>
  </w:style>
  <w:style w:type="character" w:customStyle="1" w:styleId="238">
    <w:name w:val="正文文本 字符"/>
    <w:basedOn w:val="46"/>
    <w:link w:val="2"/>
    <w:qFormat/>
    <w:uiPriority w:val="0"/>
    <w:rPr>
      <w:rFonts w:ascii="宋体" w:hAnsi="宋体"/>
      <w:kern w:val="2"/>
      <w:sz w:val="24"/>
      <w:szCs w:val="24"/>
    </w:rPr>
  </w:style>
  <w:style w:type="character" w:customStyle="1" w:styleId="239">
    <w:name w:val="日期 字符"/>
    <w:basedOn w:val="46"/>
    <w:link w:val="27"/>
    <w:qFormat/>
    <w:uiPriority w:val="0"/>
    <w:rPr>
      <w:rFonts w:ascii="仿宋_GB2312" w:hAnsi="宋体" w:eastAsia="仿宋_GB2312"/>
      <w:color w:val="000000"/>
      <w:kern w:val="2"/>
      <w:sz w:val="24"/>
      <w:szCs w:val="24"/>
    </w:rPr>
  </w:style>
  <w:style w:type="character" w:customStyle="1" w:styleId="240">
    <w:name w:val="正文文本缩进 2 字符"/>
    <w:basedOn w:val="46"/>
    <w:link w:val="28"/>
    <w:qFormat/>
    <w:uiPriority w:val="0"/>
    <w:rPr>
      <w:rFonts w:ascii="仿宋_GB2312" w:eastAsia="仿宋_GB2312"/>
      <w:kern w:val="2"/>
      <w:sz w:val="24"/>
      <w:szCs w:val="24"/>
    </w:rPr>
  </w:style>
  <w:style w:type="character" w:customStyle="1" w:styleId="241">
    <w:name w:val="批注框文本 字符"/>
    <w:basedOn w:val="46"/>
    <w:link w:val="29"/>
    <w:qFormat/>
    <w:uiPriority w:val="0"/>
    <w:rPr>
      <w:kern w:val="2"/>
      <w:sz w:val="18"/>
      <w:szCs w:val="18"/>
    </w:rPr>
  </w:style>
  <w:style w:type="character" w:customStyle="1" w:styleId="242">
    <w:name w:val="正文文本缩进 3 字符"/>
    <w:basedOn w:val="46"/>
    <w:link w:val="34"/>
    <w:qFormat/>
    <w:uiPriority w:val="0"/>
    <w:rPr>
      <w:rFonts w:ascii="宋体"/>
      <w:sz w:val="24"/>
    </w:rPr>
  </w:style>
  <w:style w:type="character" w:customStyle="1" w:styleId="243">
    <w:name w:val="HTML 预设格式 字符"/>
    <w:basedOn w:val="46"/>
    <w:link w:val="37"/>
    <w:qFormat/>
    <w:uiPriority w:val="0"/>
    <w:rPr>
      <w:rFonts w:ascii="宋体" w:hAnsi="宋体" w:cs="宋体"/>
      <w:sz w:val="24"/>
      <w:szCs w:val="24"/>
    </w:rPr>
  </w:style>
  <w:style w:type="character" w:customStyle="1" w:styleId="244">
    <w:name w:val="批注主题 字符"/>
    <w:basedOn w:val="194"/>
    <w:link w:val="41"/>
    <w:qFormat/>
    <w:uiPriority w:val="0"/>
    <w:rPr>
      <w:rFonts w:ascii="Times New Roman" w:hAnsi="Times New Roman" w:eastAsia="宋体" w:cs="Times New Roman"/>
      <w:b/>
      <w:bCs/>
      <w:kern w:val="2"/>
      <w:sz w:val="21"/>
      <w:szCs w:val="24"/>
      <w:lang w:val="en-US" w:eastAsia="zh-CN" w:bidi="ar-SA"/>
    </w:rPr>
  </w:style>
  <w:style w:type="character" w:customStyle="1" w:styleId="245">
    <w:name w:val="正文文本首行缩进 2 字符"/>
    <w:basedOn w:val="67"/>
    <w:link w:val="42"/>
    <w:qFormat/>
    <w:uiPriority w:val="0"/>
    <w:rPr>
      <w:rFonts w:eastAsia="宋体"/>
      <w:kern w:val="2"/>
      <w:sz w:val="24"/>
      <w:szCs w:val="24"/>
      <w:lang w:val="en-US" w:eastAsia="zh-CN" w:bidi="ar-SA"/>
    </w:rPr>
  </w:style>
  <w:style w:type="paragraph" w:customStyle="1" w:styleId="246">
    <w:name w:val="图例"/>
    <w:basedOn w:val="1"/>
    <w:qFormat/>
    <w:uiPriority w:val="0"/>
    <w:pPr>
      <w:spacing w:before="120" w:after="120" w:line="360" w:lineRule="auto"/>
      <w:jc w:val="center"/>
    </w:pPr>
    <w:rPr>
      <w:rFonts w:eastAsia="仿宋_GB2312"/>
      <w:b/>
      <w:sz w:val="24"/>
      <w:szCs w:val="20"/>
    </w:rPr>
  </w:style>
  <w:style w:type="table" w:customStyle="1" w:styleId="247">
    <w:name w:val="Table Normal"/>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4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9">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50">
    <w:name w:val="cf01"/>
    <w:basedOn w:val="46"/>
    <w:qFormat/>
    <w:uiPriority w:val="0"/>
    <w:rPr>
      <w:rFonts w:hint="eastAsia" w:ascii="Microsoft YaHei UI" w:hAnsi="Microsoft YaHei UI" w:eastAsia="Microsoft YaHei UI"/>
      <w:sz w:val="18"/>
      <w:szCs w:val="18"/>
    </w:rPr>
  </w:style>
  <w:style w:type="character" w:customStyle="1" w:styleId="251">
    <w:name w:val="cf21"/>
    <w:basedOn w:val="46"/>
    <w:qFormat/>
    <w:uiPriority w:val="0"/>
    <w:rPr>
      <w:rFonts w:hint="eastAsia" w:ascii="Microsoft YaHei UI" w:hAnsi="Microsoft YaHei UI" w:eastAsia="Microsoft YaHei UI"/>
      <w:sz w:val="18"/>
      <w:szCs w:val="18"/>
      <w:shd w:val="clear" w:color="auto" w:fill="FFFFFF"/>
    </w:rPr>
  </w:style>
  <w:style w:type="character" w:customStyle="1" w:styleId="252">
    <w:name w:val="cf11"/>
    <w:basedOn w:val="46"/>
    <w:qFormat/>
    <w:uiPriority w:val="0"/>
    <w:rPr>
      <w:rFonts w:hint="eastAsia" w:ascii="Microsoft YaHei UI" w:hAnsi="Microsoft YaHei UI" w:eastAsia="Microsoft YaHei UI"/>
      <w:sz w:val="18"/>
      <w:szCs w:val="18"/>
    </w:rPr>
  </w:style>
  <w:style w:type="paragraph" w:customStyle="1" w:styleId="253">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 w:type="paragraph" w:customStyle="1" w:styleId="254">
    <w:name w:val="样式 小四 段前: 5 磅 段后: 5 磅 行距: 多倍行距 1.25 字行"/>
    <w:basedOn w:val="1"/>
    <w:autoRedefine/>
    <w:qFormat/>
    <w:uiPriority w:val="0"/>
    <w:pPr>
      <w:tabs>
        <w:tab w:val="left" w:pos="-102"/>
        <w:tab w:val="left" w:pos="1589"/>
      </w:tabs>
      <w:spacing w:after="0" w:line="240" w:lineRule="auto"/>
      <w:ind w:left="1468" w:hanging="900"/>
    </w:pPr>
    <w:rPr>
      <w:rFonts w:ascii="Calibri" w:hAnsi="Calibri"/>
      <w:szCs w:val="22"/>
    </w:rPr>
  </w:style>
  <w:style w:type="paragraph" w:styleId="255">
    <w:name w:val="List Paragraph"/>
    <w:basedOn w:val="1"/>
    <w:unhideWhenUsed/>
    <w:qFormat/>
    <w:uiPriority w:val="99"/>
    <w:pPr>
      <w:ind w:firstLine="420" w:firstLineChars="200"/>
    </w:pPr>
  </w:style>
  <w:style w:type="table" w:customStyle="1" w:styleId="256">
    <w:name w:val="网格型1"/>
    <w:basedOn w:val="43"/>
    <w:qFormat/>
    <w:uiPriority w:val="0"/>
    <w:pPr>
      <w:widowControl w:val="0"/>
      <w:autoSpaceDE w:val="0"/>
      <w:autoSpaceDN w:val="0"/>
      <w:adjustRightInd w:val="0"/>
      <w:spacing w:after="0"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57">
    <w:name w:val="Normal_19"/>
    <w:qFormat/>
    <w:uiPriority w:val="99"/>
    <w:pPr>
      <w:spacing w:before="120" w:after="240"/>
      <w:jc w:val="both"/>
    </w:pPr>
    <w:rPr>
      <w:rFonts w:ascii="Calibri" w:hAnsi="Calibri" w:eastAsia="宋体" w:cs="Calibri"/>
      <w:sz w:val="22"/>
      <w:szCs w:val="22"/>
      <w:lang w:val="ru-RU" w:eastAsia="en-US" w:bidi="ar-SA"/>
    </w:rPr>
  </w:style>
  <w:style w:type="paragraph" w:styleId="258">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59">
    <w:name w:val="Normal no space after"/>
    <w:basedOn w:val="1"/>
    <w:qFormat/>
    <w:uiPriority w:val="0"/>
    <w:pPr>
      <w:widowControl/>
      <w:tabs>
        <w:tab w:val="left" w:pos="284"/>
        <w:tab w:val="left" w:pos="567"/>
      </w:tabs>
      <w:spacing w:line="280" w:lineRule="atLeast"/>
      <w:jc w:val="left"/>
    </w:pPr>
    <w:rPr>
      <w:rFonts w:ascii="Frutiger Roman" w:hAnsi="Frutiger Roman"/>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numbering" Target="numbering.xml"/><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83EB0-9C43-40CE-94F8-AA15C95EE52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108</Pages>
  <Words>17897</Words>
  <Characters>18717</Characters>
  <Lines>1390</Lines>
  <Paragraphs>1385</Paragraphs>
  <TotalTime>0</TotalTime>
  <ScaleCrop>false</ScaleCrop>
  <LinksUpToDate>false</LinksUpToDate>
  <CharactersWithSpaces>18868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2024-06-04T09:36:00Z</dcterms:created>
  <dc:creator>Yin Hao</dc:creator>
  <cp:lastModifiedBy>燕子</cp:lastModifiedBy>
  <cp:lastPrinted>2020-04-01T03:13:00Z</cp:lastPrinted>
  <dcterms:modified xsi:type="dcterms:W3CDTF">2025-10-21T03:58:43Z</dcterms:modified>
  <dc:title>政府采购示范文本（2023）</dc:title>
  <cp:revision>1637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B196972313054D4789BB25DBD05B5736</vt:lpwstr>
  </property>
  <property fmtid="{D5CDD505-2E9C-101B-9397-08002B2CF9AE}" pid="4" name="KSOTemplateDocerSaveRecord">
    <vt:lpwstr>eyJoZGlkIjoiZGI4ZWMyNDMzYzVmYTRlYWFlYmNjMGZhYmE2NjRmNDAiLCJ1c2VySWQiOiIzNjAwMTQ3MzYifQ==</vt:lpwstr>
  </property>
</Properties>
</file>