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EAFB6F">
      <w:pPr>
        <w:spacing w:line="360" w:lineRule="auto"/>
        <w:ind w:firstLine="300" w:firstLineChars="50"/>
        <w:rPr>
          <w:sz w:val="60"/>
          <w:szCs w:val="60"/>
        </w:rPr>
      </w:pPr>
      <w:bookmarkStart w:id="2173" w:name="_GoBack"/>
      <w:bookmarkEnd w:id="2173"/>
    </w:p>
    <w:p w14:paraId="692CD4EB">
      <w:pPr>
        <w:spacing w:line="360" w:lineRule="auto"/>
        <w:ind w:firstLine="300" w:firstLineChars="50"/>
        <w:rPr>
          <w:sz w:val="60"/>
          <w:szCs w:val="60"/>
        </w:rPr>
      </w:pPr>
    </w:p>
    <w:p w14:paraId="0CDEBC3F">
      <w:pPr>
        <w:spacing w:line="360" w:lineRule="auto"/>
        <w:jc w:val="center"/>
        <w:rPr>
          <w:rFonts w:hint="eastAsia" w:eastAsia="宋体"/>
          <w:sz w:val="48"/>
          <w:szCs w:val="48"/>
          <w:highlight w:val="none"/>
          <w:lang w:eastAsia="zh-CN"/>
        </w:rPr>
      </w:pPr>
      <w:r>
        <w:rPr>
          <w:rFonts w:hint="eastAsia"/>
          <w:sz w:val="48"/>
          <w:szCs w:val="48"/>
          <w:highlight w:val="none"/>
          <w:lang w:eastAsia="zh-CN"/>
        </w:rPr>
        <w:t>北京工业职业技术学院改善办学保障条件---供电安全增容改造</w:t>
      </w:r>
    </w:p>
    <w:p w14:paraId="7C43B8E2">
      <w:pPr>
        <w:spacing w:line="360" w:lineRule="auto"/>
        <w:ind w:firstLine="300" w:firstLineChars="50"/>
        <w:jc w:val="center"/>
        <w:rPr>
          <w:rFonts w:hint="eastAsia"/>
          <w:sz w:val="60"/>
          <w:szCs w:val="60"/>
        </w:rPr>
      </w:pPr>
    </w:p>
    <w:p w14:paraId="4373E09B">
      <w:pPr>
        <w:spacing w:line="360" w:lineRule="auto"/>
        <w:ind w:firstLine="300" w:firstLineChars="50"/>
        <w:jc w:val="center"/>
        <w:rPr>
          <w:rFonts w:hint="eastAsia"/>
          <w:sz w:val="60"/>
          <w:szCs w:val="60"/>
        </w:rPr>
      </w:pPr>
    </w:p>
    <w:p w14:paraId="43F97866">
      <w:pPr>
        <w:jc w:val="center"/>
        <w:rPr>
          <w:b/>
          <w:bCs/>
          <w:sz w:val="60"/>
          <w:szCs w:val="60"/>
        </w:rPr>
      </w:pPr>
      <w:r>
        <w:rPr>
          <w:b/>
          <w:bCs/>
          <w:sz w:val="60"/>
          <w:szCs w:val="60"/>
        </w:rPr>
        <w:t>竞争性磋商</w:t>
      </w:r>
      <w:r>
        <w:rPr>
          <w:rFonts w:hint="eastAsia"/>
          <w:b/>
          <w:bCs/>
          <w:sz w:val="60"/>
          <w:szCs w:val="60"/>
        </w:rPr>
        <w:t>文件</w:t>
      </w:r>
    </w:p>
    <w:p w14:paraId="53EB5CE6">
      <w:pPr>
        <w:spacing w:line="360" w:lineRule="auto"/>
        <w:jc w:val="center"/>
        <w:rPr>
          <w:rFonts w:ascii="宋体" w:hAnsi="宋体"/>
          <w:b/>
          <w:bCs/>
          <w:sz w:val="60"/>
          <w:szCs w:val="60"/>
        </w:rPr>
      </w:pPr>
    </w:p>
    <w:p w14:paraId="0810CFFB">
      <w:pPr>
        <w:spacing w:line="360" w:lineRule="auto"/>
        <w:jc w:val="center"/>
        <w:rPr>
          <w:rFonts w:hint="eastAsia" w:ascii="宋体" w:hAnsi="宋体"/>
          <w:b/>
          <w:bCs/>
          <w:sz w:val="60"/>
          <w:szCs w:val="60"/>
        </w:rPr>
      </w:pPr>
    </w:p>
    <w:p w14:paraId="0DA498EA">
      <w:pPr>
        <w:tabs>
          <w:tab w:val="left" w:pos="5609"/>
        </w:tabs>
        <w:spacing w:line="360" w:lineRule="auto"/>
        <w:ind w:left="1800" w:hanging="1800" w:hangingChars="500"/>
        <w:jc w:val="left"/>
        <w:rPr>
          <w:rFonts w:hint="eastAsia" w:eastAsia="宋体"/>
          <w:bCs/>
          <w:sz w:val="36"/>
          <w:szCs w:val="36"/>
          <w:lang w:eastAsia="zh-CN"/>
        </w:rPr>
      </w:pPr>
      <w:r>
        <w:rPr>
          <w:bCs/>
          <w:sz w:val="36"/>
          <w:szCs w:val="36"/>
        </w:rPr>
        <w:t>项目名称：</w:t>
      </w:r>
      <w:r>
        <w:rPr>
          <w:rFonts w:hint="eastAsia"/>
          <w:bCs/>
          <w:sz w:val="36"/>
          <w:szCs w:val="36"/>
          <w:lang w:eastAsia="zh-CN"/>
        </w:rPr>
        <w:t>北京工业职业技术学院改善办学保障条件---供电安全增容改造</w:t>
      </w:r>
    </w:p>
    <w:p w14:paraId="1F190074">
      <w:pPr>
        <w:tabs>
          <w:tab w:val="left" w:pos="5609"/>
        </w:tabs>
        <w:spacing w:line="360" w:lineRule="auto"/>
        <w:ind w:left="1800" w:hanging="1800" w:hangingChars="500"/>
        <w:jc w:val="left"/>
        <w:rPr>
          <w:rFonts w:hint="eastAsia" w:eastAsia="宋体"/>
          <w:bCs/>
          <w:sz w:val="36"/>
          <w:szCs w:val="36"/>
          <w:lang w:eastAsia="zh-CN"/>
        </w:rPr>
      </w:pPr>
      <w:r>
        <w:rPr>
          <w:bCs/>
          <w:sz w:val="36"/>
          <w:szCs w:val="36"/>
        </w:rPr>
        <w:t>项目编号：</w:t>
      </w:r>
      <w:r>
        <w:rPr>
          <w:rFonts w:hint="eastAsia"/>
          <w:bCs/>
          <w:sz w:val="36"/>
          <w:szCs w:val="36"/>
          <w:lang w:eastAsia="zh-CN"/>
        </w:rPr>
        <w:t>2509-HXTC-GY1671</w:t>
      </w:r>
    </w:p>
    <w:p w14:paraId="1CC06F2F">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北京工业职业技术学院</w:t>
      </w:r>
    </w:p>
    <w:p w14:paraId="6D571442">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2467D0E0">
      <w:pPr>
        <w:pStyle w:val="184"/>
        <w:spacing w:line="360" w:lineRule="auto"/>
        <w:rPr>
          <w:rFonts w:hint="eastAsia" w:ascii="Times New Roman" w:hAnsi="Times New Roman" w:cs="Times New Roman"/>
          <w:color w:val="auto"/>
          <w:sz w:val="32"/>
          <w:szCs w:val="32"/>
        </w:rPr>
      </w:pPr>
    </w:p>
    <w:p w14:paraId="33B24E4E">
      <w:pPr>
        <w:widowControl/>
        <w:jc w:val="left"/>
        <w:rPr>
          <w:kern w:val="0"/>
          <w:sz w:val="24"/>
        </w:rPr>
      </w:pPr>
      <w:r>
        <w:br w:type="page"/>
      </w:r>
    </w:p>
    <w:p w14:paraId="2A67B67E">
      <w:pPr>
        <w:pStyle w:val="184"/>
        <w:spacing w:line="360" w:lineRule="auto"/>
        <w:rPr>
          <w:rFonts w:ascii="Times New Roman" w:hAnsi="Times New Roman" w:cs="Times New Roman"/>
          <w:color w:val="auto"/>
        </w:rPr>
      </w:pPr>
    </w:p>
    <w:p w14:paraId="286AB7DE">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92A6ADF"/>
    <w:p w14:paraId="2240F9F1"/>
    <w:p w14:paraId="26483592">
      <w:pPr>
        <w:pStyle w:val="32"/>
        <w:spacing w:line="360" w:lineRule="auto"/>
        <w:rPr>
          <w:rFonts w:ascii="Times New Roman" w:hAnsi="Times New Roman"/>
          <w:b w:val="0"/>
          <w:sz w:val="21"/>
          <w:szCs w:val="22"/>
          <w:lang/>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lang/>
        </w:rPr>
        <w:fldChar w:fldCharType="begin"/>
      </w:r>
      <w:r>
        <w:rPr>
          <w:lang/>
        </w:rPr>
        <w:instrText xml:space="preserve"> HYPERLINK \l "_Toc97371941" </w:instrText>
      </w:r>
      <w:r>
        <w:rPr>
          <w:lang/>
        </w:rPr>
        <w:fldChar w:fldCharType="separate"/>
      </w:r>
      <w:r>
        <w:rPr>
          <w:rStyle w:val="54"/>
          <w:rFonts w:ascii="Times New Roman" w:hAnsi="Times New Roman"/>
          <w:color w:val="auto"/>
          <w:lang/>
        </w:rPr>
        <w:t>第一章   采购邀请</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_Toc97371941 \h </w:instrText>
      </w:r>
      <w:r>
        <w:rPr>
          <w:rFonts w:ascii="Times New Roman" w:hAnsi="Times New Roman"/>
          <w:lang/>
        </w:rPr>
        <w:fldChar w:fldCharType="separate"/>
      </w:r>
      <w:r>
        <w:rPr>
          <w:rFonts w:ascii="Times New Roman" w:hAnsi="Times New Roman"/>
          <w:lang/>
        </w:rPr>
        <w:t>3</w:t>
      </w:r>
      <w:r>
        <w:rPr>
          <w:rFonts w:ascii="Times New Roman" w:hAnsi="Times New Roman"/>
          <w:lang/>
        </w:rPr>
        <w:fldChar w:fldCharType="end"/>
      </w:r>
      <w:r>
        <w:rPr>
          <w:rFonts w:ascii="Times New Roman" w:hAnsi="Times New Roman"/>
          <w:lang/>
        </w:rPr>
        <w:fldChar w:fldCharType="end"/>
      </w:r>
    </w:p>
    <w:p w14:paraId="16F03524">
      <w:pPr>
        <w:pStyle w:val="32"/>
        <w:spacing w:line="360" w:lineRule="auto"/>
        <w:rPr>
          <w:rFonts w:ascii="Times New Roman" w:hAnsi="Times New Roman"/>
          <w:b w:val="0"/>
          <w:sz w:val="21"/>
          <w:szCs w:val="22"/>
          <w:lang/>
        </w:rPr>
      </w:pPr>
      <w:r>
        <w:rPr>
          <w:lang/>
        </w:rPr>
        <w:fldChar w:fldCharType="begin"/>
      </w:r>
      <w:r>
        <w:rPr>
          <w:lang/>
        </w:rPr>
        <w:instrText xml:space="preserve"> HYPERLINK \l "_Toc97371942" </w:instrText>
      </w:r>
      <w:r>
        <w:rPr>
          <w:lang/>
        </w:rPr>
        <w:fldChar w:fldCharType="separate"/>
      </w:r>
      <w:r>
        <w:rPr>
          <w:rStyle w:val="54"/>
          <w:rFonts w:ascii="Times New Roman" w:hAnsi="Times New Roman"/>
          <w:color w:val="auto"/>
          <w:lang/>
        </w:rPr>
        <w:t>第二章   供应商须知</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_Toc97371942 \h </w:instrText>
      </w:r>
      <w:r>
        <w:rPr>
          <w:rFonts w:ascii="Times New Roman" w:hAnsi="Times New Roman"/>
          <w:lang/>
        </w:rPr>
        <w:fldChar w:fldCharType="separate"/>
      </w:r>
      <w:r>
        <w:rPr>
          <w:rFonts w:ascii="Times New Roman" w:hAnsi="Times New Roman"/>
          <w:lang/>
        </w:rPr>
        <w:t>7</w:t>
      </w:r>
      <w:r>
        <w:rPr>
          <w:rFonts w:ascii="Times New Roman" w:hAnsi="Times New Roman"/>
          <w:lang/>
        </w:rPr>
        <w:fldChar w:fldCharType="end"/>
      </w:r>
      <w:r>
        <w:rPr>
          <w:rFonts w:ascii="Times New Roman" w:hAnsi="Times New Roman"/>
          <w:lang/>
        </w:rPr>
        <w:fldChar w:fldCharType="end"/>
      </w:r>
    </w:p>
    <w:p w14:paraId="4B5503E6">
      <w:pPr>
        <w:pStyle w:val="32"/>
        <w:spacing w:line="360" w:lineRule="auto"/>
        <w:rPr>
          <w:rFonts w:ascii="Times New Roman" w:hAnsi="Times New Roman"/>
          <w:b w:val="0"/>
          <w:sz w:val="21"/>
          <w:szCs w:val="22"/>
          <w:lang/>
        </w:rPr>
      </w:pPr>
      <w:r>
        <w:rPr>
          <w:lang/>
        </w:rPr>
        <w:fldChar w:fldCharType="begin"/>
      </w:r>
      <w:r>
        <w:rPr>
          <w:lang/>
        </w:rPr>
        <w:instrText xml:space="preserve"> HYPERLINK \l "_Toc97371943" </w:instrText>
      </w:r>
      <w:r>
        <w:rPr>
          <w:lang/>
        </w:rPr>
        <w:fldChar w:fldCharType="separate"/>
      </w:r>
      <w:r>
        <w:rPr>
          <w:rStyle w:val="54"/>
          <w:rFonts w:ascii="Times New Roman" w:hAnsi="Times New Roman"/>
          <w:color w:val="auto"/>
          <w:lang/>
        </w:rPr>
        <w:t>第三章   评审方法和评</w:t>
      </w:r>
      <w:bookmarkStart w:id="0" w:name="_Hlt135224245"/>
      <w:bookmarkStart w:id="1" w:name="_Hlt135224246"/>
      <w:r>
        <w:rPr>
          <w:rStyle w:val="54"/>
          <w:rFonts w:ascii="Times New Roman" w:hAnsi="Times New Roman"/>
          <w:color w:val="auto"/>
          <w:lang/>
        </w:rPr>
        <w:t>审</w:t>
      </w:r>
      <w:bookmarkEnd w:id="0"/>
      <w:bookmarkEnd w:id="1"/>
      <w:r>
        <w:rPr>
          <w:rStyle w:val="54"/>
          <w:rFonts w:ascii="Times New Roman" w:hAnsi="Times New Roman"/>
          <w:color w:val="auto"/>
          <w:lang/>
        </w:rPr>
        <w:t>标准</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_Toc97371943 \h </w:instrText>
      </w:r>
      <w:r>
        <w:rPr>
          <w:rFonts w:ascii="Times New Roman" w:hAnsi="Times New Roman"/>
          <w:lang/>
        </w:rPr>
        <w:fldChar w:fldCharType="separate"/>
      </w:r>
      <w:r>
        <w:rPr>
          <w:rFonts w:ascii="Times New Roman" w:hAnsi="Times New Roman"/>
          <w:lang/>
        </w:rPr>
        <w:t>23</w:t>
      </w:r>
      <w:r>
        <w:rPr>
          <w:rFonts w:ascii="Times New Roman" w:hAnsi="Times New Roman"/>
          <w:lang/>
        </w:rPr>
        <w:fldChar w:fldCharType="end"/>
      </w:r>
      <w:r>
        <w:rPr>
          <w:rFonts w:ascii="Times New Roman" w:hAnsi="Times New Roman"/>
          <w:lang/>
        </w:rPr>
        <w:fldChar w:fldCharType="end"/>
      </w:r>
    </w:p>
    <w:p w14:paraId="14E2915A">
      <w:pPr>
        <w:pStyle w:val="32"/>
        <w:spacing w:line="360" w:lineRule="auto"/>
        <w:rPr>
          <w:rFonts w:ascii="Times New Roman" w:hAnsi="Times New Roman"/>
          <w:b w:val="0"/>
          <w:sz w:val="21"/>
          <w:szCs w:val="22"/>
          <w:lang/>
        </w:rPr>
      </w:pPr>
      <w:r>
        <w:rPr>
          <w:lang/>
        </w:rPr>
        <w:fldChar w:fldCharType="begin"/>
      </w:r>
      <w:r>
        <w:rPr>
          <w:lang/>
        </w:rPr>
        <w:instrText xml:space="preserve"> HYPERLINK \l "_Toc97371945" </w:instrText>
      </w:r>
      <w:r>
        <w:rPr>
          <w:lang/>
        </w:rPr>
        <w:fldChar w:fldCharType="separate"/>
      </w:r>
      <w:r>
        <w:rPr>
          <w:rStyle w:val="54"/>
          <w:rFonts w:ascii="Times New Roman" w:hAnsi="Times New Roman"/>
          <w:color w:val="auto"/>
          <w:lang/>
        </w:rPr>
        <w:t>第四章   采购</w:t>
      </w:r>
      <w:bookmarkStart w:id="2" w:name="_Hlt143185127"/>
      <w:bookmarkStart w:id="3" w:name="_Hlt143244717"/>
      <w:bookmarkStart w:id="4" w:name="_Hlt143244718"/>
      <w:bookmarkStart w:id="5" w:name="_Hlt143185128"/>
      <w:r>
        <w:rPr>
          <w:rStyle w:val="54"/>
          <w:rFonts w:ascii="Times New Roman" w:hAnsi="Times New Roman"/>
          <w:color w:val="auto"/>
          <w:lang/>
        </w:rPr>
        <w:t>需</w:t>
      </w:r>
      <w:bookmarkEnd w:id="2"/>
      <w:bookmarkEnd w:id="3"/>
      <w:bookmarkEnd w:id="4"/>
      <w:bookmarkEnd w:id="5"/>
      <w:bookmarkStart w:id="6" w:name="_Hlt145081512"/>
      <w:bookmarkStart w:id="7" w:name="_Hlt145081504"/>
      <w:bookmarkStart w:id="8" w:name="_Hlt145081505"/>
      <w:r>
        <w:rPr>
          <w:rStyle w:val="54"/>
          <w:rFonts w:ascii="Times New Roman" w:hAnsi="Times New Roman"/>
          <w:color w:val="auto"/>
          <w:lang/>
        </w:rPr>
        <w:t>求</w:t>
      </w:r>
      <w:bookmarkEnd w:id="6"/>
      <w:bookmarkEnd w:id="7"/>
      <w:bookmarkEnd w:id="8"/>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_Toc97371945 \h </w:instrText>
      </w:r>
      <w:r>
        <w:rPr>
          <w:rFonts w:ascii="Times New Roman" w:hAnsi="Times New Roman"/>
          <w:lang/>
        </w:rPr>
        <w:fldChar w:fldCharType="separate"/>
      </w:r>
      <w:r>
        <w:rPr>
          <w:rFonts w:ascii="Times New Roman" w:hAnsi="Times New Roman"/>
          <w:lang/>
        </w:rPr>
        <w:t>35</w:t>
      </w:r>
      <w:r>
        <w:rPr>
          <w:rFonts w:ascii="Times New Roman" w:hAnsi="Times New Roman"/>
          <w:lang/>
        </w:rPr>
        <w:fldChar w:fldCharType="end"/>
      </w:r>
      <w:r>
        <w:rPr>
          <w:rFonts w:ascii="Times New Roman" w:hAnsi="Times New Roman"/>
          <w:lang/>
        </w:rPr>
        <w:fldChar w:fldCharType="end"/>
      </w:r>
    </w:p>
    <w:p w14:paraId="38660191">
      <w:pPr>
        <w:pStyle w:val="32"/>
        <w:spacing w:line="360" w:lineRule="auto"/>
        <w:rPr>
          <w:rFonts w:ascii="Times New Roman" w:hAnsi="Times New Roman"/>
          <w:b w:val="0"/>
          <w:sz w:val="21"/>
          <w:szCs w:val="22"/>
          <w:lang/>
        </w:rPr>
      </w:pPr>
      <w:r>
        <w:rPr>
          <w:lang/>
        </w:rPr>
        <w:fldChar w:fldCharType="begin"/>
      </w:r>
      <w:r>
        <w:rPr>
          <w:lang/>
        </w:rPr>
        <w:instrText xml:space="preserve"> HYPERLINK \l "_Toc97371946" </w:instrText>
      </w:r>
      <w:r>
        <w:rPr>
          <w:lang/>
        </w:rPr>
        <w:fldChar w:fldCharType="separate"/>
      </w:r>
      <w:r>
        <w:rPr>
          <w:rStyle w:val="54"/>
          <w:rFonts w:ascii="Times New Roman" w:hAnsi="Times New Roman"/>
          <w:color w:val="auto"/>
          <w:lang/>
        </w:rPr>
        <w:t>第五章   合同草案</w:t>
      </w:r>
      <w:bookmarkStart w:id="9" w:name="_Hlt135215517"/>
      <w:bookmarkStart w:id="10" w:name="_Hlt135215516"/>
      <w:r>
        <w:rPr>
          <w:rStyle w:val="54"/>
          <w:rFonts w:ascii="Times New Roman" w:hAnsi="Times New Roman"/>
          <w:color w:val="auto"/>
          <w:lang/>
        </w:rPr>
        <w:t>条</w:t>
      </w:r>
      <w:bookmarkEnd w:id="9"/>
      <w:bookmarkEnd w:id="10"/>
      <w:r>
        <w:rPr>
          <w:rStyle w:val="54"/>
          <w:rFonts w:ascii="Times New Roman" w:hAnsi="Times New Roman"/>
          <w:color w:val="auto"/>
          <w:lang/>
        </w:rPr>
        <w:t>款</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_Toc97371946 \h </w:instrText>
      </w:r>
      <w:r>
        <w:rPr>
          <w:rFonts w:ascii="Times New Roman" w:hAnsi="Times New Roman"/>
          <w:lang/>
        </w:rPr>
        <w:fldChar w:fldCharType="separate"/>
      </w:r>
      <w:r>
        <w:rPr>
          <w:rFonts w:ascii="Times New Roman" w:hAnsi="Times New Roman"/>
          <w:lang/>
        </w:rPr>
        <w:t>37</w:t>
      </w:r>
      <w:r>
        <w:rPr>
          <w:rFonts w:ascii="Times New Roman" w:hAnsi="Times New Roman"/>
          <w:lang/>
        </w:rPr>
        <w:fldChar w:fldCharType="end"/>
      </w:r>
      <w:r>
        <w:rPr>
          <w:rFonts w:ascii="Times New Roman" w:hAnsi="Times New Roman"/>
          <w:lang/>
        </w:rPr>
        <w:fldChar w:fldCharType="end"/>
      </w:r>
    </w:p>
    <w:p w14:paraId="101457EE">
      <w:pPr>
        <w:pStyle w:val="32"/>
        <w:spacing w:line="360" w:lineRule="auto"/>
        <w:rPr>
          <w:rFonts w:ascii="Times New Roman" w:hAnsi="Times New Roman"/>
          <w:b w:val="0"/>
          <w:sz w:val="21"/>
          <w:szCs w:val="22"/>
          <w:lang/>
        </w:rPr>
      </w:pPr>
      <w:r>
        <w:rPr>
          <w:lang/>
        </w:rPr>
        <w:fldChar w:fldCharType="begin"/>
      </w:r>
      <w:r>
        <w:rPr>
          <w:lang/>
        </w:rPr>
        <w:instrText xml:space="preserve"> HYPERLINK \l "_Toc97371947" </w:instrText>
      </w:r>
      <w:r>
        <w:rPr>
          <w:lang/>
        </w:rPr>
        <w:fldChar w:fldCharType="separate"/>
      </w:r>
      <w:r>
        <w:rPr>
          <w:rStyle w:val="54"/>
          <w:rFonts w:ascii="Times New Roman" w:hAnsi="Times New Roman"/>
          <w:color w:val="auto"/>
          <w:lang/>
        </w:rPr>
        <w:t>第六章   响应文件</w:t>
      </w:r>
      <w:bookmarkStart w:id="11" w:name="_Hlt145932650"/>
      <w:r>
        <w:rPr>
          <w:rStyle w:val="54"/>
          <w:rFonts w:ascii="Times New Roman" w:hAnsi="Times New Roman"/>
          <w:color w:val="auto"/>
          <w:lang/>
        </w:rPr>
        <w:t>格</w:t>
      </w:r>
      <w:bookmarkEnd w:id="11"/>
      <w:r>
        <w:rPr>
          <w:rStyle w:val="54"/>
          <w:rFonts w:ascii="Times New Roman" w:hAnsi="Times New Roman"/>
          <w:color w:val="auto"/>
          <w:lang/>
        </w:rPr>
        <w:t>式</w:t>
      </w:r>
      <w:r>
        <w:rPr>
          <w:rFonts w:ascii="Times New Roman" w:hAnsi="Times New Roman"/>
          <w:lang/>
        </w:rPr>
        <w:tab/>
      </w:r>
      <w:r>
        <w:rPr>
          <w:rFonts w:ascii="Times New Roman" w:hAnsi="Times New Roman"/>
          <w:lang/>
        </w:rPr>
        <w:fldChar w:fldCharType="begin"/>
      </w:r>
      <w:r>
        <w:rPr>
          <w:rFonts w:ascii="Times New Roman" w:hAnsi="Times New Roman"/>
          <w:lang/>
        </w:rPr>
        <w:instrText xml:space="preserve"> PAGEREF _Toc97371947 \h </w:instrText>
      </w:r>
      <w:r>
        <w:rPr>
          <w:rFonts w:ascii="Times New Roman" w:hAnsi="Times New Roman"/>
          <w:lang/>
        </w:rPr>
        <w:fldChar w:fldCharType="separate"/>
      </w:r>
      <w:r>
        <w:rPr>
          <w:rFonts w:ascii="Times New Roman" w:hAnsi="Times New Roman"/>
          <w:lang/>
        </w:rPr>
        <w:t>101</w:t>
      </w:r>
      <w:r>
        <w:rPr>
          <w:rFonts w:ascii="Times New Roman" w:hAnsi="Times New Roman"/>
          <w:lang/>
        </w:rPr>
        <w:fldChar w:fldCharType="end"/>
      </w:r>
      <w:r>
        <w:rPr>
          <w:rFonts w:ascii="Times New Roman" w:hAnsi="Times New Roman"/>
          <w:lang/>
        </w:rPr>
        <w:fldChar w:fldCharType="end"/>
      </w:r>
    </w:p>
    <w:p w14:paraId="74268F8D">
      <w:pPr>
        <w:pStyle w:val="32"/>
        <w:spacing w:line="360" w:lineRule="auto"/>
        <w:rPr>
          <w:rFonts w:ascii="Times New Roman" w:hAnsi="Times New Roman" w:eastAsia="宋体"/>
        </w:rPr>
      </w:pPr>
      <w:r>
        <w:rPr>
          <w:rFonts w:ascii="Times New Roman" w:hAnsi="Times New Roman"/>
          <w:b w:val="0"/>
        </w:rPr>
        <w:fldChar w:fldCharType="end"/>
      </w:r>
    </w:p>
    <w:p w14:paraId="4A7ABA9F">
      <w:pPr>
        <w:pStyle w:val="32"/>
        <w:spacing w:line="360" w:lineRule="auto"/>
        <w:rPr>
          <w:rFonts w:ascii="Times New Roman" w:hAnsi="Times New Roman"/>
          <w:b w:val="0"/>
        </w:rPr>
      </w:pPr>
      <w:r>
        <w:rPr>
          <w:rFonts w:hint="eastAsia"/>
        </w:rPr>
        <w:t>注：采购文件条款中以</w:t>
      </w:r>
      <w:r>
        <w:t xml:space="preserve"> “</w:t>
      </w:r>
      <w:r>
        <w:rPr>
          <w:rFonts w:eastAsia="宋体"/>
        </w:rPr>
        <w:t>■</w:t>
      </w:r>
      <w:r>
        <w:t>”</w:t>
      </w:r>
      <w:r>
        <w:rPr>
          <w:rFonts w:hint="eastAsia"/>
        </w:rPr>
        <w:t>形式标记的内容适用于本项目，以</w:t>
      </w:r>
      <w:r>
        <w:t>“</w:t>
      </w:r>
      <w:r>
        <w:rPr>
          <w:rFonts w:eastAsia="宋体"/>
        </w:rPr>
        <w:t>□</w:t>
      </w:r>
      <w:r>
        <w:t>”</w:t>
      </w:r>
      <w:r>
        <w:rPr>
          <w:rFonts w:hint="eastAsia"/>
        </w:rPr>
        <w:t>形式标记的内容不适用于本项目。</w:t>
      </w:r>
    </w:p>
    <w:p w14:paraId="79778D72">
      <w:pPr>
        <w:pStyle w:val="32"/>
        <w:spacing w:line="360" w:lineRule="auto"/>
        <w:rPr>
          <w:b w:val="0"/>
          <w:sz w:val="36"/>
          <w:szCs w:val="36"/>
        </w:rPr>
      </w:pPr>
      <w:r>
        <w:rPr>
          <w:rFonts w:ascii="Times New Roman" w:hAnsi="Times New Roman"/>
          <w:b w:val="0"/>
        </w:rPr>
        <w:br w:type="page"/>
      </w:r>
      <w:bookmarkStart w:id="12" w:name="_Toc97371941"/>
    </w:p>
    <w:p w14:paraId="125C5EE3">
      <w:pPr>
        <w:spacing w:line="360" w:lineRule="auto"/>
        <w:jc w:val="center"/>
        <w:outlineLvl w:val="0"/>
        <w:rPr>
          <w:b/>
          <w:sz w:val="36"/>
          <w:szCs w:val="36"/>
        </w:rPr>
      </w:pPr>
      <w:r>
        <w:rPr>
          <w:b/>
          <w:sz w:val="36"/>
          <w:szCs w:val="36"/>
        </w:rPr>
        <w:t>第一章   采购邀请</w:t>
      </w:r>
      <w:bookmarkEnd w:id="12"/>
      <w:bookmarkStart w:id="13" w:name="_Toc28359079"/>
      <w:bookmarkStart w:id="14" w:name="_Toc35393621"/>
      <w:bookmarkStart w:id="15" w:name="_Toc35393790"/>
      <w:bookmarkStart w:id="16" w:name="_Toc28359002"/>
      <w:bookmarkStart w:id="17" w:name="_Hlk24379207"/>
    </w:p>
    <w:p w14:paraId="2C13966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3"/>
      <w:bookmarkEnd w:id="14"/>
      <w:bookmarkEnd w:id="15"/>
      <w:bookmarkEnd w:id="16"/>
    </w:p>
    <w:p w14:paraId="17E71AB4">
      <w:pPr>
        <w:spacing w:line="360" w:lineRule="auto"/>
        <w:ind w:firstLine="480" w:firstLineChars="200"/>
        <w:rPr>
          <w:sz w:val="24"/>
        </w:rPr>
      </w:pPr>
      <w:r>
        <w:rPr>
          <w:sz w:val="24"/>
        </w:rPr>
        <w:t>1.项目编号/包号：</w:t>
      </w:r>
      <w:r>
        <w:rPr>
          <w:rFonts w:hint="eastAsia"/>
          <w:sz w:val="24"/>
          <w:lang w:eastAsia="zh-CN"/>
        </w:rPr>
        <w:t>2509-HXTC-GY1671</w:t>
      </w:r>
      <w:r>
        <w:rPr>
          <w:rFonts w:hint="eastAsia"/>
          <w:sz w:val="24"/>
        </w:rPr>
        <w:t>/01</w:t>
      </w:r>
    </w:p>
    <w:p w14:paraId="54DB8FA4">
      <w:pPr>
        <w:spacing w:line="360" w:lineRule="auto"/>
        <w:ind w:firstLine="480" w:firstLineChars="200"/>
        <w:rPr>
          <w:rFonts w:hint="eastAsia" w:eastAsia="宋体"/>
          <w:color w:val="auto"/>
          <w:sz w:val="24"/>
          <w:lang w:eastAsia="zh-CN"/>
        </w:rPr>
      </w:pPr>
      <w:r>
        <w:rPr>
          <w:sz w:val="24"/>
        </w:rPr>
        <w:t>2.项目名称：</w:t>
      </w:r>
      <w:r>
        <w:rPr>
          <w:rFonts w:hint="eastAsia"/>
          <w:color w:val="auto"/>
          <w:sz w:val="24"/>
          <w:lang w:eastAsia="zh-CN"/>
        </w:rPr>
        <w:t>北京工业职业技术学院改善办学保障条件---供电安全增容改造</w:t>
      </w:r>
    </w:p>
    <w:p w14:paraId="6DBDF055">
      <w:pPr>
        <w:spacing w:line="360" w:lineRule="auto"/>
        <w:ind w:firstLine="480" w:firstLineChars="200"/>
        <w:rPr>
          <w:sz w:val="24"/>
        </w:rPr>
      </w:pPr>
      <w:r>
        <w:rPr>
          <w:sz w:val="24"/>
        </w:rPr>
        <w:t>3.采购方式：竞争性磋商</w:t>
      </w:r>
    </w:p>
    <w:bookmarkEnd w:id="17"/>
    <w:p w14:paraId="1B68320F">
      <w:pPr>
        <w:spacing w:line="360" w:lineRule="auto"/>
        <w:ind w:firstLine="480" w:firstLineChars="200"/>
        <w:rPr>
          <w:sz w:val="24"/>
          <w:highlight w:val="none"/>
        </w:rPr>
      </w:pPr>
      <w:r>
        <w:rPr>
          <w:sz w:val="24"/>
        </w:rPr>
        <w:t>4.预算金额</w:t>
      </w:r>
      <w:r>
        <w:rPr>
          <w:sz w:val="24"/>
          <w:highlight w:val="none"/>
        </w:rPr>
        <w:t>：</w:t>
      </w:r>
      <w:r>
        <w:rPr>
          <w:rFonts w:hint="eastAsia"/>
          <w:sz w:val="24"/>
          <w:highlight w:val="none"/>
        </w:rPr>
        <w:t>1161.360107</w:t>
      </w:r>
      <w:r>
        <w:rPr>
          <w:sz w:val="24"/>
          <w:highlight w:val="none"/>
        </w:rPr>
        <w:t>万元、项目最高限价：</w:t>
      </w:r>
      <w:r>
        <w:rPr>
          <w:rFonts w:hint="eastAsia"/>
          <w:sz w:val="24"/>
          <w:highlight w:val="none"/>
        </w:rPr>
        <w:t>1108</w:t>
      </w:r>
      <w:r>
        <w:rPr>
          <w:rFonts w:hint="eastAsia"/>
          <w:sz w:val="24"/>
          <w:highlight w:val="none"/>
          <w:lang w:val="en-US" w:eastAsia="zh-CN"/>
        </w:rPr>
        <w:t>.</w:t>
      </w:r>
      <w:r>
        <w:rPr>
          <w:rFonts w:hint="eastAsia"/>
          <w:sz w:val="24"/>
          <w:highlight w:val="none"/>
        </w:rPr>
        <w:t>310768</w:t>
      </w:r>
      <w:r>
        <w:rPr>
          <w:sz w:val="24"/>
          <w:highlight w:val="none"/>
        </w:rPr>
        <w:t>万元</w:t>
      </w:r>
    </w:p>
    <w:p w14:paraId="416FF997">
      <w:pPr>
        <w:spacing w:line="360" w:lineRule="auto"/>
        <w:ind w:firstLine="480" w:firstLineChars="200"/>
        <w:rPr>
          <w:sz w:val="24"/>
        </w:rPr>
      </w:pPr>
      <w:r>
        <w:rPr>
          <w:sz w:val="24"/>
        </w:rPr>
        <w:t>5.采购需求：</w:t>
      </w:r>
    </w:p>
    <w:p w14:paraId="13CDBCEE">
      <w:pPr>
        <w:spacing w:line="360" w:lineRule="auto"/>
        <w:ind w:firstLine="480" w:firstLineChars="200"/>
        <w:rPr>
          <w:rFonts w:hint="eastAsia"/>
          <w:color w:val="auto"/>
          <w:sz w:val="24"/>
          <w:highlight w:val="none"/>
        </w:rPr>
      </w:pPr>
      <w:r>
        <w:rPr>
          <w:rFonts w:hint="eastAsia"/>
          <w:color w:val="auto"/>
          <w:sz w:val="24"/>
          <w:highlight w:val="none"/>
          <w:lang w:val="en-US" w:eastAsia="zh-CN"/>
        </w:rPr>
        <w:t>完成</w:t>
      </w:r>
      <w:r>
        <w:rPr>
          <w:rFonts w:hint="eastAsia"/>
          <w:color w:val="auto"/>
          <w:sz w:val="24"/>
          <w:highlight w:val="none"/>
          <w:lang w:eastAsia="zh-CN"/>
        </w:rPr>
        <w:t>北京工业职业技术学院改善办学保障条件---供电安全增容改造项目工程量清单显示的全部内容。</w:t>
      </w:r>
      <w:r>
        <w:rPr>
          <w:rFonts w:hint="eastAsia"/>
          <w:color w:val="auto"/>
          <w:sz w:val="24"/>
          <w:highlight w:val="none"/>
          <w:lang w:val="en-US" w:eastAsia="zh-CN"/>
        </w:rPr>
        <w:t>具体详见工程量清单</w:t>
      </w:r>
      <w:r>
        <w:rPr>
          <w:rFonts w:hint="eastAsia"/>
          <w:color w:val="auto"/>
          <w:sz w:val="24"/>
          <w:highlight w:val="none"/>
        </w:rPr>
        <w:t>。</w:t>
      </w:r>
    </w:p>
    <w:p w14:paraId="7E7776D4">
      <w:pPr>
        <w:spacing w:line="360" w:lineRule="auto"/>
        <w:ind w:firstLine="480" w:firstLineChars="200"/>
        <w:rPr>
          <w:rFonts w:hint="eastAsia"/>
          <w:sz w:val="24"/>
        </w:rPr>
      </w:pPr>
      <w:r>
        <w:rPr>
          <w:sz w:val="24"/>
        </w:rPr>
        <w:t>6.合同履行期限：</w:t>
      </w:r>
      <w:r>
        <w:rPr>
          <w:rFonts w:hint="eastAsia"/>
          <w:sz w:val="24"/>
        </w:rPr>
        <w:t>自合同签订生效后开始至双方合同完全履行后截止。</w:t>
      </w:r>
    </w:p>
    <w:p w14:paraId="7D757131">
      <w:pPr>
        <w:spacing w:line="360" w:lineRule="auto"/>
        <w:ind w:firstLine="480" w:firstLineChars="200"/>
        <w:rPr>
          <w:sz w:val="24"/>
        </w:rPr>
      </w:pPr>
      <w:r>
        <w:rPr>
          <w:sz w:val="24"/>
        </w:rPr>
        <w:t>7.本项目是否接受联合体：</w:t>
      </w:r>
      <w:r>
        <w:t>□</w:t>
      </w:r>
      <w:r>
        <w:rPr>
          <w:sz w:val="24"/>
        </w:rPr>
        <w:t xml:space="preserve">是  </w:t>
      </w:r>
      <w:r>
        <w:rPr>
          <w:b/>
          <w:sz w:val="24"/>
        </w:rPr>
        <w:t>■</w:t>
      </w:r>
      <w:r>
        <w:rPr>
          <w:sz w:val="24"/>
        </w:rPr>
        <w:t>否。</w:t>
      </w:r>
    </w:p>
    <w:p w14:paraId="718954C6">
      <w:pPr>
        <w:spacing w:line="360" w:lineRule="auto"/>
        <w:ind w:firstLine="480" w:firstLineChars="200"/>
        <w:rPr>
          <w:rFonts w:hint="eastAsia"/>
          <w:sz w:val="24"/>
        </w:rPr>
      </w:pPr>
    </w:p>
    <w:p w14:paraId="06555F89">
      <w:pPr>
        <w:pStyle w:val="3"/>
        <w:spacing w:before="0" w:line="360" w:lineRule="auto"/>
        <w:jc w:val="left"/>
        <w:rPr>
          <w:rFonts w:ascii="Times New Roman" w:hAnsi="Times New Roman" w:eastAsia="宋体"/>
          <w:sz w:val="24"/>
          <w:szCs w:val="24"/>
        </w:rPr>
      </w:pPr>
      <w:bookmarkStart w:id="18" w:name="_Toc28359080"/>
      <w:bookmarkStart w:id="19" w:name="_Toc28359003"/>
      <w:bookmarkStart w:id="20" w:name="_Toc35393791"/>
      <w:bookmarkStart w:id="21" w:name="_Toc35393622"/>
      <w:r>
        <w:rPr>
          <w:rFonts w:ascii="Times New Roman" w:hAnsi="Times New Roman" w:eastAsia="宋体"/>
          <w:sz w:val="24"/>
          <w:szCs w:val="24"/>
        </w:rPr>
        <w:t>二、申请人的资格要求（须同时满足）</w:t>
      </w:r>
      <w:bookmarkEnd w:id="18"/>
      <w:bookmarkEnd w:id="19"/>
      <w:bookmarkEnd w:id="20"/>
      <w:bookmarkEnd w:id="21"/>
    </w:p>
    <w:p w14:paraId="12E4E78F">
      <w:pPr>
        <w:spacing w:line="360" w:lineRule="auto"/>
        <w:ind w:firstLine="480" w:firstLineChars="200"/>
        <w:rPr>
          <w:sz w:val="24"/>
        </w:rPr>
      </w:pPr>
      <w:r>
        <w:rPr>
          <w:sz w:val="24"/>
        </w:rPr>
        <w:t>1.满足《中华人民共和国政府采购法》第二十二条规定；</w:t>
      </w:r>
    </w:p>
    <w:p w14:paraId="6D196E08">
      <w:pPr>
        <w:spacing w:line="360" w:lineRule="auto"/>
        <w:ind w:firstLine="480" w:firstLineChars="200"/>
        <w:rPr>
          <w:sz w:val="24"/>
        </w:rPr>
      </w:pPr>
      <w:bookmarkStart w:id="22" w:name="_Toc28359081"/>
      <w:bookmarkStart w:id="23" w:name="_Toc28359004"/>
      <w:r>
        <w:rPr>
          <w:sz w:val="24"/>
        </w:rPr>
        <w:t>2.落实政府采购政策需满足的资格要求：</w:t>
      </w:r>
    </w:p>
    <w:p w14:paraId="0AEC5EBF">
      <w:pPr>
        <w:spacing w:line="360" w:lineRule="auto"/>
        <w:ind w:firstLine="480" w:firstLineChars="200"/>
        <w:rPr>
          <w:rFonts w:hint="eastAsia"/>
          <w:sz w:val="24"/>
          <w:lang w:eastAsia="zh-CN"/>
        </w:rPr>
      </w:pPr>
      <w:r>
        <w:rPr>
          <w:sz w:val="24"/>
        </w:rPr>
        <w:t>2.1 中小企业政策</w:t>
      </w:r>
      <w:r>
        <w:rPr>
          <w:rFonts w:hint="eastAsia"/>
          <w:sz w:val="24"/>
          <w:lang w:eastAsia="zh-CN"/>
        </w:rPr>
        <w:t>：</w:t>
      </w:r>
      <w:r>
        <w:rPr>
          <w:rFonts w:hint="eastAsia"/>
          <w:b/>
          <w:bCs/>
          <w:sz w:val="24"/>
        </w:rPr>
        <w:t>本项目专门面向中小企业采购</w:t>
      </w:r>
      <w:r>
        <w:rPr>
          <w:rFonts w:hint="eastAsia"/>
          <w:sz w:val="24"/>
        </w:rPr>
        <w:t>。</w:t>
      </w:r>
      <w:r>
        <w:rPr>
          <w:rFonts w:eastAsia="宋体"/>
          <w:b w:val="0"/>
          <w:bCs w:val="0"/>
          <w:sz w:val="24"/>
          <w:highlight w:val="none"/>
        </w:rPr>
        <w:t>即：提供的货物全部由符合政策要求的</w:t>
      </w:r>
      <w:r>
        <w:rPr>
          <w:rFonts w:hint="eastAsia" w:eastAsia="宋体"/>
          <w:b w:val="0"/>
          <w:bCs w:val="0"/>
          <w:sz w:val="24"/>
          <w:highlight w:val="none"/>
          <w:lang w:val="en-US" w:eastAsia="zh-CN"/>
        </w:rPr>
        <w:t>中小</w:t>
      </w:r>
      <w:r>
        <w:rPr>
          <w:rFonts w:eastAsia="宋体"/>
          <w:b w:val="0"/>
          <w:bCs w:val="0"/>
          <w:sz w:val="24"/>
          <w:highlight w:val="none"/>
        </w:rPr>
        <w:t>企业制造、服务全部由符合政策要求的</w:t>
      </w:r>
      <w:r>
        <w:rPr>
          <w:rFonts w:hint="eastAsia" w:eastAsia="宋体"/>
          <w:b w:val="0"/>
          <w:bCs w:val="0"/>
          <w:sz w:val="24"/>
          <w:highlight w:val="none"/>
          <w:lang w:val="en-US" w:eastAsia="zh-CN"/>
        </w:rPr>
        <w:t>中小</w:t>
      </w:r>
      <w:r>
        <w:rPr>
          <w:rFonts w:eastAsia="宋体"/>
          <w:b w:val="0"/>
          <w:bCs w:val="0"/>
          <w:sz w:val="24"/>
          <w:highlight w:val="none"/>
        </w:rPr>
        <w:t>企业承接。</w:t>
      </w:r>
    </w:p>
    <w:p w14:paraId="5CE1A734">
      <w:pPr>
        <w:spacing w:line="360" w:lineRule="auto"/>
        <w:ind w:firstLine="480" w:firstLineChars="200"/>
        <w:rPr>
          <w:sz w:val="24"/>
        </w:rPr>
      </w:pPr>
      <w:r>
        <w:rPr>
          <w:rFonts w:hint="eastAsia"/>
          <w:sz w:val="24"/>
          <w:szCs w:val="20"/>
        </w:rPr>
        <w:t>2.2</w:t>
      </w:r>
      <w:r>
        <w:rPr>
          <w:sz w:val="24"/>
        </w:rPr>
        <w:t>其它落实政府采购政策的资格要求：</w:t>
      </w:r>
      <w:r>
        <w:rPr>
          <w:rFonts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u w:val="single"/>
        </w:rPr>
        <w:t>。</w:t>
      </w:r>
    </w:p>
    <w:p w14:paraId="05126A1E">
      <w:pPr>
        <w:spacing w:line="360" w:lineRule="auto"/>
        <w:ind w:firstLine="480" w:firstLineChars="200"/>
        <w:rPr>
          <w:i/>
          <w:iCs/>
          <w:sz w:val="24"/>
          <w:u w:val="single"/>
        </w:rPr>
      </w:pPr>
      <w:r>
        <w:rPr>
          <w:sz w:val="24"/>
        </w:rPr>
        <w:t>3.本项目的特定资格要求：</w:t>
      </w:r>
    </w:p>
    <w:p w14:paraId="5CE2740D">
      <w:pPr>
        <w:tabs>
          <w:tab w:val="left" w:pos="900"/>
          <w:tab w:val="left" w:pos="1134"/>
          <w:tab w:val="left" w:pos="1589"/>
          <w:tab w:val="left" w:pos="5521"/>
        </w:tabs>
        <w:snapToGrid w:val="0"/>
        <w:spacing w:line="360" w:lineRule="auto"/>
        <w:ind w:firstLine="480" w:firstLineChars="200"/>
        <w:rPr>
          <w:rFonts w:hint="eastAsia"/>
          <w:sz w:val="24"/>
        </w:rPr>
      </w:pPr>
      <w:r>
        <w:rPr>
          <w:sz w:val="24"/>
        </w:rPr>
        <w:t>3.1本项目是否接受分支机构参与响应：</w:t>
      </w:r>
      <w:r>
        <w:t>□</w:t>
      </w:r>
      <w:r>
        <w:rPr>
          <w:sz w:val="24"/>
        </w:rPr>
        <w:t xml:space="preserve">是   </w:t>
      </w:r>
      <w:r>
        <w:rPr>
          <w:b/>
          <w:sz w:val="24"/>
        </w:rPr>
        <w:t>■</w:t>
      </w:r>
      <w:r>
        <w:rPr>
          <w:sz w:val="24"/>
        </w:rPr>
        <w:t>否；</w:t>
      </w:r>
    </w:p>
    <w:p w14:paraId="5FE26831">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r>
        <w:rPr>
          <w:b/>
          <w:sz w:val="24"/>
        </w:rPr>
        <w:t>■</w:t>
      </w:r>
      <w:r>
        <w:rPr>
          <w:sz w:val="24"/>
        </w:rPr>
        <w:t>否</w:t>
      </w:r>
    </w:p>
    <w:p w14:paraId="12A14869">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344B89A4">
      <w:pPr>
        <w:tabs>
          <w:tab w:val="left" w:pos="900"/>
          <w:tab w:val="left" w:pos="1134"/>
          <w:tab w:val="left" w:pos="1589"/>
          <w:tab w:val="left" w:pos="5521"/>
        </w:tabs>
        <w:snapToGrid w:val="0"/>
        <w:spacing w:line="360" w:lineRule="auto"/>
        <w:ind w:firstLine="480" w:firstLineChars="200"/>
        <w:rPr>
          <w:rFonts w:hint="eastAsia" w:eastAsia="宋体"/>
          <w:sz w:val="24"/>
          <w:highlight w:val="yellow"/>
          <w:u w:val="single"/>
          <w:lang w:eastAsia="zh-CN"/>
        </w:rPr>
      </w:pPr>
      <w:r>
        <w:rPr>
          <w:sz w:val="24"/>
        </w:rPr>
        <w:t>3.3其他特定资格</w:t>
      </w:r>
      <w:r>
        <w:rPr>
          <w:sz w:val="24"/>
          <w:highlight w:val="none"/>
        </w:rPr>
        <w:t>要求：</w:t>
      </w:r>
      <w:r>
        <w:rPr>
          <w:rFonts w:hint="eastAsia"/>
          <w:sz w:val="24"/>
          <w:highlight w:val="none"/>
          <w:u w:val="single"/>
          <w:lang w:eastAsia="zh-CN"/>
        </w:rPr>
        <w:t>（</w:t>
      </w:r>
      <w:r>
        <w:rPr>
          <w:rFonts w:hint="eastAsia"/>
          <w:sz w:val="24"/>
          <w:highlight w:val="none"/>
          <w:u w:val="single"/>
          <w:lang w:val="en-US" w:eastAsia="zh-CN"/>
        </w:rPr>
        <w:t>1</w:t>
      </w:r>
      <w:r>
        <w:rPr>
          <w:rFonts w:hint="eastAsia"/>
          <w:sz w:val="24"/>
          <w:highlight w:val="none"/>
          <w:u w:val="single"/>
          <w:lang w:eastAsia="zh-CN"/>
        </w:rPr>
        <w:t>）</w:t>
      </w:r>
      <w:r>
        <w:rPr>
          <w:rFonts w:hint="eastAsia"/>
          <w:sz w:val="24"/>
          <w:highlight w:val="none"/>
          <w:u w:val="single"/>
        </w:rPr>
        <w:t>供应商须</w:t>
      </w:r>
      <w:r>
        <w:rPr>
          <w:rFonts w:hint="eastAsia"/>
          <w:sz w:val="24"/>
          <w:highlight w:val="none"/>
          <w:u w:val="single"/>
          <w:lang w:val="en-US" w:eastAsia="zh-CN"/>
        </w:rPr>
        <w:t>同时</w:t>
      </w:r>
      <w:r>
        <w:rPr>
          <w:rFonts w:hint="eastAsia"/>
          <w:sz w:val="24"/>
          <w:highlight w:val="none"/>
          <w:u w:val="single"/>
        </w:rPr>
        <w:t>具有有效的</w:t>
      </w:r>
      <w:r>
        <w:rPr>
          <w:rFonts w:hint="eastAsia"/>
          <w:color w:val="auto"/>
          <w:sz w:val="24"/>
          <w:highlight w:val="none"/>
          <w:u w:val="single"/>
        </w:rPr>
        <w:t>电力工程施工总承包</w:t>
      </w:r>
      <w:r>
        <w:rPr>
          <w:rFonts w:hint="eastAsia"/>
          <w:sz w:val="24"/>
          <w:highlight w:val="none"/>
          <w:u w:val="single"/>
          <w:lang w:val="en-US" w:eastAsia="zh-CN"/>
        </w:rPr>
        <w:t>三级（含）</w:t>
      </w:r>
      <w:r>
        <w:rPr>
          <w:rFonts w:hint="eastAsia"/>
          <w:sz w:val="24"/>
          <w:highlight w:val="none"/>
          <w:u w:val="single"/>
        </w:rPr>
        <w:t>以上资质证书</w:t>
      </w:r>
      <w:r>
        <w:rPr>
          <w:rFonts w:hint="eastAsia"/>
          <w:sz w:val="24"/>
          <w:highlight w:val="none"/>
          <w:u w:val="single"/>
          <w:lang w:eastAsia="zh-CN"/>
        </w:rPr>
        <w:t>、《承装（修、试）电力设施许可证》（许可类别和等级：承装类、承修类、承试类五级及以上）</w:t>
      </w:r>
      <w:r>
        <w:rPr>
          <w:rFonts w:hint="eastAsia"/>
          <w:sz w:val="24"/>
          <w:highlight w:val="none"/>
          <w:u w:val="single"/>
          <w:lang w:val="en-US" w:eastAsia="zh-CN"/>
        </w:rPr>
        <w:t>及有效的</w:t>
      </w:r>
      <w:r>
        <w:rPr>
          <w:rFonts w:hint="eastAsia"/>
          <w:sz w:val="24"/>
          <w:highlight w:val="none"/>
          <w:u w:val="single"/>
        </w:rPr>
        <w:t>安全生产许可证；</w:t>
      </w:r>
      <w:r>
        <w:rPr>
          <w:rFonts w:hint="eastAsia"/>
          <w:sz w:val="24"/>
          <w:highlight w:val="none"/>
          <w:u w:val="single"/>
          <w:lang w:eastAsia="zh-CN"/>
        </w:rPr>
        <w:t>（</w:t>
      </w:r>
      <w:r>
        <w:rPr>
          <w:rFonts w:hint="eastAsia"/>
          <w:sz w:val="24"/>
          <w:highlight w:val="none"/>
          <w:u w:val="single"/>
          <w:lang w:val="en-US" w:eastAsia="zh-CN"/>
        </w:rPr>
        <w:t>2</w:t>
      </w:r>
      <w:r>
        <w:rPr>
          <w:rFonts w:hint="eastAsia"/>
          <w:sz w:val="24"/>
          <w:highlight w:val="none"/>
          <w:u w:val="single"/>
          <w:lang w:eastAsia="zh-CN"/>
        </w:rPr>
        <w:t>）</w:t>
      </w:r>
      <w:r>
        <w:rPr>
          <w:rFonts w:hint="eastAsia"/>
          <w:sz w:val="24"/>
          <w:highlight w:val="none"/>
          <w:u w:val="single"/>
        </w:rPr>
        <w:t>非北京市建筑企业，应提供有效的《外省市建筑业企业进京施工备案信息》</w:t>
      </w:r>
      <w:r>
        <w:rPr>
          <w:rFonts w:hint="eastAsia"/>
          <w:sz w:val="24"/>
          <w:highlight w:val="none"/>
          <w:u w:val="single"/>
          <w:lang w:eastAsia="zh-CN"/>
        </w:rPr>
        <w:t>；（</w:t>
      </w:r>
      <w:r>
        <w:rPr>
          <w:rFonts w:hint="eastAsia"/>
          <w:sz w:val="24"/>
          <w:highlight w:val="none"/>
          <w:u w:val="single"/>
          <w:lang w:val="en-US" w:eastAsia="zh-CN"/>
        </w:rPr>
        <w:t>3</w:t>
      </w:r>
      <w:r>
        <w:rPr>
          <w:rFonts w:hint="eastAsia"/>
          <w:sz w:val="24"/>
          <w:highlight w:val="none"/>
          <w:u w:val="single"/>
          <w:lang w:eastAsia="zh-CN"/>
        </w:rPr>
        <w:t>）</w:t>
      </w:r>
      <w:r>
        <w:rPr>
          <w:rFonts w:hint="eastAsia"/>
          <w:sz w:val="24"/>
          <w:highlight w:val="none"/>
          <w:u w:val="single"/>
        </w:rPr>
        <w:t>项目经理</w:t>
      </w:r>
      <w:r>
        <w:rPr>
          <w:rFonts w:hint="eastAsia"/>
          <w:sz w:val="24"/>
          <w:highlight w:val="none"/>
          <w:u w:val="single"/>
          <w:lang w:val="en-US" w:eastAsia="zh-CN"/>
        </w:rPr>
        <w:t>须</w:t>
      </w:r>
      <w:r>
        <w:rPr>
          <w:rFonts w:hint="eastAsia"/>
          <w:sz w:val="24"/>
          <w:highlight w:val="none"/>
          <w:u w:val="single"/>
        </w:rPr>
        <w:t>具有机电工程专业二级（含）以上注册建造师执业资格和有效的安全生产考核合格证书（简称B</w:t>
      </w:r>
      <w:r>
        <w:rPr>
          <w:rFonts w:hint="eastAsia"/>
          <w:sz w:val="24"/>
          <w:highlight w:val="none"/>
          <w:u w:val="single"/>
          <w:lang w:val="en-US" w:eastAsia="zh-CN"/>
        </w:rPr>
        <w:t>本</w:t>
      </w:r>
      <w:r>
        <w:rPr>
          <w:rFonts w:hint="eastAsia"/>
          <w:sz w:val="24"/>
          <w:highlight w:val="none"/>
          <w:u w:val="single"/>
        </w:rPr>
        <w:t>），且在确定成交时不得担任其他在施建设工程的项目经理</w:t>
      </w:r>
      <w:r>
        <w:rPr>
          <w:rFonts w:hint="eastAsia"/>
          <w:sz w:val="24"/>
          <w:highlight w:val="none"/>
          <w:u w:val="single"/>
          <w:lang w:eastAsia="zh-CN"/>
        </w:rPr>
        <w:t>；</w:t>
      </w:r>
      <w:r>
        <w:rPr>
          <w:rFonts w:hint="eastAsia" w:eastAsia="宋体"/>
          <w:sz w:val="24"/>
          <w:u w:val="single"/>
          <w:lang w:eastAsia="zh-CN"/>
        </w:rPr>
        <w:t>（</w:t>
      </w:r>
      <w:r>
        <w:rPr>
          <w:rFonts w:hint="eastAsia" w:eastAsia="宋体"/>
          <w:sz w:val="24"/>
          <w:u w:val="single"/>
          <w:lang w:val="en-US" w:eastAsia="zh-CN"/>
        </w:rPr>
        <w:t>4</w:t>
      </w:r>
      <w:r>
        <w:rPr>
          <w:rFonts w:hint="eastAsia" w:eastAsia="宋体"/>
          <w:sz w:val="24"/>
          <w:u w:val="single"/>
        </w:rPr>
        <w:t>）供应商没有处于被责令停业，投标资格被取消，财产被接管、冻结，破产状态；</w:t>
      </w:r>
      <w:r>
        <w:rPr>
          <w:rFonts w:hint="eastAsia" w:eastAsia="宋体"/>
          <w:sz w:val="24"/>
          <w:u w:val="single"/>
          <w:lang w:eastAsia="zh-CN"/>
        </w:rPr>
        <w:t>（</w:t>
      </w:r>
      <w:r>
        <w:rPr>
          <w:rFonts w:hint="eastAsia" w:eastAsia="宋体"/>
          <w:sz w:val="24"/>
          <w:u w:val="single"/>
          <w:lang w:val="en-US" w:eastAsia="zh-CN"/>
        </w:rPr>
        <w:t>5</w:t>
      </w:r>
      <w:r>
        <w:rPr>
          <w:rFonts w:hint="eastAsia" w:eastAsia="宋体"/>
          <w:sz w:val="24"/>
          <w:u w:val="single"/>
        </w:rPr>
        <w:t>）供应商在最近三年内没有骗取中标和严重违约及重大工程质量问题</w:t>
      </w:r>
      <w:r>
        <w:rPr>
          <w:rFonts w:hint="eastAsia" w:eastAsia="宋体"/>
          <w:sz w:val="24"/>
          <w:highlight w:val="none"/>
          <w:lang w:eastAsia="zh-CN"/>
        </w:rPr>
        <w:t>。</w:t>
      </w:r>
    </w:p>
    <w:bookmarkEnd w:id="22"/>
    <w:bookmarkEnd w:id="23"/>
    <w:p w14:paraId="17382EE7">
      <w:pPr>
        <w:tabs>
          <w:tab w:val="left" w:pos="900"/>
          <w:tab w:val="left" w:pos="1134"/>
          <w:tab w:val="left" w:pos="1589"/>
          <w:tab w:val="left" w:pos="5521"/>
        </w:tabs>
        <w:snapToGrid w:val="0"/>
        <w:spacing w:line="360" w:lineRule="auto"/>
        <w:ind w:firstLine="480" w:firstLineChars="200"/>
        <w:rPr>
          <w:sz w:val="24"/>
        </w:rPr>
      </w:pPr>
      <w:bookmarkStart w:id="24" w:name="_Toc35393623"/>
      <w:bookmarkStart w:id="25" w:name="_Toc35393792"/>
      <w:r>
        <w:rPr>
          <w:sz w:val="24"/>
        </w:rPr>
        <w:t>三、获取采购文件</w:t>
      </w:r>
      <w:bookmarkEnd w:id="24"/>
      <w:bookmarkEnd w:id="25"/>
    </w:p>
    <w:p w14:paraId="6F8AEC60">
      <w:pPr>
        <w:adjustRightInd w:val="0"/>
        <w:snapToGrid w:val="0"/>
        <w:spacing w:line="360" w:lineRule="auto"/>
        <w:ind w:firstLine="480" w:firstLineChars="200"/>
        <w:rPr>
          <w:sz w:val="24"/>
          <w:lang w:bidi="ar"/>
        </w:rPr>
      </w:pPr>
      <w:r>
        <w:rPr>
          <w:sz w:val="24"/>
          <w:lang w:bidi="ar"/>
        </w:rPr>
        <w:t>1.时间：</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11</w:t>
      </w:r>
      <w:r>
        <w:rPr>
          <w:color w:val="auto"/>
          <w:sz w:val="24"/>
          <w:lang w:bidi="ar"/>
        </w:rPr>
        <w:t>月</w:t>
      </w:r>
      <w:r>
        <w:rPr>
          <w:rFonts w:hint="eastAsia"/>
          <w:color w:val="auto"/>
          <w:sz w:val="24"/>
          <w:lang w:val="en-US" w:eastAsia="zh-CN" w:bidi="ar"/>
        </w:rPr>
        <w:t>6</w:t>
      </w:r>
      <w:r>
        <w:rPr>
          <w:color w:val="auto"/>
          <w:sz w:val="24"/>
          <w:lang w:bidi="ar"/>
        </w:rPr>
        <w:t>日至</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11</w:t>
      </w:r>
      <w:r>
        <w:rPr>
          <w:color w:val="auto"/>
          <w:sz w:val="24"/>
          <w:lang w:bidi="ar"/>
        </w:rPr>
        <w:t>月</w:t>
      </w:r>
      <w:r>
        <w:rPr>
          <w:rFonts w:hint="eastAsia"/>
          <w:color w:val="auto"/>
          <w:sz w:val="24"/>
          <w:lang w:val="en-US" w:eastAsia="zh-CN"/>
        </w:rPr>
        <w:t>13</w:t>
      </w:r>
      <w:r>
        <w:rPr>
          <w:color w:val="auto"/>
          <w:sz w:val="24"/>
          <w:lang w:bidi="ar"/>
        </w:rPr>
        <w:t>日</w:t>
      </w:r>
      <w:r>
        <w:rPr>
          <w:sz w:val="24"/>
          <w:lang w:bidi="ar"/>
        </w:rPr>
        <w:t>，每天上午</w:t>
      </w:r>
      <w:r>
        <w:rPr>
          <w:sz w:val="24"/>
        </w:rPr>
        <w:t>9</w:t>
      </w:r>
      <w:r>
        <w:rPr>
          <w:rFonts w:hint="eastAsia"/>
          <w:sz w:val="24"/>
        </w:rPr>
        <w:t>:</w:t>
      </w:r>
      <w:r>
        <w:rPr>
          <w:rFonts w:hint="eastAsia"/>
          <w:sz w:val="24"/>
          <w:lang w:val="en-US" w:eastAsia="zh-CN"/>
        </w:rPr>
        <w:t>00</w:t>
      </w:r>
      <w:r>
        <w:rPr>
          <w:sz w:val="24"/>
          <w:lang w:bidi="ar"/>
        </w:rPr>
        <w:t>至</w:t>
      </w:r>
      <w:r>
        <w:rPr>
          <w:rFonts w:hint="eastAsia"/>
          <w:sz w:val="24"/>
          <w:lang w:val="en-US" w:eastAsia="zh-CN"/>
        </w:rPr>
        <w:t>12</w:t>
      </w:r>
      <w:r>
        <w:rPr>
          <w:rFonts w:hint="eastAsia"/>
          <w:sz w:val="24"/>
        </w:rPr>
        <w:t>:</w:t>
      </w:r>
      <w:r>
        <w:rPr>
          <w:rFonts w:hint="eastAsia"/>
          <w:sz w:val="24"/>
          <w:lang w:val="en-US" w:eastAsia="zh-CN"/>
        </w:rPr>
        <w:t>0</w:t>
      </w:r>
      <w:r>
        <w:rPr>
          <w:sz w:val="24"/>
        </w:rPr>
        <w:t>0</w:t>
      </w:r>
      <w:r>
        <w:rPr>
          <w:sz w:val="24"/>
          <w:lang w:bidi="ar"/>
        </w:rPr>
        <w:t>，下午</w:t>
      </w:r>
      <w:r>
        <w:rPr>
          <w:rFonts w:hint="eastAsia"/>
          <w:sz w:val="24"/>
          <w:lang w:val="en-US" w:eastAsia="zh-CN"/>
        </w:rPr>
        <w:t>13</w:t>
      </w:r>
      <w:r>
        <w:rPr>
          <w:rFonts w:hint="eastAsia"/>
          <w:sz w:val="24"/>
        </w:rPr>
        <w:t>:</w:t>
      </w:r>
      <w:r>
        <w:rPr>
          <w:rFonts w:hint="eastAsia"/>
          <w:sz w:val="24"/>
          <w:lang w:val="en-US" w:eastAsia="zh-CN"/>
        </w:rPr>
        <w:t>0</w:t>
      </w:r>
      <w:r>
        <w:rPr>
          <w:sz w:val="24"/>
        </w:rPr>
        <w:t>0</w:t>
      </w:r>
      <w:r>
        <w:rPr>
          <w:sz w:val="24"/>
          <w:lang w:bidi="ar"/>
        </w:rPr>
        <w:t>至</w:t>
      </w:r>
      <w:r>
        <w:rPr>
          <w:sz w:val="24"/>
        </w:rPr>
        <w:t>16</w:t>
      </w:r>
      <w:r>
        <w:rPr>
          <w:rFonts w:hint="eastAsia"/>
          <w:sz w:val="24"/>
        </w:rPr>
        <w:t>:</w:t>
      </w:r>
      <w:r>
        <w:rPr>
          <w:rFonts w:hint="eastAsia"/>
          <w:sz w:val="24"/>
          <w:lang w:val="en-US" w:eastAsia="zh-CN"/>
        </w:rPr>
        <w:t>3</w:t>
      </w:r>
      <w:r>
        <w:rPr>
          <w:sz w:val="24"/>
        </w:rPr>
        <w:t>0</w:t>
      </w:r>
      <w:r>
        <w:rPr>
          <w:sz w:val="24"/>
          <w:lang w:bidi="ar"/>
        </w:rPr>
        <w:t>（北京时间，法定节假日除外）。</w:t>
      </w:r>
    </w:p>
    <w:p w14:paraId="6FE334E8">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北京市政府采购电子交易平台</w:t>
      </w:r>
      <w:r>
        <w:rPr>
          <w:rFonts w:hint="eastAsia"/>
          <w:sz w:val="24"/>
          <w:lang w:eastAsia="zh-CN" w:bidi="ar"/>
        </w:rPr>
        <w:t>。</w:t>
      </w:r>
    </w:p>
    <w:p w14:paraId="7418D4CA">
      <w:pPr>
        <w:spacing w:line="360" w:lineRule="auto"/>
        <w:ind w:firstLine="480" w:firstLineChars="200"/>
        <w:jc w:val="left"/>
        <w:rPr>
          <w:rFonts w:hint="eastAsia" w:ascii="宋体" w:hAnsi="宋体" w:eastAsia="宋体" w:cs="宋体"/>
          <w:b/>
          <w:bCs/>
          <w:sz w:val="24"/>
          <w:szCs w:val="20"/>
          <w:highlight w:val="yellow"/>
          <w:lang w:val="en-US" w:eastAsia="zh-CN"/>
        </w:rPr>
      </w:pPr>
      <w:r>
        <w:rPr>
          <w:sz w:val="24"/>
          <w:lang w:bidi="ar"/>
        </w:rPr>
        <w:t>3.方式：</w:t>
      </w:r>
      <w:r>
        <w:rPr>
          <w:rFonts w:eastAsia="宋体"/>
          <w:color w:val="auto"/>
          <w:sz w:val="24"/>
          <w:lang w:bidi="ar"/>
        </w:rPr>
        <w:t>供应商使用CA数字证书</w:t>
      </w:r>
      <w:r>
        <w:rPr>
          <w:color w:val="auto"/>
          <w:sz w:val="24"/>
          <w:lang w:bidi="ar"/>
        </w:rPr>
        <w:t>或电子营业执照</w:t>
      </w:r>
      <w:r>
        <w:rPr>
          <w:rFonts w:eastAsia="宋体"/>
          <w:color w:val="auto"/>
          <w:sz w:val="24"/>
          <w:lang w:bidi="ar"/>
        </w:rPr>
        <w:t>登录北京市政府采购电子交易平台（http://zbcg-bjzc.zhongcy.com/bjczj-portal-site/index.html#/home）获取电子版竞争性磋商文件</w:t>
      </w:r>
      <w:r>
        <w:rPr>
          <w:rFonts w:hint="eastAsia" w:eastAsia="宋体"/>
          <w:color w:val="auto"/>
          <w:sz w:val="24"/>
          <w:lang w:eastAsia="zh-CN" w:bidi="ar"/>
        </w:rPr>
        <w:t>。</w:t>
      </w:r>
    </w:p>
    <w:p w14:paraId="76BD7F72">
      <w:pPr>
        <w:widowControl/>
        <w:adjustRightInd w:val="0"/>
        <w:snapToGrid w:val="0"/>
        <w:spacing w:line="360" w:lineRule="auto"/>
        <w:ind w:firstLine="480" w:firstLineChars="200"/>
        <w:jc w:val="left"/>
        <w:rPr>
          <w:sz w:val="24"/>
          <w:lang w:bidi="ar"/>
        </w:rPr>
      </w:pPr>
      <w:r>
        <w:rPr>
          <w:sz w:val="24"/>
          <w:lang w:bidi="ar"/>
        </w:rPr>
        <w:t>4.售价：</w:t>
      </w:r>
      <w:r>
        <w:rPr>
          <w:rFonts w:eastAsia="宋体"/>
          <w:color w:val="auto"/>
          <w:sz w:val="24"/>
          <w:lang w:bidi="ar"/>
        </w:rPr>
        <w:t>0元</w:t>
      </w:r>
      <w:r>
        <w:rPr>
          <w:sz w:val="24"/>
          <w:lang w:bidi="ar"/>
        </w:rPr>
        <w:t>。</w:t>
      </w:r>
    </w:p>
    <w:p w14:paraId="20C892E8">
      <w:pPr>
        <w:widowControl/>
        <w:adjustRightInd w:val="0"/>
        <w:snapToGrid w:val="0"/>
        <w:spacing w:line="360" w:lineRule="auto"/>
        <w:ind w:firstLine="480" w:firstLineChars="200"/>
        <w:jc w:val="left"/>
        <w:rPr>
          <w:rFonts w:hint="eastAsia"/>
          <w:sz w:val="24"/>
        </w:rPr>
      </w:pPr>
    </w:p>
    <w:p w14:paraId="193A4A15">
      <w:pPr>
        <w:pStyle w:val="3"/>
        <w:widowControl/>
        <w:spacing w:before="0" w:line="360" w:lineRule="auto"/>
        <w:jc w:val="left"/>
        <w:rPr>
          <w:rFonts w:ascii="Times New Roman" w:hAnsi="Times New Roman" w:eastAsia="宋体"/>
          <w:sz w:val="24"/>
          <w:szCs w:val="24"/>
        </w:rPr>
      </w:pPr>
      <w:bookmarkStart w:id="26" w:name="_Toc35393793"/>
      <w:bookmarkStart w:id="27" w:name="_Toc28359005"/>
      <w:bookmarkStart w:id="28" w:name="_Toc28359082"/>
      <w:bookmarkStart w:id="29" w:name="_Toc35393624"/>
      <w:r>
        <w:rPr>
          <w:rFonts w:ascii="Times New Roman" w:hAnsi="Times New Roman" w:eastAsia="宋体"/>
          <w:sz w:val="24"/>
          <w:szCs w:val="24"/>
        </w:rPr>
        <w:t>四、</w:t>
      </w:r>
      <w:bookmarkEnd w:id="26"/>
      <w:bookmarkEnd w:id="27"/>
      <w:bookmarkEnd w:id="28"/>
      <w:bookmarkEnd w:id="29"/>
      <w:r>
        <w:rPr>
          <w:rFonts w:ascii="Times New Roman" w:hAnsi="Times New Roman" w:eastAsia="宋体"/>
          <w:sz w:val="24"/>
          <w:szCs w:val="24"/>
        </w:rPr>
        <w:t>响应文件提交</w:t>
      </w:r>
    </w:p>
    <w:p w14:paraId="60E98643">
      <w:pPr>
        <w:spacing w:line="360" w:lineRule="auto"/>
        <w:ind w:firstLine="480" w:firstLineChars="200"/>
        <w:rPr>
          <w:bCs/>
          <w:color w:val="auto"/>
          <w:sz w:val="24"/>
          <w:highlight w:val="none"/>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17</w:t>
      </w:r>
      <w:r>
        <w:rPr>
          <w:color w:val="auto"/>
          <w:sz w:val="24"/>
          <w:highlight w:val="none"/>
          <w:lang w:bidi="ar"/>
        </w:rPr>
        <w:t>日</w:t>
      </w:r>
      <w:r>
        <w:rPr>
          <w:rFonts w:hint="eastAsia"/>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58F91A88">
      <w:pPr>
        <w:spacing w:line="360" w:lineRule="auto"/>
        <w:ind w:firstLine="480" w:firstLineChars="200"/>
        <w:rPr>
          <w:sz w:val="24"/>
          <w:highlight w:val="none"/>
          <w:lang w:val="zh-TW" w:bidi="ar"/>
        </w:rPr>
      </w:pPr>
      <w:r>
        <w:rPr>
          <w:color w:val="auto"/>
          <w:sz w:val="24"/>
          <w:highlight w:val="none"/>
          <w:lang w:bidi="ar"/>
        </w:rPr>
        <w:t>地点：</w:t>
      </w:r>
      <w:r>
        <w:rPr>
          <w:rFonts w:hint="eastAsia"/>
          <w:color w:val="auto"/>
          <w:sz w:val="24"/>
          <w:highlight w:val="none"/>
          <w:lang w:bidi="ar"/>
        </w:rPr>
        <w:t>北京市海淀区复兴路乙12号中国铝业大厦</w:t>
      </w:r>
      <w:r>
        <w:rPr>
          <w:rFonts w:hint="eastAsia"/>
          <w:color w:val="auto"/>
          <w:sz w:val="24"/>
          <w:highlight w:val="none"/>
          <w:lang w:val="en-US" w:eastAsia="zh-CN" w:bidi="ar"/>
        </w:rPr>
        <w:t>四</w:t>
      </w:r>
      <w:r>
        <w:rPr>
          <w:rFonts w:hint="eastAsia"/>
          <w:color w:val="auto"/>
          <w:sz w:val="24"/>
          <w:highlight w:val="none"/>
          <w:lang w:bidi="ar"/>
        </w:rPr>
        <w:t>层</w:t>
      </w:r>
      <w:r>
        <w:rPr>
          <w:rFonts w:hint="eastAsia"/>
          <w:color w:val="auto"/>
          <w:sz w:val="24"/>
          <w:highlight w:val="none"/>
          <w:lang w:val="en-US" w:eastAsia="zh-CN" w:bidi="ar"/>
        </w:rPr>
        <w:t>第四</w:t>
      </w:r>
      <w:r>
        <w:rPr>
          <w:rFonts w:hint="eastAsia"/>
          <w:color w:val="auto"/>
          <w:sz w:val="24"/>
          <w:highlight w:val="none"/>
          <w:lang w:bidi="ar"/>
        </w:rPr>
        <w:t>会议室</w:t>
      </w:r>
      <w:r>
        <w:rPr>
          <w:sz w:val="24"/>
          <w:highlight w:val="none"/>
          <w:u w:val="none"/>
          <w:lang w:val="zh-TW" w:bidi="ar"/>
        </w:rPr>
        <w:t>。</w:t>
      </w:r>
    </w:p>
    <w:p w14:paraId="18804B34">
      <w:pPr>
        <w:spacing w:line="360" w:lineRule="auto"/>
        <w:ind w:firstLine="480" w:firstLineChars="200"/>
        <w:rPr>
          <w:rFonts w:hint="eastAsia"/>
          <w:sz w:val="24"/>
          <w:lang w:val="zh-TW" w:bidi="ar"/>
        </w:rPr>
      </w:pPr>
    </w:p>
    <w:p w14:paraId="0A6BED9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6787536F">
      <w:pPr>
        <w:spacing w:line="360" w:lineRule="auto"/>
        <w:ind w:firstLine="480" w:firstLineChars="200"/>
        <w:rPr>
          <w:bCs/>
          <w:color w:val="auto"/>
          <w:sz w:val="24"/>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17</w:t>
      </w:r>
      <w:r>
        <w:rPr>
          <w:color w:val="auto"/>
          <w:sz w:val="24"/>
          <w:highlight w:val="none"/>
          <w:lang w:bidi="ar"/>
        </w:rPr>
        <w:t>日</w:t>
      </w:r>
      <w:r>
        <w:rPr>
          <w:rFonts w:hint="eastAsia"/>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lang w:bidi="ar"/>
        </w:rPr>
        <w:t>。</w:t>
      </w:r>
    </w:p>
    <w:p w14:paraId="728CB4D9">
      <w:pPr>
        <w:spacing w:line="360" w:lineRule="auto"/>
        <w:ind w:firstLine="480" w:firstLineChars="200"/>
        <w:rPr>
          <w:sz w:val="24"/>
          <w:lang w:val="zh-TW" w:bidi="ar"/>
        </w:rPr>
      </w:pPr>
      <w:r>
        <w:rPr>
          <w:color w:val="auto"/>
          <w:sz w:val="24"/>
          <w:lang w:bidi="ar"/>
        </w:rPr>
        <w:t>地点：</w:t>
      </w:r>
      <w:r>
        <w:rPr>
          <w:rFonts w:hint="eastAsia"/>
          <w:color w:val="auto"/>
          <w:sz w:val="24"/>
          <w:highlight w:val="none"/>
          <w:lang w:bidi="ar"/>
        </w:rPr>
        <w:t>北京市海淀区复兴路乙12号中国铝业大厦</w:t>
      </w:r>
      <w:r>
        <w:rPr>
          <w:rFonts w:hint="eastAsia"/>
          <w:color w:val="auto"/>
          <w:sz w:val="24"/>
          <w:highlight w:val="none"/>
          <w:lang w:val="en-US" w:eastAsia="zh-CN" w:bidi="ar"/>
        </w:rPr>
        <w:t>四</w:t>
      </w:r>
      <w:r>
        <w:rPr>
          <w:rFonts w:hint="eastAsia"/>
          <w:color w:val="auto"/>
          <w:sz w:val="24"/>
          <w:highlight w:val="none"/>
          <w:lang w:bidi="ar"/>
        </w:rPr>
        <w:t>层</w:t>
      </w:r>
      <w:r>
        <w:rPr>
          <w:rFonts w:hint="eastAsia"/>
          <w:color w:val="auto"/>
          <w:sz w:val="24"/>
          <w:highlight w:val="none"/>
          <w:lang w:val="en-US" w:eastAsia="zh-CN" w:bidi="ar"/>
        </w:rPr>
        <w:t>第四</w:t>
      </w:r>
      <w:r>
        <w:rPr>
          <w:rFonts w:hint="eastAsia"/>
          <w:color w:val="auto"/>
          <w:sz w:val="24"/>
          <w:highlight w:val="none"/>
          <w:lang w:bidi="ar"/>
        </w:rPr>
        <w:t>会议室</w:t>
      </w:r>
      <w:r>
        <w:rPr>
          <w:sz w:val="24"/>
          <w:lang w:val="zh-TW" w:bidi="ar"/>
        </w:rPr>
        <w:t>。</w:t>
      </w:r>
    </w:p>
    <w:p w14:paraId="5FB3801D">
      <w:pPr>
        <w:spacing w:line="360" w:lineRule="auto"/>
        <w:ind w:firstLine="480" w:firstLineChars="200"/>
        <w:rPr>
          <w:rFonts w:hint="eastAsia"/>
          <w:sz w:val="24"/>
          <w:lang w:val="zh-TW" w:bidi="ar"/>
        </w:rPr>
      </w:pPr>
    </w:p>
    <w:p w14:paraId="1F6DC39E">
      <w:pPr>
        <w:pStyle w:val="3"/>
        <w:spacing w:before="0" w:line="360" w:lineRule="auto"/>
        <w:jc w:val="left"/>
        <w:rPr>
          <w:rFonts w:ascii="Times New Roman" w:hAnsi="Times New Roman" w:eastAsia="宋体"/>
          <w:sz w:val="24"/>
          <w:szCs w:val="24"/>
        </w:rPr>
      </w:pPr>
      <w:bookmarkStart w:id="30" w:name="_Toc28359084"/>
      <w:bookmarkStart w:id="31" w:name="_Toc28359007"/>
      <w:bookmarkStart w:id="32" w:name="_Toc35393794"/>
      <w:bookmarkStart w:id="33" w:name="_Toc35393625"/>
      <w:r>
        <w:rPr>
          <w:rFonts w:ascii="Times New Roman" w:hAnsi="Times New Roman" w:eastAsia="宋体"/>
          <w:sz w:val="24"/>
          <w:szCs w:val="24"/>
        </w:rPr>
        <w:t>六、公告期限</w:t>
      </w:r>
      <w:bookmarkEnd w:id="30"/>
      <w:bookmarkEnd w:id="31"/>
      <w:bookmarkEnd w:id="32"/>
      <w:bookmarkEnd w:id="33"/>
    </w:p>
    <w:p w14:paraId="6E7710BD">
      <w:pPr>
        <w:spacing w:line="360" w:lineRule="auto"/>
        <w:ind w:firstLine="480" w:firstLineChars="200"/>
        <w:rPr>
          <w:kern w:val="0"/>
          <w:sz w:val="24"/>
        </w:rPr>
      </w:pPr>
      <w:r>
        <w:rPr>
          <w:kern w:val="0"/>
          <w:sz w:val="24"/>
        </w:rPr>
        <w:t>自本公告发布之日起3个工作日。</w:t>
      </w:r>
    </w:p>
    <w:p w14:paraId="03212622">
      <w:pPr>
        <w:pStyle w:val="3"/>
        <w:spacing w:before="0" w:line="360" w:lineRule="auto"/>
        <w:jc w:val="left"/>
        <w:rPr>
          <w:rFonts w:ascii="Times New Roman" w:hAnsi="Times New Roman" w:eastAsia="宋体"/>
          <w:sz w:val="24"/>
          <w:szCs w:val="24"/>
        </w:rPr>
      </w:pPr>
      <w:bookmarkStart w:id="34" w:name="_Toc35393795"/>
      <w:bookmarkStart w:id="35" w:name="_Toc35393626"/>
      <w:r>
        <w:rPr>
          <w:rFonts w:ascii="Times New Roman" w:hAnsi="Times New Roman" w:eastAsia="宋体"/>
          <w:sz w:val="24"/>
          <w:szCs w:val="24"/>
        </w:rPr>
        <w:t>七、其他补充事宜</w:t>
      </w:r>
      <w:bookmarkEnd w:id="34"/>
      <w:bookmarkEnd w:id="35"/>
    </w:p>
    <w:p w14:paraId="4497500C">
      <w:pPr>
        <w:spacing w:line="360" w:lineRule="auto"/>
        <w:ind w:firstLine="540"/>
        <w:rPr>
          <w:rFonts w:hint="eastAsia" w:ascii="宋体" w:hAnsi="宋体" w:cs="宋体"/>
          <w:sz w:val="24"/>
        </w:rPr>
      </w:pPr>
      <w:r>
        <w:rPr>
          <w:rFonts w:hint="eastAsia" w:ascii="宋体" w:hAnsi="宋体" w:cs="宋体"/>
          <w:sz w:val="24"/>
        </w:rPr>
        <w:t>1.磋商文件请于开启当日（响应文件递交截止时间之前）递交至开启地点，逾期递交文件恕不接受。开启当日请供应商派代表携带身份证参加磋商。</w:t>
      </w:r>
    </w:p>
    <w:p w14:paraId="09AD7C69">
      <w:pPr>
        <w:spacing w:line="360" w:lineRule="auto"/>
        <w:ind w:firstLine="480" w:firstLineChars="200"/>
        <w:rPr>
          <w:rFonts w:ascii="宋体" w:hAnsi="宋体" w:cs="宋体"/>
          <w:sz w:val="24"/>
        </w:rPr>
      </w:pPr>
      <w:r>
        <w:rPr>
          <w:rFonts w:hint="eastAsia" w:ascii="宋体" w:hAnsi="宋体" w:cs="宋体"/>
          <w:sz w:val="24"/>
        </w:rPr>
        <w:t>2.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645D2039">
      <w:pPr>
        <w:widowControl/>
        <w:adjustRightInd w:val="0"/>
        <w:snapToGrid w:val="0"/>
        <w:spacing w:line="360" w:lineRule="auto"/>
        <w:ind w:firstLine="480" w:firstLineChars="200"/>
        <w:jc w:val="left"/>
        <w:rPr>
          <w:sz w:val="24"/>
          <w:lang w:bidi="ar"/>
        </w:rPr>
      </w:pPr>
      <w:r>
        <w:rPr>
          <w:rFonts w:hint="eastAsia" w:ascii="宋体" w:hAnsi="宋体" w:cs="宋体"/>
          <w:sz w:val="24"/>
        </w:rPr>
        <w:t>3.</w:t>
      </w:r>
      <w:r>
        <w:rPr>
          <w:b/>
          <w:bCs/>
          <w:sz w:val="24"/>
          <w:lang w:bidi="ar"/>
        </w:rPr>
        <w:t>本项目</w:t>
      </w:r>
      <w:r>
        <w:rPr>
          <w:rFonts w:hint="eastAsia"/>
          <w:b/>
          <w:bCs/>
          <w:sz w:val="24"/>
          <w:lang w:bidi="ar"/>
        </w:rPr>
        <w:t>采用线上获取</w:t>
      </w:r>
      <w:r>
        <w:rPr>
          <w:rFonts w:hint="eastAsia"/>
          <w:b/>
          <w:bCs/>
          <w:sz w:val="24"/>
          <w:lang w:val="en-US" w:eastAsia="zh-CN" w:bidi="ar"/>
        </w:rPr>
        <w:t>招标</w:t>
      </w:r>
      <w:r>
        <w:rPr>
          <w:rFonts w:hint="eastAsia"/>
          <w:b/>
          <w:bCs/>
          <w:sz w:val="24"/>
          <w:lang w:bidi="ar"/>
        </w:rPr>
        <w:t>文件，线下递交纸质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BBC7941">
      <w:pPr>
        <w:adjustRightInd w:val="0"/>
        <w:snapToGrid w:val="0"/>
        <w:spacing w:line="360" w:lineRule="auto"/>
        <w:ind w:firstLine="480" w:firstLineChars="200"/>
        <w:rPr>
          <w:sz w:val="24"/>
          <w:lang w:bidi="ar"/>
        </w:rPr>
      </w:pPr>
      <w:r>
        <w:rPr>
          <w:sz w:val="24"/>
          <w:lang w:bidi="ar"/>
        </w:rPr>
        <w:t>CA数字证书服务热线 010-58511086</w:t>
      </w:r>
    </w:p>
    <w:p w14:paraId="7338AFA5">
      <w:pPr>
        <w:adjustRightInd w:val="0"/>
        <w:snapToGrid w:val="0"/>
        <w:spacing w:line="360" w:lineRule="auto"/>
        <w:ind w:firstLine="480" w:firstLineChars="200"/>
        <w:rPr>
          <w:sz w:val="24"/>
        </w:rPr>
      </w:pPr>
      <w:r>
        <w:rPr>
          <w:sz w:val="24"/>
          <w:lang w:bidi="ar"/>
        </w:rPr>
        <w:t>电子营业执照服务热线 400-699-7000</w:t>
      </w:r>
    </w:p>
    <w:p w14:paraId="7DCCB934">
      <w:pPr>
        <w:adjustRightInd w:val="0"/>
        <w:snapToGrid w:val="0"/>
        <w:spacing w:line="360" w:lineRule="auto"/>
        <w:ind w:firstLine="480" w:firstLineChars="200"/>
        <w:rPr>
          <w:sz w:val="24"/>
        </w:rPr>
      </w:pPr>
      <w:r>
        <w:rPr>
          <w:sz w:val="24"/>
          <w:lang w:bidi="ar"/>
        </w:rPr>
        <w:t>技术支持服务热线    010-86483801</w:t>
      </w:r>
    </w:p>
    <w:p w14:paraId="42EE5073">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1167454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69EDF60">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7C1C528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7DC737E">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3A4D04B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FF3CA33">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.4 获取电子招标文件</w:t>
      </w:r>
    </w:p>
    <w:p w14:paraId="7642DAC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9E7215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A25A2BB">
      <w:pPr>
        <w:adjustRightInd w:val="0"/>
        <w:snapToGrid w:val="0"/>
        <w:spacing w:line="360" w:lineRule="auto"/>
        <w:ind w:firstLine="480" w:firstLineChars="200"/>
        <w:rPr>
          <w:rFonts w:hint="eastAsia" w:ascii="宋体" w:hAnsi="宋体" w:cs="宋体"/>
          <w:sz w:val="24"/>
        </w:rPr>
      </w:pPr>
      <w:r>
        <w:rPr>
          <w:sz w:val="24"/>
          <w:lang w:bidi="ar"/>
        </w:rPr>
        <w:t>未在规定期限内通过北京市政府采购电子交易平台获取招标文件的</w:t>
      </w:r>
      <w:r>
        <w:rPr>
          <w:b/>
          <w:sz w:val="24"/>
          <w:lang w:bidi="ar"/>
        </w:rPr>
        <w:t>投标无效</w:t>
      </w:r>
      <w:r>
        <w:rPr>
          <w:sz w:val="24"/>
          <w:lang w:bidi="ar"/>
        </w:rPr>
        <w:t>。</w:t>
      </w:r>
    </w:p>
    <w:p w14:paraId="78764095">
      <w:pPr>
        <w:pStyle w:val="3"/>
        <w:spacing w:before="0" w:line="360" w:lineRule="auto"/>
        <w:jc w:val="left"/>
        <w:rPr>
          <w:rFonts w:ascii="Times New Roman" w:hAnsi="Times New Roman" w:eastAsia="宋体"/>
          <w:sz w:val="24"/>
          <w:szCs w:val="24"/>
        </w:rPr>
      </w:pPr>
      <w:bookmarkStart w:id="36" w:name="_Toc28359085"/>
      <w:bookmarkStart w:id="37" w:name="_Toc35393796"/>
      <w:bookmarkStart w:id="38" w:name="_Toc35393627"/>
      <w:bookmarkStart w:id="39" w:name="_Toc28359008"/>
      <w:r>
        <w:rPr>
          <w:rFonts w:ascii="Times New Roman" w:hAnsi="Times New Roman" w:eastAsia="宋体"/>
          <w:sz w:val="24"/>
          <w:szCs w:val="24"/>
        </w:rPr>
        <w:t>八、对本项目提出询问，请按以下方式联系。</w:t>
      </w:r>
      <w:bookmarkEnd w:id="36"/>
      <w:bookmarkEnd w:id="37"/>
      <w:bookmarkEnd w:id="38"/>
      <w:bookmarkEnd w:id="39"/>
    </w:p>
    <w:p w14:paraId="00B18DFD">
      <w:pPr>
        <w:spacing w:line="360" w:lineRule="auto"/>
        <w:ind w:left="1078" w:leftChars="371" w:hanging="299" w:hangingChars="124"/>
        <w:jc w:val="left"/>
        <w:rPr>
          <w:b/>
          <w:sz w:val="24"/>
        </w:rPr>
      </w:pPr>
      <w:r>
        <w:rPr>
          <w:b/>
          <w:sz w:val="24"/>
        </w:rPr>
        <w:t>1.采购人信息</w:t>
      </w:r>
    </w:p>
    <w:p w14:paraId="3FF52EC2">
      <w:pPr>
        <w:spacing w:line="360" w:lineRule="auto"/>
        <w:ind w:left="1079" w:leftChars="371" w:hanging="300" w:hangingChars="125"/>
        <w:jc w:val="left"/>
        <w:rPr>
          <w:sz w:val="24"/>
        </w:rPr>
      </w:pPr>
      <w:bookmarkStart w:id="40" w:name="_Toc28359009"/>
      <w:bookmarkStart w:id="41" w:name="_Toc28359086"/>
      <w:r>
        <w:rPr>
          <w:sz w:val="24"/>
        </w:rPr>
        <w:t>名    称：</w:t>
      </w:r>
      <w:r>
        <w:rPr>
          <w:rFonts w:hint="eastAsia"/>
          <w:sz w:val="24"/>
        </w:rPr>
        <w:t>北京工业职业技术学院</w:t>
      </w:r>
    </w:p>
    <w:p w14:paraId="726DB8A9">
      <w:pPr>
        <w:spacing w:line="360" w:lineRule="auto"/>
        <w:ind w:left="1079" w:leftChars="371" w:hanging="300" w:hangingChars="125"/>
        <w:jc w:val="left"/>
        <w:rPr>
          <w:rFonts w:hint="eastAsia"/>
          <w:sz w:val="24"/>
        </w:rPr>
      </w:pPr>
      <w:r>
        <w:rPr>
          <w:sz w:val="24"/>
        </w:rPr>
        <w:t>地    址：</w:t>
      </w:r>
      <w:r>
        <w:rPr>
          <w:rFonts w:hint="eastAsia"/>
          <w:sz w:val="24"/>
        </w:rPr>
        <w:t>北京市石景山区石门路368号</w:t>
      </w:r>
    </w:p>
    <w:p w14:paraId="3869AEEB">
      <w:pPr>
        <w:spacing w:line="360" w:lineRule="auto"/>
        <w:ind w:left="1079" w:leftChars="371" w:hanging="300" w:hangingChars="125"/>
        <w:jc w:val="left"/>
        <w:rPr>
          <w:rFonts w:ascii="宋体" w:hAnsi="宋体"/>
          <w:sz w:val="24"/>
          <w:szCs w:val="20"/>
        </w:rPr>
      </w:pPr>
      <w:r>
        <w:rPr>
          <w:sz w:val="24"/>
        </w:rPr>
        <w:t>联系方式：</w:t>
      </w:r>
      <w:r>
        <w:rPr>
          <w:rFonts w:hint="eastAsia"/>
          <w:sz w:val="24"/>
        </w:rPr>
        <w:t>窦老师，010-61801150</w:t>
      </w:r>
    </w:p>
    <w:p w14:paraId="0B777A2E">
      <w:pPr>
        <w:spacing w:line="360" w:lineRule="auto"/>
        <w:ind w:left="1078" w:leftChars="371" w:hanging="299" w:hangingChars="124"/>
        <w:jc w:val="left"/>
        <w:rPr>
          <w:b/>
          <w:sz w:val="24"/>
        </w:rPr>
      </w:pPr>
      <w:r>
        <w:rPr>
          <w:b/>
          <w:sz w:val="24"/>
        </w:rPr>
        <w:t>2.采购代理机构信息</w:t>
      </w:r>
      <w:bookmarkEnd w:id="40"/>
      <w:bookmarkEnd w:id="41"/>
    </w:p>
    <w:p w14:paraId="44F2F234">
      <w:pPr>
        <w:spacing w:line="360" w:lineRule="auto"/>
        <w:ind w:left="1076" w:leftChars="371" w:hanging="297" w:hangingChars="124"/>
        <w:jc w:val="left"/>
        <w:rPr>
          <w:sz w:val="24"/>
        </w:rPr>
      </w:pPr>
      <w:bookmarkStart w:id="42" w:name="_Toc28359087"/>
      <w:bookmarkStart w:id="43" w:name="_Toc28359010"/>
      <w:r>
        <w:rPr>
          <w:sz w:val="24"/>
        </w:rPr>
        <w:t>名    称：</w:t>
      </w:r>
      <w:r>
        <w:rPr>
          <w:rFonts w:hint="eastAsia" w:ascii="宋体" w:hAnsi="宋体"/>
          <w:sz w:val="24"/>
        </w:rPr>
        <w:t>北京宏信天诚国际招标有限公司</w:t>
      </w:r>
    </w:p>
    <w:p w14:paraId="2EECDCCA">
      <w:pPr>
        <w:spacing w:line="360" w:lineRule="auto"/>
        <w:ind w:left="1076" w:leftChars="371" w:hanging="297" w:hangingChars="124"/>
        <w:jc w:val="left"/>
        <w:rPr>
          <w:sz w:val="24"/>
        </w:rPr>
      </w:pPr>
      <w:r>
        <w:rPr>
          <w:sz w:val="24"/>
        </w:rPr>
        <w:t>地    址：</w:t>
      </w:r>
      <w:r>
        <w:rPr>
          <w:rFonts w:hint="eastAsia" w:ascii="宋体" w:hAnsi="宋体"/>
          <w:sz w:val="24"/>
        </w:rPr>
        <w:t>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607A34DF">
      <w:pPr>
        <w:spacing w:line="360" w:lineRule="auto"/>
        <w:ind w:left="1076" w:leftChars="371" w:hanging="297" w:hangingChars="124"/>
        <w:jc w:val="left"/>
        <w:rPr>
          <w:sz w:val="24"/>
          <w:u w:val="single"/>
        </w:rPr>
      </w:pPr>
      <w:r>
        <w:rPr>
          <w:sz w:val="24"/>
        </w:rPr>
        <w:t>联系方式：</w:t>
      </w:r>
      <w:r>
        <w:rPr>
          <w:rFonts w:hint="eastAsia" w:ascii="宋体" w:hAnsi="宋体"/>
          <w:sz w:val="24"/>
        </w:rPr>
        <w:t>闫文娟、</w:t>
      </w:r>
      <w:r>
        <w:rPr>
          <w:rFonts w:hint="eastAsia" w:ascii="宋体" w:hAnsi="宋体"/>
          <w:sz w:val="24"/>
          <w:lang w:val="en-US" w:eastAsia="zh-CN"/>
        </w:rPr>
        <w:t>黄艳、</w:t>
      </w:r>
      <w:r>
        <w:rPr>
          <w:rFonts w:hint="eastAsia" w:ascii="宋体" w:hAnsi="宋体"/>
          <w:sz w:val="24"/>
        </w:rPr>
        <w:t>吉国侠、赵洁、刘京、</w:t>
      </w:r>
      <w:r>
        <w:rPr>
          <w:rFonts w:hint="eastAsia" w:ascii="宋体" w:hAnsi="宋体"/>
          <w:sz w:val="24"/>
          <w:lang w:eastAsia="zh-CN"/>
        </w:rPr>
        <w:t>彭怡</w:t>
      </w:r>
      <w:r>
        <w:rPr>
          <w:rFonts w:hint="eastAsia" w:ascii="宋体" w:hAnsi="宋体"/>
          <w:sz w:val="24"/>
        </w:rPr>
        <w:t>、姬小雪、吴众为、修海龙、陈博维、孙银英、王思晨、成歌</w:t>
      </w:r>
      <w:r>
        <w:rPr>
          <w:rFonts w:hint="eastAsia" w:ascii="宋体" w:hAnsi="宋体"/>
          <w:sz w:val="24"/>
          <w:lang w:eastAsia="zh-CN"/>
        </w:rPr>
        <w:t>、</w:t>
      </w:r>
      <w:r>
        <w:rPr>
          <w:rFonts w:hint="eastAsia" w:ascii="宋体" w:hAnsi="宋体"/>
          <w:sz w:val="24"/>
          <w:lang w:val="en-US" w:eastAsia="zh-CN"/>
        </w:rPr>
        <w:t>王东衍、郝路、刘海英、孙佳</w:t>
      </w:r>
      <w:r>
        <w:rPr>
          <w:rFonts w:hint="eastAsia" w:ascii="宋体" w:hAnsi="宋体"/>
          <w:sz w:val="24"/>
        </w:rPr>
        <w:t>,</w:t>
      </w:r>
      <w:r>
        <w:rPr>
          <w:rFonts w:ascii="宋体" w:hAnsi="宋体"/>
          <w:sz w:val="24"/>
        </w:rPr>
        <w:t xml:space="preserve"> </w:t>
      </w:r>
      <w:r>
        <w:rPr>
          <w:rFonts w:hint="eastAsia" w:ascii="宋体" w:hAnsi="宋体"/>
          <w:sz w:val="24"/>
        </w:rPr>
        <w:t>010-</w:t>
      </w:r>
      <w:r>
        <w:rPr>
          <w:rFonts w:hint="eastAsia" w:ascii="宋体" w:hAnsi="宋体"/>
          <w:sz w:val="24"/>
          <w:lang w:eastAsia="zh-CN"/>
        </w:rPr>
        <w:t>63974645</w:t>
      </w:r>
      <w:r>
        <w:rPr>
          <w:rFonts w:hint="eastAsia" w:ascii="宋体" w:hAnsi="宋体"/>
          <w:sz w:val="24"/>
        </w:rPr>
        <w:t>、</w:t>
      </w:r>
      <w:r>
        <w:rPr>
          <w:rFonts w:hint="eastAsia" w:ascii="宋体" w:hAnsi="宋体"/>
          <w:sz w:val="24"/>
          <w:szCs w:val="20"/>
        </w:rPr>
        <w:t>010-63969957</w:t>
      </w:r>
    </w:p>
    <w:p w14:paraId="6A937831">
      <w:pPr>
        <w:spacing w:line="360" w:lineRule="auto"/>
        <w:ind w:left="1078" w:leftChars="371" w:hanging="299" w:hangingChars="124"/>
        <w:rPr>
          <w:b/>
          <w:sz w:val="24"/>
          <w:u w:val="single"/>
        </w:rPr>
      </w:pPr>
      <w:r>
        <w:rPr>
          <w:b/>
          <w:sz w:val="24"/>
        </w:rPr>
        <w:t>3.项目联系方式</w:t>
      </w:r>
      <w:bookmarkEnd w:id="42"/>
      <w:bookmarkEnd w:id="43"/>
    </w:p>
    <w:p w14:paraId="694ED243">
      <w:pPr>
        <w:spacing w:line="360" w:lineRule="auto"/>
        <w:ind w:left="1076" w:leftChars="371" w:hanging="297" w:hangingChars="124"/>
        <w:jc w:val="left"/>
        <w:rPr>
          <w:rFonts w:hint="default" w:ascii="宋体" w:hAnsi="宋体" w:eastAsia="宋体"/>
          <w:sz w:val="24"/>
          <w:lang w:val="en-US" w:eastAsia="zh-CN"/>
        </w:rPr>
      </w:pPr>
      <w:r>
        <w:rPr>
          <w:rFonts w:ascii="宋体" w:hAnsi="宋体"/>
          <w:sz w:val="24"/>
        </w:rPr>
        <w:t>项目联系人：</w:t>
      </w:r>
      <w:r>
        <w:rPr>
          <w:rFonts w:hint="eastAsia"/>
          <w:sz w:val="24"/>
        </w:rPr>
        <w:t>闫文娟</w:t>
      </w:r>
      <w:r>
        <w:rPr>
          <w:rFonts w:hint="eastAsia" w:ascii="宋体" w:hAnsi="宋体"/>
          <w:sz w:val="24"/>
        </w:rPr>
        <w:t>、</w:t>
      </w:r>
      <w:r>
        <w:rPr>
          <w:rFonts w:hint="eastAsia" w:ascii="宋体" w:hAnsi="宋体"/>
          <w:sz w:val="24"/>
          <w:lang w:val="en-US" w:eastAsia="zh-CN"/>
        </w:rPr>
        <w:t>黄艳</w:t>
      </w:r>
      <w:r>
        <w:rPr>
          <w:rFonts w:hint="eastAsia" w:ascii="宋体" w:hAnsi="宋体"/>
          <w:sz w:val="24"/>
        </w:rPr>
        <w:t>、</w:t>
      </w:r>
      <w:r>
        <w:rPr>
          <w:rFonts w:hint="eastAsia" w:ascii="宋体" w:hAnsi="宋体"/>
          <w:sz w:val="24"/>
          <w:lang w:eastAsia="zh-CN"/>
        </w:rPr>
        <w:t>彭怡</w:t>
      </w:r>
      <w:r>
        <w:rPr>
          <w:rFonts w:hint="eastAsia" w:ascii="宋体" w:hAnsi="宋体"/>
          <w:sz w:val="24"/>
          <w:lang w:val="en-US" w:eastAsia="zh-CN"/>
        </w:rPr>
        <w:t>；</w:t>
      </w:r>
    </w:p>
    <w:p w14:paraId="6038FC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b/>
          <w:sz w:val="36"/>
          <w:szCs w:val="36"/>
        </w:rPr>
      </w:pPr>
      <w:r>
        <w:rPr>
          <w:rFonts w:ascii="宋体" w:hAnsi="宋体"/>
          <w:sz w:val="24"/>
        </w:rPr>
        <w:t>电      话：</w:t>
      </w:r>
      <w:r>
        <w:rPr>
          <w:rFonts w:hint="eastAsia" w:ascii="宋体" w:hAnsi="宋体"/>
          <w:sz w:val="24"/>
          <w:szCs w:val="20"/>
        </w:rPr>
        <w:t>010-</w:t>
      </w:r>
      <w:r>
        <w:rPr>
          <w:rFonts w:hint="eastAsia" w:ascii="宋体" w:hAnsi="宋体"/>
          <w:sz w:val="24"/>
          <w:szCs w:val="20"/>
          <w:lang w:eastAsia="zh-CN"/>
        </w:rPr>
        <w:t>63974645</w:t>
      </w:r>
      <w:r>
        <w:rPr>
          <w:rFonts w:hint="eastAsia" w:ascii="宋体" w:hAnsi="宋体"/>
          <w:sz w:val="24"/>
          <w:szCs w:val="20"/>
        </w:rPr>
        <w:t>（项目报名）；010-63969957（项目咨询）</w:t>
      </w:r>
      <w:r>
        <w:rPr>
          <w:sz w:val="24"/>
        </w:rPr>
        <w:br w:type="page"/>
      </w:r>
      <w:bookmarkStart w:id="44" w:name="_Toc97371942"/>
      <w:bookmarkStart w:id="45" w:name="_Toc127161488"/>
      <w:bookmarkStart w:id="46" w:name="_Toc512937850"/>
      <w:bookmarkStart w:id="47" w:name="_Toc127151777"/>
      <w:bookmarkStart w:id="48" w:name="_Toc150774783"/>
      <w:bookmarkStart w:id="49" w:name="_Toc265228423"/>
      <w:bookmarkStart w:id="50" w:name="_Toc305158928"/>
      <w:bookmarkStart w:id="51" w:name="_Toc264969275"/>
      <w:bookmarkStart w:id="52" w:name="_Toc353873938"/>
      <w:bookmarkStart w:id="53" w:name="_Toc305158854"/>
      <w:bookmarkStart w:id="54" w:name="_Toc226965856"/>
      <w:bookmarkStart w:id="55" w:name="_Toc353825548"/>
      <w:bookmarkStart w:id="56" w:name="_Toc195842950"/>
      <w:r>
        <w:rPr>
          <w:rFonts w:ascii="Times New Roman" w:hAnsi="Times New Roman" w:eastAsia="宋体" w:cs="Times New Roman"/>
          <w:b/>
          <w:sz w:val="36"/>
          <w:szCs w:val="36"/>
        </w:rPr>
        <w:t>第二章   供应商须知</w:t>
      </w:r>
      <w:bookmarkEnd w:id="44"/>
      <w:bookmarkEnd w:id="45"/>
      <w:bookmarkEnd w:id="46"/>
      <w:bookmarkEnd w:id="47"/>
      <w:bookmarkEnd w:id="48"/>
      <w:bookmarkEnd w:id="49"/>
      <w:bookmarkEnd w:id="50"/>
      <w:bookmarkEnd w:id="51"/>
      <w:bookmarkEnd w:id="52"/>
      <w:bookmarkEnd w:id="53"/>
      <w:bookmarkEnd w:id="54"/>
      <w:bookmarkEnd w:id="55"/>
      <w:bookmarkEnd w:id="56"/>
    </w:p>
    <w:p w14:paraId="570D09EF">
      <w:pPr>
        <w:pStyle w:val="3"/>
        <w:tabs>
          <w:tab w:val="center" w:pos="4592"/>
          <w:tab w:val="left" w:pos="7860"/>
        </w:tabs>
        <w:spacing w:before="0" w:line="360" w:lineRule="auto"/>
        <w:rPr>
          <w:rFonts w:ascii="Times New Roman" w:hAnsi="Times New Roman" w:eastAsia="宋体"/>
          <w:b w:val="0"/>
          <w:sz w:val="28"/>
        </w:rPr>
      </w:pPr>
      <w:bookmarkStart w:id="57" w:name="_Toc226965709"/>
      <w:bookmarkStart w:id="58" w:name="_Toc151193833"/>
      <w:bookmarkStart w:id="59" w:name="_Toc164229214"/>
      <w:bookmarkStart w:id="60" w:name="_Toc164608633"/>
      <w:bookmarkStart w:id="61" w:name="_Toc151193761"/>
      <w:bookmarkStart w:id="62" w:name="_Toc226965792"/>
      <w:bookmarkStart w:id="63" w:name="_Toc127151720"/>
      <w:bookmarkStart w:id="64" w:name="_Toc149720812"/>
      <w:bookmarkStart w:id="65" w:name="_Toc150509270"/>
      <w:bookmarkStart w:id="66" w:name="_Toc151190146"/>
      <w:bookmarkStart w:id="67" w:name="_Toc151193617"/>
      <w:bookmarkStart w:id="68" w:name="_Toc150480757"/>
      <w:bookmarkStart w:id="69" w:name="_Toc127161433"/>
      <w:bookmarkStart w:id="70" w:name="_Toc164608788"/>
      <w:bookmarkStart w:id="71" w:name="_Toc164229360"/>
      <w:bookmarkStart w:id="72" w:name="_Toc150774724"/>
      <w:bookmarkStart w:id="73" w:name="_Toc226337215"/>
      <w:bookmarkStart w:id="74" w:name="_Toc151193907"/>
      <w:bookmarkStart w:id="75" w:name="_Toc195842884"/>
      <w:bookmarkStart w:id="76" w:name="_Toc164351613"/>
      <w:bookmarkStart w:id="77" w:name="_Toc142311021"/>
      <w:bookmarkStart w:id="78" w:name="_Toc151193689"/>
      <w:bookmarkStart w:id="79" w:name="_Toc226309763"/>
      <w:bookmarkStart w:id="80" w:name="_Toc150774619"/>
      <w:bookmarkStart w:id="81" w:name="_Toc520356144"/>
      <w:bookmarkStart w:id="82" w:name="_Toc127151519"/>
      <w:r>
        <w:rPr>
          <w:rFonts w:ascii="Times New Roman" w:hAnsi="Times New Roman" w:eastAsia="宋体"/>
          <w:sz w:val="28"/>
        </w:rPr>
        <w:t>供应商须知资料表</w:t>
      </w:r>
    </w:p>
    <w:p w14:paraId="28EDE88E">
      <w:pPr>
        <w:jc w:val="center"/>
        <w:rPr>
          <w:b/>
          <w:sz w:val="28"/>
          <w:szCs w:val="28"/>
        </w:rPr>
      </w:pPr>
    </w:p>
    <w:p w14:paraId="74A8701C">
      <w:pPr>
        <w:spacing w:line="360" w:lineRule="auto"/>
        <w:ind w:firstLine="480"/>
        <w:rPr>
          <w:sz w:val="24"/>
        </w:rPr>
      </w:pPr>
      <w:r>
        <w:rPr>
          <w:sz w:val="24"/>
        </w:rPr>
        <w:t>本表是对供应商须知的具体补充和修改，如有矛盾，均以本资料表为准。标记“</w:t>
      </w:r>
      <w:r>
        <w:rPr>
          <w:b/>
          <w:sz w:val="24"/>
        </w:rPr>
        <w:t>■</w:t>
      </w:r>
      <w:r>
        <w:rPr>
          <w:sz w:val="24"/>
        </w:rPr>
        <w:t>”的选项意为适用于本项目，标记“</w:t>
      </w:r>
      <w:r>
        <w:t>□</w:t>
      </w:r>
      <w:r>
        <w:rPr>
          <w:sz w:val="24"/>
        </w:rPr>
        <w:t>”的选项意为不适用于本项目。</w:t>
      </w:r>
    </w:p>
    <w:tbl>
      <w:tblPr>
        <w:tblStyle w:val="46"/>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526"/>
        <w:gridCol w:w="6900"/>
      </w:tblGrid>
      <w:tr w14:paraId="7F97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48" w:type="pct"/>
            <w:noWrap w:val="0"/>
            <w:vAlign w:val="center"/>
          </w:tcPr>
          <w:p w14:paraId="3B75EA5D">
            <w:pPr>
              <w:jc w:val="center"/>
              <w:rPr>
                <w:b/>
                <w:bCs/>
                <w:sz w:val="24"/>
              </w:rPr>
            </w:pPr>
            <w:r>
              <w:rPr>
                <w:b/>
                <w:sz w:val="24"/>
              </w:rPr>
              <w:t>条款号</w:t>
            </w:r>
          </w:p>
        </w:tc>
        <w:tc>
          <w:tcPr>
            <w:tcW w:w="806" w:type="pct"/>
            <w:noWrap w:val="0"/>
            <w:vAlign w:val="center"/>
          </w:tcPr>
          <w:p w14:paraId="2C25BC50">
            <w:pPr>
              <w:jc w:val="center"/>
              <w:rPr>
                <w:b/>
                <w:bCs/>
                <w:sz w:val="24"/>
              </w:rPr>
            </w:pPr>
            <w:r>
              <w:rPr>
                <w:b/>
                <w:bCs/>
                <w:sz w:val="24"/>
              </w:rPr>
              <w:t>条目</w:t>
            </w:r>
          </w:p>
        </w:tc>
        <w:tc>
          <w:tcPr>
            <w:tcW w:w="3644" w:type="pct"/>
            <w:noWrap w:val="0"/>
            <w:vAlign w:val="center"/>
          </w:tcPr>
          <w:p w14:paraId="28B419DF">
            <w:pPr>
              <w:jc w:val="center"/>
              <w:rPr>
                <w:b/>
                <w:bCs/>
                <w:sz w:val="24"/>
              </w:rPr>
            </w:pPr>
            <w:r>
              <w:rPr>
                <w:b/>
                <w:bCs/>
                <w:sz w:val="24"/>
              </w:rPr>
              <w:t>内容</w:t>
            </w:r>
          </w:p>
        </w:tc>
      </w:tr>
      <w:tr w14:paraId="2720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6C53731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806" w:type="pct"/>
            <w:noWrap w:val="0"/>
            <w:vAlign w:val="center"/>
          </w:tcPr>
          <w:p w14:paraId="6D3E5308">
            <w:pPr>
              <w:jc w:val="center"/>
              <w:rPr>
                <w:sz w:val="24"/>
              </w:rPr>
            </w:pPr>
            <w:r>
              <w:rPr>
                <w:sz w:val="24"/>
              </w:rPr>
              <w:t>项目属性</w:t>
            </w:r>
          </w:p>
        </w:tc>
        <w:tc>
          <w:tcPr>
            <w:tcW w:w="3644" w:type="pct"/>
            <w:noWrap w:val="0"/>
            <w:vAlign w:val="center"/>
          </w:tcPr>
          <w:p w14:paraId="103BEDF3">
            <w:pPr>
              <w:jc w:val="left"/>
              <w:rPr>
                <w:sz w:val="24"/>
              </w:rPr>
            </w:pPr>
            <w:r>
              <w:rPr>
                <w:sz w:val="24"/>
              </w:rPr>
              <w:t>项目属性：</w:t>
            </w:r>
          </w:p>
          <w:p w14:paraId="0F24A5CC">
            <w:pPr>
              <w:jc w:val="left"/>
              <w:rPr>
                <w:sz w:val="24"/>
              </w:rPr>
            </w:pPr>
            <w:r>
              <w:t>□</w:t>
            </w:r>
            <w:r>
              <w:rPr>
                <w:sz w:val="24"/>
              </w:rPr>
              <w:t>服务</w:t>
            </w:r>
          </w:p>
          <w:p w14:paraId="285C2870">
            <w:pPr>
              <w:jc w:val="left"/>
              <w:rPr>
                <w:sz w:val="24"/>
              </w:rPr>
            </w:pPr>
            <w:r>
              <w:t>□</w:t>
            </w:r>
            <w:r>
              <w:rPr>
                <w:sz w:val="24"/>
              </w:rPr>
              <w:t>货物</w:t>
            </w:r>
          </w:p>
          <w:p w14:paraId="35B2FB32">
            <w:pPr>
              <w:jc w:val="left"/>
              <w:rPr>
                <w:sz w:val="24"/>
                <w:u w:val="single"/>
              </w:rPr>
            </w:pPr>
            <w:r>
              <w:rPr>
                <w:b/>
                <w:sz w:val="24"/>
              </w:rPr>
              <w:t>■</w:t>
            </w:r>
            <w:r>
              <w:rPr>
                <w:rFonts w:hint="eastAsia"/>
                <w:sz w:val="24"/>
              </w:rPr>
              <w:t>工程</w:t>
            </w:r>
          </w:p>
        </w:tc>
      </w:tr>
      <w:tr w14:paraId="006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258040E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806" w:type="pct"/>
            <w:noWrap w:val="0"/>
            <w:vAlign w:val="center"/>
          </w:tcPr>
          <w:p w14:paraId="7EA7ED09">
            <w:pPr>
              <w:jc w:val="center"/>
              <w:rPr>
                <w:sz w:val="24"/>
              </w:rPr>
            </w:pPr>
            <w:r>
              <w:rPr>
                <w:sz w:val="24"/>
              </w:rPr>
              <w:t>科研仪器设备</w:t>
            </w:r>
          </w:p>
        </w:tc>
        <w:tc>
          <w:tcPr>
            <w:tcW w:w="3644" w:type="pct"/>
            <w:noWrap w:val="0"/>
            <w:vAlign w:val="center"/>
          </w:tcPr>
          <w:p w14:paraId="26EDFC17">
            <w:pPr>
              <w:jc w:val="left"/>
              <w:rPr>
                <w:sz w:val="24"/>
              </w:rPr>
            </w:pPr>
            <w:r>
              <w:rPr>
                <w:sz w:val="24"/>
              </w:rPr>
              <w:t>是否属于科研仪器设备采购项目：</w:t>
            </w:r>
          </w:p>
          <w:p w14:paraId="328D2708">
            <w:pPr>
              <w:jc w:val="left"/>
              <w:rPr>
                <w:sz w:val="24"/>
              </w:rPr>
            </w:pPr>
            <w:r>
              <w:t>□</w:t>
            </w:r>
            <w:r>
              <w:rPr>
                <w:sz w:val="24"/>
              </w:rPr>
              <w:t>是</w:t>
            </w:r>
          </w:p>
          <w:p w14:paraId="175ED15D">
            <w:pPr>
              <w:jc w:val="left"/>
              <w:rPr>
                <w:sz w:val="24"/>
              </w:rPr>
            </w:pPr>
            <w:r>
              <w:rPr>
                <w:b/>
                <w:sz w:val="24"/>
              </w:rPr>
              <w:t>■</w:t>
            </w:r>
            <w:r>
              <w:rPr>
                <w:sz w:val="24"/>
              </w:rPr>
              <w:t>否</w:t>
            </w:r>
          </w:p>
        </w:tc>
      </w:tr>
      <w:tr w14:paraId="0CD6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vMerge w:val="restart"/>
            <w:noWrap w:val="0"/>
            <w:vAlign w:val="center"/>
          </w:tcPr>
          <w:p w14:paraId="0B4DB8E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806" w:type="pct"/>
            <w:noWrap w:val="0"/>
            <w:vAlign w:val="center"/>
          </w:tcPr>
          <w:p w14:paraId="77D524D8">
            <w:pPr>
              <w:jc w:val="center"/>
              <w:rPr>
                <w:sz w:val="24"/>
              </w:rPr>
            </w:pPr>
            <w:r>
              <w:rPr>
                <w:rFonts w:eastAsia="宋体"/>
                <w:sz w:val="24"/>
              </w:rPr>
              <w:t>现场考察</w:t>
            </w:r>
          </w:p>
        </w:tc>
        <w:tc>
          <w:tcPr>
            <w:tcW w:w="3644" w:type="pct"/>
            <w:noWrap w:val="0"/>
            <w:vAlign w:val="center"/>
          </w:tcPr>
          <w:p w14:paraId="02B617B9">
            <w:pPr>
              <w:jc w:val="left"/>
              <w:rPr>
                <w:rFonts w:eastAsia="宋体"/>
                <w:sz w:val="24"/>
              </w:rPr>
            </w:pPr>
            <w:r>
              <w:rPr>
                <w:b/>
                <w:sz w:val="24"/>
              </w:rPr>
              <w:t>■</w:t>
            </w:r>
            <w:r>
              <w:rPr>
                <w:rFonts w:eastAsia="宋体"/>
                <w:sz w:val="24"/>
              </w:rPr>
              <w:t>不组织</w:t>
            </w:r>
          </w:p>
          <w:p w14:paraId="30394C5A">
            <w:pPr>
              <w:jc w:val="left"/>
              <w:rPr>
                <w:rFonts w:eastAsia="宋体"/>
                <w:bCs/>
                <w:sz w:val="24"/>
              </w:rPr>
            </w:pPr>
            <w:r>
              <w:rPr>
                <w:rFonts w:eastAsia="宋体"/>
              </w:rPr>
              <w:t>□</w:t>
            </w:r>
            <w:r>
              <w:rPr>
                <w:rFonts w:eastAsia="宋体"/>
                <w:sz w:val="24"/>
              </w:rPr>
              <w:t>组织，考察时间：</w:t>
            </w:r>
            <w:r>
              <w:rPr>
                <w:rFonts w:hint="eastAsia" w:eastAsia="宋体"/>
                <w:sz w:val="24"/>
                <w:u w:val="single"/>
              </w:rPr>
              <w:t xml:space="preserve">  \  </w:t>
            </w:r>
            <w:r>
              <w:rPr>
                <w:rFonts w:eastAsia="宋体"/>
                <w:sz w:val="24"/>
                <w:lang w:bidi="ar"/>
              </w:rPr>
              <w:t>年</w:t>
            </w:r>
            <w:r>
              <w:rPr>
                <w:rFonts w:hint="eastAsia" w:eastAsia="宋体"/>
                <w:sz w:val="24"/>
                <w:u w:val="single"/>
              </w:rPr>
              <w:t xml:space="preserve">  \  </w:t>
            </w:r>
            <w:r>
              <w:rPr>
                <w:rFonts w:eastAsia="宋体"/>
                <w:sz w:val="24"/>
                <w:lang w:bidi="ar"/>
              </w:rPr>
              <w:t>月</w:t>
            </w:r>
            <w:r>
              <w:rPr>
                <w:rFonts w:hint="eastAsia" w:eastAsia="宋体"/>
                <w:sz w:val="24"/>
                <w:u w:val="single"/>
              </w:rPr>
              <w:t xml:space="preserve">  \  </w:t>
            </w:r>
            <w:r>
              <w:rPr>
                <w:rFonts w:eastAsia="宋体"/>
                <w:sz w:val="24"/>
                <w:lang w:bidi="ar"/>
              </w:rPr>
              <w:t>日</w:t>
            </w:r>
            <w:r>
              <w:rPr>
                <w:rFonts w:hint="eastAsia" w:eastAsia="宋体"/>
                <w:sz w:val="24"/>
                <w:u w:val="single"/>
              </w:rPr>
              <w:t xml:space="preserve">  \  </w:t>
            </w:r>
            <w:r>
              <w:rPr>
                <w:rFonts w:eastAsia="宋体"/>
                <w:sz w:val="24"/>
                <w:lang w:bidi="ar"/>
              </w:rPr>
              <w:t>点</w:t>
            </w:r>
            <w:r>
              <w:rPr>
                <w:rFonts w:hint="eastAsia" w:eastAsia="宋体"/>
                <w:sz w:val="24"/>
                <w:u w:val="single"/>
              </w:rPr>
              <w:t xml:space="preserve">  \  </w:t>
            </w:r>
            <w:r>
              <w:rPr>
                <w:rFonts w:eastAsia="宋体"/>
                <w:sz w:val="24"/>
                <w:lang w:bidi="ar"/>
              </w:rPr>
              <w:t>分</w:t>
            </w:r>
          </w:p>
          <w:p w14:paraId="20B41431">
            <w:pPr>
              <w:pStyle w:val="24"/>
              <w:adjustRightInd w:val="0"/>
              <w:snapToGrid w:val="0"/>
              <w:rPr>
                <w:rFonts w:hint="default" w:ascii="Times New Roman" w:hAnsi="Times New Roman"/>
                <w:sz w:val="24"/>
                <w:szCs w:val="24"/>
              </w:rPr>
            </w:pPr>
            <w:r>
              <w:rPr>
                <w:rFonts w:hint="default" w:ascii="Times New Roman" w:hAnsi="Times New Roman" w:eastAsia="宋体"/>
                <w:sz w:val="24"/>
              </w:rPr>
              <w:t>考察地点：</w:t>
            </w:r>
            <w:r>
              <w:rPr>
                <w:rFonts w:eastAsia="宋体"/>
                <w:sz w:val="24"/>
                <w:u w:val="single"/>
              </w:rPr>
              <w:t xml:space="preserve">  \  </w:t>
            </w:r>
            <w:r>
              <w:rPr>
                <w:rFonts w:hint="default" w:ascii="Times New Roman" w:hAnsi="Times New Roman" w:eastAsia="宋体"/>
                <w:sz w:val="24"/>
              </w:rPr>
              <w:t>。</w:t>
            </w:r>
          </w:p>
        </w:tc>
      </w:tr>
      <w:tr w14:paraId="009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vMerge w:val="continue"/>
            <w:noWrap w:val="0"/>
            <w:vAlign w:val="center"/>
          </w:tcPr>
          <w:p w14:paraId="52988996">
            <w:pPr>
              <w:pStyle w:val="24"/>
              <w:adjustRightInd w:val="0"/>
              <w:snapToGrid w:val="0"/>
              <w:jc w:val="center"/>
              <w:rPr>
                <w:rFonts w:hint="default" w:ascii="Times New Roman" w:hAnsi="Times New Roman"/>
                <w:sz w:val="24"/>
                <w:szCs w:val="24"/>
              </w:rPr>
            </w:pPr>
          </w:p>
        </w:tc>
        <w:tc>
          <w:tcPr>
            <w:tcW w:w="806" w:type="pct"/>
            <w:noWrap w:val="0"/>
            <w:vAlign w:val="center"/>
          </w:tcPr>
          <w:p w14:paraId="2E6E2AD7">
            <w:pPr>
              <w:jc w:val="center"/>
              <w:rPr>
                <w:sz w:val="24"/>
              </w:rPr>
            </w:pPr>
            <w:r>
              <w:rPr>
                <w:rFonts w:eastAsia="宋体"/>
                <w:sz w:val="24"/>
              </w:rPr>
              <w:t>磋商前答疑会</w:t>
            </w:r>
          </w:p>
        </w:tc>
        <w:tc>
          <w:tcPr>
            <w:tcW w:w="3644" w:type="pct"/>
            <w:noWrap w:val="0"/>
            <w:vAlign w:val="center"/>
          </w:tcPr>
          <w:p w14:paraId="1DB5835B">
            <w:pPr>
              <w:jc w:val="left"/>
              <w:rPr>
                <w:rFonts w:eastAsia="宋体"/>
                <w:sz w:val="24"/>
              </w:rPr>
            </w:pPr>
            <w:r>
              <w:rPr>
                <w:b/>
                <w:sz w:val="24"/>
              </w:rPr>
              <w:t>■</w:t>
            </w:r>
            <w:r>
              <w:rPr>
                <w:rFonts w:eastAsia="宋体"/>
                <w:sz w:val="24"/>
              </w:rPr>
              <w:t>不召开</w:t>
            </w:r>
          </w:p>
          <w:p w14:paraId="1FEE62F8">
            <w:pPr>
              <w:jc w:val="left"/>
              <w:rPr>
                <w:rFonts w:eastAsia="宋体"/>
                <w:sz w:val="24"/>
              </w:rPr>
            </w:pPr>
            <w:r>
              <w:rPr>
                <w:rFonts w:eastAsia="宋体"/>
              </w:rPr>
              <w:t>□</w:t>
            </w:r>
            <w:r>
              <w:rPr>
                <w:rFonts w:eastAsia="宋体"/>
                <w:sz w:val="24"/>
              </w:rPr>
              <w:t>召开，召开时间：</w:t>
            </w:r>
            <w:r>
              <w:rPr>
                <w:rFonts w:hint="eastAsia" w:eastAsia="宋体"/>
                <w:sz w:val="24"/>
                <w:u w:val="single"/>
              </w:rPr>
              <w:t xml:space="preserve">  \  </w:t>
            </w:r>
            <w:r>
              <w:rPr>
                <w:rFonts w:eastAsia="宋体"/>
                <w:sz w:val="24"/>
                <w:lang w:bidi="ar"/>
              </w:rPr>
              <w:t>年</w:t>
            </w:r>
            <w:r>
              <w:rPr>
                <w:rFonts w:hint="eastAsia" w:eastAsia="宋体"/>
                <w:sz w:val="24"/>
                <w:u w:val="single"/>
              </w:rPr>
              <w:t xml:space="preserve">  \  </w:t>
            </w:r>
            <w:r>
              <w:rPr>
                <w:rFonts w:eastAsia="宋体"/>
                <w:sz w:val="24"/>
                <w:lang w:bidi="ar"/>
              </w:rPr>
              <w:t>月</w:t>
            </w:r>
            <w:r>
              <w:rPr>
                <w:rFonts w:hint="eastAsia" w:eastAsia="宋体"/>
                <w:sz w:val="24"/>
                <w:u w:val="single"/>
              </w:rPr>
              <w:t xml:space="preserve">  \  </w:t>
            </w:r>
            <w:r>
              <w:rPr>
                <w:rFonts w:eastAsia="宋体"/>
                <w:sz w:val="24"/>
                <w:lang w:bidi="ar"/>
              </w:rPr>
              <w:t>日</w:t>
            </w:r>
            <w:r>
              <w:rPr>
                <w:rFonts w:hint="eastAsia" w:eastAsia="宋体"/>
                <w:sz w:val="24"/>
                <w:u w:val="single"/>
              </w:rPr>
              <w:t xml:space="preserve">  \  </w:t>
            </w:r>
            <w:r>
              <w:rPr>
                <w:rFonts w:eastAsia="宋体"/>
                <w:sz w:val="24"/>
                <w:lang w:bidi="ar"/>
              </w:rPr>
              <w:t>点</w:t>
            </w:r>
            <w:r>
              <w:rPr>
                <w:rFonts w:hint="eastAsia" w:eastAsia="宋体"/>
                <w:sz w:val="24"/>
                <w:u w:val="single"/>
              </w:rPr>
              <w:t xml:space="preserve">  \  </w:t>
            </w:r>
            <w:r>
              <w:rPr>
                <w:rFonts w:eastAsia="宋体"/>
                <w:sz w:val="24"/>
                <w:lang w:bidi="ar"/>
              </w:rPr>
              <w:t>分</w:t>
            </w:r>
          </w:p>
          <w:p w14:paraId="4BE47154">
            <w:pPr>
              <w:jc w:val="left"/>
              <w:rPr>
                <w:sz w:val="24"/>
              </w:rPr>
            </w:pPr>
            <w:r>
              <w:rPr>
                <w:rFonts w:eastAsia="宋体"/>
                <w:sz w:val="24"/>
              </w:rPr>
              <w:t>召开地点：</w:t>
            </w:r>
            <w:r>
              <w:rPr>
                <w:rFonts w:hint="eastAsia" w:eastAsia="宋体"/>
                <w:sz w:val="24"/>
                <w:u w:val="single"/>
              </w:rPr>
              <w:t xml:space="preserve">  \  </w:t>
            </w:r>
            <w:r>
              <w:rPr>
                <w:rFonts w:eastAsia="宋体"/>
                <w:sz w:val="24"/>
              </w:rPr>
              <w:t>。</w:t>
            </w:r>
          </w:p>
        </w:tc>
      </w:tr>
      <w:tr w14:paraId="32D0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48" w:type="pct"/>
            <w:noWrap w:val="0"/>
            <w:vAlign w:val="center"/>
          </w:tcPr>
          <w:p w14:paraId="2175095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806" w:type="pct"/>
            <w:noWrap w:val="0"/>
            <w:vAlign w:val="center"/>
          </w:tcPr>
          <w:p w14:paraId="1B1DCB5D">
            <w:pPr>
              <w:jc w:val="center"/>
              <w:rPr>
                <w:sz w:val="24"/>
              </w:rPr>
            </w:pPr>
            <w:r>
              <w:rPr>
                <w:sz w:val="24"/>
              </w:rPr>
              <w:t>标的所属行业</w:t>
            </w:r>
          </w:p>
        </w:tc>
        <w:tc>
          <w:tcPr>
            <w:tcW w:w="3644" w:type="pct"/>
            <w:noWrap w:val="0"/>
            <w:vAlign w:val="center"/>
          </w:tcPr>
          <w:p w14:paraId="6691C9C1">
            <w:pPr>
              <w:jc w:val="left"/>
              <w:rPr>
                <w:sz w:val="24"/>
              </w:rPr>
            </w:pPr>
            <w:r>
              <w:rPr>
                <w:sz w:val="24"/>
              </w:rPr>
              <w:t>本项目采购标的对应的中小企业划分标准所属行业：</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1855"/>
            </w:tblGrid>
            <w:tr w14:paraId="351D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610" w:type="pct"/>
                  <w:tcBorders>
                    <w:top w:val="single" w:color="auto" w:sz="4" w:space="0"/>
                    <w:left w:val="single" w:color="auto" w:sz="4" w:space="0"/>
                    <w:bottom w:val="single" w:color="auto" w:sz="4" w:space="0"/>
                    <w:right w:val="single" w:color="auto" w:sz="4" w:space="0"/>
                  </w:tcBorders>
                  <w:noWrap w:val="0"/>
                  <w:vAlign w:val="center"/>
                </w:tcPr>
                <w:p w14:paraId="2A994A24">
                  <w:pPr>
                    <w:jc w:val="center"/>
                    <w:rPr>
                      <w:bCs/>
                      <w:sz w:val="24"/>
                    </w:rPr>
                  </w:pPr>
                  <w:r>
                    <w:rPr>
                      <w:bCs/>
                      <w:sz w:val="24"/>
                    </w:rPr>
                    <w:t>标的名称</w:t>
                  </w:r>
                </w:p>
              </w:tc>
              <w:tc>
                <w:tcPr>
                  <w:tcW w:w="1389" w:type="pct"/>
                  <w:tcBorders>
                    <w:top w:val="single" w:color="auto" w:sz="4" w:space="0"/>
                    <w:left w:val="single" w:color="auto" w:sz="4" w:space="0"/>
                    <w:bottom w:val="single" w:color="auto" w:sz="4" w:space="0"/>
                    <w:right w:val="single" w:color="auto" w:sz="4" w:space="0"/>
                  </w:tcBorders>
                  <w:noWrap w:val="0"/>
                  <w:vAlign w:val="center"/>
                </w:tcPr>
                <w:p w14:paraId="207F2ACC">
                  <w:pPr>
                    <w:jc w:val="center"/>
                    <w:rPr>
                      <w:sz w:val="24"/>
                    </w:rPr>
                  </w:pPr>
                  <w:r>
                    <w:rPr>
                      <w:sz w:val="24"/>
                    </w:rPr>
                    <w:t>中小企业划分标准所属行业</w:t>
                  </w:r>
                </w:p>
              </w:tc>
            </w:tr>
            <w:tr w14:paraId="7AE8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0" w:type="pct"/>
                  <w:tcBorders>
                    <w:top w:val="single" w:color="auto" w:sz="4" w:space="0"/>
                    <w:left w:val="single" w:color="auto" w:sz="4" w:space="0"/>
                    <w:bottom w:val="single" w:color="auto" w:sz="4" w:space="0"/>
                    <w:right w:val="single" w:color="auto" w:sz="4" w:space="0"/>
                  </w:tcBorders>
                  <w:noWrap w:val="0"/>
                  <w:vAlign w:val="center"/>
                </w:tcPr>
                <w:p w14:paraId="72332C63">
                  <w:pPr>
                    <w:jc w:val="center"/>
                    <w:rPr>
                      <w:bCs/>
                      <w:sz w:val="24"/>
                    </w:rPr>
                  </w:pPr>
                  <w:r>
                    <w:rPr>
                      <w:rFonts w:hint="eastAsia"/>
                      <w:bCs/>
                      <w:sz w:val="24"/>
                      <w:lang w:eastAsia="zh-CN"/>
                    </w:rPr>
                    <w:t>北京工业职业技术学院改善办学保障条件---供电安全增容改造</w:t>
                  </w:r>
                </w:p>
              </w:tc>
              <w:tc>
                <w:tcPr>
                  <w:tcW w:w="1389" w:type="pct"/>
                  <w:tcBorders>
                    <w:top w:val="single" w:color="auto" w:sz="4" w:space="0"/>
                    <w:left w:val="single" w:color="auto" w:sz="4" w:space="0"/>
                    <w:bottom w:val="single" w:color="auto" w:sz="4" w:space="0"/>
                    <w:right w:val="single" w:color="auto" w:sz="4" w:space="0"/>
                  </w:tcBorders>
                  <w:noWrap w:val="0"/>
                  <w:vAlign w:val="center"/>
                </w:tcPr>
                <w:p w14:paraId="5DDE4A2B">
                  <w:pPr>
                    <w:jc w:val="center"/>
                    <w:rPr>
                      <w:rFonts w:hint="eastAsia" w:eastAsia="宋体"/>
                      <w:kern w:val="0"/>
                      <w:sz w:val="24"/>
                      <w:lang w:eastAsia="zh-CN"/>
                    </w:rPr>
                  </w:pPr>
                  <w:r>
                    <w:rPr>
                      <w:rFonts w:hint="eastAsia" w:eastAsia="宋体"/>
                      <w:b/>
                      <w:bCs/>
                      <w:kern w:val="0"/>
                      <w:sz w:val="24"/>
                      <w:u w:val="single"/>
                      <w:lang w:eastAsia="zh-CN"/>
                    </w:rPr>
                    <w:t>建筑业</w:t>
                  </w:r>
                </w:p>
              </w:tc>
            </w:tr>
          </w:tbl>
          <w:p w14:paraId="490DEF49">
            <w:pPr>
              <w:jc w:val="left"/>
              <w:rPr>
                <w:sz w:val="24"/>
              </w:rPr>
            </w:pPr>
          </w:p>
        </w:tc>
      </w:tr>
      <w:tr w14:paraId="369F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48" w:type="pct"/>
            <w:noWrap w:val="0"/>
            <w:vAlign w:val="center"/>
          </w:tcPr>
          <w:p w14:paraId="2ED06DF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806" w:type="pct"/>
            <w:noWrap w:val="0"/>
            <w:vAlign w:val="center"/>
          </w:tcPr>
          <w:p w14:paraId="68B41DF9">
            <w:pPr>
              <w:jc w:val="center"/>
              <w:rPr>
                <w:sz w:val="24"/>
              </w:rPr>
            </w:pPr>
            <w:r>
              <w:rPr>
                <w:rFonts w:eastAsia="宋体"/>
                <w:sz w:val="24"/>
              </w:rPr>
              <w:t>报价</w:t>
            </w:r>
          </w:p>
        </w:tc>
        <w:tc>
          <w:tcPr>
            <w:tcW w:w="3644" w:type="pct"/>
            <w:noWrap w:val="0"/>
            <w:vAlign w:val="center"/>
          </w:tcPr>
          <w:p w14:paraId="4B0068FE">
            <w:pPr>
              <w:jc w:val="left"/>
              <w:rPr>
                <w:rFonts w:eastAsia="宋体"/>
                <w:sz w:val="24"/>
              </w:rPr>
            </w:pPr>
            <w:r>
              <w:rPr>
                <w:rFonts w:eastAsia="宋体"/>
                <w:sz w:val="24"/>
              </w:rPr>
              <w:t>报价的特殊规定：</w:t>
            </w:r>
          </w:p>
          <w:p w14:paraId="17FA3E64">
            <w:pPr>
              <w:jc w:val="left"/>
              <w:rPr>
                <w:rFonts w:eastAsia="宋体"/>
                <w:sz w:val="24"/>
              </w:rPr>
            </w:pPr>
            <w:r>
              <w:rPr>
                <w:b/>
                <w:sz w:val="24"/>
              </w:rPr>
              <w:t>■</w:t>
            </w:r>
            <w:r>
              <w:rPr>
                <w:rFonts w:eastAsia="宋体"/>
                <w:sz w:val="24"/>
              </w:rPr>
              <w:t>无</w:t>
            </w:r>
          </w:p>
          <w:p w14:paraId="3E2C8353">
            <w:pPr>
              <w:jc w:val="left"/>
              <w:rPr>
                <w:sz w:val="24"/>
              </w:rPr>
            </w:pPr>
            <w:r>
              <w:rPr>
                <w:rFonts w:eastAsia="宋体"/>
              </w:rPr>
              <w:t>□</w:t>
            </w:r>
            <w:r>
              <w:rPr>
                <w:rFonts w:eastAsia="宋体"/>
                <w:sz w:val="24"/>
              </w:rPr>
              <w:t>有，具体情形：</w:t>
            </w:r>
            <w:r>
              <w:rPr>
                <w:rFonts w:hint="eastAsia" w:eastAsia="宋体"/>
                <w:sz w:val="24"/>
                <w:u w:val="single"/>
              </w:rPr>
              <w:t xml:space="preserve">  \  </w:t>
            </w:r>
            <w:r>
              <w:rPr>
                <w:rFonts w:eastAsia="宋体"/>
                <w:sz w:val="24"/>
              </w:rPr>
              <w:t>。</w:t>
            </w:r>
          </w:p>
        </w:tc>
      </w:tr>
      <w:tr w14:paraId="0121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6AC228B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806" w:type="pct"/>
            <w:vMerge w:val="restart"/>
            <w:noWrap w:val="0"/>
            <w:vAlign w:val="center"/>
          </w:tcPr>
          <w:p w14:paraId="09170866">
            <w:pPr>
              <w:jc w:val="center"/>
              <w:rPr>
                <w:sz w:val="24"/>
              </w:rPr>
            </w:pPr>
            <w:r>
              <w:rPr>
                <w:sz w:val="24"/>
              </w:rPr>
              <w:t>磋商保证金</w:t>
            </w:r>
          </w:p>
        </w:tc>
        <w:tc>
          <w:tcPr>
            <w:tcW w:w="3644" w:type="pct"/>
            <w:noWrap w:val="0"/>
            <w:vAlign w:val="center"/>
          </w:tcPr>
          <w:p w14:paraId="1F1AD6C6">
            <w:pPr>
              <w:pStyle w:val="24"/>
              <w:adjustRightInd w:val="0"/>
              <w:snapToGrid w:val="0"/>
              <w:rPr>
                <w:rFonts w:ascii="Times New Roman" w:hAnsi="Times New Roman"/>
                <w:sz w:val="24"/>
                <w:szCs w:val="24"/>
              </w:rPr>
            </w:pPr>
            <w:r>
              <w:rPr>
                <w:sz w:val="24"/>
              </w:rPr>
              <w:t>磋商</w:t>
            </w:r>
            <w:r>
              <w:rPr>
                <w:rFonts w:ascii="Times New Roman" w:hAnsi="Times New Roman"/>
                <w:sz w:val="24"/>
                <w:szCs w:val="24"/>
              </w:rPr>
              <w:t>保证金金额：第1包：</w:t>
            </w:r>
            <w:r>
              <w:rPr>
                <w:rFonts w:hint="eastAsia" w:ascii="Times New Roman" w:hAnsi="Times New Roman"/>
                <w:sz w:val="24"/>
                <w:szCs w:val="24"/>
                <w:u w:val="single"/>
              </w:rPr>
              <w:t>200,000.00</w:t>
            </w:r>
            <w:r>
              <w:rPr>
                <w:rFonts w:ascii="Times New Roman" w:hAnsi="Times New Roman"/>
                <w:sz w:val="24"/>
                <w:szCs w:val="24"/>
              </w:rPr>
              <w:t>元。</w:t>
            </w:r>
          </w:p>
          <w:p w14:paraId="0B1F5A06">
            <w:pPr>
              <w:pStyle w:val="24"/>
              <w:adjustRightInd w:val="0"/>
              <w:snapToGrid w:val="0"/>
              <w:rPr>
                <w:rFonts w:ascii="Times New Roman" w:hAnsi="Times New Roman"/>
                <w:sz w:val="24"/>
                <w:szCs w:val="24"/>
              </w:rPr>
            </w:pPr>
            <w:r>
              <w:rPr>
                <w:sz w:val="24"/>
              </w:rPr>
              <w:t>磋商</w:t>
            </w:r>
            <w:r>
              <w:rPr>
                <w:rFonts w:ascii="Times New Roman" w:hAnsi="Times New Roman"/>
                <w:sz w:val="24"/>
                <w:szCs w:val="24"/>
              </w:rPr>
              <w:t>保证金收受人信息：</w:t>
            </w:r>
          </w:p>
          <w:p w14:paraId="71EDF1E0">
            <w:pPr>
              <w:pStyle w:val="24"/>
              <w:adjustRightInd w:val="0"/>
              <w:snapToGrid w:val="0"/>
              <w:rPr>
                <w:rFonts w:ascii="Times New Roman" w:hAnsi="Times New Roman"/>
                <w:sz w:val="24"/>
                <w:szCs w:val="24"/>
              </w:rPr>
            </w:pPr>
            <w:r>
              <w:rPr>
                <w:rFonts w:ascii="Times New Roman" w:hAnsi="Times New Roman"/>
                <w:sz w:val="24"/>
                <w:szCs w:val="24"/>
              </w:rPr>
              <w:t>账户名称：北京宏信天诚国际招标有限公司</w:t>
            </w:r>
          </w:p>
          <w:p w14:paraId="75201629">
            <w:pPr>
              <w:pStyle w:val="24"/>
              <w:adjustRightInd w:val="0"/>
              <w:snapToGrid w:val="0"/>
              <w:rPr>
                <w:rFonts w:ascii="Times New Roman" w:hAnsi="Times New Roman"/>
                <w:sz w:val="24"/>
                <w:szCs w:val="24"/>
              </w:rPr>
            </w:pPr>
            <w:r>
              <w:rPr>
                <w:rFonts w:ascii="Times New Roman" w:hAnsi="Times New Roman"/>
                <w:sz w:val="24"/>
                <w:szCs w:val="24"/>
              </w:rPr>
              <w:t>开户银行：北京银行股份有限公司清华园支行</w:t>
            </w:r>
          </w:p>
          <w:p w14:paraId="526E08C6">
            <w:pPr>
              <w:pStyle w:val="24"/>
              <w:adjustRightInd w:val="0"/>
              <w:snapToGrid w:val="0"/>
              <w:rPr>
                <w:rFonts w:ascii="Times New Roman" w:hAnsi="Times New Roman"/>
                <w:sz w:val="24"/>
                <w:szCs w:val="24"/>
              </w:rPr>
            </w:pPr>
            <w:r>
              <w:rPr>
                <w:rFonts w:ascii="Times New Roman" w:hAnsi="Times New Roman"/>
                <w:sz w:val="24"/>
                <w:szCs w:val="24"/>
              </w:rPr>
              <w:t>银行账号：20000062274900106153382</w:t>
            </w:r>
          </w:p>
          <w:p w14:paraId="4324F296">
            <w:pPr>
              <w:jc w:val="left"/>
              <w:rPr>
                <w:sz w:val="24"/>
              </w:rPr>
            </w:pPr>
            <w:r>
              <w:rPr>
                <w:rFonts w:ascii="Times New Roman" w:hAnsi="Times New Roman"/>
                <w:sz w:val="24"/>
                <w:szCs w:val="24"/>
              </w:rPr>
              <w:t>法律法规允许的其他非现金形式。</w:t>
            </w:r>
          </w:p>
        </w:tc>
      </w:tr>
      <w:tr w14:paraId="660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4AC1548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806" w:type="pct"/>
            <w:vMerge w:val="continue"/>
            <w:noWrap w:val="0"/>
            <w:vAlign w:val="center"/>
          </w:tcPr>
          <w:p w14:paraId="520452CF">
            <w:pPr>
              <w:jc w:val="center"/>
              <w:rPr>
                <w:sz w:val="24"/>
              </w:rPr>
            </w:pPr>
          </w:p>
        </w:tc>
        <w:tc>
          <w:tcPr>
            <w:tcW w:w="3644" w:type="pct"/>
            <w:noWrap w:val="0"/>
            <w:vAlign w:val="center"/>
          </w:tcPr>
          <w:p w14:paraId="43918946">
            <w:pPr>
              <w:jc w:val="left"/>
              <w:rPr>
                <w:rFonts w:eastAsia="宋体"/>
                <w:sz w:val="24"/>
              </w:rPr>
            </w:pPr>
            <w:r>
              <w:rPr>
                <w:rFonts w:eastAsia="宋体"/>
                <w:sz w:val="24"/>
              </w:rPr>
              <w:t>磋商保证金不予退还的其他情形：</w:t>
            </w:r>
            <w:r>
              <w:rPr>
                <w:rFonts w:eastAsia="宋体"/>
              </w:rPr>
              <w:t>□</w:t>
            </w:r>
            <w:r>
              <w:rPr>
                <w:rFonts w:eastAsia="宋体"/>
                <w:sz w:val="24"/>
              </w:rPr>
              <w:t>无</w:t>
            </w:r>
          </w:p>
          <w:p w14:paraId="569BF1AE">
            <w:pPr>
              <w:pStyle w:val="24"/>
              <w:adjustRightInd w:val="0"/>
              <w:snapToGrid w:val="0"/>
              <w:rPr>
                <w:rFonts w:hint="default" w:ascii="Times New Roman" w:hAnsi="Times New Roman" w:eastAsia="宋体"/>
                <w:sz w:val="24"/>
              </w:rPr>
            </w:pPr>
            <w:r>
              <w:rPr>
                <w:rFonts w:hint="default" w:ascii="Times New Roman" w:hAnsi="Times New Roman" w:eastAsia="宋体"/>
                <w:sz w:val="24"/>
              </w:rPr>
              <w:t>■有，具体情形：</w:t>
            </w:r>
          </w:p>
          <w:p w14:paraId="35655719">
            <w:pPr>
              <w:pStyle w:val="24"/>
              <w:adjustRightInd w:val="0"/>
              <w:snapToGrid w:val="0"/>
              <w:rPr>
                <w:rFonts w:hint="default"/>
                <w:sz w:val="24"/>
              </w:rPr>
            </w:pPr>
            <w:r>
              <w:rPr>
                <w:sz w:val="24"/>
              </w:rPr>
              <w:t>1供应商在提交响应文件截止时间后撤回响应文件的；</w:t>
            </w:r>
          </w:p>
          <w:p w14:paraId="62B8D843">
            <w:pPr>
              <w:pStyle w:val="24"/>
              <w:adjustRightInd w:val="0"/>
              <w:snapToGrid w:val="0"/>
              <w:rPr>
                <w:rFonts w:hint="default"/>
                <w:sz w:val="24"/>
              </w:rPr>
            </w:pPr>
            <w:r>
              <w:rPr>
                <w:sz w:val="24"/>
              </w:rPr>
              <w:t>2供应商在响应文件中提供虚假材料的；</w:t>
            </w:r>
          </w:p>
          <w:p w14:paraId="2E25943C">
            <w:pPr>
              <w:pStyle w:val="24"/>
              <w:adjustRightInd w:val="0"/>
              <w:snapToGrid w:val="0"/>
              <w:rPr>
                <w:rFonts w:hint="default"/>
                <w:sz w:val="24"/>
              </w:rPr>
            </w:pPr>
            <w:r>
              <w:rPr>
                <w:sz w:val="24"/>
              </w:rPr>
              <w:t>3除因不可抗力或磋商文件认可的情形以外，成交供应商不与采购人签订合同的；</w:t>
            </w:r>
          </w:p>
          <w:p w14:paraId="32CD2207">
            <w:pPr>
              <w:pStyle w:val="24"/>
              <w:adjustRightInd w:val="0"/>
              <w:snapToGrid w:val="0"/>
              <w:rPr>
                <w:rFonts w:hint="default"/>
                <w:sz w:val="24"/>
              </w:rPr>
            </w:pPr>
            <w:r>
              <w:rPr>
                <w:sz w:val="24"/>
              </w:rPr>
              <w:t>4供应商与采购人、其他供应商或者采购代理机构恶意串通的；</w:t>
            </w:r>
          </w:p>
          <w:p w14:paraId="7A46DEC6">
            <w:pPr>
              <w:pStyle w:val="24"/>
              <w:adjustRightInd w:val="0"/>
              <w:snapToGrid w:val="0"/>
              <w:rPr>
                <w:rFonts w:hint="default" w:ascii="Times New Roman" w:hAnsi="Times New Roman" w:eastAsia="宋体"/>
                <w:kern w:val="2"/>
                <w:sz w:val="24"/>
                <w:szCs w:val="24"/>
                <w:lang w:val="en-US" w:eastAsia="zh-CN" w:bidi="ar-SA"/>
              </w:rPr>
            </w:pPr>
            <w:r>
              <w:rPr>
                <w:sz w:val="24"/>
              </w:rPr>
              <w:t>5成交供应商领取成交通知书时未按规定缴纳成交服务费的。</w:t>
            </w:r>
          </w:p>
        </w:tc>
      </w:tr>
      <w:tr w14:paraId="46C4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5F2247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527" w:type="dxa"/>
            <w:noWrap w:val="0"/>
            <w:vAlign w:val="center"/>
          </w:tcPr>
          <w:p w14:paraId="030D02AB">
            <w:pPr>
              <w:jc w:val="center"/>
              <w:rPr>
                <w:sz w:val="24"/>
              </w:rPr>
            </w:pPr>
            <w:r>
              <w:rPr>
                <w:rFonts w:eastAsia="宋体"/>
                <w:sz w:val="24"/>
              </w:rPr>
              <w:t>响应有效期</w:t>
            </w:r>
          </w:p>
        </w:tc>
        <w:tc>
          <w:tcPr>
            <w:tcW w:w="6898" w:type="dxa"/>
            <w:noWrap w:val="0"/>
            <w:vAlign w:val="center"/>
          </w:tcPr>
          <w:p w14:paraId="06038F5F">
            <w:pPr>
              <w:jc w:val="left"/>
              <w:rPr>
                <w:sz w:val="24"/>
              </w:rPr>
            </w:pPr>
            <w:r>
              <w:rPr>
                <w:rFonts w:eastAsia="宋体"/>
                <w:sz w:val="24"/>
              </w:rPr>
              <w:t>自响应文件提交截止之日起算</w:t>
            </w:r>
            <w:r>
              <w:rPr>
                <w:rFonts w:hint="eastAsia" w:eastAsia="宋体"/>
                <w:b/>
                <w:bCs/>
                <w:sz w:val="24"/>
                <w:u w:val="single"/>
              </w:rPr>
              <w:t xml:space="preserve"> </w:t>
            </w:r>
            <w:r>
              <w:rPr>
                <w:rFonts w:hint="eastAsia"/>
                <w:b/>
                <w:bCs/>
                <w:sz w:val="24"/>
                <w:u w:val="single"/>
              </w:rPr>
              <w:t xml:space="preserve">90 </w:t>
            </w:r>
            <w:r>
              <w:rPr>
                <w:rFonts w:eastAsia="宋体"/>
                <w:b/>
                <w:bCs/>
                <w:sz w:val="24"/>
              </w:rPr>
              <w:t>日历天</w:t>
            </w:r>
            <w:r>
              <w:rPr>
                <w:rFonts w:eastAsia="宋体"/>
                <w:sz w:val="24"/>
              </w:rPr>
              <w:t>。</w:t>
            </w:r>
          </w:p>
        </w:tc>
      </w:tr>
      <w:tr w14:paraId="2CC0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44932721">
            <w:pPr>
              <w:pStyle w:val="24"/>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4.2.2</w:t>
            </w:r>
          </w:p>
        </w:tc>
        <w:tc>
          <w:tcPr>
            <w:tcW w:w="806" w:type="pct"/>
            <w:noWrap w:val="0"/>
            <w:vAlign w:val="center"/>
          </w:tcPr>
          <w:p w14:paraId="28FA6D28">
            <w:pPr>
              <w:jc w:val="center"/>
              <w:rPr>
                <w:sz w:val="24"/>
              </w:rPr>
            </w:pPr>
            <w:r>
              <w:rPr>
                <w:rFonts w:hint="eastAsia"/>
                <w:sz w:val="24"/>
              </w:rPr>
              <w:t>响应文件的提交</w:t>
            </w:r>
          </w:p>
        </w:tc>
        <w:tc>
          <w:tcPr>
            <w:tcW w:w="3644" w:type="pct"/>
            <w:noWrap w:val="0"/>
            <w:vAlign w:val="center"/>
          </w:tcPr>
          <w:p w14:paraId="42BC7C23">
            <w:pPr>
              <w:jc w:val="left"/>
              <w:rPr>
                <w:rFonts w:ascii="宋体" w:hAnsi="宋体"/>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（正本一份、副本三份）、电子版（一份，U盘内容含响应文件WORD电子文档及盖章签字后的响应文件正本的PDF扫描件各一份）、磋商保证金（电汇底单复印件一份或</w:t>
            </w:r>
            <w:r>
              <w:rPr>
                <w:sz w:val="24"/>
              </w:rPr>
              <w:t>金融机构、担保机构出具的保函</w:t>
            </w:r>
            <w:r>
              <w:rPr>
                <w:rFonts w:hint="eastAsia"/>
                <w:sz w:val="24"/>
              </w:rPr>
              <w:t>原件</w:t>
            </w:r>
            <w:r>
              <w:rPr>
                <w:rFonts w:hint="eastAsia" w:ascii="宋体" w:hAnsi="宋体"/>
                <w:sz w:val="24"/>
              </w:rPr>
              <w:t>）分别密封提交。</w:t>
            </w:r>
          </w:p>
          <w:p w14:paraId="2F953BBD">
            <w:pPr>
              <w:jc w:val="left"/>
              <w:rPr>
                <w:rFonts w:hint="eastAsia"/>
                <w:sz w:val="24"/>
              </w:rPr>
            </w:pPr>
            <w:r>
              <w:rPr>
                <w:rFonts w:hint="eastAsia"/>
                <w:sz w:val="24"/>
              </w:rPr>
              <w:t>供应商须以“包”为单位编制响应文件。</w:t>
            </w:r>
          </w:p>
        </w:tc>
      </w:tr>
      <w:tr w14:paraId="469E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38CBD38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527" w:type="dxa"/>
            <w:noWrap w:val="0"/>
            <w:vAlign w:val="center"/>
          </w:tcPr>
          <w:p w14:paraId="36F45438">
            <w:pPr>
              <w:jc w:val="center"/>
              <w:rPr>
                <w:sz w:val="24"/>
              </w:rPr>
            </w:pPr>
            <w:r>
              <w:rPr>
                <w:sz w:val="24"/>
              </w:rPr>
              <w:t>确定成交供应商</w:t>
            </w:r>
          </w:p>
        </w:tc>
        <w:tc>
          <w:tcPr>
            <w:tcW w:w="6898" w:type="dxa"/>
            <w:noWrap w:val="0"/>
            <w:vAlign w:val="center"/>
          </w:tcPr>
          <w:p w14:paraId="252D8798">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3216E8FC">
            <w:pPr>
              <w:pStyle w:val="24"/>
              <w:adjustRightInd w:val="0"/>
              <w:snapToGrid w:val="0"/>
              <w:rPr>
                <w:rFonts w:hint="default" w:ascii="Times New Roman" w:hAnsi="Times New Roman" w:eastAsia="宋体"/>
                <w:sz w:val="24"/>
              </w:rPr>
            </w:pPr>
            <w:r>
              <w:rPr>
                <w:rFonts w:hint="default" w:ascii="Times New Roman" w:hAnsi="Times New Roman" w:eastAsia="宋体"/>
                <w:sz w:val="24"/>
              </w:rPr>
              <w:t>■否</w:t>
            </w:r>
          </w:p>
          <w:p w14:paraId="485700B1">
            <w:pPr>
              <w:jc w:val="left"/>
              <w:rPr>
                <w:rFonts w:eastAsia="宋体"/>
                <w:sz w:val="24"/>
              </w:rPr>
            </w:pPr>
            <w:r>
              <w:rPr>
                <w:rFonts w:eastAsia="宋体"/>
              </w:rPr>
              <w:t>□</w:t>
            </w:r>
            <w:r>
              <w:rPr>
                <w:rFonts w:eastAsia="宋体"/>
                <w:sz w:val="24"/>
              </w:rPr>
              <w:t>是</w:t>
            </w:r>
          </w:p>
          <w:p w14:paraId="5D359DFD">
            <w:pPr>
              <w:jc w:val="left"/>
              <w:rPr>
                <w:rFonts w:eastAsia="宋体"/>
                <w:sz w:val="24"/>
              </w:rPr>
            </w:pPr>
            <w:r>
              <w:rPr>
                <w:rFonts w:eastAsia="宋体"/>
                <w:sz w:val="24"/>
              </w:rPr>
              <w:t>成交候选人并列的，按照以下方式确定成交供应商：</w:t>
            </w:r>
          </w:p>
          <w:p w14:paraId="733AD616">
            <w:pPr>
              <w:jc w:val="left"/>
              <w:rPr>
                <w:sz w:val="24"/>
              </w:rPr>
            </w:pPr>
            <w:r>
              <w:rPr>
                <w:rFonts w:eastAsia="宋体"/>
                <w:sz w:val="24"/>
              </w:rPr>
              <w:t>■</w:t>
            </w:r>
            <w:r>
              <w:rPr>
                <w:sz w:val="24"/>
              </w:rPr>
              <w:t>得分且投标报价均相</w:t>
            </w:r>
            <w:r>
              <w:rPr>
                <w:sz w:val="24"/>
                <w:highlight w:val="none"/>
              </w:rPr>
              <w:t>同的，以</w:t>
            </w:r>
            <w:r>
              <w:rPr>
                <w:rFonts w:hint="eastAsia"/>
                <w:b/>
                <w:bCs/>
                <w:sz w:val="24"/>
                <w:highlight w:val="none"/>
                <w:u w:val="single"/>
              </w:rPr>
              <w:t>施工方案及技术措施</w:t>
            </w:r>
            <w:r>
              <w:rPr>
                <w:sz w:val="24"/>
                <w:highlight w:val="none"/>
              </w:rPr>
              <w:t>得分高者为</w:t>
            </w:r>
            <w:r>
              <w:rPr>
                <w:sz w:val="24"/>
              </w:rPr>
              <w:t>中标人</w:t>
            </w:r>
          </w:p>
          <w:p w14:paraId="3DFBD9F3">
            <w:pPr>
              <w:jc w:val="left"/>
              <w:rPr>
                <w:rFonts w:hint="eastAsia"/>
                <w:sz w:val="24"/>
                <w:u w:val="single"/>
              </w:rPr>
            </w:pPr>
            <w:r>
              <w:t>□</w:t>
            </w:r>
            <w:r>
              <w:rPr>
                <w:sz w:val="24"/>
              </w:rPr>
              <w:t>随机抽取</w:t>
            </w:r>
          </w:p>
        </w:tc>
      </w:tr>
      <w:tr w14:paraId="1325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1B15845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527" w:type="dxa"/>
            <w:noWrap w:val="0"/>
            <w:vAlign w:val="center"/>
          </w:tcPr>
          <w:p w14:paraId="1F604D0C">
            <w:pPr>
              <w:jc w:val="center"/>
              <w:rPr>
                <w:sz w:val="24"/>
              </w:rPr>
            </w:pPr>
            <w:r>
              <w:rPr>
                <w:rFonts w:eastAsia="宋体"/>
                <w:sz w:val="24"/>
              </w:rPr>
              <w:t>分包</w:t>
            </w:r>
          </w:p>
        </w:tc>
        <w:tc>
          <w:tcPr>
            <w:tcW w:w="6898" w:type="dxa"/>
            <w:noWrap w:val="0"/>
            <w:vAlign w:val="center"/>
          </w:tcPr>
          <w:p w14:paraId="2CA8CF54">
            <w:pPr>
              <w:jc w:val="left"/>
              <w:rPr>
                <w:rFonts w:eastAsia="宋体"/>
                <w:sz w:val="24"/>
              </w:rPr>
            </w:pPr>
            <w:r>
              <w:rPr>
                <w:rFonts w:eastAsia="宋体"/>
                <w:sz w:val="24"/>
              </w:rPr>
              <w:t>本项目是否允许分包：■不允许</w:t>
            </w:r>
          </w:p>
          <w:p w14:paraId="2FDF9B3F">
            <w:pPr>
              <w:jc w:val="left"/>
              <w:rPr>
                <w:rFonts w:eastAsia="宋体"/>
                <w:sz w:val="24"/>
              </w:rPr>
            </w:pPr>
            <w:r>
              <w:rPr>
                <w:rFonts w:eastAsia="宋体"/>
              </w:rPr>
              <w:t>□</w:t>
            </w:r>
            <w:r>
              <w:rPr>
                <w:rFonts w:eastAsia="宋体"/>
                <w:sz w:val="24"/>
              </w:rPr>
              <w:t>允许，具体要求：</w:t>
            </w:r>
            <w:r>
              <w:rPr>
                <w:rFonts w:hint="eastAsia" w:eastAsia="宋体"/>
                <w:sz w:val="24"/>
                <w:u w:val="single"/>
              </w:rPr>
              <w:t xml:space="preserve">  \  </w:t>
            </w:r>
            <w:r>
              <w:rPr>
                <w:rFonts w:eastAsia="宋体"/>
                <w:sz w:val="24"/>
              </w:rPr>
              <w:t>。</w:t>
            </w:r>
          </w:p>
          <w:p w14:paraId="06E2BADB">
            <w:pPr>
              <w:jc w:val="left"/>
              <w:rPr>
                <w:rFonts w:eastAsia="宋体"/>
                <w:sz w:val="24"/>
              </w:rPr>
            </w:pPr>
            <w:r>
              <w:rPr>
                <w:rFonts w:eastAsia="宋体"/>
                <w:sz w:val="24"/>
              </w:rPr>
              <w:t>（1）可以分包履行的具体内容：</w:t>
            </w:r>
            <w:r>
              <w:rPr>
                <w:rFonts w:hint="eastAsia" w:eastAsia="宋体"/>
                <w:sz w:val="24"/>
                <w:u w:val="single"/>
              </w:rPr>
              <w:t xml:space="preserve">  \  </w:t>
            </w:r>
            <w:r>
              <w:rPr>
                <w:rFonts w:eastAsia="宋体"/>
                <w:sz w:val="24"/>
              </w:rPr>
              <w:t>；</w:t>
            </w:r>
          </w:p>
          <w:p w14:paraId="63A244FE">
            <w:pPr>
              <w:jc w:val="left"/>
              <w:rPr>
                <w:rFonts w:eastAsia="宋体"/>
                <w:sz w:val="24"/>
              </w:rPr>
            </w:pPr>
            <w:r>
              <w:rPr>
                <w:rFonts w:eastAsia="宋体"/>
                <w:sz w:val="24"/>
              </w:rPr>
              <w:t>（2）允许分包的金额或者比例：</w:t>
            </w:r>
            <w:r>
              <w:rPr>
                <w:rFonts w:hint="eastAsia" w:eastAsia="宋体"/>
                <w:sz w:val="24"/>
                <w:u w:val="single"/>
              </w:rPr>
              <w:t xml:space="preserve">  \  </w:t>
            </w:r>
            <w:r>
              <w:rPr>
                <w:rFonts w:eastAsia="宋体"/>
                <w:sz w:val="24"/>
              </w:rPr>
              <w:t>；</w:t>
            </w:r>
          </w:p>
          <w:p w14:paraId="2E675371">
            <w:pPr>
              <w:jc w:val="left"/>
              <w:rPr>
                <w:sz w:val="24"/>
                <w:u w:val="single"/>
              </w:rPr>
            </w:pPr>
            <w:r>
              <w:rPr>
                <w:rFonts w:eastAsia="宋体"/>
                <w:sz w:val="24"/>
              </w:rPr>
              <w:t>（3）其他要求：</w:t>
            </w:r>
            <w:r>
              <w:rPr>
                <w:rFonts w:hint="eastAsia" w:eastAsia="宋体"/>
                <w:sz w:val="24"/>
                <w:u w:val="single"/>
              </w:rPr>
              <w:t xml:space="preserve">  \  </w:t>
            </w:r>
            <w:r>
              <w:rPr>
                <w:rFonts w:eastAsia="宋体"/>
                <w:sz w:val="24"/>
              </w:rPr>
              <w:t>。</w:t>
            </w:r>
          </w:p>
        </w:tc>
      </w:tr>
      <w:tr w14:paraId="16BD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10648ED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806" w:type="pct"/>
            <w:noWrap w:val="0"/>
            <w:vAlign w:val="center"/>
          </w:tcPr>
          <w:p w14:paraId="2EDB7E3E">
            <w:pPr>
              <w:jc w:val="center"/>
              <w:rPr>
                <w:sz w:val="24"/>
              </w:rPr>
            </w:pPr>
            <w:r>
              <w:rPr>
                <w:sz w:val="24"/>
              </w:rPr>
              <w:t>询问</w:t>
            </w:r>
          </w:p>
        </w:tc>
        <w:tc>
          <w:tcPr>
            <w:tcW w:w="3644" w:type="pct"/>
            <w:noWrap w:val="0"/>
            <w:vAlign w:val="center"/>
          </w:tcPr>
          <w:p w14:paraId="1ACABC0F">
            <w:pPr>
              <w:jc w:val="left"/>
              <w:rPr>
                <w:sz w:val="24"/>
              </w:rPr>
            </w:pPr>
            <w:r>
              <w:rPr>
                <w:sz w:val="24"/>
              </w:rPr>
              <w:t>询问送达形式：书面形式递交至</w:t>
            </w:r>
            <w:r>
              <w:rPr>
                <w:rFonts w:hint="eastAsia"/>
                <w:sz w:val="24"/>
              </w:rPr>
              <w:t>北京市海淀区复兴路乙12号中国铝业大厦11层1110室</w:t>
            </w:r>
            <w:r>
              <w:rPr>
                <w:sz w:val="24"/>
              </w:rPr>
              <w:t>。</w:t>
            </w:r>
          </w:p>
        </w:tc>
      </w:tr>
      <w:tr w14:paraId="79E1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2A4559D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527" w:type="dxa"/>
            <w:noWrap w:val="0"/>
            <w:vAlign w:val="center"/>
          </w:tcPr>
          <w:p w14:paraId="0AACEA53">
            <w:pPr>
              <w:jc w:val="center"/>
              <w:rPr>
                <w:sz w:val="24"/>
              </w:rPr>
            </w:pPr>
            <w:r>
              <w:rPr>
                <w:rFonts w:eastAsia="宋体"/>
                <w:sz w:val="24"/>
              </w:rPr>
              <w:t>联系方式</w:t>
            </w:r>
          </w:p>
        </w:tc>
        <w:tc>
          <w:tcPr>
            <w:tcW w:w="6898" w:type="dxa"/>
            <w:noWrap w:val="0"/>
            <w:vAlign w:val="center"/>
          </w:tcPr>
          <w:p w14:paraId="642E0000">
            <w:pPr>
              <w:jc w:val="left"/>
              <w:rPr>
                <w:rFonts w:eastAsia="宋体"/>
                <w:sz w:val="24"/>
              </w:rPr>
            </w:pPr>
            <w:r>
              <w:rPr>
                <w:rFonts w:eastAsia="宋体"/>
                <w:sz w:val="24"/>
              </w:rPr>
              <w:t>接收询问和质疑的联系方式</w:t>
            </w:r>
          </w:p>
          <w:p w14:paraId="19B8698F">
            <w:pPr>
              <w:jc w:val="left"/>
              <w:rPr>
                <w:sz w:val="24"/>
              </w:rPr>
            </w:pPr>
            <w:r>
              <w:rPr>
                <w:sz w:val="24"/>
              </w:rPr>
              <w:t>联系部门：</w:t>
            </w:r>
            <w:r>
              <w:rPr>
                <w:rFonts w:hint="eastAsia"/>
                <w:sz w:val="24"/>
                <w:u w:val="single"/>
              </w:rPr>
              <w:t>综合法务部</w:t>
            </w:r>
            <w:r>
              <w:rPr>
                <w:sz w:val="24"/>
              </w:rPr>
              <w:t>；</w:t>
            </w:r>
          </w:p>
          <w:p w14:paraId="270D7B4F">
            <w:pPr>
              <w:jc w:val="left"/>
              <w:rPr>
                <w:sz w:val="24"/>
              </w:rPr>
            </w:pPr>
            <w:r>
              <w:rPr>
                <w:sz w:val="24"/>
              </w:rPr>
              <w:t>联系电话：</w:t>
            </w:r>
            <w:r>
              <w:rPr>
                <w:sz w:val="24"/>
                <w:u w:val="single"/>
              </w:rPr>
              <w:t>010-</w:t>
            </w:r>
            <w:r>
              <w:rPr>
                <w:rFonts w:hint="eastAsia"/>
                <w:sz w:val="24"/>
                <w:u w:val="single"/>
              </w:rPr>
              <w:t>63974645</w:t>
            </w:r>
            <w:r>
              <w:rPr>
                <w:sz w:val="24"/>
              </w:rPr>
              <w:t>；</w:t>
            </w:r>
          </w:p>
          <w:p w14:paraId="0AD81530">
            <w:pPr>
              <w:jc w:val="left"/>
              <w:rPr>
                <w:sz w:val="24"/>
              </w:rPr>
            </w:pPr>
            <w:r>
              <w:rPr>
                <w:sz w:val="24"/>
              </w:rPr>
              <w:t>通讯地址：</w:t>
            </w:r>
            <w:r>
              <w:rPr>
                <w:rFonts w:hint="eastAsia"/>
                <w:sz w:val="24"/>
                <w:u w:val="single"/>
              </w:rPr>
              <w:t>北京市海淀区复兴路乙12号中国铝业大厦11层1110室</w:t>
            </w:r>
            <w:r>
              <w:rPr>
                <w:rFonts w:eastAsia="宋体"/>
                <w:sz w:val="24"/>
              </w:rPr>
              <w:t>。</w:t>
            </w:r>
          </w:p>
        </w:tc>
      </w:tr>
      <w:tr w14:paraId="080B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pct"/>
            <w:noWrap w:val="0"/>
            <w:vAlign w:val="center"/>
          </w:tcPr>
          <w:p w14:paraId="05C57CF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806" w:type="pct"/>
            <w:noWrap w:val="0"/>
            <w:vAlign w:val="center"/>
          </w:tcPr>
          <w:p w14:paraId="24513344">
            <w:pPr>
              <w:jc w:val="center"/>
              <w:rPr>
                <w:sz w:val="24"/>
              </w:rPr>
            </w:pPr>
            <w:r>
              <w:rPr>
                <w:sz w:val="24"/>
              </w:rPr>
              <w:t>代理费</w:t>
            </w:r>
          </w:p>
        </w:tc>
        <w:tc>
          <w:tcPr>
            <w:tcW w:w="3644" w:type="pct"/>
            <w:noWrap w:val="0"/>
            <w:vAlign w:val="center"/>
          </w:tcPr>
          <w:p w14:paraId="35381A9C">
            <w:pPr>
              <w:jc w:val="left"/>
              <w:rPr>
                <w:sz w:val="24"/>
              </w:rPr>
            </w:pPr>
            <w:r>
              <w:rPr>
                <w:sz w:val="24"/>
              </w:rPr>
              <w:t>收费对象：</w:t>
            </w:r>
            <w:r>
              <w:t>□</w:t>
            </w:r>
            <w:r>
              <w:rPr>
                <w:sz w:val="24"/>
              </w:rPr>
              <w:t>采购人</w:t>
            </w:r>
            <w:r>
              <w:rPr>
                <w:rFonts w:hint="eastAsia"/>
                <w:sz w:val="24"/>
                <w:lang w:val="en-US" w:eastAsia="zh-CN"/>
              </w:rPr>
              <w:t xml:space="preserve">  </w:t>
            </w:r>
            <w:r>
              <w:rPr>
                <w:sz w:val="24"/>
              </w:rPr>
              <w:t>■成交供应商</w:t>
            </w:r>
          </w:p>
          <w:p w14:paraId="1E1799BE">
            <w:pPr>
              <w:jc w:val="left"/>
              <w:rPr>
                <w:sz w:val="24"/>
              </w:rPr>
            </w:pPr>
            <w:r>
              <w:rPr>
                <w:sz w:val="24"/>
              </w:rPr>
              <w:t>收费标准：</w:t>
            </w:r>
            <w:r>
              <w:rPr>
                <w:rFonts w:hint="eastAsia"/>
                <w:sz w:val="24"/>
                <w:u w:val="single"/>
              </w:rPr>
              <w:t>（1）按照成交金额作为收费的计算基数。（2）代理服务费按差额定率累进法计算</w:t>
            </w:r>
            <w:r>
              <w:rPr>
                <w:sz w:val="24"/>
                <w:u w:val="single"/>
              </w:rPr>
              <w:t>；</w:t>
            </w:r>
          </w:p>
          <w:tbl>
            <w:tblPr>
              <w:tblStyle w:val="4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618"/>
            </w:tblGrid>
            <w:tr w14:paraId="04E1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89" w:type="pct"/>
                  <w:noWrap w:val="0"/>
                  <w:vAlign w:val="center"/>
                </w:tcPr>
                <w:p w14:paraId="63589169">
                  <w:pPr>
                    <w:keepNext w:val="0"/>
                    <w:keepLines w:val="0"/>
                    <w:pageBreakBefore w:val="0"/>
                    <w:widowControl w:val="0"/>
                    <w:tabs>
                      <w:tab w:val="left" w:pos="8640"/>
                    </w:tabs>
                    <w:kinsoku/>
                    <w:wordWrap/>
                    <w:overflowPunct/>
                    <w:topLinePunct w:val="0"/>
                    <w:autoSpaceDE/>
                    <w:autoSpaceDN/>
                    <w:bidi w:val="0"/>
                    <w:adjustRightInd/>
                    <w:snapToGrid/>
                    <w:spacing w:line="240" w:lineRule="auto"/>
                    <w:ind w:firstLine="0"/>
                    <w:jc w:val="center"/>
                    <w:textAlignment w:val="auto"/>
                    <w:rPr>
                      <w:rFonts w:ascii="宋体"/>
                    </w:rPr>
                  </w:pPr>
                  <w:r>
                    <w:rPr>
                      <w:rFonts w:hint="eastAsia" w:ascii="宋体"/>
                    </w:rPr>
                    <w:t>成交金额（万元）</w:t>
                  </w:r>
                </w:p>
              </w:tc>
              <w:tc>
                <w:tcPr>
                  <w:tcW w:w="2710" w:type="pct"/>
                  <w:noWrap w:val="0"/>
                  <w:vAlign w:val="center"/>
                </w:tcPr>
                <w:p w14:paraId="13157515">
                  <w:pPr>
                    <w:keepNext w:val="0"/>
                    <w:keepLines w:val="0"/>
                    <w:pageBreakBefore w:val="0"/>
                    <w:widowControl w:val="0"/>
                    <w:tabs>
                      <w:tab w:val="left" w:pos="8640"/>
                    </w:tabs>
                    <w:kinsoku/>
                    <w:wordWrap/>
                    <w:overflowPunct/>
                    <w:topLinePunct w:val="0"/>
                    <w:autoSpaceDE/>
                    <w:autoSpaceDN/>
                    <w:bidi w:val="0"/>
                    <w:adjustRightInd/>
                    <w:snapToGrid/>
                    <w:spacing w:line="240" w:lineRule="auto"/>
                    <w:ind w:firstLine="0"/>
                    <w:jc w:val="center"/>
                    <w:textAlignment w:val="auto"/>
                    <w:rPr>
                      <w:rFonts w:ascii="宋体"/>
                    </w:rPr>
                  </w:pPr>
                  <w:r>
                    <w:rPr>
                      <w:rFonts w:hint="eastAsia" w:ascii="宋体"/>
                    </w:rPr>
                    <w:t>费率</w:t>
                  </w:r>
                </w:p>
              </w:tc>
            </w:tr>
            <w:tr w14:paraId="4A7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pct"/>
                  <w:noWrap w:val="0"/>
                  <w:vAlign w:val="center"/>
                </w:tcPr>
                <w:p w14:paraId="5DA0D44B">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ascii="宋体"/>
                    </w:rPr>
                  </w:pPr>
                  <w:r>
                    <w:rPr>
                      <w:rFonts w:hint="eastAsia" w:ascii="宋体"/>
                    </w:rPr>
                    <w:t>100以下</w:t>
                  </w:r>
                </w:p>
              </w:tc>
              <w:tc>
                <w:tcPr>
                  <w:tcW w:w="2710" w:type="pct"/>
                  <w:noWrap w:val="0"/>
                  <w:vAlign w:val="center"/>
                </w:tcPr>
                <w:p w14:paraId="7B7554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jc w:val="center"/>
                    <w:textAlignment w:val="auto"/>
                    <w:rPr>
                      <w:rFonts w:ascii="宋体" w:hAnsi="宋体"/>
                      <w:szCs w:val="21"/>
                    </w:rPr>
                  </w:pPr>
                  <w:r>
                    <w:rPr>
                      <w:rFonts w:ascii="宋体" w:hAnsi="宋体"/>
                      <w:szCs w:val="21"/>
                    </w:rPr>
                    <w:t>1.5%</w:t>
                  </w:r>
                </w:p>
              </w:tc>
            </w:tr>
            <w:tr w14:paraId="2CF7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4" w:type="dxa"/>
                  <w:noWrap w:val="0"/>
                  <w:vAlign w:val="center"/>
                </w:tcPr>
                <w:p w14:paraId="310A5D40">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default" w:ascii="宋体" w:hAnsi="Times New Roman" w:eastAsia="宋体" w:cs="Times New Roman"/>
                      <w:lang w:val="en-US" w:eastAsia="zh-CN"/>
                    </w:rPr>
                  </w:pPr>
                  <w:r>
                    <w:rPr>
                      <w:rFonts w:hint="eastAsia" w:ascii="宋体" w:hAnsi="Times New Roman" w:eastAsia="宋体" w:cs="Times New Roman"/>
                    </w:rPr>
                    <w:t>100-500</w:t>
                  </w:r>
                </w:p>
              </w:tc>
              <w:tc>
                <w:tcPr>
                  <w:tcW w:w="3617" w:type="dxa"/>
                  <w:noWrap w:val="0"/>
                  <w:vAlign w:val="center"/>
                </w:tcPr>
                <w:p w14:paraId="0ECFDAC7">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eastAsia" w:ascii="宋体" w:hAnsi="Times New Roman" w:eastAsia="宋体" w:cs="Times New Roman"/>
                    </w:rPr>
                  </w:pPr>
                  <w:r>
                    <w:rPr>
                      <w:rFonts w:hint="eastAsia" w:ascii="宋体" w:hAnsi="Times New Roman" w:eastAsia="宋体" w:cs="Times New Roman"/>
                    </w:rPr>
                    <w:t>1.1%</w:t>
                  </w:r>
                </w:p>
              </w:tc>
            </w:tr>
            <w:tr w14:paraId="5739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4" w:type="dxa"/>
                  <w:noWrap w:val="0"/>
                  <w:vAlign w:val="center"/>
                </w:tcPr>
                <w:p w14:paraId="0D243940">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default" w:ascii="宋体" w:hAnsi="Times New Roman" w:eastAsia="宋体" w:cs="Times New Roman"/>
                      <w:lang w:val="en-US" w:eastAsia="zh-CN"/>
                    </w:rPr>
                  </w:pPr>
                  <w:r>
                    <w:rPr>
                      <w:rFonts w:hint="eastAsia" w:ascii="宋体" w:hAnsi="Times New Roman" w:eastAsia="宋体" w:cs="Times New Roman"/>
                      <w:lang w:val="en-US" w:eastAsia="zh-CN"/>
                    </w:rPr>
                    <w:t>500-1000</w:t>
                  </w:r>
                </w:p>
              </w:tc>
              <w:tc>
                <w:tcPr>
                  <w:tcW w:w="3617" w:type="dxa"/>
                  <w:noWrap w:val="0"/>
                  <w:vAlign w:val="center"/>
                </w:tcPr>
                <w:p w14:paraId="0D06D3D9">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eastAsia" w:ascii="宋体" w:hAnsi="Times New Roman" w:eastAsia="宋体" w:cs="Times New Roman"/>
                    </w:rPr>
                  </w:pPr>
                  <w:r>
                    <w:rPr>
                      <w:rFonts w:hint="eastAsia" w:ascii="宋体" w:hAnsi="Times New Roman" w:eastAsia="宋体" w:cs="Times New Roman"/>
                    </w:rPr>
                    <w:t>0.8%</w:t>
                  </w:r>
                </w:p>
              </w:tc>
            </w:tr>
            <w:tr w14:paraId="0F82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4" w:type="dxa"/>
                  <w:noWrap w:val="0"/>
                  <w:vAlign w:val="center"/>
                </w:tcPr>
                <w:p w14:paraId="4EB714A5">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default" w:ascii="宋体" w:hAnsi="Times New Roman" w:eastAsia="宋体" w:cs="Times New Roman"/>
                      <w:lang w:val="en-US" w:eastAsia="zh-CN"/>
                    </w:rPr>
                  </w:pPr>
                  <w:r>
                    <w:rPr>
                      <w:rFonts w:hint="eastAsia" w:ascii="宋体" w:hAnsi="Times New Roman" w:eastAsia="宋体" w:cs="Times New Roman"/>
                      <w:lang w:val="en-US" w:eastAsia="zh-CN"/>
                    </w:rPr>
                    <w:t>1000-5000</w:t>
                  </w:r>
                </w:p>
              </w:tc>
              <w:tc>
                <w:tcPr>
                  <w:tcW w:w="3617" w:type="dxa"/>
                  <w:noWrap w:val="0"/>
                  <w:vAlign w:val="center"/>
                </w:tcPr>
                <w:p w14:paraId="3E25CB2F">
                  <w:pPr>
                    <w:keepNext w:val="0"/>
                    <w:keepLines w:val="0"/>
                    <w:pageBreakBefore w:val="0"/>
                    <w:widowControl w:val="0"/>
                    <w:tabs>
                      <w:tab w:val="left" w:pos="8640"/>
                    </w:tabs>
                    <w:kinsoku/>
                    <w:wordWrap/>
                    <w:overflowPunct/>
                    <w:topLinePunct w:val="0"/>
                    <w:autoSpaceDE/>
                    <w:autoSpaceDN/>
                    <w:bidi w:val="0"/>
                    <w:adjustRightInd/>
                    <w:snapToGrid/>
                    <w:spacing w:beforeAutospacing="0" w:afterAutospacing="0" w:line="240" w:lineRule="auto"/>
                    <w:ind w:firstLine="0"/>
                    <w:jc w:val="center"/>
                    <w:textAlignment w:val="auto"/>
                    <w:rPr>
                      <w:rFonts w:hint="eastAsia" w:ascii="宋体" w:hAnsi="Times New Roman" w:eastAsia="宋体" w:cs="Times New Roman"/>
                    </w:rPr>
                  </w:pPr>
                  <w:r>
                    <w:rPr>
                      <w:rFonts w:hint="eastAsia" w:ascii="宋体" w:hAnsi="Times New Roman" w:eastAsia="宋体" w:cs="Times New Roman"/>
                    </w:rPr>
                    <w:t>0.</w:t>
                  </w:r>
                  <w:r>
                    <w:rPr>
                      <w:rFonts w:hint="eastAsia" w:ascii="宋体" w:hAnsi="Times New Roman" w:eastAsia="宋体" w:cs="Times New Roman"/>
                      <w:lang w:val="en-US" w:eastAsia="zh-CN"/>
                    </w:rPr>
                    <w:t>5</w:t>
                  </w:r>
                  <w:r>
                    <w:rPr>
                      <w:rFonts w:hint="eastAsia" w:ascii="宋体" w:hAnsi="Times New Roman" w:eastAsia="宋体" w:cs="Times New Roman"/>
                    </w:rPr>
                    <w:t>%</w:t>
                  </w:r>
                </w:p>
              </w:tc>
            </w:tr>
          </w:tbl>
          <w:p w14:paraId="33791348">
            <w:pPr>
              <w:jc w:val="left"/>
              <w:rPr>
                <w:sz w:val="24"/>
              </w:rPr>
            </w:pPr>
            <w:r>
              <w:rPr>
                <w:sz w:val="24"/>
              </w:rPr>
              <w:t>缴纳时间：</w:t>
            </w:r>
            <w:r>
              <w:rPr>
                <w:rFonts w:hint="eastAsia"/>
                <w:sz w:val="24"/>
              </w:rPr>
              <w:t>成交供应商在领取成交通知书时向采购代理机构缴纳代理服务费</w:t>
            </w:r>
            <w:r>
              <w:rPr>
                <w:sz w:val="24"/>
              </w:rPr>
              <w:t xml:space="preserve">。 </w:t>
            </w:r>
          </w:p>
          <w:p w14:paraId="00C0CD2C">
            <w:pPr>
              <w:jc w:val="left"/>
              <w:rPr>
                <w:rFonts w:hint="eastAsia"/>
                <w:sz w:val="24"/>
              </w:rPr>
            </w:pPr>
            <w:r>
              <w:rPr>
                <w:rFonts w:hint="eastAsia"/>
                <w:sz w:val="24"/>
              </w:rPr>
              <w:t>缴纳方式：在递交响应文件时，供应商向采购代理机构送交代理服务费承诺书。成交供应商在领取成交通知书时一次向采购代理机构缴纳所有代理服务费。</w:t>
            </w:r>
          </w:p>
          <w:p w14:paraId="5D3B01E6">
            <w:pPr>
              <w:jc w:val="left"/>
              <w:rPr>
                <w:rFonts w:hint="eastAsia"/>
                <w:sz w:val="24"/>
              </w:rPr>
            </w:pPr>
            <w:r>
              <w:rPr>
                <w:rFonts w:hint="eastAsia"/>
                <w:sz w:val="24"/>
              </w:rPr>
              <w:t>开户名（全称）：北京宏信天诚国际招标有限公司</w:t>
            </w:r>
          </w:p>
          <w:p w14:paraId="4E6B8CD7">
            <w:pPr>
              <w:jc w:val="left"/>
              <w:rPr>
                <w:rFonts w:hint="eastAsia"/>
                <w:sz w:val="24"/>
              </w:rPr>
            </w:pPr>
            <w:r>
              <w:rPr>
                <w:rFonts w:hint="eastAsia"/>
                <w:sz w:val="24"/>
              </w:rPr>
              <w:t>开户银行：北京银行股份有限公司清华园支行</w:t>
            </w:r>
          </w:p>
          <w:p w14:paraId="0F4ED528">
            <w:pPr>
              <w:jc w:val="left"/>
              <w:rPr>
                <w:rFonts w:hint="eastAsia"/>
                <w:sz w:val="24"/>
              </w:rPr>
            </w:pPr>
            <w:r>
              <w:rPr>
                <w:rFonts w:hint="eastAsia"/>
                <w:sz w:val="24"/>
              </w:rPr>
              <w:t>帐号：20000062274900106153382</w:t>
            </w:r>
          </w:p>
        </w:tc>
      </w:tr>
    </w:tbl>
    <w:p w14:paraId="44AAF21F">
      <w:pPr>
        <w:tabs>
          <w:tab w:val="left" w:pos="5580"/>
        </w:tabs>
        <w:adjustRightInd w:val="0"/>
        <w:spacing w:line="360" w:lineRule="auto"/>
        <w:jc w:val="distribute"/>
        <w:rPr>
          <w:sz w:val="24"/>
        </w:rPr>
        <w:sectPr>
          <w:footerReference r:id="rId4" w:type="first"/>
          <w:footerReference r:id="rId3" w:type="default"/>
          <w:pgSz w:w="11907" w:h="16840"/>
          <w:pgMar w:top="1417" w:right="1134" w:bottom="1417" w:left="1701" w:header="851" w:footer="851" w:gutter="0"/>
          <w:pgNumType w:start="1"/>
          <w:cols w:space="720" w:num="1"/>
          <w:titlePg/>
          <w:docGrid w:linePitch="462" w:charSpace="0"/>
        </w:sectPr>
      </w:pPr>
    </w:p>
    <w:p w14:paraId="17934EA0">
      <w:pPr>
        <w:spacing w:before="240" w:beforeLines="100" w:after="240" w:afterLines="100"/>
        <w:jc w:val="center"/>
        <w:rPr>
          <w:b/>
          <w:sz w:val="28"/>
          <w:szCs w:val="28"/>
        </w:rPr>
      </w:pPr>
      <w:r>
        <w:rPr>
          <w:b/>
          <w:sz w:val="28"/>
          <w:szCs w:val="28"/>
        </w:rPr>
        <w:t>供应商须知</w:t>
      </w:r>
    </w:p>
    <w:p w14:paraId="47202A2A">
      <w:pPr>
        <w:pStyle w:val="3"/>
        <w:tabs>
          <w:tab w:val="center" w:pos="4592"/>
          <w:tab w:val="left" w:pos="7860"/>
        </w:tabs>
        <w:spacing w:before="0" w:line="360" w:lineRule="auto"/>
        <w:jc w:val="left"/>
        <w:rPr>
          <w:rFonts w:ascii="Times New Roman" w:hAnsi="Times New Roman" w:eastAsia="宋体"/>
          <w:sz w:val="28"/>
        </w:rPr>
      </w:pPr>
      <w:bookmarkStart w:id="83" w:name="_Toc520356143"/>
      <w:bookmarkStart w:id="84" w:name="_Toc127151518"/>
      <w:r>
        <w:rPr>
          <w:rFonts w:ascii="Times New Roman" w:hAnsi="Times New Roman" w:eastAsia="宋体"/>
          <w:sz w:val="28"/>
        </w:rPr>
        <w:tab/>
      </w:r>
      <w:bookmarkStart w:id="85" w:name="_Toc151193832"/>
      <w:bookmarkStart w:id="86" w:name="_Toc305158786"/>
      <w:bookmarkStart w:id="87" w:name="_Toc195842883"/>
      <w:bookmarkStart w:id="88" w:name="_Toc150774723"/>
      <w:bookmarkStart w:id="89" w:name="_Toc226337214"/>
      <w:bookmarkStart w:id="90" w:name="_Toc151193906"/>
      <w:bookmarkStart w:id="91" w:name="_Toc142311020"/>
      <w:bookmarkStart w:id="92" w:name="_Toc226965708"/>
      <w:bookmarkStart w:id="93" w:name="_Toc151193688"/>
      <w:bookmarkStart w:id="94" w:name="_Toc226965791"/>
      <w:bookmarkStart w:id="95" w:name="_Toc264969208"/>
      <w:bookmarkStart w:id="96" w:name="_Toc305158860"/>
      <w:bookmarkStart w:id="97" w:name="_Toc151193616"/>
      <w:bookmarkStart w:id="98" w:name="_Toc150480756"/>
      <w:bookmarkStart w:id="99" w:name="_Toc151190145"/>
      <w:bookmarkStart w:id="100" w:name="_Toc265228356"/>
      <w:bookmarkStart w:id="101" w:name="_Toc151193760"/>
      <w:bookmarkStart w:id="102" w:name="_Toc226309762"/>
      <w:bookmarkStart w:id="103" w:name="_Toc150774618"/>
      <w:bookmarkStart w:id="104" w:name="_Toc150509269"/>
      <w:r>
        <w:rPr>
          <w:rFonts w:ascii="Times New Roman" w:hAnsi="Times New Roman" w:eastAsia="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宋体"/>
          <w:sz w:val="28"/>
        </w:rPr>
        <w:tab/>
      </w:r>
    </w:p>
    <w:p w14:paraId="0A161104">
      <w:pPr>
        <w:numPr>
          <w:ilvl w:val="0"/>
          <w:numId w:val="8"/>
        </w:numPr>
        <w:tabs>
          <w:tab w:val="left" w:pos="360"/>
          <w:tab w:val="clear" w:pos="900"/>
        </w:tabs>
        <w:snapToGrid w:val="0"/>
        <w:spacing w:line="360" w:lineRule="auto"/>
        <w:ind w:left="357" w:hanging="357"/>
        <w:outlineLvl w:val="1"/>
        <w:rPr>
          <w:sz w:val="24"/>
        </w:rPr>
      </w:pPr>
      <w:bookmarkStart w:id="105" w:name="_Toc305158861"/>
      <w:bookmarkStart w:id="106" w:name="_Toc264969209"/>
      <w:bookmarkStart w:id="107" w:name="_Toc265228357"/>
      <w:bookmarkStart w:id="108" w:name="_Toc305158787"/>
      <w:r>
        <w:rPr>
          <w:sz w:val="24"/>
        </w:rPr>
        <w:t>采购人、采购代理机构、供应商</w:t>
      </w:r>
      <w:bookmarkEnd w:id="105"/>
      <w:bookmarkEnd w:id="106"/>
      <w:bookmarkEnd w:id="107"/>
      <w:bookmarkEnd w:id="108"/>
      <w:r>
        <w:rPr>
          <w:sz w:val="24"/>
        </w:rPr>
        <w:t>、联合体</w:t>
      </w:r>
    </w:p>
    <w:p w14:paraId="0E47439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B9E1BC2">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2688CA1">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1EE8837">
      <w:pPr>
        <w:numPr>
          <w:ilvl w:val="0"/>
          <w:numId w:val="8"/>
        </w:numPr>
        <w:tabs>
          <w:tab w:val="left" w:pos="360"/>
          <w:tab w:val="clear" w:pos="900"/>
        </w:tabs>
        <w:snapToGrid w:val="0"/>
        <w:spacing w:line="360" w:lineRule="auto"/>
        <w:ind w:left="357" w:hanging="357"/>
        <w:outlineLvl w:val="1"/>
        <w:rPr>
          <w:sz w:val="24"/>
        </w:rPr>
      </w:pPr>
      <w:bookmarkStart w:id="109" w:name="_Toc127161434"/>
      <w:bookmarkStart w:id="110" w:name="_Toc151193762"/>
      <w:bookmarkStart w:id="111" w:name="_Toc127151520"/>
      <w:bookmarkStart w:id="112" w:name="_Toc150480758"/>
      <w:bookmarkStart w:id="113" w:name="_Toc150774725"/>
      <w:bookmarkStart w:id="114" w:name="_Toc226965793"/>
      <w:bookmarkStart w:id="115" w:name="_Toc151193834"/>
      <w:bookmarkStart w:id="116" w:name="_Toc164351614"/>
      <w:bookmarkStart w:id="117" w:name="_Toc226309764"/>
      <w:bookmarkStart w:id="118" w:name="_Toc151190147"/>
      <w:bookmarkStart w:id="119" w:name="_Toc264969210"/>
      <w:bookmarkStart w:id="120" w:name="_Toc164229215"/>
      <w:bookmarkStart w:id="121" w:name="_Toc305158788"/>
      <w:bookmarkStart w:id="122" w:name="_Toc142311022"/>
      <w:bookmarkStart w:id="123" w:name="_Toc226965710"/>
      <w:bookmarkStart w:id="124" w:name="_Toc150774620"/>
      <w:bookmarkStart w:id="125" w:name="_Toc151193908"/>
      <w:bookmarkStart w:id="126" w:name="_Toc265228358"/>
      <w:bookmarkStart w:id="127" w:name="_Toc127151721"/>
      <w:bookmarkStart w:id="128" w:name="_Toc305158862"/>
      <w:bookmarkStart w:id="129" w:name="_Toc164608789"/>
      <w:bookmarkStart w:id="130" w:name="_Toc150509271"/>
      <w:bookmarkStart w:id="131" w:name="_Toc164229361"/>
      <w:bookmarkStart w:id="132" w:name="_Toc151193690"/>
      <w:bookmarkStart w:id="133" w:name="_Toc226337216"/>
      <w:bookmarkStart w:id="134" w:name="_Toc195842885"/>
      <w:bookmarkStart w:id="135" w:name="_Toc151193618"/>
      <w:bookmarkStart w:id="136" w:name="_Toc149720813"/>
      <w:bookmarkStart w:id="137" w:name="_Toc164608634"/>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、项目属性、科研仪器设备采购</w:t>
      </w:r>
    </w:p>
    <w:p w14:paraId="59D6A51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9EDE78F">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4CAD9C0E">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013D91A">
      <w:pPr>
        <w:numPr>
          <w:ilvl w:val="0"/>
          <w:numId w:val="8"/>
        </w:numPr>
        <w:tabs>
          <w:tab w:val="left" w:pos="360"/>
        </w:tabs>
        <w:snapToGrid w:val="0"/>
        <w:spacing w:line="360" w:lineRule="auto"/>
        <w:ind w:left="357" w:hanging="357"/>
        <w:outlineLvl w:val="1"/>
        <w:rPr>
          <w:sz w:val="24"/>
        </w:rPr>
      </w:pPr>
      <w:r>
        <w:rPr>
          <w:sz w:val="24"/>
        </w:rPr>
        <w:t>现场考察、磋商前答疑会</w:t>
      </w:r>
    </w:p>
    <w:p w14:paraId="17F0C05D">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8" w:name="_Toc151193692"/>
      <w:bookmarkStart w:id="139" w:name="_Toc226965795"/>
      <w:bookmarkStart w:id="140" w:name="_Toc520356146"/>
      <w:bookmarkStart w:id="141" w:name="_Toc127151522"/>
      <w:bookmarkStart w:id="142" w:name="_Toc226309766"/>
      <w:bookmarkStart w:id="143" w:name="_Toc265228360"/>
      <w:bookmarkStart w:id="144" w:name="_Toc150509273"/>
      <w:bookmarkStart w:id="145" w:name="_Toc195842887"/>
      <w:bookmarkStart w:id="146" w:name="_Toc226965712"/>
      <w:bookmarkStart w:id="147" w:name="_Toc305158790"/>
      <w:bookmarkStart w:id="148" w:name="_Toc151190149"/>
      <w:bookmarkStart w:id="149" w:name="_Toc151193836"/>
      <w:bookmarkStart w:id="150" w:name="_Toc151193764"/>
      <w:bookmarkStart w:id="151" w:name="_Toc150774622"/>
      <w:bookmarkStart w:id="152" w:name="_Toc142311024"/>
      <w:bookmarkStart w:id="153" w:name="_Toc305158864"/>
      <w:bookmarkStart w:id="154" w:name="_Toc150480760"/>
      <w:bookmarkStart w:id="155" w:name="_Toc226337218"/>
      <w:bookmarkStart w:id="156" w:name="_Toc151193620"/>
      <w:bookmarkStart w:id="157" w:name="_Toc150774727"/>
      <w:bookmarkStart w:id="158" w:name="_Toc264969212"/>
      <w:bookmarkStart w:id="159" w:name="_Toc151193910"/>
    </w:p>
    <w:p w14:paraId="7B5BDDC4">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A34997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9E01D4E">
      <w:pPr>
        <w:numPr>
          <w:ilvl w:val="1"/>
          <w:numId w:val="8"/>
        </w:numPr>
        <w:tabs>
          <w:tab w:val="left" w:pos="1080"/>
          <w:tab w:val="left" w:pos="2014"/>
        </w:tabs>
        <w:snapToGrid w:val="0"/>
        <w:spacing w:line="360" w:lineRule="auto"/>
        <w:ind w:left="1080" w:hanging="720"/>
        <w:outlineLvl w:val="2"/>
        <w:rPr>
          <w:sz w:val="24"/>
        </w:rPr>
      </w:pPr>
      <w:bookmarkStart w:id="160" w:name="_Toc12696"/>
      <w:r>
        <w:rPr>
          <w:rFonts w:hint="eastAsia"/>
          <w:sz w:val="24"/>
        </w:rPr>
        <w:t>采购本国货物、工程和服务</w:t>
      </w:r>
      <w:bookmarkEnd w:id="160"/>
    </w:p>
    <w:p w14:paraId="0025D0E8">
      <w:pPr>
        <w:numPr>
          <w:ilvl w:val="2"/>
          <w:numId w:val="8"/>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67F4BA9F">
      <w:pPr>
        <w:numPr>
          <w:ilvl w:val="2"/>
          <w:numId w:val="8"/>
        </w:numPr>
        <w:tabs>
          <w:tab w:val="left" w:pos="2014"/>
        </w:tabs>
        <w:snapToGrid w:val="0"/>
        <w:spacing w:line="360" w:lineRule="auto"/>
      </w:pPr>
      <w:r>
        <w:rPr>
          <w:rFonts w:hint="eastAsia"/>
          <w:sz w:val="24"/>
        </w:rPr>
        <w:t>本项目如接受非本国货物、工程、服务参与投标，则具体要求见第四章《采购需求》。</w:t>
      </w:r>
    </w:p>
    <w:p w14:paraId="28D4ABC5">
      <w:pPr>
        <w:numPr>
          <w:ilvl w:val="2"/>
          <w:numId w:val="8"/>
        </w:numPr>
        <w:tabs>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57C88A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20654D2">
      <w:pPr>
        <w:numPr>
          <w:ilvl w:val="2"/>
          <w:numId w:val="8"/>
        </w:numPr>
        <w:snapToGrid w:val="0"/>
        <w:spacing w:line="360" w:lineRule="auto"/>
        <w:rPr>
          <w:sz w:val="24"/>
        </w:rPr>
      </w:pPr>
      <w:r>
        <w:rPr>
          <w:sz w:val="24"/>
        </w:rPr>
        <w:t>中小企业定义：</w:t>
      </w:r>
    </w:p>
    <w:p w14:paraId="150487C3">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4C27334">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E303D38">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CCBBD97">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3DD3A025">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1296C242">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92514AD">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338A860D">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8FC2DC">
      <w:pPr>
        <w:numPr>
          <w:ilvl w:val="2"/>
          <w:numId w:val="8"/>
        </w:numPr>
        <w:snapToGrid w:val="0"/>
        <w:spacing w:line="360" w:lineRule="auto"/>
        <w:rPr>
          <w:rFonts w:hint="eastAsia"/>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3C4EFCD">
      <w:pPr>
        <w:numPr>
          <w:ilvl w:val="3"/>
          <w:numId w:val="8"/>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18B4DA52">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F052499">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1748BB">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5E015EA">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78ACFED">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52AB86D">
      <w:pPr>
        <w:numPr>
          <w:ilvl w:val="2"/>
          <w:numId w:val="8"/>
        </w:numPr>
        <w:snapToGrid w:val="0"/>
        <w:spacing w:line="360" w:lineRule="auto"/>
        <w:rPr>
          <w:sz w:val="24"/>
        </w:rPr>
      </w:pPr>
      <w:r>
        <w:rPr>
          <w:sz w:val="24"/>
        </w:rPr>
        <w:t>本项目是否专门面向中小企业预留采购份额见第一章《采购邀请》。</w:t>
      </w:r>
    </w:p>
    <w:p w14:paraId="480C0F0D">
      <w:pPr>
        <w:numPr>
          <w:ilvl w:val="2"/>
          <w:numId w:val="8"/>
        </w:numPr>
        <w:snapToGrid w:val="0"/>
        <w:spacing w:line="360" w:lineRule="auto"/>
        <w:rPr>
          <w:sz w:val="24"/>
        </w:rPr>
      </w:pPr>
      <w:r>
        <w:rPr>
          <w:sz w:val="24"/>
        </w:rPr>
        <w:t>采购标的对应的中小企业划分标准所属行业见《供应商须知资料表》。</w:t>
      </w:r>
    </w:p>
    <w:p w14:paraId="79E37109">
      <w:pPr>
        <w:numPr>
          <w:ilvl w:val="2"/>
          <w:numId w:val="8"/>
        </w:numPr>
        <w:snapToGrid w:val="0"/>
        <w:spacing w:line="360" w:lineRule="auto"/>
        <w:rPr>
          <w:sz w:val="24"/>
        </w:rPr>
      </w:pPr>
      <w:r>
        <w:rPr>
          <w:sz w:val="24"/>
        </w:rPr>
        <w:t>小微企业价格评审优惠的政策调整：见第三章《评审方法和评审标准》。</w:t>
      </w:r>
    </w:p>
    <w:p w14:paraId="5ECA55E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7AC2741">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20602E">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0F85F1">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867B58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285565B8">
      <w:pPr>
        <w:numPr>
          <w:ilvl w:val="1"/>
          <w:numId w:val="8"/>
        </w:numPr>
        <w:tabs>
          <w:tab w:val="left" w:pos="1080"/>
          <w:tab w:val="left" w:pos="2014"/>
        </w:tabs>
        <w:snapToGrid w:val="0"/>
        <w:spacing w:line="360" w:lineRule="auto"/>
        <w:ind w:left="1080" w:hanging="720"/>
        <w:rPr>
          <w:sz w:val="24"/>
        </w:rPr>
      </w:pPr>
      <w:r>
        <w:rPr>
          <w:sz w:val="24"/>
        </w:rPr>
        <w:t>正版软件</w:t>
      </w:r>
    </w:p>
    <w:p w14:paraId="0FB7CEF9">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9083C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63F239">
      <w:pPr>
        <w:numPr>
          <w:ilvl w:val="1"/>
          <w:numId w:val="8"/>
        </w:numPr>
        <w:tabs>
          <w:tab w:val="left" w:pos="1080"/>
          <w:tab w:val="left" w:pos="2014"/>
        </w:tabs>
        <w:snapToGrid w:val="0"/>
        <w:spacing w:line="360" w:lineRule="auto"/>
        <w:ind w:left="1080" w:hanging="720"/>
        <w:rPr>
          <w:sz w:val="24"/>
        </w:rPr>
      </w:pPr>
      <w:r>
        <w:rPr>
          <w:rFonts w:hint="eastAsia"/>
          <w:sz w:val="24"/>
        </w:rPr>
        <w:t>网络安全专用产品</w:t>
      </w:r>
    </w:p>
    <w:p w14:paraId="55B97403">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CC2B5F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EE46728">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9399EAA">
      <w:pPr>
        <w:numPr>
          <w:ilvl w:val="1"/>
          <w:numId w:val="8"/>
        </w:numPr>
        <w:tabs>
          <w:tab w:val="left" w:pos="1080"/>
          <w:tab w:val="left" w:pos="2014"/>
        </w:tabs>
        <w:snapToGrid w:val="0"/>
        <w:spacing w:line="360" w:lineRule="auto"/>
        <w:ind w:left="1080" w:hanging="720"/>
        <w:outlineLvl w:val="2"/>
        <w:rPr>
          <w:sz w:val="24"/>
        </w:rPr>
      </w:pPr>
      <w:bookmarkStart w:id="161" w:name="_Toc8708"/>
      <w:r>
        <w:rPr>
          <w:rFonts w:hint="eastAsia"/>
          <w:sz w:val="24"/>
        </w:rPr>
        <w:t>采购需求标准</w:t>
      </w:r>
      <w:bookmarkEnd w:id="161"/>
    </w:p>
    <w:p w14:paraId="56E43C6B">
      <w:pPr>
        <w:numPr>
          <w:ilvl w:val="2"/>
          <w:numId w:val="8"/>
        </w:numPr>
        <w:tabs>
          <w:tab w:val="left" w:pos="2014"/>
        </w:tabs>
        <w:snapToGrid w:val="0"/>
        <w:spacing w:line="360" w:lineRule="auto"/>
        <w:rPr>
          <w:rFonts w:hint="eastAsia"/>
          <w:sz w:val="24"/>
        </w:rPr>
      </w:pPr>
      <w:r>
        <w:rPr>
          <w:rFonts w:hint="eastAsia"/>
          <w:sz w:val="24"/>
        </w:rPr>
        <w:t>商品包装、快递包装政府采购需求标准（试行）</w:t>
      </w:r>
    </w:p>
    <w:p w14:paraId="0AE2CD29">
      <w:pPr>
        <w:snapToGrid w:val="0"/>
        <w:spacing w:line="360" w:lineRule="auto"/>
        <w:ind w:left="1898" w:leftChars="904"/>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sz w:val="24"/>
        </w:rPr>
        <w:t>第四章</w:t>
      </w:r>
      <w:r>
        <w:rPr>
          <w:rFonts w:hint="eastAsia"/>
          <w:sz w:val="24"/>
        </w:rPr>
        <w:t>《采购需求》。</w:t>
      </w:r>
    </w:p>
    <w:p w14:paraId="39795BAE">
      <w:pPr>
        <w:numPr>
          <w:ilvl w:val="2"/>
          <w:numId w:val="8"/>
        </w:numPr>
        <w:tabs>
          <w:tab w:val="left" w:pos="2014"/>
        </w:tabs>
        <w:snapToGrid w:val="0"/>
        <w:spacing w:line="360" w:lineRule="auto"/>
        <w:rPr>
          <w:rFonts w:hint="eastAsia"/>
          <w:sz w:val="24"/>
        </w:rPr>
      </w:pPr>
      <w:r>
        <w:rPr>
          <w:rFonts w:hint="eastAsia"/>
          <w:sz w:val="24"/>
        </w:rPr>
        <w:t>绿色数据中心政府采购需求标准（试行）</w:t>
      </w:r>
    </w:p>
    <w:p w14:paraId="6922190E">
      <w:pPr>
        <w:numPr>
          <w:ilvl w:val="2"/>
          <w:numId w:val="8"/>
        </w:numPr>
        <w:snapToGrid w:val="0"/>
        <w:spacing w:line="360" w:lineRule="auto"/>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w:t>
      </w:r>
      <w:r>
        <w:rPr>
          <w:sz w:val="24"/>
        </w:rPr>
        <w:t>第四章</w:t>
      </w:r>
      <w:r>
        <w:rPr>
          <w:rFonts w:hint="eastAsia"/>
          <w:sz w:val="24"/>
        </w:rPr>
        <w:t>《采购需求》</w:t>
      </w:r>
      <w:r>
        <w:rPr>
          <w:sz w:val="24"/>
        </w:rPr>
        <w:t>。</w:t>
      </w:r>
    </w:p>
    <w:p w14:paraId="10CFD851">
      <w:pPr>
        <w:numPr>
          <w:ilvl w:val="0"/>
          <w:numId w:val="8"/>
        </w:numPr>
        <w:tabs>
          <w:tab w:val="left" w:pos="360"/>
        </w:tabs>
        <w:snapToGrid w:val="0"/>
        <w:spacing w:line="360" w:lineRule="auto"/>
        <w:ind w:left="357" w:hanging="357"/>
        <w:outlineLvl w:val="1"/>
        <w:rPr>
          <w:sz w:val="24"/>
        </w:rPr>
      </w:pPr>
      <w:r>
        <w:rPr>
          <w:sz w:val="24"/>
        </w:rPr>
        <w:t>响应费用</w:t>
      </w:r>
    </w:p>
    <w:p w14:paraId="2D0E11B8">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31CD502C">
      <w:pPr>
        <w:tabs>
          <w:tab w:val="left" w:pos="1080"/>
        </w:tabs>
        <w:snapToGrid w:val="0"/>
        <w:spacing w:line="360" w:lineRule="auto"/>
        <w:ind w:left="1080"/>
        <w:rPr>
          <w:sz w:val="28"/>
        </w:rPr>
      </w:pPr>
      <w:bookmarkStart w:id="162" w:name="_1.8_计量单位"/>
      <w:bookmarkEnd w:id="162"/>
    </w:p>
    <w:p w14:paraId="7A293225">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E3D5324">
      <w:pPr>
        <w:numPr>
          <w:ilvl w:val="0"/>
          <w:numId w:val="8"/>
        </w:numPr>
        <w:tabs>
          <w:tab w:val="left" w:pos="360"/>
        </w:tabs>
        <w:snapToGrid w:val="0"/>
        <w:spacing w:line="360" w:lineRule="auto"/>
        <w:ind w:left="357" w:hanging="357"/>
        <w:outlineLvl w:val="1"/>
        <w:rPr>
          <w:sz w:val="24"/>
        </w:rPr>
      </w:pPr>
      <w:bookmarkStart w:id="163" w:name="_Toc164351617"/>
      <w:bookmarkStart w:id="164" w:name="_Toc127161437"/>
      <w:bookmarkStart w:id="165" w:name="_Toc164229218"/>
      <w:bookmarkStart w:id="166" w:name="_Toc151193765"/>
      <w:bookmarkStart w:id="167" w:name="_Toc226965796"/>
      <w:bookmarkStart w:id="168" w:name="_Toc150774623"/>
      <w:bookmarkStart w:id="169" w:name="_Toc226309767"/>
      <w:bookmarkStart w:id="170" w:name="_Toc264969213"/>
      <w:bookmarkStart w:id="171" w:name="_Toc127151724"/>
      <w:bookmarkStart w:id="172" w:name="_Toc150480761"/>
      <w:bookmarkStart w:id="173" w:name="_Toc151193911"/>
      <w:bookmarkStart w:id="174" w:name="_Toc195842888"/>
      <w:bookmarkStart w:id="175" w:name="_Toc127151523"/>
      <w:bookmarkStart w:id="176" w:name="_Toc265228361"/>
      <w:bookmarkStart w:id="177" w:name="_Toc226337219"/>
      <w:bookmarkStart w:id="178" w:name="_Toc151193693"/>
      <w:bookmarkStart w:id="179" w:name="_Toc520356147"/>
      <w:bookmarkStart w:id="180" w:name="_Toc150774728"/>
      <w:bookmarkStart w:id="181" w:name="_Toc164229364"/>
      <w:bookmarkStart w:id="182" w:name="_Toc150509274"/>
      <w:bookmarkStart w:id="183" w:name="_Toc164608637"/>
      <w:bookmarkStart w:id="184" w:name="_Toc151193621"/>
      <w:bookmarkStart w:id="185" w:name="_Toc151190150"/>
      <w:bookmarkStart w:id="186" w:name="_Toc149720816"/>
      <w:bookmarkStart w:id="187" w:name="_Toc226965713"/>
      <w:bookmarkStart w:id="188" w:name="_Toc164608792"/>
      <w:bookmarkStart w:id="189" w:name="_Toc151193837"/>
      <w:bookmarkStart w:id="190" w:name="_Toc142311025"/>
      <w:bookmarkStart w:id="191" w:name="_Toc305158865"/>
      <w:bookmarkStart w:id="192" w:name="_Toc305158791"/>
      <w:r>
        <w:rPr>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sz w:val="24"/>
        </w:rPr>
        <w:t>成</w:t>
      </w:r>
    </w:p>
    <w:p w14:paraId="67203378">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55A0B8D2">
      <w:pPr>
        <w:numPr>
          <w:ilvl w:val="0"/>
          <w:numId w:val="9"/>
        </w:numPr>
        <w:tabs>
          <w:tab w:val="left" w:pos="1980"/>
          <w:tab w:val="left" w:pos="2520"/>
        </w:tabs>
        <w:snapToGrid w:val="0"/>
        <w:spacing w:line="360" w:lineRule="auto"/>
        <w:ind w:left="1440" w:firstLine="5"/>
        <w:rPr>
          <w:sz w:val="24"/>
        </w:rPr>
      </w:pPr>
      <w:r>
        <w:rPr>
          <w:sz w:val="24"/>
        </w:rPr>
        <w:t>采购邀请</w:t>
      </w:r>
    </w:p>
    <w:p w14:paraId="695CF99A">
      <w:pPr>
        <w:numPr>
          <w:ilvl w:val="0"/>
          <w:numId w:val="9"/>
        </w:numPr>
        <w:tabs>
          <w:tab w:val="left" w:pos="1980"/>
          <w:tab w:val="left" w:pos="2520"/>
        </w:tabs>
        <w:snapToGrid w:val="0"/>
        <w:spacing w:line="360" w:lineRule="auto"/>
        <w:ind w:left="1440" w:firstLine="5"/>
        <w:rPr>
          <w:sz w:val="24"/>
        </w:rPr>
      </w:pPr>
      <w:r>
        <w:rPr>
          <w:sz w:val="24"/>
        </w:rPr>
        <w:t>供应商须知</w:t>
      </w:r>
    </w:p>
    <w:p w14:paraId="02C19874">
      <w:pPr>
        <w:numPr>
          <w:ilvl w:val="0"/>
          <w:numId w:val="9"/>
        </w:numPr>
        <w:tabs>
          <w:tab w:val="left" w:pos="1980"/>
          <w:tab w:val="left" w:pos="2520"/>
        </w:tabs>
        <w:snapToGrid w:val="0"/>
        <w:spacing w:line="360" w:lineRule="auto"/>
        <w:ind w:left="1440" w:firstLine="5"/>
        <w:rPr>
          <w:sz w:val="24"/>
        </w:rPr>
      </w:pPr>
      <w:r>
        <w:rPr>
          <w:sz w:val="24"/>
        </w:rPr>
        <w:t>评审方法和评审标准</w:t>
      </w:r>
    </w:p>
    <w:p w14:paraId="39EAD8FC">
      <w:pPr>
        <w:numPr>
          <w:ilvl w:val="0"/>
          <w:numId w:val="9"/>
        </w:numPr>
        <w:tabs>
          <w:tab w:val="left" w:pos="1980"/>
          <w:tab w:val="left" w:pos="2520"/>
        </w:tabs>
        <w:snapToGrid w:val="0"/>
        <w:spacing w:line="360" w:lineRule="auto"/>
        <w:ind w:left="1440" w:firstLine="5"/>
        <w:rPr>
          <w:sz w:val="24"/>
        </w:rPr>
      </w:pPr>
      <w:r>
        <w:rPr>
          <w:sz w:val="24"/>
        </w:rPr>
        <w:t>采购需求</w:t>
      </w:r>
    </w:p>
    <w:p w14:paraId="2F68F4F2">
      <w:pPr>
        <w:numPr>
          <w:ilvl w:val="0"/>
          <w:numId w:val="9"/>
        </w:numPr>
        <w:tabs>
          <w:tab w:val="left" w:pos="1980"/>
          <w:tab w:val="left" w:pos="2520"/>
        </w:tabs>
        <w:snapToGrid w:val="0"/>
        <w:spacing w:line="360" w:lineRule="auto"/>
        <w:ind w:left="1440" w:firstLine="5"/>
        <w:rPr>
          <w:sz w:val="24"/>
        </w:rPr>
      </w:pPr>
      <w:r>
        <w:rPr>
          <w:sz w:val="24"/>
        </w:rPr>
        <w:t>合同草案条款</w:t>
      </w:r>
    </w:p>
    <w:p w14:paraId="1063B28F">
      <w:pPr>
        <w:numPr>
          <w:ilvl w:val="0"/>
          <w:numId w:val="9"/>
        </w:numPr>
        <w:tabs>
          <w:tab w:val="left" w:pos="1980"/>
          <w:tab w:val="left" w:pos="2520"/>
        </w:tabs>
        <w:snapToGrid w:val="0"/>
        <w:spacing w:line="360" w:lineRule="auto"/>
        <w:ind w:left="1440" w:firstLine="5"/>
        <w:rPr>
          <w:sz w:val="24"/>
        </w:rPr>
      </w:pPr>
      <w:r>
        <w:rPr>
          <w:sz w:val="24"/>
        </w:rPr>
        <w:t>响应文件格式</w:t>
      </w:r>
    </w:p>
    <w:p w14:paraId="7FBC58ED">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B551F96">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17FB56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62BB79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A6BDE5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5天前；不足上述时间的，将顺延提交响应文件的截止时间。</w:t>
      </w:r>
    </w:p>
    <w:p w14:paraId="79F46A14">
      <w:pPr>
        <w:tabs>
          <w:tab w:val="left" w:pos="1080"/>
          <w:tab w:val="left" w:pos="1561"/>
        </w:tabs>
        <w:snapToGrid w:val="0"/>
        <w:spacing w:line="360" w:lineRule="auto"/>
        <w:ind w:left="1080"/>
        <w:rPr>
          <w:sz w:val="28"/>
        </w:rPr>
      </w:pPr>
      <w:bookmarkStart w:id="193" w:name="_Toc516367020"/>
      <w:bookmarkStart w:id="194" w:name="_Toc264969216"/>
      <w:bookmarkStart w:id="195" w:name="_Toc151193624"/>
      <w:bookmarkStart w:id="196" w:name="_Toc265228364"/>
      <w:bookmarkStart w:id="197" w:name="_Toc151190153"/>
      <w:bookmarkStart w:id="198" w:name="_Toc151193768"/>
      <w:bookmarkStart w:id="199" w:name="_Toc151193914"/>
      <w:bookmarkStart w:id="200" w:name="_Toc151193696"/>
      <w:bookmarkStart w:id="201" w:name="_Toc150774626"/>
      <w:bookmarkStart w:id="202" w:name="_Toc226309770"/>
      <w:bookmarkStart w:id="203" w:name="_Toc226337222"/>
      <w:bookmarkStart w:id="204" w:name="_Toc305158794"/>
      <w:bookmarkStart w:id="205" w:name="_Toc195842891"/>
      <w:bookmarkStart w:id="206" w:name="_Toc150509277"/>
      <w:bookmarkStart w:id="207" w:name="_Toc226965716"/>
      <w:bookmarkStart w:id="208" w:name="_Toc520356150"/>
      <w:bookmarkStart w:id="209" w:name="_Toc305158868"/>
      <w:bookmarkStart w:id="210" w:name="_Toc127151526"/>
      <w:bookmarkStart w:id="211" w:name="_Toc150480764"/>
      <w:bookmarkStart w:id="212" w:name="_Toc150774731"/>
      <w:bookmarkStart w:id="213" w:name="_Toc226965799"/>
      <w:bookmarkStart w:id="214" w:name="_Toc142311028"/>
      <w:bookmarkStart w:id="215" w:name="_Toc151193840"/>
    </w:p>
    <w:p w14:paraId="4DD83AC0">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3"/>
      <w:r>
        <w:rPr>
          <w:rFonts w:ascii="Times New Roman" w:hAnsi="Times New Roman" w:eastAsia="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18382F2">
      <w:pPr>
        <w:numPr>
          <w:ilvl w:val="0"/>
          <w:numId w:val="8"/>
        </w:numPr>
        <w:tabs>
          <w:tab w:val="left" w:pos="360"/>
        </w:tabs>
        <w:snapToGrid w:val="0"/>
        <w:spacing w:line="360" w:lineRule="auto"/>
        <w:ind w:left="357" w:hanging="357"/>
        <w:outlineLvl w:val="1"/>
        <w:rPr>
          <w:sz w:val="24"/>
        </w:rPr>
      </w:pPr>
      <w:bookmarkStart w:id="216" w:name="_Toc195842892"/>
      <w:bookmarkStart w:id="217" w:name="_Toc164229222"/>
      <w:bookmarkStart w:id="218" w:name="_Toc149720820"/>
      <w:bookmarkStart w:id="219" w:name="_Toc164608796"/>
      <w:bookmarkStart w:id="220" w:name="_Toc151190154"/>
      <w:bookmarkStart w:id="221" w:name="_Toc516367021"/>
      <w:bookmarkStart w:id="222" w:name="_Toc164608641"/>
      <w:bookmarkStart w:id="223" w:name="_Toc150774627"/>
      <w:bookmarkStart w:id="224" w:name="_Toc151193625"/>
      <w:bookmarkStart w:id="225" w:name="_Toc127161441"/>
      <w:bookmarkStart w:id="226" w:name="_Toc264969217"/>
      <w:bookmarkStart w:id="227" w:name="_Toc265228365"/>
      <w:bookmarkStart w:id="228" w:name="_Toc164351621"/>
      <w:bookmarkStart w:id="229" w:name="_Toc127151527"/>
      <w:bookmarkStart w:id="230" w:name="_Toc226309771"/>
      <w:bookmarkStart w:id="231" w:name="_Toc150774732"/>
      <w:bookmarkStart w:id="232" w:name="_Toc305158795"/>
      <w:bookmarkStart w:id="233" w:name="_Toc127151728"/>
      <w:bookmarkStart w:id="234" w:name="_Toc520356151"/>
      <w:bookmarkStart w:id="235" w:name="_Toc305158869"/>
      <w:bookmarkStart w:id="236" w:name="_Toc150480765"/>
      <w:bookmarkStart w:id="237" w:name="_Toc164229368"/>
      <w:bookmarkStart w:id="238" w:name="_Toc142311029"/>
      <w:bookmarkStart w:id="239" w:name="_Toc226337223"/>
      <w:bookmarkStart w:id="240" w:name="_Toc151193769"/>
      <w:bookmarkStart w:id="241" w:name="_Toc151193697"/>
      <w:bookmarkStart w:id="242" w:name="_Toc226965717"/>
      <w:bookmarkStart w:id="243" w:name="_Toc226965800"/>
      <w:bookmarkStart w:id="244" w:name="_Toc151193841"/>
      <w:bookmarkStart w:id="245" w:name="_Toc151193915"/>
      <w:bookmarkStart w:id="246" w:name="_Toc150509278"/>
      <w:r>
        <w:rPr>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及磋商语言</w:t>
      </w:r>
    </w:p>
    <w:p w14:paraId="367B2E22">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w:t>
      </w:r>
      <w:r>
        <w:rPr>
          <w:rFonts w:hint="eastAsia"/>
          <w:sz w:val="24"/>
        </w:rPr>
        <w:t>供应商应当对所参与采购包</w:t>
      </w:r>
      <w:r>
        <w:rPr>
          <w:sz w:val="24"/>
        </w:rPr>
        <w:t>对应第四章《采购需求》所列的全部内容进行响应，不得将一个采购包中的内容拆开响应，</w:t>
      </w:r>
      <w:r>
        <w:rPr>
          <w:rFonts w:hint="eastAsia"/>
          <w:sz w:val="24"/>
        </w:rPr>
        <w:t>否则其对该采购包的响应将被认定为</w:t>
      </w:r>
      <w:r>
        <w:rPr>
          <w:b/>
          <w:sz w:val="24"/>
        </w:rPr>
        <w:t>无效响应</w:t>
      </w:r>
      <w:r>
        <w:rPr>
          <w:sz w:val="24"/>
        </w:rPr>
        <w:t>。</w:t>
      </w:r>
    </w:p>
    <w:p w14:paraId="2F427351">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2E46500F">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CF59AD8">
      <w:pPr>
        <w:numPr>
          <w:ilvl w:val="0"/>
          <w:numId w:val="8"/>
        </w:numPr>
        <w:tabs>
          <w:tab w:val="left" w:pos="360"/>
        </w:tabs>
        <w:snapToGrid w:val="0"/>
        <w:spacing w:line="360" w:lineRule="auto"/>
        <w:ind w:left="357" w:hanging="357"/>
        <w:outlineLvl w:val="1"/>
        <w:rPr>
          <w:sz w:val="24"/>
        </w:rPr>
      </w:pPr>
      <w:bookmarkStart w:id="247" w:name="_Toc516367022"/>
      <w:bookmarkStart w:id="248" w:name="_Ref467306676"/>
      <w:bookmarkStart w:id="249" w:name="_Ref467306195"/>
      <w:bookmarkStart w:id="250" w:name="_Toc151190155"/>
      <w:bookmarkStart w:id="251" w:name="_Toc151193770"/>
      <w:bookmarkStart w:id="252" w:name="_Toc150480766"/>
      <w:bookmarkStart w:id="253" w:name="_Toc164608797"/>
      <w:bookmarkStart w:id="254" w:name="_Toc226965801"/>
      <w:bookmarkStart w:id="255" w:name="_Toc142311030"/>
      <w:bookmarkStart w:id="256" w:name="_Toc226965718"/>
      <w:bookmarkStart w:id="257" w:name="_Toc151193698"/>
      <w:bookmarkStart w:id="258" w:name="_Toc265228366"/>
      <w:bookmarkStart w:id="259" w:name="_Toc151193916"/>
      <w:bookmarkStart w:id="260" w:name="_Toc127151528"/>
      <w:bookmarkStart w:id="261" w:name="_Toc164351622"/>
      <w:bookmarkStart w:id="262" w:name="_Toc127161442"/>
      <w:bookmarkStart w:id="263" w:name="_Toc164608642"/>
      <w:bookmarkStart w:id="264" w:name="_Toc226337224"/>
      <w:bookmarkStart w:id="265" w:name="_Toc164229223"/>
      <w:bookmarkStart w:id="266" w:name="_Toc150774733"/>
      <w:bookmarkStart w:id="267" w:name="_Toc127151729"/>
      <w:bookmarkStart w:id="268" w:name="_Toc264969218"/>
      <w:bookmarkStart w:id="269" w:name="_Toc520356152"/>
      <w:bookmarkStart w:id="270" w:name="_Toc164229369"/>
      <w:bookmarkStart w:id="271" w:name="_Toc226309772"/>
      <w:bookmarkStart w:id="272" w:name="_Toc195842893"/>
      <w:bookmarkStart w:id="273" w:name="_Toc151193626"/>
      <w:bookmarkStart w:id="274" w:name="_Toc151193842"/>
      <w:bookmarkStart w:id="275" w:name="_Toc305158796"/>
      <w:bookmarkStart w:id="276" w:name="_Toc150509279"/>
      <w:bookmarkStart w:id="277" w:name="_Toc305158870"/>
      <w:bookmarkStart w:id="278" w:name="_Toc149720821"/>
      <w:bookmarkStart w:id="279" w:name="_Toc150774628"/>
      <w:r>
        <w:rPr>
          <w:sz w:val="24"/>
        </w:rPr>
        <w:t>响应文件</w:t>
      </w:r>
      <w:bookmarkEnd w:id="247"/>
      <w:bookmarkEnd w:id="248"/>
      <w:bookmarkEnd w:id="249"/>
      <w:r>
        <w:rPr>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F4AA4BA">
      <w:pPr>
        <w:numPr>
          <w:ilvl w:val="1"/>
          <w:numId w:val="8"/>
        </w:numPr>
        <w:tabs>
          <w:tab w:val="left" w:pos="1080"/>
          <w:tab w:val="left" w:pos="2014"/>
        </w:tabs>
        <w:snapToGrid w:val="0"/>
        <w:spacing w:line="360" w:lineRule="auto"/>
        <w:ind w:left="1077" w:hanging="720"/>
        <w:rPr>
          <w:sz w:val="24"/>
        </w:rPr>
      </w:pPr>
      <w:bookmarkStart w:id="28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2EA48F0">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C64D311">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8931434">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4F5F89">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0"/>
    </w:p>
    <w:p w14:paraId="4A385488">
      <w:pPr>
        <w:numPr>
          <w:ilvl w:val="0"/>
          <w:numId w:val="8"/>
        </w:numPr>
        <w:tabs>
          <w:tab w:val="left" w:pos="360"/>
        </w:tabs>
        <w:snapToGrid w:val="0"/>
        <w:spacing w:line="360" w:lineRule="auto"/>
        <w:ind w:left="357" w:hanging="357"/>
        <w:outlineLvl w:val="1"/>
        <w:rPr>
          <w:sz w:val="24"/>
        </w:rPr>
      </w:pPr>
      <w:bookmarkStart w:id="281" w:name="_Toc127151731"/>
      <w:bookmarkStart w:id="282" w:name="_Toc195842895"/>
      <w:bookmarkStart w:id="283" w:name="_Toc151190157"/>
      <w:bookmarkStart w:id="284" w:name="_Toc150774735"/>
      <w:bookmarkStart w:id="285" w:name="_Toc150509281"/>
      <w:bookmarkStart w:id="286" w:name="_Toc127161444"/>
      <w:bookmarkStart w:id="287" w:name="_Toc164608799"/>
      <w:bookmarkStart w:id="288" w:name="_Toc127151530"/>
      <w:bookmarkStart w:id="289" w:name="_Toc520356155"/>
      <w:bookmarkStart w:id="290" w:name="_Toc164229225"/>
      <w:bookmarkStart w:id="291" w:name="_Toc151193844"/>
      <w:bookmarkStart w:id="292" w:name="_Toc164351624"/>
      <w:bookmarkStart w:id="293" w:name="_Toc151193628"/>
      <w:bookmarkStart w:id="294" w:name="_Toc164608644"/>
      <w:bookmarkStart w:id="295" w:name="_Toc150774630"/>
      <w:bookmarkStart w:id="296" w:name="_Toc151193918"/>
      <w:bookmarkStart w:id="297" w:name="_Toc149720823"/>
      <w:bookmarkStart w:id="298" w:name="_Toc150480768"/>
      <w:bookmarkStart w:id="299" w:name="_Toc151193700"/>
      <w:bookmarkStart w:id="300" w:name="_Toc164229371"/>
      <w:bookmarkStart w:id="301" w:name="_Toc142311032"/>
      <w:bookmarkStart w:id="302" w:name="_Toc151193772"/>
      <w:r>
        <w:rPr>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491D8F8">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5B4472CF">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42740E4">
      <w:pPr>
        <w:numPr>
          <w:ilvl w:val="2"/>
          <w:numId w:val="8"/>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2EA0874">
      <w:pPr>
        <w:numPr>
          <w:ilvl w:val="2"/>
          <w:numId w:val="8"/>
        </w:numPr>
        <w:snapToGrid w:val="0"/>
        <w:spacing w:line="360" w:lineRule="auto"/>
        <w:rPr>
          <w:sz w:val="24"/>
        </w:rPr>
      </w:pPr>
      <w:r>
        <w:rPr>
          <w:sz w:val="24"/>
        </w:rPr>
        <w:t>按照竞争性磋商文件要求完成本项</w:t>
      </w:r>
      <w:r>
        <w:rPr>
          <w:rFonts w:hint="eastAsia"/>
          <w:sz w:val="24"/>
        </w:rPr>
        <w:t>目的全部相关工程或服务费用。</w:t>
      </w:r>
    </w:p>
    <w:p w14:paraId="253477F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F3665B1">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5C7CE42">
      <w:pPr>
        <w:numPr>
          <w:ilvl w:val="0"/>
          <w:numId w:val="8"/>
        </w:numPr>
        <w:tabs>
          <w:tab w:val="left" w:pos="360"/>
        </w:tabs>
        <w:snapToGrid w:val="0"/>
        <w:spacing w:line="360" w:lineRule="auto"/>
        <w:ind w:left="357" w:hanging="357"/>
        <w:outlineLvl w:val="1"/>
        <w:rPr>
          <w:sz w:val="24"/>
        </w:rPr>
      </w:pPr>
      <w:r>
        <w:rPr>
          <w:sz w:val="24"/>
        </w:rPr>
        <w:t>磋商保证金</w:t>
      </w:r>
    </w:p>
    <w:p w14:paraId="13511C9B">
      <w:pPr>
        <w:numPr>
          <w:ilvl w:val="1"/>
          <w:numId w:val="8"/>
        </w:numPr>
        <w:tabs>
          <w:tab w:val="left" w:pos="1080"/>
          <w:tab w:val="left" w:pos="2014"/>
        </w:tabs>
        <w:snapToGrid w:val="0"/>
        <w:spacing w:line="360" w:lineRule="auto"/>
        <w:ind w:left="1077" w:hanging="720"/>
        <w:rPr>
          <w:sz w:val="24"/>
        </w:rPr>
      </w:pPr>
      <w:bookmarkStart w:id="303" w:name="_Ref467306302"/>
      <w:r>
        <w:rPr>
          <w:sz w:val="24"/>
        </w:rPr>
        <w:t>供应商应按《供应商须知资料表》中规定的金额及要求交纳磋商保证金</w:t>
      </w:r>
      <w:bookmarkEnd w:id="303"/>
      <w:r>
        <w:rPr>
          <w:sz w:val="24"/>
        </w:rPr>
        <w:t>，并作为其响应文件的一部分。</w:t>
      </w:r>
    </w:p>
    <w:p w14:paraId="2D4FB4F3">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8338FF9">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FBD03A8">
      <w:pPr>
        <w:numPr>
          <w:ilvl w:val="1"/>
          <w:numId w:val="8"/>
        </w:numPr>
        <w:tabs>
          <w:tab w:val="left" w:pos="1080"/>
          <w:tab w:val="left" w:pos="2014"/>
        </w:tabs>
        <w:snapToGrid w:val="0"/>
        <w:spacing w:line="360" w:lineRule="auto"/>
        <w:ind w:left="1077" w:hanging="720"/>
        <w:rPr>
          <w:sz w:val="24"/>
        </w:rPr>
      </w:pPr>
      <w:r>
        <w:rPr>
          <w:sz w:val="24"/>
        </w:rPr>
        <w:t>磋商保证金（保函）有效期同响应有效期。</w:t>
      </w:r>
    </w:p>
    <w:p w14:paraId="1C95DF9C">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4FC24E85">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B8CFC34">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87775E7">
      <w:pPr>
        <w:numPr>
          <w:ilvl w:val="2"/>
          <w:numId w:val="8"/>
        </w:numPr>
        <w:snapToGrid w:val="0"/>
        <w:spacing w:line="360" w:lineRule="auto"/>
        <w:rPr>
          <w:sz w:val="24"/>
        </w:rPr>
      </w:pPr>
      <w:r>
        <w:rPr>
          <w:sz w:val="24"/>
        </w:rPr>
        <w:t>成交供应商的磋商保证金，在采购合同签订后5个工作日内退还成交供应商；</w:t>
      </w:r>
    </w:p>
    <w:p w14:paraId="33131997">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59D62DD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477BC33C">
      <w:pPr>
        <w:numPr>
          <w:ilvl w:val="2"/>
          <w:numId w:val="8"/>
        </w:numPr>
        <w:snapToGrid w:val="0"/>
        <w:spacing w:line="360" w:lineRule="auto"/>
        <w:rPr>
          <w:sz w:val="24"/>
        </w:rPr>
      </w:pPr>
      <w:r>
        <w:rPr>
          <w:sz w:val="24"/>
        </w:rPr>
        <w:t>供应商在提交响应文件截止时间后撤回响应文件的；</w:t>
      </w:r>
    </w:p>
    <w:p w14:paraId="3CCA35F4">
      <w:pPr>
        <w:numPr>
          <w:ilvl w:val="2"/>
          <w:numId w:val="8"/>
        </w:numPr>
        <w:snapToGrid w:val="0"/>
        <w:spacing w:line="360" w:lineRule="auto"/>
        <w:rPr>
          <w:sz w:val="24"/>
        </w:rPr>
      </w:pPr>
      <w:r>
        <w:rPr>
          <w:sz w:val="24"/>
        </w:rPr>
        <w:t>供应商在响应文件中提供虚假材料的；</w:t>
      </w:r>
    </w:p>
    <w:p w14:paraId="0B8483C1">
      <w:pPr>
        <w:numPr>
          <w:ilvl w:val="2"/>
          <w:numId w:val="8"/>
        </w:numPr>
        <w:snapToGrid w:val="0"/>
        <w:spacing w:line="360" w:lineRule="auto"/>
        <w:rPr>
          <w:sz w:val="24"/>
        </w:rPr>
      </w:pPr>
      <w:r>
        <w:rPr>
          <w:sz w:val="24"/>
        </w:rPr>
        <w:t>除因不可抗力或磋商文件认可的情形以外，成交供应商不与采购人签订合同的；</w:t>
      </w:r>
    </w:p>
    <w:p w14:paraId="01C9540B">
      <w:pPr>
        <w:numPr>
          <w:ilvl w:val="2"/>
          <w:numId w:val="8"/>
        </w:numPr>
        <w:snapToGrid w:val="0"/>
        <w:spacing w:line="360" w:lineRule="auto"/>
        <w:rPr>
          <w:sz w:val="24"/>
        </w:rPr>
      </w:pPr>
      <w:r>
        <w:rPr>
          <w:sz w:val="24"/>
        </w:rPr>
        <w:t>供应商与采购人、其他供应商或者采购代理机构恶意串通的；</w:t>
      </w:r>
    </w:p>
    <w:p w14:paraId="7B1F3864">
      <w:pPr>
        <w:numPr>
          <w:ilvl w:val="2"/>
          <w:numId w:val="8"/>
        </w:numPr>
        <w:snapToGrid w:val="0"/>
        <w:spacing w:line="360" w:lineRule="auto"/>
        <w:rPr>
          <w:sz w:val="24"/>
        </w:rPr>
      </w:pPr>
      <w:r>
        <w:rPr>
          <w:sz w:val="24"/>
        </w:rPr>
        <w:t>《供应商须知资料表》规定的其他情形。</w:t>
      </w:r>
    </w:p>
    <w:p w14:paraId="1DB32F2C">
      <w:pPr>
        <w:numPr>
          <w:ilvl w:val="0"/>
          <w:numId w:val="8"/>
        </w:numPr>
        <w:tabs>
          <w:tab w:val="left" w:pos="360"/>
        </w:tabs>
        <w:snapToGrid w:val="0"/>
        <w:spacing w:line="360" w:lineRule="auto"/>
        <w:ind w:left="357" w:hanging="357"/>
        <w:outlineLvl w:val="1"/>
        <w:rPr>
          <w:sz w:val="24"/>
        </w:rPr>
      </w:pPr>
      <w:r>
        <w:rPr>
          <w:sz w:val="24"/>
        </w:rPr>
        <w:t>响应有效期</w:t>
      </w:r>
    </w:p>
    <w:p w14:paraId="6D909F5D">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E12CE6F">
      <w:pPr>
        <w:numPr>
          <w:ilvl w:val="0"/>
          <w:numId w:val="8"/>
        </w:numPr>
        <w:tabs>
          <w:tab w:val="left" w:pos="360"/>
        </w:tabs>
        <w:snapToGrid w:val="0"/>
        <w:spacing w:line="360" w:lineRule="auto"/>
        <w:ind w:left="357" w:hanging="357"/>
        <w:outlineLvl w:val="1"/>
        <w:rPr>
          <w:rFonts w:hint="eastAsia"/>
          <w:sz w:val="24"/>
        </w:rPr>
      </w:pPr>
      <w:bookmarkStart w:id="304" w:name="_Toc164229228"/>
      <w:bookmarkStart w:id="305" w:name="_Toc164229374"/>
      <w:bookmarkStart w:id="306" w:name="_Toc305158875"/>
      <w:bookmarkStart w:id="307" w:name="_Toc264969223"/>
      <w:bookmarkStart w:id="308" w:name="_Toc164351627"/>
      <w:bookmarkStart w:id="309" w:name="_Toc151193921"/>
      <w:bookmarkStart w:id="310" w:name="_Toc226337229"/>
      <w:bookmarkStart w:id="311" w:name="_Toc127161447"/>
      <w:bookmarkStart w:id="312" w:name="_Toc150774633"/>
      <w:bookmarkStart w:id="313" w:name="_Toc226965723"/>
      <w:bookmarkStart w:id="314" w:name="_Toc164608802"/>
      <w:bookmarkStart w:id="315" w:name="_Toc164608647"/>
      <w:bookmarkStart w:id="316" w:name="_Toc226965806"/>
      <w:bookmarkStart w:id="317" w:name="_Toc127151734"/>
      <w:bookmarkStart w:id="318" w:name="_Toc265228371"/>
      <w:bookmarkStart w:id="319" w:name="_Toc305158801"/>
      <w:bookmarkStart w:id="320" w:name="_Toc195842898"/>
      <w:bookmarkStart w:id="321" w:name="_Toc149720826"/>
      <w:bookmarkStart w:id="322" w:name="_Toc151193847"/>
      <w:bookmarkStart w:id="323" w:name="_Toc151193775"/>
      <w:bookmarkStart w:id="324" w:name="_Toc150480771"/>
      <w:bookmarkStart w:id="325" w:name="_Toc151190160"/>
      <w:bookmarkStart w:id="326" w:name="_Toc151193631"/>
      <w:bookmarkStart w:id="327" w:name="_Toc142311035"/>
      <w:bookmarkStart w:id="328" w:name="_Toc150509284"/>
      <w:bookmarkStart w:id="329" w:name="_Toc520356158"/>
      <w:bookmarkStart w:id="330" w:name="_Toc151193703"/>
      <w:bookmarkStart w:id="331" w:name="_Toc226309777"/>
      <w:bookmarkStart w:id="332" w:name="_Toc150774738"/>
      <w:bookmarkStart w:id="333" w:name="_Toc127151533"/>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14:paraId="2731000E">
      <w:pPr>
        <w:numPr>
          <w:ilvl w:val="1"/>
          <w:numId w:val="8"/>
        </w:numPr>
        <w:tabs>
          <w:tab w:val="left" w:pos="1080"/>
        </w:tabs>
        <w:snapToGrid w:val="0"/>
        <w:spacing w:line="360" w:lineRule="auto"/>
        <w:rPr>
          <w:sz w:val="24"/>
        </w:rPr>
      </w:pPr>
      <w:bookmarkStart w:id="334" w:name="_Toc520356159"/>
      <w:bookmarkStart w:id="335" w:name="_Toc150480772"/>
      <w:bookmarkStart w:id="336" w:name="_Toc265228372"/>
      <w:bookmarkStart w:id="337" w:name="_Toc151193848"/>
      <w:bookmarkStart w:id="338" w:name="_Toc151193922"/>
      <w:bookmarkStart w:id="339" w:name="_Toc142311036"/>
      <w:bookmarkStart w:id="340" w:name="_Toc305158802"/>
      <w:bookmarkStart w:id="341" w:name="_Toc150774634"/>
      <w:bookmarkStart w:id="342" w:name="_Toc151190161"/>
      <w:bookmarkStart w:id="343" w:name="_Toc264969224"/>
      <w:bookmarkStart w:id="344" w:name="_Toc305158876"/>
      <w:bookmarkStart w:id="345" w:name="_Toc151193704"/>
      <w:bookmarkStart w:id="346" w:name="_Toc150774739"/>
      <w:bookmarkStart w:id="347" w:name="_Toc150509285"/>
      <w:bookmarkStart w:id="348" w:name="_Toc151193776"/>
      <w:bookmarkStart w:id="349" w:name="_Toc226965807"/>
      <w:bookmarkStart w:id="350" w:name="_Toc226337230"/>
      <w:bookmarkStart w:id="351" w:name="_Toc151193632"/>
      <w:bookmarkStart w:id="352" w:name="_Toc195842899"/>
      <w:bookmarkStart w:id="353" w:name="_Toc226965724"/>
      <w:bookmarkStart w:id="354" w:name="_Toc127151534"/>
      <w:bookmarkStart w:id="355" w:name="_Toc226309778"/>
      <w:r>
        <w:rPr>
          <w:rFonts w:hint="eastAsia"/>
          <w:sz w:val="24"/>
        </w:rPr>
        <w:t>全流程电子投标的情形</w:t>
      </w:r>
      <w:r>
        <w:rPr>
          <w:rFonts w:hint="eastAsia"/>
          <w:b/>
          <w:sz w:val="24"/>
        </w:rPr>
        <w:t>（本项目不适用）</w:t>
      </w:r>
    </w:p>
    <w:p w14:paraId="23C1777E">
      <w:pPr>
        <w:tabs>
          <w:tab w:val="left" w:pos="1080"/>
          <w:tab w:val="left" w:pos="1589"/>
        </w:tabs>
        <w:snapToGrid w:val="0"/>
        <w:spacing w:line="360" w:lineRule="auto"/>
        <w:ind w:left="1468"/>
        <w:rPr>
          <w:sz w:val="24"/>
        </w:rPr>
      </w:pPr>
      <w:r>
        <w:rPr>
          <w:sz w:val="24"/>
        </w:rPr>
        <w:t>13</w:t>
      </w:r>
      <w:r>
        <w:rPr>
          <w:rFonts w:hint="eastAsia"/>
          <w:sz w:val="24"/>
        </w:rPr>
        <w:t>.</w:t>
      </w:r>
      <w:r>
        <w:rPr>
          <w:sz w:val="24"/>
        </w:rPr>
        <w:t>1.1竞争性磋商文件要求签字的内容（如授权委托书等），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3943A5E6">
      <w:pPr>
        <w:tabs>
          <w:tab w:val="left" w:pos="1080"/>
          <w:tab w:val="left" w:pos="1589"/>
        </w:tabs>
        <w:snapToGrid w:val="0"/>
        <w:spacing w:line="360" w:lineRule="auto"/>
        <w:ind w:left="1468"/>
        <w:rPr>
          <w:sz w:val="24"/>
        </w:rPr>
      </w:pPr>
      <w:r>
        <w:rPr>
          <w:rFonts w:hint="eastAsia"/>
          <w:sz w:val="24"/>
        </w:rPr>
        <w:t>1</w:t>
      </w:r>
      <w:r>
        <w:rPr>
          <w:sz w:val="24"/>
        </w:rPr>
        <w:t>3.1.2竞争性磋商文件要求盖章的内容，</w:t>
      </w:r>
      <w:r>
        <w:rPr>
          <w:rFonts w:hint="eastAsia"/>
          <w:sz w:val="24"/>
        </w:rPr>
        <w:t>一般</w:t>
      </w:r>
      <w:r>
        <w:rPr>
          <w:sz w:val="24"/>
        </w:rPr>
        <w:t>通过</w:t>
      </w:r>
      <w:r>
        <w:rPr>
          <w:rFonts w:hint="eastAsia"/>
          <w:sz w:val="24"/>
        </w:rPr>
        <w:t>响应文件</w:t>
      </w:r>
      <w:r>
        <w:rPr>
          <w:sz w:val="24"/>
        </w:rPr>
        <w:t>编制工具加盖电子签章。</w:t>
      </w:r>
    </w:p>
    <w:p w14:paraId="136B0211">
      <w:pPr>
        <w:numPr>
          <w:ilvl w:val="1"/>
          <w:numId w:val="8"/>
        </w:numPr>
        <w:tabs>
          <w:tab w:val="left" w:pos="1080"/>
          <w:tab w:val="left" w:pos="2014"/>
        </w:tabs>
        <w:snapToGrid w:val="0"/>
        <w:spacing w:line="360" w:lineRule="auto"/>
        <w:ind w:left="1077" w:hanging="720"/>
        <w:rPr>
          <w:sz w:val="24"/>
        </w:rPr>
      </w:pPr>
      <w:r>
        <w:rPr>
          <w:rFonts w:hint="eastAsia"/>
          <w:bCs/>
          <w:sz w:val="24"/>
        </w:rPr>
        <w:t>线上获取</w:t>
      </w:r>
      <w:r>
        <w:rPr>
          <w:sz w:val="24"/>
        </w:rPr>
        <w:t>竞争性磋商</w:t>
      </w:r>
      <w:r>
        <w:rPr>
          <w:rFonts w:hint="eastAsia"/>
          <w:bCs/>
          <w:sz w:val="24"/>
        </w:rPr>
        <w:t>文件，线下递交纸质响应文件的情形</w:t>
      </w:r>
      <w:r>
        <w:rPr>
          <w:rFonts w:hint="eastAsia"/>
          <w:b/>
          <w:sz w:val="24"/>
          <w:lang w:bidi="ar"/>
        </w:rPr>
        <w:t>（本项目适用）</w:t>
      </w:r>
    </w:p>
    <w:p w14:paraId="02960C5F">
      <w:pPr>
        <w:tabs>
          <w:tab w:val="left" w:pos="1080"/>
          <w:tab w:val="left" w:pos="1589"/>
        </w:tabs>
        <w:snapToGrid w:val="0"/>
        <w:spacing w:line="360" w:lineRule="auto"/>
        <w:ind w:left="1468"/>
        <w:rPr>
          <w:rFonts w:hint="eastAsia"/>
          <w:sz w:val="24"/>
        </w:rPr>
      </w:pPr>
      <w:r>
        <w:rPr>
          <w:rFonts w:hint="eastAsia"/>
          <w:sz w:val="24"/>
        </w:rPr>
        <w:t>1</w:t>
      </w:r>
      <w:r>
        <w:rPr>
          <w:sz w:val="24"/>
        </w:rPr>
        <w:t>3</w:t>
      </w:r>
      <w:r>
        <w:rPr>
          <w:rFonts w:hint="eastAsia"/>
          <w:sz w:val="24"/>
        </w:rPr>
        <w:t>.2.1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r>
        <w:rPr>
          <w:sz w:val="24"/>
        </w:rPr>
        <w:t>。</w:t>
      </w:r>
    </w:p>
    <w:p w14:paraId="7866244D">
      <w:pPr>
        <w:tabs>
          <w:tab w:val="left" w:pos="900"/>
          <w:tab w:val="left" w:pos="1080"/>
        </w:tabs>
        <w:snapToGrid w:val="0"/>
        <w:spacing w:line="360" w:lineRule="auto"/>
        <w:ind w:left="357"/>
      </w:pPr>
    </w:p>
    <w:p w14:paraId="79CB3FCC">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B91D461">
      <w:pPr>
        <w:numPr>
          <w:ilvl w:val="0"/>
          <w:numId w:val="8"/>
        </w:numPr>
        <w:tabs>
          <w:tab w:val="left" w:pos="360"/>
        </w:tabs>
        <w:snapToGrid w:val="0"/>
        <w:spacing w:line="360" w:lineRule="auto"/>
        <w:ind w:left="357" w:hanging="357"/>
        <w:outlineLvl w:val="1"/>
        <w:rPr>
          <w:rFonts w:hint="eastAsia"/>
          <w:sz w:val="24"/>
        </w:rPr>
      </w:pPr>
      <w:bookmarkStart w:id="356" w:name="_Toc164229376"/>
      <w:bookmarkStart w:id="357" w:name="_Toc151193923"/>
      <w:bookmarkStart w:id="358" w:name="_Toc151190162"/>
      <w:bookmarkStart w:id="359" w:name="_Toc127151736"/>
      <w:bookmarkStart w:id="360" w:name="_Toc305158803"/>
      <w:bookmarkStart w:id="361" w:name="_Toc150774635"/>
      <w:bookmarkStart w:id="362" w:name="_Toc151193849"/>
      <w:bookmarkStart w:id="363" w:name="_Toc149720828"/>
      <w:bookmarkStart w:id="364" w:name="_Toc164608649"/>
      <w:bookmarkStart w:id="365" w:name="_Toc127161449"/>
      <w:bookmarkStart w:id="366" w:name="_Toc226965808"/>
      <w:bookmarkStart w:id="367" w:name="_Toc195842900"/>
      <w:bookmarkStart w:id="368" w:name="_Toc226965725"/>
      <w:bookmarkStart w:id="369" w:name="_Toc164608804"/>
      <w:bookmarkStart w:id="370" w:name="_Toc520356160"/>
      <w:bookmarkStart w:id="371" w:name="_Toc164229230"/>
      <w:bookmarkStart w:id="372" w:name="_Toc226337231"/>
      <w:bookmarkStart w:id="373" w:name="_Toc151193633"/>
      <w:bookmarkStart w:id="374" w:name="_Toc151193705"/>
      <w:bookmarkStart w:id="375" w:name="_Toc164351629"/>
      <w:bookmarkStart w:id="376" w:name="_Toc226309779"/>
      <w:bookmarkStart w:id="377" w:name="_Toc150480773"/>
      <w:bookmarkStart w:id="378" w:name="_Toc142311037"/>
      <w:bookmarkStart w:id="379" w:name="_Toc127151535"/>
      <w:bookmarkStart w:id="380" w:name="_Toc264969225"/>
      <w:bookmarkStart w:id="381" w:name="_Toc265228373"/>
      <w:bookmarkStart w:id="382" w:name="_Toc150509286"/>
      <w:bookmarkStart w:id="383" w:name="_Toc150774740"/>
      <w:bookmarkStart w:id="384" w:name="_Toc305158877"/>
      <w:bookmarkStart w:id="385" w:name="_Toc151193777"/>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7917D905">
      <w:pPr>
        <w:numPr>
          <w:ilvl w:val="1"/>
          <w:numId w:val="8"/>
        </w:numPr>
        <w:tabs>
          <w:tab w:val="left" w:pos="1080"/>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14:paraId="132D5D9E">
      <w:pPr>
        <w:tabs>
          <w:tab w:val="left" w:pos="1080"/>
          <w:tab w:val="left" w:pos="1589"/>
          <w:tab w:val="left" w:pos="2014"/>
        </w:tabs>
        <w:snapToGrid w:val="0"/>
        <w:spacing w:line="360" w:lineRule="auto"/>
        <w:ind w:left="900"/>
        <w:rPr>
          <w:sz w:val="24"/>
        </w:rPr>
      </w:pPr>
      <w:r>
        <w:rPr>
          <w:rFonts w:hint="eastAsia"/>
          <w:sz w:val="24"/>
        </w:rPr>
        <w:t>1</w:t>
      </w:r>
      <w:r>
        <w:rPr>
          <w:sz w:val="24"/>
        </w:rPr>
        <w:t>4.1.1本项目使用北京市政府采购电子交易平台。供应商根据竞争性磋商文件及北京市政府采购电子交易平台供应商操作手册要求编制、生成并提交电子响应文件。</w:t>
      </w:r>
    </w:p>
    <w:p w14:paraId="3B4C3E29">
      <w:pPr>
        <w:tabs>
          <w:tab w:val="left" w:pos="1080"/>
          <w:tab w:val="left" w:pos="1589"/>
          <w:tab w:val="left" w:pos="2014"/>
        </w:tabs>
        <w:snapToGrid w:val="0"/>
        <w:spacing w:line="360" w:lineRule="auto"/>
        <w:ind w:left="900"/>
        <w:rPr>
          <w:rFonts w:hint="eastAsia"/>
          <w:sz w:val="24"/>
        </w:rPr>
      </w:pPr>
      <w:r>
        <w:rPr>
          <w:rFonts w:hint="eastAsia"/>
          <w:sz w:val="24"/>
        </w:rPr>
        <w:t>1</w:t>
      </w:r>
      <w:r>
        <w:rPr>
          <w:sz w:val="24"/>
        </w:rPr>
        <w:t>4.1.2采购人及采购代理机构拒绝接受通过电子交易平台以外任何形式提交的响应文件，磋商保证金除外。</w:t>
      </w:r>
    </w:p>
    <w:p w14:paraId="36E7F207">
      <w:pPr>
        <w:numPr>
          <w:ilvl w:val="1"/>
          <w:numId w:val="8"/>
        </w:numPr>
        <w:tabs>
          <w:tab w:val="left" w:pos="1080"/>
          <w:tab w:val="left" w:pos="2014"/>
        </w:tabs>
        <w:snapToGrid w:val="0"/>
        <w:spacing w:line="360" w:lineRule="auto"/>
        <w:ind w:left="1077" w:hanging="720"/>
        <w:rPr>
          <w:sz w:val="24"/>
        </w:rPr>
      </w:pPr>
      <w:r>
        <w:rPr>
          <w:rFonts w:hint="eastAsia"/>
          <w:sz w:val="24"/>
          <w:lang w:bidi="ar"/>
        </w:rPr>
        <w:t>采用线上获取</w:t>
      </w:r>
      <w:r>
        <w:rPr>
          <w:sz w:val="24"/>
        </w:rPr>
        <w:t>竞争性磋商</w:t>
      </w:r>
      <w:r>
        <w:rPr>
          <w:rFonts w:hint="eastAsia"/>
          <w:bCs/>
          <w:sz w:val="24"/>
        </w:rPr>
        <w:t>文件</w:t>
      </w:r>
      <w:r>
        <w:rPr>
          <w:rFonts w:hint="eastAsia"/>
          <w:sz w:val="24"/>
          <w:lang w:bidi="ar"/>
        </w:rPr>
        <w:t>，线下递交纸质响应文件的方式</w:t>
      </w:r>
      <w:r>
        <w:rPr>
          <w:rFonts w:hint="eastAsia"/>
          <w:b/>
          <w:bCs/>
          <w:sz w:val="24"/>
          <w:lang w:bidi="ar"/>
        </w:rPr>
        <w:t>（本项目适用）</w:t>
      </w:r>
    </w:p>
    <w:p w14:paraId="63092670">
      <w:pPr>
        <w:tabs>
          <w:tab w:val="left" w:pos="1080"/>
          <w:tab w:val="left" w:pos="2014"/>
        </w:tabs>
        <w:snapToGrid w:val="0"/>
        <w:spacing w:line="360" w:lineRule="auto"/>
        <w:ind w:left="900"/>
        <w:rPr>
          <w:rFonts w:hint="eastAsia"/>
          <w:sz w:val="24"/>
          <w:lang w:bidi="ar"/>
        </w:rPr>
      </w:pPr>
      <w:r>
        <w:rPr>
          <w:sz w:val="24"/>
          <w:lang w:bidi="ar"/>
        </w:rPr>
        <w:t>14.2.1</w:t>
      </w:r>
      <w:r>
        <w:rPr>
          <w:rFonts w:hint="eastAsia"/>
          <w:sz w:val="24"/>
          <w:lang w:bidi="ar"/>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2CA7389E">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.2.2</w:t>
      </w: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（正本一份、副本三份）、电子版（一份，U盘内容含响应文件WORD电子文档及盖章签字后的响应文件正本的PDF扫描件各一份）、磋商保证金（电汇底单复印件一份）分别密封提交</w:t>
      </w:r>
      <w:r>
        <w:rPr>
          <w:rFonts w:hint="eastAsia"/>
          <w:sz w:val="24"/>
          <w:lang w:bidi="ar"/>
        </w:rPr>
        <w:t>，并在信封上分别注明标明 “响应文件正本”、“响应文件副本”、“电子版”、“磋商保证金”字样，在响应文件提交时单独递交。同时提供“法人代表授权书复印件（加盖投标人公章）”及“授权代表身份证复印件（加盖投标人公章）”。</w:t>
      </w:r>
    </w:p>
    <w:p w14:paraId="15768371">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.2.3所有信封上均应：</w:t>
      </w:r>
    </w:p>
    <w:p w14:paraId="124F11B1">
      <w:pPr>
        <w:tabs>
          <w:tab w:val="left" w:pos="1080"/>
          <w:tab w:val="left" w:pos="2014"/>
        </w:tabs>
        <w:snapToGrid w:val="0"/>
        <w:spacing w:line="360" w:lineRule="auto"/>
        <w:ind w:left="900"/>
        <w:rPr>
          <w:rFonts w:hint="eastAsia"/>
          <w:sz w:val="24"/>
          <w:lang w:bidi="ar"/>
        </w:rPr>
      </w:pPr>
      <w:r>
        <w:rPr>
          <w:rFonts w:hint="eastAsia"/>
          <w:sz w:val="24"/>
          <w:lang w:bidi="ar"/>
        </w:rPr>
        <w:t>1）清楚标明递交至采购公告或磋商邀请书中指明的地址。</w:t>
      </w:r>
    </w:p>
    <w:p w14:paraId="086E31DD">
      <w:pPr>
        <w:tabs>
          <w:tab w:val="left" w:pos="1080"/>
          <w:tab w:val="left" w:pos="2014"/>
        </w:tabs>
        <w:snapToGrid w:val="0"/>
        <w:spacing w:line="360" w:lineRule="auto"/>
        <w:ind w:left="900"/>
        <w:rPr>
          <w:rFonts w:hint="eastAsia"/>
          <w:sz w:val="24"/>
          <w:lang w:bidi="ar"/>
        </w:rPr>
      </w:pPr>
      <w:r>
        <w:rPr>
          <w:rFonts w:hint="eastAsia"/>
          <w:sz w:val="24"/>
          <w:lang w:bidi="ar"/>
        </w:rPr>
        <w:t>2）注明项目名称、招标编号和“在（开标时间）之前不得启封”的字样。</w:t>
      </w:r>
    </w:p>
    <w:p w14:paraId="41E51283">
      <w:pPr>
        <w:tabs>
          <w:tab w:val="left" w:pos="1080"/>
          <w:tab w:val="left" w:pos="2014"/>
        </w:tabs>
        <w:snapToGrid w:val="0"/>
        <w:spacing w:line="360" w:lineRule="auto"/>
        <w:ind w:left="900"/>
        <w:rPr>
          <w:rFonts w:hint="eastAsia"/>
          <w:sz w:val="24"/>
          <w:lang w:bidi="ar"/>
        </w:rPr>
      </w:pPr>
      <w:r>
        <w:rPr>
          <w:rFonts w:hint="eastAsia"/>
          <w:sz w:val="24"/>
          <w:lang w:bidi="ar"/>
        </w:rPr>
        <w:t>3）供应商提供响应文件的密封粘贴处应加盖本单位公章或被授权代表签字，以便确认密封情况，不符合要求的将被拒绝。</w:t>
      </w:r>
    </w:p>
    <w:p w14:paraId="658CAAC3">
      <w:pPr>
        <w:tabs>
          <w:tab w:val="left" w:pos="1080"/>
          <w:tab w:val="left" w:pos="1589"/>
          <w:tab w:val="left" w:pos="2014"/>
        </w:tabs>
        <w:snapToGrid w:val="0"/>
        <w:spacing w:line="360" w:lineRule="auto"/>
        <w:ind w:left="1077"/>
        <w:rPr>
          <w:rFonts w:hint="eastAsia"/>
          <w:sz w:val="24"/>
        </w:rPr>
      </w:pPr>
      <w:r>
        <w:rPr>
          <w:rFonts w:hint="eastAsia"/>
          <w:sz w:val="24"/>
          <w:lang w:bidi="ar"/>
        </w:rPr>
        <w:t>1</w:t>
      </w:r>
      <w:r>
        <w:rPr>
          <w:sz w:val="24"/>
          <w:lang w:bidi="ar"/>
        </w:rPr>
        <w:t>4</w:t>
      </w:r>
      <w:r>
        <w:rPr>
          <w:rFonts w:hint="eastAsia"/>
          <w:sz w:val="24"/>
          <w:lang w:bidi="ar"/>
        </w:rPr>
        <w:t>.2.4 所有信封上还应写明供应商名称和地址，以便采购代理机构在响应文件提交截止时间以后收到的响应文件，能原封退回。如果供应商未按上述要求加写标记的，采购代理机构对响应文件的误投概不负责。</w:t>
      </w:r>
    </w:p>
    <w:p w14:paraId="003D45E9">
      <w:pPr>
        <w:numPr>
          <w:ilvl w:val="0"/>
          <w:numId w:val="8"/>
        </w:numPr>
        <w:tabs>
          <w:tab w:val="left" w:pos="360"/>
        </w:tabs>
        <w:snapToGrid w:val="0"/>
        <w:spacing w:line="360" w:lineRule="auto"/>
        <w:ind w:left="357" w:hanging="357"/>
        <w:outlineLvl w:val="1"/>
        <w:rPr>
          <w:sz w:val="24"/>
        </w:rPr>
      </w:pPr>
      <w:bookmarkStart w:id="386" w:name="_Toc264969226"/>
      <w:bookmarkStart w:id="387" w:name="_Toc164351630"/>
      <w:bookmarkStart w:id="388" w:name="_Toc226337232"/>
      <w:bookmarkStart w:id="389" w:name="_Toc151193634"/>
      <w:bookmarkStart w:id="390" w:name="_Toc164608650"/>
      <w:bookmarkStart w:id="391" w:name="_Toc150774636"/>
      <w:bookmarkStart w:id="392" w:name="_Toc520356161"/>
      <w:bookmarkStart w:id="393" w:name="_Toc226965726"/>
      <w:bookmarkStart w:id="394" w:name="_Toc127151536"/>
      <w:bookmarkStart w:id="395" w:name="_Toc164229377"/>
      <w:bookmarkStart w:id="396" w:name="_Toc151193706"/>
      <w:bookmarkStart w:id="397" w:name="_Toc150480774"/>
      <w:bookmarkStart w:id="398" w:name="_Toc164608805"/>
      <w:bookmarkStart w:id="399" w:name="_Toc226309780"/>
      <w:bookmarkStart w:id="400" w:name="_Toc151193924"/>
      <w:bookmarkStart w:id="401" w:name="_Toc265228374"/>
      <w:bookmarkStart w:id="402" w:name="_Toc150509287"/>
      <w:bookmarkStart w:id="403" w:name="_Toc151193850"/>
      <w:bookmarkStart w:id="404" w:name="_Toc150774741"/>
      <w:bookmarkStart w:id="405" w:name="_Toc151190163"/>
      <w:bookmarkStart w:id="406" w:name="_Toc149720829"/>
      <w:bookmarkStart w:id="407" w:name="_Toc195842901"/>
      <w:bookmarkStart w:id="408" w:name="_Toc151193778"/>
      <w:bookmarkStart w:id="409" w:name="_Toc305158878"/>
      <w:bookmarkStart w:id="410" w:name="_Toc164229231"/>
      <w:bookmarkStart w:id="411" w:name="_Toc305158804"/>
      <w:bookmarkStart w:id="412" w:name="_Toc226965809"/>
      <w:bookmarkStart w:id="413" w:name="_Toc127151737"/>
      <w:bookmarkStart w:id="414" w:name="_Toc127161450"/>
      <w:bookmarkStart w:id="415" w:name="_Toc142311038"/>
      <w:r>
        <w:rPr>
          <w:sz w:val="24"/>
        </w:rPr>
        <w:t>响应文件截止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时间</w:t>
      </w:r>
    </w:p>
    <w:p w14:paraId="1210D79D">
      <w:pPr>
        <w:numPr>
          <w:ilvl w:val="1"/>
          <w:numId w:val="8"/>
        </w:numPr>
        <w:tabs>
          <w:tab w:val="left" w:pos="1080"/>
          <w:tab w:val="left" w:pos="2014"/>
        </w:tabs>
        <w:snapToGrid w:val="0"/>
        <w:spacing w:line="360" w:lineRule="auto"/>
        <w:ind w:left="1077" w:hanging="720"/>
        <w:rPr>
          <w:sz w:val="24"/>
        </w:rPr>
      </w:pPr>
      <w:r>
        <w:rPr>
          <w:sz w:val="24"/>
        </w:rPr>
        <w:t>供应商应在竞争性磋商文件要求提交响应文件截止时间前，将电子响应文件提交至北京市政府采购电子交易平台。</w:t>
      </w:r>
      <w:r>
        <w:rPr>
          <w:b/>
          <w:sz w:val="24"/>
        </w:rPr>
        <w:t>（本项目不适用）</w:t>
      </w:r>
    </w:p>
    <w:p w14:paraId="72D3207E">
      <w:pPr>
        <w:numPr>
          <w:ilvl w:val="1"/>
          <w:numId w:val="8"/>
        </w:numPr>
        <w:tabs>
          <w:tab w:val="left" w:pos="1080"/>
          <w:tab w:val="left" w:pos="2014"/>
        </w:tabs>
        <w:snapToGrid w:val="0"/>
        <w:spacing w:line="360" w:lineRule="auto"/>
        <w:ind w:left="1077" w:hanging="720"/>
        <w:rPr>
          <w:sz w:val="24"/>
        </w:rPr>
      </w:pPr>
      <w:r>
        <w:rPr>
          <w:rFonts w:hint="eastAsia"/>
          <w:bCs/>
          <w:sz w:val="24"/>
        </w:rPr>
        <w:t>供应商</w:t>
      </w:r>
      <w:r>
        <w:rPr>
          <w:bCs/>
          <w:sz w:val="24"/>
        </w:rPr>
        <w:t>应在竞争性磋商文件要求提交</w:t>
      </w:r>
      <w:r>
        <w:rPr>
          <w:rFonts w:hint="eastAsia"/>
          <w:bCs/>
          <w:sz w:val="24"/>
        </w:rPr>
        <w:t>响应</w:t>
      </w:r>
      <w:r>
        <w:rPr>
          <w:bCs/>
          <w:sz w:val="24"/>
        </w:rPr>
        <w:t>文件截止时间前，将纸质</w:t>
      </w:r>
      <w:r>
        <w:rPr>
          <w:rFonts w:hint="eastAsia"/>
          <w:bCs/>
          <w:sz w:val="24"/>
        </w:rPr>
        <w:t>响应</w:t>
      </w:r>
      <w:r>
        <w:rPr>
          <w:bCs/>
          <w:sz w:val="24"/>
        </w:rPr>
        <w:t>文件提交至竞争性磋商文件规定的地点。</w:t>
      </w:r>
      <w:r>
        <w:rPr>
          <w:b/>
          <w:sz w:val="24"/>
        </w:rPr>
        <w:t>（本项目适用）</w:t>
      </w:r>
    </w:p>
    <w:p w14:paraId="4ED12B11">
      <w:pPr>
        <w:numPr>
          <w:ilvl w:val="0"/>
          <w:numId w:val="8"/>
        </w:numPr>
        <w:tabs>
          <w:tab w:val="left" w:pos="360"/>
        </w:tabs>
        <w:snapToGrid w:val="0"/>
        <w:spacing w:line="360" w:lineRule="auto"/>
        <w:ind w:left="357" w:hanging="357"/>
        <w:outlineLvl w:val="1"/>
        <w:rPr>
          <w:sz w:val="24"/>
        </w:rPr>
      </w:pPr>
      <w:bookmarkStart w:id="416" w:name="_Toc151193707"/>
      <w:bookmarkStart w:id="417" w:name="_Toc164229378"/>
      <w:bookmarkStart w:id="418" w:name="_Toc151193925"/>
      <w:bookmarkStart w:id="419" w:name="_Toc151190164"/>
      <w:bookmarkStart w:id="420" w:name="_Toc265228375"/>
      <w:bookmarkStart w:id="421" w:name="_Toc195842902"/>
      <w:bookmarkStart w:id="422" w:name="_Toc520356162"/>
      <w:bookmarkStart w:id="423" w:name="_Toc151193635"/>
      <w:bookmarkStart w:id="424" w:name="_Toc150774637"/>
      <w:bookmarkStart w:id="425" w:name="_Toc264969227"/>
      <w:bookmarkStart w:id="426" w:name="_Toc150509288"/>
      <w:bookmarkStart w:id="427" w:name="_Toc226965810"/>
      <w:bookmarkStart w:id="428" w:name="_Toc164608806"/>
      <w:bookmarkStart w:id="429" w:name="_Toc149720830"/>
      <w:bookmarkStart w:id="430" w:name="_Toc164229232"/>
      <w:bookmarkStart w:id="431" w:name="_Toc226337233"/>
      <w:bookmarkStart w:id="432" w:name="_Toc127151537"/>
      <w:bookmarkStart w:id="433" w:name="_Toc150774742"/>
      <w:bookmarkStart w:id="434" w:name="_Toc305158805"/>
      <w:bookmarkStart w:id="435" w:name="_Toc151193851"/>
      <w:bookmarkStart w:id="436" w:name="_Toc127161451"/>
      <w:bookmarkStart w:id="437" w:name="_Toc305158879"/>
      <w:bookmarkStart w:id="438" w:name="_Toc226309781"/>
      <w:bookmarkStart w:id="439" w:name="_Toc164351631"/>
      <w:bookmarkStart w:id="440" w:name="_Toc150480775"/>
      <w:bookmarkStart w:id="441" w:name="_Toc164608651"/>
      <w:bookmarkStart w:id="442" w:name="_Toc142311039"/>
      <w:bookmarkStart w:id="443" w:name="_Toc127151738"/>
      <w:bookmarkStart w:id="444" w:name="_Toc226965727"/>
      <w:bookmarkStart w:id="445" w:name="_Toc151193779"/>
      <w:r>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C4D417E">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提交响应文件截止时间前，供应商可以通过电子交易平台对所提交的响应文件进行补充、修改或者撤回。磋商保证金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1803BDD9">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7CEBF18C">
      <w:pPr>
        <w:tabs>
          <w:tab w:val="left" w:pos="900"/>
          <w:tab w:val="left" w:pos="1080"/>
          <w:tab w:val="left" w:pos="1589"/>
        </w:tabs>
        <w:snapToGrid w:val="0"/>
        <w:spacing w:line="360" w:lineRule="auto"/>
        <w:ind w:left="357"/>
        <w:rPr>
          <w:sz w:val="24"/>
        </w:rPr>
      </w:pPr>
    </w:p>
    <w:p w14:paraId="416C3A92">
      <w:pPr>
        <w:pStyle w:val="3"/>
        <w:spacing w:before="0" w:line="360" w:lineRule="auto"/>
        <w:rPr>
          <w:rFonts w:ascii="Times New Roman" w:hAnsi="Times New Roman" w:eastAsia="宋体"/>
          <w:sz w:val="28"/>
        </w:rPr>
      </w:pPr>
      <w:bookmarkStart w:id="446" w:name="_Toc305158806"/>
      <w:bookmarkStart w:id="447" w:name="_Toc142311040"/>
      <w:bookmarkStart w:id="448" w:name="_Toc151193852"/>
      <w:bookmarkStart w:id="449" w:name="_Toc151193636"/>
      <w:bookmarkStart w:id="450" w:name="_Toc195842903"/>
      <w:bookmarkStart w:id="451" w:name="_Toc150774743"/>
      <w:bookmarkStart w:id="452" w:name="_Toc151193708"/>
      <w:bookmarkStart w:id="453" w:name="_Toc265228376"/>
      <w:bookmarkStart w:id="454" w:name="_Toc150509289"/>
      <w:bookmarkStart w:id="455" w:name="_Toc264969228"/>
      <w:bookmarkStart w:id="456" w:name="_Toc226965811"/>
      <w:bookmarkStart w:id="457" w:name="_Toc226309782"/>
      <w:bookmarkStart w:id="458" w:name="_Toc226337234"/>
      <w:bookmarkStart w:id="459" w:name="_Toc127151538"/>
      <w:bookmarkStart w:id="460" w:name="_Toc150480776"/>
      <w:bookmarkStart w:id="461" w:name="_Toc151193926"/>
      <w:bookmarkStart w:id="462" w:name="_Toc305158880"/>
      <w:bookmarkStart w:id="463" w:name="_Toc151193780"/>
      <w:bookmarkStart w:id="464" w:name="_Toc150774638"/>
      <w:bookmarkStart w:id="465" w:name="_Toc520356163"/>
      <w:bookmarkStart w:id="466" w:name="_Toc226965728"/>
      <w:bookmarkStart w:id="467" w:name="_Toc151190165"/>
      <w:r>
        <w:rPr>
          <w:rFonts w:ascii="Times New Roman" w:hAnsi="Times New Roman" w:eastAsia="宋体"/>
          <w:sz w:val="28"/>
        </w:rPr>
        <w:t xml:space="preserve">五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eastAsia="宋体"/>
          <w:sz w:val="28"/>
        </w:rPr>
        <w:t>评审</w:t>
      </w:r>
    </w:p>
    <w:p w14:paraId="6B5AE6F2">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16DBF1B9">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818B89A">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响应无效</w:t>
      </w:r>
      <w:r>
        <w:rPr>
          <w:sz w:val="24"/>
        </w:rPr>
        <w:t>。</w:t>
      </w:r>
      <w:r>
        <w:rPr>
          <w:b/>
          <w:sz w:val="24"/>
        </w:rPr>
        <w:t>（本项目不适用）</w:t>
      </w:r>
    </w:p>
    <w:p w14:paraId="0A97FF7D">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6E57E03">
      <w:pPr>
        <w:numPr>
          <w:ilvl w:val="1"/>
          <w:numId w:val="8"/>
        </w:numPr>
        <w:tabs>
          <w:tab w:val="left" w:pos="1080"/>
          <w:tab w:val="left" w:pos="2014"/>
        </w:tabs>
        <w:snapToGrid w:val="0"/>
        <w:spacing w:line="360" w:lineRule="auto"/>
        <w:ind w:left="1077" w:hanging="720"/>
        <w:rPr>
          <w:sz w:val="24"/>
        </w:rPr>
      </w:pPr>
      <w:r>
        <w:rPr>
          <w:sz w:val="24"/>
        </w:rPr>
        <w:t>供应商不足3家的，不予磋商</w:t>
      </w:r>
      <w:r>
        <w:rPr>
          <w:rFonts w:hint="eastAsia"/>
          <w:sz w:val="24"/>
        </w:rPr>
        <w:t>/</w:t>
      </w:r>
      <w:r>
        <w:rPr>
          <w:sz w:val="24"/>
        </w:rPr>
        <w:t>解密。</w:t>
      </w:r>
    </w:p>
    <w:p w14:paraId="1C86AE5E">
      <w:pPr>
        <w:numPr>
          <w:ilvl w:val="1"/>
          <w:numId w:val="8"/>
        </w:numPr>
        <w:tabs>
          <w:tab w:val="left" w:pos="1080"/>
          <w:tab w:val="left" w:pos="2014"/>
        </w:tabs>
        <w:snapToGrid w:val="0"/>
        <w:spacing w:line="360" w:lineRule="auto"/>
        <w:ind w:left="1077" w:hanging="720"/>
        <w:rPr>
          <w:sz w:val="24"/>
        </w:rPr>
      </w:pPr>
      <w:bookmarkStart w:id="468" w:name="_Toc520356165"/>
      <w:r>
        <w:rPr>
          <w:sz w:val="24"/>
        </w:rPr>
        <w:t>本项目不公开报价。</w:t>
      </w:r>
    </w:p>
    <w:bookmarkEnd w:id="468"/>
    <w:p w14:paraId="49315597">
      <w:pPr>
        <w:numPr>
          <w:ilvl w:val="0"/>
          <w:numId w:val="8"/>
        </w:numPr>
        <w:tabs>
          <w:tab w:val="left" w:pos="360"/>
        </w:tabs>
        <w:snapToGrid w:val="0"/>
        <w:spacing w:line="360" w:lineRule="auto"/>
        <w:ind w:left="357" w:hanging="357"/>
        <w:outlineLvl w:val="1"/>
        <w:rPr>
          <w:sz w:val="24"/>
        </w:rPr>
      </w:pPr>
      <w:r>
        <w:rPr>
          <w:sz w:val="24"/>
        </w:rPr>
        <w:t>磋商小组</w:t>
      </w:r>
    </w:p>
    <w:p w14:paraId="4DD2D605">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69" w:name="_Toc520356166"/>
    </w:p>
    <w:p w14:paraId="496DEF8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9"/>
      <w:bookmarkStart w:id="470" w:name="_Toc520356169"/>
    </w:p>
    <w:p w14:paraId="24925BF7">
      <w:pPr>
        <w:numPr>
          <w:ilvl w:val="0"/>
          <w:numId w:val="8"/>
        </w:numPr>
        <w:tabs>
          <w:tab w:val="left" w:pos="360"/>
        </w:tabs>
        <w:snapToGrid w:val="0"/>
        <w:spacing w:line="360" w:lineRule="auto"/>
        <w:outlineLvl w:val="1"/>
        <w:rPr>
          <w:sz w:val="24"/>
        </w:rPr>
      </w:pPr>
      <w:r>
        <w:rPr>
          <w:sz w:val="24"/>
        </w:rPr>
        <w:t>评审方法和评审标准</w:t>
      </w:r>
    </w:p>
    <w:p w14:paraId="2F5BE40D">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28CD00D4">
      <w:pPr>
        <w:tabs>
          <w:tab w:val="left" w:pos="360"/>
          <w:tab w:val="left" w:pos="1080"/>
        </w:tabs>
        <w:snapToGrid w:val="0"/>
        <w:spacing w:line="360" w:lineRule="auto"/>
        <w:ind w:left="1080"/>
        <w:rPr>
          <w:sz w:val="24"/>
        </w:rPr>
      </w:pPr>
    </w:p>
    <w:p w14:paraId="0DFD2E9B">
      <w:pPr>
        <w:pStyle w:val="3"/>
        <w:spacing w:before="0" w:line="360" w:lineRule="auto"/>
        <w:rPr>
          <w:rFonts w:ascii="Times New Roman" w:hAnsi="Times New Roman" w:eastAsia="宋体"/>
          <w:sz w:val="28"/>
        </w:rPr>
      </w:pPr>
      <w:bookmarkStart w:id="471" w:name="_Toc305158887"/>
      <w:bookmarkStart w:id="472" w:name="_Toc226309789"/>
      <w:bookmarkStart w:id="473" w:name="_Toc305158813"/>
      <w:bookmarkStart w:id="474" w:name="_Toc264969235"/>
      <w:bookmarkStart w:id="475" w:name="_Toc195842910"/>
      <w:bookmarkStart w:id="476" w:name="_Toc151193643"/>
      <w:bookmarkStart w:id="477" w:name="_Toc150774645"/>
      <w:bookmarkStart w:id="478" w:name="_Toc151193715"/>
      <w:bookmarkStart w:id="479" w:name="_Toc226965818"/>
      <w:bookmarkStart w:id="480" w:name="_Toc127151545"/>
      <w:bookmarkStart w:id="481" w:name="_Toc151193933"/>
      <w:bookmarkStart w:id="482" w:name="_Toc151190172"/>
      <w:bookmarkStart w:id="483" w:name="_Toc151193859"/>
      <w:bookmarkStart w:id="484" w:name="_Toc265228383"/>
      <w:bookmarkStart w:id="485" w:name="_Toc150509296"/>
      <w:bookmarkStart w:id="486" w:name="_Toc226965735"/>
      <w:bookmarkStart w:id="487" w:name="_Toc150480783"/>
      <w:bookmarkStart w:id="488" w:name="_Toc151193787"/>
      <w:bookmarkStart w:id="489" w:name="_Toc142311047"/>
      <w:bookmarkStart w:id="490" w:name="_Toc226337241"/>
      <w:bookmarkStart w:id="491" w:name="_Toc150774750"/>
      <w:r>
        <w:rPr>
          <w:rFonts w:ascii="Times New Roman" w:hAnsi="Times New Roman" w:eastAsia="宋体"/>
          <w:sz w:val="28"/>
        </w:rPr>
        <w:t xml:space="preserve">六   </w:t>
      </w:r>
      <w:bookmarkEnd w:id="470"/>
      <w:r>
        <w:rPr>
          <w:rFonts w:ascii="Times New Roman" w:hAnsi="Times New Roman" w:eastAsia="宋体"/>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hAnsi="Times New Roman" w:eastAsia="宋体"/>
          <w:sz w:val="28"/>
        </w:rPr>
        <w:t>成交</w:t>
      </w:r>
    </w:p>
    <w:p w14:paraId="2BCA7BED">
      <w:pPr>
        <w:numPr>
          <w:ilvl w:val="0"/>
          <w:numId w:val="8"/>
        </w:numPr>
        <w:tabs>
          <w:tab w:val="left" w:pos="360"/>
        </w:tabs>
        <w:snapToGrid w:val="0"/>
        <w:spacing w:line="360" w:lineRule="auto"/>
        <w:ind w:left="357" w:hanging="357"/>
        <w:outlineLvl w:val="1"/>
        <w:rPr>
          <w:sz w:val="24"/>
        </w:rPr>
      </w:pPr>
      <w:bookmarkStart w:id="492" w:name="_Toc164229388"/>
      <w:bookmarkStart w:id="493" w:name="_Toc305158889"/>
      <w:bookmarkStart w:id="494" w:name="_Toc142311049"/>
      <w:bookmarkStart w:id="495" w:name="_Toc265228385"/>
      <w:bookmarkStart w:id="496" w:name="_Toc127161461"/>
      <w:bookmarkStart w:id="497" w:name="_Toc151193789"/>
      <w:bookmarkStart w:id="498" w:name="_Toc150509298"/>
      <w:bookmarkStart w:id="499" w:name="_Toc226965820"/>
      <w:bookmarkStart w:id="500" w:name="_Toc264969237"/>
      <w:bookmarkStart w:id="501" w:name="_Toc195842912"/>
      <w:bookmarkStart w:id="502" w:name="_Toc164608661"/>
      <w:bookmarkStart w:id="503" w:name="_Toc226309791"/>
      <w:bookmarkStart w:id="504" w:name="_Toc151193717"/>
      <w:bookmarkStart w:id="505" w:name="_Toc164351641"/>
      <w:bookmarkStart w:id="506" w:name="_Toc127151547"/>
      <w:bookmarkStart w:id="507" w:name="_Toc151193645"/>
      <w:bookmarkStart w:id="508" w:name="_Toc164229242"/>
      <w:bookmarkStart w:id="509" w:name="_Toc150774647"/>
      <w:bookmarkStart w:id="510" w:name="_Toc151190174"/>
      <w:bookmarkStart w:id="511" w:name="_Toc305158815"/>
      <w:bookmarkStart w:id="512" w:name="_Toc151193935"/>
      <w:bookmarkStart w:id="513" w:name="_Toc150480785"/>
      <w:bookmarkStart w:id="514" w:name="_Toc127151748"/>
      <w:bookmarkStart w:id="515" w:name="_Toc149720840"/>
      <w:bookmarkStart w:id="516" w:name="_Toc226337243"/>
      <w:bookmarkStart w:id="517" w:name="_Toc164608816"/>
      <w:bookmarkStart w:id="518" w:name="_Toc226965737"/>
      <w:bookmarkStart w:id="519" w:name="_Toc151193861"/>
      <w:bookmarkStart w:id="520" w:name="_Toc150774752"/>
      <w:r>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F9F931B">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AA8CCF8">
      <w:pPr>
        <w:numPr>
          <w:ilvl w:val="0"/>
          <w:numId w:val="8"/>
        </w:numPr>
        <w:tabs>
          <w:tab w:val="left" w:pos="360"/>
        </w:tabs>
        <w:snapToGrid w:val="0"/>
        <w:spacing w:line="360" w:lineRule="auto"/>
        <w:ind w:left="357" w:hanging="357"/>
        <w:outlineLvl w:val="1"/>
        <w:rPr>
          <w:sz w:val="24"/>
        </w:rPr>
      </w:pPr>
      <w:bookmarkStart w:id="521" w:name="_Toc305158817"/>
      <w:bookmarkStart w:id="522" w:name="_Toc305158891"/>
      <w:bookmarkStart w:id="523" w:name="_Toc151193647"/>
      <w:bookmarkStart w:id="524" w:name="_Toc142311051"/>
      <w:bookmarkStart w:id="525" w:name="_Toc164608663"/>
      <w:bookmarkStart w:id="526" w:name="_Toc150774754"/>
      <w:bookmarkStart w:id="527" w:name="_Toc264969239"/>
      <w:bookmarkStart w:id="528" w:name="_Toc164351643"/>
      <w:bookmarkStart w:id="529" w:name="_Toc226337245"/>
      <w:bookmarkStart w:id="530" w:name="_Toc150509300"/>
      <w:bookmarkStart w:id="531" w:name="_Toc226965822"/>
      <w:bookmarkStart w:id="532" w:name="_Toc151190176"/>
      <w:bookmarkStart w:id="533" w:name="_Toc195842914"/>
      <w:bookmarkStart w:id="534" w:name="_Toc151193863"/>
      <w:bookmarkStart w:id="535" w:name="_Toc149720842"/>
      <w:bookmarkStart w:id="536" w:name="_Toc151193719"/>
      <w:bookmarkStart w:id="537" w:name="_Toc164608818"/>
      <w:bookmarkStart w:id="538" w:name="_Toc151193937"/>
      <w:bookmarkStart w:id="539" w:name="_Toc226965739"/>
      <w:bookmarkStart w:id="540" w:name="_Toc164229244"/>
      <w:bookmarkStart w:id="541" w:name="_Toc150774649"/>
      <w:bookmarkStart w:id="542" w:name="_Toc265228387"/>
      <w:bookmarkStart w:id="543" w:name="_Toc151193791"/>
      <w:bookmarkStart w:id="544" w:name="_Toc226309793"/>
      <w:bookmarkStart w:id="545" w:name="_Toc127151750"/>
      <w:bookmarkStart w:id="546" w:name="_Toc164229390"/>
      <w:bookmarkStart w:id="547" w:name="_Toc127151549"/>
      <w:bookmarkStart w:id="548" w:name="_Toc150480787"/>
      <w:bookmarkStart w:id="549" w:name="_Toc127161463"/>
      <w:bookmarkStart w:id="550" w:name="_Toc520356176"/>
      <w:bookmarkStart w:id="551" w:name="_Ref467306425"/>
      <w:bookmarkStart w:id="552" w:name="_Ref467307090"/>
      <w:r>
        <w:rPr>
          <w:sz w:val="24"/>
        </w:rPr>
        <w:t>成交公告与成交通知书</w:t>
      </w:r>
      <w:bookmarkEnd w:id="521"/>
      <w:bookmarkEnd w:id="522"/>
    </w:p>
    <w:p w14:paraId="4CFCFD3D">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kern w:val="0"/>
          <w:sz w:val="24"/>
          <w:lang w:val="en-US" w:eastAsia="zh-CN"/>
        </w:rPr>
        <w:t>原</w:t>
      </w:r>
      <w:r>
        <w:rPr>
          <w:kern w:val="0"/>
          <w:sz w:val="24"/>
        </w:rPr>
        <w:t>公告成交结果，同时向成交供应商发出成交通知书，</w:t>
      </w:r>
      <w:r>
        <w:rPr>
          <w:sz w:val="24"/>
        </w:rPr>
        <w:t>成交公告期限为1个工作日。</w:t>
      </w:r>
    </w:p>
    <w:p w14:paraId="06F599D9">
      <w:pPr>
        <w:numPr>
          <w:ilvl w:val="1"/>
          <w:numId w:val="8"/>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92AD123">
      <w:pPr>
        <w:numPr>
          <w:ilvl w:val="0"/>
          <w:numId w:val="8"/>
        </w:numPr>
        <w:tabs>
          <w:tab w:val="left" w:pos="360"/>
        </w:tabs>
        <w:snapToGrid w:val="0"/>
        <w:spacing w:line="360" w:lineRule="auto"/>
        <w:ind w:left="357" w:hanging="357"/>
        <w:outlineLvl w:val="1"/>
        <w:rPr>
          <w:sz w:val="24"/>
        </w:rPr>
      </w:pPr>
      <w:r>
        <w:rPr>
          <w:sz w:val="24"/>
        </w:rPr>
        <w:t>终止</w:t>
      </w:r>
    </w:p>
    <w:p w14:paraId="4E316E68">
      <w:pPr>
        <w:numPr>
          <w:ilvl w:val="1"/>
          <w:numId w:val="8"/>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60B670B1">
      <w:pPr>
        <w:numPr>
          <w:ilvl w:val="2"/>
          <w:numId w:val="8"/>
        </w:numPr>
        <w:snapToGrid w:val="0"/>
        <w:spacing w:line="360" w:lineRule="auto"/>
        <w:rPr>
          <w:sz w:val="24"/>
        </w:rPr>
      </w:pPr>
      <w:r>
        <w:rPr>
          <w:sz w:val="24"/>
        </w:rPr>
        <w:t>因情况变化，不再符合规定的竞争性磋商采购方式适用情形的；</w:t>
      </w:r>
    </w:p>
    <w:p w14:paraId="2D77EFF8">
      <w:pPr>
        <w:numPr>
          <w:ilvl w:val="2"/>
          <w:numId w:val="8"/>
        </w:numPr>
        <w:snapToGrid w:val="0"/>
        <w:spacing w:line="360" w:lineRule="auto"/>
        <w:rPr>
          <w:sz w:val="24"/>
        </w:rPr>
      </w:pPr>
      <w:r>
        <w:rPr>
          <w:sz w:val="24"/>
        </w:rPr>
        <w:t>出现影响采购公正的违法、违规行为的；</w:t>
      </w:r>
    </w:p>
    <w:p w14:paraId="75753907">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59D24432">
      <w:pPr>
        <w:numPr>
          <w:ilvl w:val="0"/>
          <w:numId w:val="8"/>
        </w:numPr>
        <w:tabs>
          <w:tab w:val="left" w:pos="360"/>
        </w:tabs>
        <w:snapToGrid w:val="0"/>
        <w:spacing w:line="360" w:lineRule="auto"/>
        <w:ind w:left="357" w:hanging="357"/>
        <w:outlineLvl w:val="1"/>
        <w:rPr>
          <w:sz w:val="24"/>
        </w:rPr>
      </w:pPr>
      <w:bookmarkStart w:id="553" w:name="_Toc226309794"/>
      <w:bookmarkStart w:id="554" w:name="_Toc305158818"/>
      <w:bookmarkStart w:id="555" w:name="_Ref467307062"/>
      <w:bookmarkStart w:id="556" w:name="_Toc151193864"/>
      <w:bookmarkStart w:id="557" w:name="_Toc151190177"/>
      <w:bookmarkStart w:id="558" w:name="_Toc305158892"/>
      <w:bookmarkStart w:id="559" w:name="_Toc150774650"/>
      <w:bookmarkStart w:id="560" w:name="_Toc164608819"/>
      <w:bookmarkStart w:id="561" w:name="_Toc127161464"/>
      <w:bookmarkStart w:id="562" w:name="_Ref467306978"/>
      <w:bookmarkStart w:id="563" w:name="_Toc265228388"/>
      <w:bookmarkStart w:id="564" w:name="_Toc520356175"/>
      <w:bookmarkStart w:id="565" w:name="_Toc195842915"/>
      <w:bookmarkStart w:id="566" w:name="_Toc149720843"/>
      <w:bookmarkStart w:id="567" w:name="_Toc151193792"/>
      <w:bookmarkStart w:id="568" w:name="_Toc142311052"/>
      <w:bookmarkStart w:id="569" w:name="_Ref467306377"/>
      <w:bookmarkStart w:id="570" w:name="_Toc151193938"/>
      <w:bookmarkStart w:id="571" w:name="_Toc164229245"/>
      <w:bookmarkStart w:id="572" w:name="_Toc164351644"/>
      <w:bookmarkStart w:id="573" w:name="_Toc164229391"/>
      <w:bookmarkStart w:id="574" w:name="_Toc151193648"/>
      <w:bookmarkStart w:id="575" w:name="_Toc226337246"/>
      <w:bookmarkStart w:id="576" w:name="_Toc151193720"/>
      <w:bookmarkStart w:id="577" w:name="_Toc127151751"/>
      <w:bookmarkStart w:id="578" w:name="_Toc127151550"/>
      <w:bookmarkStart w:id="579" w:name="_Toc164608664"/>
      <w:bookmarkStart w:id="580" w:name="_Toc150480788"/>
      <w:bookmarkStart w:id="581" w:name="_Ref467307204"/>
      <w:bookmarkStart w:id="582" w:name="_Toc150509301"/>
      <w:bookmarkStart w:id="583" w:name="_Toc226965823"/>
      <w:bookmarkStart w:id="584" w:name="_Toc264969240"/>
      <w:bookmarkStart w:id="585" w:name="_Toc226965740"/>
      <w:bookmarkStart w:id="586" w:name="_Toc150774755"/>
      <w:r>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614086F">
      <w:pPr>
        <w:numPr>
          <w:ilvl w:val="1"/>
          <w:numId w:val="8"/>
        </w:numPr>
        <w:tabs>
          <w:tab w:val="left" w:pos="1080"/>
          <w:tab w:val="left" w:pos="2014"/>
        </w:tabs>
        <w:snapToGrid w:val="0"/>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2023E88F">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DAB7D9">
      <w:pPr>
        <w:numPr>
          <w:ilvl w:val="1"/>
          <w:numId w:val="8"/>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1F56E6A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FC04E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50"/>
    <w:bookmarkEnd w:id="551"/>
    <w:bookmarkEnd w:id="552"/>
    <w:p w14:paraId="3DB35172">
      <w:pPr>
        <w:numPr>
          <w:ilvl w:val="0"/>
          <w:numId w:val="8"/>
        </w:numPr>
        <w:tabs>
          <w:tab w:val="left" w:pos="360"/>
        </w:tabs>
        <w:snapToGrid w:val="0"/>
        <w:spacing w:line="360" w:lineRule="auto"/>
        <w:ind w:left="357" w:hanging="357"/>
        <w:outlineLvl w:val="1"/>
        <w:rPr>
          <w:sz w:val="24"/>
        </w:rPr>
      </w:pPr>
      <w:r>
        <w:rPr>
          <w:sz w:val="24"/>
        </w:rPr>
        <w:t>询问与质疑</w:t>
      </w:r>
    </w:p>
    <w:p w14:paraId="6D834E73">
      <w:pPr>
        <w:numPr>
          <w:ilvl w:val="1"/>
          <w:numId w:val="8"/>
        </w:numPr>
        <w:tabs>
          <w:tab w:val="left" w:pos="1080"/>
          <w:tab w:val="left" w:pos="2014"/>
        </w:tabs>
        <w:snapToGrid w:val="0"/>
        <w:spacing w:line="360" w:lineRule="auto"/>
        <w:ind w:left="1077" w:hanging="720"/>
        <w:rPr>
          <w:sz w:val="24"/>
        </w:rPr>
      </w:pPr>
      <w:r>
        <w:rPr>
          <w:sz w:val="24"/>
        </w:rPr>
        <w:t>询问</w:t>
      </w:r>
    </w:p>
    <w:p w14:paraId="3BB72DEF">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395F197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0A1D227">
      <w:pPr>
        <w:numPr>
          <w:ilvl w:val="1"/>
          <w:numId w:val="8"/>
        </w:numPr>
        <w:tabs>
          <w:tab w:val="left" w:pos="1080"/>
          <w:tab w:val="left" w:pos="2014"/>
        </w:tabs>
        <w:snapToGrid w:val="0"/>
        <w:spacing w:line="360" w:lineRule="auto"/>
        <w:ind w:left="1077" w:hanging="720"/>
        <w:rPr>
          <w:sz w:val="24"/>
        </w:rPr>
      </w:pPr>
      <w:r>
        <w:rPr>
          <w:sz w:val="24"/>
        </w:rPr>
        <w:t>质疑</w:t>
      </w:r>
    </w:p>
    <w:p w14:paraId="1A864874">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A7C9CA8">
      <w:pPr>
        <w:numPr>
          <w:ilvl w:val="2"/>
          <w:numId w:val="8"/>
        </w:numPr>
        <w:snapToGrid w:val="0"/>
        <w:spacing w:line="360" w:lineRule="auto"/>
        <w:rPr>
          <w:sz w:val="24"/>
        </w:rPr>
      </w:pPr>
      <w:r>
        <w:rPr>
          <w:sz w:val="24"/>
        </w:rPr>
        <w:t>质疑函须使用财政部制定的范本文件。</w:t>
      </w:r>
    </w:p>
    <w:p w14:paraId="42EE29A6">
      <w:pPr>
        <w:numPr>
          <w:ilvl w:val="2"/>
          <w:numId w:val="8"/>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70DC1A55">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C87C5C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1FC290E0">
      <w:pPr>
        <w:numPr>
          <w:ilvl w:val="0"/>
          <w:numId w:val="8"/>
        </w:numPr>
        <w:tabs>
          <w:tab w:val="left" w:pos="360"/>
        </w:tabs>
        <w:snapToGrid w:val="0"/>
        <w:spacing w:line="360" w:lineRule="auto"/>
        <w:ind w:left="357" w:hanging="357"/>
        <w:outlineLvl w:val="1"/>
        <w:rPr>
          <w:sz w:val="24"/>
        </w:rPr>
      </w:pPr>
      <w:r>
        <w:rPr>
          <w:sz w:val="24"/>
        </w:rPr>
        <w:t>代理费</w:t>
      </w:r>
    </w:p>
    <w:p w14:paraId="22B1367F">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2243F152">
      <w:pPr>
        <w:tabs>
          <w:tab w:val="left" w:pos="360"/>
          <w:tab w:val="left" w:pos="1080"/>
        </w:tabs>
        <w:snapToGrid w:val="0"/>
        <w:spacing w:line="360" w:lineRule="auto"/>
        <w:ind w:left="360"/>
        <w:rPr>
          <w:sz w:val="24"/>
        </w:rPr>
      </w:pPr>
    </w:p>
    <w:p w14:paraId="0754F0C5">
      <w:pPr>
        <w:spacing w:line="360" w:lineRule="auto"/>
        <w:jc w:val="center"/>
        <w:outlineLvl w:val="0"/>
        <w:rPr>
          <w:b/>
          <w:sz w:val="36"/>
          <w:szCs w:val="36"/>
        </w:rPr>
      </w:pPr>
      <w:bookmarkStart w:id="587" w:name="_Toc226965827"/>
      <w:bookmarkStart w:id="588" w:name="_Toc150480792"/>
      <w:bookmarkStart w:id="589" w:name="_Toc305158896"/>
      <w:bookmarkStart w:id="590" w:name="_Toc353873934"/>
      <w:bookmarkStart w:id="591" w:name="_Toc142311056"/>
      <w:bookmarkStart w:id="592" w:name="_Toc127151554"/>
      <w:bookmarkStart w:id="593" w:name="_Toc150774759"/>
      <w:bookmarkStart w:id="594" w:name="_Toc305158822"/>
      <w:bookmarkStart w:id="595" w:name="_Toc226337250"/>
      <w:bookmarkStart w:id="596" w:name="_Toc353873664"/>
      <w:bookmarkStart w:id="597" w:name="_Toc353825544"/>
      <w:bookmarkStart w:id="598" w:name="_Toc264969244"/>
      <w:bookmarkStart w:id="599" w:name="_Toc265228392"/>
      <w:r>
        <w:rPr>
          <w:sz w:val="24"/>
        </w:rPr>
        <w:br w:type="page"/>
      </w:r>
      <w:bookmarkStart w:id="600" w:name="_Toc97371943"/>
      <w:r>
        <w:rPr>
          <w:b/>
          <w:sz w:val="36"/>
          <w:szCs w:val="36"/>
        </w:rPr>
        <w:t xml:space="preserve">第三章   </w:t>
      </w:r>
      <w:bookmarkEnd w:id="587"/>
      <w:bookmarkEnd w:id="588"/>
      <w:bookmarkEnd w:id="589"/>
      <w:bookmarkEnd w:id="590"/>
      <w:bookmarkEnd w:id="591"/>
      <w:bookmarkEnd w:id="592"/>
      <w:bookmarkEnd w:id="593"/>
      <w:bookmarkEnd w:id="594"/>
      <w:bookmarkEnd w:id="595"/>
      <w:bookmarkEnd w:id="596"/>
      <w:bookmarkEnd w:id="597"/>
      <w:bookmarkEnd w:id="598"/>
      <w:bookmarkEnd w:id="599"/>
      <w:r>
        <w:rPr>
          <w:b/>
          <w:sz w:val="36"/>
          <w:szCs w:val="36"/>
        </w:rPr>
        <w:t>评审方法和评审标准</w:t>
      </w:r>
      <w:bookmarkEnd w:id="600"/>
      <w:bookmarkStart w:id="601" w:name="_Toc487900382"/>
    </w:p>
    <w:p w14:paraId="61AE7DE2">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5659B26">
      <w:pPr>
        <w:tabs>
          <w:tab w:val="left" w:pos="1080"/>
        </w:tabs>
        <w:snapToGrid w:val="0"/>
        <w:jc w:val="left"/>
        <w:rPr>
          <w:b/>
          <w:sz w:val="24"/>
        </w:rPr>
      </w:pPr>
      <w:r>
        <w:rPr>
          <w:b/>
          <w:sz w:val="24"/>
        </w:rPr>
        <w:tab/>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601"/>
    <w:p w14:paraId="76C1FA50">
      <w:pPr>
        <w:numPr>
          <w:ilvl w:val="0"/>
          <w:numId w:val="10"/>
        </w:numPr>
        <w:tabs>
          <w:tab w:val="left" w:pos="360"/>
        </w:tabs>
        <w:snapToGrid w:val="0"/>
        <w:spacing w:line="360" w:lineRule="auto"/>
        <w:outlineLvl w:val="1"/>
        <w:rPr>
          <w:sz w:val="24"/>
        </w:rPr>
      </w:pPr>
      <w:bookmarkStart w:id="602" w:name="_Toc150774746"/>
      <w:bookmarkStart w:id="603" w:name="_Toc127151541"/>
      <w:bookmarkStart w:id="604" w:name="_Toc142311043"/>
      <w:bookmarkStart w:id="605" w:name="_Toc305158883"/>
      <w:bookmarkStart w:id="606" w:name="_Toc164229236"/>
      <w:bookmarkStart w:id="607" w:name="_Toc305158809"/>
      <w:bookmarkStart w:id="608" w:name="_Toc150509292"/>
      <w:bookmarkStart w:id="609" w:name="_Toc151193639"/>
      <w:bookmarkStart w:id="610" w:name="_Toc127151742"/>
      <w:bookmarkStart w:id="611" w:name="_Toc264969231"/>
      <w:bookmarkStart w:id="612" w:name="_Toc265228379"/>
      <w:bookmarkStart w:id="613" w:name="_Toc226337237"/>
      <w:bookmarkStart w:id="614" w:name="_Toc164351635"/>
      <w:bookmarkStart w:id="615" w:name="_Toc150774641"/>
      <w:bookmarkStart w:id="616" w:name="_Toc151193783"/>
      <w:bookmarkStart w:id="617" w:name="_Toc151193929"/>
      <w:bookmarkStart w:id="618" w:name="_Toc151193855"/>
      <w:bookmarkStart w:id="619" w:name="_Toc151193711"/>
      <w:bookmarkStart w:id="620" w:name="_Toc149720834"/>
      <w:bookmarkStart w:id="621" w:name="_Toc150480779"/>
      <w:bookmarkStart w:id="622" w:name="_Toc164229382"/>
      <w:bookmarkStart w:id="623" w:name="_Toc164608655"/>
      <w:bookmarkStart w:id="624" w:name="_Toc127161455"/>
      <w:bookmarkStart w:id="625" w:name="_Toc151190168"/>
      <w:bookmarkStart w:id="626" w:name="_Toc226309785"/>
      <w:bookmarkStart w:id="627" w:name="_Toc164608810"/>
      <w:bookmarkStart w:id="628" w:name="_Toc195842906"/>
      <w:bookmarkStart w:id="629" w:name="_Toc226965814"/>
      <w:bookmarkStart w:id="630" w:name="_Toc226965731"/>
      <w:bookmarkStart w:id="631" w:name="_Toc353873941"/>
      <w:bookmarkStart w:id="632" w:name="_Toc353825551"/>
      <w:bookmarkStart w:id="633" w:name="_Toc150480793"/>
      <w:bookmarkStart w:id="634" w:name="_Toc305158823"/>
      <w:bookmarkStart w:id="635" w:name="_Toc264969245"/>
      <w:bookmarkStart w:id="636" w:name="_Toc305158897"/>
      <w:bookmarkStart w:id="637" w:name="_Toc195842920"/>
      <w:bookmarkStart w:id="638" w:name="_Toc353873665"/>
      <w:bookmarkStart w:id="639" w:name="_Toc127151555"/>
      <w:bookmarkStart w:id="640" w:name="_Toc226337251"/>
      <w:bookmarkStart w:id="641" w:name="_Toc150774760"/>
      <w:bookmarkStart w:id="642" w:name="_Toc353873935"/>
      <w:bookmarkStart w:id="643" w:name="_Toc226965828"/>
      <w:bookmarkStart w:id="644" w:name="_Toc353825545"/>
      <w:bookmarkStart w:id="645" w:name="_Toc142311057"/>
      <w:bookmarkStart w:id="646" w:name="_Toc265228393"/>
      <w:r>
        <w:rPr>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sz w:val="24"/>
        </w:rPr>
        <w:t>资格性检查和符合性审查</w:t>
      </w:r>
    </w:p>
    <w:p w14:paraId="5886D8F5">
      <w:pPr>
        <w:numPr>
          <w:ilvl w:val="1"/>
          <w:numId w:val="10"/>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0DB6DB1">
      <w:pPr>
        <w:numPr>
          <w:ilvl w:val="1"/>
          <w:numId w:val="10"/>
        </w:numPr>
        <w:tabs>
          <w:tab w:val="left" w:pos="1080"/>
        </w:tabs>
        <w:snapToGrid w:val="0"/>
        <w:spacing w:line="360" w:lineRule="auto"/>
        <w:ind w:left="1077" w:hanging="720"/>
        <w:rPr>
          <w:sz w:val="24"/>
        </w:rPr>
      </w:pPr>
      <w:r>
        <w:rPr>
          <w:sz w:val="24"/>
        </w:rPr>
        <w:t>《资格性检查要求》中对格式有要求的，除竞争性磋商文件另有规定外，均为“</w:t>
      </w:r>
      <w:r>
        <w:rPr>
          <w:rFonts w:hint="eastAsia"/>
          <w:sz w:val="24"/>
        </w:rPr>
        <w:t>非</w:t>
      </w:r>
      <w:r>
        <w:rPr>
          <w:sz w:val="24"/>
        </w:rPr>
        <w:t>实质性格式”文件。</w:t>
      </w:r>
    </w:p>
    <w:p w14:paraId="4BFF2147">
      <w:pPr>
        <w:numPr>
          <w:ilvl w:val="1"/>
          <w:numId w:val="10"/>
        </w:numPr>
        <w:tabs>
          <w:tab w:val="left" w:pos="1080"/>
        </w:tabs>
        <w:snapToGrid w:val="0"/>
        <w:spacing w:line="360" w:lineRule="auto"/>
        <w:ind w:left="1077" w:hanging="720"/>
        <w:rPr>
          <w:sz w:val="24"/>
        </w:rPr>
      </w:pPr>
      <w:r>
        <w:rPr>
          <w:sz w:val="24"/>
        </w:rPr>
        <w:t>《资格性检查要求》见下表：</w:t>
      </w:r>
    </w:p>
    <w:p w14:paraId="12AB571D">
      <w:pPr>
        <w:tabs>
          <w:tab w:val="left" w:pos="900"/>
          <w:tab w:val="left" w:pos="1080"/>
        </w:tabs>
        <w:snapToGrid w:val="0"/>
        <w:spacing w:line="360" w:lineRule="auto"/>
        <w:ind w:left="1077" w:firstLine="2650" w:firstLineChars="1100"/>
        <w:rPr>
          <w:b/>
          <w:sz w:val="24"/>
        </w:rPr>
      </w:pPr>
      <w:r>
        <w:rPr>
          <w:b/>
          <w:sz w:val="24"/>
        </w:rPr>
        <w:t>资格性检查要求</w:t>
      </w:r>
    </w:p>
    <w:tbl>
      <w:tblPr>
        <w:tblStyle w:val="46"/>
        <w:tblW w:w="4999" w:type="pct"/>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1743"/>
        <w:gridCol w:w="4793"/>
        <w:gridCol w:w="1908"/>
      </w:tblGrid>
      <w:tr w14:paraId="04F8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noWrap w:val="0"/>
            <w:vAlign w:val="center"/>
          </w:tcPr>
          <w:p w14:paraId="2AB62681">
            <w:pPr>
              <w:tabs>
                <w:tab w:val="left" w:pos="1080"/>
              </w:tabs>
              <w:snapToGrid w:val="0"/>
              <w:jc w:val="center"/>
              <w:rPr>
                <w:b/>
                <w:sz w:val="24"/>
              </w:rPr>
            </w:pPr>
            <w:bookmarkStart w:id="647" w:name="_Hlt487972895"/>
            <w:bookmarkEnd w:id="647"/>
            <w:r>
              <w:rPr>
                <w:b/>
                <w:sz w:val="24"/>
              </w:rPr>
              <w:t>序号</w:t>
            </w:r>
          </w:p>
        </w:tc>
        <w:tc>
          <w:tcPr>
            <w:tcW w:w="938" w:type="pct"/>
            <w:noWrap w:val="0"/>
            <w:vAlign w:val="center"/>
          </w:tcPr>
          <w:p w14:paraId="1DDDFB53">
            <w:pPr>
              <w:tabs>
                <w:tab w:val="left" w:pos="1080"/>
              </w:tabs>
              <w:snapToGrid w:val="0"/>
              <w:jc w:val="center"/>
              <w:rPr>
                <w:b/>
                <w:sz w:val="24"/>
              </w:rPr>
            </w:pPr>
            <w:r>
              <w:rPr>
                <w:b/>
                <w:sz w:val="24"/>
              </w:rPr>
              <w:t>检查因素</w:t>
            </w:r>
          </w:p>
        </w:tc>
        <w:tc>
          <w:tcPr>
            <w:tcW w:w="2580" w:type="pct"/>
            <w:noWrap w:val="0"/>
            <w:vAlign w:val="center"/>
          </w:tcPr>
          <w:p w14:paraId="627C4ED3">
            <w:pPr>
              <w:tabs>
                <w:tab w:val="left" w:pos="1080"/>
              </w:tabs>
              <w:snapToGrid w:val="0"/>
              <w:jc w:val="center"/>
              <w:rPr>
                <w:b/>
                <w:sz w:val="24"/>
              </w:rPr>
            </w:pPr>
            <w:r>
              <w:rPr>
                <w:b/>
                <w:sz w:val="24"/>
              </w:rPr>
              <w:t>检查内容</w:t>
            </w:r>
          </w:p>
        </w:tc>
        <w:tc>
          <w:tcPr>
            <w:tcW w:w="1027" w:type="pct"/>
            <w:noWrap w:val="0"/>
            <w:vAlign w:val="center"/>
          </w:tcPr>
          <w:p w14:paraId="197B7D9E">
            <w:pPr>
              <w:tabs>
                <w:tab w:val="left" w:pos="1080"/>
              </w:tabs>
              <w:snapToGrid w:val="0"/>
              <w:jc w:val="center"/>
              <w:rPr>
                <w:b/>
                <w:sz w:val="24"/>
              </w:rPr>
            </w:pPr>
            <w:r>
              <w:rPr>
                <w:b/>
                <w:sz w:val="24"/>
              </w:rPr>
              <w:t>格式要求</w:t>
            </w:r>
          </w:p>
        </w:tc>
      </w:tr>
      <w:tr w14:paraId="692D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0E5A78E2">
            <w:pPr>
              <w:tabs>
                <w:tab w:val="left" w:pos="1080"/>
              </w:tabs>
              <w:snapToGrid w:val="0"/>
              <w:jc w:val="center"/>
              <w:rPr>
                <w:sz w:val="24"/>
              </w:rPr>
            </w:pPr>
            <w:r>
              <w:rPr>
                <w:rFonts w:hint="eastAsia"/>
                <w:sz w:val="24"/>
              </w:rPr>
              <w:t>1</w:t>
            </w:r>
          </w:p>
        </w:tc>
        <w:tc>
          <w:tcPr>
            <w:tcW w:w="938" w:type="pct"/>
            <w:noWrap w:val="0"/>
            <w:vAlign w:val="center"/>
          </w:tcPr>
          <w:p w14:paraId="28E2E31F">
            <w:pPr>
              <w:tabs>
                <w:tab w:val="left" w:pos="1080"/>
              </w:tabs>
              <w:snapToGrid w:val="0"/>
              <w:jc w:val="left"/>
              <w:rPr>
                <w:sz w:val="24"/>
              </w:rPr>
            </w:pPr>
            <w:r>
              <w:rPr>
                <w:rFonts w:hint="eastAsia"/>
                <w:sz w:val="24"/>
              </w:rPr>
              <w:t>满足《中华人民共和国政府采购法》第二十二条规定</w:t>
            </w:r>
          </w:p>
        </w:tc>
        <w:tc>
          <w:tcPr>
            <w:tcW w:w="2580" w:type="pct"/>
            <w:noWrap w:val="0"/>
            <w:vAlign w:val="center"/>
          </w:tcPr>
          <w:p w14:paraId="5547DA1F">
            <w:pPr>
              <w:tabs>
                <w:tab w:val="left" w:pos="1080"/>
              </w:tabs>
              <w:snapToGrid w:val="0"/>
              <w:jc w:val="left"/>
              <w:rPr>
                <w:sz w:val="24"/>
              </w:rPr>
            </w:pPr>
            <w:r>
              <w:rPr>
                <w:rFonts w:hint="eastAsia"/>
                <w:sz w:val="24"/>
              </w:rPr>
              <w:t>具体规定见第一章《采购邀请》</w:t>
            </w:r>
          </w:p>
        </w:tc>
        <w:tc>
          <w:tcPr>
            <w:tcW w:w="1027" w:type="pct"/>
            <w:noWrap w:val="0"/>
            <w:vAlign w:val="center"/>
          </w:tcPr>
          <w:p w14:paraId="66729AF7">
            <w:pPr>
              <w:tabs>
                <w:tab w:val="left" w:pos="1080"/>
              </w:tabs>
              <w:snapToGrid w:val="0"/>
              <w:jc w:val="left"/>
              <w:rPr>
                <w:sz w:val="24"/>
              </w:rPr>
            </w:pPr>
          </w:p>
        </w:tc>
      </w:tr>
      <w:tr w14:paraId="2872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155064F3">
            <w:pPr>
              <w:tabs>
                <w:tab w:val="left" w:pos="1080"/>
              </w:tabs>
              <w:snapToGrid w:val="0"/>
              <w:jc w:val="center"/>
              <w:rPr>
                <w:sz w:val="24"/>
              </w:rPr>
            </w:pPr>
            <w:r>
              <w:rPr>
                <w:rFonts w:hint="eastAsia"/>
                <w:sz w:val="24"/>
              </w:rPr>
              <w:t>1-1</w:t>
            </w:r>
          </w:p>
        </w:tc>
        <w:tc>
          <w:tcPr>
            <w:tcW w:w="938" w:type="pct"/>
            <w:noWrap w:val="0"/>
            <w:vAlign w:val="center"/>
          </w:tcPr>
          <w:p w14:paraId="394144C5">
            <w:pPr>
              <w:tabs>
                <w:tab w:val="left" w:pos="1080"/>
              </w:tabs>
              <w:snapToGrid w:val="0"/>
              <w:jc w:val="left"/>
              <w:rPr>
                <w:sz w:val="24"/>
              </w:rPr>
            </w:pPr>
            <w:r>
              <w:rPr>
                <w:sz w:val="24"/>
              </w:rPr>
              <w:t>营业执照等证明文件</w:t>
            </w:r>
          </w:p>
        </w:tc>
        <w:tc>
          <w:tcPr>
            <w:tcW w:w="2580" w:type="pct"/>
            <w:noWrap w:val="0"/>
            <w:vAlign w:val="center"/>
          </w:tcPr>
          <w:p w14:paraId="45FC804A">
            <w:pPr>
              <w:tabs>
                <w:tab w:val="left" w:pos="1080"/>
              </w:tabs>
              <w:snapToGrid w:val="0"/>
              <w:jc w:val="left"/>
              <w:rPr>
                <w:sz w:val="24"/>
              </w:rPr>
            </w:pPr>
            <w:r>
              <w:rPr>
                <w:sz w:val="24"/>
              </w:rPr>
              <w:t>供应商为企业（包括合伙企业）的，应提供有效的“营业执照”；</w:t>
            </w:r>
          </w:p>
          <w:p w14:paraId="1B9E4620">
            <w:pPr>
              <w:tabs>
                <w:tab w:val="left" w:pos="1080"/>
              </w:tabs>
              <w:snapToGrid w:val="0"/>
              <w:jc w:val="left"/>
              <w:rPr>
                <w:sz w:val="24"/>
              </w:rPr>
            </w:pPr>
            <w:r>
              <w:rPr>
                <w:sz w:val="24"/>
              </w:rPr>
              <w:t>供应商为事业单位的，应提供有效的“事业单位法人证书”；</w:t>
            </w:r>
          </w:p>
          <w:p w14:paraId="119EDEFE">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A9D5D60">
            <w:pPr>
              <w:tabs>
                <w:tab w:val="left" w:pos="1080"/>
              </w:tabs>
              <w:snapToGrid w:val="0"/>
              <w:jc w:val="left"/>
              <w:rPr>
                <w:sz w:val="24"/>
              </w:rPr>
            </w:pPr>
            <w:r>
              <w:rPr>
                <w:sz w:val="24"/>
              </w:rPr>
              <w:t>供应商是个体工商户的，应提供有效的“个体工商户营业执照”；</w:t>
            </w:r>
          </w:p>
          <w:p w14:paraId="59C5761F">
            <w:pPr>
              <w:tabs>
                <w:tab w:val="left" w:pos="1080"/>
              </w:tabs>
              <w:snapToGrid w:val="0"/>
              <w:jc w:val="left"/>
              <w:rPr>
                <w:sz w:val="24"/>
              </w:rPr>
            </w:pPr>
            <w:r>
              <w:rPr>
                <w:sz w:val="24"/>
              </w:rPr>
              <w:t>供应商是自然人的，应提供有效的自然人身份证明。</w:t>
            </w:r>
          </w:p>
          <w:p w14:paraId="1388FDCD">
            <w:pPr>
              <w:tabs>
                <w:tab w:val="left" w:pos="1080"/>
              </w:tabs>
              <w:snapToGrid w:val="0"/>
              <w:rPr>
                <w:rFonts w:hint="eastAsia"/>
                <w:sz w:val="24"/>
              </w:rPr>
            </w:pPr>
            <w:r>
              <w:rPr>
                <w:rFonts w:hint="eastAsia"/>
                <w:sz w:val="24"/>
              </w:rPr>
              <w:t>分支机构参加响应的，应提供该分支机构或其所属法人/其他组织的相应证明文件；同时</w:t>
            </w:r>
          </w:p>
          <w:p w14:paraId="52A1E315">
            <w:pPr>
              <w:tabs>
                <w:tab w:val="left" w:pos="1080"/>
              </w:tabs>
              <w:snapToGrid w:val="0"/>
              <w:rPr>
                <w:rFonts w:hint="eastAsia"/>
                <w:sz w:val="24"/>
              </w:rPr>
            </w:pPr>
            <w:r>
              <w:rPr>
                <w:rFonts w:hint="eastAsia"/>
                <w:sz w:val="24"/>
              </w:rPr>
              <w:t>还应提供其所属法人/其他组织出具的授权其参与本项目的授权书（格式自拟，须加盖</w:t>
            </w:r>
          </w:p>
          <w:p w14:paraId="2D4F2FE7">
            <w:pPr>
              <w:tabs>
                <w:tab w:val="left" w:pos="1080"/>
              </w:tabs>
              <w:snapToGrid w:val="0"/>
              <w:jc w:val="left"/>
              <w:rPr>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027" w:type="pct"/>
            <w:noWrap w:val="0"/>
            <w:vAlign w:val="center"/>
          </w:tcPr>
          <w:p w14:paraId="52FDD9D9">
            <w:pPr>
              <w:tabs>
                <w:tab w:val="left" w:pos="1080"/>
              </w:tabs>
              <w:snapToGrid w:val="0"/>
              <w:jc w:val="left"/>
              <w:rPr>
                <w:sz w:val="24"/>
              </w:rPr>
            </w:pPr>
            <w:r>
              <w:rPr>
                <w:sz w:val="24"/>
              </w:rPr>
              <w:t>提供证明文件</w:t>
            </w:r>
          </w:p>
        </w:tc>
      </w:tr>
      <w:tr w14:paraId="317D2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1E9B3A10">
            <w:pPr>
              <w:tabs>
                <w:tab w:val="left" w:pos="1080"/>
              </w:tabs>
              <w:snapToGrid w:val="0"/>
              <w:jc w:val="center"/>
              <w:rPr>
                <w:sz w:val="24"/>
              </w:rPr>
            </w:pPr>
            <w:r>
              <w:rPr>
                <w:rFonts w:hint="eastAsia"/>
                <w:sz w:val="24"/>
              </w:rPr>
              <w:t>1-</w:t>
            </w:r>
            <w:r>
              <w:rPr>
                <w:sz w:val="24"/>
              </w:rPr>
              <w:t>2</w:t>
            </w:r>
          </w:p>
        </w:tc>
        <w:tc>
          <w:tcPr>
            <w:tcW w:w="938" w:type="pct"/>
            <w:noWrap w:val="0"/>
            <w:vAlign w:val="center"/>
          </w:tcPr>
          <w:p w14:paraId="29AFF2DF">
            <w:pPr>
              <w:tabs>
                <w:tab w:val="left" w:pos="1080"/>
              </w:tabs>
              <w:snapToGrid w:val="0"/>
              <w:jc w:val="left"/>
              <w:rPr>
                <w:sz w:val="24"/>
              </w:rPr>
            </w:pPr>
            <w:r>
              <w:rPr>
                <w:sz w:val="24"/>
              </w:rPr>
              <w:t>供应商资格声明书</w:t>
            </w:r>
          </w:p>
        </w:tc>
        <w:tc>
          <w:tcPr>
            <w:tcW w:w="2580" w:type="pct"/>
            <w:noWrap w:val="0"/>
            <w:vAlign w:val="center"/>
          </w:tcPr>
          <w:p w14:paraId="7B6FAA3A">
            <w:pPr>
              <w:tabs>
                <w:tab w:val="left" w:pos="1080"/>
              </w:tabs>
              <w:snapToGrid w:val="0"/>
              <w:jc w:val="left"/>
              <w:rPr>
                <w:sz w:val="24"/>
              </w:rPr>
            </w:pPr>
            <w:r>
              <w:rPr>
                <w:sz w:val="24"/>
              </w:rPr>
              <w:t>提供了符合竞争性磋商文件要求的《供应商资格声明书》。</w:t>
            </w:r>
          </w:p>
        </w:tc>
        <w:tc>
          <w:tcPr>
            <w:tcW w:w="1027" w:type="pct"/>
            <w:noWrap w:val="0"/>
            <w:vAlign w:val="center"/>
          </w:tcPr>
          <w:p w14:paraId="00F64179">
            <w:pPr>
              <w:tabs>
                <w:tab w:val="left" w:pos="1080"/>
              </w:tabs>
              <w:snapToGrid w:val="0"/>
              <w:jc w:val="left"/>
              <w:rPr>
                <w:sz w:val="24"/>
              </w:rPr>
            </w:pPr>
            <w:r>
              <w:rPr>
                <w:sz w:val="24"/>
              </w:rPr>
              <w:t>格式见《响应文件格式》</w:t>
            </w:r>
          </w:p>
        </w:tc>
      </w:tr>
      <w:tr w14:paraId="53BE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2BEB855D">
            <w:pPr>
              <w:tabs>
                <w:tab w:val="left" w:pos="1080"/>
              </w:tabs>
              <w:snapToGrid w:val="0"/>
              <w:jc w:val="center"/>
              <w:rPr>
                <w:sz w:val="24"/>
              </w:rPr>
            </w:pPr>
            <w:r>
              <w:rPr>
                <w:rFonts w:hint="eastAsia"/>
                <w:sz w:val="24"/>
              </w:rPr>
              <w:t>1-</w:t>
            </w:r>
            <w:r>
              <w:rPr>
                <w:sz w:val="24"/>
              </w:rPr>
              <w:t>3</w:t>
            </w:r>
          </w:p>
        </w:tc>
        <w:tc>
          <w:tcPr>
            <w:tcW w:w="938" w:type="pct"/>
            <w:noWrap w:val="0"/>
            <w:vAlign w:val="center"/>
          </w:tcPr>
          <w:p w14:paraId="5F0AE8A5">
            <w:pPr>
              <w:tabs>
                <w:tab w:val="left" w:pos="1080"/>
              </w:tabs>
              <w:snapToGrid w:val="0"/>
              <w:rPr>
                <w:sz w:val="24"/>
              </w:rPr>
            </w:pPr>
            <w:r>
              <w:rPr>
                <w:sz w:val="24"/>
              </w:rPr>
              <w:t>供应商信用记录</w:t>
            </w:r>
          </w:p>
        </w:tc>
        <w:tc>
          <w:tcPr>
            <w:tcW w:w="2580" w:type="pct"/>
            <w:noWrap w:val="0"/>
            <w:vAlign w:val="center"/>
          </w:tcPr>
          <w:p w14:paraId="245238F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5E63B1E">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3BA9F9F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21D6A5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noWrap w:val="0"/>
            <w:vAlign w:val="center"/>
          </w:tcPr>
          <w:p w14:paraId="7782011B">
            <w:pPr>
              <w:tabs>
                <w:tab w:val="left" w:pos="1080"/>
              </w:tabs>
              <w:snapToGrid w:val="0"/>
              <w:rPr>
                <w:sz w:val="24"/>
              </w:rPr>
            </w:pPr>
            <w:r>
              <w:rPr>
                <w:sz w:val="24"/>
              </w:rPr>
              <w:t>无须供应商提供，由采购人或采购代理机构查询。</w:t>
            </w:r>
          </w:p>
        </w:tc>
      </w:tr>
      <w:tr w14:paraId="1F00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6EC80234">
            <w:pPr>
              <w:tabs>
                <w:tab w:val="left" w:pos="1080"/>
              </w:tabs>
              <w:snapToGrid w:val="0"/>
              <w:jc w:val="center"/>
              <w:rPr>
                <w:rFonts w:hint="eastAsia"/>
                <w:sz w:val="24"/>
              </w:rPr>
            </w:pPr>
            <w:r>
              <w:rPr>
                <w:rFonts w:hint="eastAsia"/>
                <w:sz w:val="24"/>
              </w:rPr>
              <w:t>1-4</w:t>
            </w:r>
          </w:p>
        </w:tc>
        <w:tc>
          <w:tcPr>
            <w:tcW w:w="938" w:type="pct"/>
            <w:noWrap w:val="0"/>
            <w:vAlign w:val="center"/>
          </w:tcPr>
          <w:p w14:paraId="344D3B0E">
            <w:pPr>
              <w:tabs>
                <w:tab w:val="left" w:pos="1080"/>
              </w:tabs>
              <w:snapToGrid w:val="0"/>
              <w:rPr>
                <w:sz w:val="24"/>
              </w:rPr>
            </w:pPr>
            <w:r>
              <w:rPr>
                <w:rFonts w:hint="eastAsia"/>
                <w:sz w:val="24"/>
              </w:rPr>
              <w:t>法律、行政法规规定的其他条件</w:t>
            </w:r>
          </w:p>
        </w:tc>
        <w:tc>
          <w:tcPr>
            <w:tcW w:w="2580" w:type="pct"/>
            <w:noWrap w:val="0"/>
            <w:vAlign w:val="center"/>
          </w:tcPr>
          <w:p w14:paraId="0B28426C">
            <w:pPr>
              <w:tabs>
                <w:tab w:val="left" w:pos="1080"/>
              </w:tabs>
              <w:snapToGrid w:val="0"/>
              <w:rPr>
                <w:sz w:val="24"/>
              </w:rPr>
            </w:pPr>
            <w:r>
              <w:rPr>
                <w:rFonts w:hint="eastAsia"/>
                <w:sz w:val="24"/>
              </w:rPr>
              <w:t>法律、行政法规规定的其他条件</w:t>
            </w:r>
          </w:p>
        </w:tc>
        <w:tc>
          <w:tcPr>
            <w:tcW w:w="1027" w:type="pct"/>
            <w:noWrap w:val="0"/>
            <w:vAlign w:val="center"/>
          </w:tcPr>
          <w:p w14:paraId="19BDEB2F">
            <w:pPr>
              <w:tabs>
                <w:tab w:val="left" w:pos="1080"/>
              </w:tabs>
              <w:snapToGrid w:val="0"/>
              <w:jc w:val="left"/>
              <w:rPr>
                <w:sz w:val="24"/>
              </w:rPr>
            </w:pPr>
            <w:r>
              <w:rPr>
                <w:rFonts w:hint="eastAsia"/>
                <w:sz w:val="24"/>
              </w:rPr>
              <w:t>/</w:t>
            </w:r>
          </w:p>
        </w:tc>
      </w:tr>
      <w:tr w14:paraId="5EED0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7416BB62">
            <w:pPr>
              <w:tabs>
                <w:tab w:val="left" w:pos="1080"/>
              </w:tabs>
              <w:snapToGrid w:val="0"/>
              <w:jc w:val="center"/>
              <w:rPr>
                <w:sz w:val="24"/>
              </w:rPr>
            </w:pPr>
            <w:r>
              <w:rPr>
                <w:rFonts w:hint="eastAsia"/>
                <w:sz w:val="24"/>
              </w:rPr>
              <w:t>2</w:t>
            </w:r>
          </w:p>
        </w:tc>
        <w:tc>
          <w:tcPr>
            <w:tcW w:w="938" w:type="pct"/>
            <w:noWrap w:val="0"/>
            <w:vAlign w:val="center"/>
          </w:tcPr>
          <w:p w14:paraId="70D1E053">
            <w:pPr>
              <w:tabs>
                <w:tab w:val="left" w:pos="1080"/>
              </w:tabs>
              <w:snapToGrid w:val="0"/>
              <w:rPr>
                <w:sz w:val="24"/>
              </w:rPr>
            </w:pPr>
            <w:r>
              <w:rPr>
                <w:sz w:val="24"/>
              </w:rPr>
              <w:t>落实政府采购政策需满足的资格要求</w:t>
            </w:r>
          </w:p>
        </w:tc>
        <w:tc>
          <w:tcPr>
            <w:tcW w:w="2580" w:type="pct"/>
            <w:noWrap w:val="0"/>
            <w:vAlign w:val="center"/>
          </w:tcPr>
          <w:p w14:paraId="276662EB">
            <w:pPr>
              <w:tabs>
                <w:tab w:val="left" w:pos="1080"/>
              </w:tabs>
              <w:snapToGrid w:val="0"/>
              <w:rPr>
                <w:sz w:val="24"/>
              </w:rPr>
            </w:pPr>
            <w:r>
              <w:rPr>
                <w:rFonts w:hint="eastAsia"/>
                <w:sz w:val="24"/>
              </w:rPr>
              <w:t>具体要求见第一章《投标邀请》</w:t>
            </w:r>
          </w:p>
        </w:tc>
        <w:tc>
          <w:tcPr>
            <w:tcW w:w="1027" w:type="pct"/>
            <w:noWrap w:val="0"/>
            <w:vAlign w:val="center"/>
          </w:tcPr>
          <w:p w14:paraId="5238F9EB">
            <w:pPr>
              <w:tabs>
                <w:tab w:val="left" w:pos="1080"/>
              </w:tabs>
              <w:snapToGrid w:val="0"/>
              <w:jc w:val="left"/>
              <w:rPr>
                <w:sz w:val="24"/>
              </w:rPr>
            </w:pPr>
          </w:p>
        </w:tc>
      </w:tr>
      <w:tr w14:paraId="67E2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01225DCA">
            <w:pPr>
              <w:tabs>
                <w:tab w:val="left" w:pos="1080"/>
              </w:tabs>
              <w:snapToGrid w:val="0"/>
              <w:jc w:val="center"/>
              <w:rPr>
                <w:rFonts w:hint="eastAsia"/>
                <w:sz w:val="24"/>
              </w:rPr>
            </w:pPr>
            <w:r>
              <w:rPr>
                <w:rFonts w:hint="eastAsia"/>
                <w:sz w:val="24"/>
              </w:rPr>
              <w:t>2-1</w:t>
            </w:r>
          </w:p>
        </w:tc>
        <w:tc>
          <w:tcPr>
            <w:tcW w:w="938" w:type="pct"/>
            <w:noWrap w:val="0"/>
            <w:vAlign w:val="center"/>
          </w:tcPr>
          <w:p w14:paraId="3BCDEEEA">
            <w:pPr>
              <w:tabs>
                <w:tab w:val="left" w:pos="1080"/>
              </w:tabs>
              <w:snapToGrid w:val="0"/>
              <w:rPr>
                <w:sz w:val="24"/>
              </w:rPr>
            </w:pPr>
            <w:r>
              <w:rPr>
                <w:rFonts w:hint="eastAsia"/>
                <w:sz w:val="24"/>
              </w:rPr>
              <w:t>中小企业政策</w:t>
            </w:r>
          </w:p>
        </w:tc>
        <w:tc>
          <w:tcPr>
            <w:tcW w:w="2580" w:type="pct"/>
            <w:noWrap w:val="0"/>
            <w:vAlign w:val="center"/>
          </w:tcPr>
          <w:p w14:paraId="6C843742">
            <w:pPr>
              <w:tabs>
                <w:tab w:val="left" w:pos="1080"/>
              </w:tabs>
              <w:snapToGrid w:val="0"/>
              <w:rPr>
                <w:rFonts w:hint="eastAsia"/>
                <w:sz w:val="24"/>
              </w:rPr>
            </w:pPr>
            <w:r>
              <w:rPr>
                <w:rFonts w:hint="eastAsia"/>
                <w:sz w:val="24"/>
              </w:rPr>
              <w:t>具体要求见第一章《采购邀请》</w:t>
            </w:r>
          </w:p>
        </w:tc>
        <w:tc>
          <w:tcPr>
            <w:tcW w:w="1027" w:type="pct"/>
            <w:noWrap w:val="0"/>
            <w:vAlign w:val="center"/>
          </w:tcPr>
          <w:p w14:paraId="3F517C21">
            <w:pPr>
              <w:tabs>
                <w:tab w:val="left" w:pos="1080"/>
              </w:tabs>
              <w:snapToGrid w:val="0"/>
              <w:rPr>
                <w:sz w:val="24"/>
              </w:rPr>
            </w:pPr>
          </w:p>
        </w:tc>
      </w:tr>
      <w:tr w14:paraId="053B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7C5CFF7B">
            <w:pPr>
              <w:tabs>
                <w:tab w:val="left" w:pos="1080"/>
              </w:tabs>
              <w:snapToGrid w:val="0"/>
              <w:jc w:val="center"/>
              <w:rPr>
                <w:rFonts w:hint="eastAsia"/>
                <w:sz w:val="24"/>
              </w:rPr>
            </w:pPr>
            <w:r>
              <w:rPr>
                <w:sz w:val="24"/>
              </w:rPr>
              <w:t>2-1</w:t>
            </w:r>
            <w:r>
              <w:rPr>
                <w:rFonts w:hint="eastAsia"/>
                <w:sz w:val="24"/>
              </w:rPr>
              <w:t>-1</w:t>
            </w:r>
          </w:p>
        </w:tc>
        <w:tc>
          <w:tcPr>
            <w:tcW w:w="938" w:type="pct"/>
            <w:noWrap w:val="0"/>
            <w:vAlign w:val="center"/>
          </w:tcPr>
          <w:p w14:paraId="1912B3AA">
            <w:pPr>
              <w:tabs>
                <w:tab w:val="left" w:pos="1080"/>
              </w:tabs>
              <w:snapToGrid w:val="0"/>
              <w:rPr>
                <w:sz w:val="24"/>
              </w:rPr>
            </w:pPr>
            <w:r>
              <w:rPr>
                <w:sz w:val="24"/>
              </w:rPr>
              <w:t>中小企业</w:t>
            </w:r>
            <w:r>
              <w:rPr>
                <w:rFonts w:hint="eastAsia"/>
                <w:sz w:val="24"/>
              </w:rPr>
              <w:t>证明文件</w:t>
            </w:r>
          </w:p>
        </w:tc>
        <w:tc>
          <w:tcPr>
            <w:tcW w:w="2580" w:type="pct"/>
            <w:noWrap w:val="0"/>
            <w:vAlign w:val="center"/>
          </w:tcPr>
          <w:p w14:paraId="60F48894">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0B6AD213">
            <w:pPr>
              <w:tabs>
                <w:tab w:val="left" w:pos="1080"/>
              </w:tabs>
              <w:snapToGrid w:val="0"/>
              <w:rPr>
                <w:rFonts w:hint="eastAsia"/>
                <w:sz w:val="24"/>
              </w:rPr>
            </w:pPr>
            <w:r>
              <w:rPr>
                <w:rFonts w:hint="eastAsia"/>
                <w:sz w:val="24"/>
              </w:rPr>
              <w:t>1、供应商单独响应的，应提供《中小企业声明函》或《残疾人福利性单位声明函》或由省级以上监狱管理局、戒毒管理局（含新疆生产建设兵团）出具的属于监狱企业的证明</w:t>
            </w:r>
          </w:p>
          <w:p w14:paraId="4D6AC12B">
            <w:pPr>
              <w:tabs>
                <w:tab w:val="left" w:pos="1080"/>
              </w:tabs>
              <w:snapToGrid w:val="0"/>
              <w:rPr>
                <w:sz w:val="24"/>
              </w:rPr>
            </w:pPr>
            <w:r>
              <w:rPr>
                <w:rFonts w:hint="eastAsia"/>
                <w:sz w:val="24"/>
              </w:rPr>
              <w:t>文件。</w:t>
            </w:r>
          </w:p>
          <w:p w14:paraId="662237A3">
            <w:pPr>
              <w:tabs>
                <w:tab w:val="left" w:pos="1080"/>
              </w:tabs>
              <w:snapToGrid w:val="0"/>
              <w:rPr>
                <w:rFonts w:hint="eastAsia"/>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7" w:type="pct"/>
            <w:noWrap w:val="0"/>
            <w:vAlign w:val="center"/>
          </w:tcPr>
          <w:p w14:paraId="1BAE996F">
            <w:pPr>
              <w:tabs>
                <w:tab w:val="left" w:pos="1080"/>
              </w:tabs>
              <w:snapToGrid w:val="0"/>
              <w:rPr>
                <w:sz w:val="24"/>
              </w:rPr>
            </w:pPr>
            <w:r>
              <w:rPr>
                <w:sz w:val="24"/>
              </w:rPr>
              <w:t>格式见《</w:t>
            </w:r>
            <w:r>
              <w:rPr>
                <w:rFonts w:hint="eastAsia"/>
                <w:sz w:val="24"/>
              </w:rPr>
              <w:t>响应</w:t>
            </w:r>
            <w:r>
              <w:rPr>
                <w:sz w:val="24"/>
              </w:rPr>
              <w:t>文件格式》</w:t>
            </w:r>
          </w:p>
        </w:tc>
      </w:tr>
      <w:tr w14:paraId="3C21B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0F0BC18F">
            <w:pPr>
              <w:tabs>
                <w:tab w:val="left" w:pos="1080"/>
              </w:tabs>
              <w:snapToGrid w:val="0"/>
              <w:jc w:val="center"/>
              <w:rPr>
                <w:sz w:val="24"/>
              </w:rPr>
            </w:pPr>
            <w:r>
              <w:rPr>
                <w:sz w:val="24"/>
              </w:rPr>
              <w:t>2-</w:t>
            </w:r>
            <w:r>
              <w:rPr>
                <w:rFonts w:hint="eastAsia"/>
                <w:sz w:val="24"/>
              </w:rPr>
              <w:t>1-</w:t>
            </w:r>
            <w:r>
              <w:rPr>
                <w:sz w:val="24"/>
              </w:rPr>
              <w:t>2</w:t>
            </w:r>
          </w:p>
        </w:tc>
        <w:tc>
          <w:tcPr>
            <w:tcW w:w="938" w:type="pct"/>
            <w:noWrap w:val="0"/>
            <w:vAlign w:val="center"/>
          </w:tcPr>
          <w:p w14:paraId="10CFB3EE">
            <w:pPr>
              <w:tabs>
                <w:tab w:val="left" w:pos="1080"/>
              </w:tabs>
              <w:snapToGrid w:val="0"/>
              <w:rPr>
                <w:sz w:val="24"/>
              </w:rPr>
            </w:pPr>
            <w:r>
              <w:rPr>
                <w:sz w:val="24"/>
              </w:rPr>
              <w:t>拟分包情况说明及分包意向协议</w:t>
            </w:r>
          </w:p>
        </w:tc>
        <w:tc>
          <w:tcPr>
            <w:tcW w:w="2580" w:type="pct"/>
            <w:noWrap w:val="0"/>
            <w:vAlign w:val="center"/>
          </w:tcPr>
          <w:p w14:paraId="7F535EA3">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55F6F4D4">
            <w:pPr>
              <w:tabs>
                <w:tab w:val="left" w:pos="1080"/>
              </w:tabs>
              <w:snapToGrid w:val="0"/>
              <w:rPr>
                <w:rFonts w:hint="eastAsia"/>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noWrap w:val="0"/>
            <w:vAlign w:val="center"/>
          </w:tcPr>
          <w:p w14:paraId="0101CBCC">
            <w:pPr>
              <w:tabs>
                <w:tab w:val="left" w:pos="1080"/>
              </w:tabs>
              <w:snapToGrid w:val="0"/>
              <w:rPr>
                <w:sz w:val="24"/>
              </w:rPr>
            </w:pPr>
            <w:r>
              <w:rPr>
                <w:sz w:val="24"/>
              </w:rPr>
              <w:t>格式见《</w:t>
            </w:r>
            <w:r>
              <w:rPr>
                <w:rFonts w:hint="eastAsia"/>
                <w:sz w:val="24"/>
              </w:rPr>
              <w:t>响应文件</w:t>
            </w:r>
            <w:r>
              <w:rPr>
                <w:sz w:val="24"/>
              </w:rPr>
              <w:t>格式》</w:t>
            </w:r>
          </w:p>
        </w:tc>
      </w:tr>
      <w:tr w14:paraId="62DA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2" w:hRule="atLeast"/>
        </w:trPr>
        <w:tc>
          <w:tcPr>
            <w:tcW w:w="453" w:type="pct"/>
            <w:noWrap w:val="0"/>
            <w:vAlign w:val="center"/>
          </w:tcPr>
          <w:p w14:paraId="4A2D4C5B">
            <w:pPr>
              <w:tabs>
                <w:tab w:val="left" w:pos="1080"/>
              </w:tabs>
              <w:snapToGrid w:val="0"/>
              <w:jc w:val="center"/>
              <w:rPr>
                <w:rFonts w:hint="eastAsia"/>
                <w:sz w:val="24"/>
              </w:rPr>
            </w:pPr>
            <w:r>
              <w:rPr>
                <w:sz w:val="24"/>
              </w:rPr>
              <w:t>2-</w:t>
            </w:r>
            <w:r>
              <w:rPr>
                <w:rFonts w:hint="eastAsia"/>
                <w:sz w:val="24"/>
              </w:rPr>
              <w:t>2</w:t>
            </w:r>
          </w:p>
        </w:tc>
        <w:tc>
          <w:tcPr>
            <w:tcW w:w="938" w:type="pct"/>
            <w:noWrap w:val="0"/>
            <w:vAlign w:val="center"/>
          </w:tcPr>
          <w:p w14:paraId="2D0CC9DC">
            <w:pPr>
              <w:tabs>
                <w:tab w:val="left" w:pos="1080"/>
              </w:tabs>
              <w:snapToGrid w:val="0"/>
              <w:rPr>
                <w:sz w:val="24"/>
              </w:rPr>
            </w:pPr>
            <w:r>
              <w:rPr>
                <w:sz w:val="24"/>
              </w:rPr>
              <w:t>其它落实政府采购政策的资格要求</w:t>
            </w:r>
          </w:p>
        </w:tc>
        <w:tc>
          <w:tcPr>
            <w:tcW w:w="2580" w:type="pct"/>
            <w:noWrap w:val="0"/>
            <w:vAlign w:val="center"/>
          </w:tcPr>
          <w:p w14:paraId="4200D213">
            <w:pPr>
              <w:tabs>
                <w:tab w:val="left" w:pos="1080"/>
              </w:tabs>
              <w:snapToGrid w:val="0"/>
              <w:rPr>
                <w:rFonts w:hint="eastAsia"/>
                <w:sz w:val="24"/>
              </w:rPr>
            </w:pPr>
            <w:r>
              <w:rPr>
                <w:sz w:val="24"/>
              </w:rPr>
              <w:t>如有，见第一章《</w:t>
            </w:r>
            <w:r>
              <w:rPr>
                <w:rFonts w:hint="eastAsia"/>
                <w:sz w:val="24"/>
              </w:rPr>
              <w:t>采购</w:t>
            </w:r>
            <w:r>
              <w:rPr>
                <w:sz w:val="24"/>
              </w:rPr>
              <w:t>邀请》</w:t>
            </w:r>
          </w:p>
        </w:tc>
        <w:tc>
          <w:tcPr>
            <w:tcW w:w="1027" w:type="pct"/>
            <w:noWrap w:val="0"/>
            <w:vAlign w:val="center"/>
          </w:tcPr>
          <w:p w14:paraId="3EF8039F">
            <w:pPr>
              <w:tabs>
                <w:tab w:val="left" w:pos="1080"/>
              </w:tabs>
              <w:snapToGrid w:val="0"/>
              <w:rPr>
                <w:sz w:val="24"/>
              </w:rPr>
            </w:pPr>
            <w:r>
              <w:rPr>
                <w:rFonts w:hint="eastAsia"/>
                <w:sz w:val="24"/>
              </w:rPr>
              <w:t>提供证明文件</w:t>
            </w:r>
          </w:p>
        </w:tc>
      </w:tr>
      <w:tr w14:paraId="1176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1" w:hRule="atLeast"/>
        </w:trPr>
        <w:tc>
          <w:tcPr>
            <w:tcW w:w="453" w:type="pct"/>
            <w:noWrap w:val="0"/>
            <w:vAlign w:val="center"/>
          </w:tcPr>
          <w:p w14:paraId="21B4E333">
            <w:pPr>
              <w:tabs>
                <w:tab w:val="left" w:pos="1080"/>
              </w:tabs>
              <w:snapToGrid w:val="0"/>
              <w:jc w:val="center"/>
              <w:rPr>
                <w:sz w:val="24"/>
              </w:rPr>
            </w:pPr>
            <w:r>
              <w:rPr>
                <w:sz w:val="24"/>
              </w:rPr>
              <w:t>3</w:t>
            </w:r>
          </w:p>
        </w:tc>
        <w:tc>
          <w:tcPr>
            <w:tcW w:w="938" w:type="pct"/>
            <w:noWrap w:val="0"/>
            <w:vAlign w:val="center"/>
          </w:tcPr>
          <w:p w14:paraId="66BCAEC6">
            <w:pPr>
              <w:tabs>
                <w:tab w:val="left" w:pos="1080"/>
              </w:tabs>
              <w:snapToGrid w:val="0"/>
              <w:rPr>
                <w:sz w:val="24"/>
              </w:rPr>
            </w:pPr>
            <w:r>
              <w:rPr>
                <w:sz w:val="24"/>
              </w:rPr>
              <w:t>本项目的特定资格要求</w:t>
            </w:r>
          </w:p>
        </w:tc>
        <w:tc>
          <w:tcPr>
            <w:tcW w:w="2580" w:type="pct"/>
            <w:noWrap w:val="0"/>
            <w:vAlign w:val="center"/>
          </w:tcPr>
          <w:p w14:paraId="21197760">
            <w:pPr>
              <w:tabs>
                <w:tab w:val="left" w:pos="1080"/>
              </w:tabs>
              <w:snapToGrid w:val="0"/>
              <w:rPr>
                <w:rFonts w:hint="eastAsia"/>
                <w:sz w:val="24"/>
              </w:rPr>
            </w:pPr>
            <w:r>
              <w:rPr>
                <w:sz w:val="24"/>
              </w:rPr>
              <w:t>如有，见第一章《</w:t>
            </w:r>
            <w:r>
              <w:rPr>
                <w:rFonts w:hint="eastAsia"/>
                <w:sz w:val="24"/>
              </w:rPr>
              <w:t>采购</w:t>
            </w:r>
            <w:r>
              <w:rPr>
                <w:sz w:val="24"/>
              </w:rPr>
              <w:t>邀请》</w:t>
            </w:r>
          </w:p>
        </w:tc>
        <w:tc>
          <w:tcPr>
            <w:tcW w:w="1027" w:type="pct"/>
            <w:noWrap w:val="0"/>
            <w:vAlign w:val="center"/>
          </w:tcPr>
          <w:p w14:paraId="489626BB">
            <w:pPr>
              <w:tabs>
                <w:tab w:val="left" w:pos="1080"/>
              </w:tabs>
              <w:snapToGrid w:val="0"/>
              <w:rPr>
                <w:sz w:val="24"/>
              </w:rPr>
            </w:pPr>
          </w:p>
        </w:tc>
      </w:tr>
      <w:tr w14:paraId="79F1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noWrap w:val="0"/>
            <w:vAlign w:val="center"/>
          </w:tcPr>
          <w:p w14:paraId="7A24617E">
            <w:pPr>
              <w:tabs>
                <w:tab w:val="left" w:pos="1080"/>
              </w:tabs>
              <w:snapToGrid w:val="0"/>
              <w:jc w:val="center"/>
              <w:rPr>
                <w:sz w:val="24"/>
              </w:rPr>
            </w:pPr>
            <w:r>
              <w:rPr>
                <w:sz w:val="24"/>
              </w:rPr>
              <w:t>3-1</w:t>
            </w:r>
          </w:p>
        </w:tc>
        <w:tc>
          <w:tcPr>
            <w:tcW w:w="938" w:type="pct"/>
            <w:noWrap w:val="0"/>
            <w:vAlign w:val="center"/>
          </w:tcPr>
          <w:p w14:paraId="19DC3037">
            <w:pPr>
              <w:tabs>
                <w:tab w:val="left" w:pos="1080"/>
              </w:tabs>
              <w:snapToGrid w:val="0"/>
              <w:rPr>
                <w:sz w:val="24"/>
              </w:rPr>
            </w:pPr>
            <w:r>
              <w:rPr>
                <w:rFonts w:hint="eastAsia"/>
                <w:sz w:val="24"/>
              </w:rPr>
              <w:t>本项目对于联合体的要求</w:t>
            </w:r>
          </w:p>
        </w:tc>
        <w:tc>
          <w:tcPr>
            <w:tcW w:w="2580" w:type="pct"/>
            <w:noWrap w:val="0"/>
            <w:vAlign w:val="center"/>
          </w:tcPr>
          <w:p w14:paraId="6370FC73">
            <w:pPr>
              <w:tabs>
                <w:tab w:val="left" w:pos="1080"/>
              </w:tabs>
              <w:snapToGrid w:val="0"/>
              <w:rPr>
                <w:sz w:val="24"/>
              </w:rPr>
            </w:pPr>
            <w:r>
              <w:rPr>
                <w:sz w:val="24"/>
              </w:rPr>
              <w:t>1、如本项目接受联合体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0C3FBBDD">
            <w:pPr>
              <w:tabs>
                <w:tab w:val="left" w:pos="1080"/>
              </w:tabs>
              <w:snapToGrid w:val="0"/>
              <w:rPr>
                <w:rFonts w:hint="eastAsia"/>
                <w:sz w:val="24"/>
              </w:rPr>
            </w:pPr>
            <w:r>
              <w:rPr>
                <w:sz w:val="24"/>
              </w:rPr>
              <w:t>2、</w:t>
            </w:r>
            <w:r>
              <w:rPr>
                <w:rFonts w:hint="eastAsia"/>
                <w:sz w:val="24"/>
              </w:rPr>
              <w:t>联合体各成员单位均须提供本表中序号1-1、1-2的证明文件。联合体各成员单位均</w:t>
            </w:r>
          </w:p>
          <w:p w14:paraId="11A43A7B">
            <w:pPr>
              <w:tabs>
                <w:tab w:val="left" w:pos="1080"/>
              </w:tabs>
              <w:snapToGrid w:val="0"/>
              <w:rPr>
                <w:rFonts w:hint="eastAsia"/>
                <w:sz w:val="24"/>
              </w:rPr>
            </w:pPr>
            <w:r>
              <w:rPr>
                <w:rFonts w:hint="eastAsia"/>
                <w:sz w:val="24"/>
              </w:rPr>
              <w:t>应满足本表3-2及3-3项规定。</w:t>
            </w:r>
          </w:p>
          <w:p w14:paraId="40C2923A">
            <w:pPr>
              <w:tabs>
                <w:tab w:val="left" w:pos="1080"/>
              </w:tabs>
              <w:snapToGrid w:val="0"/>
              <w:rPr>
                <w:sz w:val="24"/>
              </w:rPr>
            </w:pPr>
            <w:r>
              <w:rPr>
                <w:rFonts w:hint="eastAsia"/>
                <w:sz w:val="24"/>
              </w:rPr>
              <w:t>3、本表序号3-3项规定的其他特定资格要求中的每一小项要求，联合体各方中至少应当有一方符合本表中其他资格要求并提供证明文件。</w:t>
            </w:r>
          </w:p>
          <w:p w14:paraId="7D4BE119">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277B33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8320562">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14:paraId="44A19786">
            <w:pPr>
              <w:tabs>
                <w:tab w:val="left" w:pos="1080"/>
              </w:tabs>
              <w:snapToGrid w:val="0"/>
              <w:rPr>
                <w:rFonts w:hint="eastAsia"/>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1027" w:type="pct"/>
            <w:noWrap w:val="0"/>
            <w:vAlign w:val="center"/>
          </w:tcPr>
          <w:p w14:paraId="3A473D5E">
            <w:pPr>
              <w:tabs>
                <w:tab w:val="left" w:pos="1080"/>
              </w:tabs>
              <w:snapToGrid w:val="0"/>
              <w:rPr>
                <w:sz w:val="24"/>
              </w:rPr>
            </w:pPr>
            <w:r>
              <w:rPr>
                <w:sz w:val="24"/>
              </w:rPr>
              <w:t>提供《联合协议》</w:t>
            </w:r>
            <w:r>
              <w:rPr>
                <w:rFonts w:hint="eastAsia"/>
                <w:sz w:val="24"/>
              </w:rPr>
              <w:t>原</w:t>
            </w:r>
            <w:r>
              <w:rPr>
                <w:sz w:val="24"/>
              </w:rPr>
              <w:t>件</w:t>
            </w:r>
          </w:p>
          <w:p w14:paraId="4D2148CF">
            <w:pPr>
              <w:tabs>
                <w:tab w:val="left" w:pos="1080"/>
              </w:tabs>
              <w:snapToGrid w:val="0"/>
              <w:rPr>
                <w:sz w:val="24"/>
              </w:rPr>
            </w:pPr>
            <w:r>
              <w:rPr>
                <w:sz w:val="24"/>
              </w:rPr>
              <w:t>格式见《</w:t>
            </w:r>
            <w:r>
              <w:rPr>
                <w:rFonts w:hint="eastAsia"/>
                <w:sz w:val="24"/>
              </w:rPr>
              <w:t>响应文件</w:t>
            </w:r>
            <w:r>
              <w:rPr>
                <w:sz w:val="24"/>
              </w:rPr>
              <w:t>格式》</w:t>
            </w:r>
          </w:p>
        </w:tc>
      </w:tr>
      <w:tr w14:paraId="116F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5" w:hRule="atLeast"/>
        </w:trPr>
        <w:tc>
          <w:tcPr>
            <w:tcW w:w="453" w:type="pct"/>
            <w:noWrap w:val="0"/>
            <w:vAlign w:val="center"/>
          </w:tcPr>
          <w:p w14:paraId="44EB3AAE">
            <w:pPr>
              <w:tabs>
                <w:tab w:val="left" w:pos="1080"/>
              </w:tabs>
              <w:snapToGrid w:val="0"/>
              <w:jc w:val="center"/>
              <w:rPr>
                <w:sz w:val="24"/>
              </w:rPr>
            </w:pPr>
            <w:r>
              <w:rPr>
                <w:rFonts w:hint="eastAsia"/>
                <w:sz w:val="24"/>
              </w:rPr>
              <w:t>3-2</w:t>
            </w:r>
          </w:p>
        </w:tc>
        <w:tc>
          <w:tcPr>
            <w:tcW w:w="938" w:type="pct"/>
            <w:noWrap w:val="0"/>
            <w:vAlign w:val="center"/>
          </w:tcPr>
          <w:p w14:paraId="1A9710B1">
            <w:pPr>
              <w:tabs>
                <w:tab w:val="left" w:pos="1080"/>
              </w:tabs>
              <w:snapToGrid w:val="0"/>
              <w:rPr>
                <w:rFonts w:hint="eastAsia"/>
                <w:sz w:val="24"/>
              </w:rPr>
            </w:pPr>
            <w:r>
              <w:rPr>
                <w:rFonts w:hint="eastAsia"/>
                <w:sz w:val="24"/>
              </w:rPr>
              <w:t>政府购买服务承接主体的要求</w:t>
            </w:r>
          </w:p>
        </w:tc>
        <w:tc>
          <w:tcPr>
            <w:tcW w:w="2580" w:type="pct"/>
            <w:noWrap w:val="0"/>
            <w:vAlign w:val="center"/>
          </w:tcPr>
          <w:p w14:paraId="2D256435">
            <w:pPr>
              <w:tabs>
                <w:tab w:val="left" w:pos="1080"/>
              </w:tabs>
              <w:snapToGrid w:val="0"/>
              <w:rPr>
                <w:rFonts w:hint="eastAsia"/>
                <w:sz w:val="24"/>
              </w:rPr>
            </w:pPr>
            <w:r>
              <w:rPr>
                <w:rFonts w:hint="eastAsia"/>
                <w:sz w:val="24"/>
              </w:rPr>
              <w:t>如本项目属于政府购买服务，供应商不属于公益一类事业单位、使用事业编制且由财政拨款保障的群团组织。</w:t>
            </w:r>
          </w:p>
        </w:tc>
        <w:tc>
          <w:tcPr>
            <w:tcW w:w="1027" w:type="pct"/>
            <w:noWrap w:val="0"/>
            <w:vAlign w:val="center"/>
          </w:tcPr>
          <w:p w14:paraId="037CBFF1">
            <w:pPr>
              <w:tabs>
                <w:tab w:val="left" w:pos="1080"/>
              </w:tabs>
              <w:snapToGrid w:val="0"/>
              <w:rPr>
                <w:sz w:val="24"/>
              </w:rPr>
            </w:pPr>
            <w:r>
              <w:rPr>
                <w:rFonts w:hint="eastAsia"/>
                <w:sz w:val="24"/>
              </w:rPr>
              <w:t>格式见《响应文件格式》</w:t>
            </w:r>
          </w:p>
        </w:tc>
      </w:tr>
      <w:tr w14:paraId="246F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2" w:hRule="atLeast"/>
        </w:trPr>
        <w:tc>
          <w:tcPr>
            <w:tcW w:w="453" w:type="pct"/>
            <w:noWrap w:val="0"/>
            <w:vAlign w:val="center"/>
          </w:tcPr>
          <w:p w14:paraId="2A2CEC04">
            <w:pPr>
              <w:tabs>
                <w:tab w:val="left" w:pos="1080"/>
              </w:tabs>
              <w:snapToGrid w:val="0"/>
              <w:jc w:val="center"/>
              <w:rPr>
                <w:rFonts w:hint="eastAsia"/>
                <w:sz w:val="24"/>
              </w:rPr>
            </w:pPr>
            <w:r>
              <w:rPr>
                <w:sz w:val="24"/>
              </w:rPr>
              <w:t>3-</w:t>
            </w:r>
            <w:r>
              <w:rPr>
                <w:rFonts w:hint="eastAsia"/>
                <w:sz w:val="24"/>
              </w:rPr>
              <w:t>3</w:t>
            </w:r>
          </w:p>
        </w:tc>
        <w:tc>
          <w:tcPr>
            <w:tcW w:w="938" w:type="pct"/>
            <w:noWrap w:val="0"/>
            <w:vAlign w:val="center"/>
          </w:tcPr>
          <w:p w14:paraId="5C7D2103">
            <w:pPr>
              <w:tabs>
                <w:tab w:val="left" w:pos="1080"/>
              </w:tabs>
              <w:snapToGrid w:val="0"/>
              <w:rPr>
                <w:sz w:val="24"/>
              </w:rPr>
            </w:pPr>
            <w:r>
              <w:rPr>
                <w:sz w:val="24"/>
              </w:rPr>
              <w:t>其他特定资格要求</w:t>
            </w:r>
          </w:p>
        </w:tc>
        <w:tc>
          <w:tcPr>
            <w:tcW w:w="2580" w:type="pct"/>
            <w:noWrap w:val="0"/>
            <w:vAlign w:val="center"/>
          </w:tcPr>
          <w:p w14:paraId="17F373DC">
            <w:pPr>
              <w:tabs>
                <w:tab w:val="left" w:pos="1080"/>
              </w:tabs>
              <w:snapToGrid w:val="0"/>
              <w:rPr>
                <w:rFonts w:hint="eastAsia"/>
                <w:sz w:val="24"/>
              </w:rPr>
            </w:pPr>
            <w:r>
              <w:rPr>
                <w:sz w:val="24"/>
              </w:rPr>
              <w:t>如有，见第一章《</w:t>
            </w:r>
            <w:r>
              <w:rPr>
                <w:rFonts w:hint="eastAsia"/>
                <w:sz w:val="24"/>
              </w:rPr>
              <w:t>采购</w:t>
            </w:r>
            <w:r>
              <w:rPr>
                <w:sz w:val="24"/>
              </w:rPr>
              <w:t>邀请》</w:t>
            </w:r>
          </w:p>
        </w:tc>
        <w:tc>
          <w:tcPr>
            <w:tcW w:w="1027" w:type="pct"/>
            <w:noWrap w:val="0"/>
            <w:vAlign w:val="center"/>
          </w:tcPr>
          <w:p w14:paraId="1E35960C">
            <w:pPr>
              <w:tabs>
                <w:tab w:val="left" w:pos="1080"/>
              </w:tabs>
              <w:snapToGrid w:val="0"/>
              <w:rPr>
                <w:sz w:val="24"/>
              </w:rPr>
            </w:pPr>
            <w:r>
              <w:rPr>
                <w:rFonts w:hint="eastAsia"/>
                <w:sz w:val="24"/>
              </w:rPr>
              <w:t>提供证明文件</w:t>
            </w:r>
          </w:p>
        </w:tc>
      </w:tr>
      <w:tr w14:paraId="2AD6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trPr>
        <w:tc>
          <w:tcPr>
            <w:tcW w:w="453" w:type="pct"/>
            <w:noWrap w:val="0"/>
            <w:vAlign w:val="center"/>
          </w:tcPr>
          <w:p w14:paraId="3E2BA319">
            <w:pPr>
              <w:tabs>
                <w:tab w:val="left" w:pos="1080"/>
              </w:tabs>
              <w:snapToGrid w:val="0"/>
              <w:jc w:val="center"/>
              <w:rPr>
                <w:sz w:val="24"/>
              </w:rPr>
            </w:pPr>
            <w:r>
              <w:rPr>
                <w:sz w:val="24"/>
              </w:rPr>
              <w:t>4</w:t>
            </w:r>
          </w:p>
        </w:tc>
        <w:tc>
          <w:tcPr>
            <w:tcW w:w="938" w:type="pct"/>
            <w:noWrap w:val="0"/>
            <w:vAlign w:val="center"/>
          </w:tcPr>
          <w:p w14:paraId="13B835DE">
            <w:pPr>
              <w:tabs>
                <w:tab w:val="left" w:pos="1080"/>
              </w:tabs>
              <w:snapToGrid w:val="0"/>
              <w:rPr>
                <w:sz w:val="24"/>
              </w:rPr>
            </w:pPr>
            <w:r>
              <w:rPr>
                <w:kern w:val="0"/>
                <w:sz w:val="24"/>
              </w:rPr>
              <w:t>磋商保证金</w:t>
            </w:r>
          </w:p>
        </w:tc>
        <w:tc>
          <w:tcPr>
            <w:tcW w:w="2580" w:type="pct"/>
            <w:noWrap w:val="0"/>
            <w:vAlign w:val="center"/>
          </w:tcPr>
          <w:p w14:paraId="3ED3923F">
            <w:pPr>
              <w:tabs>
                <w:tab w:val="left" w:pos="1080"/>
              </w:tabs>
              <w:snapToGrid w:val="0"/>
              <w:rPr>
                <w:rFonts w:hint="eastAsia"/>
                <w:sz w:val="24"/>
              </w:rPr>
            </w:pPr>
            <w:r>
              <w:rPr>
                <w:kern w:val="0"/>
                <w:sz w:val="24"/>
              </w:rPr>
              <w:t>按照竞争性磋商文件的要求提交磋商保证金</w:t>
            </w:r>
            <w:r>
              <w:rPr>
                <w:rFonts w:hint="eastAsia"/>
                <w:kern w:val="0"/>
                <w:sz w:val="24"/>
              </w:rPr>
              <w:t>。</w:t>
            </w:r>
          </w:p>
        </w:tc>
        <w:tc>
          <w:tcPr>
            <w:tcW w:w="1027" w:type="pct"/>
            <w:noWrap w:val="0"/>
            <w:vAlign w:val="center"/>
          </w:tcPr>
          <w:p w14:paraId="59D36095">
            <w:pPr>
              <w:tabs>
                <w:tab w:val="left" w:pos="1080"/>
              </w:tabs>
              <w:snapToGrid w:val="0"/>
              <w:rPr>
                <w:sz w:val="24"/>
              </w:rPr>
            </w:pPr>
          </w:p>
        </w:tc>
      </w:tr>
      <w:tr w14:paraId="58357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trPr>
        <w:tc>
          <w:tcPr>
            <w:tcW w:w="841" w:type="dxa"/>
            <w:noWrap w:val="0"/>
            <w:vAlign w:val="center"/>
          </w:tcPr>
          <w:p w14:paraId="09F10E19">
            <w:pPr>
              <w:tabs>
                <w:tab w:val="left" w:pos="1080"/>
              </w:tabs>
              <w:snapToGrid w:val="0"/>
              <w:jc w:val="center"/>
              <w:rPr>
                <w:rFonts w:hint="eastAsia" w:eastAsia="宋体"/>
                <w:sz w:val="24"/>
                <w:lang w:val="en-US" w:eastAsia="zh-CN"/>
              </w:rPr>
            </w:pPr>
            <w:r>
              <w:rPr>
                <w:rFonts w:hint="eastAsia" w:eastAsia="宋体"/>
                <w:sz w:val="24"/>
              </w:rPr>
              <w:t>5</w:t>
            </w:r>
          </w:p>
        </w:tc>
        <w:tc>
          <w:tcPr>
            <w:tcW w:w="1743" w:type="dxa"/>
            <w:noWrap w:val="0"/>
            <w:vAlign w:val="center"/>
          </w:tcPr>
          <w:p w14:paraId="4E26FE5C">
            <w:pPr>
              <w:tabs>
                <w:tab w:val="left" w:pos="1080"/>
              </w:tabs>
              <w:snapToGrid w:val="0"/>
              <w:rPr>
                <w:kern w:val="0"/>
                <w:sz w:val="24"/>
              </w:rPr>
            </w:pPr>
            <w:r>
              <w:rPr>
                <w:rFonts w:hint="eastAsia" w:eastAsia="宋体"/>
                <w:color w:val="000000"/>
                <w:kern w:val="0"/>
                <w:sz w:val="24"/>
              </w:rPr>
              <w:t>获取磋商文件</w:t>
            </w:r>
          </w:p>
        </w:tc>
        <w:tc>
          <w:tcPr>
            <w:tcW w:w="4793" w:type="dxa"/>
            <w:noWrap w:val="0"/>
            <w:vAlign w:val="center"/>
          </w:tcPr>
          <w:p w14:paraId="7950B8FC">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E886D7A">
            <w:pPr>
              <w:tabs>
                <w:tab w:val="left" w:pos="1080"/>
              </w:tabs>
              <w:snapToGrid w:val="0"/>
              <w:rPr>
                <w:kern w:val="0"/>
                <w:sz w:val="24"/>
              </w:rPr>
            </w:pPr>
            <w:r>
              <w:rPr>
                <w:rFonts w:hint="eastAsia"/>
                <w:color w:val="000000"/>
                <w:kern w:val="0"/>
                <w:sz w:val="24"/>
              </w:rPr>
              <w:t>注：如本项目接受联合体，且供应商为联合体时，联合体中任一成员获取文件即视为满足要求。</w:t>
            </w:r>
          </w:p>
        </w:tc>
        <w:tc>
          <w:tcPr>
            <w:tcW w:w="1908" w:type="dxa"/>
            <w:noWrap w:val="0"/>
            <w:vAlign w:val="center"/>
          </w:tcPr>
          <w:p w14:paraId="3B1DD19E">
            <w:pPr>
              <w:tabs>
                <w:tab w:val="left" w:pos="1080"/>
              </w:tabs>
              <w:snapToGrid w:val="0"/>
              <w:rPr>
                <w:sz w:val="24"/>
              </w:rPr>
            </w:pPr>
          </w:p>
        </w:tc>
      </w:tr>
    </w:tbl>
    <w:p w14:paraId="48C1E4C0">
      <w:pPr>
        <w:widowControl/>
        <w:jc w:val="left"/>
        <w:rPr>
          <w:sz w:val="24"/>
        </w:rPr>
      </w:pPr>
      <w:r>
        <w:rPr>
          <w:sz w:val="24"/>
        </w:rPr>
        <w:br w:type="page"/>
      </w:r>
    </w:p>
    <w:p w14:paraId="2E18D19E">
      <w:pPr>
        <w:numPr>
          <w:ilvl w:val="1"/>
          <w:numId w:val="10"/>
        </w:numPr>
        <w:tabs>
          <w:tab w:val="left" w:pos="1080"/>
        </w:tabs>
        <w:snapToGrid w:val="0"/>
        <w:spacing w:line="360" w:lineRule="auto"/>
        <w:ind w:left="1077" w:hanging="720"/>
        <w:rPr>
          <w:sz w:val="24"/>
        </w:rPr>
      </w:pPr>
      <w:r>
        <w:rPr>
          <w:sz w:val="24"/>
        </w:rPr>
        <w:t>《符合性审查要求》见下表：</w:t>
      </w:r>
    </w:p>
    <w:p w14:paraId="6C658798">
      <w:pPr>
        <w:widowControl/>
        <w:spacing w:line="360" w:lineRule="auto"/>
        <w:jc w:val="center"/>
        <w:rPr>
          <w:b/>
          <w:kern w:val="0"/>
          <w:sz w:val="24"/>
        </w:rPr>
      </w:pPr>
      <w:r>
        <w:rPr>
          <w:b/>
          <w:kern w:val="0"/>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56"/>
        <w:gridCol w:w="4664"/>
        <w:gridCol w:w="2116"/>
      </w:tblGrid>
      <w:tr w14:paraId="41E7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2E8695DE">
            <w:pPr>
              <w:widowControl/>
              <w:jc w:val="center"/>
              <w:rPr>
                <w:b/>
                <w:kern w:val="0"/>
                <w:sz w:val="24"/>
              </w:rPr>
            </w:pPr>
            <w:r>
              <w:rPr>
                <w:b/>
                <w:kern w:val="0"/>
                <w:sz w:val="24"/>
              </w:rPr>
              <w:t>序号</w:t>
            </w:r>
          </w:p>
        </w:tc>
        <w:tc>
          <w:tcPr>
            <w:tcW w:w="891" w:type="pct"/>
            <w:shd w:val="clear" w:color="000000" w:fill="FFFFFF"/>
            <w:noWrap w:val="0"/>
            <w:vAlign w:val="center"/>
          </w:tcPr>
          <w:p w14:paraId="64806B2C">
            <w:pPr>
              <w:widowControl/>
              <w:jc w:val="center"/>
              <w:rPr>
                <w:b/>
                <w:kern w:val="0"/>
                <w:sz w:val="24"/>
              </w:rPr>
            </w:pPr>
            <w:r>
              <w:rPr>
                <w:b/>
                <w:sz w:val="24"/>
              </w:rPr>
              <w:t>检查</w:t>
            </w:r>
            <w:r>
              <w:rPr>
                <w:b/>
                <w:kern w:val="0"/>
                <w:sz w:val="24"/>
              </w:rPr>
              <w:t>因素</w:t>
            </w:r>
          </w:p>
        </w:tc>
        <w:tc>
          <w:tcPr>
            <w:tcW w:w="2510" w:type="pct"/>
            <w:shd w:val="clear" w:color="000000" w:fill="FFFFFF"/>
            <w:noWrap w:val="0"/>
            <w:vAlign w:val="center"/>
          </w:tcPr>
          <w:p w14:paraId="208885CA">
            <w:pPr>
              <w:widowControl/>
              <w:jc w:val="center"/>
              <w:rPr>
                <w:b/>
                <w:kern w:val="0"/>
                <w:sz w:val="24"/>
              </w:rPr>
            </w:pPr>
            <w:r>
              <w:rPr>
                <w:b/>
                <w:sz w:val="24"/>
              </w:rPr>
              <w:t>检查</w:t>
            </w:r>
            <w:r>
              <w:rPr>
                <w:b/>
                <w:kern w:val="0"/>
                <w:sz w:val="24"/>
              </w:rPr>
              <w:t>内容</w:t>
            </w:r>
          </w:p>
        </w:tc>
        <w:tc>
          <w:tcPr>
            <w:tcW w:w="1139" w:type="pct"/>
            <w:shd w:val="clear" w:color="000000" w:fill="FFFFFF"/>
            <w:noWrap w:val="0"/>
            <w:vAlign w:val="center"/>
          </w:tcPr>
          <w:p w14:paraId="323CFA3C">
            <w:pPr>
              <w:widowControl/>
              <w:jc w:val="center"/>
              <w:rPr>
                <w:b/>
                <w:kern w:val="0"/>
                <w:sz w:val="24"/>
              </w:rPr>
            </w:pPr>
            <w:r>
              <w:rPr>
                <w:b/>
                <w:kern w:val="0"/>
                <w:sz w:val="24"/>
              </w:rPr>
              <w:t>是否允许澄清、说明或者更正</w:t>
            </w:r>
          </w:p>
        </w:tc>
      </w:tr>
      <w:tr w14:paraId="46E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noWrap w:val="0"/>
            <w:vAlign w:val="center"/>
          </w:tcPr>
          <w:p w14:paraId="31FAB069">
            <w:pPr>
              <w:widowControl/>
              <w:jc w:val="center"/>
              <w:rPr>
                <w:kern w:val="0"/>
                <w:sz w:val="24"/>
              </w:rPr>
            </w:pPr>
            <w:r>
              <w:rPr>
                <w:kern w:val="0"/>
                <w:sz w:val="24"/>
              </w:rPr>
              <w:t>1</w:t>
            </w:r>
          </w:p>
        </w:tc>
        <w:tc>
          <w:tcPr>
            <w:tcW w:w="891" w:type="pct"/>
            <w:shd w:val="clear" w:color="000000" w:fill="FFFFFF"/>
            <w:noWrap w:val="0"/>
            <w:vAlign w:val="center"/>
          </w:tcPr>
          <w:p w14:paraId="62DF4CE7">
            <w:pPr>
              <w:widowControl/>
              <w:jc w:val="left"/>
              <w:rPr>
                <w:kern w:val="0"/>
                <w:sz w:val="24"/>
              </w:rPr>
            </w:pPr>
            <w:r>
              <w:rPr>
                <w:kern w:val="0"/>
                <w:sz w:val="24"/>
              </w:rPr>
              <w:t>授权委托书</w:t>
            </w:r>
          </w:p>
        </w:tc>
        <w:tc>
          <w:tcPr>
            <w:tcW w:w="2510" w:type="pct"/>
            <w:shd w:val="clear" w:color="000000" w:fill="FFFFFF"/>
            <w:noWrap w:val="0"/>
            <w:vAlign w:val="center"/>
          </w:tcPr>
          <w:p w14:paraId="07E85458">
            <w:pPr>
              <w:widowControl/>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139" w:type="pct"/>
            <w:shd w:val="clear" w:color="000000" w:fill="FFFFFF"/>
            <w:noWrap w:val="0"/>
            <w:vAlign w:val="center"/>
          </w:tcPr>
          <w:p w14:paraId="5D8C3475">
            <w:pPr>
              <w:widowControl/>
              <w:jc w:val="center"/>
              <w:rPr>
                <w:rFonts w:hint="eastAsia"/>
                <w:kern w:val="0"/>
                <w:sz w:val="24"/>
              </w:rPr>
            </w:pPr>
            <w:r>
              <w:rPr>
                <w:rFonts w:hint="eastAsia"/>
                <w:kern w:val="0"/>
                <w:sz w:val="24"/>
              </w:rPr>
              <w:t>不允许</w:t>
            </w:r>
          </w:p>
        </w:tc>
      </w:tr>
      <w:tr w14:paraId="384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noWrap w:val="0"/>
            <w:vAlign w:val="center"/>
          </w:tcPr>
          <w:p w14:paraId="35382C4E">
            <w:pPr>
              <w:widowControl/>
              <w:jc w:val="center"/>
              <w:rPr>
                <w:kern w:val="0"/>
                <w:sz w:val="24"/>
              </w:rPr>
            </w:pPr>
            <w:r>
              <w:rPr>
                <w:kern w:val="0"/>
                <w:sz w:val="24"/>
              </w:rPr>
              <w:t>2</w:t>
            </w:r>
          </w:p>
        </w:tc>
        <w:tc>
          <w:tcPr>
            <w:tcW w:w="891" w:type="pct"/>
            <w:shd w:val="clear" w:color="000000" w:fill="FFFFFF"/>
            <w:noWrap w:val="0"/>
            <w:vAlign w:val="center"/>
          </w:tcPr>
          <w:p w14:paraId="33F67D5A">
            <w:pPr>
              <w:widowControl/>
              <w:jc w:val="left"/>
              <w:rPr>
                <w:kern w:val="0"/>
                <w:sz w:val="24"/>
              </w:rPr>
            </w:pPr>
            <w:r>
              <w:rPr>
                <w:rFonts w:hint="eastAsia"/>
                <w:kern w:val="0"/>
                <w:sz w:val="24"/>
              </w:rPr>
              <w:t>响应</w:t>
            </w:r>
            <w:r>
              <w:rPr>
                <w:kern w:val="0"/>
                <w:sz w:val="24"/>
              </w:rPr>
              <w:t>完整性</w:t>
            </w:r>
          </w:p>
        </w:tc>
        <w:tc>
          <w:tcPr>
            <w:tcW w:w="2510" w:type="pct"/>
            <w:shd w:val="clear" w:color="000000" w:fill="FFFFFF"/>
            <w:noWrap w:val="0"/>
            <w:vAlign w:val="center"/>
          </w:tcPr>
          <w:p w14:paraId="1DAC8492">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139" w:type="pct"/>
            <w:shd w:val="clear" w:color="000000" w:fill="FFFFFF"/>
            <w:noWrap w:val="0"/>
            <w:vAlign w:val="center"/>
          </w:tcPr>
          <w:p w14:paraId="70105378">
            <w:pPr>
              <w:widowControl/>
              <w:jc w:val="center"/>
              <w:rPr>
                <w:kern w:val="0"/>
                <w:sz w:val="24"/>
              </w:rPr>
            </w:pPr>
            <w:r>
              <w:rPr>
                <w:rFonts w:hint="eastAsia"/>
                <w:kern w:val="0"/>
                <w:sz w:val="24"/>
              </w:rPr>
              <w:t>不允许</w:t>
            </w:r>
          </w:p>
        </w:tc>
      </w:tr>
      <w:tr w14:paraId="7474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6D16DDD7">
            <w:pPr>
              <w:widowControl/>
              <w:jc w:val="center"/>
              <w:rPr>
                <w:kern w:val="0"/>
                <w:sz w:val="24"/>
              </w:rPr>
            </w:pPr>
            <w:r>
              <w:rPr>
                <w:kern w:val="0"/>
                <w:sz w:val="24"/>
              </w:rPr>
              <w:t>3</w:t>
            </w:r>
          </w:p>
        </w:tc>
        <w:tc>
          <w:tcPr>
            <w:tcW w:w="891" w:type="pct"/>
            <w:shd w:val="clear" w:color="000000" w:fill="FFFFFF"/>
            <w:noWrap w:val="0"/>
            <w:vAlign w:val="center"/>
          </w:tcPr>
          <w:p w14:paraId="543DF8CC">
            <w:pPr>
              <w:widowControl/>
              <w:jc w:val="left"/>
              <w:rPr>
                <w:kern w:val="0"/>
                <w:sz w:val="24"/>
              </w:rPr>
            </w:pPr>
            <w:r>
              <w:rPr>
                <w:rFonts w:hint="eastAsia"/>
                <w:kern w:val="0"/>
                <w:sz w:val="24"/>
              </w:rPr>
              <w:t>响应</w:t>
            </w:r>
            <w:r>
              <w:rPr>
                <w:kern w:val="0"/>
                <w:sz w:val="24"/>
              </w:rPr>
              <w:t>报价</w:t>
            </w:r>
          </w:p>
        </w:tc>
        <w:tc>
          <w:tcPr>
            <w:tcW w:w="2510" w:type="pct"/>
            <w:shd w:val="clear" w:color="000000" w:fill="FFFFFF"/>
            <w:noWrap w:val="0"/>
            <w:vAlign w:val="center"/>
          </w:tcPr>
          <w:p w14:paraId="3D70C35E">
            <w:pPr>
              <w:widowControl/>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1139" w:type="pct"/>
            <w:shd w:val="clear" w:color="000000" w:fill="FFFFFF"/>
            <w:noWrap w:val="0"/>
            <w:vAlign w:val="center"/>
          </w:tcPr>
          <w:p w14:paraId="7A47C2B7">
            <w:pPr>
              <w:widowControl/>
              <w:jc w:val="center"/>
              <w:rPr>
                <w:kern w:val="0"/>
                <w:sz w:val="24"/>
              </w:rPr>
            </w:pPr>
            <w:r>
              <w:rPr>
                <w:rFonts w:hint="eastAsia"/>
                <w:kern w:val="0"/>
                <w:sz w:val="24"/>
              </w:rPr>
              <w:t>不允许</w:t>
            </w:r>
          </w:p>
        </w:tc>
      </w:tr>
      <w:tr w14:paraId="1981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27397625">
            <w:pPr>
              <w:widowControl/>
              <w:jc w:val="center"/>
              <w:rPr>
                <w:kern w:val="0"/>
                <w:sz w:val="24"/>
              </w:rPr>
            </w:pPr>
            <w:r>
              <w:rPr>
                <w:kern w:val="0"/>
                <w:sz w:val="24"/>
              </w:rPr>
              <w:t>4</w:t>
            </w:r>
          </w:p>
        </w:tc>
        <w:tc>
          <w:tcPr>
            <w:tcW w:w="891" w:type="pct"/>
            <w:shd w:val="clear" w:color="000000" w:fill="FFFFFF"/>
            <w:noWrap w:val="0"/>
            <w:vAlign w:val="center"/>
          </w:tcPr>
          <w:p w14:paraId="51A2777B">
            <w:pPr>
              <w:widowControl/>
              <w:jc w:val="left"/>
              <w:rPr>
                <w:kern w:val="0"/>
                <w:sz w:val="24"/>
              </w:rPr>
            </w:pPr>
            <w:r>
              <w:rPr>
                <w:kern w:val="0"/>
                <w:sz w:val="24"/>
              </w:rPr>
              <w:t>报价唯一性</w:t>
            </w:r>
          </w:p>
        </w:tc>
        <w:tc>
          <w:tcPr>
            <w:tcW w:w="2510" w:type="pct"/>
            <w:shd w:val="clear" w:color="000000" w:fill="FFFFFF"/>
            <w:noWrap w:val="0"/>
            <w:vAlign w:val="center"/>
          </w:tcPr>
          <w:p w14:paraId="13BF69F2">
            <w:pPr>
              <w:widowControl/>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139" w:type="pct"/>
            <w:shd w:val="clear" w:color="000000" w:fill="FFFFFF"/>
            <w:noWrap w:val="0"/>
            <w:vAlign w:val="center"/>
          </w:tcPr>
          <w:p w14:paraId="57E7E3ED">
            <w:pPr>
              <w:widowControl/>
              <w:jc w:val="center"/>
              <w:rPr>
                <w:kern w:val="0"/>
                <w:sz w:val="24"/>
              </w:rPr>
            </w:pPr>
            <w:r>
              <w:rPr>
                <w:rFonts w:hint="eastAsia"/>
                <w:kern w:val="0"/>
                <w:sz w:val="24"/>
              </w:rPr>
              <w:t>不允许</w:t>
            </w:r>
          </w:p>
        </w:tc>
      </w:tr>
      <w:tr w14:paraId="1E9C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1BA75BB0">
            <w:pPr>
              <w:widowControl/>
              <w:jc w:val="center"/>
              <w:rPr>
                <w:kern w:val="0"/>
                <w:sz w:val="24"/>
              </w:rPr>
            </w:pPr>
            <w:r>
              <w:rPr>
                <w:kern w:val="0"/>
                <w:sz w:val="24"/>
              </w:rPr>
              <w:t>5</w:t>
            </w:r>
          </w:p>
        </w:tc>
        <w:tc>
          <w:tcPr>
            <w:tcW w:w="891" w:type="pct"/>
            <w:shd w:val="clear" w:color="000000" w:fill="FFFFFF"/>
            <w:noWrap w:val="0"/>
            <w:vAlign w:val="center"/>
          </w:tcPr>
          <w:p w14:paraId="14DC0E92">
            <w:pPr>
              <w:widowControl/>
              <w:jc w:val="left"/>
              <w:rPr>
                <w:kern w:val="0"/>
                <w:sz w:val="24"/>
              </w:rPr>
            </w:pPr>
            <w:r>
              <w:rPr>
                <w:rFonts w:hint="eastAsia"/>
                <w:kern w:val="0"/>
                <w:sz w:val="24"/>
              </w:rPr>
              <w:t>磋商</w:t>
            </w:r>
            <w:r>
              <w:rPr>
                <w:kern w:val="0"/>
                <w:sz w:val="24"/>
              </w:rPr>
              <w:t>有效期</w:t>
            </w:r>
          </w:p>
        </w:tc>
        <w:tc>
          <w:tcPr>
            <w:tcW w:w="2510" w:type="pct"/>
            <w:shd w:val="clear" w:color="000000" w:fill="FFFFFF"/>
            <w:noWrap w:val="0"/>
            <w:vAlign w:val="center"/>
          </w:tcPr>
          <w:p w14:paraId="273C1486">
            <w:pPr>
              <w:widowControl/>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139" w:type="pct"/>
            <w:shd w:val="clear" w:color="000000" w:fill="FFFFFF"/>
            <w:noWrap w:val="0"/>
            <w:vAlign w:val="center"/>
          </w:tcPr>
          <w:p w14:paraId="44E46365">
            <w:pPr>
              <w:widowControl/>
              <w:jc w:val="center"/>
              <w:rPr>
                <w:kern w:val="0"/>
                <w:sz w:val="24"/>
              </w:rPr>
            </w:pPr>
            <w:r>
              <w:rPr>
                <w:rFonts w:hint="eastAsia"/>
                <w:kern w:val="0"/>
                <w:sz w:val="24"/>
              </w:rPr>
              <w:t>不允许</w:t>
            </w:r>
          </w:p>
        </w:tc>
      </w:tr>
      <w:tr w14:paraId="34E3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8" w:type="pct"/>
            <w:shd w:val="clear" w:color="000000" w:fill="FFFFFF"/>
            <w:noWrap w:val="0"/>
            <w:vAlign w:val="center"/>
          </w:tcPr>
          <w:p w14:paraId="7D2E5331">
            <w:pPr>
              <w:widowControl/>
              <w:jc w:val="center"/>
              <w:rPr>
                <w:kern w:val="0"/>
                <w:sz w:val="24"/>
              </w:rPr>
            </w:pPr>
            <w:r>
              <w:rPr>
                <w:kern w:val="0"/>
                <w:sz w:val="24"/>
              </w:rPr>
              <w:t>6</w:t>
            </w:r>
          </w:p>
        </w:tc>
        <w:tc>
          <w:tcPr>
            <w:tcW w:w="891" w:type="pct"/>
            <w:shd w:val="clear" w:color="000000" w:fill="FFFFFF"/>
            <w:noWrap w:val="0"/>
            <w:vAlign w:val="center"/>
          </w:tcPr>
          <w:p w14:paraId="047D830F">
            <w:pPr>
              <w:widowControl/>
              <w:jc w:val="left"/>
              <w:rPr>
                <w:kern w:val="0"/>
                <w:sz w:val="24"/>
              </w:rPr>
            </w:pPr>
            <w:r>
              <w:rPr>
                <w:kern w:val="0"/>
                <w:sz w:val="24"/>
              </w:rPr>
              <w:t>签署、盖章</w:t>
            </w:r>
          </w:p>
        </w:tc>
        <w:tc>
          <w:tcPr>
            <w:tcW w:w="2510" w:type="pct"/>
            <w:shd w:val="clear" w:color="000000" w:fill="FFFFFF"/>
            <w:noWrap w:val="0"/>
            <w:vAlign w:val="center"/>
          </w:tcPr>
          <w:p w14:paraId="5648A328">
            <w:pPr>
              <w:widowControl/>
              <w:jc w:val="left"/>
              <w:rPr>
                <w:rFonts w:ascii="Times New Roman" w:hAnsi="Times New Roman" w:eastAsia="宋体" w:cs="Times New Roman"/>
                <w:sz w:val="24"/>
              </w:rPr>
            </w:pPr>
            <w:r>
              <w:rPr>
                <w:rFonts w:ascii="Times New Roman" w:hAnsi="Times New Roman" w:eastAsia="宋体" w:cs="Times New Roman"/>
                <w:sz w:val="24"/>
              </w:rPr>
              <w:t>按照</w:t>
            </w:r>
            <w:r>
              <w:rPr>
                <w:rFonts w:hint="eastAsia" w:ascii="Times New Roman" w:hAnsi="Times New Roman" w:eastAsia="宋体" w:cs="Times New Roman"/>
                <w:sz w:val="24"/>
              </w:rPr>
              <w:t>竞争性磋商文件</w:t>
            </w:r>
            <w:r>
              <w:rPr>
                <w:rFonts w:ascii="Times New Roman" w:hAnsi="Times New Roman" w:eastAsia="宋体" w:cs="Times New Roman"/>
                <w:sz w:val="24"/>
              </w:rPr>
              <w:t>要求签署、盖章的；</w:t>
            </w:r>
          </w:p>
        </w:tc>
        <w:tc>
          <w:tcPr>
            <w:tcW w:w="1139" w:type="pct"/>
            <w:shd w:val="clear" w:color="000000" w:fill="FFFFFF"/>
            <w:noWrap w:val="0"/>
            <w:vAlign w:val="center"/>
          </w:tcPr>
          <w:p w14:paraId="3AF9D1D6">
            <w:pPr>
              <w:widowControl/>
              <w:jc w:val="center"/>
              <w:rPr>
                <w:kern w:val="0"/>
                <w:sz w:val="24"/>
              </w:rPr>
            </w:pPr>
            <w:r>
              <w:rPr>
                <w:rFonts w:hint="eastAsia"/>
                <w:kern w:val="0"/>
                <w:sz w:val="24"/>
              </w:rPr>
              <w:t>不允许</w:t>
            </w:r>
          </w:p>
        </w:tc>
      </w:tr>
      <w:tr w14:paraId="5EB4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24310822">
            <w:pPr>
              <w:widowControl/>
              <w:jc w:val="center"/>
              <w:rPr>
                <w:kern w:val="0"/>
                <w:sz w:val="24"/>
              </w:rPr>
            </w:pPr>
            <w:r>
              <w:rPr>
                <w:rFonts w:hint="eastAsia"/>
                <w:kern w:val="0"/>
                <w:sz w:val="24"/>
              </w:rPr>
              <w:t>7</w:t>
            </w:r>
          </w:p>
        </w:tc>
        <w:tc>
          <w:tcPr>
            <w:tcW w:w="891" w:type="pct"/>
            <w:shd w:val="clear" w:color="000000" w:fill="FFFFFF"/>
            <w:noWrap w:val="0"/>
            <w:vAlign w:val="center"/>
          </w:tcPr>
          <w:p w14:paraId="7247D766">
            <w:pPr>
              <w:widowControl/>
              <w:jc w:val="left"/>
              <w:rPr>
                <w:kern w:val="0"/>
                <w:sz w:val="24"/>
              </w:rPr>
            </w:pPr>
            <w:r>
              <w:rPr>
                <w:rFonts w:hint="eastAsia"/>
                <w:kern w:val="0"/>
                <w:sz w:val="24"/>
              </w:rPr>
              <w:t>实质性格式</w:t>
            </w:r>
          </w:p>
        </w:tc>
        <w:tc>
          <w:tcPr>
            <w:tcW w:w="2510" w:type="pct"/>
            <w:shd w:val="clear" w:color="000000" w:fill="FFFFFF"/>
            <w:noWrap w:val="0"/>
            <w:vAlign w:val="center"/>
          </w:tcPr>
          <w:p w14:paraId="1FAA78D9">
            <w:pPr>
              <w:widowControl/>
              <w:jc w:val="left"/>
              <w:rPr>
                <w:rFonts w:ascii="Times New Roman" w:hAnsi="Times New Roman" w:eastAsia="宋体" w:cs="Times New Roman"/>
                <w:sz w:val="24"/>
              </w:rPr>
            </w:pPr>
            <w:r>
              <w:rPr>
                <w:rFonts w:hint="eastAsia" w:ascii="Times New Roman" w:hAnsi="Times New Roman" w:eastAsia="宋体" w:cs="Times New Roman"/>
                <w:sz w:val="24"/>
              </w:rPr>
              <w:t>标记为</w:t>
            </w:r>
            <w:r>
              <w:rPr>
                <w:rFonts w:ascii="Times New Roman" w:hAnsi="Times New Roman" w:eastAsia="宋体" w:cs="Times New Roman"/>
                <w:sz w:val="24"/>
              </w:rPr>
              <w:t>“实质性格式”的</w:t>
            </w:r>
            <w:r>
              <w:rPr>
                <w:rFonts w:hint="eastAsia" w:ascii="Times New Roman" w:hAnsi="Times New Roman" w:eastAsia="宋体" w:cs="Times New Roman"/>
                <w:sz w:val="24"/>
              </w:rPr>
              <w:t>文件均按竞争性磋商文件要求提供；</w:t>
            </w:r>
          </w:p>
        </w:tc>
        <w:tc>
          <w:tcPr>
            <w:tcW w:w="1139" w:type="pct"/>
            <w:shd w:val="clear" w:color="000000" w:fill="FFFFFF"/>
            <w:noWrap w:val="0"/>
            <w:vAlign w:val="center"/>
          </w:tcPr>
          <w:p w14:paraId="406689C4">
            <w:pPr>
              <w:widowControl/>
              <w:jc w:val="center"/>
              <w:rPr>
                <w:kern w:val="0"/>
                <w:sz w:val="24"/>
              </w:rPr>
            </w:pPr>
            <w:r>
              <w:rPr>
                <w:rFonts w:hint="eastAsia"/>
                <w:kern w:val="0"/>
                <w:sz w:val="24"/>
              </w:rPr>
              <w:t>不允许</w:t>
            </w:r>
          </w:p>
        </w:tc>
      </w:tr>
      <w:tr w14:paraId="130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1C9D9BD4">
            <w:pPr>
              <w:widowControl/>
              <w:jc w:val="center"/>
              <w:rPr>
                <w:kern w:val="0"/>
                <w:sz w:val="24"/>
              </w:rPr>
            </w:pPr>
            <w:r>
              <w:rPr>
                <w:kern w:val="0"/>
                <w:sz w:val="24"/>
              </w:rPr>
              <w:t>8</w:t>
            </w:r>
          </w:p>
        </w:tc>
        <w:tc>
          <w:tcPr>
            <w:tcW w:w="891" w:type="pct"/>
            <w:shd w:val="clear" w:color="000000" w:fill="FFFFFF"/>
            <w:noWrap w:val="0"/>
            <w:vAlign w:val="center"/>
          </w:tcPr>
          <w:p w14:paraId="61B01EAC">
            <w:pPr>
              <w:widowControl/>
              <w:jc w:val="left"/>
              <w:rPr>
                <w:kern w:val="0"/>
                <w:sz w:val="24"/>
              </w:rPr>
            </w:pPr>
            <w:r>
              <w:rPr>
                <w:rFonts w:ascii="Segoe UI Symbol" w:hAnsi="Segoe UI Symbol" w:cs="Segoe UI Symbol"/>
                <w:kern w:val="0"/>
                <w:sz w:val="24"/>
              </w:rPr>
              <w:t>★</w:t>
            </w:r>
            <w:r>
              <w:rPr>
                <w:kern w:val="0"/>
                <w:sz w:val="24"/>
              </w:rPr>
              <w:t>号条款响应</w:t>
            </w:r>
          </w:p>
        </w:tc>
        <w:tc>
          <w:tcPr>
            <w:tcW w:w="2510" w:type="pct"/>
            <w:shd w:val="clear" w:color="000000" w:fill="FFFFFF"/>
            <w:noWrap w:val="0"/>
            <w:vAlign w:val="center"/>
          </w:tcPr>
          <w:p w14:paraId="08FB4402">
            <w:pPr>
              <w:widowControl/>
              <w:jc w:val="left"/>
              <w:rPr>
                <w:rFonts w:ascii="Times New Roman" w:hAnsi="Times New Roman" w:eastAsia="宋体" w:cs="Times New Roman"/>
                <w:sz w:val="24"/>
              </w:rPr>
            </w:pPr>
            <w:r>
              <w:rPr>
                <w:rFonts w:hint="eastAsia" w:ascii="Times New Roman" w:hAnsi="Times New Roman" w:eastAsia="宋体" w:cs="Times New Roman"/>
                <w:sz w:val="24"/>
              </w:rPr>
              <w:t>响应文件</w:t>
            </w:r>
            <w:r>
              <w:rPr>
                <w:rFonts w:ascii="Times New Roman" w:hAnsi="Times New Roman" w:eastAsia="宋体" w:cs="Times New Roman"/>
                <w:sz w:val="24"/>
              </w:rPr>
              <w:t>满足</w:t>
            </w:r>
            <w:r>
              <w:rPr>
                <w:rFonts w:hint="eastAsia" w:ascii="Times New Roman" w:hAnsi="Times New Roman" w:eastAsia="宋体" w:cs="Times New Roman"/>
                <w:sz w:val="24"/>
              </w:rPr>
              <w:t>竞争性磋商文件</w:t>
            </w:r>
            <w:r>
              <w:rPr>
                <w:rFonts w:ascii="Times New Roman" w:hAnsi="Times New Roman" w:eastAsia="宋体" w:cs="Times New Roman"/>
                <w:sz w:val="24"/>
              </w:rPr>
              <w:t>第五章《采购需求》中★号条款要求的；</w:t>
            </w:r>
          </w:p>
        </w:tc>
        <w:tc>
          <w:tcPr>
            <w:tcW w:w="1139" w:type="pct"/>
            <w:shd w:val="clear" w:color="000000" w:fill="FFFFFF"/>
            <w:noWrap w:val="0"/>
            <w:vAlign w:val="center"/>
          </w:tcPr>
          <w:p w14:paraId="72127E08">
            <w:pPr>
              <w:widowControl/>
              <w:jc w:val="center"/>
              <w:rPr>
                <w:kern w:val="0"/>
                <w:sz w:val="24"/>
              </w:rPr>
            </w:pPr>
            <w:r>
              <w:rPr>
                <w:rFonts w:hint="eastAsia"/>
                <w:kern w:val="0"/>
                <w:sz w:val="24"/>
              </w:rPr>
              <w:t>不允许</w:t>
            </w:r>
          </w:p>
        </w:tc>
      </w:tr>
      <w:tr w14:paraId="2B36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78BD703C">
            <w:pPr>
              <w:widowControl/>
              <w:jc w:val="center"/>
              <w:rPr>
                <w:kern w:val="0"/>
                <w:sz w:val="24"/>
              </w:rPr>
            </w:pPr>
            <w:r>
              <w:rPr>
                <w:rFonts w:hint="eastAsia"/>
                <w:kern w:val="0"/>
                <w:sz w:val="24"/>
              </w:rPr>
              <w:t>9</w:t>
            </w:r>
          </w:p>
        </w:tc>
        <w:tc>
          <w:tcPr>
            <w:tcW w:w="891" w:type="pct"/>
            <w:shd w:val="clear" w:color="000000" w:fill="FFFFFF"/>
            <w:noWrap w:val="0"/>
            <w:vAlign w:val="center"/>
          </w:tcPr>
          <w:p w14:paraId="11651CAF">
            <w:pPr>
              <w:widowControl/>
              <w:jc w:val="left"/>
              <w:rPr>
                <w:kern w:val="0"/>
                <w:sz w:val="24"/>
              </w:rPr>
            </w:pPr>
            <w:r>
              <w:rPr>
                <w:kern w:val="0"/>
                <w:sz w:val="24"/>
              </w:rPr>
              <w:t>报价的修正（如有）</w:t>
            </w:r>
          </w:p>
        </w:tc>
        <w:tc>
          <w:tcPr>
            <w:tcW w:w="2510" w:type="pct"/>
            <w:shd w:val="clear" w:color="000000" w:fill="FFFFFF"/>
            <w:noWrap w:val="0"/>
            <w:vAlign w:val="center"/>
          </w:tcPr>
          <w:p w14:paraId="2C8BC41B">
            <w:pPr>
              <w:widowControl/>
              <w:jc w:val="left"/>
              <w:rPr>
                <w:rFonts w:ascii="Times New Roman" w:hAnsi="Times New Roman" w:eastAsia="宋体" w:cs="Times New Roman"/>
                <w:sz w:val="24"/>
              </w:rPr>
            </w:pPr>
            <w:r>
              <w:rPr>
                <w:rFonts w:hint="eastAsia" w:ascii="Times New Roman" w:hAnsi="Times New Roman" w:eastAsia="宋体" w:cs="Times New Roman"/>
                <w:sz w:val="24"/>
              </w:rPr>
              <w:t>不涉及报价修正</w:t>
            </w:r>
            <w:r>
              <w:rPr>
                <w:rFonts w:ascii="Times New Roman" w:hAnsi="Times New Roman" w:eastAsia="宋体" w:cs="Times New Roman"/>
                <w:sz w:val="24"/>
              </w:rPr>
              <w:t>，或</w:t>
            </w:r>
            <w:r>
              <w:rPr>
                <w:rFonts w:hint="eastAsia" w:ascii="Times New Roman" w:hAnsi="Times New Roman" w:eastAsia="宋体" w:cs="Times New Roman"/>
                <w:sz w:val="24"/>
              </w:rPr>
              <w:t>响应文件</w:t>
            </w:r>
            <w:r>
              <w:rPr>
                <w:rFonts w:ascii="Times New Roman" w:hAnsi="Times New Roman" w:eastAsia="宋体" w:cs="Times New Roman"/>
                <w:sz w:val="24"/>
              </w:rPr>
              <w:t>报价出现前后不一致</w:t>
            </w:r>
            <w:r>
              <w:rPr>
                <w:rFonts w:hint="eastAsia" w:ascii="Times New Roman" w:hAnsi="Times New Roman" w:eastAsia="宋体" w:cs="Times New Roman"/>
                <w:sz w:val="24"/>
              </w:rPr>
              <w:t>时</w:t>
            </w:r>
            <w:r>
              <w:rPr>
                <w:rFonts w:ascii="Times New Roman" w:hAnsi="Times New Roman" w:eastAsia="宋体" w:cs="Times New Roman"/>
                <w:sz w:val="24"/>
              </w:rPr>
              <w:t>，</w:t>
            </w:r>
            <w:r>
              <w:rPr>
                <w:rFonts w:hint="eastAsia" w:ascii="Times New Roman" w:hAnsi="Times New Roman" w:eastAsia="宋体" w:cs="Times New Roman"/>
                <w:sz w:val="24"/>
              </w:rPr>
              <w:t>供应商</w:t>
            </w:r>
            <w:r>
              <w:rPr>
                <w:rFonts w:ascii="Times New Roman" w:hAnsi="Times New Roman" w:eastAsia="宋体" w:cs="Times New Roman"/>
                <w:sz w:val="24"/>
              </w:rPr>
              <w:t>对修正后的报价予</w:t>
            </w:r>
            <w:r>
              <w:rPr>
                <w:rFonts w:hint="eastAsia" w:ascii="Times New Roman" w:hAnsi="Times New Roman" w:eastAsia="宋体" w:cs="Times New Roman"/>
                <w:sz w:val="24"/>
              </w:rPr>
              <w:t>以</w:t>
            </w:r>
            <w:r>
              <w:rPr>
                <w:rFonts w:ascii="Times New Roman" w:hAnsi="Times New Roman" w:eastAsia="宋体" w:cs="Times New Roman"/>
                <w:sz w:val="24"/>
              </w:rPr>
              <w:t>确认；（如有）</w:t>
            </w:r>
          </w:p>
        </w:tc>
        <w:tc>
          <w:tcPr>
            <w:tcW w:w="1139" w:type="pct"/>
            <w:shd w:val="clear" w:color="000000" w:fill="FFFFFF"/>
            <w:noWrap w:val="0"/>
            <w:vAlign w:val="center"/>
          </w:tcPr>
          <w:p w14:paraId="55689A29">
            <w:pPr>
              <w:widowControl/>
              <w:jc w:val="center"/>
              <w:rPr>
                <w:rFonts w:hint="eastAsia"/>
                <w:kern w:val="0"/>
                <w:sz w:val="24"/>
              </w:rPr>
            </w:pPr>
            <w:r>
              <w:rPr>
                <w:rFonts w:hint="eastAsia"/>
                <w:kern w:val="0"/>
                <w:sz w:val="24"/>
              </w:rPr>
              <w:t>允许</w:t>
            </w:r>
          </w:p>
        </w:tc>
      </w:tr>
      <w:tr w14:paraId="779B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377C2F2F">
            <w:pPr>
              <w:widowControl/>
              <w:jc w:val="center"/>
              <w:rPr>
                <w:kern w:val="0"/>
                <w:sz w:val="24"/>
              </w:rPr>
            </w:pPr>
            <w:r>
              <w:rPr>
                <w:rFonts w:hint="eastAsia"/>
                <w:kern w:val="0"/>
                <w:sz w:val="24"/>
              </w:rPr>
              <w:t>10</w:t>
            </w:r>
          </w:p>
        </w:tc>
        <w:tc>
          <w:tcPr>
            <w:tcW w:w="891" w:type="pct"/>
            <w:shd w:val="clear" w:color="000000" w:fill="FFFFFF"/>
            <w:noWrap w:val="0"/>
            <w:vAlign w:val="center"/>
          </w:tcPr>
          <w:p w14:paraId="495DF8AD">
            <w:pPr>
              <w:widowControl/>
              <w:jc w:val="left"/>
              <w:rPr>
                <w:kern w:val="0"/>
                <w:sz w:val="24"/>
              </w:rPr>
            </w:pPr>
            <w:r>
              <w:rPr>
                <w:kern w:val="0"/>
                <w:sz w:val="24"/>
              </w:rPr>
              <w:t>报价合理性</w:t>
            </w:r>
          </w:p>
        </w:tc>
        <w:tc>
          <w:tcPr>
            <w:tcW w:w="2510" w:type="pct"/>
            <w:shd w:val="clear" w:color="000000" w:fill="FFFFFF"/>
            <w:noWrap w:val="0"/>
            <w:vAlign w:val="center"/>
          </w:tcPr>
          <w:p w14:paraId="7B738C20">
            <w:pPr>
              <w:widowControl/>
              <w:jc w:val="left"/>
              <w:rPr>
                <w:rFonts w:ascii="Times New Roman" w:hAnsi="Times New Roman" w:eastAsia="宋体" w:cs="Times New Roman"/>
                <w:sz w:val="24"/>
              </w:rPr>
            </w:pPr>
            <w:r>
              <w:rPr>
                <w:rFonts w:ascii="Times New Roman" w:hAnsi="Times New Roman" w:eastAsia="宋体" w:cs="Times New Roman"/>
                <w:sz w:val="24"/>
              </w:rPr>
              <w:t>报价合理，或</w:t>
            </w:r>
            <w:r>
              <w:rPr>
                <w:rFonts w:hint="eastAsia" w:ascii="Times New Roman" w:hAnsi="Times New Roman" w:eastAsia="宋体" w:cs="Times New Roman"/>
                <w:sz w:val="24"/>
              </w:rPr>
              <w:t>供应商的报价明显低于其他通过符合性审查供应商的报价，</w:t>
            </w:r>
            <w:r>
              <w:rPr>
                <w:rFonts w:ascii="Times New Roman" w:hAnsi="Times New Roman" w:eastAsia="宋体" w:cs="Times New Roman"/>
                <w:sz w:val="24"/>
              </w:rPr>
              <w:t>有可能影响产品质量或者不能诚信履约的</w:t>
            </w:r>
            <w:r>
              <w:rPr>
                <w:rFonts w:hint="eastAsia" w:ascii="Times New Roman" w:hAnsi="Times New Roman" w:eastAsia="宋体" w:cs="Times New Roman"/>
                <w:sz w:val="24"/>
              </w:rPr>
              <w:t>，能够应评标委员会要求在规定时间内证明其报价合理性的</w:t>
            </w:r>
            <w:r>
              <w:rPr>
                <w:rFonts w:ascii="Times New Roman" w:hAnsi="Times New Roman" w:eastAsia="宋体" w:cs="Times New Roman"/>
                <w:sz w:val="24"/>
              </w:rPr>
              <w:t>；</w:t>
            </w:r>
          </w:p>
        </w:tc>
        <w:tc>
          <w:tcPr>
            <w:tcW w:w="1139" w:type="pct"/>
            <w:shd w:val="clear" w:color="000000" w:fill="FFFFFF"/>
            <w:noWrap w:val="0"/>
            <w:vAlign w:val="center"/>
          </w:tcPr>
          <w:p w14:paraId="4FC3772A">
            <w:pPr>
              <w:widowControl/>
              <w:jc w:val="center"/>
              <w:rPr>
                <w:kern w:val="0"/>
                <w:sz w:val="24"/>
              </w:rPr>
            </w:pPr>
            <w:r>
              <w:rPr>
                <w:rFonts w:hint="eastAsia"/>
                <w:kern w:val="0"/>
                <w:sz w:val="24"/>
              </w:rPr>
              <w:t>允许</w:t>
            </w:r>
          </w:p>
        </w:tc>
      </w:tr>
      <w:tr w14:paraId="37BA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05C8A9C1">
            <w:pPr>
              <w:widowControl/>
              <w:jc w:val="center"/>
              <w:rPr>
                <w:kern w:val="0"/>
                <w:sz w:val="24"/>
              </w:rPr>
            </w:pPr>
            <w:r>
              <w:rPr>
                <w:rFonts w:hint="eastAsia"/>
                <w:kern w:val="0"/>
                <w:sz w:val="24"/>
              </w:rPr>
              <w:t>11</w:t>
            </w:r>
          </w:p>
        </w:tc>
        <w:tc>
          <w:tcPr>
            <w:tcW w:w="891" w:type="pct"/>
            <w:shd w:val="clear" w:color="000000" w:fill="FFFFFF"/>
            <w:noWrap w:val="0"/>
            <w:vAlign w:val="center"/>
          </w:tcPr>
          <w:p w14:paraId="4DD8CFC8">
            <w:pPr>
              <w:widowControl/>
              <w:jc w:val="left"/>
              <w:rPr>
                <w:kern w:val="0"/>
                <w:sz w:val="24"/>
              </w:rPr>
            </w:pPr>
            <w:r>
              <w:rPr>
                <w:kern w:val="0"/>
                <w:sz w:val="24"/>
              </w:rPr>
              <w:t>公平竞争</w:t>
            </w:r>
          </w:p>
        </w:tc>
        <w:tc>
          <w:tcPr>
            <w:tcW w:w="2510" w:type="pct"/>
            <w:shd w:val="clear" w:color="000000" w:fill="FFFFFF"/>
            <w:noWrap w:val="0"/>
            <w:vAlign w:val="center"/>
          </w:tcPr>
          <w:p w14:paraId="7C629A76">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139" w:type="pct"/>
            <w:shd w:val="clear" w:color="000000" w:fill="FFFFFF"/>
            <w:noWrap w:val="0"/>
            <w:vAlign w:val="center"/>
          </w:tcPr>
          <w:p w14:paraId="68469790">
            <w:pPr>
              <w:widowControl/>
              <w:jc w:val="center"/>
              <w:rPr>
                <w:kern w:val="0"/>
                <w:sz w:val="24"/>
              </w:rPr>
            </w:pPr>
            <w:r>
              <w:rPr>
                <w:rFonts w:hint="eastAsia"/>
                <w:kern w:val="0"/>
                <w:sz w:val="24"/>
              </w:rPr>
              <w:t>不允许</w:t>
            </w:r>
          </w:p>
        </w:tc>
      </w:tr>
      <w:tr w14:paraId="3827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8" w:type="pct"/>
            <w:shd w:val="clear" w:color="000000" w:fill="FFFFFF"/>
            <w:noWrap w:val="0"/>
            <w:vAlign w:val="center"/>
          </w:tcPr>
          <w:p w14:paraId="47596426">
            <w:pPr>
              <w:widowControl/>
              <w:jc w:val="center"/>
              <w:rPr>
                <w:kern w:val="0"/>
                <w:sz w:val="24"/>
              </w:rPr>
            </w:pPr>
            <w:r>
              <w:rPr>
                <w:rFonts w:hint="eastAsia"/>
                <w:kern w:val="0"/>
                <w:sz w:val="24"/>
              </w:rPr>
              <w:t>12</w:t>
            </w:r>
          </w:p>
        </w:tc>
        <w:tc>
          <w:tcPr>
            <w:tcW w:w="891" w:type="pct"/>
            <w:shd w:val="clear" w:color="000000" w:fill="FFFFFF"/>
            <w:noWrap w:val="0"/>
            <w:vAlign w:val="center"/>
          </w:tcPr>
          <w:p w14:paraId="78A670AD">
            <w:pPr>
              <w:widowControl/>
              <w:jc w:val="left"/>
              <w:rPr>
                <w:kern w:val="0"/>
                <w:sz w:val="24"/>
              </w:rPr>
            </w:pPr>
            <w:r>
              <w:rPr>
                <w:kern w:val="0"/>
                <w:sz w:val="24"/>
              </w:rPr>
              <w:t>串通投标</w:t>
            </w:r>
          </w:p>
        </w:tc>
        <w:tc>
          <w:tcPr>
            <w:tcW w:w="2510" w:type="pct"/>
            <w:shd w:val="clear" w:color="000000" w:fill="FFFFFF"/>
            <w:noWrap w:val="0"/>
            <w:vAlign w:val="center"/>
          </w:tcPr>
          <w:p w14:paraId="7C6DCB94">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1139" w:type="pct"/>
            <w:shd w:val="clear" w:color="000000" w:fill="FFFFFF"/>
            <w:noWrap w:val="0"/>
            <w:vAlign w:val="center"/>
          </w:tcPr>
          <w:p w14:paraId="1767A22C">
            <w:pPr>
              <w:widowControl/>
              <w:jc w:val="center"/>
              <w:rPr>
                <w:kern w:val="0"/>
                <w:sz w:val="24"/>
              </w:rPr>
            </w:pPr>
            <w:r>
              <w:rPr>
                <w:rFonts w:hint="eastAsia"/>
                <w:kern w:val="0"/>
                <w:sz w:val="24"/>
              </w:rPr>
              <w:t>不允许</w:t>
            </w:r>
          </w:p>
        </w:tc>
      </w:tr>
      <w:tr w14:paraId="470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146F9EF6">
            <w:pPr>
              <w:widowControl/>
              <w:jc w:val="center"/>
              <w:rPr>
                <w:kern w:val="0"/>
                <w:sz w:val="24"/>
              </w:rPr>
            </w:pPr>
            <w:r>
              <w:rPr>
                <w:rFonts w:hint="eastAsia"/>
                <w:kern w:val="0"/>
                <w:sz w:val="24"/>
              </w:rPr>
              <w:t>13</w:t>
            </w:r>
          </w:p>
        </w:tc>
        <w:tc>
          <w:tcPr>
            <w:tcW w:w="891" w:type="pct"/>
            <w:shd w:val="clear" w:color="000000" w:fill="FFFFFF"/>
            <w:noWrap w:val="0"/>
            <w:vAlign w:val="center"/>
          </w:tcPr>
          <w:p w14:paraId="2BD4E75F">
            <w:pPr>
              <w:widowControl/>
              <w:jc w:val="left"/>
              <w:rPr>
                <w:kern w:val="0"/>
                <w:sz w:val="24"/>
              </w:rPr>
            </w:pPr>
            <w:r>
              <w:rPr>
                <w:kern w:val="0"/>
                <w:sz w:val="24"/>
              </w:rPr>
              <w:t>附加条件</w:t>
            </w:r>
          </w:p>
        </w:tc>
        <w:tc>
          <w:tcPr>
            <w:tcW w:w="2510" w:type="pct"/>
            <w:shd w:val="clear" w:color="000000" w:fill="FFFFFF"/>
            <w:noWrap w:val="0"/>
            <w:vAlign w:val="center"/>
          </w:tcPr>
          <w:p w14:paraId="1C33BE9A">
            <w:pPr>
              <w:widowControl/>
              <w:jc w:val="left"/>
              <w:rPr>
                <w:kern w:val="0"/>
                <w:sz w:val="24"/>
              </w:rPr>
            </w:pPr>
            <w:r>
              <w:rPr>
                <w:rFonts w:hint="eastAsia"/>
                <w:kern w:val="0"/>
                <w:sz w:val="24"/>
              </w:rPr>
              <w:t>响应文件未</w:t>
            </w:r>
            <w:r>
              <w:rPr>
                <w:kern w:val="0"/>
                <w:sz w:val="24"/>
              </w:rPr>
              <w:t>含有采购人不能接受的附加条件的；</w:t>
            </w:r>
          </w:p>
        </w:tc>
        <w:tc>
          <w:tcPr>
            <w:tcW w:w="1139" w:type="pct"/>
            <w:shd w:val="clear" w:color="000000" w:fill="FFFFFF"/>
            <w:noWrap w:val="0"/>
            <w:vAlign w:val="center"/>
          </w:tcPr>
          <w:p w14:paraId="696D4AB6">
            <w:pPr>
              <w:widowControl/>
              <w:jc w:val="center"/>
              <w:rPr>
                <w:rFonts w:hint="eastAsia"/>
                <w:kern w:val="0"/>
                <w:sz w:val="24"/>
              </w:rPr>
            </w:pPr>
            <w:r>
              <w:rPr>
                <w:rFonts w:hint="eastAsia"/>
                <w:kern w:val="0"/>
                <w:sz w:val="24"/>
              </w:rPr>
              <w:t>不允许</w:t>
            </w:r>
          </w:p>
        </w:tc>
      </w:tr>
      <w:tr w14:paraId="5729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noWrap w:val="0"/>
            <w:vAlign w:val="center"/>
          </w:tcPr>
          <w:p w14:paraId="45DCFE8B">
            <w:pPr>
              <w:widowControl/>
              <w:jc w:val="center"/>
              <w:rPr>
                <w:kern w:val="0"/>
                <w:sz w:val="24"/>
              </w:rPr>
            </w:pPr>
            <w:r>
              <w:rPr>
                <w:rFonts w:hint="eastAsia"/>
                <w:kern w:val="0"/>
                <w:sz w:val="24"/>
              </w:rPr>
              <w:t>14</w:t>
            </w:r>
          </w:p>
        </w:tc>
        <w:tc>
          <w:tcPr>
            <w:tcW w:w="891" w:type="pct"/>
            <w:shd w:val="clear" w:color="000000" w:fill="FFFFFF"/>
            <w:noWrap w:val="0"/>
            <w:vAlign w:val="center"/>
          </w:tcPr>
          <w:p w14:paraId="5CA62E3B">
            <w:pPr>
              <w:widowControl/>
              <w:jc w:val="left"/>
              <w:rPr>
                <w:kern w:val="0"/>
                <w:sz w:val="24"/>
              </w:rPr>
            </w:pPr>
            <w:r>
              <w:rPr>
                <w:kern w:val="0"/>
                <w:sz w:val="24"/>
              </w:rPr>
              <w:t>其他无效情形</w:t>
            </w:r>
          </w:p>
        </w:tc>
        <w:tc>
          <w:tcPr>
            <w:tcW w:w="2510" w:type="pct"/>
            <w:shd w:val="clear" w:color="000000" w:fill="FFFFFF"/>
            <w:noWrap w:val="0"/>
            <w:vAlign w:val="center"/>
          </w:tcPr>
          <w:p w14:paraId="535F0525">
            <w:pPr>
              <w:widowControl/>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139" w:type="pct"/>
            <w:shd w:val="clear" w:color="000000" w:fill="FFFFFF"/>
            <w:noWrap w:val="0"/>
            <w:vAlign w:val="center"/>
          </w:tcPr>
          <w:p w14:paraId="4BAE8EE8">
            <w:pPr>
              <w:widowControl/>
              <w:jc w:val="center"/>
              <w:rPr>
                <w:kern w:val="0"/>
                <w:sz w:val="24"/>
              </w:rPr>
            </w:pPr>
            <w:r>
              <w:rPr>
                <w:rFonts w:hint="eastAsia"/>
                <w:kern w:val="0"/>
                <w:sz w:val="24"/>
              </w:rPr>
              <w:t>不允许</w:t>
            </w:r>
          </w:p>
        </w:tc>
      </w:tr>
    </w:tbl>
    <w:p w14:paraId="346C7985">
      <w:pPr>
        <w:tabs>
          <w:tab w:val="left" w:pos="900"/>
          <w:tab w:val="left" w:pos="1080"/>
          <w:tab w:val="left" w:pos="1589"/>
        </w:tabs>
        <w:snapToGrid w:val="0"/>
        <w:spacing w:line="360" w:lineRule="auto"/>
        <w:rPr>
          <w:sz w:val="24"/>
        </w:rPr>
      </w:pPr>
    </w:p>
    <w:bookmarkEnd w:id="631"/>
    <w:bookmarkEnd w:id="632"/>
    <w:p w14:paraId="58439316">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14:paraId="22D4F7AF">
      <w:pPr>
        <w:numPr>
          <w:ilvl w:val="1"/>
          <w:numId w:val="10"/>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42A3904">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26946F2">
      <w:pPr>
        <w:numPr>
          <w:ilvl w:val="1"/>
          <w:numId w:val="1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0EA93AD4">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399E77AA">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2F32399">
      <w:pPr>
        <w:numPr>
          <w:ilvl w:val="2"/>
          <w:numId w:val="1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18933A3">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0311E4B1">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、说明或者更正文件</w:t>
      </w:r>
      <w:r>
        <w:rPr>
          <w:sz w:val="24"/>
        </w:rPr>
        <w:t>将作为响应文件内容的一部分。</w:t>
      </w:r>
    </w:p>
    <w:p w14:paraId="6A763892">
      <w:pPr>
        <w:numPr>
          <w:ilvl w:val="1"/>
          <w:numId w:val="10"/>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A470D66">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C130B83">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14:paraId="70683BA5">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F107482">
      <w:pPr>
        <w:numPr>
          <w:ilvl w:val="0"/>
          <w:numId w:val="10"/>
        </w:numPr>
        <w:tabs>
          <w:tab w:val="left" w:pos="360"/>
        </w:tabs>
        <w:snapToGrid w:val="0"/>
        <w:spacing w:line="360" w:lineRule="auto"/>
        <w:outlineLvl w:val="1"/>
        <w:rPr>
          <w:sz w:val="24"/>
        </w:rPr>
      </w:pPr>
      <w:r>
        <w:rPr>
          <w:sz w:val="24"/>
        </w:rPr>
        <w:t>最后报价的算术修正及政策调整</w:t>
      </w:r>
    </w:p>
    <w:p w14:paraId="2470F307">
      <w:pPr>
        <w:numPr>
          <w:ilvl w:val="1"/>
          <w:numId w:val="10"/>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52411D1B">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14:paraId="33CBC6CF">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77B6AE8F">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4B116565">
      <w:pPr>
        <w:tabs>
          <w:tab w:val="left" w:pos="1080"/>
          <w:tab w:val="left" w:pos="1589"/>
          <w:tab w:val="left" w:pos="2035"/>
          <w:tab w:val="left" w:pos="2114"/>
        </w:tabs>
        <w:snapToGrid w:val="0"/>
        <w:spacing w:line="360" w:lineRule="auto"/>
        <w:ind w:left="2035"/>
        <w:rPr>
          <w:sz w:val="24"/>
        </w:rPr>
      </w:pPr>
      <w:r>
        <w:rPr>
          <w:sz w:val="24"/>
        </w:rPr>
        <w:t>█无，按下述3.2.2-3.2.5项规定修正。</w:t>
      </w:r>
    </w:p>
    <w:p w14:paraId="79EE792B">
      <w:pPr>
        <w:numPr>
          <w:ilvl w:val="2"/>
          <w:numId w:val="10"/>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2526A56">
      <w:pPr>
        <w:numPr>
          <w:ilvl w:val="2"/>
          <w:numId w:val="10"/>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38C04758">
      <w:pPr>
        <w:numPr>
          <w:ilvl w:val="2"/>
          <w:numId w:val="10"/>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526B7EDF">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BEDE57C">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393FA12">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59F3B817">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6559E12B">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EB7A976">
      <w:pPr>
        <w:numPr>
          <w:ilvl w:val="2"/>
          <w:numId w:val="1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D35F848">
      <w:pPr>
        <w:numPr>
          <w:ilvl w:val="2"/>
          <w:numId w:val="10"/>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04C0FF21">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383D0270">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647E87C1">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75D21DF">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5A3C16FA">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6DDAB1F5">
      <w:pPr>
        <w:numPr>
          <w:ilvl w:val="1"/>
          <w:numId w:val="10"/>
        </w:numPr>
        <w:tabs>
          <w:tab w:val="left" w:pos="1080"/>
        </w:tabs>
        <w:snapToGrid w:val="0"/>
        <w:spacing w:line="360" w:lineRule="auto"/>
        <w:ind w:left="1077" w:hanging="720"/>
        <w:rPr>
          <w:sz w:val="24"/>
        </w:rPr>
      </w:pPr>
      <w:r>
        <w:rPr>
          <w:sz w:val="24"/>
        </w:rPr>
        <w:t>供应商对实质性变动不予确认的；</w:t>
      </w:r>
    </w:p>
    <w:p w14:paraId="00B5BF5D">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4CFFFC94">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14:paraId="219F8EB7">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7EB99F7E">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1E164C81">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14:paraId="20E41D36">
      <w:pPr>
        <w:numPr>
          <w:ilvl w:val="1"/>
          <w:numId w:val="10"/>
        </w:numPr>
        <w:tabs>
          <w:tab w:val="left" w:pos="1080"/>
        </w:tabs>
        <w:snapToGrid w:val="0"/>
        <w:spacing w:line="360" w:lineRule="auto"/>
        <w:ind w:left="1077" w:hanging="720"/>
        <w:rPr>
          <w:sz w:val="24"/>
        </w:rPr>
      </w:pPr>
      <w:r>
        <w:rPr>
          <w:sz w:val="24"/>
        </w:rPr>
        <w:t>其他：______。</w:t>
      </w:r>
    </w:p>
    <w:p w14:paraId="696CEA06">
      <w:pPr>
        <w:numPr>
          <w:ilvl w:val="0"/>
          <w:numId w:val="10"/>
        </w:numPr>
        <w:tabs>
          <w:tab w:val="left" w:pos="360"/>
        </w:tabs>
        <w:snapToGrid w:val="0"/>
        <w:spacing w:line="360" w:lineRule="auto"/>
        <w:outlineLvl w:val="1"/>
        <w:rPr>
          <w:sz w:val="24"/>
        </w:rPr>
      </w:pPr>
      <w:r>
        <w:rPr>
          <w:sz w:val="24"/>
        </w:rPr>
        <w:t>评审方法和评审标准</w:t>
      </w:r>
    </w:p>
    <w:p w14:paraId="0064F3D5">
      <w:pPr>
        <w:numPr>
          <w:ilvl w:val="1"/>
          <w:numId w:val="10"/>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97F504B">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FF1CD62">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76D7D488">
      <w:pPr>
        <w:numPr>
          <w:ilvl w:val="1"/>
          <w:numId w:val="10"/>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rPr>
        <w:t>。</w:t>
      </w:r>
    </w:p>
    <w:p w14:paraId="63F66343">
      <w:pPr>
        <w:numPr>
          <w:ilvl w:val="0"/>
          <w:numId w:val="10"/>
        </w:numPr>
        <w:tabs>
          <w:tab w:val="left" w:pos="360"/>
        </w:tabs>
        <w:snapToGrid w:val="0"/>
        <w:spacing w:line="360" w:lineRule="auto"/>
        <w:outlineLvl w:val="1"/>
        <w:rPr>
          <w:sz w:val="24"/>
        </w:rPr>
      </w:pPr>
      <w:r>
        <w:rPr>
          <w:sz w:val="24"/>
        </w:rPr>
        <w:t>确定</w:t>
      </w:r>
      <w:bookmarkStart w:id="648" w:name="_Toc151193644"/>
      <w:bookmarkStart w:id="649" w:name="_Toc127151546"/>
      <w:bookmarkStart w:id="650" w:name="_Toc520356170"/>
      <w:bookmarkStart w:id="651" w:name="_Ref467307010"/>
      <w:bookmarkStart w:id="652" w:name="_Toc151190173"/>
      <w:bookmarkStart w:id="653" w:name="_Toc164608815"/>
      <w:bookmarkStart w:id="654" w:name="_Toc150774751"/>
      <w:bookmarkStart w:id="655" w:name="_Toc150480784"/>
      <w:bookmarkStart w:id="656" w:name="_Toc264969236"/>
      <w:bookmarkStart w:id="657" w:name="_Toc305158814"/>
      <w:bookmarkStart w:id="658" w:name="_Toc226309790"/>
      <w:bookmarkStart w:id="659" w:name="_Toc226965819"/>
      <w:bookmarkStart w:id="660" w:name="_Toc164229241"/>
      <w:bookmarkStart w:id="661" w:name="_Toc151193788"/>
      <w:bookmarkStart w:id="662" w:name="_Toc149720839"/>
      <w:bookmarkStart w:id="663" w:name="_Toc151193860"/>
      <w:bookmarkStart w:id="664" w:name="_Toc226337242"/>
      <w:bookmarkStart w:id="665" w:name="_Toc265228384"/>
      <w:bookmarkStart w:id="666" w:name="_Toc150774646"/>
      <w:bookmarkStart w:id="667" w:name="_Toc151193716"/>
      <w:bookmarkStart w:id="668" w:name="_Toc305158888"/>
      <w:bookmarkStart w:id="669" w:name="_Toc151193934"/>
      <w:bookmarkStart w:id="670" w:name="_Toc164229387"/>
      <w:bookmarkStart w:id="671" w:name="_Toc127151747"/>
      <w:bookmarkStart w:id="672" w:name="_Toc164608660"/>
      <w:bookmarkStart w:id="673" w:name="_Toc164351640"/>
      <w:bookmarkStart w:id="674" w:name="_Toc127161460"/>
      <w:bookmarkStart w:id="675" w:name="_Toc226965736"/>
      <w:bookmarkStart w:id="676" w:name="_Toc150509297"/>
      <w:bookmarkStart w:id="677" w:name="_Toc195842911"/>
      <w:bookmarkStart w:id="678" w:name="_Toc142311048"/>
      <w:r>
        <w:rPr>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56E1D5CB">
      <w:pPr>
        <w:numPr>
          <w:ilvl w:val="1"/>
          <w:numId w:val="10"/>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AB271A2">
      <w:pPr>
        <w:numPr>
          <w:ilvl w:val="1"/>
          <w:numId w:val="1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kern w:val="0"/>
          <w:sz w:val="24"/>
          <w:szCs w:val="20"/>
          <w:u w:val="single"/>
          <w:lang w:val="en-US" w:eastAsia="zh-CN"/>
        </w:rPr>
        <w:t>3</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E80D8CA">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6E6362A9">
      <w:pPr>
        <w:numPr>
          <w:ilvl w:val="0"/>
          <w:numId w:val="10"/>
        </w:numPr>
        <w:tabs>
          <w:tab w:val="left" w:pos="360"/>
        </w:tabs>
        <w:snapToGrid w:val="0"/>
        <w:spacing w:line="360" w:lineRule="auto"/>
        <w:outlineLvl w:val="1"/>
        <w:rPr>
          <w:sz w:val="24"/>
        </w:rPr>
      </w:pPr>
      <w:r>
        <w:rPr>
          <w:sz w:val="24"/>
        </w:rPr>
        <w:t>报告违法行为</w:t>
      </w:r>
    </w:p>
    <w:p w14:paraId="35E56B69">
      <w:pPr>
        <w:widowControl/>
        <w:numPr>
          <w:ilvl w:val="1"/>
          <w:numId w:val="10"/>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05C9CA1">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186"/>
        <w:gridCol w:w="810"/>
        <w:gridCol w:w="6282"/>
      </w:tblGrid>
      <w:tr w14:paraId="29FF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14:paraId="69A116F8">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Cs w:val="21"/>
              </w:rPr>
            </w:pPr>
            <w:r>
              <w:rPr>
                <w:rFonts w:hint="eastAsia" w:ascii="宋体" w:hAnsi="宋体" w:cs="宋体"/>
                <w:b/>
                <w:bCs/>
                <w:color w:val="auto"/>
                <w:szCs w:val="21"/>
              </w:rPr>
              <w:t>评审内容</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1A470F7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Cs w:val="21"/>
              </w:rPr>
            </w:pPr>
            <w:r>
              <w:rPr>
                <w:rFonts w:hint="eastAsia" w:ascii="宋体" w:hAnsi="宋体" w:cs="宋体"/>
                <w:b/>
                <w:bCs/>
                <w:color w:val="auto"/>
                <w:szCs w:val="21"/>
              </w:rPr>
              <w:t>分值</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102A1A42">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Cs w:val="21"/>
              </w:rPr>
            </w:pPr>
            <w:r>
              <w:rPr>
                <w:rFonts w:hint="eastAsia" w:ascii="宋体" w:hAnsi="宋体" w:cs="宋体"/>
                <w:b/>
                <w:bCs/>
                <w:color w:val="auto"/>
                <w:szCs w:val="21"/>
              </w:rPr>
              <w:t>评分标准</w:t>
            </w:r>
          </w:p>
        </w:tc>
      </w:tr>
      <w:tr w14:paraId="3498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14:paraId="6C708ECC">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color w:val="auto"/>
                <w:sz w:val="20"/>
                <w:szCs w:val="20"/>
              </w:rPr>
            </w:pPr>
            <w:r>
              <w:rPr>
                <w:rFonts w:hint="eastAsia" w:ascii="宋体" w:hAnsi="宋体" w:cs="宋体"/>
                <w:b/>
                <w:bCs/>
                <w:color w:val="auto"/>
                <w:sz w:val="20"/>
                <w:szCs w:val="20"/>
                <w:lang w:val="en-US" w:eastAsia="zh-CN"/>
              </w:rPr>
              <w:t>报价</w:t>
            </w:r>
            <w:r>
              <w:rPr>
                <w:rFonts w:hint="eastAsia" w:ascii="宋体" w:hAnsi="宋体" w:cs="宋体"/>
                <w:b/>
                <w:bCs/>
                <w:color w:val="auto"/>
                <w:sz w:val="20"/>
                <w:szCs w:val="20"/>
              </w:rPr>
              <w:t>(</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0分)</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0859A0B6">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30</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558A5A22">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cs="宋体"/>
                <w:color w:val="auto"/>
                <w:sz w:val="20"/>
                <w:szCs w:val="20"/>
              </w:rPr>
            </w:pPr>
            <w:r>
              <w:rPr>
                <w:rFonts w:hint="eastAsia" w:ascii="宋体" w:hAnsi="宋体" w:cs="宋体"/>
                <w:color w:val="auto"/>
                <w:sz w:val="20"/>
                <w:szCs w:val="20"/>
              </w:rPr>
              <w:t>满足磋商文件要求的最后报价最低的供应商的价格为磋商基准价，其价格分为满分。其他供应商的价格分统一按照下列公式计算：</w:t>
            </w:r>
          </w:p>
          <w:p w14:paraId="12A058EC">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cs="宋体"/>
                <w:color w:val="auto"/>
                <w:sz w:val="20"/>
                <w:szCs w:val="20"/>
              </w:rPr>
            </w:pPr>
            <w:r>
              <w:rPr>
                <w:rFonts w:hint="eastAsia" w:ascii="宋体" w:hAnsi="宋体" w:cs="宋体"/>
                <w:color w:val="auto"/>
                <w:sz w:val="20"/>
                <w:szCs w:val="20"/>
              </w:rPr>
              <w:t>磋商报价得分=（磋商基准价/最后报价）×分值</w:t>
            </w:r>
          </w:p>
          <w:p w14:paraId="63AAD4D9">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rPr>
              <w:t>分值保留小数点后两位</w:t>
            </w:r>
            <w:r>
              <w:rPr>
                <w:rFonts w:hint="eastAsia" w:ascii="宋体" w:hAnsi="宋体" w:cs="宋体"/>
                <w:color w:val="auto"/>
                <w:sz w:val="20"/>
                <w:szCs w:val="20"/>
                <w:lang w:eastAsia="zh-CN"/>
              </w:rPr>
              <w:t>。</w:t>
            </w:r>
          </w:p>
        </w:tc>
      </w:tr>
      <w:tr w14:paraId="0B34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40" w:type="pct"/>
            <w:vMerge w:val="restart"/>
            <w:tcBorders>
              <w:top w:val="single" w:color="auto" w:sz="4" w:space="0"/>
              <w:left w:val="single" w:color="auto" w:sz="4" w:space="0"/>
              <w:right w:val="single" w:color="auto" w:sz="4" w:space="0"/>
            </w:tcBorders>
            <w:noWrap w:val="0"/>
            <w:vAlign w:val="center"/>
          </w:tcPr>
          <w:p w14:paraId="71C1C79A">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r>
              <w:rPr>
                <w:rFonts w:hint="eastAsia" w:ascii="宋体" w:hAnsi="宋体" w:cs="宋体"/>
                <w:b/>
                <w:bCs/>
                <w:color w:val="auto"/>
                <w:sz w:val="20"/>
                <w:szCs w:val="20"/>
              </w:rPr>
              <w:t>商务</w:t>
            </w:r>
          </w:p>
          <w:p w14:paraId="76C888CB">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r>
              <w:rPr>
                <w:rFonts w:hint="eastAsia" w:ascii="宋体" w:hAnsi="宋体" w:cs="宋体"/>
                <w:b/>
                <w:bCs/>
                <w:color w:val="auto"/>
                <w:sz w:val="20"/>
                <w:szCs w:val="20"/>
              </w:rPr>
              <w:t>部分</w:t>
            </w:r>
          </w:p>
          <w:p w14:paraId="225A7A5C">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r>
              <w:rPr>
                <w:rFonts w:hint="eastAsia" w:ascii="宋体" w:hAnsi="宋体" w:cs="宋体"/>
                <w:b/>
                <w:bCs/>
                <w:color w:val="auto"/>
                <w:sz w:val="20"/>
                <w:szCs w:val="20"/>
                <w:lang w:val="en-US" w:eastAsia="zh-CN"/>
              </w:rPr>
              <w:t>15</w:t>
            </w:r>
            <w:r>
              <w:rPr>
                <w:rFonts w:hint="eastAsia" w:ascii="宋体" w:hAnsi="宋体" w:cs="宋体"/>
                <w:b/>
                <w:bCs/>
                <w:color w:val="auto"/>
                <w:sz w:val="20"/>
                <w:szCs w:val="20"/>
              </w:rPr>
              <w:t>分</w:t>
            </w:r>
          </w:p>
        </w:tc>
        <w:tc>
          <w:tcPr>
            <w:tcW w:w="639" w:type="pct"/>
            <w:tcBorders>
              <w:top w:val="single" w:color="auto" w:sz="4" w:space="0"/>
              <w:left w:val="single" w:color="auto" w:sz="4" w:space="0"/>
              <w:right w:val="single" w:color="auto" w:sz="4" w:space="0"/>
            </w:tcBorders>
            <w:noWrap w:val="0"/>
            <w:vAlign w:val="center"/>
          </w:tcPr>
          <w:p w14:paraId="21C8FDBD">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同类项目</w:t>
            </w:r>
            <w:r>
              <w:rPr>
                <w:rFonts w:hint="eastAsia" w:ascii="宋体" w:hAnsi="宋体" w:cs="宋体"/>
                <w:color w:val="auto"/>
                <w:sz w:val="20"/>
                <w:szCs w:val="20"/>
              </w:rPr>
              <w:t>业绩</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361BA045">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10</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4F345E2B">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ascii="宋体" w:hAnsi="宋体" w:cs="宋体"/>
                <w:color w:val="auto"/>
                <w:sz w:val="20"/>
                <w:szCs w:val="20"/>
              </w:rPr>
            </w:pPr>
            <w:r>
              <w:rPr>
                <w:rFonts w:hint="eastAsia" w:ascii="宋体" w:hAnsi="宋体" w:cs="宋体"/>
                <w:color w:val="auto"/>
                <w:sz w:val="20"/>
                <w:szCs w:val="20"/>
              </w:rPr>
              <w:t>供应商近3年（20</w:t>
            </w:r>
            <w:r>
              <w:rPr>
                <w:rFonts w:hint="eastAsia" w:ascii="宋体" w:hAnsi="宋体" w:cs="宋体"/>
                <w:color w:val="auto"/>
                <w:sz w:val="20"/>
                <w:szCs w:val="20"/>
                <w:lang w:val="en-US" w:eastAsia="zh-CN"/>
              </w:rPr>
              <w:t>22</w:t>
            </w:r>
            <w:r>
              <w:rPr>
                <w:rFonts w:hint="eastAsia" w:ascii="宋体" w:hAnsi="宋体" w:cs="宋体"/>
                <w:color w:val="auto"/>
                <w:sz w:val="20"/>
                <w:szCs w:val="20"/>
              </w:rPr>
              <w:t>年</w:t>
            </w:r>
            <w:r>
              <w:rPr>
                <w:rFonts w:hint="eastAsia" w:ascii="宋体" w:hAnsi="宋体" w:cs="宋体"/>
                <w:color w:val="auto"/>
                <w:sz w:val="20"/>
                <w:szCs w:val="20"/>
                <w:lang w:val="en-US" w:eastAsia="zh-CN"/>
              </w:rPr>
              <w:t>1</w:t>
            </w:r>
            <w:r>
              <w:rPr>
                <w:rFonts w:hint="eastAsia" w:ascii="宋体" w:hAnsi="宋体" w:cs="宋体"/>
                <w:color w:val="auto"/>
                <w:sz w:val="20"/>
                <w:szCs w:val="20"/>
              </w:rPr>
              <w:t>月1日至今，以合同签订时间为准）具有与本</w:t>
            </w:r>
            <w:r>
              <w:rPr>
                <w:rFonts w:hint="eastAsia" w:ascii="宋体" w:hAnsi="宋体" w:cs="宋体"/>
                <w:color w:val="auto"/>
                <w:sz w:val="20"/>
                <w:szCs w:val="20"/>
                <w:lang w:val="en-US" w:eastAsia="zh-CN"/>
              </w:rPr>
              <w:t>项目同类</w:t>
            </w:r>
            <w:r>
              <w:rPr>
                <w:rFonts w:hint="eastAsia" w:ascii="宋体" w:hAnsi="宋体" w:cs="宋体"/>
                <w:color w:val="auto"/>
                <w:sz w:val="20"/>
                <w:szCs w:val="20"/>
              </w:rPr>
              <w:t>项目业绩，每提供一个业绩得</w:t>
            </w:r>
            <w:r>
              <w:rPr>
                <w:rFonts w:hint="eastAsia" w:ascii="宋体" w:hAnsi="宋体" w:cs="宋体"/>
                <w:color w:val="auto"/>
                <w:sz w:val="20"/>
                <w:szCs w:val="20"/>
                <w:lang w:val="en-US" w:eastAsia="zh-CN"/>
              </w:rPr>
              <w:t>2</w:t>
            </w:r>
            <w:r>
              <w:rPr>
                <w:rFonts w:hint="eastAsia" w:ascii="宋体" w:hAnsi="宋体" w:cs="宋体"/>
                <w:color w:val="auto"/>
                <w:sz w:val="20"/>
                <w:szCs w:val="20"/>
              </w:rPr>
              <w:t>分，最多得</w:t>
            </w:r>
            <w:r>
              <w:rPr>
                <w:rFonts w:hint="eastAsia" w:ascii="宋体" w:hAnsi="宋体" w:cs="宋体"/>
                <w:color w:val="auto"/>
                <w:sz w:val="20"/>
                <w:szCs w:val="20"/>
                <w:lang w:val="en-US" w:eastAsia="zh-CN"/>
              </w:rPr>
              <w:t>10</w:t>
            </w:r>
            <w:r>
              <w:rPr>
                <w:rFonts w:hint="eastAsia" w:ascii="宋体" w:hAnsi="宋体" w:cs="宋体"/>
                <w:color w:val="auto"/>
                <w:sz w:val="20"/>
                <w:szCs w:val="20"/>
              </w:rPr>
              <w:t>分。</w:t>
            </w:r>
          </w:p>
          <w:p w14:paraId="1FAEE163">
            <w:pPr>
              <w:pStyle w:val="256"/>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ascii="宋体" w:hAnsi="宋体" w:eastAsia="宋体" w:cs="宋体"/>
                <w:color w:val="auto"/>
                <w:kern w:val="2"/>
                <w:sz w:val="20"/>
                <w:szCs w:val="20"/>
                <w:lang w:val="en-US" w:eastAsia="zh-CN" w:bidi="ar-SA"/>
              </w:rPr>
            </w:pPr>
            <w:r>
              <w:rPr>
                <w:rFonts w:hint="eastAsia" w:ascii="宋体" w:hAnsi="宋体" w:cs="宋体"/>
                <w:b/>
                <w:bCs/>
                <w:color w:val="auto"/>
                <w:sz w:val="20"/>
                <w:szCs w:val="20"/>
              </w:rPr>
              <w:t>提供合同关键页（包括但不限于封面、工作内容、合同金额、签订时间、盖章签字等）复印件并加盖公章，否则不得分。</w:t>
            </w:r>
          </w:p>
        </w:tc>
      </w:tr>
      <w:tr w14:paraId="26E4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pct"/>
            <w:vMerge w:val="continue"/>
            <w:tcBorders>
              <w:left w:val="single" w:color="auto" w:sz="4" w:space="0"/>
              <w:right w:val="single" w:color="auto" w:sz="4" w:space="0"/>
            </w:tcBorders>
            <w:noWrap w:val="0"/>
            <w:vAlign w:val="center"/>
          </w:tcPr>
          <w:p w14:paraId="2052AC63">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p>
        </w:tc>
        <w:tc>
          <w:tcPr>
            <w:tcW w:w="639" w:type="pct"/>
            <w:vMerge w:val="restart"/>
            <w:tcBorders>
              <w:top w:val="single" w:color="auto" w:sz="4" w:space="0"/>
              <w:left w:val="single" w:color="auto" w:sz="4" w:space="0"/>
              <w:right w:val="single" w:color="auto" w:sz="4" w:space="0"/>
            </w:tcBorders>
            <w:noWrap w:val="0"/>
            <w:vAlign w:val="center"/>
          </w:tcPr>
          <w:p w14:paraId="777931C3">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项目经理</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397E5E3B">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3C5D777F">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ascii="宋体" w:hAnsi="宋体" w:cs="宋体"/>
                <w:color w:val="auto"/>
                <w:sz w:val="20"/>
                <w:szCs w:val="20"/>
              </w:rPr>
            </w:pPr>
            <w:r>
              <w:rPr>
                <w:rFonts w:hint="eastAsia" w:ascii="宋体" w:hAnsi="宋体" w:cs="宋体"/>
                <w:color w:val="auto"/>
                <w:sz w:val="20"/>
                <w:szCs w:val="20"/>
              </w:rPr>
              <w:t>具有高级工程师职称的，得</w:t>
            </w:r>
            <w:r>
              <w:rPr>
                <w:rFonts w:hint="eastAsia" w:ascii="宋体" w:hAnsi="宋体" w:cs="宋体"/>
                <w:color w:val="auto"/>
                <w:sz w:val="20"/>
                <w:szCs w:val="20"/>
                <w:lang w:val="en-US" w:eastAsia="zh-CN"/>
              </w:rPr>
              <w:t>2</w:t>
            </w:r>
            <w:r>
              <w:rPr>
                <w:rFonts w:hint="eastAsia" w:ascii="宋体" w:hAnsi="宋体" w:cs="宋体"/>
                <w:color w:val="auto"/>
                <w:sz w:val="20"/>
                <w:szCs w:val="20"/>
              </w:rPr>
              <w:t>分</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具有中级工程师职称的，得1分；</w:t>
            </w:r>
            <w:r>
              <w:rPr>
                <w:rFonts w:hint="eastAsia" w:ascii="宋体" w:hAnsi="宋体" w:cs="宋体"/>
                <w:color w:val="auto"/>
                <w:sz w:val="20"/>
                <w:szCs w:val="20"/>
              </w:rPr>
              <w:t>否则不得分，提供证明材料并加盖公章。</w:t>
            </w:r>
          </w:p>
        </w:tc>
      </w:tr>
      <w:tr w14:paraId="032C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40" w:type="pct"/>
            <w:vMerge w:val="continue"/>
            <w:tcBorders>
              <w:left w:val="single" w:color="auto" w:sz="4" w:space="0"/>
              <w:right w:val="single" w:color="auto" w:sz="4" w:space="0"/>
            </w:tcBorders>
            <w:noWrap w:val="0"/>
            <w:vAlign w:val="center"/>
          </w:tcPr>
          <w:p w14:paraId="14B68A1C">
            <w:pPr>
              <w:pStyle w:val="256"/>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color w:val="auto"/>
              </w:rPr>
            </w:pPr>
          </w:p>
        </w:tc>
        <w:tc>
          <w:tcPr>
            <w:tcW w:w="639" w:type="pct"/>
            <w:vMerge w:val="continue"/>
            <w:tcBorders>
              <w:left w:val="single" w:color="auto" w:sz="4" w:space="0"/>
              <w:right w:val="single" w:color="auto" w:sz="4" w:space="0"/>
            </w:tcBorders>
            <w:noWrap w:val="0"/>
            <w:vAlign w:val="center"/>
          </w:tcPr>
          <w:p w14:paraId="2698C7E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hint="default" w:ascii="宋体" w:hAnsi="宋体" w:eastAsia="宋体" w:cs="宋体"/>
                <w:color w:val="auto"/>
                <w:kern w:val="2"/>
                <w:sz w:val="20"/>
                <w:szCs w:val="20"/>
                <w:highlight w:val="none"/>
                <w:lang w:val="en-US" w:eastAsia="zh-CN" w:bidi="ar-SA"/>
              </w:rPr>
            </w:pPr>
          </w:p>
        </w:tc>
        <w:tc>
          <w:tcPr>
            <w:tcW w:w="436" w:type="pct"/>
            <w:tcBorders>
              <w:left w:val="single" w:color="auto" w:sz="4" w:space="0"/>
              <w:bottom w:val="single" w:color="auto" w:sz="4" w:space="0"/>
              <w:right w:val="single" w:color="auto" w:sz="4" w:space="0"/>
            </w:tcBorders>
            <w:noWrap w:val="0"/>
            <w:vAlign w:val="center"/>
          </w:tcPr>
          <w:p w14:paraId="3F2D0BC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0AF76BA0">
            <w:pPr>
              <w:pStyle w:val="256"/>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工作</w:t>
            </w:r>
            <w:r>
              <w:rPr>
                <w:rFonts w:hint="eastAsia" w:ascii="宋体" w:hAnsi="宋体" w:cs="宋体"/>
                <w:color w:val="auto"/>
                <w:kern w:val="2"/>
                <w:sz w:val="20"/>
                <w:szCs w:val="20"/>
                <w:highlight w:val="none"/>
                <w:lang w:val="en-US" w:eastAsia="zh-CN" w:bidi="ar-SA"/>
              </w:rPr>
              <w:t>10</w:t>
            </w:r>
            <w:r>
              <w:rPr>
                <w:rFonts w:hint="eastAsia" w:ascii="宋体" w:hAnsi="宋体" w:eastAsia="宋体" w:cs="宋体"/>
                <w:color w:val="auto"/>
                <w:kern w:val="2"/>
                <w:sz w:val="20"/>
                <w:szCs w:val="20"/>
                <w:highlight w:val="none"/>
                <w:lang w:val="en-US" w:eastAsia="zh-CN" w:bidi="ar-SA"/>
              </w:rPr>
              <w:t>年（含）以上，得</w:t>
            </w:r>
            <w:r>
              <w:rPr>
                <w:rFonts w:hint="eastAsia" w:ascii="宋体" w:hAnsi="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en-US" w:eastAsia="zh-CN" w:bidi="ar-SA"/>
              </w:rPr>
              <w:t>分；工作</w:t>
            </w:r>
            <w:r>
              <w:rPr>
                <w:rFonts w:hint="eastAsia" w:ascii="宋体" w:hAnsi="宋体" w:cs="宋体"/>
                <w:color w:val="auto"/>
                <w:kern w:val="2"/>
                <w:sz w:val="20"/>
                <w:szCs w:val="20"/>
                <w:highlight w:val="none"/>
                <w:lang w:val="en-US" w:eastAsia="zh-CN" w:bidi="ar-SA"/>
              </w:rPr>
              <w:t>5</w:t>
            </w:r>
            <w:r>
              <w:rPr>
                <w:rFonts w:hint="eastAsia" w:ascii="宋体" w:hAnsi="宋体" w:eastAsia="宋体" w:cs="宋体"/>
                <w:color w:val="auto"/>
                <w:kern w:val="2"/>
                <w:sz w:val="20"/>
                <w:szCs w:val="20"/>
                <w:highlight w:val="none"/>
                <w:lang w:val="en-US" w:eastAsia="zh-CN" w:bidi="ar-SA"/>
              </w:rPr>
              <w:t>年（含）-10年（不含），得</w:t>
            </w:r>
            <w:r>
              <w:rPr>
                <w:rFonts w:hint="eastAsia" w:ascii="宋体" w:hAnsi="宋体" w:cs="宋体"/>
                <w:color w:val="auto"/>
                <w:kern w:val="2"/>
                <w:sz w:val="20"/>
                <w:szCs w:val="20"/>
                <w:highlight w:val="none"/>
                <w:lang w:val="en-US" w:eastAsia="zh-CN" w:bidi="ar-SA"/>
              </w:rPr>
              <w:t>2</w:t>
            </w:r>
            <w:r>
              <w:rPr>
                <w:rFonts w:hint="eastAsia" w:ascii="宋体" w:hAnsi="宋体" w:eastAsia="宋体" w:cs="宋体"/>
                <w:color w:val="auto"/>
                <w:kern w:val="2"/>
                <w:sz w:val="20"/>
                <w:szCs w:val="20"/>
                <w:highlight w:val="none"/>
                <w:lang w:val="en-US" w:eastAsia="zh-CN" w:bidi="ar-SA"/>
              </w:rPr>
              <w:t>分；工作</w:t>
            </w:r>
            <w:r>
              <w:rPr>
                <w:rFonts w:hint="eastAsia" w:ascii="宋体" w:hAnsi="宋体" w:cs="宋体"/>
                <w:color w:val="auto"/>
                <w:kern w:val="2"/>
                <w:sz w:val="20"/>
                <w:szCs w:val="20"/>
                <w:highlight w:val="none"/>
                <w:lang w:val="en-US" w:eastAsia="zh-CN" w:bidi="ar-SA"/>
              </w:rPr>
              <w:t>5</w:t>
            </w:r>
            <w:r>
              <w:rPr>
                <w:rFonts w:hint="eastAsia" w:ascii="宋体" w:hAnsi="宋体" w:eastAsia="宋体" w:cs="宋体"/>
                <w:color w:val="auto"/>
                <w:kern w:val="2"/>
                <w:sz w:val="20"/>
                <w:szCs w:val="20"/>
                <w:highlight w:val="none"/>
                <w:lang w:val="en-US" w:eastAsia="zh-CN" w:bidi="ar-SA"/>
              </w:rPr>
              <w:t>年（不含）以下</w:t>
            </w:r>
            <w:r>
              <w:rPr>
                <w:rFonts w:hint="eastAsia" w:ascii="宋体" w:hAnsi="宋体" w:cs="宋体"/>
                <w:color w:val="auto"/>
                <w:kern w:val="2"/>
                <w:sz w:val="20"/>
                <w:szCs w:val="20"/>
                <w:highlight w:val="none"/>
                <w:lang w:val="en-US" w:eastAsia="zh-CN" w:bidi="ar-SA"/>
              </w:rPr>
              <w:t>，得1分；未提供</w:t>
            </w:r>
            <w:r>
              <w:rPr>
                <w:rFonts w:hint="eastAsia" w:ascii="宋体" w:hAnsi="宋体" w:eastAsia="宋体" w:cs="宋体"/>
                <w:color w:val="auto"/>
                <w:kern w:val="2"/>
                <w:sz w:val="20"/>
                <w:szCs w:val="20"/>
                <w:highlight w:val="none"/>
                <w:lang w:val="en-US" w:eastAsia="zh-CN" w:bidi="ar-SA"/>
              </w:rPr>
              <w:t>，不得分。</w:t>
            </w:r>
          </w:p>
          <w:p w14:paraId="002A93FF">
            <w:pPr>
              <w:pStyle w:val="256"/>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提供证明材料并加盖公章，未提供证明材料不得分。</w:t>
            </w:r>
          </w:p>
        </w:tc>
      </w:tr>
      <w:tr w14:paraId="1982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0" w:type="pct"/>
            <w:vMerge w:val="restart"/>
            <w:tcBorders>
              <w:top w:val="single" w:color="auto" w:sz="4" w:space="0"/>
              <w:left w:val="single" w:color="auto" w:sz="4" w:space="0"/>
              <w:right w:val="single" w:color="auto" w:sz="4" w:space="0"/>
            </w:tcBorders>
            <w:noWrap w:val="0"/>
            <w:vAlign w:val="center"/>
          </w:tcPr>
          <w:p w14:paraId="00E3BEEF">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r>
              <w:rPr>
                <w:rFonts w:hint="eastAsia" w:ascii="宋体" w:hAnsi="宋体" w:cs="宋体"/>
                <w:b/>
                <w:bCs/>
                <w:color w:val="auto"/>
                <w:sz w:val="20"/>
                <w:szCs w:val="20"/>
              </w:rPr>
              <w:t>技术</w:t>
            </w:r>
          </w:p>
          <w:p w14:paraId="2E897D26">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auto"/>
                <w:sz w:val="20"/>
                <w:szCs w:val="20"/>
              </w:rPr>
            </w:pPr>
            <w:r>
              <w:rPr>
                <w:rFonts w:hint="eastAsia" w:ascii="宋体" w:hAnsi="宋体" w:cs="宋体"/>
                <w:b/>
                <w:bCs/>
                <w:color w:val="auto"/>
                <w:sz w:val="20"/>
                <w:szCs w:val="20"/>
              </w:rPr>
              <w:t>部分</w:t>
            </w:r>
          </w:p>
          <w:p w14:paraId="7A3BDF0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FF0000"/>
                <w:sz w:val="20"/>
                <w:szCs w:val="20"/>
              </w:rPr>
            </w:pPr>
            <w:r>
              <w:rPr>
                <w:rFonts w:hint="eastAsia" w:ascii="宋体" w:hAnsi="宋体" w:cs="宋体"/>
                <w:b/>
                <w:bCs/>
                <w:color w:val="auto"/>
                <w:sz w:val="20"/>
                <w:szCs w:val="20"/>
                <w:lang w:val="en-US" w:eastAsia="zh-CN"/>
              </w:rPr>
              <w:t>55</w:t>
            </w:r>
            <w:r>
              <w:rPr>
                <w:rFonts w:hint="eastAsia" w:ascii="宋体" w:hAnsi="宋体" w:cs="宋体"/>
                <w:b/>
                <w:bCs/>
                <w:color w:val="auto"/>
                <w:sz w:val="20"/>
                <w:szCs w:val="20"/>
              </w:rPr>
              <w:t>分</w:t>
            </w:r>
          </w:p>
        </w:tc>
        <w:tc>
          <w:tcPr>
            <w:tcW w:w="639" w:type="pct"/>
            <w:tcBorders>
              <w:top w:val="single" w:color="auto" w:sz="4" w:space="0"/>
              <w:left w:val="single" w:color="auto" w:sz="4" w:space="0"/>
              <w:right w:val="single" w:color="auto" w:sz="4" w:space="0"/>
            </w:tcBorders>
            <w:noWrap w:val="0"/>
            <w:vAlign w:val="center"/>
          </w:tcPr>
          <w:p w14:paraId="15A21D08">
            <w:pPr>
              <w:contextualSpacing/>
              <w:jc w:val="center"/>
              <w:rPr>
                <w:rFonts w:ascii="宋体" w:hAnsi="宋体" w:cs="宋体"/>
                <w:bCs/>
                <w:color w:val="FF0000"/>
                <w:kern w:val="2"/>
                <w:sz w:val="20"/>
                <w:szCs w:val="20"/>
                <w:lang w:val="en-US" w:eastAsia="zh-CN" w:bidi="ar-SA"/>
              </w:rPr>
            </w:pPr>
            <w:r>
              <w:rPr>
                <w:rFonts w:hint="eastAsia" w:ascii="宋体" w:hAnsi="宋体" w:cs="宋体"/>
                <w:bCs/>
                <w:sz w:val="20"/>
                <w:szCs w:val="20"/>
              </w:rPr>
              <w:t>项目重难点分析</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7AC5DE9F">
            <w:pPr>
              <w:contextualSpacing/>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7</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400651FF">
            <w:pPr>
              <w:pStyle w:val="256"/>
              <w:rPr>
                <w:rFonts w:ascii="宋体" w:hAnsi="宋体" w:cs="宋体"/>
                <w:sz w:val="20"/>
              </w:rPr>
            </w:pPr>
            <w:r>
              <w:rPr>
                <w:rFonts w:hint="eastAsia" w:ascii="宋体" w:hAnsi="宋体" w:cs="宋体"/>
                <w:sz w:val="20"/>
              </w:rPr>
              <w:t>供应商应根据本项目采购需求，详细描述对项目的工作重点、难点分析：</w:t>
            </w:r>
          </w:p>
          <w:p w14:paraId="43835735">
            <w:pPr>
              <w:pStyle w:val="256"/>
              <w:rPr>
                <w:rFonts w:ascii="宋体" w:hAnsi="宋体" w:cs="宋体"/>
                <w:sz w:val="20"/>
              </w:rPr>
            </w:pPr>
            <w:r>
              <w:rPr>
                <w:rFonts w:hint="eastAsia" w:ascii="宋体" w:hAnsi="宋体" w:cs="宋体"/>
                <w:sz w:val="20"/>
              </w:rPr>
              <w:t>1）对本项目的重点、难点分析深入，定位准确，得</w:t>
            </w:r>
            <w:r>
              <w:rPr>
                <w:rFonts w:hint="eastAsia" w:ascii="宋体" w:hAnsi="宋体" w:cs="宋体"/>
                <w:sz w:val="20"/>
                <w:lang w:val="en-US" w:eastAsia="zh-CN"/>
              </w:rPr>
              <w:t>7</w:t>
            </w:r>
            <w:r>
              <w:rPr>
                <w:rFonts w:hint="eastAsia" w:ascii="宋体" w:hAnsi="宋体" w:cs="宋体"/>
                <w:sz w:val="20"/>
              </w:rPr>
              <w:t>分；</w:t>
            </w:r>
          </w:p>
          <w:p w14:paraId="565DE693">
            <w:pPr>
              <w:pStyle w:val="256"/>
              <w:rPr>
                <w:rFonts w:hAnsi="宋体"/>
              </w:rPr>
            </w:pPr>
            <w:r>
              <w:rPr>
                <w:rFonts w:hint="eastAsia" w:ascii="宋体" w:hAnsi="宋体" w:cs="宋体"/>
                <w:sz w:val="20"/>
              </w:rPr>
              <w:t>2）</w:t>
            </w:r>
            <w:r>
              <w:rPr>
                <w:rFonts w:hAnsi="宋体"/>
              </w:rPr>
              <w:t>对本项目的</w:t>
            </w:r>
            <w:r>
              <w:rPr>
                <w:rFonts w:hint="eastAsia" w:hAnsi="宋体"/>
              </w:rPr>
              <w:t>重点、难点分析</w:t>
            </w:r>
            <w:r>
              <w:rPr>
                <w:rFonts w:hAnsi="宋体"/>
              </w:rPr>
              <w:t>深入</w:t>
            </w:r>
            <w:r>
              <w:rPr>
                <w:rFonts w:hint="eastAsia" w:hAnsi="宋体"/>
              </w:rPr>
              <w:t>，</w:t>
            </w:r>
            <w:r>
              <w:rPr>
                <w:rFonts w:hAnsi="宋体"/>
              </w:rPr>
              <w:t>但</w:t>
            </w:r>
            <w:r>
              <w:rPr>
                <w:rFonts w:hint="eastAsia" w:hAnsi="宋体"/>
              </w:rPr>
              <w:t>定位</w:t>
            </w:r>
            <w:r>
              <w:rPr>
                <w:rFonts w:hAnsi="宋体"/>
              </w:rPr>
              <w:t>不够准确</w:t>
            </w:r>
            <w:r>
              <w:rPr>
                <w:rFonts w:hint="eastAsia" w:hAnsi="宋体"/>
              </w:rPr>
              <w:t>，得</w:t>
            </w:r>
            <w:r>
              <w:rPr>
                <w:rFonts w:hint="eastAsia" w:hAnsi="宋体"/>
                <w:lang w:val="en-US" w:eastAsia="zh-CN"/>
              </w:rPr>
              <w:t>5</w:t>
            </w:r>
            <w:r>
              <w:rPr>
                <w:rFonts w:hint="eastAsia" w:hAnsi="宋体"/>
              </w:rPr>
              <w:t>分；</w:t>
            </w:r>
          </w:p>
          <w:p w14:paraId="5FFA4E47">
            <w:pPr>
              <w:pStyle w:val="256"/>
              <w:rPr>
                <w:rFonts w:hAnsi="宋体"/>
              </w:rPr>
            </w:pPr>
            <w:r>
              <w:rPr>
                <w:rFonts w:hint="eastAsia" w:hAnsi="宋体"/>
              </w:rPr>
              <w:t>3）对本项目的重点、难点分析肤浅，且定位不够准确，得</w:t>
            </w:r>
            <w:r>
              <w:rPr>
                <w:rFonts w:hint="eastAsia" w:hAnsi="宋体"/>
                <w:lang w:val="en-US" w:eastAsia="zh-CN"/>
              </w:rPr>
              <w:t>3</w:t>
            </w:r>
            <w:r>
              <w:rPr>
                <w:rFonts w:hint="eastAsia" w:hAnsi="宋体"/>
              </w:rPr>
              <w:t>分；</w:t>
            </w:r>
          </w:p>
          <w:p w14:paraId="640C3307">
            <w:pPr>
              <w:pStyle w:val="256"/>
              <w:rPr>
                <w:rFonts w:hAnsi="宋体"/>
              </w:rPr>
            </w:pPr>
            <w:r>
              <w:rPr>
                <w:rFonts w:hint="eastAsia" w:hAnsi="宋体"/>
              </w:rPr>
              <w:t>4）对本项目的重点、难点分析不相关，得</w:t>
            </w:r>
            <w:r>
              <w:rPr>
                <w:rFonts w:hint="eastAsia" w:hAnsi="宋体"/>
                <w:lang w:val="en-US" w:eastAsia="zh-CN"/>
              </w:rPr>
              <w:t>1</w:t>
            </w:r>
            <w:r>
              <w:rPr>
                <w:rFonts w:hint="eastAsia" w:hAnsi="宋体"/>
              </w:rPr>
              <w:t>分；</w:t>
            </w:r>
          </w:p>
          <w:p w14:paraId="0A8D5CDC">
            <w:pPr>
              <w:pStyle w:val="256"/>
              <w:rPr>
                <w:rFonts w:ascii="Times New Roman" w:hAnsi="宋体" w:eastAsia="宋体" w:cs="Times New Roman"/>
                <w:kern w:val="2"/>
                <w:sz w:val="21"/>
                <w:lang w:val="en-US" w:eastAsia="zh-CN" w:bidi="ar-SA"/>
              </w:rPr>
            </w:pPr>
            <w:r>
              <w:rPr>
                <w:rFonts w:hint="eastAsia" w:hAnsi="宋体"/>
              </w:rPr>
              <w:t>5）未进行描述</w:t>
            </w:r>
            <w:r>
              <w:rPr>
                <w:rFonts w:hint="eastAsia" w:ascii="宋体" w:hAnsi="宋体" w:cs="宋体"/>
                <w:sz w:val="20"/>
              </w:rPr>
              <w:t>，得0分。</w:t>
            </w:r>
          </w:p>
        </w:tc>
      </w:tr>
      <w:tr w14:paraId="6183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0" w:type="pct"/>
            <w:vMerge w:val="continue"/>
            <w:tcBorders>
              <w:left w:val="single" w:color="auto" w:sz="4" w:space="0"/>
              <w:right w:val="single" w:color="auto" w:sz="4" w:space="0"/>
            </w:tcBorders>
            <w:noWrap w:val="0"/>
            <w:vAlign w:val="center"/>
          </w:tcPr>
          <w:p w14:paraId="437D4869">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auto"/>
                <w:sz w:val="20"/>
                <w:szCs w:val="20"/>
                <w:lang w:val="en-US" w:eastAsia="zh-CN"/>
              </w:rPr>
            </w:pPr>
          </w:p>
        </w:tc>
        <w:tc>
          <w:tcPr>
            <w:tcW w:w="639" w:type="pct"/>
            <w:tcBorders>
              <w:top w:val="single" w:color="auto" w:sz="4" w:space="0"/>
              <w:left w:val="single" w:color="auto" w:sz="4" w:space="0"/>
              <w:right w:val="single" w:color="auto" w:sz="4" w:space="0"/>
            </w:tcBorders>
            <w:noWrap w:val="0"/>
            <w:vAlign w:val="center"/>
          </w:tcPr>
          <w:p w14:paraId="25BB34E0">
            <w:pPr>
              <w:contextualSpacing/>
              <w:jc w:val="center"/>
              <w:rPr>
                <w:rFonts w:hint="eastAsia" w:ascii="宋体" w:hAnsi="宋体" w:eastAsia="宋体" w:cs="宋体"/>
                <w:bCs/>
                <w:color w:val="FF0000"/>
                <w:kern w:val="2"/>
                <w:sz w:val="20"/>
                <w:szCs w:val="20"/>
                <w:lang w:val="en-US" w:eastAsia="zh-CN" w:bidi="ar-SA"/>
              </w:rPr>
            </w:pPr>
            <w:r>
              <w:rPr>
                <w:rFonts w:hint="eastAsia" w:ascii="宋体" w:hAnsi="宋体" w:cs="宋体"/>
                <w:sz w:val="20"/>
                <w:szCs w:val="20"/>
              </w:rPr>
              <w:t>施工方案</w:t>
            </w:r>
            <w:r>
              <w:rPr>
                <w:rFonts w:hint="eastAsia" w:ascii="宋体" w:hAnsi="宋体" w:cs="宋体"/>
                <w:sz w:val="20"/>
                <w:szCs w:val="20"/>
                <w:lang w:val="en-US" w:eastAsia="zh-CN"/>
              </w:rPr>
              <w:t>及技术措施</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7CD4BCE2">
            <w:pPr>
              <w:contextualSpacing/>
              <w:jc w:val="center"/>
              <w:rPr>
                <w:rFonts w:hint="default" w:ascii="宋体" w:hAnsi="宋体" w:eastAsia="宋体" w:cs="宋体"/>
                <w:color w:val="FF0000"/>
                <w:kern w:val="2"/>
                <w:sz w:val="20"/>
                <w:szCs w:val="20"/>
                <w:lang w:val="en-US" w:eastAsia="zh-CN" w:bidi="ar-SA"/>
              </w:rPr>
            </w:pPr>
            <w:r>
              <w:rPr>
                <w:rFonts w:hint="eastAsia" w:ascii="宋体" w:hAnsi="宋体" w:cs="宋体"/>
                <w:sz w:val="20"/>
                <w:szCs w:val="20"/>
                <w:lang w:val="en-US" w:eastAsia="zh-CN"/>
              </w:rPr>
              <w:t>9</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64019F20">
            <w:pPr>
              <w:pStyle w:val="256"/>
              <w:rPr>
                <w:rFonts w:ascii="宋体" w:hAnsi="宋体" w:cs="宋体"/>
                <w:sz w:val="20"/>
              </w:rPr>
            </w:pPr>
            <w:r>
              <w:rPr>
                <w:rFonts w:hint="eastAsia" w:ascii="宋体" w:hAnsi="宋体" w:cs="宋体"/>
                <w:sz w:val="20"/>
              </w:rPr>
              <w:t>1）方案及措施全面，科学性、专业性、完整性强；方案阐述详细、无遗漏，针对性强，可完全满足项目需求，得</w:t>
            </w:r>
            <w:r>
              <w:rPr>
                <w:rFonts w:hint="eastAsia" w:ascii="宋体" w:hAnsi="宋体" w:cs="宋体"/>
                <w:sz w:val="20"/>
                <w:lang w:val="en-US" w:eastAsia="zh-CN"/>
              </w:rPr>
              <w:t>9</w:t>
            </w:r>
            <w:r>
              <w:rPr>
                <w:rFonts w:hint="eastAsia" w:ascii="宋体" w:hAnsi="宋体" w:cs="宋体"/>
                <w:sz w:val="20"/>
              </w:rPr>
              <w:t>分；</w:t>
            </w:r>
          </w:p>
          <w:p w14:paraId="1C01AB37">
            <w:pPr>
              <w:pStyle w:val="256"/>
              <w:rPr>
                <w:rFonts w:ascii="宋体" w:hAnsi="宋体" w:cs="宋体"/>
                <w:sz w:val="20"/>
              </w:rPr>
            </w:pPr>
            <w:r>
              <w:rPr>
                <w:rFonts w:hint="eastAsia" w:ascii="宋体" w:hAnsi="宋体" w:cs="宋体"/>
                <w:sz w:val="20"/>
              </w:rPr>
              <w:t>2）方案及措施较全面，科学性、专业性、完整性较强；方案阐述完整，针对性较强，可较好的满足项目需求，得</w:t>
            </w:r>
            <w:r>
              <w:rPr>
                <w:rFonts w:hint="eastAsia" w:ascii="宋体" w:hAnsi="宋体" w:cs="宋体"/>
                <w:sz w:val="20"/>
                <w:lang w:val="en-US" w:eastAsia="zh-CN"/>
              </w:rPr>
              <w:t>7</w:t>
            </w:r>
            <w:r>
              <w:rPr>
                <w:rFonts w:hint="eastAsia" w:ascii="宋体" w:hAnsi="宋体" w:cs="宋体"/>
                <w:sz w:val="20"/>
              </w:rPr>
              <w:t>分；</w:t>
            </w:r>
          </w:p>
          <w:p w14:paraId="7FDFE2CE">
            <w:pPr>
              <w:pStyle w:val="256"/>
              <w:rPr>
                <w:rFonts w:ascii="宋体" w:hAnsi="宋体" w:cs="宋体"/>
                <w:sz w:val="20"/>
              </w:rPr>
            </w:pPr>
            <w:r>
              <w:rPr>
                <w:rFonts w:hint="eastAsia" w:ascii="宋体" w:hAnsi="宋体" w:cs="宋体"/>
                <w:sz w:val="20"/>
              </w:rPr>
              <w:t>3）方案及措施较全面，科学性、专业性、完整性一般；方案阐述完整，针对性较弱，基本可满足项目需求，得</w:t>
            </w:r>
            <w:r>
              <w:rPr>
                <w:rFonts w:hint="eastAsia" w:ascii="宋体" w:hAnsi="宋体" w:cs="宋体"/>
                <w:sz w:val="20"/>
                <w:lang w:val="en-US" w:eastAsia="zh-CN"/>
              </w:rPr>
              <w:t>5</w:t>
            </w:r>
            <w:r>
              <w:rPr>
                <w:rFonts w:hint="eastAsia" w:ascii="宋体" w:hAnsi="宋体" w:cs="宋体"/>
                <w:sz w:val="20"/>
              </w:rPr>
              <w:t>分；</w:t>
            </w:r>
          </w:p>
          <w:p w14:paraId="3D7375E5">
            <w:pPr>
              <w:pStyle w:val="256"/>
              <w:rPr>
                <w:rFonts w:ascii="宋体" w:hAnsi="宋体" w:cs="宋体"/>
                <w:sz w:val="20"/>
              </w:rPr>
            </w:pPr>
            <w:r>
              <w:rPr>
                <w:rFonts w:hint="eastAsia" w:ascii="宋体" w:hAnsi="宋体" w:cs="宋体"/>
                <w:sz w:val="20"/>
              </w:rPr>
              <w:t>4）方案及措施基本全面，专业性和科学性较差，方案的描述基本完整，但有遗漏的内容，具有一定的专业性，部分满足项目需求，得</w:t>
            </w:r>
            <w:r>
              <w:rPr>
                <w:rFonts w:hint="eastAsia" w:ascii="宋体" w:hAnsi="宋体" w:cs="宋体"/>
                <w:sz w:val="20"/>
                <w:lang w:val="en-US" w:eastAsia="zh-CN"/>
              </w:rPr>
              <w:t>3</w:t>
            </w:r>
            <w:r>
              <w:rPr>
                <w:rFonts w:hint="eastAsia" w:ascii="宋体" w:hAnsi="宋体" w:cs="宋体"/>
                <w:sz w:val="20"/>
              </w:rPr>
              <w:t>分；</w:t>
            </w:r>
          </w:p>
          <w:p w14:paraId="1B3D4789">
            <w:pPr>
              <w:pStyle w:val="256"/>
              <w:rPr>
                <w:rFonts w:ascii="宋体" w:hAnsi="宋体" w:cs="宋体"/>
                <w:sz w:val="20"/>
              </w:rPr>
            </w:pPr>
            <w:r>
              <w:rPr>
                <w:rFonts w:hint="eastAsia" w:ascii="宋体" w:hAnsi="宋体" w:cs="宋体"/>
                <w:sz w:val="20"/>
              </w:rPr>
              <w:t>5）方案及措施仅为模板式方案，方案描述不完整，缺漏项较多，毫无针对性，不能满足项目需求，得1分；</w:t>
            </w:r>
          </w:p>
          <w:p w14:paraId="79DA0E0B">
            <w:pPr>
              <w:pStyle w:val="256"/>
              <w:rPr>
                <w:rFonts w:hint="eastAsia" w:ascii="宋体" w:hAnsi="宋体" w:eastAsia="宋体" w:cs="宋体"/>
                <w:kern w:val="2"/>
                <w:sz w:val="20"/>
                <w:lang w:val="en-US" w:eastAsia="zh-CN" w:bidi="ar-SA"/>
              </w:rPr>
            </w:pPr>
            <w:r>
              <w:rPr>
                <w:rFonts w:hint="eastAsia" w:ascii="宋体" w:hAnsi="宋体" w:cs="宋体"/>
                <w:sz w:val="20"/>
              </w:rPr>
              <w:t>6）未提供具体方案及措施的，得0分。</w:t>
            </w:r>
          </w:p>
        </w:tc>
      </w:tr>
      <w:tr w14:paraId="5D2C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0" w:type="pct"/>
            <w:vMerge w:val="continue"/>
            <w:tcBorders>
              <w:left w:val="single" w:color="auto" w:sz="4" w:space="0"/>
              <w:right w:val="single" w:color="auto" w:sz="4" w:space="0"/>
            </w:tcBorders>
            <w:noWrap w:val="0"/>
            <w:vAlign w:val="center"/>
          </w:tcPr>
          <w:p w14:paraId="4F4E9FCE">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auto"/>
                <w:sz w:val="20"/>
                <w:szCs w:val="20"/>
                <w:lang w:val="en-US" w:eastAsia="zh-CN"/>
              </w:rPr>
            </w:pPr>
          </w:p>
        </w:tc>
        <w:tc>
          <w:tcPr>
            <w:tcW w:w="639" w:type="pct"/>
            <w:tcBorders>
              <w:top w:val="single" w:color="auto" w:sz="4" w:space="0"/>
              <w:left w:val="single" w:color="auto" w:sz="4" w:space="0"/>
              <w:right w:val="single" w:color="auto" w:sz="4" w:space="0"/>
            </w:tcBorders>
            <w:noWrap w:val="0"/>
            <w:vAlign w:val="center"/>
          </w:tcPr>
          <w:p w14:paraId="7B2C53D1">
            <w:pPr>
              <w:contextualSpacing/>
              <w:jc w:val="center"/>
              <w:rPr>
                <w:rFonts w:hint="eastAsia" w:ascii="宋体" w:hAnsi="宋体" w:cs="宋体"/>
                <w:bCs/>
                <w:color w:val="FF0000"/>
                <w:kern w:val="2"/>
                <w:sz w:val="20"/>
                <w:szCs w:val="20"/>
                <w:lang w:val="en-US" w:eastAsia="zh-CN" w:bidi="ar-SA"/>
              </w:rPr>
            </w:pPr>
            <w:r>
              <w:rPr>
                <w:rFonts w:hint="eastAsia" w:ascii="宋体" w:hAnsi="宋体" w:cs="宋体"/>
                <w:bCs/>
                <w:sz w:val="20"/>
                <w:szCs w:val="20"/>
              </w:rPr>
              <w:t>进度计划及保障措施</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58CDD6E7">
            <w:pPr>
              <w:contextualSpacing/>
              <w:jc w:val="center"/>
              <w:rPr>
                <w:rFonts w:hint="default" w:ascii="宋体" w:hAnsi="宋体" w:eastAsia="宋体" w:cs="宋体"/>
                <w:color w:val="FF0000"/>
                <w:kern w:val="2"/>
                <w:sz w:val="20"/>
                <w:szCs w:val="20"/>
                <w:lang w:val="en-US" w:eastAsia="zh-CN" w:bidi="ar-SA"/>
              </w:rPr>
            </w:pPr>
            <w:r>
              <w:rPr>
                <w:rFonts w:hint="eastAsia" w:ascii="宋体" w:hAnsi="宋体" w:eastAsia="宋体" w:cs="宋体"/>
                <w:sz w:val="20"/>
                <w:szCs w:val="20"/>
                <w:lang w:val="en-US" w:eastAsia="zh-CN"/>
              </w:rPr>
              <w:t>9</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5C5E4AF4">
            <w:pPr>
              <w:pStyle w:val="256"/>
              <w:rPr>
                <w:rFonts w:ascii="宋体" w:hAnsi="宋体" w:cs="宋体"/>
                <w:sz w:val="20"/>
              </w:rPr>
            </w:pPr>
            <w:r>
              <w:rPr>
                <w:rFonts w:hint="eastAsia" w:ascii="宋体" w:hAnsi="宋体" w:cs="宋体"/>
                <w:sz w:val="20"/>
              </w:rPr>
              <w:t>1）进度安排合理、方案可行，完整性强，保障措施到位，针对性强，完全满足本项目需求，得</w:t>
            </w:r>
            <w:r>
              <w:rPr>
                <w:rFonts w:hint="eastAsia" w:ascii="宋体" w:hAnsi="宋体" w:cs="宋体"/>
                <w:sz w:val="20"/>
                <w:lang w:val="en-US" w:eastAsia="zh-CN"/>
              </w:rPr>
              <w:t>9分</w:t>
            </w:r>
            <w:r>
              <w:rPr>
                <w:rFonts w:hint="eastAsia" w:ascii="宋体" w:hAnsi="宋体" w:cs="宋体"/>
                <w:sz w:val="20"/>
              </w:rPr>
              <w:t>；</w:t>
            </w:r>
          </w:p>
          <w:p w14:paraId="3CFBA8B0">
            <w:pPr>
              <w:pStyle w:val="256"/>
              <w:rPr>
                <w:rFonts w:ascii="宋体" w:hAnsi="宋体" w:cs="宋体"/>
                <w:sz w:val="20"/>
              </w:rPr>
            </w:pPr>
            <w:r>
              <w:rPr>
                <w:rFonts w:hint="eastAsia" w:ascii="宋体" w:hAnsi="宋体" w:cs="宋体"/>
                <w:sz w:val="20"/>
              </w:rPr>
              <w:t>2）进度安排较合理、方案较可行，完整性较强，保障措施到位，针对性强，可较好的满足本项目需求，得</w:t>
            </w:r>
            <w:r>
              <w:rPr>
                <w:rFonts w:hint="eastAsia" w:ascii="宋体" w:hAnsi="宋体" w:cs="宋体"/>
                <w:sz w:val="20"/>
                <w:lang w:val="en-US" w:eastAsia="zh-CN"/>
              </w:rPr>
              <w:t>7</w:t>
            </w:r>
            <w:r>
              <w:rPr>
                <w:rFonts w:hint="eastAsia" w:ascii="宋体" w:hAnsi="宋体" w:cs="宋体"/>
                <w:sz w:val="20"/>
              </w:rPr>
              <w:t>分；</w:t>
            </w:r>
          </w:p>
          <w:p w14:paraId="05127C0E">
            <w:pPr>
              <w:pStyle w:val="256"/>
              <w:rPr>
                <w:rFonts w:ascii="宋体" w:hAnsi="宋体" w:cs="宋体"/>
                <w:sz w:val="20"/>
              </w:rPr>
            </w:pPr>
            <w:r>
              <w:rPr>
                <w:rFonts w:hint="eastAsia" w:ascii="宋体" w:hAnsi="宋体" w:cs="宋体"/>
                <w:sz w:val="20"/>
              </w:rPr>
              <w:t>3）进度安排较合理、方案可行性一般，完整性一般，保障措施基本到位，具有一定的针对性，可基本满足本项目需求，得</w:t>
            </w:r>
            <w:r>
              <w:rPr>
                <w:rFonts w:hint="eastAsia" w:ascii="宋体" w:hAnsi="宋体" w:cs="宋体"/>
                <w:sz w:val="20"/>
                <w:lang w:val="en-US" w:eastAsia="zh-CN"/>
              </w:rPr>
              <w:t>5</w:t>
            </w:r>
            <w:r>
              <w:rPr>
                <w:rFonts w:hint="eastAsia" w:ascii="宋体" w:hAnsi="宋体" w:cs="宋体"/>
                <w:sz w:val="20"/>
              </w:rPr>
              <w:t>分；</w:t>
            </w:r>
          </w:p>
          <w:p w14:paraId="49BF72AC">
            <w:pPr>
              <w:pStyle w:val="256"/>
              <w:rPr>
                <w:rFonts w:ascii="宋体" w:hAnsi="宋体" w:cs="宋体"/>
                <w:sz w:val="20"/>
              </w:rPr>
            </w:pPr>
            <w:r>
              <w:rPr>
                <w:rFonts w:hint="eastAsia" w:ascii="宋体" w:hAnsi="宋体" w:cs="宋体"/>
                <w:sz w:val="20"/>
              </w:rPr>
              <w:t>4）进度安排基本合理、方案可行性、完整性较差，保障措施有遗漏，可部分满足本项目需求，得</w:t>
            </w:r>
            <w:r>
              <w:rPr>
                <w:rFonts w:hint="eastAsia" w:ascii="宋体" w:hAnsi="宋体" w:cs="宋体"/>
                <w:sz w:val="20"/>
                <w:lang w:val="en-US" w:eastAsia="zh-CN"/>
              </w:rPr>
              <w:t>3</w:t>
            </w:r>
            <w:r>
              <w:rPr>
                <w:rFonts w:hint="eastAsia" w:ascii="宋体" w:hAnsi="宋体" w:cs="宋体"/>
                <w:sz w:val="20"/>
              </w:rPr>
              <w:t>分；</w:t>
            </w:r>
          </w:p>
          <w:p w14:paraId="312158D6">
            <w:pPr>
              <w:pStyle w:val="256"/>
              <w:rPr>
                <w:rFonts w:ascii="宋体" w:hAnsi="宋体" w:cs="宋体"/>
                <w:sz w:val="20"/>
              </w:rPr>
            </w:pPr>
            <w:r>
              <w:rPr>
                <w:rFonts w:hint="eastAsia" w:ascii="宋体" w:hAnsi="宋体" w:cs="宋体"/>
                <w:sz w:val="20"/>
              </w:rPr>
              <w:t>5）进度安排及保障措施为模板方案，描述不完整，缺漏项较多，针对性不强，不能满足项目需求，得1分；</w:t>
            </w:r>
          </w:p>
          <w:p w14:paraId="6716E4FC">
            <w:pPr>
              <w:pStyle w:val="256"/>
              <w:rPr>
                <w:rFonts w:hint="eastAsia" w:ascii="宋体" w:hAnsi="宋体" w:eastAsia="宋体" w:cs="宋体"/>
                <w:color w:val="FF0000"/>
                <w:kern w:val="2"/>
                <w:sz w:val="20"/>
                <w:szCs w:val="20"/>
                <w:lang w:val="en-US" w:eastAsia="zh-CN" w:bidi="ar-SA"/>
              </w:rPr>
            </w:pPr>
            <w:r>
              <w:rPr>
                <w:rFonts w:hint="eastAsia" w:ascii="宋体" w:hAnsi="宋体" w:cs="宋体"/>
                <w:sz w:val="20"/>
              </w:rPr>
              <w:t>6）未提供进度计划及保障措施，得0分。</w:t>
            </w:r>
          </w:p>
        </w:tc>
      </w:tr>
      <w:tr w14:paraId="5D49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tcBorders>
              <w:left w:val="single" w:color="auto" w:sz="4" w:space="0"/>
              <w:right w:val="single" w:color="auto" w:sz="4" w:space="0"/>
            </w:tcBorders>
            <w:noWrap w:val="0"/>
            <w:vAlign w:val="center"/>
          </w:tcPr>
          <w:p w14:paraId="5A15C52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FF0000"/>
                <w:sz w:val="20"/>
                <w:szCs w:val="20"/>
                <w:lang w:val="en-US" w:eastAsia="zh-CN"/>
              </w:rPr>
            </w:pPr>
          </w:p>
        </w:tc>
        <w:tc>
          <w:tcPr>
            <w:tcW w:w="639" w:type="pct"/>
            <w:tcBorders>
              <w:top w:val="single" w:color="auto" w:sz="4" w:space="0"/>
              <w:left w:val="single" w:color="auto" w:sz="4" w:space="0"/>
              <w:right w:val="single" w:color="auto" w:sz="4" w:space="0"/>
            </w:tcBorders>
            <w:noWrap w:val="0"/>
            <w:vAlign w:val="center"/>
          </w:tcPr>
          <w:p w14:paraId="5B425A3E">
            <w:pPr>
              <w:jc w:val="center"/>
              <w:rPr>
                <w:rFonts w:ascii="宋体" w:hAnsi="宋体" w:cs="宋体"/>
                <w:bCs/>
                <w:sz w:val="20"/>
                <w:szCs w:val="20"/>
              </w:rPr>
            </w:pPr>
            <w:r>
              <w:rPr>
                <w:rFonts w:hint="eastAsia" w:ascii="宋体" w:hAnsi="宋体" w:cs="宋体"/>
                <w:bCs/>
                <w:sz w:val="20"/>
                <w:szCs w:val="20"/>
              </w:rPr>
              <w:t>劳动力计</w:t>
            </w:r>
          </w:p>
          <w:p w14:paraId="56F10092">
            <w:pPr>
              <w:jc w:val="center"/>
              <w:rPr>
                <w:rFonts w:ascii="宋体" w:hAnsi="宋体" w:cs="宋体"/>
                <w:bCs/>
                <w:sz w:val="20"/>
                <w:szCs w:val="20"/>
              </w:rPr>
            </w:pPr>
            <w:r>
              <w:rPr>
                <w:rFonts w:hint="eastAsia" w:ascii="宋体" w:hAnsi="宋体" w:cs="宋体"/>
                <w:bCs/>
                <w:sz w:val="20"/>
                <w:szCs w:val="20"/>
              </w:rPr>
              <w:t>划及主要</w:t>
            </w:r>
          </w:p>
          <w:p w14:paraId="58CBCBA0">
            <w:pPr>
              <w:jc w:val="center"/>
              <w:rPr>
                <w:rFonts w:hint="default" w:ascii="宋体" w:hAnsi="宋体" w:cs="宋体"/>
                <w:bCs/>
                <w:kern w:val="2"/>
                <w:sz w:val="20"/>
                <w:szCs w:val="20"/>
                <w:lang w:val="en-US" w:eastAsia="zh-CN" w:bidi="ar-SA"/>
              </w:rPr>
            </w:pPr>
            <w:r>
              <w:rPr>
                <w:rFonts w:hint="eastAsia" w:ascii="宋体" w:hAnsi="宋体" w:cs="宋体"/>
                <w:bCs/>
                <w:sz w:val="20"/>
                <w:szCs w:val="20"/>
              </w:rPr>
              <w:t>施工机械</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46749384">
            <w:pPr>
              <w:contextualSpacing/>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7</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12448DF2">
            <w:pPr>
              <w:contextualSpacing/>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劳动力计划及主要施工机械配备科学、</w:t>
            </w:r>
            <w:r>
              <w:rPr>
                <w:rFonts w:hint="eastAsia" w:ascii="宋体" w:hAnsi="宋体" w:cs="宋体"/>
                <w:sz w:val="20"/>
                <w:szCs w:val="20"/>
              </w:rPr>
              <w:t>专业齐全、</w:t>
            </w:r>
            <w:r>
              <w:rPr>
                <w:rFonts w:ascii="宋体" w:hAnsi="宋体" w:cs="宋体"/>
                <w:sz w:val="20"/>
                <w:szCs w:val="20"/>
              </w:rPr>
              <w:t>针对性强</w:t>
            </w:r>
            <w:r>
              <w:rPr>
                <w:rFonts w:hint="eastAsia" w:ascii="宋体" w:hAnsi="宋体" w:cs="宋体"/>
                <w:sz w:val="20"/>
                <w:szCs w:val="20"/>
              </w:rPr>
              <w:t>，满足项目需求，</w:t>
            </w:r>
            <w:r>
              <w:rPr>
                <w:rFonts w:ascii="宋体" w:hAnsi="宋体" w:cs="宋体"/>
                <w:sz w:val="20"/>
                <w:szCs w:val="20"/>
              </w:rPr>
              <w:t>得</w:t>
            </w:r>
            <w:r>
              <w:rPr>
                <w:rFonts w:hint="eastAsia" w:ascii="宋体" w:hAnsi="宋体" w:cs="宋体"/>
                <w:sz w:val="20"/>
                <w:szCs w:val="20"/>
                <w:lang w:val="en-US" w:eastAsia="zh-CN"/>
              </w:rPr>
              <w:t>7</w:t>
            </w:r>
            <w:r>
              <w:rPr>
                <w:rFonts w:ascii="宋体" w:hAnsi="宋体" w:cs="宋体"/>
                <w:sz w:val="20"/>
                <w:szCs w:val="20"/>
              </w:rPr>
              <w:t>分；</w:t>
            </w:r>
          </w:p>
          <w:p w14:paraId="6EEC8C5A">
            <w:pPr>
              <w:contextualSpacing/>
              <w:jc w:val="left"/>
              <w:rPr>
                <w:rFonts w:ascii="宋体" w:hAnsi="宋体" w:cs="宋体"/>
                <w:sz w:val="20"/>
                <w:szCs w:val="20"/>
              </w:rPr>
            </w:pPr>
            <w:r>
              <w:rPr>
                <w:rFonts w:hint="eastAsia" w:ascii="宋体" w:hAnsi="宋体" w:cs="宋体"/>
                <w:sz w:val="20"/>
                <w:szCs w:val="20"/>
              </w:rPr>
              <w:t>2）</w:t>
            </w:r>
            <w:r>
              <w:rPr>
                <w:rFonts w:ascii="宋体" w:hAnsi="宋体" w:cs="宋体"/>
                <w:sz w:val="20"/>
                <w:szCs w:val="20"/>
              </w:rPr>
              <w:t>劳动力计划及主要施工机械配备较科学、</w:t>
            </w:r>
            <w:r>
              <w:rPr>
                <w:rFonts w:hint="eastAsia" w:ascii="宋体" w:hAnsi="宋体" w:cs="宋体"/>
                <w:sz w:val="20"/>
                <w:szCs w:val="20"/>
              </w:rPr>
              <w:t>专业较齐全、</w:t>
            </w:r>
            <w:r>
              <w:rPr>
                <w:rFonts w:ascii="宋体" w:hAnsi="宋体" w:cs="宋体"/>
                <w:sz w:val="20"/>
                <w:szCs w:val="20"/>
              </w:rPr>
              <w:t>针对性较强</w:t>
            </w:r>
            <w:r>
              <w:rPr>
                <w:rFonts w:hint="eastAsia" w:ascii="宋体" w:hAnsi="宋体" w:cs="宋体"/>
                <w:sz w:val="20"/>
                <w:szCs w:val="20"/>
              </w:rPr>
              <w:t>，可较好的满足项目需要，</w:t>
            </w:r>
            <w:r>
              <w:rPr>
                <w:rFonts w:ascii="宋体" w:hAnsi="宋体" w:cs="宋体"/>
                <w:sz w:val="20"/>
                <w:szCs w:val="20"/>
              </w:rPr>
              <w:t>得</w:t>
            </w:r>
            <w:r>
              <w:rPr>
                <w:rFonts w:hint="eastAsia" w:ascii="宋体" w:hAnsi="宋体" w:cs="宋体"/>
                <w:sz w:val="20"/>
                <w:szCs w:val="20"/>
                <w:lang w:val="en-US" w:eastAsia="zh-CN"/>
              </w:rPr>
              <w:t>5</w:t>
            </w:r>
            <w:r>
              <w:rPr>
                <w:rFonts w:ascii="宋体" w:hAnsi="宋体" w:cs="宋体"/>
                <w:sz w:val="20"/>
                <w:szCs w:val="20"/>
              </w:rPr>
              <w:t>分；</w:t>
            </w:r>
          </w:p>
          <w:p w14:paraId="643DF4B6">
            <w:pPr>
              <w:contextualSpacing/>
              <w:jc w:val="left"/>
              <w:rPr>
                <w:rFonts w:ascii="宋体" w:hAnsi="宋体" w:cs="宋体"/>
                <w:sz w:val="20"/>
                <w:szCs w:val="20"/>
              </w:rPr>
            </w:pPr>
            <w:r>
              <w:rPr>
                <w:rFonts w:hint="eastAsia" w:ascii="宋体" w:hAnsi="宋体" w:cs="宋体"/>
                <w:sz w:val="20"/>
                <w:szCs w:val="20"/>
              </w:rPr>
              <w:t>3）</w:t>
            </w:r>
            <w:r>
              <w:rPr>
                <w:rFonts w:ascii="宋体" w:hAnsi="宋体" w:cs="宋体"/>
                <w:sz w:val="20"/>
                <w:szCs w:val="20"/>
              </w:rPr>
              <w:t>劳动力计划及主要施工机械配备</w:t>
            </w:r>
            <w:r>
              <w:rPr>
                <w:rFonts w:hint="eastAsia" w:ascii="宋体" w:hAnsi="宋体" w:cs="宋体"/>
                <w:sz w:val="20"/>
                <w:szCs w:val="20"/>
              </w:rPr>
              <w:t>基本科学、专业基本齐全、针对性一般、合理性一般，基本满足项目需要，得</w:t>
            </w:r>
            <w:r>
              <w:rPr>
                <w:rFonts w:hint="eastAsia" w:ascii="宋体" w:hAnsi="宋体" w:cs="宋体"/>
                <w:sz w:val="20"/>
                <w:szCs w:val="20"/>
                <w:lang w:val="en-US" w:eastAsia="zh-CN"/>
              </w:rPr>
              <w:t>3</w:t>
            </w:r>
            <w:r>
              <w:rPr>
                <w:rFonts w:hint="eastAsia" w:ascii="宋体" w:hAnsi="宋体" w:cs="宋体"/>
                <w:sz w:val="20"/>
                <w:szCs w:val="20"/>
              </w:rPr>
              <w:t>分；</w:t>
            </w:r>
          </w:p>
          <w:p w14:paraId="0FBE6760">
            <w:pPr>
              <w:contextualSpacing/>
              <w:jc w:val="left"/>
              <w:rPr>
                <w:rFonts w:ascii="宋体" w:hAnsi="宋体" w:cs="宋体"/>
                <w:sz w:val="20"/>
                <w:szCs w:val="20"/>
              </w:rPr>
            </w:pPr>
            <w:r>
              <w:rPr>
                <w:rFonts w:hint="eastAsia" w:ascii="宋体" w:hAnsi="宋体" w:cs="宋体"/>
                <w:sz w:val="20"/>
                <w:szCs w:val="20"/>
              </w:rPr>
              <w:t>4）</w:t>
            </w:r>
            <w:r>
              <w:rPr>
                <w:rFonts w:ascii="宋体" w:hAnsi="宋体" w:cs="宋体"/>
                <w:sz w:val="20"/>
                <w:szCs w:val="20"/>
              </w:rPr>
              <w:t>劳动力计划及主要施工机械配备不科学、不合理</w:t>
            </w:r>
            <w:r>
              <w:rPr>
                <w:rFonts w:hint="eastAsia" w:ascii="宋体" w:hAnsi="宋体" w:cs="宋体"/>
                <w:sz w:val="20"/>
                <w:szCs w:val="20"/>
              </w:rPr>
              <w:t>，不能满足项目需要，</w:t>
            </w:r>
            <w:r>
              <w:rPr>
                <w:rFonts w:ascii="宋体" w:hAnsi="宋体" w:cs="宋体"/>
                <w:sz w:val="20"/>
                <w:szCs w:val="20"/>
              </w:rPr>
              <w:t>得</w:t>
            </w:r>
            <w:r>
              <w:rPr>
                <w:rFonts w:hint="eastAsia" w:ascii="宋体" w:hAnsi="宋体" w:cs="宋体"/>
                <w:sz w:val="20"/>
                <w:szCs w:val="20"/>
              </w:rPr>
              <w:t>1</w:t>
            </w:r>
            <w:r>
              <w:rPr>
                <w:rFonts w:ascii="宋体" w:hAnsi="宋体" w:cs="宋体"/>
                <w:sz w:val="20"/>
                <w:szCs w:val="20"/>
              </w:rPr>
              <w:t>分；</w:t>
            </w:r>
          </w:p>
          <w:p w14:paraId="383604DE">
            <w:pPr>
              <w:contextualSpacing/>
              <w:jc w:val="left"/>
              <w:rPr>
                <w:rFonts w:hint="eastAsia" w:ascii="宋体" w:hAnsi="宋体" w:cs="宋体"/>
                <w:kern w:val="2"/>
                <w:sz w:val="20"/>
                <w:szCs w:val="20"/>
                <w:lang w:val="en-US" w:eastAsia="zh-CN" w:bidi="ar-SA"/>
              </w:rPr>
            </w:pPr>
            <w:r>
              <w:rPr>
                <w:rFonts w:hint="eastAsia" w:ascii="宋体" w:hAnsi="宋体" w:cs="宋体"/>
                <w:sz w:val="20"/>
                <w:szCs w:val="20"/>
              </w:rPr>
              <w:t>5）</w:t>
            </w:r>
            <w:r>
              <w:rPr>
                <w:rFonts w:ascii="宋体" w:hAnsi="宋体" w:cs="宋体"/>
                <w:sz w:val="20"/>
                <w:szCs w:val="20"/>
              </w:rPr>
              <w:t>未提供劳动力计划及主要施工机械</w:t>
            </w:r>
            <w:r>
              <w:rPr>
                <w:rFonts w:hint="eastAsia" w:ascii="宋体" w:hAnsi="宋体" w:cs="宋体"/>
                <w:sz w:val="20"/>
                <w:szCs w:val="20"/>
              </w:rPr>
              <w:t>，</w:t>
            </w:r>
            <w:r>
              <w:rPr>
                <w:rFonts w:ascii="宋体" w:hAnsi="宋体" w:cs="宋体"/>
                <w:sz w:val="20"/>
                <w:szCs w:val="20"/>
              </w:rPr>
              <w:t>得</w:t>
            </w:r>
            <w:r>
              <w:rPr>
                <w:rFonts w:hint="eastAsia" w:ascii="宋体" w:hAnsi="宋体" w:cs="宋体"/>
                <w:sz w:val="20"/>
                <w:szCs w:val="20"/>
              </w:rPr>
              <w:t>0分。</w:t>
            </w:r>
          </w:p>
        </w:tc>
      </w:tr>
      <w:tr w14:paraId="36CD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tcBorders>
              <w:left w:val="single" w:color="auto" w:sz="4" w:space="0"/>
              <w:right w:val="single" w:color="auto" w:sz="4" w:space="0"/>
            </w:tcBorders>
            <w:noWrap w:val="0"/>
            <w:vAlign w:val="center"/>
          </w:tcPr>
          <w:p w14:paraId="3C36087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FF0000"/>
                <w:sz w:val="20"/>
                <w:szCs w:val="20"/>
                <w:lang w:val="en-US" w:eastAsia="zh-CN"/>
              </w:rPr>
            </w:pPr>
          </w:p>
        </w:tc>
        <w:tc>
          <w:tcPr>
            <w:tcW w:w="639" w:type="pct"/>
            <w:tcBorders>
              <w:top w:val="single" w:color="auto" w:sz="4" w:space="0"/>
              <w:left w:val="single" w:color="auto" w:sz="4" w:space="0"/>
              <w:right w:val="single" w:color="auto" w:sz="4" w:space="0"/>
            </w:tcBorders>
            <w:noWrap w:val="0"/>
            <w:vAlign w:val="center"/>
          </w:tcPr>
          <w:p w14:paraId="48C28BA8">
            <w:pPr>
              <w:jc w:val="center"/>
              <w:rPr>
                <w:rFonts w:ascii="宋体" w:hAnsi="宋体" w:cs="宋体"/>
                <w:bCs/>
                <w:sz w:val="20"/>
                <w:szCs w:val="20"/>
              </w:rPr>
            </w:pPr>
            <w:r>
              <w:rPr>
                <w:rFonts w:hint="eastAsia" w:ascii="宋体" w:hAnsi="宋体" w:cs="宋体"/>
                <w:bCs/>
                <w:sz w:val="20"/>
                <w:szCs w:val="20"/>
              </w:rPr>
              <w:t>质量保证</w:t>
            </w:r>
          </w:p>
          <w:p w14:paraId="0842AA5A">
            <w:pPr>
              <w:jc w:val="center"/>
              <w:rPr>
                <w:rFonts w:ascii="宋体" w:hAnsi="宋体" w:cs="宋体"/>
                <w:bCs/>
                <w:sz w:val="20"/>
                <w:szCs w:val="20"/>
              </w:rPr>
            </w:pPr>
            <w:r>
              <w:rPr>
                <w:rFonts w:hint="eastAsia" w:ascii="宋体" w:hAnsi="宋体" w:cs="宋体"/>
                <w:bCs/>
                <w:sz w:val="20"/>
                <w:szCs w:val="20"/>
              </w:rPr>
              <w:t>体系及措</w:t>
            </w:r>
          </w:p>
          <w:p w14:paraId="541245B0">
            <w:pPr>
              <w:jc w:val="center"/>
              <w:rPr>
                <w:rFonts w:hint="eastAsia" w:ascii="宋体" w:hAnsi="宋体" w:eastAsia="宋体" w:cs="宋体"/>
                <w:bCs/>
                <w:color w:val="auto"/>
                <w:sz w:val="20"/>
                <w:szCs w:val="20"/>
                <w:lang w:val="en-US" w:eastAsia="zh-CN"/>
              </w:rPr>
            </w:pPr>
            <w:r>
              <w:rPr>
                <w:rFonts w:hint="eastAsia" w:ascii="宋体" w:hAnsi="宋体" w:cs="宋体"/>
                <w:bCs/>
                <w:sz w:val="20"/>
                <w:szCs w:val="20"/>
              </w:rPr>
              <w:t>施</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0DA002B2">
            <w:pPr>
              <w:contextualSpacing/>
              <w:jc w:val="center"/>
              <w:rPr>
                <w:rFonts w:hint="eastAsia" w:ascii="宋体" w:hAnsi="宋体" w:eastAsia="宋体" w:cs="宋体"/>
                <w:color w:val="auto"/>
                <w:sz w:val="20"/>
                <w:szCs w:val="20"/>
                <w:lang w:val="en-US" w:eastAsia="zh-CN"/>
              </w:rPr>
            </w:pPr>
            <w:r>
              <w:rPr>
                <w:rFonts w:hint="eastAsia" w:ascii="宋体" w:hAnsi="宋体" w:cs="宋体"/>
                <w:sz w:val="20"/>
                <w:szCs w:val="20"/>
                <w:lang w:val="en-US" w:eastAsia="zh-CN"/>
              </w:rPr>
              <w:t>7</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122611CB">
            <w:pPr>
              <w:pStyle w:val="256"/>
              <w:rPr>
                <w:rFonts w:ascii="宋体" w:hAnsi="宋体" w:cs="宋体"/>
                <w:sz w:val="20"/>
              </w:rPr>
            </w:pPr>
            <w:r>
              <w:rPr>
                <w:rFonts w:hint="eastAsia" w:ascii="宋体" w:hAnsi="宋体" w:cs="宋体"/>
                <w:sz w:val="20"/>
              </w:rPr>
              <w:t>1）质量保证体系及措施内容全面、方案科学、针对性强、合理性强，完全满足项目需要，得</w:t>
            </w:r>
            <w:r>
              <w:rPr>
                <w:rFonts w:hint="eastAsia" w:ascii="宋体" w:hAnsi="宋体" w:cs="宋体"/>
                <w:sz w:val="20"/>
                <w:lang w:val="en-US" w:eastAsia="zh-CN"/>
              </w:rPr>
              <w:t>7</w:t>
            </w:r>
            <w:r>
              <w:rPr>
                <w:rFonts w:hint="eastAsia" w:ascii="宋体" w:hAnsi="宋体" w:cs="宋体"/>
                <w:sz w:val="20"/>
              </w:rPr>
              <w:t>分；</w:t>
            </w:r>
          </w:p>
          <w:p w14:paraId="40559FAB">
            <w:pPr>
              <w:pStyle w:val="256"/>
              <w:rPr>
                <w:rFonts w:ascii="宋体" w:hAnsi="宋体" w:cs="宋体"/>
                <w:sz w:val="20"/>
              </w:rPr>
            </w:pPr>
            <w:r>
              <w:rPr>
                <w:rFonts w:hint="eastAsia" w:ascii="宋体" w:hAnsi="宋体" w:cs="宋体"/>
                <w:sz w:val="20"/>
              </w:rPr>
              <w:t>2）质量保证体系及措施内容较全面、方案较科学、针对性较强、合理性较强，可较好的满足项目需要，得</w:t>
            </w:r>
            <w:r>
              <w:rPr>
                <w:rFonts w:hint="eastAsia" w:ascii="宋体" w:hAnsi="宋体" w:cs="宋体"/>
                <w:sz w:val="20"/>
                <w:lang w:val="en-US" w:eastAsia="zh-CN"/>
              </w:rPr>
              <w:t>5</w:t>
            </w:r>
            <w:r>
              <w:rPr>
                <w:rFonts w:hint="eastAsia" w:ascii="宋体" w:hAnsi="宋体" w:cs="宋体"/>
                <w:sz w:val="20"/>
              </w:rPr>
              <w:t>分；</w:t>
            </w:r>
          </w:p>
          <w:p w14:paraId="331EA119">
            <w:pPr>
              <w:pStyle w:val="256"/>
              <w:rPr>
                <w:rFonts w:ascii="宋体" w:hAnsi="宋体" w:cs="宋体"/>
                <w:sz w:val="20"/>
              </w:rPr>
            </w:pPr>
            <w:r>
              <w:rPr>
                <w:rFonts w:hint="eastAsia" w:ascii="宋体" w:hAnsi="宋体" w:cs="宋体"/>
                <w:sz w:val="20"/>
              </w:rPr>
              <w:t>3）质量保证体系及措施内容基本全面、方案基本科学、针对性一般、合理性一般，基本满足项目需要，得</w:t>
            </w:r>
            <w:r>
              <w:rPr>
                <w:rFonts w:hint="eastAsia" w:ascii="宋体" w:hAnsi="宋体" w:cs="宋体"/>
                <w:sz w:val="20"/>
                <w:lang w:val="en-US" w:eastAsia="zh-CN"/>
              </w:rPr>
              <w:t>3</w:t>
            </w:r>
            <w:r>
              <w:rPr>
                <w:rFonts w:hint="eastAsia" w:ascii="宋体" w:hAnsi="宋体" w:cs="宋体"/>
                <w:sz w:val="20"/>
              </w:rPr>
              <w:t>分；</w:t>
            </w:r>
          </w:p>
          <w:p w14:paraId="244545C0">
            <w:pPr>
              <w:pStyle w:val="256"/>
              <w:rPr>
                <w:rFonts w:ascii="宋体" w:hAnsi="宋体" w:cs="宋体"/>
                <w:sz w:val="20"/>
              </w:rPr>
            </w:pPr>
            <w:r>
              <w:rPr>
                <w:rFonts w:hint="eastAsia" w:ascii="宋体" w:hAnsi="宋体" w:cs="宋体"/>
                <w:sz w:val="20"/>
              </w:rPr>
              <w:t>4）质量保证体系及措施内容不全面、科学不合理、无针对性、无合理性，不能满足项目需要，得1分；</w:t>
            </w:r>
          </w:p>
          <w:p w14:paraId="4CBE6C4E">
            <w:pPr>
              <w:pStyle w:val="256"/>
              <w:rPr>
                <w:rFonts w:hint="eastAsia" w:ascii="宋体" w:hAnsi="宋体" w:cs="宋体"/>
                <w:color w:val="auto"/>
                <w:sz w:val="20"/>
                <w:szCs w:val="20"/>
                <w:lang w:val="en-US" w:eastAsia="zh-CN"/>
              </w:rPr>
            </w:pPr>
            <w:r>
              <w:rPr>
                <w:rFonts w:hint="eastAsia" w:ascii="宋体" w:hAnsi="宋体" w:cs="宋体"/>
                <w:sz w:val="20"/>
              </w:rPr>
              <w:t>5）未提供质量保证体系及措施，得0分。</w:t>
            </w:r>
          </w:p>
        </w:tc>
      </w:tr>
      <w:tr w14:paraId="2E25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40" w:type="pct"/>
            <w:vMerge w:val="continue"/>
            <w:tcBorders>
              <w:left w:val="single" w:color="auto" w:sz="4" w:space="0"/>
              <w:right w:val="single" w:color="auto" w:sz="4" w:space="0"/>
            </w:tcBorders>
            <w:noWrap w:val="0"/>
            <w:vAlign w:val="center"/>
          </w:tcPr>
          <w:p w14:paraId="09340E4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FF0000"/>
                <w:sz w:val="20"/>
                <w:szCs w:val="20"/>
              </w:rPr>
            </w:pPr>
          </w:p>
        </w:tc>
        <w:tc>
          <w:tcPr>
            <w:tcW w:w="639" w:type="pct"/>
            <w:tcBorders>
              <w:top w:val="single" w:color="auto" w:sz="4" w:space="0"/>
              <w:left w:val="single" w:color="auto" w:sz="4" w:space="0"/>
              <w:right w:val="single" w:color="auto" w:sz="4" w:space="0"/>
            </w:tcBorders>
            <w:noWrap w:val="0"/>
            <w:vAlign w:val="center"/>
          </w:tcPr>
          <w:p w14:paraId="6F7C46AC">
            <w:pPr>
              <w:jc w:val="center"/>
              <w:rPr>
                <w:rFonts w:hint="eastAsia" w:ascii="宋体" w:hAnsi="宋体" w:eastAsia="宋体" w:cs="宋体"/>
                <w:bCs/>
                <w:color w:val="auto"/>
                <w:sz w:val="20"/>
                <w:szCs w:val="20"/>
                <w:lang w:val="en-US" w:eastAsia="zh-CN"/>
              </w:rPr>
            </w:pPr>
            <w:r>
              <w:rPr>
                <w:rFonts w:hint="eastAsia" w:ascii="宋体" w:hAnsi="宋体" w:cs="宋体"/>
                <w:bCs/>
                <w:sz w:val="20"/>
                <w:szCs w:val="20"/>
              </w:rPr>
              <w:t>安全生产、文明施工措施</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6661EB95">
            <w:pPr>
              <w:contextualSpacing/>
              <w:jc w:val="center"/>
              <w:rPr>
                <w:rFonts w:hint="eastAsia" w:ascii="宋体" w:hAnsi="宋体" w:eastAsia="宋体" w:cs="宋体"/>
                <w:color w:val="auto"/>
                <w:sz w:val="20"/>
                <w:szCs w:val="20"/>
                <w:lang w:val="en-US" w:eastAsia="zh-CN"/>
              </w:rPr>
            </w:pPr>
            <w:r>
              <w:rPr>
                <w:rFonts w:hint="eastAsia" w:ascii="宋体" w:hAnsi="宋体" w:eastAsia="宋体" w:cs="宋体"/>
                <w:sz w:val="20"/>
                <w:szCs w:val="20"/>
                <w:lang w:val="en-US" w:eastAsia="zh-CN"/>
              </w:rPr>
              <w:t>7</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68E69CE2">
            <w:pPr>
              <w:contextualSpacing/>
              <w:jc w:val="left"/>
              <w:rPr>
                <w:rFonts w:ascii="宋体" w:hAnsi="宋体" w:cs="宋体"/>
                <w:sz w:val="20"/>
                <w:szCs w:val="20"/>
              </w:rPr>
            </w:pPr>
            <w:r>
              <w:rPr>
                <w:rFonts w:hint="eastAsia" w:ascii="宋体" w:hAnsi="宋体" w:cs="宋体"/>
                <w:sz w:val="20"/>
                <w:szCs w:val="20"/>
              </w:rPr>
              <w:t>1）安全生产、文明施工措施内容全面、方案科学、针对性强、合理性强，完全满足项目需要，得</w:t>
            </w:r>
            <w:r>
              <w:rPr>
                <w:rFonts w:hint="eastAsia" w:ascii="宋体" w:hAnsi="宋体" w:cs="宋体"/>
                <w:sz w:val="20"/>
                <w:szCs w:val="20"/>
                <w:lang w:val="en-US" w:eastAsia="zh-CN"/>
              </w:rPr>
              <w:t>7</w:t>
            </w:r>
            <w:r>
              <w:rPr>
                <w:rFonts w:hint="eastAsia" w:ascii="宋体" w:hAnsi="宋体" w:cs="宋体"/>
                <w:sz w:val="20"/>
                <w:szCs w:val="20"/>
              </w:rPr>
              <w:t>分；</w:t>
            </w:r>
          </w:p>
          <w:p w14:paraId="55F63ECF">
            <w:pPr>
              <w:contextualSpacing/>
              <w:jc w:val="left"/>
              <w:rPr>
                <w:rFonts w:ascii="宋体" w:hAnsi="宋体" w:cs="宋体"/>
                <w:sz w:val="20"/>
                <w:szCs w:val="20"/>
              </w:rPr>
            </w:pPr>
            <w:r>
              <w:rPr>
                <w:rFonts w:hint="eastAsia" w:ascii="宋体" w:hAnsi="宋体" w:cs="宋体"/>
                <w:sz w:val="20"/>
                <w:szCs w:val="20"/>
              </w:rPr>
              <w:t>2）安全生产、文明施工措施内容较全面、方案较科学、针对性较强、合理性较强，可较好的满足项目需要，得</w:t>
            </w:r>
            <w:r>
              <w:rPr>
                <w:rFonts w:hint="eastAsia" w:ascii="宋体" w:hAnsi="宋体" w:cs="宋体"/>
                <w:sz w:val="20"/>
                <w:szCs w:val="20"/>
                <w:lang w:val="en-US" w:eastAsia="zh-CN"/>
              </w:rPr>
              <w:t>5</w:t>
            </w:r>
            <w:r>
              <w:rPr>
                <w:rFonts w:hint="eastAsia" w:ascii="宋体" w:hAnsi="宋体" w:cs="宋体"/>
                <w:sz w:val="20"/>
                <w:szCs w:val="20"/>
              </w:rPr>
              <w:t>分；</w:t>
            </w:r>
          </w:p>
          <w:p w14:paraId="551A995F">
            <w:pPr>
              <w:contextualSpacing/>
              <w:jc w:val="left"/>
              <w:rPr>
                <w:rFonts w:ascii="宋体" w:hAnsi="宋体" w:cs="宋体"/>
                <w:sz w:val="20"/>
                <w:szCs w:val="20"/>
              </w:rPr>
            </w:pPr>
            <w:r>
              <w:rPr>
                <w:rFonts w:hint="eastAsia" w:ascii="宋体" w:hAnsi="宋体" w:cs="宋体"/>
                <w:sz w:val="20"/>
                <w:szCs w:val="20"/>
              </w:rPr>
              <w:t>3）安全生产、文明施工措施内容基本全面、方案基本科学、针对性一般、合理性一般，基本满足项目需要，得</w:t>
            </w:r>
            <w:r>
              <w:rPr>
                <w:rFonts w:hint="eastAsia" w:ascii="宋体" w:hAnsi="宋体" w:cs="宋体"/>
                <w:sz w:val="20"/>
                <w:szCs w:val="20"/>
                <w:lang w:val="en-US" w:eastAsia="zh-CN"/>
              </w:rPr>
              <w:t>3</w:t>
            </w:r>
            <w:r>
              <w:rPr>
                <w:rFonts w:hint="eastAsia" w:ascii="宋体" w:hAnsi="宋体" w:cs="宋体"/>
                <w:sz w:val="20"/>
                <w:szCs w:val="20"/>
              </w:rPr>
              <w:t>分；</w:t>
            </w:r>
          </w:p>
          <w:p w14:paraId="6B725569">
            <w:pPr>
              <w:contextualSpacing/>
              <w:jc w:val="left"/>
              <w:rPr>
                <w:rFonts w:ascii="宋体" w:hAnsi="宋体" w:cs="宋体"/>
                <w:sz w:val="20"/>
                <w:szCs w:val="20"/>
              </w:rPr>
            </w:pPr>
            <w:r>
              <w:rPr>
                <w:rFonts w:hint="eastAsia" w:ascii="宋体" w:hAnsi="宋体" w:cs="宋体"/>
                <w:sz w:val="20"/>
                <w:szCs w:val="20"/>
              </w:rPr>
              <w:t>4）安全生产、文明施工措施内容不全面、科学不合理、无针对性、无合理性，不能满足项目需要，得1分；</w:t>
            </w:r>
          </w:p>
          <w:p w14:paraId="31751407">
            <w:pPr>
              <w:contextualSpacing/>
              <w:jc w:val="left"/>
              <w:rPr>
                <w:rFonts w:hint="default" w:ascii="宋体" w:hAnsi="宋体" w:eastAsia="宋体" w:cs="宋体"/>
                <w:color w:val="auto"/>
                <w:sz w:val="20"/>
                <w:szCs w:val="20"/>
                <w:lang w:val="en-US" w:eastAsia="zh-CN"/>
              </w:rPr>
            </w:pPr>
            <w:r>
              <w:rPr>
                <w:rFonts w:hint="eastAsia" w:ascii="宋体" w:hAnsi="宋体" w:cs="宋体"/>
                <w:sz w:val="20"/>
                <w:szCs w:val="20"/>
              </w:rPr>
              <w:t>5）未提供安全生产、文明施工措施，得0分。</w:t>
            </w:r>
          </w:p>
        </w:tc>
      </w:tr>
      <w:tr w14:paraId="056B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0" w:type="pct"/>
            <w:vMerge w:val="continue"/>
            <w:tcBorders>
              <w:left w:val="single" w:color="auto" w:sz="4" w:space="0"/>
              <w:right w:val="single" w:color="auto" w:sz="4" w:space="0"/>
            </w:tcBorders>
            <w:noWrap w:val="0"/>
            <w:vAlign w:val="center"/>
          </w:tcPr>
          <w:p w14:paraId="3F271651">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宋体" w:hAnsi="宋体" w:cs="宋体"/>
                <w:b/>
                <w:bCs/>
                <w:color w:val="FF0000"/>
                <w:sz w:val="20"/>
                <w:szCs w:val="20"/>
              </w:rPr>
            </w:pPr>
          </w:p>
        </w:tc>
        <w:tc>
          <w:tcPr>
            <w:tcW w:w="639" w:type="pct"/>
            <w:tcBorders>
              <w:top w:val="single" w:color="auto" w:sz="4" w:space="0"/>
              <w:left w:val="single" w:color="auto" w:sz="4" w:space="0"/>
              <w:right w:val="single" w:color="auto" w:sz="4" w:space="0"/>
            </w:tcBorders>
            <w:noWrap w:val="0"/>
            <w:vAlign w:val="center"/>
          </w:tcPr>
          <w:p w14:paraId="6E0C2416">
            <w:pPr>
              <w:jc w:val="center"/>
              <w:rPr>
                <w:rFonts w:hint="eastAsia" w:ascii="宋体" w:hAnsi="宋体" w:eastAsia="宋体" w:cs="宋体"/>
                <w:color w:val="auto"/>
                <w:kern w:val="2"/>
                <w:sz w:val="20"/>
                <w:szCs w:val="20"/>
                <w:lang w:val="en-US" w:eastAsia="zh-CN" w:bidi="ar-SA"/>
              </w:rPr>
            </w:pPr>
            <w:r>
              <w:rPr>
                <w:rFonts w:hint="eastAsia" w:ascii="宋体" w:hAnsi="宋体" w:cs="宋体"/>
                <w:sz w:val="20"/>
                <w:szCs w:val="20"/>
              </w:rPr>
              <w:t>特殊气候条件下的施工方案</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7AABB0C8">
            <w:pPr>
              <w:contextualSpacing/>
              <w:jc w:val="center"/>
              <w:rPr>
                <w:rFonts w:hint="eastAsia" w:ascii="宋体" w:hAnsi="宋体" w:eastAsia="宋体" w:cs="宋体"/>
                <w:color w:val="auto"/>
                <w:kern w:val="2"/>
                <w:sz w:val="20"/>
                <w:szCs w:val="20"/>
                <w:lang w:val="en-US" w:eastAsia="zh-CN" w:bidi="ar-SA"/>
              </w:rPr>
            </w:pPr>
            <w:r>
              <w:rPr>
                <w:rFonts w:hint="eastAsia" w:ascii="宋体" w:hAnsi="宋体" w:eastAsia="宋体" w:cs="宋体"/>
                <w:sz w:val="20"/>
                <w:szCs w:val="20"/>
                <w:lang w:val="en-US" w:eastAsia="zh-CN"/>
              </w:rPr>
              <w:t>7</w:t>
            </w:r>
          </w:p>
        </w:tc>
        <w:tc>
          <w:tcPr>
            <w:tcW w:w="3383" w:type="pct"/>
            <w:tcBorders>
              <w:top w:val="single" w:color="auto" w:sz="4" w:space="0"/>
              <w:left w:val="single" w:color="auto" w:sz="4" w:space="0"/>
              <w:bottom w:val="single" w:color="auto" w:sz="4" w:space="0"/>
              <w:right w:val="single" w:color="auto" w:sz="4" w:space="0"/>
            </w:tcBorders>
            <w:noWrap w:val="0"/>
            <w:vAlign w:val="center"/>
          </w:tcPr>
          <w:p w14:paraId="7C1BFBAA">
            <w:pPr>
              <w:pStyle w:val="256"/>
              <w:rPr>
                <w:rFonts w:ascii="宋体" w:hAnsi="宋体" w:cs="宋体"/>
                <w:sz w:val="20"/>
              </w:rPr>
            </w:pPr>
            <w:r>
              <w:rPr>
                <w:rFonts w:hint="eastAsia" w:ascii="宋体" w:hAnsi="宋体" w:cs="宋体"/>
                <w:sz w:val="20"/>
              </w:rPr>
              <w:t>1）方案及措施全面，科学性、专业性、完整性强；方案阐述详细、无遗漏，针对性强，可完全满足项目需求，得</w:t>
            </w:r>
            <w:r>
              <w:rPr>
                <w:rFonts w:hint="eastAsia" w:ascii="宋体" w:hAnsi="宋体" w:cs="宋体"/>
                <w:sz w:val="20"/>
                <w:lang w:val="en-US" w:eastAsia="zh-CN"/>
              </w:rPr>
              <w:t>7</w:t>
            </w:r>
            <w:r>
              <w:rPr>
                <w:rFonts w:hint="eastAsia" w:ascii="宋体" w:hAnsi="宋体" w:cs="宋体"/>
                <w:sz w:val="20"/>
              </w:rPr>
              <w:t>分；</w:t>
            </w:r>
          </w:p>
          <w:p w14:paraId="39657DD7">
            <w:pPr>
              <w:pStyle w:val="256"/>
              <w:rPr>
                <w:rFonts w:ascii="宋体" w:hAnsi="宋体" w:cs="宋体"/>
                <w:sz w:val="20"/>
              </w:rPr>
            </w:pPr>
            <w:r>
              <w:rPr>
                <w:rFonts w:hint="eastAsia" w:ascii="宋体" w:hAnsi="宋体" w:cs="宋体"/>
                <w:sz w:val="20"/>
              </w:rPr>
              <w:t>2）方案及措施较全面，科学性、专业性、完整性一般；方案阐述完整，针对性较弱，基本可满足项目需求，得</w:t>
            </w:r>
            <w:r>
              <w:rPr>
                <w:rFonts w:hint="eastAsia" w:ascii="宋体" w:hAnsi="宋体" w:cs="宋体"/>
                <w:sz w:val="20"/>
                <w:lang w:val="en-US" w:eastAsia="zh-CN"/>
              </w:rPr>
              <w:t>5</w:t>
            </w:r>
            <w:r>
              <w:rPr>
                <w:rFonts w:hint="eastAsia" w:ascii="宋体" w:hAnsi="宋体" w:cs="宋体"/>
                <w:sz w:val="20"/>
              </w:rPr>
              <w:t>分；</w:t>
            </w:r>
          </w:p>
          <w:p w14:paraId="668171C5">
            <w:pPr>
              <w:pStyle w:val="256"/>
              <w:rPr>
                <w:rFonts w:ascii="宋体" w:hAnsi="宋体" w:cs="宋体"/>
                <w:sz w:val="20"/>
              </w:rPr>
            </w:pPr>
            <w:r>
              <w:rPr>
                <w:rFonts w:hint="eastAsia" w:ascii="宋体" w:hAnsi="宋体" w:cs="宋体"/>
                <w:sz w:val="20"/>
              </w:rPr>
              <w:t>3）方案及措施基本全面，专业性和科学性较差，方案的描述基本完整，但有遗漏的内容，具有一定的专业性，部分满足项目需求，得</w:t>
            </w:r>
            <w:r>
              <w:rPr>
                <w:rFonts w:hint="eastAsia" w:ascii="宋体" w:hAnsi="宋体" w:cs="宋体"/>
                <w:sz w:val="20"/>
                <w:lang w:val="en-US" w:eastAsia="zh-CN"/>
              </w:rPr>
              <w:t>3</w:t>
            </w:r>
            <w:r>
              <w:rPr>
                <w:rFonts w:hint="eastAsia" w:ascii="宋体" w:hAnsi="宋体" w:cs="宋体"/>
                <w:sz w:val="20"/>
              </w:rPr>
              <w:t>分；</w:t>
            </w:r>
          </w:p>
          <w:p w14:paraId="7BAB8B50">
            <w:pPr>
              <w:pStyle w:val="256"/>
              <w:rPr>
                <w:rFonts w:ascii="宋体" w:hAnsi="宋体" w:cs="宋体"/>
                <w:sz w:val="20"/>
              </w:rPr>
            </w:pPr>
            <w:r>
              <w:rPr>
                <w:rFonts w:hint="eastAsia" w:ascii="宋体" w:hAnsi="宋体" w:cs="宋体"/>
                <w:sz w:val="20"/>
              </w:rPr>
              <w:t>4）方案及措施仅为模板式方案，方案描述不完整，缺漏项较多，毫无针对性，不能满足项目需求，得1分；</w:t>
            </w:r>
          </w:p>
          <w:p w14:paraId="27DFBA31">
            <w:pPr>
              <w:contextualSpacing/>
              <w:jc w:val="left"/>
              <w:rPr>
                <w:rFonts w:hint="eastAsia" w:ascii="宋体" w:hAnsi="宋体" w:eastAsia="宋体" w:cs="宋体"/>
                <w:color w:val="auto"/>
                <w:kern w:val="2"/>
                <w:sz w:val="20"/>
                <w:szCs w:val="20"/>
                <w:lang w:val="en-US" w:eastAsia="zh-CN" w:bidi="ar-SA"/>
              </w:rPr>
            </w:pPr>
            <w:r>
              <w:rPr>
                <w:rFonts w:hint="eastAsia" w:ascii="宋体" w:hAnsi="宋体" w:cs="宋体"/>
                <w:sz w:val="20"/>
                <w:szCs w:val="20"/>
              </w:rPr>
              <w:t>5）未提供具体方案及措施的，得0分。</w:t>
            </w:r>
          </w:p>
        </w:tc>
      </w:tr>
      <w:tr w14:paraId="1602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40" w:type="pct"/>
            <w:vMerge w:val="continue"/>
            <w:tcBorders>
              <w:left w:val="single" w:color="auto" w:sz="4" w:space="0"/>
              <w:right w:val="single" w:color="auto" w:sz="4" w:space="0"/>
            </w:tcBorders>
            <w:noWrap w:val="0"/>
            <w:vAlign w:val="center"/>
          </w:tcPr>
          <w:p w14:paraId="633BF4FC">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ascii="宋体" w:hAnsi="宋体" w:cs="宋体"/>
                <w:b/>
                <w:bCs/>
                <w:color w:val="FF0000"/>
                <w:sz w:val="20"/>
                <w:szCs w:val="20"/>
              </w:rPr>
            </w:pPr>
          </w:p>
        </w:tc>
        <w:tc>
          <w:tcPr>
            <w:tcW w:w="639" w:type="pct"/>
            <w:tcBorders>
              <w:top w:val="single" w:color="auto" w:sz="4" w:space="0"/>
              <w:left w:val="single" w:color="auto" w:sz="4" w:space="0"/>
              <w:right w:val="single" w:color="auto" w:sz="4" w:space="0"/>
            </w:tcBorders>
            <w:noWrap w:val="0"/>
            <w:vAlign w:val="center"/>
          </w:tcPr>
          <w:p w14:paraId="63B4A6A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服务承诺</w:t>
            </w:r>
          </w:p>
        </w:tc>
        <w:tc>
          <w:tcPr>
            <w:tcW w:w="436" w:type="pct"/>
            <w:tcBorders>
              <w:top w:val="single" w:color="auto" w:sz="4" w:space="0"/>
              <w:left w:val="single" w:color="auto" w:sz="4" w:space="0"/>
              <w:right w:val="single" w:color="auto" w:sz="4" w:space="0"/>
            </w:tcBorders>
            <w:noWrap w:val="0"/>
            <w:vAlign w:val="center"/>
          </w:tcPr>
          <w:p w14:paraId="0D5B62F1">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contextualSpacing/>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w:t>
            </w:r>
          </w:p>
        </w:tc>
        <w:tc>
          <w:tcPr>
            <w:tcW w:w="3383" w:type="pct"/>
            <w:tcBorders>
              <w:top w:val="single" w:color="auto" w:sz="4" w:space="0"/>
              <w:left w:val="single" w:color="auto" w:sz="4" w:space="0"/>
              <w:right w:val="single" w:color="auto" w:sz="4" w:space="0"/>
            </w:tcBorders>
            <w:noWrap w:val="0"/>
            <w:vAlign w:val="center"/>
          </w:tcPr>
          <w:p w14:paraId="2BF65426">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供应商针对项目需求提供服务承诺：</w:t>
            </w:r>
          </w:p>
          <w:p w14:paraId="79DA4212">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left"/>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提供了</w:t>
            </w:r>
            <w:r>
              <w:rPr>
                <w:rFonts w:hint="default" w:ascii="宋体" w:hAnsi="宋体" w:eastAsia="宋体" w:cs="宋体"/>
                <w:color w:val="auto"/>
                <w:kern w:val="2"/>
                <w:sz w:val="20"/>
                <w:szCs w:val="20"/>
                <w:lang w:val="en-US" w:eastAsia="zh-CN" w:bidi="ar-SA"/>
              </w:rPr>
              <w:t>服务承诺</w:t>
            </w:r>
            <w:r>
              <w:rPr>
                <w:rFonts w:hint="eastAsia" w:ascii="宋体" w:hAnsi="宋体" w:eastAsia="宋体" w:cs="宋体"/>
                <w:color w:val="auto"/>
                <w:kern w:val="2"/>
                <w:sz w:val="20"/>
                <w:szCs w:val="20"/>
                <w:lang w:val="en-US" w:eastAsia="zh-CN" w:bidi="ar-SA"/>
              </w:rPr>
              <w:t>，且</w:t>
            </w:r>
            <w:r>
              <w:rPr>
                <w:rFonts w:hint="default" w:ascii="宋体" w:hAnsi="宋体" w:eastAsia="宋体" w:cs="宋体"/>
                <w:color w:val="auto"/>
                <w:kern w:val="2"/>
                <w:sz w:val="20"/>
                <w:szCs w:val="20"/>
                <w:lang w:val="en-US" w:eastAsia="zh-CN" w:bidi="ar-SA"/>
              </w:rPr>
              <w:t>安排完善合理、</w:t>
            </w:r>
            <w:r>
              <w:rPr>
                <w:rFonts w:hint="eastAsia" w:ascii="宋体" w:hAnsi="宋体" w:eastAsia="宋体" w:cs="宋体"/>
                <w:color w:val="auto"/>
                <w:kern w:val="2"/>
                <w:sz w:val="20"/>
                <w:szCs w:val="20"/>
                <w:lang w:val="en-US" w:eastAsia="zh-CN" w:bidi="ar-SA"/>
              </w:rPr>
              <w:t>有利于项目实施</w:t>
            </w:r>
            <w:r>
              <w:rPr>
                <w:rFonts w:hint="default" w:ascii="宋体" w:hAnsi="宋体" w:eastAsia="宋体" w:cs="宋体"/>
                <w:color w:val="auto"/>
                <w:kern w:val="2"/>
                <w:sz w:val="20"/>
                <w:szCs w:val="20"/>
                <w:lang w:val="en-US" w:eastAsia="zh-CN" w:bidi="ar-SA"/>
              </w:rPr>
              <w:t>得</w:t>
            </w:r>
            <w:r>
              <w:rPr>
                <w:rFonts w:hint="eastAsia" w:ascii="宋体" w:hAnsi="宋体" w:eastAsia="宋体" w:cs="宋体"/>
                <w:color w:val="auto"/>
                <w:kern w:val="2"/>
                <w:sz w:val="20"/>
                <w:szCs w:val="20"/>
                <w:lang w:val="en-US" w:eastAsia="zh-CN" w:bidi="ar-SA"/>
              </w:rPr>
              <w:t>2</w:t>
            </w:r>
            <w:r>
              <w:rPr>
                <w:rFonts w:hint="default" w:ascii="宋体" w:hAnsi="宋体" w:eastAsia="宋体" w:cs="宋体"/>
                <w:color w:val="auto"/>
                <w:kern w:val="2"/>
                <w:sz w:val="20"/>
                <w:szCs w:val="20"/>
                <w:lang w:val="en-US" w:eastAsia="zh-CN" w:bidi="ar-SA"/>
              </w:rPr>
              <w:t>分；</w:t>
            </w:r>
            <w:r>
              <w:rPr>
                <w:rFonts w:hint="eastAsia" w:ascii="宋体" w:hAnsi="宋体" w:eastAsia="宋体" w:cs="宋体"/>
                <w:color w:val="auto"/>
                <w:kern w:val="2"/>
                <w:sz w:val="20"/>
                <w:szCs w:val="20"/>
                <w:lang w:val="en-US" w:eastAsia="zh-CN" w:bidi="ar-SA"/>
              </w:rPr>
              <w:t>否则不得分。</w:t>
            </w:r>
          </w:p>
        </w:tc>
      </w:tr>
    </w:tbl>
    <w:p w14:paraId="10BDB687">
      <w:pPr>
        <w:widowControl/>
        <w:jc w:val="left"/>
        <w:rPr>
          <w:rFonts w:hint="eastAsia"/>
        </w:rPr>
      </w:pPr>
      <w:r>
        <w:rPr>
          <w:rFonts w:hint="eastAsia" w:eastAsia="宋体"/>
          <w:b/>
          <w:sz w:val="24"/>
        </w:rPr>
        <w:t>注：评分分值计算保留小数点后两位，小数点后第三位“四舍五入”。</w:t>
      </w:r>
    </w:p>
    <w:p w14:paraId="02E1EF0A">
      <w:pPr>
        <w:pStyle w:val="12"/>
        <w:rPr>
          <w:rFonts w:hint="eastAsia"/>
        </w:rPr>
      </w:pPr>
      <w:r>
        <w:br w:type="page"/>
      </w:r>
    </w:p>
    <w:p w14:paraId="5B433E4F">
      <w:pPr>
        <w:spacing w:line="360" w:lineRule="auto"/>
        <w:jc w:val="center"/>
        <w:outlineLvl w:val="0"/>
        <w:rPr>
          <w:b/>
          <w:sz w:val="36"/>
          <w:szCs w:val="36"/>
        </w:rPr>
      </w:pPr>
      <w:bookmarkStart w:id="679" w:name="_Toc97371945"/>
      <w:r>
        <w:rPr>
          <w:b/>
          <w:sz w:val="36"/>
          <w:szCs w:val="36"/>
        </w:rPr>
        <w:t>第四章   采购需求</w:t>
      </w:r>
      <w:bookmarkEnd w:id="679"/>
    </w:p>
    <w:p w14:paraId="48F836C9">
      <w:pPr>
        <w:pStyle w:val="100"/>
        <w:numPr>
          <w:ilvl w:val="0"/>
          <w:numId w:val="1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6C2AAAF">
      <w:pPr>
        <w:spacing w:line="360" w:lineRule="auto"/>
        <w:contextualSpacing/>
        <w:rPr>
          <w:b/>
          <w:bCs w:val="0"/>
          <w:sz w:val="24"/>
        </w:rPr>
      </w:pPr>
      <w:r>
        <w:rPr>
          <w:b/>
          <w:bCs w:val="0"/>
          <w:sz w:val="24"/>
        </w:rPr>
        <w:t>1. 采购标的</w:t>
      </w:r>
    </w:p>
    <w:p w14:paraId="1B19842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北京工业职业技术学院改善办学保障条件---供电安全增容改造</w:t>
      </w:r>
    </w:p>
    <w:p w14:paraId="77981004">
      <w:pPr>
        <w:pStyle w:val="100"/>
        <w:numPr>
          <w:ilvl w:val="0"/>
          <w:numId w:val="11"/>
        </w:numPr>
        <w:spacing w:line="360" w:lineRule="auto"/>
        <w:ind w:firstLineChars="0"/>
        <w:contextualSpacing/>
        <w:rPr>
          <w:rFonts w:ascii="Times New Roman" w:hAnsi="Times New Roman" w:eastAsia="宋体"/>
          <w:b/>
          <w:sz w:val="24"/>
          <w:szCs w:val="24"/>
        </w:rPr>
      </w:pPr>
      <w:r>
        <w:rPr>
          <w:rFonts w:ascii="Times New Roman" w:hAnsi="Times New Roman" w:eastAsia="宋体"/>
          <w:b/>
          <w:sz w:val="24"/>
          <w:szCs w:val="24"/>
        </w:rPr>
        <w:t>商务要求</w:t>
      </w:r>
    </w:p>
    <w:p w14:paraId="5F28FC63">
      <w:pPr>
        <w:spacing w:line="360" w:lineRule="auto"/>
        <w:contextualSpacing/>
        <w:rPr>
          <w:rFonts w:eastAsia="宋体"/>
          <w:b/>
          <w:bCs/>
          <w:i/>
          <w:sz w:val="24"/>
        </w:rPr>
      </w:pPr>
      <w:r>
        <w:rPr>
          <w:rFonts w:eastAsia="宋体"/>
          <w:b/>
          <w:bCs/>
          <w:sz w:val="24"/>
        </w:rPr>
        <w:t>1. 交付（实施）的时间（期限）和地点（范围）</w:t>
      </w:r>
    </w:p>
    <w:p w14:paraId="41E7E6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color w:val="000000"/>
          <w:sz w:val="24"/>
        </w:rPr>
      </w:pPr>
      <w:r>
        <w:rPr>
          <w:rFonts w:hint="eastAsia" w:ascii="宋体" w:hAnsi="宋体" w:cs="宋体"/>
          <w:bCs/>
          <w:sz w:val="24"/>
          <w:szCs w:val="20"/>
        </w:rPr>
        <w:t>交付（实施）的时间（期</w:t>
      </w:r>
      <w:r>
        <w:rPr>
          <w:rFonts w:hint="eastAsia" w:ascii="宋体" w:hAnsi="宋体" w:cs="宋体"/>
          <w:bCs/>
          <w:color w:val="000000"/>
          <w:sz w:val="24"/>
          <w:szCs w:val="20"/>
        </w:rPr>
        <w:t>限）</w:t>
      </w:r>
      <w:r>
        <w:rPr>
          <w:rFonts w:hint="eastAsia" w:ascii="宋体" w:hAnsi="宋体" w:cs="宋体"/>
          <w:bCs/>
          <w:color w:val="000000"/>
          <w:sz w:val="24"/>
          <w:szCs w:val="20"/>
          <w:lang w:eastAsia="zh-CN"/>
        </w:rPr>
        <w:t>：</w:t>
      </w:r>
      <w:r>
        <w:rPr>
          <w:rFonts w:hint="eastAsia" w:ascii="Times New Roman" w:hAnsi="Times New Roman" w:eastAsia="宋体" w:cs="Times New Roman"/>
          <w:bCs/>
          <w:color w:val="000000"/>
          <w:sz w:val="24"/>
          <w:highlight w:val="none"/>
          <w:lang w:val="en-US" w:eastAsia="zh-CN"/>
        </w:rPr>
        <w:t>工期90天</w:t>
      </w:r>
      <w:r>
        <w:rPr>
          <w:rFonts w:hint="eastAsia" w:ascii="Times New Roman" w:hAnsi="Times New Roman" w:eastAsia="宋体" w:cs="Times New Roman"/>
          <w:bCs/>
          <w:color w:val="000000"/>
          <w:sz w:val="24"/>
        </w:rPr>
        <w:t>。</w:t>
      </w:r>
    </w:p>
    <w:p w14:paraId="71577D7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lang w:val="en-US" w:eastAsia="zh-CN"/>
        </w:rPr>
      </w:pPr>
      <w:r>
        <w:rPr>
          <w:rFonts w:hint="eastAsia" w:ascii="宋体" w:hAnsi="宋体" w:cs="宋体"/>
          <w:bCs/>
          <w:sz w:val="24"/>
          <w:szCs w:val="20"/>
        </w:rPr>
        <w:t>交付（实施）的地点（范围）</w:t>
      </w:r>
      <w:r>
        <w:rPr>
          <w:rFonts w:hint="eastAsia" w:ascii="Times New Roman" w:hAnsi="Times New Roman" w:eastAsia="宋体" w:cs="Times New Roman"/>
          <w:bCs/>
          <w:sz w:val="24"/>
          <w:lang w:val="en-US" w:eastAsia="zh-CN"/>
        </w:rPr>
        <w:t>：</w:t>
      </w:r>
      <w:r>
        <w:rPr>
          <w:rFonts w:hint="eastAsia" w:ascii="Times New Roman" w:hAnsi="Times New Roman" w:eastAsia="宋体" w:cs="Times New Roman"/>
          <w:bCs/>
          <w:sz w:val="24"/>
          <w:lang w:val="en-US" w:eastAsia="zh-CN"/>
        </w:rPr>
        <w:t>北京市石景山区石门路368号</w:t>
      </w:r>
      <w:r>
        <w:rPr>
          <w:rFonts w:hint="eastAsia" w:ascii="Times New Roman" w:hAnsi="Times New Roman" w:eastAsia="宋体" w:cs="Times New Roman"/>
          <w:bCs/>
          <w:sz w:val="24"/>
          <w:lang w:val="en-US" w:eastAsia="zh-CN"/>
        </w:rPr>
        <w:t>北京工业职业技术学院</w:t>
      </w:r>
    </w:p>
    <w:p w14:paraId="35DBC51A">
      <w:pPr>
        <w:spacing w:line="360" w:lineRule="auto"/>
        <w:contextualSpacing/>
        <w:rPr>
          <w:rFonts w:eastAsia="宋体"/>
          <w:b/>
          <w:bCs/>
          <w:sz w:val="24"/>
        </w:rPr>
      </w:pPr>
      <w:r>
        <w:rPr>
          <w:rFonts w:eastAsia="宋体"/>
          <w:b/>
          <w:bCs/>
          <w:sz w:val="24"/>
        </w:rPr>
        <w:t>2. 付款条件（进度和方式）</w:t>
      </w:r>
    </w:p>
    <w:p w14:paraId="18CA318B">
      <w:pPr>
        <w:spacing w:line="360" w:lineRule="auto"/>
        <w:ind w:firstLine="420"/>
        <w:contextualSpacing/>
        <w:rPr>
          <w:rFonts w:hint="default" w:eastAsia="宋体"/>
          <w:bCs/>
          <w:sz w:val="24"/>
          <w:highlight w:val="none"/>
          <w:lang w:val="en-US" w:eastAsia="zh-CN"/>
        </w:rPr>
      </w:pPr>
      <w:r>
        <w:rPr>
          <w:rFonts w:hint="eastAsia" w:eastAsia="宋体"/>
          <w:bCs/>
          <w:sz w:val="24"/>
          <w:highlight w:val="none"/>
          <w:lang w:val="en-US" w:eastAsia="zh-CN"/>
        </w:rPr>
        <w:t>采用固定总价形式，其中：</w:t>
      </w:r>
    </w:p>
    <w:p w14:paraId="05D5DE9A">
      <w:pPr>
        <w:spacing w:line="360" w:lineRule="auto"/>
        <w:ind w:firstLine="420"/>
        <w:contextualSpacing/>
        <w:rPr>
          <w:rFonts w:hint="eastAsia" w:eastAsia="宋体"/>
          <w:bCs/>
          <w:sz w:val="24"/>
          <w:highlight w:val="none"/>
          <w:lang w:val="en-US" w:eastAsia="zh-CN"/>
        </w:rPr>
      </w:pPr>
      <w:r>
        <w:rPr>
          <w:rFonts w:hint="eastAsia" w:eastAsia="宋体"/>
          <w:bCs/>
          <w:sz w:val="24"/>
          <w:highlight w:val="none"/>
          <w:lang w:val="en-US" w:eastAsia="zh-CN"/>
        </w:rPr>
        <w:t>预付款：合同签订后，采购人支付514.5万元的预付款；</w:t>
      </w:r>
    </w:p>
    <w:p w14:paraId="6A978D99">
      <w:pPr>
        <w:spacing w:line="360" w:lineRule="auto"/>
        <w:ind w:firstLine="420"/>
        <w:contextualSpacing/>
        <w:rPr>
          <w:rFonts w:eastAsia="宋体"/>
          <w:bCs/>
          <w:sz w:val="24"/>
          <w:highlight w:val="yellow"/>
        </w:rPr>
      </w:pPr>
      <w:r>
        <w:rPr>
          <w:rFonts w:hint="eastAsia" w:eastAsia="宋体"/>
          <w:bCs/>
          <w:sz w:val="24"/>
          <w:highlight w:val="none"/>
          <w:lang w:val="en-US" w:eastAsia="zh-CN"/>
        </w:rPr>
        <w:t>尾款：工程竣工、结算审计完成后，采购人按审定价进行支付；竣工结算金额以财政审计为准。</w:t>
      </w:r>
    </w:p>
    <w:p w14:paraId="31B34E0D">
      <w:pPr>
        <w:pStyle w:val="100"/>
        <w:numPr>
          <w:ilvl w:val="0"/>
          <w:numId w:val="11"/>
        </w:numPr>
        <w:spacing w:line="360" w:lineRule="auto"/>
        <w:ind w:firstLineChars="0"/>
        <w:contextualSpacing/>
        <w:rPr>
          <w:rFonts w:ascii="Times New Roman" w:hAnsi="Times New Roman" w:eastAsia="宋体"/>
          <w:b/>
          <w:sz w:val="24"/>
          <w:szCs w:val="24"/>
        </w:rPr>
      </w:pPr>
      <w:r>
        <w:rPr>
          <w:rFonts w:ascii="Times New Roman" w:hAnsi="Times New Roman" w:eastAsia="宋体"/>
          <w:b/>
          <w:sz w:val="24"/>
          <w:szCs w:val="24"/>
        </w:rPr>
        <w:t>技术要求</w:t>
      </w:r>
    </w:p>
    <w:p w14:paraId="7E25AAB1">
      <w:pPr>
        <w:spacing w:line="360" w:lineRule="auto"/>
        <w:contextualSpacing/>
        <w:rPr>
          <w:rFonts w:eastAsia="宋体"/>
          <w:b/>
          <w:bCs/>
          <w:sz w:val="24"/>
        </w:rPr>
      </w:pPr>
      <w:r>
        <w:rPr>
          <w:rFonts w:eastAsia="宋体"/>
          <w:b/>
          <w:bCs/>
          <w:sz w:val="24"/>
        </w:rPr>
        <w:t>1. 基本要求</w:t>
      </w:r>
    </w:p>
    <w:p w14:paraId="5721965B">
      <w:pPr>
        <w:spacing w:line="360" w:lineRule="auto"/>
        <w:ind w:firstLine="482" w:firstLineChars="200"/>
        <w:contextualSpacing/>
        <w:rPr>
          <w:rFonts w:eastAsia="宋体"/>
          <w:b/>
          <w:bCs/>
          <w:sz w:val="24"/>
        </w:rPr>
      </w:pPr>
      <w:r>
        <w:rPr>
          <w:rFonts w:eastAsia="宋体"/>
          <w:b/>
          <w:bCs/>
          <w:sz w:val="24"/>
        </w:rPr>
        <w:t>1.1 采购标的需实现的功能或者目标</w:t>
      </w:r>
    </w:p>
    <w:p w14:paraId="1F11893A">
      <w:pPr>
        <w:spacing w:line="360" w:lineRule="auto"/>
        <w:ind w:firstLine="480" w:firstLineChars="200"/>
        <w:contextualSpacing/>
        <w:rPr>
          <w:rFonts w:hint="eastAsia" w:eastAsia="宋体"/>
          <w:sz w:val="24"/>
          <w:highlight w:val="none"/>
          <w:lang w:eastAsia="zh-CN"/>
        </w:rPr>
      </w:pPr>
      <w:r>
        <w:rPr>
          <w:rFonts w:hint="eastAsia" w:ascii="Times New Roman" w:hAnsi="Times New Roman" w:eastAsia="宋体" w:cs="Times New Roman"/>
          <w:bCs/>
          <w:sz w:val="24"/>
          <w:lang w:val="en-US" w:eastAsia="zh-CN"/>
        </w:rPr>
        <w:t>完成</w:t>
      </w:r>
      <w:r>
        <w:rPr>
          <w:rFonts w:hint="eastAsia" w:ascii="Times New Roman" w:hAnsi="Times New Roman" w:eastAsia="宋体" w:cs="Times New Roman"/>
          <w:bCs/>
          <w:sz w:val="24"/>
          <w:lang w:eastAsia="zh-CN"/>
        </w:rPr>
        <w:t>北京工业职业技术学院改善办学保障条件---供电安全增容改造</w:t>
      </w:r>
      <w:r>
        <w:rPr>
          <w:rFonts w:hint="eastAsia" w:ascii="Times New Roman" w:hAnsi="Times New Roman" w:eastAsia="宋体" w:cs="Times New Roman"/>
          <w:bCs/>
          <w:sz w:val="24"/>
          <w:highlight w:val="none"/>
          <w:lang w:eastAsia="zh-CN"/>
        </w:rPr>
        <w:t>。</w:t>
      </w:r>
    </w:p>
    <w:p w14:paraId="404CFC39">
      <w:pPr>
        <w:spacing w:line="360" w:lineRule="auto"/>
        <w:ind w:firstLine="482" w:firstLineChars="200"/>
        <w:contextualSpacing/>
        <w:rPr>
          <w:rFonts w:eastAsia="宋体"/>
          <w:b/>
          <w:bCs/>
          <w:sz w:val="24"/>
        </w:rPr>
      </w:pPr>
      <w:r>
        <w:rPr>
          <w:rFonts w:eastAsia="宋体"/>
          <w:b/>
          <w:bCs/>
          <w:sz w:val="24"/>
        </w:rPr>
        <w:t>1.2 需执行的国家相关标准、行业标准、地方标准或者其他标准、规范</w:t>
      </w:r>
    </w:p>
    <w:p w14:paraId="0B6CF797">
      <w:pPr>
        <w:spacing w:line="360" w:lineRule="auto"/>
        <w:ind w:firstLine="480" w:firstLineChars="200"/>
        <w:contextualSpacing/>
        <w:rPr>
          <w:rFonts w:eastAsia="宋体"/>
          <w:sz w:val="24"/>
        </w:rPr>
      </w:pPr>
      <w:r>
        <w:rPr>
          <w:rFonts w:hint="eastAsia"/>
          <w:sz w:val="24"/>
          <w:lang w:eastAsia="zh-CN"/>
        </w:rPr>
        <w:t>需符合国家相关标准、行业标准、地方标准或者其他标准、规范，</w:t>
      </w:r>
      <w:r>
        <w:rPr>
          <w:rFonts w:hint="eastAsia"/>
          <w:sz w:val="24"/>
          <w:lang w:val="en-US" w:eastAsia="zh-CN"/>
        </w:rPr>
        <w:t>包括但不限于《中华人民共和国建筑法》、《建设工程质量管理条例》、《北京市建设工程安全文明施工费管理办法(试行)》、《北京市环境噪声污染防治办法》等</w:t>
      </w:r>
      <w:r>
        <w:rPr>
          <w:rFonts w:hint="eastAsia" w:eastAsia="宋体"/>
          <w:sz w:val="24"/>
        </w:rPr>
        <w:t>。</w:t>
      </w:r>
    </w:p>
    <w:p w14:paraId="45C0DC7B">
      <w:pPr>
        <w:spacing w:line="360" w:lineRule="auto"/>
        <w:contextualSpacing/>
        <w:rPr>
          <w:rFonts w:eastAsia="宋体"/>
          <w:b/>
          <w:bCs/>
          <w:sz w:val="24"/>
        </w:rPr>
      </w:pPr>
      <w:r>
        <w:rPr>
          <w:rFonts w:eastAsia="宋体"/>
          <w:b/>
          <w:bCs/>
          <w:sz w:val="24"/>
        </w:rPr>
        <w:t xml:space="preserve">2. </w:t>
      </w:r>
      <w:r>
        <w:rPr>
          <w:rFonts w:hint="eastAsia" w:eastAsia="宋体"/>
          <w:b/>
          <w:bCs/>
          <w:sz w:val="24"/>
          <w:lang w:val="en-US" w:eastAsia="zh-CN"/>
        </w:rPr>
        <w:t>工程</w:t>
      </w:r>
      <w:r>
        <w:rPr>
          <w:rFonts w:eastAsia="宋体"/>
          <w:b/>
          <w:bCs/>
          <w:sz w:val="24"/>
        </w:rPr>
        <w:t>内容及要求</w:t>
      </w:r>
    </w:p>
    <w:p w14:paraId="789B9DD5">
      <w:pPr>
        <w:widowControl/>
        <w:spacing w:line="360" w:lineRule="auto"/>
        <w:ind w:firstLine="480" w:firstLineChars="200"/>
        <w:contextualSpacing/>
        <w:rPr>
          <w:rFonts w:eastAsia="宋体"/>
          <w:sz w:val="24"/>
        </w:rPr>
      </w:pPr>
      <w:r>
        <w:rPr>
          <w:rFonts w:hint="eastAsia"/>
          <w:b w:val="0"/>
          <w:bCs w:val="0"/>
          <w:sz w:val="24"/>
          <w:lang w:val="en-US" w:eastAsia="zh-CN"/>
        </w:rPr>
        <w:t>2.1</w:t>
      </w:r>
      <w:r>
        <w:rPr>
          <w:rFonts w:hint="eastAsia"/>
          <w:b w:val="0"/>
          <w:bCs w:val="0"/>
          <w:sz w:val="24"/>
        </w:rPr>
        <w:t>工程内容：</w:t>
      </w:r>
      <w:r>
        <w:rPr>
          <w:rFonts w:hint="eastAsia"/>
          <w:b w:val="0"/>
          <w:bCs w:val="0"/>
          <w:sz w:val="24"/>
          <w:lang w:val="en-US" w:eastAsia="zh-CN"/>
        </w:rPr>
        <w:t>包括配电室外电源工程、新建分配电室工程、总配电室工程</w:t>
      </w:r>
      <w:r>
        <w:rPr>
          <w:rFonts w:hint="eastAsia" w:ascii="Times New Roman" w:hAnsi="Times New Roman" w:eastAsia="宋体" w:cs="Times New Roman"/>
          <w:b w:val="0"/>
          <w:bCs w:val="0"/>
          <w:sz w:val="24"/>
          <w:lang w:val="en-US" w:eastAsia="zh-CN"/>
        </w:rPr>
        <w:t>等</w:t>
      </w:r>
      <w:r>
        <w:rPr>
          <w:rFonts w:hint="eastAsia"/>
          <w:b w:val="0"/>
          <w:bCs w:val="0"/>
          <w:sz w:val="24"/>
        </w:rPr>
        <w:t>工程量清单显示的全部内容。详见</w:t>
      </w:r>
      <w:r>
        <w:rPr>
          <w:rFonts w:hint="eastAsia"/>
          <w:b/>
          <w:bCs/>
          <w:sz w:val="24"/>
        </w:rPr>
        <w:t>工程量清单及图纸</w:t>
      </w:r>
      <w:r>
        <w:rPr>
          <w:rFonts w:hint="eastAsia"/>
          <w:sz w:val="24"/>
        </w:rPr>
        <w:t>。</w:t>
      </w:r>
    </w:p>
    <w:p w14:paraId="652C67A6">
      <w:pPr>
        <w:pStyle w:val="100"/>
        <w:adjustRightInd w:val="0"/>
        <w:spacing w:line="360" w:lineRule="auto"/>
        <w:contextualSpacing/>
        <w:jc w:val="left"/>
        <w:rPr>
          <w:rFonts w:hint="eastAsia"/>
          <w:sz w:val="24"/>
          <w:szCs w:val="24"/>
        </w:rPr>
      </w:pPr>
      <w:r>
        <w:rPr>
          <w:rFonts w:hint="eastAsia"/>
          <w:sz w:val="24"/>
          <w:szCs w:val="24"/>
          <w:lang w:val="en-US" w:eastAsia="zh-CN"/>
        </w:rPr>
        <w:t>2.2</w:t>
      </w:r>
      <w:r>
        <w:rPr>
          <w:rFonts w:hint="eastAsia"/>
          <w:sz w:val="24"/>
          <w:szCs w:val="24"/>
        </w:rPr>
        <w:t>工程质量：合格（符合国家现行工程施工质量验收规范合格标准）；</w:t>
      </w:r>
    </w:p>
    <w:p w14:paraId="134C4DA1">
      <w:pPr>
        <w:widowControl/>
        <w:spacing w:line="360" w:lineRule="auto"/>
        <w:ind w:firstLine="480" w:firstLineChars="200"/>
        <w:contextualSpacing/>
        <w:rPr>
          <w:rFonts w:hint="default" w:ascii="Times New Roman" w:hAnsi="Times New Roman" w:eastAsia="宋体" w:cs="Times New Roman"/>
          <w:sz w:val="24"/>
          <w:szCs w:val="24"/>
          <w:lang w:val="en-US" w:eastAsia="zh-CN"/>
        </w:rPr>
      </w:pPr>
      <w:r>
        <w:rPr>
          <w:rFonts w:hint="eastAsia"/>
          <w:sz w:val="24"/>
          <w:szCs w:val="24"/>
          <w:lang w:val="en-US" w:eastAsia="zh-CN"/>
        </w:rPr>
        <w:t>2.3</w:t>
      </w:r>
      <w:r>
        <w:rPr>
          <w:rFonts w:hint="eastAsia"/>
          <w:sz w:val="24"/>
          <w:szCs w:val="24"/>
        </w:rPr>
        <w:t>施工现场安全生产标准化管理目标等级：达标</w:t>
      </w:r>
      <w:r>
        <w:rPr>
          <w:rFonts w:hint="default" w:ascii="Times New Roman" w:hAnsi="Times New Roman" w:eastAsia="宋体" w:cs="Times New Roman"/>
          <w:sz w:val="24"/>
          <w:szCs w:val="24"/>
          <w:lang w:val="en-US" w:eastAsia="zh-CN"/>
        </w:rPr>
        <w:t>；</w:t>
      </w:r>
    </w:p>
    <w:p w14:paraId="29BAF2A1">
      <w:pPr>
        <w:widowControl/>
        <w:spacing w:line="360" w:lineRule="auto"/>
        <w:ind w:firstLine="480" w:firstLineChars="200"/>
        <w:contextualSpacing/>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2.4本项目招标控制价为11,083,107.68元，其中安全生产标准化措施费为328114.32元（不含税金额）</w:t>
      </w:r>
    </w:p>
    <w:p w14:paraId="34006CC3">
      <w:pPr>
        <w:spacing w:line="360" w:lineRule="auto"/>
        <w:contextualSpacing/>
        <w:rPr>
          <w:rFonts w:eastAsia="宋体"/>
          <w:b/>
          <w:bCs/>
          <w:i/>
          <w:iCs/>
          <w:sz w:val="24"/>
        </w:rPr>
      </w:pPr>
      <w:r>
        <w:rPr>
          <w:rFonts w:eastAsia="宋体"/>
          <w:b/>
          <w:bCs/>
          <w:sz w:val="24"/>
        </w:rPr>
        <w:t>3. 验收标准</w:t>
      </w:r>
    </w:p>
    <w:p w14:paraId="4942F115">
      <w:pPr>
        <w:pStyle w:val="100"/>
        <w:adjustRightInd w:val="0"/>
        <w:spacing w:line="360" w:lineRule="auto"/>
        <w:ind w:firstLine="480"/>
        <w:contextualSpacing/>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供应商所提供服务须符合国家、北京市相关法律法规、行业标准等规定，采购人按照项目建设需求，组织验收。</w:t>
      </w:r>
    </w:p>
    <w:p w14:paraId="4CBE27E7">
      <w:pPr>
        <w:spacing w:line="360" w:lineRule="auto"/>
        <w:contextualSpacing/>
        <w:rPr>
          <w:rFonts w:ascii="Times New Roman" w:hAnsi="Times New Roman" w:eastAsia="宋体" w:cs="Times New Roman"/>
          <w:b/>
          <w:bCs/>
          <w:sz w:val="24"/>
        </w:rPr>
      </w:pPr>
      <w:r>
        <w:rPr>
          <w:rFonts w:ascii="Times New Roman" w:hAnsi="Times New Roman" w:eastAsia="宋体" w:cs="Times New Roman"/>
          <w:b/>
          <w:bCs/>
          <w:sz w:val="24"/>
        </w:rPr>
        <w:t xml:space="preserve">4. </w:t>
      </w:r>
      <w:r>
        <w:rPr>
          <w:rFonts w:hint="eastAsia" w:ascii="Times New Roman" w:hAnsi="Times New Roman" w:eastAsia="宋体" w:cs="Times New Roman"/>
          <w:b/>
          <w:bCs/>
          <w:sz w:val="24"/>
        </w:rPr>
        <w:t>图纸及工程量清单</w:t>
      </w:r>
    </w:p>
    <w:p w14:paraId="7A0DF63A">
      <w:pPr>
        <w:pStyle w:val="100"/>
        <w:adjustRightInd w:val="0"/>
        <w:spacing w:line="360" w:lineRule="auto"/>
        <w:ind w:firstLine="480"/>
        <w:contextualSpacing/>
        <w:jc w:val="left"/>
        <w:rPr>
          <w:rFonts w:ascii="Times New Roman" w:hAnsi="Times New Roman" w:eastAsia="宋体"/>
          <w:sz w:val="24"/>
          <w:szCs w:val="24"/>
        </w:rPr>
      </w:pPr>
      <w:r>
        <w:rPr>
          <w:rFonts w:hint="eastAsia" w:eastAsia="宋体" w:cs="Times New Roman"/>
          <w:sz w:val="24"/>
          <w:szCs w:val="24"/>
          <w:lang w:val="en-US" w:eastAsia="zh-CN"/>
        </w:rPr>
        <w:t>另册提供</w:t>
      </w:r>
      <w:r>
        <w:rPr>
          <w:rFonts w:ascii="Times New Roman" w:hAnsi="Times New Roman" w:eastAsia="宋体"/>
          <w:sz w:val="24"/>
          <w:szCs w:val="24"/>
        </w:rPr>
        <w:t>。</w:t>
      </w:r>
    </w:p>
    <w:p w14:paraId="05C0B519">
      <w:pPr>
        <w:spacing w:line="440" w:lineRule="exact"/>
        <w:rPr>
          <w:rFonts w:eastAsia="宋体"/>
          <w:b/>
        </w:rPr>
      </w:pPr>
    </w:p>
    <w:p w14:paraId="24E6F6F3">
      <w:pPr>
        <w:spacing w:line="360" w:lineRule="auto"/>
        <w:ind w:firstLine="480" w:firstLineChars="200"/>
        <w:contextualSpacing/>
        <w:rPr>
          <w:rFonts w:hint="eastAsia"/>
          <w:color w:val="auto"/>
          <w:sz w:val="24"/>
        </w:rPr>
      </w:pPr>
    </w:p>
    <w:p w14:paraId="7AB4EBEC">
      <w:pPr>
        <w:spacing w:line="360" w:lineRule="auto"/>
        <w:ind w:firstLine="480" w:firstLineChars="200"/>
        <w:contextualSpacing/>
        <w:rPr>
          <w:sz w:val="24"/>
        </w:rPr>
      </w:pPr>
      <w:r>
        <w:rPr>
          <w:sz w:val="24"/>
        </w:rPr>
        <w:br w:type="page"/>
      </w:r>
    </w:p>
    <w:p w14:paraId="026DDE38">
      <w:pPr>
        <w:spacing w:line="360" w:lineRule="auto"/>
        <w:jc w:val="center"/>
        <w:outlineLvl w:val="0"/>
        <w:rPr>
          <w:b/>
          <w:sz w:val="36"/>
          <w:szCs w:val="36"/>
        </w:rPr>
      </w:pPr>
      <w:bookmarkStart w:id="680" w:name="_Toc97371946"/>
      <w:r>
        <w:rPr>
          <w:b/>
          <w:sz w:val="36"/>
          <w:szCs w:val="36"/>
        </w:rPr>
        <w:t>第五章   合同草案条款</w:t>
      </w:r>
      <w:bookmarkEnd w:id="680"/>
    </w:p>
    <w:p w14:paraId="5A5F9A16">
      <w:pPr>
        <w:widowControl/>
        <w:jc w:val="center"/>
        <w:rPr>
          <w:rFonts w:ascii="Times New Roman" w:hAnsi="Times New Roman" w:eastAsia="华文中宋" w:cs="Times New Roman"/>
          <w:b/>
          <w:color w:val="000000"/>
          <w:sz w:val="72"/>
          <w:szCs w:val="52"/>
        </w:rPr>
      </w:pPr>
    </w:p>
    <w:p w14:paraId="18328DC9">
      <w:pPr>
        <w:widowControl/>
        <w:jc w:val="center"/>
        <w:rPr>
          <w:rFonts w:ascii="Times New Roman" w:hAnsi="Times New Roman" w:eastAsia="华文中宋" w:cs="Times New Roman"/>
          <w:b/>
          <w:color w:val="000000"/>
          <w:sz w:val="72"/>
          <w:szCs w:val="52"/>
        </w:rPr>
      </w:pPr>
      <w:r>
        <w:rPr>
          <w:rFonts w:hint="eastAsia" w:ascii="Times New Roman" w:hAnsi="Times New Roman" w:eastAsia="华文中宋" w:cs="Times New Roman"/>
          <w:b/>
          <w:color w:val="000000"/>
          <w:sz w:val="72"/>
          <w:szCs w:val="52"/>
        </w:rPr>
        <w:t>建设工程施工合同</w:t>
      </w:r>
    </w:p>
    <w:p w14:paraId="1B23F69F">
      <w:pPr>
        <w:widowControl/>
        <w:jc w:val="center"/>
        <w:rPr>
          <w:rFonts w:ascii="Times New Roman" w:hAnsi="Times New Roman" w:eastAsia="华文中宋" w:cs="Times New Roman"/>
          <w:b/>
          <w:color w:val="000000"/>
          <w:sz w:val="72"/>
          <w:szCs w:val="52"/>
        </w:rPr>
      </w:pPr>
    </w:p>
    <w:p w14:paraId="035F8CDA">
      <w:pPr>
        <w:widowControl/>
        <w:jc w:val="center"/>
        <w:rPr>
          <w:rFonts w:ascii="Times New Roman" w:hAnsi="Times New Roman" w:eastAsia="华文中宋" w:cs="Times New Roman"/>
          <w:b/>
          <w:color w:val="000000"/>
          <w:sz w:val="72"/>
          <w:szCs w:val="52"/>
        </w:rPr>
      </w:pPr>
    </w:p>
    <w:p w14:paraId="005A6A4E">
      <w:pPr>
        <w:widowControl/>
        <w:jc w:val="center"/>
        <w:rPr>
          <w:rFonts w:ascii="Times New Roman" w:hAnsi="Times New Roman" w:eastAsia="华文中宋" w:cs="Times New Roman"/>
          <w:b/>
          <w:color w:val="000000"/>
          <w:sz w:val="72"/>
          <w:szCs w:val="52"/>
        </w:rPr>
      </w:pPr>
    </w:p>
    <w:p w14:paraId="72AA118B">
      <w:pPr>
        <w:widowControl/>
        <w:jc w:val="center"/>
        <w:rPr>
          <w:rFonts w:ascii="Times New Roman" w:hAnsi="Times New Roman" w:eastAsia="华文中宋" w:cs="Times New Roman"/>
          <w:b/>
          <w:color w:val="000000"/>
          <w:sz w:val="72"/>
          <w:szCs w:val="52"/>
        </w:rPr>
      </w:pPr>
    </w:p>
    <w:p w14:paraId="18A5AB2B">
      <w:pPr>
        <w:widowControl/>
        <w:ind w:left="1470" w:leftChars="500" w:hanging="420" w:hangingChars="150"/>
        <w:jc w:val="left"/>
        <w:rPr>
          <w:rFonts w:ascii="Times New Roman" w:hAnsi="Times New Roman" w:eastAsia="华文中宋" w:cs="Times New Roman"/>
          <w:b/>
          <w:color w:val="000000"/>
          <w:sz w:val="28"/>
          <w:szCs w:val="28"/>
          <w:u w:val="single"/>
        </w:rPr>
      </w:pPr>
      <w:r>
        <w:rPr>
          <w:rFonts w:hint="eastAsia" w:ascii="Times New Roman" w:hAnsi="Times New Roman" w:eastAsia="华文中宋" w:cs="Times New Roman"/>
          <w:b/>
          <w:color w:val="000000"/>
          <w:sz w:val="28"/>
          <w:szCs w:val="28"/>
        </w:rPr>
        <w:t>工程名称：</w:t>
      </w:r>
      <w:r>
        <w:rPr>
          <w:rFonts w:hint="eastAsia" w:ascii="Times New Roman" w:hAnsi="Times New Roman" w:eastAsia="华文中宋" w:cs="Times New Roman"/>
          <w:b/>
          <w:color w:val="000000"/>
          <w:sz w:val="28"/>
          <w:szCs w:val="28"/>
          <w:u w:val="single"/>
        </w:rPr>
        <w:t xml:space="preserve">                                       </w:t>
      </w:r>
      <w:r>
        <w:rPr>
          <w:rFonts w:ascii="Times New Roman" w:hAnsi="Times New Roman" w:eastAsia="华文中宋" w:cs="Times New Roman"/>
          <w:b/>
          <w:color w:val="000000"/>
          <w:sz w:val="28"/>
          <w:szCs w:val="28"/>
          <w:u w:val="single"/>
        </w:rPr>
        <w:br w:type="textWrapping"/>
      </w:r>
      <w:r>
        <w:rPr>
          <w:rFonts w:ascii="Times New Roman" w:hAnsi="Times New Roman" w:eastAsia="华文中宋" w:cs="Times New Roman"/>
          <w:b/>
          <w:color w:val="000000"/>
          <w:sz w:val="28"/>
          <w:szCs w:val="28"/>
          <w:u w:val="single"/>
        </w:rPr>
        <w:br w:type="textWrapping"/>
      </w:r>
      <w:r>
        <w:rPr>
          <w:rFonts w:hint="eastAsia" w:ascii="Times New Roman" w:hAnsi="Times New Roman" w:eastAsia="华文中宋" w:cs="Times New Roman"/>
          <w:b/>
          <w:color w:val="000000"/>
          <w:sz w:val="28"/>
          <w:szCs w:val="28"/>
        </w:rPr>
        <w:t xml:space="preserve">       </w:t>
      </w:r>
      <w:r>
        <w:rPr>
          <w:rFonts w:hint="eastAsia" w:ascii="Times New Roman" w:hAnsi="Times New Roman" w:eastAsia="华文中宋" w:cs="Times New Roman"/>
          <w:b/>
          <w:color w:val="000000"/>
          <w:sz w:val="28"/>
          <w:szCs w:val="28"/>
          <w:u w:val="single"/>
        </w:rPr>
        <w:t xml:space="preserve">                                       </w:t>
      </w:r>
    </w:p>
    <w:p w14:paraId="57C7BA44">
      <w:pPr>
        <w:widowControl/>
        <w:ind w:left="1470" w:leftChars="500" w:hanging="420" w:hangingChars="150"/>
        <w:jc w:val="left"/>
        <w:rPr>
          <w:rFonts w:ascii="Times New Roman" w:hAnsi="Times New Roman" w:eastAsia="华文中宋" w:cs="Times New Roman"/>
          <w:b/>
          <w:color w:val="000000"/>
          <w:sz w:val="28"/>
          <w:szCs w:val="28"/>
          <w:u w:val="single"/>
        </w:rPr>
      </w:pPr>
    </w:p>
    <w:p w14:paraId="70490215">
      <w:pPr>
        <w:widowControl/>
        <w:ind w:left="1470" w:leftChars="500" w:hanging="420" w:hangingChars="150"/>
        <w:jc w:val="left"/>
        <w:rPr>
          <w:rFonts w:ascii="Times New Roman" w:hAnsi="Times New Roman" w:eastAsia="华文中宋" w:cs="Times New Roman"/>
          <w:b/>
          <w:color w:val="000000"/>
          <w:sz w:val="28"/>
          <w:szCs w:val="28"/>
          <w:u w:val="single"/>
        </w:rPr>
      </w:pPr>
    </w:p>
    <w:p w14:paraId="27AC8974">
      <w:pPr>
        <w:widowControl/>
        <w:ind w:left="1470" w:leftChars="500" w:hanging="420" w:hangingChars="150"/>
        <w:jc w:val="left"/>
        <w:rPr>
          <w:rFonts w:ascii="Times New Roman" w:hAnsi="Times New Roman" w:eastAsia="华文中宋" w:cs="Times New Roman"/>
          <w:b/>
          <w:color w:val="000000"/>
          <w:sz w:val="28"/>
          <w:szCs w:val="28"/>
          <w:u w:val="single"/>
        </w:rPr>
      </w:pPr>
    </w:p>
    <w:p w14:paraId="69D6EC60">
      <w:pPr>
        <w:widowControl/>
        <w:ind w:left="1470" w:leftChars="500" w:hanging="420" w:hangingChars="150"/>
        <w:jc w:val="left"/>
        <w:rPr>
          <w:rFonts w:ascii="Times New Roman" w:hAnsi="Times New Roman" w:eastAsia="华文中宋" w:cs="Times New Roman"/>
          <w:b/>
          <w:color w:val="000000"/>
          <w:sz w:val="28"/>
          <w:szCs w:val="28"/>
          <w:u w:val="single"/>
        </w:rPr>
      </w:pPr>
    </w:p>
    <w:p w14:paraId="281FADE7">
      <w:pPr>
        <w:widowControl/>
        <w:ind w:left="1470" w:leftChars="500" w:hanging="420" w:hangingChars="150"/>
        <w:jc w:val="left"/>
        <w:rPr>
          <w:rFonts w:ascii="Times New Roman" w:hAnsi="Times New Roman" w:eastAsia="华文中宋" w:cs="Times New Roman"/>
          <w:b/>
          <w:color w:val="000000"/>
          <w:sz w:val="28"/>
          <w:szCs w:val="28"/>
          <w:u w:val="single"/>
        </w:rPr>
      </w:pPr>
    </w:p>
    <w:p w14:paraId="30D59B2B">
      <w:pPr>
        <w:widowControl/>
        <w:jc w:val="center"/>
        <w:rPr>
          <w:rFonts w:ascii="Times New Roman" w:hAnsi="Times New Roman" w:eastAsia="华文中宋" w:cs="Times New Roman"/>
          <w:b/>
          <w:color w:val="000000"/>
          <w:sz w:val="28"/>
          <w:szCs w:val="28"/>
        </w:rPr>
      </w:pPr>
      <w:r>
        <w:rPr>
          <w:rFonts w:hint="eastAsia" w:ascii="Times New Roman" w:hAnsi="Times New Roman" w:eastAsia="华文中宋" w:cs="Times New Roman"/>
          <w:b/>
          <w:color w:val="000000"/>
          <w:sz w:val="28"/>
          <w:szCs w:val="28"/>
        </w:rPr>
        <w:t>北京工业职业技术学院</w:t>
      </w:r>
    </w:p>
    <w:p w14:paraId="113EC2C6">
      <w:pPr>
        <w:widowControl/>
        <w:jc w:val="center"/>
        <w:rPr>
          <w:rFonts w:ascii="Times New Roman" w:hAnsi="Times New Roman" w:eastAsia="华文中宋" w:cs="Times New Roman"/>
          <w:b/>
          <w:color w:val="000000"/>
          <w:sz w:val="28"/>
          <w:szCs w:val="28"/>
          <w:u w:val="single"/>
        </w:rPr>
      </w:pPr>
    </w:p>
    <w:p w14:paraId="06F98410">
      <w:pPr>
        <w:widowControl/>
        <w:jc w:val="center"/>
        <w:rPr>
          <w:rFonts w:eastAsia="华文中宋"/>
          <w:b/>
          <w:color w:val="000000"/>
          <w:sz w:val="28"/>
          <w:szCs w:val="28"/>
          <w:u w:val="single"/>
        </w:rPr>
        <w:sectPr>
          <w:headerReference r:id="rId5" w:type="default"/>
          <w:footerReference r:id="rId6" w:type="default"/>
          <w:type w:val="continuous"/>
          <w:pgSz w:w="11906" w:h="16838"/>
          <w:pgMar w:top="1417" w:right="1134" w:bottom="1417" w:left="1701" w:header="851" w:footer="992" w:gutter="0"/>
          <w:cols w:space="720" w:num="1"/>
          <w:docGrid w:type="lines" w:linePitch="312" w:charSpace="0"/>
        </w:sectPr>
      </w:pPr>
    </w:p>
    <w:p w14:paraId="545C3D23">
      <w:pPr>
        <w:widowControl/>
        <w:jc w:val="center"/>
        <w:rPr>
          <w:rFonts w:ascii="Times New Roman" w:hAnsi="Times New Roman" w:eastAsia="华文中宋" w:cs="Times New Roman"/>
          <w:b/>
          <w:color w:val="000000"/>
          <w:sz w:val="28"/>
          <w:szCs w:val="28"/>
          <w:u w:val="single"/>
        </w:rPr>
      </w:pPr>
    </w:p>
    <w:p w14:paraId="032A3911">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r>
        <w:rPr>
          <w:rStyle w:val="57"/>
          <w:b/>
          <w:bCs/>
          <w:szCs w:val="30"/>
          <w:lang w:val="en-US" w:eastAsia="zh-CN" w:bidi="ar-SA"/>
        </w:rPr>
        <w:drawing>
          <wp:inline distT="0" distB="0" distL="114300" distR="114300">
            <wp:extent cx="5274310" cy="3703955"/>
            <wp:effectExtent l="0" t="0" r="8890" b="4445"/>
            <wp:docPr id="1" name="图片 3" descr="D:\北京工业职业技术学院项目管理系统V.0\db\2017\新建文件夹 (3)\[)3M]EP7}RT8D8XBQ_}I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北京工业职业技术学院项目管理系统V.0\db\2017\新建文件夹 (3)\[)3M]EP7}RT8D8XBQ_}I7(F.png"/>
                    <pic:cNvPicPr>
                      <a:picLocks noChangeAspect="1"/>
                    </pic:cNvPicPr>
                  </pic:nvPicPr>
                  <pic:blipFill>
                    <a:blip r:embed="rId25"/>
                    <a:stretch>
                      <a:fillRect/>
                    </a:stretch>
                  </pic:blipFill>
                  <pic:spPr>
                    <a:xfrm>
                      <a:off x="0" y="0"/>
                      <a:ext cx="5274310" cy="3703955"/>
                    </a:xfrm>
                    <a:prstGeom prst="rect">
                      <a:avLst/>
                    </a:prstGeom>
                    <a:noFill/>
                    <a:ln>
                      <a:noFill/>
                    </a:ln>
                  </pic:spPr>
                </pic:pic>
              </a:graphicData>
            </a:graphic>
          </wp:inline>
        </w:drawing>
      </w:r>
      <w:r>
        <w:rPr>
          <w:rFonts w:ascii="宋体" w:hAnsi="Times New Roman" w:eastAsia="宋体" w:cs="Times New Roman"/>
          <w:b/>
          <w:kern w:val="44"/>
          <w:sz w:val="32"/>
          <w:szCs w:val="20"/>
          <w:lang w:val="en-US" w:eastAsia="zh-CN" w:bidi="ar-SA"/>
        </w:rPr>
        <w:t xml:space="preserve"> </w:t>
      </w:r>
    </w:p>
    <w:p w14:paraId="60677A98">
      <w:pPr>
        <w:widowControl/>
        <w:jc w:val="center"/>
        <w:rPr>
          <w:rStyle w:val="57"/>
          <w:rFonts w:ascii="Times New Roman" w:hAnsi="Times New Roman" w:eastAsia="宋体" w:cs="Times New Roman"/>
          <w:sz w:val="30"/>
          <w:szCs w:val="30"/>
        </w:rPr>
      </w:pPr>
    </w:p>
    <w:p w14:paraId="159D581B">
      <w:pPr>
        <w:widowControl/>
        <w:jc w:val="center"/>
        <w:rPr>
          <w:rStyle w:val="57"/>
          <w:rFonts w:ascii="Times New Roman" w:hAnsi="Times New Roman" w:eastAsia="宋体" w:cs="Times New Roman"/>
          <w:sz w:val="30"/>
          <w:szCs w:val="30"/>
        </w:rPr>
      </w:pPr>
    </w:p>
    <w:p w14:paraId="4F86051A">
      <w:pPr>
        <w:widowControl/>
        <w:rPr>
          <w:rStyle w:val="57"/>
          <w:rFonts w:ascii="Times New Roman" w:hAnsi="Times New Roman" w:eastAsia="宋体" w:cs="Times New Roman"/>
          <w:sz w:val="30"/>
          <w:szCs w:val="30"/>
        </w:rPr>
      </w:pPr>
    </w:p>
    <w:p w14:paraId="06532147">
      <w:pPr>
        <w:widowControl/>
        <w:jc w:val="center"/>
        <w:rPr>
          <w:rStyle w:val="57"/>
          <w:rFonts w:ascii="Times New Roman" w:hAnsi="Times New Roman" w:eastAsia="宋体" w:cs="Times New Roman"/>
          <w:sz w:val="30"/>
          <w:szCs w:val="30"/>
        </w:rPr>
      </w:pPr>
    </w:p>
    <w:p w14:paraId="23829EBA">
      <w:pPr>
        <w:widowControl/>
        <w:jc w:val="center"/>
        <w:rPr>
          <w:rStyle w:val="57"/>
          <w:rFonts w:ascii="Times New Roman" w:hAnsi="Times New Roman" w:eastAsia="宋体" w:cs="Times New Roman"/>
          <w:sz w:val="30"/>
          <w:szCs w:val="30"/>
        </w:rPr>
      </w:pPr>
    </w:p>
    <w:p w14:paraId="1C73B348">
      <w:pPr>
        <w:widowControl/>
        <w:rPr>
          <w:rStyle w:val="57"/>
          <w:rFonts w:ascii="Times New Roman" w:hAnsi="Times New Roman" w:eastAsia="宋体" w:cs="Times New Roman"/>
          <w:sz w:val="30"/>
          <w:szCs w:val="30"/>
        </w:rPr>
      </w:pPr>
    </w:p>
    <w:p w14:paraId="0B75DCFC">
      <w:pPr>
        <w:widowControl/>
        <w:jc w:val="center"/>
        <w:rPr>
          <w:rStyle w:val="57"/>
          <w:rFonts w:ascii="Times New Roman" w:hAnsi="Times New Roman" w:eastAsia="宋体" w:cs="Times New Roman"/>
          <w:sz w:val="30"/>
          <w:szCs w:val="30"/>
        </w:rPr>
      </w:pPr>
    </w:p>
    <w:p w14:paraId="73D01FDC">
      <w:pPr>
        <w:widowControl/>
        <w:jc w:val="center"/>
        <w:rPr>
          <w:rStyle w:val="57"/>
          <w:sz w:val="30"/>
          <w:szCs w:val="30"/>
        </w:rPr>
        <w:sectPr>
          <w:headerReference r:id="rId7" w:type="default"/>
          <w:footerReference r:id="rId8" w:type="default"/>
          <w:type w:val="continuous"/>
          <w:pgSz w:w="11906" w:h="16838"/>
          <w:pgMar w:top="1417" w:right="1134" w:bottom="1417" w:left="1701" w:header="851" w:footer="992" w:gutter="0"/>
          <w:pgNumType w:fmt="decimal"/>
          <w:cols w:space="720" w:num="1"/>
          <w:docGrid w:type="lines" w:linePitch="312" w:charSpace="0"/>
        </w:sectPr>
      </w:pPr>
    </w:p>
    <w:p w14:paraId="77B63A41">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bookmarkStart w:id="681" w:name="_Toc405878274"/>
      <w:r>
        <w:rPr>
          <w:rFonts w:hint="eastAsia" w:ascii="宋体" w:hAnsi="Times New Roman" w:eastAsia="宋体" w:cs="Times New Roman"/>
          <w:b/>
          <w:kern w:val="44"/>
          <w:sz w:val="32"/>
          <w:szCs w:val="20"/>
          <w:lang w:val="en-US" w:eastAsia="zh-CN" w:bidi="ar-SA"/>
        </w:rPr>
        <w:t>一、</w:t>
      </w:r>
      <w:r>
        <w:rPr>
          <w:rFonts w:ascii="宋体" w:hAnsi="Times New Roman" w:eastAsia="宋体" w:cs="Times New Roman"/>
          <w:b/>
          <w:kern w:val="44"/>
          <w:sz w:val="32"/>
          <w:szCs w:val="20"/>
          <w:lang w:val="en-US" w:eastAsia="zh-CN" w:bidi="ar-SA"/>
        </w:rPr>
        <w:t>合同协议书</w:t>
      </w:r>
      <w:bookmarkEnd w:id="681"/>
    </w:p>
    <w:p w14:paraId="1762AA75">
      <w:pPr>
        <w:pStyle w:val="200"/>
        <w:spacing w:line="360" w:lineRule="auto"/>
        <w:ind w:firstLine="36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编号：</w:t>
      </w:r>
      <w:r>
        <w:rPr>
          <w:rFonts w:ascii="Times New Roman" w:hAnsi="Times New Roman" w:eastAsia="宋体" w:cs="Times New Roman"/>
          <w:color w:val="000000"/>
          <w:sz w:val="24"/>
          <w:u w:val="single"/>
        </w:rPr>
        <w:t xml:space="preserve">            </w:t>
      </w:r>
    </w:p>
    <w:p w14:paraId="260DEDFF">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发包人（全称）：</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北京工业职业技术学院</w:t>
      </w:r>
      <w:r>
        <w:rPr>
          <w:rFonts w:ascii="Times New Roman" w:hAnsi="Times New Roman" w:eastAsia="宋体" w:cs="Times New Roman"/>
          <w:color w:val="000000"/>
          <w:sz w:val="24"/>
          <w:u w:val="single"/>
        </w:rPr>
        <w:t xml:space="preserve">                                  </w:t>
      </w:r>
      <w:r>
        <w:rPr>
          <w:rFonts w:ascii="Times New Roman" w:hAnsi="Times New Roman" w:eastAsia="宋体" w:cs="Times New Roman"/>
          <w:b/>
          <w:color w:val="000000"/>
          <w:sz w:val="24"/>
          <w:u w:val="single"/>
        </w:rPr>
        <w:t xml:space="preserve"> </w:t>
      </w:r>
    </w:p>
    <w:p w14:paraId="76FFAF1A">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法 定 代 表 人：</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柳长安</w:t>
      </w:r>
      <w:r>
        <w:rPr>
          <w:rFonts w:ascii="Times New Roman" w:hAnsi="Times New Roman" w:eastAsia="宋体" w:cs="Times New Roman"/>
          <w:color w:val="000000"/>
          <w:sz w:val="24"/>
          <w:u w:val="single"/>
        </w:rPr>
        <w:t xml:space="preserve">                                            </w:t>
      </w:r>
      <w:r>
        <w:rPr>
          <w:rFonts w:ascii="Times New Roman" w:hAnsi="Times New Roman" w:eastAsia="宋体" w:cs="Times New Roman"/>
          <w:b/>
          <w:color w:val="000000"/>
          <w:sz w:val="24"/>
          <w:u w:val="single"/>
        </w:rPr>
        <w:t xml:space="preserve"> </w:t>
      </w:r>
    </w:p>
    <w:p w14:paraId="617824C4">
      <w:pPr>
        <w:spacing w:line="360" w:lineRule="auto"/>
        <w:rPr>
          <w:rFonts w:ascii="Times New Roman" w:hAnsi="Times New Roman" w:eastAsia="宋体" w:cs="Times New Roman"/>
          <w:b/>
          <w:color w:val="000000"/>
          <w:sz w:val="24"/>
          <w:u w:val="single"/>
        </w:rPr>
      </w:pPr>
      <w:r>
        <w:rPr>
          <w:rFonts w:ascii="Times New Roman" w:hAnsi="Times New Roman" w:eastAsia="宋体" w:cs="Times New Roman"/>
          <w:b/>
          <w:color w:val="000000"/>
          <w:sz w:val="24"/>
        </w:rPr>
        <w:t>法定注册地址：</w:t>
      </w:r>
      <w:r>
        <w:rPr>
          <w:rFonts w:hint="eastAsia" w:ascii="Times New Roman" w:hAnsi="Times New Roman" w:eastAsia="宋体" w:cs="Times New Roman"/>
          <w:color w:val="000000"/>
          <w:sz w:val="24"/>
          <w:u w:val="single"/>
        </w:rPr>
        <w:t xml:space="preserve"> 北京市石景山区石门路368号</w:t>
      </w:r>
      <w:r>
        <w:rPr>
          <w:rFonts w:ascii="Times New Roman" w:hAnsi="Times New Roman" w:eastAsia="宋体" w:cs="Times New Roman"/>
          <w:color w:val="000000"/>
          <w:sz w:val="24"/>
          <w:u w:val="single"/>
        </w:rPr>
        <w:t xml:space="preserve">                                </w:t>
      </w:r>
    </w:p>
    <w:p w14:paraId="7FDA14D5">
      <w:pPr>
        <w:spacing w:line="360" w:lineRule="auto"/>
        <w:rPr>
          <w:rFonts w:ascii="Times New Roman" w:hAnsi="Times New Roman" w:eastAsia="宋体" w:cs="Times New Roman"/>
          <w:b/>
          <w:color w:val="000000"/>
          <w:sz w:val="24"/>
        </w:rPr>
      </w:pPr>
    </w:p>
    <w:p w14:paraId="74110B84">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承包人（全称）：</w:t>
      </w:r>
      <w:r>
        <w:rPr>
          <w:rFonts w:ascii="Times New Roman" w:hAnsi="Times New Roman" w:eastAsia="宋体" w:cs="Times New Roman"/>
          <w:color w:val="000000"/>
          <w:sz w:val="24"/>
          <w:u w:val="single"/>
        </w:rPr>
        <w:t xml:space="preserve">                                                          </w:t>
      </w:r>
    </w:p>
    <w:p w14:paraId="537F7939">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法 定 代 表 人：</w:t>
      </w:r>
      <w:r>
        <w:rPr>
          <w:rFonts w:ascii="Times New Roman" w:hAnsi="Times New Roman" w:eastAsia="宋体" w:cs="Times New Roman"/>
          <w:color w:val="000000"/>
          <w:sz w:val="24"/>
          <w:u w:val="single"/>
        </w:rPr>
        <w:t xml:space="preserve">                                                        </w:t>
      </w:r>
      <w:r>
        <w:rPr>
          <w:rFonts w:ascii="Times New Roman" w:hAnsi="Times New Roman" w:eastAsia="宋体" w:cs="Times New Roman"/>
          <w:b/>
          <w:color w:val="000000"/>
          <w:sz w:val="24"/>
          <w:u w:val="single"/>
        </w:rPr>
        <w:t xml:space="preserve"> </w:t>
      </w:r>
    </w:p>
    <w:p w14:paraId="7F5360A7">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法定注册地址：</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BF2A835">
      <w:pPr>
        <w:spacing w:line="360" w:lineRule="auto"/>
        <w:ind w:firstLine="490"/>
        <w:rPr>
          <w:rFonts w:ascii="Times New Roman" w:hAnsi="Times New Roman" w:eastAsia="宋体" w:cs="Times New Roman"/>
          <w:color w:val="000000"/>
          <w:sz w:val="24"/>
        </w:rPr>
      </w:pPr>
    </w:p>
    <w:p w14:paraId="154FA246">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发包人为建设</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（以下简称“本工程”），已接受承包人提出的承担本工程的施工、竣工、交付并维修其任何缺陷的投标。依照</w:t>
      </w:r>
      <w:r>
        <w:rPr>
          <w:rFonts w:ascii="Times New Roman" w:hAnsi="Times New Roman" w:eastAsia="宋体" w:cs="Times New Roman"/>
          <w:color w:val="000000"/>
          <w:sz w:val="24"/>
        </w:rPr>
        <w:t>《中华人民共和国</w:t>
      </w:r>
      <w:r>
        <w:rPr>
          <w:rFonts w:hint="eastAsia" w:ascii="Times New Roman" w:hAnsi="Times New Roman" w:eastAsia="宋体" w:cs="Times New Roman"/>
          <w:color w:val="000000"/>
          <w:sz w:val="24"/>
          <w:lang w:val="en-US" w:eastAsia="zh-CN"/>
        </w:rPr>
        <w:t>民法典</w:t>
      </w:r>
      <w:r>
        <w:rPr>
          <w:rFonts w:ascii="Times New Roman" w:hAnsi="Times New Roman" w:eastAsia="宋体" w:cs="Times New Roman"/>
          <w:color w:val="000000"/>
          <w:sz w:val="24"/>
        </w:rPr>
        <w:t>》、</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中华人民共和国政府采购法</w:t>
      </w:r>
      <w:r>
        <w:rPr>
          <w:rFonts w:ascii="Times New Roman" w:hAnsi="Times New Roman" w:eastAsia="宋体" w:cs="Times New Roman"/>
          <w:color w:val="000000"/>
          <w:sz w:val="24"/>
        </w:rPr>
        <w:t>》、《中华人民共和国建筑法》、及其他有关法律、行政法规，遵循平等、自愿、公平和诚实信用的原则，双方共同达成并订立如下协议。</w:t>
      </w:r>
    </w:p>
    <w:p w14:paraId="62687AA3">
      <w:pPr>
        <w:spacing w:line="360" w:lineRule="auto"/>
        <w:ind w:firstLine="588" w:firstLineChars="245"/>
        <w:outlineLvl w:val="0"/>
        <w:rPr>
          <w:rFonts w:ascii="Times New Roman" w:hAnsi="Times New Roman" w:eastAsia="宋体" w:cs="Times New Roman"/>
          <w:color w:val="000000"/>
          <w:sz w:val="24"/>
        </w:rPr>
      </w:pPr>
      <w:bookmarkStart w:id="682" w:name="_Toc405878275"/>
      <w:r>
        <w:rPr>
          <w:rFonts w:ascii="Times New Roman" w:hAnsi="Times New Roman" w:eastAsia="宋体" w:cs="Times New Roman"/>
          <w:color w:val="000000"/>
          <w:sz w:val="24"/>
        </w:rPr>
        <w:t>一、工程概况</w:t>
      </w:r>
      <w:bookmarkEnd w:id="682"/>
    </w:p>
    <w:p w14:paraId="4D7E5B8C">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工程名称：</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（项目名称）</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标段</w:t>
      </w:r>
    </w:p>
    <w:p w14:paraId="32EBF0AD">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工程地点：</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0EE00A68">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工程内容：</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096F5582">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群体工程应附“承包人承揽工程项目一览表”</w:t>
      </w:r>
    </w:p>
    <w:p w14:paraId="3D2B6623">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工程立项批准文号：</w:t>
      </w:r>
      <w:r>
        <w:rPr>
          <w:rFonts w:ascii="Times New Roman" w:hAnsi="Times New Roman" w:eastAsia="宋体" w:cs="Times New Roman"/>
          <w:color w:val="000000"/>
          <w:sz w:val="24"/>
          <w:u w:val="single"/>
        </w:rPr>
        <w:t xml:space="preserve">                                       </w:t>
      </w:r>
    </w:p>
    <w:p w14:paraId="3C3EC74E">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资金来源：</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政府拨款</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4543C170">
      <w:pPr>
        <w:spacing w:line="360" w:lineRule="auto"/>
        <w:ind w:firstLine="588" w:firstLineChars="245"/>
        <w:outlineLvl w:val="0"/>
        <w:rPr>
          <w:rFonts w:ascii="Times New Roman" w:hAnsi="Times New Roman" w:eastAsia="宋体" w:cs="Times New Roman"/>
          <w:color w:val="000000"/>
          <w:sz w:val="24"/>
        </w:rPr>
      </w:pPr>
      <w:bookmarkStart w:id="683" w:name="_Toc405878276"/>
      <w:r>
        <w:rPr>
          <w:rFonts w:ascii="Times New Roman" w:hAnsi="Times New Roman" w:eastAsia="宋体" w:cs="Times New Roman"/>
          <w:color w:val="000000"/>
          <w:sz w:val="24"/>
        </w:rPr>
        <w:t>二、工程承包范围</w:t>
      </w:r>
      <w:bookmarkEnd w:id="683"/>
    </w:p>
    <w:p w14:paraId="284544DE">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承包范围：</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53519750">
      <w:pPr>
        <w:spacing w:line="360" w:lineRule="auto"/>
        <w:ind w:firstLine="588" w:firstLineChars="245"/>
        <w:outlineLvl w:val="0"/>
        <w:rPr>
          <w:rFonts w:ascii="Times New Roman" w:hAnsi="Times New Roman" w:eastAsia="宋体" w:cs="Times New Roman"/>
          <w:color w:val="000000"/>
          <w:sz w:val="24"/>
        </w:rPr>
      </w:pPr>
      <w:bookmarkStart w:id="684" w:name="_Toc405878277"/>
      <w:r>
        <w:rPr>
          <w:rFonts w:ascii="Times New Roman" w:hAnsi="Times New Roman" w:eastAsia="宋体" w:cs="Times New Roman"/>
          <w:color w:val="000000"/>
          <w:sz w:val="24"/>
        </w:rPr>
        <w:t>三、合同工期</w:t>
      </w:r>
      <w:bookmarkEnd w:id="684"/>
    </w:p>
    <w:p w14:paraId="621520B7">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计划开工日期：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月</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日</w:t>
      </w:r>
    </w:p>
    <w:p w14:paraId="12478AC0">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计划竣工日期：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月</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日</w:t>
      </w:r>
    </w:p>
    <w:p w14:paraId="3AA6C324">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工期总日历天数</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天，自监理人发出的开工通知中载明的开工日期起算。</w:t>
      </w:r>
    </w:p>
    <w:p w14:paraId="4F2797DC">
      <w:pPr>
        <w:spacing w:line="360" w:lineRule="auto"/>
        <w:ind w:firstLine="588" w:firstLineChars="245"/>
        <w:outlineLvl w:val="0"/>
        <w:rPr>
          <w:rFonts w:ascii="Times New Roman" w:hAnsi="Times New Roman" w:eastAsia="宋体" w:cs="Times New Roman"/>
          <w:color w:val="000000"/>
          <w:sz w:val="24"/>
        </w:rPr>
      </w:pPr>
      <w:bookmarkStart w:id="685" w:name="_Toc405878278"/>
      <w:r>
        <w:rPr>
          <w:rFonts w:ascii="Times New Roman" w:hAnsi="Times New Roman" w:eastAsia="宋体" w:cs="Times New Roman"/>
          <w:color w:val="000000"/>
          <w:sz w:val="24"/>
        </w:rPr>
        <w:t>四、质量标准</w:t>
      </w:r>
      <w:bookmarkEnd w:id="685"/>
    </w:p>
    <w:p w14:paraId="5482C93E">
      <w:pPr>
        <w:spacing w:line="360" w:lineRule="auto"/>
        <w:ind w:firstLine="490"/>
        <w:rPr>
          <w:rFonts w:ascii="Times New Roman" w:hAnsi="Times New Roman" w:eastAsia="宋体" w:cs="Times New Roman"/>
          <w:color w:val="000000"/>
          <w:sz w:val="24"/>
          <w:u w:val="single"/>
        </w:rPr>
      </w:pPr>
      <w:r>
        <w:rPr>
          <w:rFonts w:ascii="Times New Roman" w:hAnsi="Times New Roman" w:eastAsia="宋体" w:cs="Times New Roman"/>
          <w:color w:val="000000"/>
          <w:sz w:val="24"/>
        </w:rPr>
        <w:t>工程质量标准：</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B928A43">
      <w:pPr>
        <w:spacing w:line="360" w:lineRule="auto"/>
        <w:ind w:firstLine="588" w:firstLineChars="245"/>
        <w:outlineLvl w:val="0"/>
        <w:rPr>
          <w:rFonts w:ascii="Times New Roman" w:hAnsi="Times New Roman" w:eastAsia="宋体" w:cs="Times New Roman"/>
          <w:color w:val="000000"/>
          <w:sz w:val="24"/>
        </w:rPr>
      </w:pPr>
      <w:bookmarkStart w:id="686" w:name="_Toc405878279"/>
      <w:r>
        <w:rPr>
          <w:rFonts w:ascii="Times New Roman" w:hAnsi="Times New Roman" w:eastAsia="宋体" w:cs="Times New Roman"/>
          <w:color w:val="000000"/>
          <w:sz w:val="24"/>
        </w:rPr>
        <w:t>五、合同形式</w:t>
      </w:r>
      <w:bookmarkEnd w:id="686"/>
    </w:p>
    <w:p w14:paraId="32DF881E">
      <w:pPr>
        <w:spacing w:line="360" w:lineRule="auto"/>
        <w:ind w:firstLine="490"/>
        <w:rPr>
          <w:rFonts w:ascii="Times New Roman" w:hAnsi="Times New Roman" w:eastAsia="宋体" w:cs="Times New Roman"/>
          <w:b/>
          <w:color w:val="000000"/>
          <w:sz w:val="24"/>
          <w:u w:val="single"/>
        </w:rPr>
      </w:pPr>
      <w:r>
        <w:rPr>
          <w:rFonts w:ascii="Times New Roman" w:hAnsi="Times New Roman" w:eastAsia="宋体" w:cs="Times New Roman"/>
          <w:color w:val="000000"/>
          <w:sz w:val="24"/>
        </w:rPr>
        <w:t xml:space="preserve">本合同采用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合同形式。</w:t>
      </w:r>
    </w:p>
    <w:p w14:paraId="5426A860">
      <w:pPr>
        <w:spacing w:line="360" w:lineRule="auto"/>
        <w:ind w:firstLine="600" w:firstLineChars="250"/>
        <w:outlineLvl w:val="0"/>
        <w:rPr>
          <w:rFonts w:ascii="Times New Roman" w:hAnsi="Times New Roman" w:eastAsia="宋体" w:cs="Times New Roman"/>
          <w:bCs/>
          <w:color w:val="000000"/>
          <w:sz w:val="24"/>
        </w:rPr>
      </w:pPr>
      <w:bookmarkStart w:id="687" w:name="_Toc405878280"/>
      <w:r>
        <w:rPr>
          <w:rFonts w:ascii="Times New Roman" w:hAnsi="Times New Roman" w:eastAsia="宋体" w:cs="Times New Roman"/>
          <w:bCs/>
          <w:color w:val="000000"/>
          <w:sz w:val="24"/>
        </w:rPr>
        <w:t>六、签约合同价</w:t>
      </w:r>
      <w:bookmarkEnd w:id="687"/>
    </w:p>
    <w:p w14:paraId="5CABF08B">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金额（大写）：</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元（人民币）</w:t>
      </w:r>
    </w:p>
    <w:p w14:paraId="15A1E904">
      <w:pPr>
        <w:spacing w:line="360" w:lineRule="auto"/>
        <w:ind w:firstLine="960" w:firstLineChars="400"/>
        <w:rPr>
          <w:rFonts w:ascii="Times New Roman" w:hAnsi="Times New Roman" w:eastAsia="宋体" w:cs="Times New Roman"/>
          <w:color w:val="000000"/>
          <w:sz w:val="24"/>
        </w:rPr>
      </w:pP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小写）</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元</w:t>
      </w:r>
    </w:p>
    <w:p w14:paraId="3E00F7DF">
      <w:pPr>
        <w:spacing w:line="360" w:lineRule="auto"/>
        <w:ind w:firstLine="720" w:firstLineChars="300"/>
        <w:rPr>
          <w:rFonts w:ascii="Times New Roman" w:hAnsi="Times New Roman" w:eastAsia="宋体" w:cs="Times New Roman"/>
          <w:color w:val="000000"/>
          <w:sz w:val="24"/>
        </w:rPr>
      </w:pPr>
      <w:r>
        <w:rPr>
          <w:rFonts w:ascii="Times New Roman" w:hAnsi="Times New Roman" w:eastAsia="宋体" w:cs="Times New Roman"/>
          <w:color w:val="000000"/>
          <w:sz w:val="24"/>
        </w:rPr>
        <w:t>其中：安全文明施工费：</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元</w:t>
      </w:r>
    </w:p>
    <w:p w14:paraId="039F1804">
      <w:pPr>
        <w:spacing w:line="360" w:lineRule="auto"/>
        <w:ind w:firstLine="63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暂列金额：</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元</w:t>
      </w:r>
    </w:p>
    <w:p w14:paraId="4BAE3453">
      <w:pPr>
        <w:spacing w:line="360" w:lineRule="auto"/>
        <w:ind w:firstLine="559" w:firstLineChars="232"/>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       </w:t>
      </w:r>
      <w:r>
        <w:rPr>
          <w:rFonts w:ascii="Times New Roman" w:hAnsi="Times New Roman" w:eastAsia="宋体" w:cs="Times New Roman"/>
          <w:bCs/>
          <w:color w:val="000000"/>
          <w:sz w:val="24"/>
        </w:rPr>
        <w:t>专业工程暂估价：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元</w:t>
      </w:r>
    </w:p>
    <w:p w14:paraId="6A7530DF">
      <w:pPr>
        <w:spacing w:line="360" w:lineRule="auto"/>
        <w:ind w:firstLine="480" w:firstLineChars="200"/>
        <w:outlineLvl w:val="0"/>
        <w:rPr>
          <w:rFonts w:ascii="Times New Roman" w:hAnsi="Times New Roman" w:eastAsia="宋体" w:cs="Times New Roman"/>
          <w:bCs/>
          <w:color w:val="000000"/>
          <w:sz w:val="24"/>
        </w:rPr>
      </w:pPr>
      <w:bookmarkStart w:id="688" w:name="_Toc405878281"/>
      <w:r>
        <w:rPr>
          <w:rFonts w:ascii="Times New Roman" w:hAnsi="Times New Roman" w:eastAsia="宋体" w:cs="Times New Roman"/>
          <w:bCs/>
          <w:color w:val="000000"/>
          <w:sz w:val="24"/>
        </w:rPr>
        <w:t>七、承包人项目经理：</w:t>
      </w:r>
      <w:bookmarkEnd w:id="688"/>
    </w:p>
    <w:p w14:paraId="65C493B8">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姓名：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        </w:t>
      </w:r>
    </w:p>
    <w:p w14:paraId="1C6FF1E2">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职称：</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A9FE369">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身份证号：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83B5EDC">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建造师执业资格证书号：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5BC2202C">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建造师注册证号: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7E1736D9">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建造师执业印号: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033B749">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安全生产考核合格证号：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63B7489">
      <w:pPr>
        <w:spacing w:line="360" w:lineRule="auto"/>
        <w:ind w:firstLine="588" w:firstLineChars="245"/>
        <w:outlineLvl w:val="0"/>
        <w:rPr>
          <w:rFonts w:ascii="Times New Roman" w:hAnsi="Times New Roman" w:eastAsia="宋体" w:cs="Times New Roman"/>
          <w:color w:val="000000"/>
          <w:sz w:val="24"/>
        </w:rPr>
      </w:pPr>
      <w:bookmarkStart w:id="689" w:name="_Toc405878282"/>
      <w:r>
        <w:rPr>
          <w:rFonts w:ascii="Times New Roman" w:hAnsi="Times New Roman" w:eastAsia="宋体" w:cs="Times New Roman"/>
          <w:color w:val="000000"/>
          <w:sz w:val="24"/>
        </w:rPr>
        <w:t>八、合同文件的组成</w:t>
      </w:r>
      <w:bookmarkEnd w:id="689"/>
    </w:p>
    <w:p w14:paraId="25F40B1C">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下列文件共同构成合同文件：</w:t>
      </w:r>
    </w:p>
    <w:p w14:paraId="296D62E3">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1、本协议书；</w:t>
      </w:r>
    </w:p>
    <w:p w14:paraId="5D06439A">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2、中标通知书；</w:t>
      </w:r>
    </w:p>
    <w:p w14:paraId="4DF90AB2">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3、投标函及投标函附录；</w:t>
      </w:r>
    </w:p>
    <w:p w14:paraId="7B7CE2BA">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4、专用合同条款；</w:t>
      </w:r>
    </w:p>
    <w:p w14:paraId="0BD90845">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5、通用合同条款；</w:t>
      </w:r>
    </w:p>
    <w:p w14:paraId="434A7C3F">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6、技术标准和要求；</w:t>
      </w:r>
    </w:p>
    <w:p w14:paraId="7FFE92DC">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7、图纸；</w:t>
      </w:r>
    </w:p>
    <w:p w14:paraId="6E623669">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8、已标价工程量清单；</w:t>
      </w:r>
    </w:p>
    <w:p w14:paraId="407663C5">
      <w:pPr>
        <w:pStyle w:val="19"/>
        <w:spacing w:line="360" w:lineRule="auto"/>
        <w:ind w:firstLine="136" w:firstLineChars="57"/>
        <w:rPr>
          <w:rFonts w:ascii="Times New Roman" w:hAnsi="Times New Roman" w:eastAsia="宋体" w:cs="Times New Roman"/>
          <w:color w:val="000000"/>
          <w:sz w:val="24"/>
        </w:rPr>
      </w:pPr>
      <w:r>
        <w:rPr>
          <w:rFonts w:ascii="Times New Roman" w:hAnsi="Times New Roman" w:eastAsia="宋体" w:cs="Times New Roman"/>
          <w:color w:val="000000"/>
          <w:sz w:val="24"/>
        </w:rPr>
        <w:t>9、其他合同文件。</w:t>
      </w:r>
    </w:p>
    <w:p w14:paraId="7B75A729">
      <w:pPr>
        <w:spacing w:line="360" w:lineRule="auto"/>
        <w:ind w:firstLine="600" w:firstLineChars="250"/>
        <w:rPr>
          <w:rFonts w:ascii="Times New Roman" w:hAnsi="Times New Roman" w:eastAsia="宋体" w:cs="Times New Roman"/>
          <w:color w:val="000000"/>
          <w:sz w:val="24"/>
        </w:rPr>
      </w:pPr>
      <w:r>
        <w:rPr>
          <w:rFonts w:ascii="Times New Roman" w:hAnsi="Times New Roman" w:eastAsia="宋体" w:cs="Times New Roman"/>
          <w:color w:val="000000"/>
          <w:sz w:val="24"/>
        </w:rPr>
        <w:t>上述文件互相补充和解释，如有不明确或不一致之处，以合同约定次序在先者为准。</w:t>
      </w:r>
    </w:p>
    <w:p w14:paraId="6C5A12AC">
      <w:pPr>
        <w:spacing w:line="360" w:lineRule="auto"/>
        <w:ind w:firstLine="600" w:firstLineChars="250"/>
        <w:outlineLvl w:val="0"/>
        <w:rPr>
          <w:rFonts w:ascii="Times New Roman" w:hAnsi="Times New Roman" w:eastAsia="宋体" w:cs="Times New Roman"/>
          <w:color w:val="000000"/>
          <w:sz w:val="24"/>
        </w:rPr>
      </w:pPr>
      <w:bookmarkStart w:id="690" w:name="_Toc405878283"/>
      <w:r>
        <w:rPr>
          <w:rFonts w:ascii="Times New Roman" w:hAnsi="Times New Roman" w:eastAsia="宋体" w:cs="Times New Roman"/>
          <w:color w:val="000000"/>
          <w:sz w:val="24"/>
        </w:rPr>
        <w:t>九、本协议书中有关词语定义与合同条款中的定义相同。</w:t>
      </w:r>
      <w:bookmarkEnd w:id="690"/>
    </w:p>
    <w:p w14:paraId="7CB9274B">
      <w:pPr>
        <w:spacing w:line="360" w:lineRule="auto"/>
        <w:ind w:firstLine="600" w:firstLineChars="250"/>
        <w:outlineLvl w:val="0"/>
        <w:rPr>
          <w:rFonts w:ascii="Times New Roman" w:hAnsi="Times New Roman" w:eastAsia="宋体" w:cs="Times New Roman"/>
          <w:color w:val="000000"/>
          <w:sz w:val="24"/>
        </w:rPr>
      </w:pPr>
      <w:bookmarkStart w:id="691" w:name="_Toc405878284"/>
      <w:r>
        <w:rPr>
          <w:rFonts w:ascii="Times New Roman" w:hAnsi="Times New Roman" w:eastAsia="宋体" w:cs="Times New Roman"/>
          <w:color w:val="000000"/>
          <w:sz w:val="24"/>
        </w:rPr>
        <w:t>十、承包人承诺按照合同约定进行施工、竣工、交付并承担质量缺陷保修责任。</w:t>
      </w:r>
      <w:bookmarkEnd w:id="691"/>
    </w:p>
    <w:p w14:paraId="05EF98B1">
      <w:pPr>
        <w:spacing w:line="360" w:lineRule="auto"/>
        <w:ind w:firstLine="600" w:firstLineChars="250"/>
        <w:outlineLvl w:val="0"/>
        <w:rPr>
          <w:rFonts w:ascii="Times New Roman" w:hAnsi="Times New Roman" w:eastAsia="宋体" w:cs="Times New Roman"/>
          <w:color w:val="000000"/>
          <w:sz w:val="24"/>
        </w:rPr>
      </w:pPr>
      <w:bookmarkStart w:id="692" w:name="_Toc405878285"/>
      <w:r>
        <w:rPr>
          <w:rFonts w:ascii="Times New Roman" w:hAnsi="Times New Roman" w:eastAsia="宋体" w:cs="Times New Roman"/>
          <w:color w:val="000000"/>
          <w:sz w:val="24"/>
        </w:rPr>
        <w:t>十一、发包人承诺按照合同约定的条件、期限和方式向承包人支付合同价款。</w:t>
      </w:r>
      <w:bookmarkEnd w:id="692"/>
    </w:p>
    <w:p w14:paraId="52F7BEA2">
      <w:pPr>
        <w:spacing w:line="360" w:lineRule="auto"/>
        <w:ind w:firstLine="600" w:firstLineChars="250"/>
        <w:outlineLvl w:val="0"/>
        <w:rPr>
          <w:rFonts w:ascii="Times New Roman" w:hAnsi="Times New Roman" w:eastAsia="宋体" w:cs="Times New Roman"/>
          <w:color w:val="000000"/>
          <w:sz w:val="24"/>
        </w:rPr>
      </w:pPr>
      <w:bookmarkStart w:id="693" w:name="_Toc405878286"/>
      <w:r>
        <w:rPr>
          <w:rFonts w:ascii="Times New Roman" w:hAnsi="Times New Roman" w:eastAsia="宋体" w:cs="Times New Roman"/>
          <w:color w:val="000000"/>
          <w:sz w:val="24"/>
        </w:rPr>
        <w:t>十二、本协议书连同其他合同文件正本一式两份，合同双方各执一份；副本一式</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份，其中一份在合同报送建设行政主管部门备案时留存。</w:t>
      </w:r>
      <w:bookmarkEnd w:id="693"/>
    </w:p>
    <w:p w14:paraId="2AD2E244">
      <w:pPr>
        <w:spacing w:line="360" w:lineRule="auto"/>
        <w:ind w:firstLine="600" w:firstLineChars="250"/>
        <w:outlineLvl w:val="0"/>
        <w:rPr>
          <w:rFonts w:ascii="Times New Roman" w:hAnsi="Times New Roman" w:eastAsia="宋体" w:cs="Times New Roman"/>
          <w:color w:val="000000"/>
          <w:sz w:val="24"/>
        </w:rPr>
      </w:pPr>
      <w:bookmarkStart w:id="694" w:name="_Toc405878287"/>
      <w:r>
        <w:rPr>
          <w:rFonts w:ascii="Times New Roman" w:hAnsi="Times New Roman" w:eastAsia="宋体" w:cs="Times New Roman"/>
          <w:color w:val="000000"/>
          <w:sz w:val="24"/>
        </w:rPr>
        <w:t>十三、合同未尽事宜，双方另行签订补充协议，但不得背离本协议第八条所约定的合同文件的实质性内容。补充协议是合同文件的组成部分。</w:t>
      </w:r>
      <w:bookmarkEnd w:id="694"/>
    </w:p>
    <w:p w14:paraId="0E6607A5">
      <w:pPr>
        <w:spacing w:beforeLines="100" w:afterLines="100" w:line="400" w:lineRule="exact"/>
        <w:rPr>
          <w:rFonts w:ascii="Times New Roman" w:hAnsi="Times New Roman" w:eastAsia="宋体" w:cs="Times New Roman"/>
          <w:color w:val="000000"/>
          <w:szCs w:val="21"/>
        </w:rPr>
      </w:pPr>
      <w:r>
        <w:rPr>
          <w:rFonts w:hint="eastAsia" w:ascii="Times New Roman" w:hAnsi="Times New Roman" w:eastAsia="宋体" w:cs="Times New Roman"/>
          <w:b/>
          <w:bCs/>
          <w:color w:val="000000"/>
          <w:szCs w:val="21"/>
        </w:rPr>
        <w:t>发包人：</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（盖单位章）</w:t>
      </w:r>
      <w:r>
        <w:rPr>
          <w:rFonts w:ascii="Times New Roman" w:hAnsi="Times New Roman" w:eastAsia="黑体" w:cs="Times New Roman"/>
          <w:b/>
          <w:bCs/>
          <w:color w:val="000000"/>
          <w:szCs w:val="21"/>
        </w:rPr>
        <w:t xml:space="preserve"> </w:t>
      </w:r>
      <w:r>
        <w:rPr>
          <w:rFonts w:hint="eastAsia" w:ascii="Times New Roman" w:hAnsi="Times New Roman" w:eastAsia="宋体" w:cs="Times New Roman"/>
          <w:b/>
          <w:bCs/>
          <w:color w:val="000000"/>
          <w:szCs w:val="21"/>
        </w:rPr>
        <w:t>承包人：</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（盖单位章）</w:t>
      </w:r>
    </w:p>
    <w:p w14:paraId="13084E49">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b/>
          <w:bCs/>
          <w:color w:val="000000"/>
          <w:szCs w:val="21"/>
        </w:rPr>
        <w:t>法定代表人或其</w:t>
      </w:r>
      <w:r>
        <w:rPr>
          <w:rFonts w:ascii="Times New Roman" w:hAnsi="Times New Roman" w:eastAsia="宋体" w:cs="Times New Roman"/>
          <w:color w:val="000000"/>
          <w:szCs w:val="21"/>
        </w:rPr>
        <w:t xml:space="preserve">                           </w:t>
      </w:r>
      <w:r>
        <w:rPr>
          <w:rFonts w:hint="eastAsia" w:ascii="Times New Roman" w:hAnsi="Times New Roman" w:eastAsia="宋体" w:cs="Times New Roman"/>
          <w:b/>
          <w:bCs/>
          <w:color w:val="000000"/>
          <w:szCs w:val="21"/>
        </w:rPr>
        <w:t>法定代表人或其</w:t>
      </w:r>
    </w:p>
    <w:p w14:paraId="636197D4">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b/>
          <w:bCs/>
          <w:color w:val="000000"/>
          <w:szCs w:val="21"/>
        </w:rPr>
        <w:t>委托代理人：</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（签字）</w:t>
      </w:r>
      <w:r>
        <w:rPr>
          <w:rFonts w:ascii="Times New Roman" w:hAnsi="Times New Roman" w:eastAsia="宋体" w:cs="Times New Roman"/>
          <w:color w:val="000000"/>
          <w:szCs w:val="21"/>
        </w:rPr>
        <w:t xml:space="preserve"> </w:t>
      </w:r>
      <w:r>
        <w:rPr>
          <w:rFonts w:ascii="Times New Roman" w:hAnsi="Times New Roman" w:eastAsia="宋体" w:cs="Times New Roman"/>
          <w:b/>
          <w:bCs/>
          <w:color w:val="000000"/>
          <w:szCs w:val="21"/>
        </w:rPr>
        <w:t xml:space="preserve"> </w:t>
      </w:r>
      <w:r>
        <w:rPr>
          <w:rFonts w:hint="eastAsia" w:ascii="Times New Roman" w:hAnsi="Times New Roman" w:eastAsia="宋体" w:cs="Times New Roman"/>
          <w:b/>
          <w:bCs/>
          <w:color w:val="000000"/>
          <w:szCs w:val="21"/>
        </w:rPr>
        <w:t>委托代理人：</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（签字）</w:t>
      </w:r>
    </w:p>
    <w:p w14:paraId="0646C8C6">
      <w:pPr>
        <w:spacing w:line="240" w:lineRule="exact"/>
        <w:rPr>
          <w:rFonts w:ascii="Times New Roman" w:hAnsi="Times New Roman" w:eastAsia="宋体" w:cs="Times New Roman"/>
          <w:color w:val="000000"/>
          <w:szCs w:val="21"/>
        </w:rPr>
      </w:pPr>
    </w:p>
    <w:p w14:paraId="7BBAF053">
      <w:pPr>
        <w:tabs>
          <w:tab w:val="left" w:pos="4275"/>
        </w:tabs>
        <w:spacing w:line="360" w:lineRule="auto"/>
        <w:rPr>
          <w:rFonts w:ascii="Times New Roman" w:hAnsi="Times New Roman" w:eastAsia="宋体" w:cs="Times New Roman"/>
          <w:color w:val="000000"/>
          <w:sz w:val="24"/>
        </w:rPr>
      </w:pPr>
      <w:r>
        <w:rPr>
          <w:rFonts w:hint="eastAsia" w:ascii="Times New Roman" w:hAnsi="Times New Roman" w:eastAsia="宋体" w:cs="Times New Roman"/>
          <w:b/>
          <w:color w:val="000000"/>
          <w:sz w:val="24"/>
        </w:rPr>
        <w:t>开户银行：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工行北京</w:t>
      </w:r>
      <w:r>
        <w:rPr>
          <w:rFonts w:ascii="Times New Roman" w:hAnsi="Times New Roman" w:eastAsia="宋体" w:cs="Times New Roman"/>
          <w:color w:val="000000"/>
          <w:sz w:val="24"/>
          <w:u w:val="single"/>
        </w:rPr>
        <w:t xml:space="preserve">龙泉支行      </w:t>
      </w:r>
      <w:r>
        <w:rPr>
          <w:rFonts w:ascii="Times New Roman" w:hAnsi="Times New Roman" w:eastAsia="宋体" w:cs="Times New Roman"/>
          <w:color w:val="000000"/>
          <w:sz w:val="24"/>
        </w:rPr>
        <w:tab/>
      </w:r>
      <w:r>
        <w:rPr>
          <w:rFonts w:hint="eastAsia" w:ascii="Times New Roman" w:hAnsi="Times New Roman" w:eastAsia="宋体" w:cs="Times New Roman"/>
          <w:b/>
          <w:color w:val="000000"/>
          <w:sz w:val="24"/>
        </w:rPr>
        <w:t>开户银行：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53D2DCD7">
      <w:pPr>
        <w:tabs>
          <w:tab w:val="left" w:pos="4275"/>
        </w:tabs>
        <w:spacing w:line="360" w:lineRule="auto"/>
        <w:rPr>
          <w:rFonts w:ascii="Times New Roman" w:hAnsi="Times New Roman" w:eastAsia="宋体" w:cs="Times New Roman"/>
          <w:color w:val="000000"/>
          <w:sz w:val="24"/>
          <w:u w:val="single"/>
        </w:rPr>
      </w:pPr>
      <w:r>
        <w:rPr>
          <w:rFonts w:hint="eastAsia" w:ascii="Times New Roman" w:hAnsi="Times New Roman" w:eastAsia="宋体" w:cs="Times New Roman"/>
          <w:b/>
          <w:color w:val="000000"/>
          <w:sz w:val="24"/>
        </w:rPr>
        <w:t>帐号：</w:t>
      </w:r>
      <w:r>
        <w:rPr>
          <w:rFonts w:ascii="Times New Roman" w:hAnsi="Times New Roman" w:eastAsia="宋体" w:cs="Times New Roman"/>
          <w:color w:val="000000"/>
          <w:sz w:val="24"/>
          <w:u w:val="single"/>
        </w:rPr>
        <w:t xml:space="preserve">  0200 0020 0900 5610 182     </w:t>
      </w:r>
      <w:r>
        <w:rPr>
          <w:rFonts w:ascii="Times New Roman" w:hAnsi="Times New Roman" w:eastAsia="宋体" w:cs="Times New Roman"/>
          <w:color w:val="000000"/>
          <w:sz w:val="24"/>
        </w:rPr>
        <w:tab/>
      </w:r>
      <w:r>
        <w:rPr>
          <w:rFonts w:hint="eastAsia" w:ascii="Times New Roman" w:hAnsi="Times New Roman" w:eastAsia="宋体" w:cs="Times New Roman"/>
          <w:b/>
          <w:color w:val="000000"/>
          <w:sz w:val="24"/>
        </w:rPr>
        <w:t>帐号：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20AB0092">
      <w:pPr>
        <w:tabs>
          <w:tab w:val="left" w:pos="4275"/>
        </w:tabs>
        <w:spacing w:line="360" w:lineRule="auto"/>
        <w:rPr>
          <w:rFonts w:ascii="Times New Roman" w:hAnsi="Times New Roman" w:eastAsia="宋体" w:cs="Times New Roman"/>
          <w:color w:val="000000"/>
          <w:sz w:val="24"/>
          <w:u w:val="single"/>
        </w:rPr>
      </w:pPr>
      <w:r>
        <w:rPr>
          <w:rFonts w:hint="eastAsia" w:ascii="Times New Roman" w:hAnsi="Times New Roman" w:eastAsia="宋体" w:cs="Times New Roman"/>
          <w:b/>
          <w:color w:val="000000"/>
          <w:sz w:val="24"/>
        </w:rPr>
        <w:t>联行号</w:t>
      </w:r>
      <w:r>
        <w:rPr>
          <w:rFonts w:hint="eastAsia" w:ascii="Times New Roman" w:hAnsi="Times New Roman" w:eastAsia="宋体" w:cs="Times New Roman"/>
          <w:color w:val="000000"/>
          <w:sz w:val="24"/>
          <w:u w:val="single"/>
        </w:rPr>
        <w:t>：</w:t>
      </w:r>
      <w:r>
        <w:rPr>
          <w:rFonts w:ascii="Times New Roman" w:hAnsi="Times New Roman" w:eastAsia="宋体" w:cs="Times New Roman"/>
          <w:color w:val="000000"/>
          <w:sz w:val="24"/>
          <w:u w:val="single"/>
        </w:rPr>
        <w:t>1021 0000 0208</w:t>
      </w:r>
      <w:r>
        <w:rPr>
          <w:rFonts w:hint="eastAsia"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rPr>
        <w:t xml:space="preserve">    </w:t>
      </w:r>
      <w:r>
        <w:rPr>
          <w:rFonts w:hint="eastAsia" w:ascii="Times New Roman" w:hAnsi="Times New Roman" w:eastAsia="宋体" w:cs="Times New Roman"/>
          <w:b/>
          <w:color w:val="000000"/>
          <w:sz w:val="24"/>
        </w:rPr>
        <w:t>联行号</w:t>
      </w:r>
      <w:r>
        <w:rPr>
          <w:rFonts w:hint="eastAsia" w:ascii="Times New Roman" w:hAnsi="Times New Roman" w:eastAsia="宋体" w:cs="Times New Roman"/>
          <w:color w:val="000000"/>
          <w:sz w:val="24"/>
          <w:u w:val="single"/>
        </w:rPr>
        <w:t xml:space="preserve">：                   </w:t>
      </w:r>
    </w:p>
    <w:p w14:paraId="7CCC00A6">
      <w:pPr>
        <w:tabs>
          <w:tab w:val="left" w:pos="4275"/>
        </w:tabs>
        <w:spacing w:line="360" w:lineRule="auto"/>
        <w:rPr>
          <w:rFonts w:ascii="Times New Roman" w:hAnsi="Times New Roman" w:eastAsia="宋体" w:cs="Times New Roman"/>
          <w:color w:val="000000"/>
          <w:sz w:val="24"/>
          <w:u w:val="single"/>
        </w:rPr>
      </w:pPr>
      <w:r>
        <w:rPr>
          <w:rFonts w:ascii="Times New Roman" w:hAnsi="Times New Roman" w:eastAsia="宋体" w:cs="Times New Roman"/>
          <w:b/>
          <w:color w:val="000000"/>
          <w:sz w:val="24"/>
        </w:rPr>
        <w:t>电话：</w:t>
      </w:r>
      <w:r>
        <w:rPr>
          <w:rFonts w:hint="eastAsia" w:ascii="宋体" w:hAnsi="宋体" w:eastAsia="宋体" w:cs="宋体"/>
          <w:sz w:val="24"/>
          <w:u w:val="single"/>
        </w:rPr>
        <w:t>010-61801150</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ab/>
      </w:r>
      <w:r>
        <w:rPr>
          <w:rFonts w:ascii="Times New Roman" w:hAnsi="Times New Roman" w:eastAsia="宋体" w:cs="Times New Roman"/>
          <w:b/>
          <w:color w:val="000000"/>
          <w:sz w:val="24"/>
        </w:rPr>
        <w:t>电话：</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448F15F4">
      <w:pPr>
        <w:tabs>
          <w:tab w:val="left" w:pos="4275"/>
        </w:tabs>
        <w:spacing w:line="360" w:lineRule="auto"/>
        <w:rPr>
          <w:rFonts w:ascii="Times New Roman" w:hAnsi="Times New Roman" w:eastAsia="宋体" w:cs="Times New Roman"/>
          <w:color w:val="000000"/>
          <w:sz w:val="24"/>
        </w:rPr>
      </w:pPr>
      <w:r>
        <w:rPr>
          <w:rFonts w:hint="eastAsia" w:ascii="Times New Roman" w:hAnsi="Times New Roman" w:eastAsia="宋体" w:cs="Times New Roman"/>
          <w:b/>
          <w:color w:val="000000"/>
          <w:sz w:val="24"/>
        </w:rPr>
        <w:t>传真：</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ab/>
      </w:r>
      <w:r>
        <w:rPr>
          <w:rFonts w:hint="eastAsia" w:ascii="Times New Roman" w:hAnsi="Times New Roman" w:eastAsia="宋体" w:cs="Times New Roman"/>
          <w:b/>
          <w:color w:val="000000"/>
          <w:sz w:val="24"/>
        </w:rPr>
        <w:t>传真：</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6CAF8540">
      <w:pPr>
        <w:tabs>
          <w:tab w:val="left" w:pos="4700"/>
        </w:tabs>
        <w:spacing w:line="360" w:lineRule="auto"/>
        <w:rPr>
          <w:rFonts w:ascii="Times New Roman" w:hAnsi="Times New Roman" w:eastAsia="宋体" w:cs="Times New Roman"/>
          <w:color w:val="000000"/>
          <w:sz w:val="24"/>
        </w:rPr>
      </w:pPr>
      <w:r>
        <w:rPr>
          <w:rFonts w:hint="eastAsia" w:ascii="Times New Roman" w:hAnsi="Times New Roman" w:eastAsia="宋体" w:cs="Times New Roman"/>
          <w:b/>
          <w:color w:val="000000"/>
          <w:sz w:val="24"/>
        </w:rPr>
        <w:t>电子邮箱：</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 xml:space="preserve"> </w:t>
      </w:r>
      <w:r>
        <w:rPr>
          <w:rFonts w:hint="eastAsia" w:ascii="Times New Roman" w:hAnsi="Times New Roman" w:eastAsia="宋体" w:cs="Times New Roman"/>
          <w:b/>
          <w:color w:val="000000"/>
          <w:sz w:val="24"/>
        </w:rPr>
        <w:t>电子邮箱：</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4BF20284">
      <w:pPr>
        <w:pStyle w:val="19"/>
        <w:ind w:left="0" w:leftChars="0" w:firstLine="0" w:firstLineChars="0"/>
        <w:rPr>
          <w:rFonts w:ascii="Times New Roman" w:hAnsi="Times New Roman" w:eastAsia="宋体" w:cs="Times New Roman"/>
          <w:color w:val="000000"/>
          <w:sz w:val="24"/>
          <w:u w:val="single"/>
        </w:rPr>
      </w:pPr>
      <w:r>
        <w:rPr>
          <w:rFonts w:hint="eastAsia" w:ascii="Times New Roman" w:hAnsi="Times New Roman" w:eastAsia="宋体" w:cs="Times New Roman"/>
          <w:b/>
          <w:color w:val="000000"/>
          <w:sz w:val="24"/>
        </w:rPr>
        <w:t>邮政编码：</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 xml:space="preserve">  </w:t>
      </w:r>
      <w:r>
        <w:rPr>
          <w:rFonts w:hint="eastAsia" w:ascii="Times New Roman" w:hAnsi="Times New Roman" w:eastAsia="宋体" w:cs="Times New Roman"/>
          <w:b/>
          <w:color w:val="000000"/>
          <w:sz w:val="24"/>
        </w:rPr>
        <w:t>邮政编码：</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2ADBEEC8">
      <w:pPr>
        <w:spacing w:beforeLines="100" w:afterLines="100"/>
        <w:rPr>
          <w:rFonts w:ascii="Times New Roman" w:hAnsi="Times New Roman" w:eastAsia="宋体" w:cs="Times New Roman"/>
          <w:color w:val="000000"/>
          <w:szCs w:val="21"/>
        </w:rPr>
      </w:pP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日</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日</w:t>
      </w:r>
    </w:p>
    <w:p w14:paraId="2CAFB0C8">
      <w:pPr>
        <w:spacing w:beforeLines="100" w:afterLines="100"/>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签约地点：</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 w:val="24"/>
          <w:u w:val="single"/>
        </w:rPr>
        <w:t xml:space="preserve">      </w:t>
      </w:r>
    </w:p>
    <w:p w14:paraId="19EF1CF0">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bookmarkStart w:id="695" w:name="_Toc405878290"/>
      <w:r>
        <w:rPr>
          <w:rFonts w:hint="eastAsia" w:ascii="宋体" w:hAnsi="Times New Roman" w:eastAsia="宋体" w:cs="Times New Roman"/>
          <w:b/>
          <w:kern w:val="44"/>
          <w:sz w:val="32"/>
          <w:szCs w:val="20"/>
          <w:lang w:val="en-US" w:eastAsia="zh-CN" w:bidi="ar-SA"/>
        </w:rPr>
        <w:br w:type="page"/>
      </w:r>
      <w:r>
        <w:rPr>
          <w:rFonts w:hint="eastAsia" w:ascii="宋体" w:hAnsi="Times New Roman" w:eastAsia="宋体" w:cs="Times New Roman"/>
          <w:b/>
          <w:kern w:val="44"/>
          <w:sz w:val="32"/>
          <w:szCs w:val="20"/>
          <w:lang w:val="en-US" w:eastAsia="zh-CN" w:bidi="ar-SA"/>
        </w:rPr>
        <w:t>二、通用合同条款</w:t>
      </w:r>
      <w:bookmarkEnd w:id="695"/>
    </w:p>
    <w:p w14:paraId="2DCE0189">
      <w:pPr>
        <w:rPr>
          <w:rFonts w:ascii="Times New Roman" w:hAnsi="Times New Roman" w:eastAsia="宋体" w:cs="Times New Roman"/>
          <w:sz w:val="24"/>
        </w:rPr>
      </w:pPr>
      <w:bookmarkStart w:id="696" w:name="_Toc342296262"/>
      <w:bookmarkStart w:id="697" w:name="_Toc338944704"/>
      <w:bookmarkStart w:id="698" w:name="_Toc362252728"/>
      <w:r>
        <w:rPr>
          <w:rFonts w:hint="eastAsia" w:ascii="Times New Roman" w:hAnsi="Times New Roman" w:eastAsia="宋体" w:cs="Times New Roman"/>
          <w:sz w:val="24"/>
        </w:rPr>
        <w:t>1. 一般约定</w:t>
      </w:r>
      <w:bookmarkEnd w:id="696"/>
      <w:bookmarkEnd w:id="697"/>
      <w:bookmarkEnd w:id="698"/>
    </w:p>
    <w:p w14:paraId="615114C2">
      <w:pPr>
        <w:rPr>
          <w:rFonts w:ascii="Times New Roman" w:hAnsi="Times New Roman" w:eastAsia="宋体" w:cs="Times New Roman"/>
          <w:sz w:val="24"/>
        </w:rPr>
      </w:pPr>
      <w:bookmarkStart w:id="699" w:name="_Toc342296263"/>
      <w:bookmarkStart w:id="700" w:name="_Toc338944705"/>
      <w:bookmarkStart w:id="701" w:name="_Toc362252729"/>
      <w:r>
        <w:rPr>
          <w:rFonts w:hint="eastAsia" w:ascii="Times New Roman" w:hAnsi="Times New Roman" w:eastAsia="宋体" w:cs="Times New Roman"/>
          <w:sz w:val="24"/>
        </w:rPr>
        <w:t>1.1 词语定义</w:t>
      </w:r>
      <w:bookmarkEnd w:id="699"/>
      <w:bookmarkEnd w:id="700"/>
      <w:bookmarkEnd w:id="701"/>
    </w:p>
    <w:p w14:paraId="148ABCC6">
      <w:pPr>
        <w:rPr>
          <w:rFonts w:ascii="Times New Roman" w:hAnsi="Times New Roman" w:eastAsia="宋体" w:cs="Times New Roman"/>
          <w:sz w:val="24"/>
        </w:rPr>
      </w:pPr>
      <w:r>
        <w:rPr>
          <w:rFonts w:hint="eastAsia" w:ascii="Times New Roman" w:hAnsi="Times New Roman" w:eastAsia="宋体" w:cs="Times New Roman"/>
          <w:sz w:val="24"/>
        </w:rPr>
        <w:t>通用合同条款、专用合同条款中的下列词语应具有本款所赋予的含义。</w:t>
      </w:r>
    </w:p>
    <w:p w14:paraId="10DA4592">
      <w:pPr>
        <w:rPr>
          <w:rFonts w:ascii="Times New Roman" w:hAnsi="Times New Roman" w:eastAsia="宋体" w:cs="Times New Roman"/>
          <w:sz w:val="24"/>
        </w:rPr>
      </w:pPr>
      <w:r>
        <w:rPr>
          <w:rFonts w:hint="eastAsia" w:ascii="Times New Roman" w:hAnsi="Times New Roman" w:eastAsia="宋体" w:cs="Times New Roman"/>
          <w:sz w:val="24"/>
        </w:rPr>
        <w:t xml:space="preserve">1.1.1 </w:t>
      </w:r>
      <w:r>
        <w:rPr>
          <w:rFonts w:hint="eastAsia" w:ascii="黑体" w:hAnsi="Times New Roman" w:eastAsia="黑体" w:cs="Times New Roman"/>
          <w:sz w:val="24"/>
        </w:rPr>
        <w:t>合同</w:t>
      </w:r>
    </w:p>
    <w:p w14:paraId="4FDDD18D">
      <w:pPr>
        <w:rPr>
          <w:rFonts w:ascii="Times New Roman" w:hAnsi="Times New Roman" w:eastAsia="宋体" w:cs="Times New Roman"/>
          <w:sz w:val="24"/>
        </w:rPr>
      </w:pPr>
      <w:r>
        <w:rPr>
          <w:rFonts w:hint="eastAsia" w:ascii="Times New Roman" w:hAnsi="Times New Roman" w:eastAsia="宋体" w:cs="Times New Roman"/>
          <w:sz w:val="24"/>
        </w:rPr>
        <w:t>1.1.1.1 合同文件（或称合同）：指合同协议书、中标通知书、投标函及投标函附录、专用合同条款、通用合同条款、技术标准和要求、图纸、已标价工程量清单，以及其他合同文件。</w:t>
      </w:r>
    </w:p>
    <w:p w14:paraId="2724AE69">
      <w:pPr>
        <w:rPr>
          <w:rFonts w:ascii="Times New Roman" w:hAnsi="Times New Roman" w:eastAsia="宋体" w:cs="Times New Roman"/>
          <w:sz w:val="24"/>
        </w:rPr>
      </w:pPr>
      <w:r>
        <w:rPr>
          <w:rFonts w:hint="eastAsia" w:ascii="Times New Roman" w:hAnsi="Times New Roman" w:eastAsia="宋体" w:cs="Times New Roman"/>
          <w:sz w:val="24"/>
        </w:rPr>
        <w:t>1.1.1.2 合同协议书：指第1.5款所指的合同协议书。</w:t>
      </w:r>
    </w:p>
    <w:p w14:paraId="3A6081B3">
      <w:pPr>
        <w:rPr>
          <w:rFonts w:ascii="Times New Roman" w:hAnsi="Times New Roman" w:eastAsia="宋体" w:cs="Times New Roman"/>
          <w:sz w:val="24"/>
        </w:rPr>
      </w:pPr>
      <w:r>
        <w:rPr>
          <w:rFonts w:hint="eastAsia" w:ascii="Times New Roman" w:hAnsi="Times New Roman" w:eastAsia="宋体" w:cs="Times New Roman"/>
          <w:sz w:val="24"/>
        </w:rPr>
        <w:t>1.1.1.3 中标通知书：指发包人通知承包人中标的函件。</w:t>
      </w:r>
    </w:p>
    <w:p w14:paraId="07D11B56">
      <w:pPr>
        <w:rPr>
          <w:rFonts w:ascii="Times New Roman" w:hAnsi="Times New Roman" w:eastAsia="宋体" w:cs="Times New Roman"/>
          <w:dstrike/>
          <w:sz w:val="24"/>
        </w:rPr>
      </w:pPr>
      <w:r>
        <w:rPr>
          <w:rFonts w:hint="eastAsia" w:ascii="Times New Roman" w:hAnsi="Times New Roman" w:eastAsia="宋体" w:cs="Times New Roman"/>
          <w:sz w:val="24"/>
        </w:rPr>
        <w:t>1.1.1.4 投标函：指构成合同文件组成部分的由承包人填写并签署的投标函。</w:t>
      </w:r>
    </w:p>
    <w:p w14:paraId="3DA8A7BE">
      <w:pPr>
        <w:rPr>
          <w:rFonts w:ascii="Times New Roman" w:hAnsi="Times New Roman" w:eastAsia="宋体" w:cs="Times New Roman"/>
          <w:sz w:val="24"/>
        </w:rPr>
      </w:pPr>
      <w:r>
        <w:rPr>
          <w:rFonts w:hint="eastAsia" w:ascii="Times New Roman" w:hAnsi="Times New Roman" w:eastAsia="宋体" w:cs="Times New Roman"/>
          <w:sz w:val="24"/>
        </w:rPr>
        <w:t>1.1.1.5 投标函附录：指附在投标函后构成合同文件的投标函附录。</w:t>
      </w:r>
    </w:p>
    <w:p w14:paraId="22E5D7D3">
      <w:pPr>
        <w:rPr>
          <w:rFonts w:ascii="Times New Roman" w:hAnsi="Times New Roman" w:eastAsia="宋体" w:cs="Times New Roman"/>
          <w:sz w:val="24"/>
        </w:rPr>
      </w:pPr>
      <w:r>
        <w:rPr>
          <w:rFonts w:hint="eastAsia" w:ascii="Times New Roman" w:hAnsi="Times New Roman" w:eastAsia="宋体" w:cs="Times New Roman"/>
          <w:sz w:val="24"/>
        </w:rPr>
        <w:t>1.1.1.6 技术标准和要求：指构成合同文件组成部分的名为技术标准和要求的文件，包括合同双方当事人约定对其所作的修改或补充。</w:t>
      </w:r>
    </w:p>
    <w:p w14:paraId="1EFE7C53">
      <w:pPr>
        <w:rPr>
          <w:rFonts w:ascii="Times New Roman" w:hAnsi="Times New Roman" w:eastAsia="宋体" w:cs="Times New Roman"/>
          <w:sz w:val="24"/>
        </w:rPr>
      </w:pPr>
      <w:r>
        <w:rPr>
          <w:rFonts w:hint="eastAsia" w:ascii="Times New Roman" w:hAnsi="Times New Roman" w:eastAsia="宋体" w:cs="Times New Roman"/>
          <w:sz w:val="24"/>
        </w:rPr>
        <w:t>1.1.1.7图纸：指包含在合同中的工程图纸，以及由发包人按合同约定提供的任何补充和修改的图纸，包括配套的说明。</w:t>
      </w:r>
    </w:p>
    <w:p w14:paraId="45B66EBB">
      <w:pPr>
        <w:rPr>
          <w:rFonts w:ascii="Times New Roman" w:hAnsi="Times New Roman" w:eastAsia="宋体" w:cs="Times New Roman"/>
          <w:sz w:val="24"/>
        </w:rPr>
      </w:pPr>
      <w:r>
        <w:rPr>
          <w:rFonts w:hint="eastAsia" w:ascii="Times New Roman" w:hAnsi="Times New Roman" w:eastAsia="宋体" w:cs="Times New Roman"/>
          <w:sz w:val="24"/>
        </w:rPr>
        <w:t>1.1.1.8 已标价工程量清单：指构成合同文件组成部分的由承包人按照规定的格式和要求填写并标明价格的工程量清单。</w:t>
      </w:r>
    </w:p>
    <w:p w14:paraId="3374D6AF">
      <w:pPr>
        <w:rPr>
          <w:rFonts w:ascii="Times New Roman" w:hAnsi="Times New Roman" w:eastAsia="宋体" w:cs="Times New Roman"/>
          <w:sz w:val="24"/>
        </w:rPr>
      </w:pPr>
      <w:r>
        <w:rPr>
          <w:rFonts w:hint="eastAsia" w:ascii="Times New Roman" w:hAnsi="Times New Roman" w:eastAsia="宋体" w:cs="Times New Roman"/>
          <w:sz w:val="24"/>
        </w:rPr>
        <w:t>1.1.1.9 其他合同文件：指经合同双方当事人确认构成合同文件的其他文件。</w:t>
      </w:r>
    </w:p>
    <w:p w14:paraId="6F7E0A91">
      <w:pPr>
        <w:rPr>
          <w:rFonts w:ascii="Times New Roman" w:hAnsi="Times New Roman" w:eastAsia="宋体" w:cs="Times New Roman"/>
          <w:sz w:val="24"/>
        </w:rPr>
      </w:pPr>
      <w:r>
        <w:rPr>
          <w:rFonts w:hint="eastAsia" w:ascii="Times New Roman" w:hAnsi="Times New Roman" w:eastAsia="宋体" w:cs="Times New Roman"/>
          <w:sz w:val="24"/>
        </w:rPr>
        <w:t xml:space="preserve">1.1.2 </w:t>
      </w:r>
      <w:r>
        <w:rPr>
          <w:rFonts w:hint="eastAsia" w:ascii="黑体" w:hAnsi="Times New Roman" w:eastAsia="黑体" w:cs="Times New Roman"/>
          <w:sz w:val="24"/>
        </w:rPr>
        <w:t>合同当事人和人员</w:t>
      </w:r>
    </w:p>
    <w:p w14:paraId="1C91DC85">
      <w:pPr>
        <w:rPr>
          <w:rFonts w:ascii="Times New Roman" w:hAnsi="Times New Roman" w:eastAsia="宋体" w:cs="Times New Roman"/>
          <w:sz w:val="24"/>
        </w:rPr>
      </w:pPr>
      <w:r>
        <w:rPr>
          <w:rFonts w:hint="eastAsia" w:ascii="Times New Roman" w:hAnsi="Times New Roman" w:eastAsia="宋体" w:cs="Times New Roman"/>
          <w:sz w:val="24"/>
        </w:rPr>
        <w:t>1.1.2.1 合同当事人:指发包人和（或）承包人。</w:t>
      </w:r>
    </w:p>
    <w:p w14:paraId="057FC88D">
      <w:pPr>
        <w:rPr>
          <w:rFonts w:ascii="Times New Roman" w:hAnsi="Times New Roman" w:eastAsia="宋体" w:cs="Times New Roman"/>
          <w:sz w:val="24"/>
        </w:rPr>
      </w:pPr>
      <w:r>
        <w:rPr>
          <w:rFonts w:hint="eastAsia" w:ascii="Times New Roman" w:hAnsi="Times New Roman" w:eastAsia="宋体" w:cs="Times New Roman"/>
          <w:sz w:val="24"/>
        </w:rPr>
        <w:t>1.1.2.2 发包人：指专用合同条款中指明并与承包人在合同协议书中签字的当事人。</w:t>
      </w:r>
    </w:p>
    <w:p w14:paraId="164EC010">
      <w:pPr>
        <w:rPr>
          <w:rFonts w:ascii="Times New Roman" w:hAnsi="Times New Roman" w:eastAsia="宋体" w:cs="Times New Roman"/>
          <w:sz w:val="24"/>
        </w:rPr>
      </w:pPr>
      <w:r>
        <w:rPr>
          <w:rFonts w:hint="eastAsia" w:ascii="Times New Roman" w:hAnsi="Times New Roman" w:eastAsia="宋体" w:cs="Times New Roman"/>
          <w:sz w:val="24"/>
        </w:rPr>
        <w:t>1.1.2.3 承包人：指与发包人签订合同协议书的当事人。</w:t>
      </w:r>
    </w:p>
    <w:p w14:paraId="743B978A">
      <w:pPr>
        <w:rPr>
          <w:rFonts w:ascii="Times New Roman" w:hAnsi="Times New Roman" w:eastAsia="宋体" w:cs="Times New Roman"/>
          <w:sz w:val="24"/>
        </w:rPr>
      </w:pPr>
      <w:r>
        <w:rPr>
          <w:rFonts w:hint="eastAsia" w:ascii="Times New Roman" w:hAnsi="Times New Roman" w:eastAsia="宋体" w:cs="Times New Roman"/>
          <w:sz w:val="24"/>
        </w:rPr>
        <w:t>1.1.2.4 承包人项目经理：指承包人派驻施工场地的全权负责人。</w:t>
      </w:r>
    </w:p>
    <w:p w14:paraId="1E031109">
      <w:pPr>
        <w:rPr>
          <w:rFonts w:ascii="Times New Roman" w:hAnsi="Times New Roman" w:eastAsia="宋体" w:cs="Times New Roman"/>
          <w:sz w:val="24"/>
        </w:rPr>
      </w:pPr>
      <w:r>
        <w:rPr>
          <w:rFonts w:hint="eastAsia" w:ascii="Times New Roman" w:hAnsi="Times New Roman" w:eastAsia="宋体" w:cs="Times New Roman"/>
          <w:sz w:val="24"/>
        </w:rPr>
        <w:t>1.1.2.5 分包人：指从承包人处分包合同中某一部分工程，并与其签订分包合同的分包人。</w:t>
      </w:r>
    </w:p>
    <w:p w14:paraId="133B379C">
      <w:pPr>
        <w:rPr>
          <w:rFonts w:ascii="Times New Roman" w:hAnsi="Times New Roman" w:eastAsia="宋体" w:cs="Times New Roman"/>
          <w:sz w:val="24"/>
        </w:rPr>
      </w:pPr>
      <w:r>
        <w:rPr>
          <w:rFonts w:hint="eastAsia" w:ascii="Times New Roman" w:hAnsi="Times New Roman" w:eastAsia="宋体" w:cs="Times New Roman"/>
          <w:sz w:val="24"/>
        </w:rPr>
        <w:t>1.1.2.6 监理人：指在专用合同条款中指明的，受发包人委托对合同履行实施管理的法人或其他组织。</w:t>
      </w:r>
    </w:p>
    <w:p w14:paraId="56A346DA">
      <w:pPr>
        <w:rPr>
          <w:rFonts w:ascii="Times New Roman" w:hAnsi="Times New Roman" w:eastAsia="宋体" w:cs="Times New Roman"/>
          <w:sz w:val="24"/>
        </w:rPr>
      </w:pPr>
      <w:r>
        <w:rPr>
          <w:rFonts w:hint="eastAsia" w:ascii="Times New Roman" w:hAnsi="Times New Roman" w:eastAsia="宋体" w:cs="Times New Roman"/>
          <w:sz w:val="24"/>
        </w:rPr>
        <w:t>1.1.2.7 总监理工程师（总监）：指由监理人委派常驻施工场地对合同履行实施管理的全权负责人。</w:t>
      </w:r>
    </w:p>
    <w:p w14:paraId="333696AD">
      <w:pPr>
        <w:rPr>
          <w:rFonts w:ascii="Times New Roman" w:hAnsi="Times New Roman" w:eastAsia="宋体" w:cs="Times New Roman"/>
          <w:sz w:val="24"/>
        </w:rPr>
      </w:pPr>
      <w:r>
        <w:rPr>
          <w:rFonts w:hint="eastAsia" w:ascii="Times New Roman" w:hAnsi="Times New Roman" w:eastAsia="宋体" w:cs="Times New Roman"/>
          <w:sz w:val="24"/>
        </w:rPr>
        <w:t xml:space="preserve">1.1.3 </w:t>
      </w:r>
      <w:r>
        <w:rPr>
          <w:rFonts w:hint="eastAsia" w:ascii="黑体" w:hAnsi="Times New Roman" w:eastAsia="黑体" w:cs="Times New Roman"/>
          <w:sz w:val="24"/>
        </w:rPr>
        <w:t>工程和设备</w:t>
      </w:r>
    </w:p>
    <w:p w14:paraId="31AEE8EB">
      <w:pPr>
        <w:rPr>
          <w:rFonts w:ascii="Times New Roman" w:hAnsi="Times New Roman" w:eastAsia="宋体" w:cs="Times New Roman"/>
          <w:sz w:val="24"/>
        </w:rPr>
      </w:pPr>
      <w:r>
        <w:rPr>
          <w:rFonts w:hint="eastAsia" w:ascii="Times New Roman" w:hAnsi="Times New Roman" w:eastAsia="宋体" w:cs="Times New Roman"/>
          <w:sz w:val="24"/>
        </w:rPr>
        <w:t>1.1.3.1 工程：指永久工程和（或）临时工程。</w:t>
      </w:r>
    </w:p>
    <w:p w14:paraId="49C6688C">
      <w:pPr>
        <w:rPr>
          <w:rFonts w:ascii="Times New Roman" w:hAnsi="Times New Roman" w:eastAsia="宋体" w:cs="Times New Roman"/>
          <w:sz w:val="24"/>
        </w:rPr>
      </w:pPr>
      <w:r>
        <w:rPr>
          <w:rFonts w:hint="eastAsia" w:ascii="Times New Roman" w:hAnsi="Times New Roman" w:eastAsia="宋体" w:cs="Times New Roman"/>
          <w:sz w:val="24"/>
        </w:rPr>
        <w:t>1.1.3.2 永久工程：指按合同约定建造并移交给发包人的工程，包括工程设备。</w:t>
      </w:r>
    </w:p>
    <w:p w14:paraId="6FAD936F">
      <w:pPr>
        <w:rPr>
          <w:rFonts w:ascii="Times New Roman" w:hAnsi="Times New Roman" w:eastAsia="宋体" w:cs="Times New Roman"/>
          <w:sz w:val="24"/>
        </w:rPr>
      </w:pPr>
      <w:r>
        <w:rPr>
          <w:rFonts w:hint="eastAsia" w:ascii="Times New Roman" w:hAnsi="Times New Roman" w:eastAsia="宋体" w:cs="Times New Roman"/>
          <w:sz w:val="24"/>
        </w:rPr>
        <w:t>1.1.3.3 临时工程：指为完成合同约定的永久工程所修建的各类临时性工程，不包括施工设备。</w:t>
      </w:r>
    </w:p>
    <w:p w14:paraId="5D6E5BE8">
      <w:pPr>
        <w:rPr>
          <w:rFonts w:ascii="Times New Roman" w:hAnsi="Times New Roman" w:eastAsia="宋体" w:cs="Times New Roman"/>
          <w:sz w:val="24"/>
        </w:rPr>
      </w:pPr>
      <w:r>
        <w:rPr>
          <w:rFonts w:hint="eastAsia" w:ascii="Times New Roman" w:hAnsi="Times New Roman" w:eastAsia="宋体" w:cs="Times New Roman"/>
          <w:sz w:val="24"/>
        </w:rPr>
        <w:t>1.1.3.4 单位工程：指专用合同条款中指明特定范围的永久工程。</w:t>
      </w:r>
    </w:p>
    <w:p w14:paraId="0A7C215E">
      <w:pPr>
        <w:rPr>
          <w:rFonts w:ascii="Times New Roman" w:hAnsi="Times New Roman" w:eastAsia="宋体" w:cs="Times New Roman"/>
          <w:sz w:val="24"/>
        </w:rPr>
      </w:pPr>
      <w:r>
        <w:rPr>
          <w:rFonts w:hint="eastAsia" w:ascii="Times New Roman" w:hAnsi="Times New Roman" w:eastAsia="宋体" w:cs="Times New Roman"/>
          <w:sz w:val="24"/>
        </w:rPr>
        <w:t>1.1.3.5 工程设备：指构成或计划构成永久工程一部分的机电设备、金属结构设备、仪器装置及其他类似的设备和装置。</w:t>
      </w:r>
    </w:p>
    <w:p w14:paraId="572F94C8">
      <w:pPr>
        <w:rPr>
          <w:rFonts w:ascii="Times New Roman" w:hAnsi="Times New Roman" w:eastAsia="宋体" w:cs="Times New Roman"/>
          <w:sz w:val="24"/>
        </w:rPr>
      </w:pPr>
      <w:r>
        <w:rPr>
          <w:rFonts w:hint="eastAsia" w:ascii="Times New Roman" w:hAnsi="Times New Roman" w:eastAsia="宋体" w:cs="Times New Roman"/>
          <w:sz w:val="24"/>
        </w:rPr>
        <w:t>1.1.3.6 施工设备：指为完成合同约定的各项工作所需的设备、器具和其他物品，不包括临时工程和材料。</w:t>
      </w:r>
    </w:p>
    <w:p w14:paraId="528A0A9F">
      <w:pPr>
        <w:rPr>
          <w:rFonts w:ascii="Times New Roman" w:hAnsi="Times New Roman" w:eastAsia="宋体" w:cs="Times New Roman"/>
          <w:sz w:val="24"/>
        </w:rPr>
      </w:pPr>
      <w:r>
        <w:rPr>
          <w:rFonts w:hint="eastAsia" w:ascii="Times New Roman" w:hAnsi="Times New Roman" w:eastAsia="宋体" w:cs="Times New Roman"/>
          <w:sz w:val="24"/>
        </w:rPr>
        <w:t>1.1.3.7 临时设施：指为完成合同约定的各项工作所服务的临时性生产和生活设施。</w:t>
      </w:r>
    </w:p>
    <w:p w14:paraId="055C40BB">
      <w:pPr>
        <w:rPr>
          <w:rFonts w:ascii="Times New Roman" w:hAnsi="Times New Roman" w:eastAsia="宋体" w:cs="Times New Roman"/>
          <w:sz w:val="24"/>
        </w:rPr>
      </w:pPr>
      <w:r>
        <w:rPr>
          <w:rFonts w:hint="eastAsia" w:ascii="Times New Roman" w:hAnsi="Times New Roman" w:eastAsia="宋体" w:cs="Times New Roman"/>
          <w:sz w:val="24"/>
        </w:rPr>
        <w:t>1.1.3.8 承包人设备：指承包人自带的施工设备。</w:t>
      </w:r>
    </w:p>
    <w:p w14:paraId="2D0360D3">
      <w:pPr>
        <w:rPr>
          <w:rFonts w:ascii="Times New Roman" w:hAnsi="Times New Roman" w:eastAsia="宋体" w:cs="Times New Roman"/>
          <w:sz w:val="24"/>
        </w:rPr>
      </w:pPr>
      <w:r>
        <w:rPr>
          <w:rFonts w:hint="eastAsia" w:ascii="Times New Roman" w:hAnsi="Times New Roman" w:eastAsia="宋体" w:cs="Times New Roman"/>
          <w:sz w:val="24"/>
        </w:rPr>
        <w:t>1.1.3.9 施工场地（或称工地、现场）：指用于合同工程施工的场所，以及在合同中指定作为施工场地组成部分的其他场所，包括永久占地和临时占地。</w:t>
      </w:r>
    </w:p>
    <w:p w14:paraId="3F7FE00F">
      <w:pPr>
        <w:rPr>
          <w:rFonts w:ascii="Times New Roman" w:hAnsi="Times New Roman" w:eastAsia="宋体" w:cs="Times New Roman"/>
          <w:sz w:val="24"/>
        </w:rPr>
      </w:pPr>
      <w:r>
        <w:rPr>
          <w:rFonts w:hint="eastAsia" w:ascii="Times New Roman" w:hAnsi="Times New Roman" w:eastAsia="宋体" w:cs="Times New Roman"/>
          <w:sz w:val="24"/>
        </w:rPr>
        <w:t>1.1.3.10 永久占地：指专用合同条款中指明为实施合同工程需永久占用的土地。</w:t>
      </w:r>
    </w:p>
    <w:p w14:paraId="4AE10880">
      <w:pPr>
        <w:rPr>
          <w:rFonts w:ascii="Times New Roman" w:hAnsi="Times New Roman" w:eastAsia="宋体" w:cs="Times New Roman"/>
          <w:sz w:val="24"/>
        </w:rPr>
      </w:pPr>
      <w:r>
        <w:rPr>
          <w:rFonts w:hint="eastAsia" w:ascii="Times New Roman" w:hAnsi="Times New Roman" w:eastAsia="宋体" w:cs="Times New Roman"/>
          <w:sz w:val="24"/>
        </w:rPr>
        <w:t>1.1.3.11 临时占地：指专用合同条款中指明为实施合同工程需临时占用的土地。</w:t>
      </w:r>
    </w:p>
    <w:p w14:paraId="01BCF455">
      <w:pPr>
        <w:rPr>
          <w:rFonts w:ascii="Times New Roman" w:hAnsi="Times New Roman" w:eastAsia="宋体" w:cs="Times New Roman"/>
          <w:sz w:val="24"/>
        </w:rPr>
      </w:pPr>
      <w:r>
        <w:rPr>
          <w:rFonts w:hint="eastAsia" w:ascii="Times New Roman" w:hAnsi="Times New Roman" w:eastAsia="宋体" w:cs="Times New Roman"/>
          <w:sz w:val="24"/>
        </w:rPr>
        <w:t xml:space="preserve">1.1.4 </w:t>
      </w:r>
      <w:r>
        <w:rPr>
          <w:rFonts w:hint="eastAsia" w:ascii="黑体" w:hAnsi="Times New Roman" w:eastAsia="黑体" w:cs="Times New Roman"/>
          <w:sz w:val="24"/>
        </w:rPr>
        <w:t>日期</w:t>
      </w:r>
    </w:p>
    <w:p w14:paraId="184C0E3D">
      <w:pPr>
        <w:rPr>
          <w:rFonts w:ascii="Times New Roman" w:hAnsi="Times New Roman" w:eastAsia="宋体" w:cs="Times New Roman"/>
          <w:sz w:val="24"/>
        </w:rPr>
      </w:pPr>
      <w:r>
        <w:rPr>
          <w:rFonts w:hint="eastAsia" w:ascii="Times New Roman" w:hAnsi="Times New Roman" w:eastAsia="宋体" w:cs="Times New Roman"/>
          <w:sz w:val="24"/>
        </w:rPr>
        <w:t>1.1.4.1 开工通知：指监理人按第11.1款通知承包人开工的函件。</w:t>
      </w:r>
    </w:p>
    <w:p w14:paraId="64F00299">
      <w:pPr>
        <w:rPr>
          <w:rFonts w:ascii="Times New Roman" w:hAnsi="Times New Roman" w:eastAsia="宋体" w:cs="Times New Roman"/>
          <w:sz w:val="24"/>
        </w:rPr>
      </w:pPr>
      <w:r>
        <w:rPr>
          <w:rFonts w:hint="eastAsia" w:ascii="Times New Roman" w:hAnsi="Times New Roman" w:eastAsia="宋体" w:cs="Times New Roman"/>
          <w:sz w:val="24"/>
        </w:rPr>
        <w:t>1.1.4.2 开工日期：指监理人按第11.1款发出的开工通知中写明的开工日期。</w:t>
      </w:r>
    </w:p>
    <w:p w14:paraId="6722E2B2">
      <w:pPr>
        <w:rPr>
          <w:rFonts w:ascii="Times New Roman" w:hAnsi="Times New Roman" w:eastAsia="宋体" w:cs="Times New Roman"/>
          <w:sz w:val="24"/>
        </w:rPr>
      </w:pPr>
      <w:r>
        <w:rPr>
          <w:rFonts w:hint="eastAsia" w:ascii="Times New Roman" w:hAnsi="Times New Roman" w:eastAsia="宋体" w:cs="Times New Roman"/>
          <w:sz w:val="24"/>
        </w:rPr>
        <w:t>1.1.4.3工期：指承包人在投标函中承诺的完成合同工程所需的期限，包括按第11.3款、第11.4款和第11.6款约定所作的变更。</w:t>
      </w:r>
    </w:p>
    <w:p w14:paraId="3BFFEA57">
      <w:pPr>
        <w:rPr>
          <w:rFonts w:ascii="Times New Roman" w:hAnsi="Times New Roman" w:eastAsia="宋体" w:cs="Times New Roman"/>
          <w:sz w:val="24"/>
        </w:rPr>
      </w:pPr>
      <w:r>
        <w:rPr>
          <w:rFonts w:hint="eastAsia" w:ascii="Times New Roman" w:hAnsi="Times New Roman" w:eastAsia="宋体" w:cs="Times New Roman"/>
          <w:sz w:val="24"/>
        </w:rPr>
        <w:t>1.1.4.4 竣工日期：指第1.1.4.3目约定工期届满时的日期。实际竣工日期以工程接收证书中写明的日期为准。</w:t>
      </w:r>
    </w:p>
    <w:p w14:paraId="3CE37E2F">
      <w:pPr>
        <w:rPr>
          <w:rFonts w:ascii="Times New Roman" w:hAnsi="Times New Roman" w:eastAsia="宋体" w:cs="Times New Roman"/>
          <w:sz w:val="24"/>
        </w:rPr>
      </w:pPr>
      <w:r>
        <w:rPr>
          <w:rFonts w:hint="eastAsia" w:ascii="Times New Roman" w:hAnsi="Times New Roman" w:eastAsia="宋体" w:cs="Times New Roman"/>
          <w:sz w:val="24"/>
        </w:rPr>
        <w:t>1.1.4.5 缺陷责任期：指履行第19.2款约定的缺陷责任的期限，具体期限由专用合同条款约定，包括根据第19.3款约定所作的延长。</w:t>
      </w:r>
    </w:p>
    <w:p w14:paraId="6F89B802">
      <w:pPr>
        <w:rPr>
          <w:rFonts w:ascii="Times New Roman" w:hAnsi="Times New Roman" w:eastAsia="宋体" w:cs="Times New Roman"/>
          <w:sz w:val="24"/>
        </w:rPr>
      </w:pPr>
      <w:r>
        <w:rPr>
          <w:rFonts w:hint="eastAsia" w:ascii="Times New Roman" w:hAnsi="Times New Roman" w:eastAsia="宋体" w:cs="Times New Roman"/>
          <w:sz w:val="24"/>
        </w:rPr>
        <w:t>1.1.4.6 基准日期：指投标截止时间前28天的日期。</w:t>
      </w:r>
    </w:p>
    <w:p w14:paraId="1DB87BAE">
      <w:pPr>
        <w:rPr>
          <w:rFonts w:ascii="Times New Roman" w:hAnsi="Times New Roman" w:eastAsia="宋体" w:cs="Times New Roman"/>
          <w:sz w:val="24"/>
        </w:rPr>
      </w:pPr>
      <w:r>
        <w:rPr>
          <w:rFonts w:hint="eastAsia" w:ascii="Times New Roman" w:hAnsi="Times New Roman" w:eastAsia="宋体" w:cs="Times New Roman"/>
          <w:sz w:val="24"/>
        </w:rPr>
        <w:t>1.1.4.7 天：除特别指明外，指日历天。合同中按天计算时间的，开始当天不计入，从次日开始计算。期限最后一天的截止时间为当天24:00。</w:t>
      </w:r>
    </w:p>
    <w:p w14:paraId="70149605">
      <w:pPr>
        <w:rPr>
          <w:rFonts w:ascii="Times New Roman" w:hAnsi="Times New Roman" w:eastAsia="宋体" w:cs="Times New Roman"/>
          <w:sz w:val="24"/>
        </w:rPr>
      </w:pPr>
      <w:r>
        <w:rPr>
          <w:rFonts w:hint="eastAsia" w:ascii="Times New Roman" w:hAnsi="Times New Roman" w:eastAsia="宋体" w:cs="Times New Roman"/>
          <w:sz w:val="24"/>
        </w:rPr>
        <w:t xml:space="preserve">1.1.5 </w:t>
      </w:r>
      <w:r>
        <w:rPr>
          <w:rFonts w:hint="eastAsia" w:ascii="黑体" w:hAnsi="Times New Roman" w:eastAsia="黑体" w:cs="Times New Roman"/>
          <w:sz w:val="24"/>
        </w:rPr>
        <w:t>合同价格和费用</w:t>
      </w:r>
    </w:p>
    <w:p w14:paraId="1C2456A5">
      <w:pPr>
        <w:rPr>
          <w:rFonts w:ascii="Times New Roman" w:hAnsi="Times New Roman" w:eastAsia="宋体" w:cs="Times New Roman"/>
          <w:sz w:val="24"/>
        </w:rPr>
      </w:pPr>
      <w:r>
        <w:rPr>
          <w:rFonts w:hint="eastAsia" w:ascii="Times New Roman" w:hAnsi="Times New Roman" w:eastAsia="宋体" w:cs="Times New Roman"/>
          <w:sz w:val="24"/>
        </w:rPr>
        <w:t>1.1.5.1 签约合同价：指签定合同时合同协议书中写明的，包括了暂列金额、暂估价的合同总金额。</w:t>
      </w:r>
    </w:p>
    <w:p w14:paraId="5A15EB64">
      <w:pPr>
        <w:rPr>
          <w:rFonts w:ascii="Times New Roman" w:hAnsi="Times New Roman" w:eastAsia="宋体" w:cs="Times New Roman"/>
          <w:sz w:val="24"/>
        </w:rPr>
      </w:pPr>
      <w:r>
        <w:rPr>
          <w:rFonts w:hint="eastAsia" w:ascii="Times New Roman" w:hAnsi="Times New Roman" w:eastAsia="宋体" w:cs="Times New Roman"/>
          <w:sz w:val="24"/>
        </w:rPr>
        <w:t>1.1.5.2 合同价格：指承包人按合同约定完成了包括缺陷责任期内的全部承包工作后，发包人应付给承包人的金额，包括在履行合同过程中按合同约定进行的变更和调整。</w:t>
      </w:r>
    </w:p>
    <w:p w14:paraId="005F674A">
      <w:pPr>
        <w:rPr>
          <w:rFonts w:ascii="Times New Roman" w:hAnsi="Times New Roman" w:eastAsia="宋体" w:cs="Times New Roman"/>
          <w:sz w:val="24"/>
        </w:rPr>
      </w:pPr>
      <w:r>
        <w:rPr>
          <w:rFonts w:hint="eastAsia" w:ascii="Times New Roman" w:hAnsi="Times New Roman" w:eastAsia="宋体" w:cs="Times New Roman"/>
          <w:sz w:val="24"/>
        </w:rPr>
        <w:t>1.1.5.3 费用：指为履行合同所发生的或将要发生的所有合理开支，包括管理费和应分摊的其他费用，但不包括利润。</w:t>
      </w:r>
    </w:p>
    <w:p w14:paraId="20A2663C">
      <w:pPr>
        <w:rPr>
          <w:rFonts w:ascii="Times New Roman" w:hAnsi="Times New Roman" w:eastAsia="宋体" w:cs="Times New Roman"/>
          <w:sz w:val="24"/>
        </w:rPr>
      </w:pPr>
      <w:r>
        <w:rPr>
          <w:rFonts w:hint="eastAsia" w:ascii="Times New Roman" w:hAnsi="Times New Roman" w:eastAsia="宋体" w:cs="Times New Roman"/>
          <w:sz w:val="24"/>
        </w:rPr>
        <w:t>1.1.5.4 暂列金额：指已标价工程量清单中所列的暂列金额，用于在签订协议书时尚未确定或不可预见变更的施工及其所需材料、工程设备、服务等的金额，包括以计日工方式支付的金额。</w:t>
      </w:r>
    </w:p>
    <w:p w14:paraId="6379F754">
      <w:pPr>
        <w:rPr>
          <w:rFonts w:ascii="Times New Roman" w:hAnsi="Times New Roman" w:eastAsia="宋体" w:cs="Times New Roman"/>
          <w:sz w:val="24"/>
        </w:rPr>
      </w:pPr>
      <w:r>
        <w:rPr>
          <w:rFonts w:hint="eastAsia" w:ascii="Times New Roman" w:hAnsi="Times New Roman" w:eastAsia="宋体" w:cs="Times New Roman"/>
          <w:sz w:val="24"/>
        </w:rPr>
        <w:t>1.1.5.5暂估价：指发包人在工程量清单中给定的用于支付必然发生但暂时不能确定价格的材料、设备以及专业工程的金额。</w:t>
      </w:r>
    </w:p>
    <w:p w14:paraId="04E567C3">
      <w:pPr>
        <w:rPr>
          <w:rFonts w:ascii="Times New Roman" w:hAnsi="Times New Roman" w:eastAsia="宋体" w:cs="Times New Roman"/>
          <w:sz w:val="24"/>
        </w:rPr>
      </w:pPr>
      <w:r>
        <w:rPr>
          <w:rFonts w:hint="eastAsia" w:ascii="Times New Roman" w:hAnsi="Times New Roman" w:eastAsia="宋体" w:cs="Times New Roman"/>
          <w:sz w:val="24"/>
        </w:rPr>
        <w:t>1.1.5.6 计日工：指对零星工作采取的一种计价方式，按合同中的计日工子目及其单价计价付款。</w:t>
      </w:r>
    </w:p>
    <w:p w14:paraId="57BCFBE7">
      <w:pPr>
        <w:rPr>
          <w:rFonts w:ascii="Times New Roman" w:hAnsi="Times New Roman" w:eastAsia="宋体" w:cs="Times New Roman"/>
          <w:sz w:val="24"/>
        </w:rPr>
      </w:pPr>
      <w:r>
        <w:rPr>
          <w:rFonts w:hint="eastAsia" w:ascii="Times New Roman" w:hAnsi="Times New Roman" w:eastAsia="宋体" w:cs="Times New Roman"/>
          <w:sz w:val="24"/>
        </w:rPr>
        <w:t>1.1.5.7 质量保证金（或称保留金）：指按第17.4.1项约定用于保证在缺陷责任期内履行缺陷修复义务的金额。</w:t>
      </w:r>
    </w:p>
    <w:p w14:paraId="2A099453">
      <w:pPr>
        <w:rPr>
          <w:rFonts w:ascii="Times New Roman" w:hAnsi="Times New Roman" w:eastAsia="宋体" w:cs="Times New Roman"/>
          <w:sz w:val="24"/>
        </w:rPr>
      </w:pPr>
      <w:r>
        <w:rPr>
          <w:rFonts w:hint="eastAsia" w:ascii="Times New Roman" w:hAnsi="Times New Roman" w:eastAsia="宋体" w:cs="Times New Roman"/>
          <w:sz w:val="24"/>
        </w:rPr>
        <w:t xml:space="preserve">1.1.6 </w:t>
      </w:r>
      <w:r>
        <w:rPr>
          <w:rFonts w:hint="eastAsia" w:ascii="黑体" w:hAnsi="Times New Roman" w:eastAsia="黑体" w:cs="Times New Roman"/>
          <w:sz w:val="24"/>
        </w:rPr>
        <w:t>其他</w:t>
      </w:r>
    </w:p>
    <w:p w14:paraId="7D6575F7">
      <w:pPr>
        <w:rPr>
          <w:rFonts w:ascii="Times New Roman" w:hAnsi="Times New Roman" w:eastAsia="宋体" w:cs="Times New Roman"/>
          <w:sz w:val="24"/>
        </w:rPr>
      </w:pPr>
      <w:r>
        <w:rPr>
          <w:rFonts w:hint="eastAsia" w:ascii="Times New Roman" w:hAnsi="Times New Roman" w:eastAsia="宋体" w:cs="Times New Roman"/>
          <w:sz w:val="24"/>
        </w:rPr>
        <w:t>1.1.6.1 书面形式：指合同文件、信函、电报、传真等可以有形地表现所载内容的形式。</w:t>
      </w:r>
    </w:p>
    <w:p w14:paraId="1F50EC41">
      <w:pPr>
        <w:rPr>
          <w:rFonts w:ascii="Times New Roman" w:hAnsi="Times New Roman" w:eastAsia="宋体" w:cs="Times New Roman"/>
          <w:sz w:val="24"/>
        </w:rPr>
      </w:pPr>
      <w:bookmarkStart w:id="702" w:name="_Toc338944706"/>
      <w:bookmarkStart w:id="703" w:name="_Toc152045613"/>
      <w:bookmarkStart w:id="704" w:name="_Toc362252730"/>
      <w:bookmarkStart w:id="705" w:name="_Toc152042391"/>
      <w:bookmarkStart w:id="706" w:name="_Toc144974581"/>
      <w:bookmarkStart w:id="707" w:name="_Toc179632631"/>
      <w:bookmarkStart w:id="708" w:name="_Toc342296264"/>
      <w:r>
        <w:rPr>
          <w:rFonts w:hint="eastAsia" w:ascii="Times New Roman" w:hAnsi="Times New Roman" w:eastAsia="宋体" w:cs="Times New Roman"/>
          <w:sz w:val="24"/>
        </w:rPr>
        <w:t>1.2 语言文字</w:t>
      </w:r>
      <w:bookmarkEnd w:id="702"/>
      <w:bookmarkEnd w:id="703"/>
      <w:bookmarkEnd w:id="704"/>
      <w:bookmarkEnd w:id="705"/>
      <w:bookmarkEnd w:id="706"/>
      <w:bookmarkEnd w:id="707"/>
      <w:bookmarkEnd w:id="708"/>
    </w:p>
    <w:p w14:paraId="0DF8A583">
      <w:pPr>
        <w:rPr>
          <w:rFonts w:ascii="Times New Roman" w:hAnsi="Times New Roman" w:eastAsia="宋体" w:cs="Times New Roman"/>
          <w:sz w:val="24"/>
        </w:rPr>
      </w:pPr>
      <w:r>
        <w:rPr>
          <w:rFonts w:hint="eastAsia" w:ascii="Times New Roman" w:hAnsi="Times New Roman" w:eastAsia="宋体" w:cs="Times New Roman"/>
          <w:sz w:val="24"/>
        </w:rPr>
        <w:t>除专用术语外，合同使用的语言文字为中文。必要时专用术语应附有中文注释。</w:t>
      </w:r>
    </w:p>
    <w:p w14:paraId="5839C872">
      <w:pPr>
        <w:rPr>
          <w:rFonts w:ascii="Times New Roman" w:hAnsi="Times New Roman" w:eastAsia="宋体" w:cs="Times New Roman"/>
          <w:sz w:val="24"/>
        </w:rPr>
      </w:pPr>
      <w:bookmarkStart w:id="709" w:name="_Toc152045614"/>
      <w:bookmarkStart w:id="710" w:name="_Toc152042392"/>
      <w:bookmarkStart w:id="711" w:name="_Toc342296265"/>
      <w:bookmarkStart w:id="712" w:name="_Toc144974582"/>
      <w:bookmarkStart w:id="713" w:name="_Toc362252731"/>
      <w:bookmarkStart w:id="714" w:name="_Toc338944707"/>
      <w:bookmarkStart w:id="715" w:name="_Toc179632632"/>
      <w:r>
        <w:rPr>
          <w:rFonts w:hint="eastAsia" w:ascii="Times New Roman" w:hAnsi="Times New Roman" w:eastAsia="宋体" w:cs="Times New Roman"/>
          <w:sz w:val="24"/>
        </w:rPr>
        <w:t>1.3 法律</w:t>
      </w:r>
      <w:bookmarkEnd w:id="709"/>
      <w:bookmarkEnd w:id="710"/>
      <w:bookmarkEnd w:id="711"/>
      <w:bookmarkEnd w:id="712"/>
      <w:bookmarkEnd w:id="713"/>
      <w:bookmarkEnd w:id="714"/>
      <w:bookmarkEnd w:id="715"/>
    </w:p>
    <w:p w14:paraId="1AAE4A71">
      <w:pPr>
        <w:rPr>
          <w:rFonts w:ascii="Times New Roman" w:hAnsi="Times New Roman" w:eastAsia="宋体" w:cs="Times New Roman"/>
          <w:sz w:val="24"/>
        </w:rPr>
      </w:pPr>
      <w:r>
        <w:rPr>
          <w:rFonts w:hint="eastAsia" w:ascii="Times New Roman" w:hAnsi="Times New Roman" w:eastAsia="宋体" w:cs="Times New Roman"/>
          <w:sz w:val="24"/>
        </w:rPr>
        <w:t>适用于合同的法律包括中华人民共和国法律、行政法规、部门规章，以及工程所在地的地方法规、自治条例、单行条例和地方政府规章。</w:t>
      </w:r>
    </w:p>
    <w:p w14:paraId="2A6F6446">
      <w:pPr>
        <w:rPr>
          <w:rFonts w:ascii="Times New Roman" w:hAnsi="Times New Roman" w:eastAsia="宋体" w:cs="Times New Roman"/>
          <w:sz w:val="24"/>
        </w:rPr>
      </w:pPr>
      <w:bookmarkStart w:id="716" w:name="_Toc338944708"/>
      <w:bookmarkStart w:id="717" w:name="_Toc362252732"/>
      <w:bookmarkStart w:id="718" w:name="_Toc342296266"/>
      <w:r>
        <w:rPr>
          <w:rFonts w:hint="eastAsia" w:ascii="Times New Roman" w:hAnsi="Times New Roman" w:eastAsia="宋体" w:cs="Times New Roman"/>
          <w:sz w:val="24"/>
        </w:rPr>
        <w:t>1.4 合同文件的优先顺序</w:t>
      </w:r>
      <w:bookmarkEnd w:id="716"/>
      <w:bookmarkEnd w:id="717"/>
      <w:bookmarkEnd w:id="718"/>
    </w:p>
    <w:p w14:paraId="5702670D">
      <w:pPr>
        <w:rPr>
          <w:rFonts w:ascii="Times New Roman" w:hAnsi="Times New Roman" w:eastAsia="宋体" w:cs="Times New Roman"/>
          <w:sz w:val="24"/>
        </w:rPr>
      </w:pPr>
      <w:r>
        <w:rPr>
          <w:rFonts w:hint="eastAsia" w:ascii="Times New Roman" w:hAnsi="Times New Roman" w:eastAsia="宋体" w:cs="Times New Roman"/>
          <w:sz w:val="24"/>
        </w:rPr>
        <w:t>组成合同的各项文件应互相解释，互为说明。除专用合同条款另有约定外，解释合同文件的优先顺序如下：</w:t>
      </w:r>
    </w:p>
    <w:p w14:paraId="3EEB6160">
      <w:pPr>
        <w:rPr>
          <w:rFonts w:ascii="Times New Roman" w:hAnsi="Times New Roman" w:eastAsia="宋体" w:cs="Times New Roman"/>
          <w:color w:val="auto"/>
          <w:sz w:val="24"/>
        </w:rPr>
      </w:pPr>
      <w:r>
        <w:rPr>
          <w:rFonts w:hint="eastAsia" w:ascii="Times New Roman" w:hAnsi="Times New Roman" w:eastAsia="宋体" w:cs="Times New Roman"/>
          <w:color w:val="auto"/>
          <w:sz w:val="24"/>
        </w:rPr>
        <w:t>（1）合同协议书；</w:t>
      </w:r>
    </w:p>
    <w:p w14:paraId="1C2717E2">
      <w:pPr>
        <w:rPr>
          <w:rFonts w:ascii="Times New Roman" w:hAnsi="Times New Roman" w:eastAsia="宋体" w:cs="Times New Roman"/>
          <w:color w:val="auto"/>
          <w:sz w:val="24"/>
        </w:rPr>
      </w:pPr>
      <w:r>
        <w:rPr>
          <w:rFonts w:hint="eastAsia" w:ascii="Times New Roman" w:hAnsi="Times New Roman" w:eastAsia="宋体" w:cs="Times New Roman"/>
          <w:color w:val="auto"/>
          <w:sz w:val="24"/>
        </w:rPr>
        <w:t>（2）中标通知书；</w:t>
      </w:r>
    </w:p>
    <w:p w14:paraId="1AF1A95E">
      <w:pPr>
        <w:rPr>
          <w:rFonts w:ascii="Times New Roman" w:hAnsi="Times New Roman" w:eastAsia="宋体" w:cs="Times New Roman"/>
          <w:color w:val="auto"/>
          <w:sz w:val="24"/>
        </w:rPr>
      </w:pPr>
      <w:r>
        <w:rPr>
          <w:rFonts w:hint="eastAsia" w:ascii="Times New Roman" w:hAnsi="Times New Roman" w:eastAsia="宋体" w:cs="Times New Roman"/>
          <w:color w:val="auto"/>
          <w:sz w:val="24"/>
        </w:rPr>
        <w:t>（3）投标函及投标函附录；</w:t>
      </w:r>
    </w:p>
    <w:p w14:paraId="3EBE22FF">
      <w:pPr>
        <w:rPr>
          <w:rFonts w:ascii="Times New Roman" w:hAnsi="Times New Roman" w:eastAsia="宋体" w:cs="Times New Roman"/>
          <w:color w:val="auto"/>
          <w:sz w:val="24"/>
        </w:rPr>
      </w:pPr>
      <w:r>
        <w:rPr>
          <w:rFonts w:hint="eastAsia" w:ascii="Times New Roman" w:hAnsi="Times New Roman" w:eastAsia="宋体" w:cs="Times New Roman"/>
          <w:color w:val="auto"/>
          <w:sz w:val="24"/>
        </w:rPr>
        <w:t>（4）专用合同条款；</w:t>
      </w:r>
    </w:p>
    <w:p w14:paraId="19BDAD2E">
      <w:pPr>
        <w:rPr>
          <w:rFonts w:ascii="Times New Roman" w:hAnsi="Times New Roman" w:eastAsia="宋体" w:cs="Times New Roman"/>
          <w:color w:val="auto"/>
          <w:sz w:val="24"/>
        </w:rPr>
      </w:pPr>
      <w:r>
        <w:rPr>
          <w:rFonts w:hint="eastAsia" w:ascii="Times New Roman" w:hAnsi="Times New Roman" w:eastAsia="宋体" w:cs="Times New Roman"/>
          <w:color w:val="auto"/>
          <w:sz w:val="24"/>
        </w:rPr>
        <w:t>（5）通用合同条款；</w:t>
      </w:r>
    </w:p>
    <w:p w14:paraId="60E723C0">
      <w:pPr>
        <w:rPr>
          <w:rFonts w:ascii="Times New Roman" w:hAnsi="Times New Roman" w:eastAsia="宋体" w:cs="Times New Roman"/>
          <w:color w:val="auto"/>
          <w:sz w:val="24"/>
        </w:rPr>
      </w:pPr>
      <w:r>
        <w:rPr>
          <w:rFonts w:hint="eastAsia" w:ascii="Times New Roman" w:hAnsi="Times New Roman" w:eastAsia="宋体" w:cs="Times New Roman"/>
          <w:color w:val="auto"/>
          <w:sz w:val="24"/>
        </w:rPr>
        <w:t>（6）技术标准和要求；</w:t>
      </w:r>
    </w:p>
    <w:p w14:paraId="720B6BCF">
      <w:pPr>
        <w:rPr>
          <w:rFonts w:ascii="Times New Roman" w:hAnsi="Times New Roman" w:eastAsia="宋体" w:cs="Times New Roman"/>
          <w:color w:val="auto"/>
          <w:sz w:val="24"/>
        </w:rPr>
      </w:pPr>
      <w:r>
        <w:rPr>
          <w:rFonts w:hint="eastAsia" w:ascii="Times New Roman" w:hAnsi="Times New Roman" w:eastAsia="宋体" w:cs="Times New Roman"/>
          <w:color w:val="auto"/>
          <w:sz w:val="24"/>
        </w:rPr>
        <w:t>（7）图纸；</w:t>
      </w:r>
    </w:p>
    <w:p w14:paraId="4505B3DC">
      <w:pPr>
        <w:rPr>
          <w:rFonts w:ascii="Times New Roman" w:hAnsi="Times New Roman" w:eastAsia="宋体" w:cs="Times New Roman"/>
          <w:color w:val="auto"/>
          <w:sz w:val="24"/>
        </w:rPr>
      </w:pPr>
      <w:r>
        <w:rPr>
          <w:rFonts w:hint="eastAsia" w:ascii="Times New Roman" w:hAnsi="Times New Roman" w:eastAsia="宋体" w:cs="Times New Roman"/>
          <w:color w:val="auto"/>
          <w:sz w:val="24"/>
        </w:rPr>
        <w:t>（8）已标价工程量清单；</w:t>
      </w:r>
    </w:p>
    <w:p w14:paraId="77FD41B9">
      <w:pPr>
        <w:rPr>
          <w:rFonts w:ascii="Times New Roman" w:hAnsi="Times New Roman" w:eastAsia="宋体" w:cs="Times New Roman"/>
          <w:color w:val="auto"/>
          <w:sz w:val="24"/>
        </w:rPr>
      </w:pPr>
      <w:r>
        <w:rPr>
          <w:rFonts w:hint="eastAsia" w:ascii="Times New Roman" w:hAnsi="Times New Roman" w:eastAsia="宋体" w:cs="Times New Roman"/>
          <w:color w:val="auto"/>
          <w:sz w:val="24"/>
        </w:rPr>
        <w:t>（9）其他合同文件。</w:t>
      </w:r>
    </w:p>
    <w:p w14:paraId="1CD2F8AC">
      <w:pPr>
        <w:rPr>
          <w:rFonts w:ascii="Times New Roman" w:hAnsi="Times New Roman" w:eastAsia="宋体" w:cs="Times New Roman"/>
          <w:color w:val="auto"/>
          <w:sz w:val="24"/>
        </w:rPr>
      </w:pPr>
      <w:bookmarkStart w:id="719" w:name="_Toc342296267"/>
      <w:bookmarkStart w:id="720" w:name="_Toc362252733"/>
      <w:bookmarkStart w:id="721" w:name="_Toc338944709"/>
      <w:r>
        <w:rPr>
          <w:rFonts w:hint="eastAsia" w:ascii="Times New Roman" w:hAnsi="Times New Roman" w:eastAsia="宋体" w:cs="Times New Roman"/>
          <w:color w:val="auto"/>
          <w:sz w:val="24"/>
        </w:rPr>
        <w:t>1.5 合同协议书</w:t>
      </w:r>
      <w:bookmarkEnd w:id="719"/>
      <w:bookmarkEnd w:id="720"/>
      <w:bookmarkEnd w:id="721"/>
    </w:p>
    <w:p w14:paraId="395F4570">
      <w:pPr>
        <w:rPr>
          <w:rFonts w:ascii="Times New Roman" w:hAnsi="Times New Roman" w:eastAsia="宋体" w:cs="Times New Roman"/>
          <w:color w:val="auto"/>
          <w:sz w:val="24"/>
        </w:rPr>
      </w:pPr>
      <w:r>
        <w:rPr>
          <w:rFonts w:hint="eastAsia" w:ascii="Times New Roman" w:hAnsi="Times New Roman" w:eastAsia="宋体" w:cs="Times New Roman"/>
          <w:color w:val="auto"/>
          <w:sz w:val="24"/>
        </w:rPr>
        <w:t>承包人按中标通知书规定的时间与发包人签订合同协议书。除法律另有规定或合同另有约定外，发包人和承包人的法定代表人或其委托代理人在合同协议书上签字并盖单位章后，合同生效。</w:t>
      </w:r>
    </w:p>
    <w:p w14:paraId="3C81A971">
      <w:pPr>
        <w:rPr>
          <w:rFonts w:ascii="Times New Roman" w:hAnsi="Times New Roman" w:eastAsia="宋体" w:cs="Times New Roman"/>
          <w:sz w:val="24"/>
        </w:rPr>
      </w:pPr>
      <w:bookmarkStart w:id="722" w:name="_Toc342296268"/>
      <w:bookmarkStart w:id="723" w:name="_Toc362252734"/>
      <w:bookmarkStart w:id="724" w:name="_Toc338944710"/>
      <w:r>
        <w:rPr>
          <w:rFonts w:hint="eastAsia" w:ascii="Times New Roman" w:hAnsi="Times New Roman" w:eastAsia="宋体" w:cs="Times New Roman"/>
          <w:sz w:val="24"/>
        </w:rPr>
        <w:t>1.6 图纸和承包人文件</w:t>
      </w:r>
      <w:bookmarkEnd w:id="722"/>
      <w:bookmarkEnd w:id="723"/>
      <w:bookmarkEnd w:id="724"/>
    </w:p>
    <w:p w14:paraId="1271EBDE">
      <w:pPr>
        <w:rPr>
          <w:rFonts w:ascii="Times New Roman" w:hAnsi="Times New Roman" w:eastAsia="宋体" w:cs="Times New Roman"/>
          <w:sz w:val="24"/>
        </w:rPr>
      </w:pPr>
      <w:r>
        <w:rPr>
          <w:rFonts w:hint="eastAsia" w:ascii="Times New Roman" w:hAnsi="Times New Roman" w:eastAsia="宋体" w:cs="Times New Roman"/>
          <w:sz w:val="24"/>
        </w:rPr>
        <w:t>1.6.1</w:t>
      </w:r>
      <w:r>
        <w:rPr>
          <w:rFonts w:hint="eastAsia" w:ascii="黑体" w:hAnsi="Times New Roman" w:eastAsia="黑体" w:cs="Times New Roman"/>
          <w:sz w:val="24"/>
        </w:rPr>
        <w:t>图纸的提供</w:t>
      </w:r>
    </w:p>
    <w:p w14:paraId="26107D71">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除专用合同条款另有约定外，图纸应在合理的期限内按照合同约定的数量提供给承包人。由于发包人未按时提供图纸造成工期延误的，按第11.3款的约定办理。</w:t>
      </w:r>
    </w:p>
    <w:p w14:paraId="150BD288">
      <w:pPr>
        <w:rPr>
          <w:rFonts w:ascii="Times New Roman" w:hAnsi="Times New Roman" w:eastAsia="宋体" w:cs="Times New Roman"/>
          <w:sz w:val="24"/>
        </w:rPr>
      </w:pPr>
      <w:r>
        <w:rPr>
          <w:rFonts w:hint="eastAsia" w:ascii="Times New Roman" w:hAnsi="Times New Roman" w:eastAsia="宋体" w:cs="Times New Roman"/>
          <w:sz w:val="24"/>
        </w:rPr>
        <w:t xml:space="preserve">1.6.2 </w:t>
      </w:r>
      <w:r>
        <w:rPr>
          <w:rFonts w:hint="eastAsia" w:ascii="黑体" w:hAnsi="Times New Roman" w:eastAsia="黑体" w:cs="Times New Roman"/>
          <w:sz w:val="24"/>
        </w:rPr>
        <w:t>承包人提供的文件</w:t>
      </w:r>
    </w:p>
    <w:p w14:paraId="4836257A">
      <w:pPr>
        <w:rPr>
          <w:rFonts w:ascii="Times New Roman" w:hAnsi="Times New Roman" w:eastAsia="宋体" w:cs="Times New Roman"/>
          <w:sz w:val="24"/>
        </w:rPr>
      </w:pPr>
      <w:r>
        <w:rPr>
          <w:rFonts w:hint="eastAsia" w:ascii="Times New Roman" w:hAnsi="Times New Roman" w:eastAsia="宋体" w:cs="Times New Roman"/>
          <w:sz w:val="24"/>
        </w:rPr>
        <w:t>　　按专用合同条款约定由承包人提供的文件，包括部分工程的大样图、加工图等，承包人应按约定的数量和期限报送监理人。监理人应在专用合同条款约定的期限内批复。</w:t>
      </w:r>
    </w:p>
    <w:p w14:paraId="7D14136B">
      <w:pPr>
        <w:rPr>
          <w:rFonts w:ascii="Times New Roman" w:hAnsi="Times New Roman" w:eastAsia="宋体" w:cs="Times New Roman"/>
          <w:sz w:val="24"/>
        </w:rPr>
      </w:pPr>
      <w:r>
        <w:rPr>
          <w:rFonts w:hint="eastAsia" w:ascii="Times New Roman" w:hAnsi="Times New Roman" w:eastAsia="宋体" w:cs="Times New Roman"/>
          <w:sz w:val="24"/>
        </w:rPr>
        <w:t xml:space="preserve">1.6.3 </w:t>
      </w:r>
      <w:r>
        <w:rPr>
          <w:rFonts w:hint="eastAsia" w:ascii="黑体" w:hAnsi="Times New Roman" w:eastAsia="黑体" w:cs="Times New Roman"/>
          <w:sz w:val="24"/>
        </w:rPr>
        <w:t>图纸的修改</w:t>
      </w:r>
    </w:p>
    <w:p w14:paraId="51B0421E">
      <w:pPr>
        <w:rPr>
          <w:rFonts w:ascii="Times New Roman" w:hAnsi="Times New Roman" w:eastAsia="宋体" w:cs="Times New Roman"/>
          <w:sz w:val="24"/>
        </w:rPr>
      </w:pPr>
      <w:r>
        <w:rPr>
          <w:rFonts w:hint="eastAsia" w:ascii="Times New Roman" w:hAnsi="Times New Roman" w:eastAsia="宋体" w:cs="Times New Roman"/>
          <w:sz w:val="24"/>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4B0A7C92">
      <w:pPr>
        <w:rPr>
          <w:rFonts w:ascii="Times New Roman" w:hAnsi="Times New Roman" w:eastAsia="宋体" w:cs="Times New Roman"/>
          <w:sz w:val="24"/>
        </w:rPr>
      </w:pPr>
      <w:r>
        <w:rPr>
          <w:rFonts w:hint="eastAsia" w:ascii="Times New Roman" w:hAnsi="Times New Roman" w:eastAsia="宋体" w:cs="Times New Roman"/>
          <w:sz w:val="24"/>
        </w:rPr>
        <w:t xml:space="preserve">1.6.4 </w:t>
      </w:r>
      <w:r>
        <w:rPr>
          <w:rFonts w:hint="eastAsia" w:ascii="黑体" w:hAnsi="Times New Roman" w:eastAsia="黑体" w:cs="Times New Roman"/>
          <w:sz w:val="24"/>
        </w:rPr>
        <w:t>图纸的错误</w:t>
      </w:r>
    </w:p>
    <w:p w14:paraId="45744D01">
      <w:pPr>
        <w:rPr>
          <w:rFonts w:ascii="Times New Roman" w:hAnsi="Times New Roman" w:eastAsia="宋体" w:cs="Times New Roman"/>
          <w:sz w:val="24"/>
        </w:rPr>
      </w:pPr>
      <w:r>
        <w:rPr>
          <w:rFonts w:hint="eastAsia" w:ascii="Times New Roman" w:hAnsi="Times New Roman" w:eastAsia="宋体" w:cs="Times New Roman"/>
          <w:sz w:val="24"/>
        </w:rPr>
        <w:t>承包人发现发包人提供的图纸存在明显错误或疏忽，应及时通知监理人。</w:t>
      </w:r>
    </w:p>
    <w:p w14:paraId="5E74A85D">
      <w:pPr>
        <w:rPr>
          <w:rFonts w:ascii="Times New Roman" w:hAnsi="Times New Roman" w:eastAsia="宋体" w:cs="Times New Roman"/>
          <w:sz w:val="24"/>
        </w:rPr>
      </w:pPr>
      <w:r>
        <w:rPr>
          <w:rFonts w:hint="eastAsia" w:ascii="Times New Roman" w:hAnsi="Times New Roman" w:eastAsia="宋体" w:cs="Times New Roman"/>
          <w:sz w:val="24"/>
        </w:rPr>
        <w:t xml:space="preserve">1.6.5 </w:t>
      </w:r>
      <w:r>
        <w:rPr>
          <w:rFonts w:hint="eastAsia" w:ascii="黑体" w:hAnsi="Times New Roman" w:eastAsia="黑体" w:cs="Times New Roman"/>
          <w:sz w:val="24"/>
        </w:rPr>
        <w:t>图纸和承包人文件的保管</w:t>
      </w:r>
    </w:p>
    <w:p w14:paraId="35033433">
      <w:pPr>
        <w:rPr>
          <w:rFonts w:ascii="Times New Roman" w:hAnsi="Times New Roman" w:eastAsia="宋体" w:cs="Times New Roman"/>
          <w:sz w:val="24"/>
        </w:rPr>
      </w:pPr>
      <w:r>
        <w:rPr>
          <w:rFonts w:hint="eastAsia" w:ascii="Times New Roman" w:hAnsi="Times New Roman" w:eastAsia="宋体" w:cs="Times New Roman"/>
          <w:sz w:val="24"/>
        </w:rPr>
        <w:t>监理人和承包人均应在施工场地各保存一套完整的包含第1.6.1项、第1.6.2项、第1.6.3项约定内容的图纸和承包人文件。</w:t>
      </w:r>
    </w:p>
    <w:p w14:paraId="200FCEC8">
      <w:pPr>
        <w:rPr>
          <w:rFonts w:ascii="Times New Roman" w:hAnsi="Times New Roman" w:eastAsia="宋体" w:cs="Times New Roman"/>
          <w:sz w:val="24"/>
        </w:rPr>
      </w:pPr>
      <w:bookmarkStart w:id="725" w:name="_Toc342296269"/>
      <w:bookmarkStart w:id="726" w:name="_Toc362252735"/>
      <w:bookmarkStart w:id="727" w:name="_Toc338944711"/>
      <w:r>
        <w:rPr>
          <w:rFonts w:hint="eastAsia" w:ascii="Times New Roman" w:hAnsi="Times New Roman" w:eastAsia="宋体" w:cs="Times New Roman"/>
          <w:sz w:val="24"/>
        </w:rPr>
        <w:t>1.7 联络</w:t>
      </w:r>
      <w:bookmarkEnd w:id="725"/>
      <w:bookmarkEnd w:id="726"/>
      <w:bookmarkEnd w:id="727"/>
    </w:p>
    <w:p w14:paraId="333E3CAD">
      <w:pPr>
        <w:rPr>
          <w:rFonts w:ascii="Times New Roman" w:hAnsi="Times New Roman" w:eastAsia="宋体" w:cs="Times New Roman"/>
          <w:sz w:val="24"/>
        </w:rPr>
      </w:pPr>
      <w:r>
        <w:rPr>
          <w:rFonts w:hint="eastAsia" w:ascii="Times New Roman" w:hAnsi="Times New Roman" w:eastAsia="宋体" w:cs="Times New Roman"/>
          <w:sz w:val="24"/>
        </w:rPr>
        <w:t>1.7.1 与合同有关的通知、批准、证明、证书、指示、要求、请求、同意、意见、确定和决定等，均应采用书面形式。</w:t>
      </w:r>
    </w:p>
    <w:p w14:paraId="5FB9962D">
      <w:pPr>
        <w:rPr>
          <w:rFonts w:ascii="Times New Roman" w:hAnsi="Times New Roman" w:eastAsia="宋体" w:cs="Times New Roman"/>
          <w:sz w:val="24"/>
        </w:rPr>
      </w:pPr>
      <w:r>
        <w:rPr>
          <w:rFonts w:hint="eastAsia" w:ascii="Times New Roman" w:hAnsi="Times New Roman" w:eastAsia="宋体" w:cs="Times New Roman"/>
          <w:sz w:val="24"/>
        </w:rPr>
        <w:t>1.7.2 第1.7.1项中的通知、批准、证明、证书、指示、要求、请求、同意、意见、确定和决定等来往函件，均应在合同约定的期限内送达指定地点和接收人，并办理签收手续。</w:t>
      </w:r>
    </w:p>
    <w:p w14:paraId="3B284E66">
      <w:pPr>
        <w:rPr>
          <w:rFonts w:ascii="Times New Roman" w:hAnsi="Times New Roman" w:eastAsia="宋体" w:cs="Times New Roman"/>
          <w:sz w:val="24"/>
        </w:rPr>
      </w:pPr>
      <w:bookmarkStart w:id="728" w:name="_Toc144974587"/>
      <w:bookmarkStart w:id="729" w:name="_Toc342296270"/>
      <w:bookmarkStart w:id="730" w:name="_Toc152042397"/>
      <w:bookmarkStart w:id="731" w:name="_Toc338944712"/>
      <w:bookmarkStart w:id="732" w:name="_Toc362252736"/>
      <w:bookmarkStart w:id="733" w:name="_Toc152045619"/>
      <w:bookmarkStart w:id="734" w:name="_Toc179632637"/>
      <w:r>
        <w:rPr>
          <w:rFonts w:hint="eastAsia" w:ascii="Times New Roman" w:hAnsi="Times New Roman" w:eastAsia="宋体" w:cs="Times New Roman"/>
          <w:sz w:val="24"/>
        </w:rPr>
        <w:t>1.8 转让</w:t>
      </w:r>
      <w:bookmarkEnd w:id="728"/>
      <w:bookmarkEnd w:id="729"/>
      <w:bookmarkEnd w:id="730"/>
      <w:bookmarkEnd w:id="731"/>
      <w:bookmarkEnd w:id="732"/>
      <w:bookmarkEnd w:id="733"/>
      <w:bookmarkEnd w:id="734"/>
    </w:p>
    <w:p w14:paraId="10FB635E">
      <w:pPr>
        <w:rPr>
          <w:rFonts w:ascii="Times New Roman" w:hAnsi="Times New Roman" w:eastAsia="宋体" w:cs="Times New Roman"/>
          <w:sz w:val="24"/>
        </w:rPr>
      </w:pPr>
      <w:r>
        <w:rPr>
          <w:rFonts w:hint="eastAsia" w:ascii="Times New Roman" w:hAnsi="Times New Roman" w:eastAsia="宋体" w:cs="Times New Roman"/>
          <w:sz w:val="24"/>
        </w:rPr>
        <w:t>除合同另有约定外，未经对方当事人同意，一方当事人不得将合同权利全部或部分转让给第三人，也不得全部或部分转移合同义务。</w:t>
      </w:r>
    </w:p>
    <w:p w14:paraId="6271AFC1">
      <w:pPr>
        <w:rPr>
          <w:rFonts w:ascii="Times New Roman" w:hAnsi="Times New Roman" w:eastAsia="宋体" w:cs="Times New Roman"/>
          <w:sz w:val="24"/>
        </w:rPr>
      </w:pPr>
      <w:bookmarkStart w:id="735" w:name="_Toc144974588"/>
      <w:bookmarkStart w:id="736" w:name="_Toc342296271"/>
      <w:bookmarkStart w:id="737" w:name="_Toc179632638"/>
      <w:bookmarkStart w:id="738" w:name="_Toc152045620"/>
      <w:bookmarkStart w:id="739" w:name="_Toc338944713"/>
      <w:bookmarkStart w:id="740" w:name="_Toc362252737"/>
      <w:bookmarkStart w:id="741" w:name="_Toc152042398"/>
      <w:r>
        <w:rPr>
          <w:rFonts w:hint="eastAsia" w:ascii="Times New Roman" w:hAnsi="Times New Roman" w:eastAsia="宋体" w:cs="Times New Roman"/>
          <w:sz w:val="24"/>
        </w:rPr>
        <w:t>1.9 严禁贿赂</w:t>
      </w:r>
      <w:bookmarkEnd w:id="735"/>
      <w:bookmarkEnd w:id="736"/>
      <w:bookmarkEnd w:id="737"/>
      <w:bookmarkEnd w:id="738"/>
      <w:bookmarkEnd w:id="739"/>
      <w:bookmarkEnd w:id="740"/>
      <w:bookmarkEnd w:id="741"/>
    </w:p>
    <w:p w14:paraId="78D1BB49">
      <w:pPr>
        <w:rPr>
          <w:rFonts w:ascii="Times New Roman" w:hAnsi="Times New Roman" w:eastAsia="宋体" w:cs="Times New Roman"/>
          <w:sz w:val="24"/>
        </w:rPr>
      </w:pPr>
      <w:r>
        <w:rPr>
          <w:rFonts w:hint="eastAsia" w:ascii="Times New Roman" w:hAnsi="Times New Roman" w:eastAsia="宋体" w:cs="Times New Roman"/>
          <w:sz w:val="24"/>
        </w:rPr>
        <w:t>合同双方当事人不得以贿赂或变相贿赂的方式，谋取不当利益或损害对方权益。因贿赂造成对方损失的，行为人应赔偿损失，并承担相应的法律责任。</w:t>
      </w:r>
    </w:p>
    <w:p w14:paraId="736BFF53">
      <w:pPr>
        <w:rPr>
          <w:rFonts w:ascii="Times New Roman" w:hAnsi="Times New Roman" w:eastAsia="宋体" w:cs="Times New Roman"/>
          <w:sz w:val="24"/>
        </w:rPr>
      </w:pPr>
      <w:bookmarkStart w:id="742" w:name="_Toc338944714"/>
      <w:bookmarkStart w:id="743" w:name="_Toc152045621"/>
      <w:bookmarkStart w:id="744" w:name="_Toc179632639"/>
      <w:bookmarkStart w:id="745" w:name="_Toc152042399"/>
      <w:bookmarkStart w:id="746" w:name="_Toc362252738"/>
      <w:bookmarkStart w:id="747" w:name="_Toc342296272"/>
      <w:bookmarkStart w:id="748" w:name="_Toc144974589"/>
      <w:r>
        <w:rPr>
          <w:rFonts w:hint="eastAsia" w:ascii="Times New Roman" w:hAnsi="Times New Roman" w:eastAsia="宋体" w:cs="Times New Roman"/>
          <w:sz w:val="24"/>
        </w:rPr>
        <w:t>1.10 化石、文物</w:t>
      </w:r>
      <w:bookmarkEnd w:id="742"/>
      <w:bookmarkEnd w:id="743"/>
      <w:bookmarkEnd w:id="744"/>
      <w:bookmarkEnd w:id="745"/>
      <w:bookmarkEnd w:id="746"/>
      <w:bookmarkEnd w:id="747"/>
      <w:bookmarkEnd w:id="748"/>
    </w:p>
    <w:p w14:paraId="55078EB7">
      <w:pPr>
        <w:rPr>
          <w:rFonts w:ascii="Times New Roman" w:hAnsi="Times New Roman" w:eastAsia="宋体" w:cs="Times New Roman"/>
          <w:sz w:val="24"/>
        </w:rPr>
      </w:pPr>
      <w:r>
        <w:rPr>
          <w:rFonts w:hint="eastAsia" w:ascii="Times New Roman" w:hAnsi="Times New Roman" w:eastAsia="宋体" w:cs="Times New Roman"/>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548EC3B">
      <w:pPr>
        <w:rPr>
          <w:rFonts w:ascii="Times New Roman" w:hAnsi="Times New Roman" w:eastAsia="宋体" w:cs="Times New Roman"/>
          <w:sz w:val="24"/>
        </w:rPr>
      </w:pPr>
      <w:r>
        <w:rPr>
          <w:rFonts w:hint="eastAsia" w:ascii="Times New Roman" w:hAnsi="Times New Roman" w:eastAsia="宋体" w:cs="Times New Roman"/>
          <w:sz w:val="24"/>
        </w:rPr>
        <w:t>1.10.2 承包人发现文物后不及时报告或隐瞒不报，致使文物丢失或损坏的，应赔偿损失，并承担相应的法律责任。</w:t>
      </w:r>
    </w:p>
    <w:p w14:paraId="5F76EA03">
      <w:pPr>
        <w:rPr>
          <w:rFonts w:ascii="Times New Roman" w:hAnsi="Times New Roman" w:eastAsia="宋体" w:cs="Times New Roman"/>
          <w:sz w:val="24"/>
        </w:rPr>
      </w:pPr>
      <w:bookmarkStart w:id="749" w:name="_Toc342296273"/>
      <w:bookmarkStart w:id="750" w:name="_Toc152045622"/>
      <w:bookmarkStart w:id="751" w:name="_Toc144974590"/>
      <w:bookmarkStart w:id="752" w:name="_Toc179632640"/>
      <w:bookmarkStart w:id="753" w:name="_Toc362252739"/>
      <w:bookmarkStart w:id="754" w:name="_Toc338944715"/>
      <w:bookmarkStart w:id="755" w:name="_Toc152042400"/>
      <w:r>
        <w:rPr>
          <w:rFonts w:hint="eastAsia" w:ascii="Times New Roman" w:hAnsi="Times New Roman" w:eastAsia="宋体" w:cs="Times New Roman"/>
          <w:sz w:val="24"/>
        </w:rPr>
        <w:t>1.11 专利技术</w:t>
      </w:r>
      <w:bookmarkEnd w:id="749"/>
      <w:bookmarkEnd w:id="750"/>
      <w:bookmarkEnd w:id="751"/>
      <w:bookmarkEnd w:id="752"/>
      <w:bookmarkEnd w:id="753"/>
      <w:bookmarkEnd w:id="754"/>
      <w:bookmarkEnd w:id="755"/>
    </w:p>
    <w:p w14:paraId="687B30B9">
      <w:pPr>
        <w:rPr>
          <w:rFonts w:ascii="Times New Roman" w:hAnsi="Times New Roman" w:eastAsia="宋体" w:cs="Times New Roman"/>
          <w:sz w:val="24"/>
        </w:rPr>
      </w:pPr>
      <w:r>
        <w:rPr>
          <w:rFonts w:hint="eastAsia" w:ascii="Times New Roman" w:hAnsi="Times New Roman" w:eastAsia="宋体" w:cs="Times New Roman"/>
          <w:sz w:val="24"/>
        </w:rPr>
        <w:t>1.11.1 承包人在使用任何材料、承包人设备、工程设备或采用施工工艺时，因侵犯专利权或其他知识产权所引起的责任，由承包人承担，但由于遵照发包人提供的设计或技术标准和要求引起的除外。</w:t>
      </w:r>
    </w:p>
    <w:p w14:paraId="4B75EF01">
      <w:pPr>
        <w:rPr>
          <w:rFonts w:ascii="Times New Roman" w:hAnsi="Times New Roman" w:eastAsia="宋体" w:cs="Times New Roman"/>
          <w:sz w:val="24"/>
        </w:rPr>
      </w:pPr>
      <w:r>
        <w:rPr>
          <w:rFonts w:hint="eastAsia" w:ascii="Times New Roman" w:hAnsi="Times New Roman" w:eastAsia="宋体" w:cs="Times New Roman"/>
          <w:sz w:val="24"/>
        </w:rPr>
        <w:t>1.11.2 承包人在投标文件中采用专利技术的，专利技术的使用费包含在投标报价内。</w:t>
      </w:r>
    </w:p>
    <w:p w14:paraId="4DC840F7">
      <w:pPr>
        <w:rPr>
          <w:rFonts w:ascii="Times New Roman" w:hAnsi="Times New Roman" w:eastAsia="宋体" w:cs="Times New Roman"/>
          <w:sz w:val="24"/>
        </w:rPr>
      </w:pPr>
      <w:r>
        <w:rPr>
          <w:rFonts w:hint="eastAsia" w:ascii="Times New Roman" w:hAnsi="Times New Roman" w:eastAsia="宋体" w:cs="Times New Roman"/>
          <w:sz w:val="24"/>
        </w:rPr>
        <w:t>1.11.3 承包人的技术秘密和声明需要保密的资料和信息，发包人和监理人不得为合同以外的目的泄露给他人。</w:t>
      </w:r>
    </w:p>
    <w:p w14:paraId="2E011F45">
      <w:pPr>
        <w:rPr>
          <w:rFonts w:ascii="Times New Roman" w:hAnsi="Times New Roman" w:eastAsia="宋体" w:cs="Times New Roman"/>
          <w:sz w:val="24"/>
        </w:rPr>
      </w:pPr>
      <w:bookmarkStart w:id="756" w:name="_Toc342296274"/>
      <w:bookmarkStart w:id="757" w:name="_Toc144974591"/>
      <w:bookmarkStart w:id="758" w:name="_Toc152045623"/>
      <w:bookmarkStart w:id="759" w:name="_Toc152042401"/>
      <w:bookmarkStart w:id="760" w:name="_Toc179632641"/>
      <w:bookmarkStart w:id="761" w:name="_Toc338944716"/>
      <w:bookmarkStart w:id="762" w:name="_Toc362252740"/>
      <w:r>
        <w:rPr>
          <w:rFonts w:hint="eastAsia" w:ascii="Times New Roman" w:hAnsi="Times New Roman" w:eastAsia="宋体" w:cs="Times New Roman"/>
          <w:sz w:val="24"/>
        </w:rPr>
        <w:t>1.12 图纸和文件的保密</w:t>
      </w:r>
      <w:bookmarkEnd w:id="756"/>
      <w:bookmarkEnd w:id="757"/>
      <w:bookmarkEnd w:id="758"/>
      <w:bookmarkEnd w:id="759"/>
      <w:bookmarkEnd w:id="760"/>
      <w:bookmarkEnd w:id="761"/>
      <w:bookmarkEnd w:id="762"/>
    </w:p>
    <w:p w14:paraId="774F8A32">
      <w:pPr>
        <w:rPr>
          <w:rFonts w:ascii="Times New Roman" w:hAnsi="Times New Roman" w:eastAsia="宋体" w:cs="Times New Roman"/>
          <w:sz w:val="24"/>
        </w:rPr>
      </w:pPr>
      <w:r>
        <w:rPr>
          <w:rFonts w:hint="eastAsia" w:ascii="Times New Roman" w:hAnsi="Times New Roman" w:eastAsia="宋体" w:cs="Times New Roman"/>
          <w:sz w:val="24"/>
        </w:rPr>
        <w:t>1.12.1 发包人提供的图纸和文件，未经发包人同意，承包人不得为合同以外的目的泄露给他人或公开发表与引用。</w:t>
      </w:r>
    </w:p>
    <w:p w14:paraId="219A6A2A">
      <w:pPr>
        <w:rPr>
          <w:rFonts w:ascii="Times New Roman" w:hAnsi="Times New Roman" w:eastAsia="宋体" w:cs="Times New Roman"/>
          <w:sz w:val="24"/>
        </w:rPr>
      </w:pPr>
      <w:r>
        <w:rPr>
          <w:rFonts w:hint="eastAsia" w:ascii="Times New Roman" w:hAnsi="Times New Roman" w:eastAsia="宋体" w:cs="Times New Roman"/>
          <w:sz w:val="24"/>
        </w:rPr>
        <w:t>1.12.2 承包人提供的文件，未经承包人同意，发包人和监理人不得为合同以外的目的泄露给他人或公开发表与引用。</w:t>
      </w:r>
    </w:p>
    <w:p w14:paraId="7EF32C54">
      <w:pPr>
        <w:rPr>
          <w:rFonts w:ascii="Times New Roman" w:hAnsi="Times New Roman" w:eastAsia="宋体" w:cs="Times New Roman"/>
          <w:sz w:val="24"/>
        </w:rPr>
      </w:pPr>
      <w:bookmarkStart w:id="763" w:name="_Toc362252741"/>
      <w:bookmarkStart w:id="764" w:name="_Toc338944717"/>
      <w:bookmarkStart w:id="765" w:name="_Toc342296275"/>
      <w:r>
        <w:rPr>
          <w:rFonts w:hint="eastAsia" w:ascii="Times New Roman" w:hAnsi="Times New Roman" w:eastAsia="宋体" w:cs="Times New Roman"/>
          <w:sz w:val="24"/>
        </w:rPr>
        <w:t>2. 发包人义务</w:t>
      </w:r>
      <w:bookmarkEnd w:id="763"/>
      <w:bookmarkEnd w:id="764"/>
      <w:bookmarkEnd w:id="765"/>
    </w:p>
    <w:p w14:paraId="66E745AB">
      <w:pPr>
        <w:rPr>
          <w:rFonts w:ascii="Times New Roman" w:hAnsi="Times New Roman" w:eastAsia="宋体" w:cs="Times New Roman"/>
          <w:sz w:val="24"/>
        </w:rPr>
      </w:pPr>
      <w:bookmarkStart w:id="766" w:name="_Toc152045625"/>
      <w:bookmarkStart w:id="767" w:name="_Toc179632643"/>
      <w:bookmarkStart w:id="768" w:name="_Toc362252742"/>
      <w:bookmarkStart w:id="769" w:name="_Toc342296276"/>
      <w:bookmarkStart w:id="770" w:name="_Toc338944718"/>
      <w:bookmarkStart w:id="771" w:name="_Toc152042403"/>
      <w:bookmarkStart w:id="772" w:name="_Toc144974593"/>
      <w:r>
        <w:rPr>
          <w:rFonts w:hint="eastAsia" w:ascii="Times New Roman" w:hAnsi="Times New Roman" w:eastAsia="宋体" w:cs="Times New Roman"/>
          <w:sz w:val="24"/>
        </w:rPr>
        <w:t>2.1 遵守法律</w:t>
      </w:r>
      <w:bookmarkEnd w:id="766"/>
      <w:bookmarkEnd w:id="767"/>
      <w:bookmarkEnd w:id="768"/>
      <w:bookmarkEnd w:id="769"/>
      <w:bookmarkEnd w:id="770"/>
      <w:bookmarkEnd w:id="771"/>
      <w:bookmarkEnd w:id="772"/>
    </w:p>
    <w:p w14:paraId="303C77CF">
      <w:pPr>
        <w:rPr>
          <w:rFonts w:ascii="Times New Roman" w:hAnsi="Times New Roman" w:eastAsia="宋体" w:cs="Times New Roman"/>
          <w:sz w:val="24"/>
        </w:rPr>
      </w:pPr>
      <w:r>
        <w:rPr>
          <w:rFonts w:hint="eastAsia" w:ascii="Times New Roman" w:hAnsi="Times New Roman" w:eastAsia="宋体" w:cs="Times New Roman"/>
          <w:sz w:val="24"/>
        </w:rPr>
        <w:t>发包人在履行合同过程中应遵守法律，并保证承包人免于承担因发包人违反法律而引起的任何责任。</w:t>
      </w:r>
    </w:p>
    <w:p w14:paraId="2D11F890">
      <w:pPr>
        <w:rPr>
          <w:rFonts w:ascii="Times New Roman" w:hAnsi="Times New Roman" w:eastAsia="宋体" w:cs="Times New Roman"/>
          <w:sz w:val="24"/>
        </w:rPr>
      </w:pPr>
      <w:bookmarkStart w:id="773" w:name="_Toc152045626"/>
      <w:bookmarkStart w:id="774" w:name="_Toc152042404"/>
      <w:bookmarkStart w:id="775" w:name="_Toc362252743"/>
      <w:bookmarkStart w:id="776" w:name="_Toc342296277"/>
      <w:bookmarkStart w:id="777" w:name="_Toc338944719"/>
      <w:bookmarkStart w:id="778" w:name="_Toc144974594"/>
      <w:bookmarkStart w:id="779" w:name="_Toc179632644"/>
      <w:r>
        <w:rPr>
          <w:rFonts w:hint="eastAsia" w:ascii="Times New Roman" w:hAnsi="Times New Roman" w:eastAsia="宋体" w:cs="Times New Roman"/>
          <w:sz w:val="24"/>
        </w:rPr>
        <w:t>2.2 发出开工通知</w:t>
      </w:r>
      <w:bookmarkEnd w:id="773"/>
      <w:bookmarkEnd w:id="774"/>
      <w:bookmarkEnd w:id="775"/>
      <w:bookmarkEnd w:id="776"/>
      <w:bookmarkEnd w:id="777"/>
      <w:bookmarkEnd w:id="778"/>
      <w:bookmarkEnd w:id="779"/>
    </w:p>
    <w:p w14:paraId="02D4AF46">
      <w:pPr>
        <w:rPr>
          <w:rFonts w:ascii="Times New Roman" w:hAnsi="Times New Roman" w:eastAsia="宋体" w:cs="Times New Roman"/>
          <w:sz w:val="24"/>
        </w:rPr>
      </w:pPr>
      <w:r>
        <w:rPr>
          <w:rFonts w:hint="eastAsia" w:ascii="Times New Roman" w:hAnsi="Times New Roman" w:eastAsia="宋体" w:cs="Times New Roman"/>
          <w:sz w:val="24"/>
        </w:rPr>
        <w:t>发包人应委托监理人按第11.1款的约定向承包人发出开工通知。</w:t>
      </w:r>
    </w:p>
    <w:p w14:paraId="54FB787C">
      <w:pPr>
        <w:rPr>
          <w:rFonts w:ascii="Times New Roman" w:hAnsi="Times New Roman" w:eastAsia="宋体" w:cs="Times New Roman"/>
          <w:sz w:val="24"/>
        </w:rPr>
      </w:pPr>
      <w:bookmarkStart w:id="780" w:name="_Toc342296278"/>
      <w:bookmarkStart w:id="781" w:name="_Toc338944720"/>
      <w:bookmarkStart w:id="782" w:name="_Toc362252744"/>
      <w:r>
        <w:rPr>
          <w:rFonts w:hint="eastAsia" w:ascii="Times New Roman" w:hAnsi="Times New Roman" w:eastAsia="宋体" w:cs="Times New Roman"/>
          <w:sz w:val="24"/>
        </w:rPr>
        <w:t>2.3 提供施工场地</w:t>
      </w:r>
      <w:bookmarkEnd w:id="780"/>
      <w:bookmarkEnd w:id="781"/>
      <w:bookmarkEnd w:id="782"/>
    </w:p>
    <w:p w14:paraId="468516B3">
      <w:pPr>
        <w:rPr>
          <w:rFonts w:ascii="Times New Roman" w:hAnsi="Times New Roman" w:eastAsia="宋体" w:cs="Times New Roman"/>
          <w:sz w:val="24"/>
        </w:rPr>
      </w:pPr>
      <w:r>
        <w:rPr>
          <w:rFonts w:hint="eastAsia" w:ascii="Times New Roman" w:hAnsi="Times New Roman" w:eastAsia="宋体" w:cs="Times New Roman"/>
          <w:sz w:val="24"/>
        </w:rPr>
        <w:t>发包人应按专用合同条款约定向承包人提供施工场地，以及施工场地内地下管线和地下设施等有关资料，并保证资料的真实、准确、完整。</w:t>
      </w:r>
    </w:p>
    <w:p w14:paraId="7F1469E4">
      <w:pPr>
        <w:rPr>
          <w:rFonts w:ascii="Times New Roman" w:hAnsi="Times New Roman" w:eastAsia="宋体" w:cs="Times New Roman"/>
          <w:sz w:val="24"/>
        </w:rPr>
      </w:pPr>
      <w:bookmarkStart w:id="783" w:name="_Toc362252745"/>
      <w:bookmarkStart w:id="784" w:name="_Toc179632646"/>
      <w:bookmarkStart w:id="785" w:name="_Toc338944721"/>
      <w:bookmarkStart w:id="786" w:name="_Toc342296279"/>
      <w:bookmarkStart w:id="787" w:name="_Toc152045628"/>
      <w:bookmarkStart w:id="788" w:name="_Toc152042406"/>
      <w:bookmarkStart w:id="789" w:name="_Toc144974596"/>
      <w:r>
        <w:rPr>
          <w:rFonts w:hint="eastAsia" w:ascii="Times New Roman" w:hAnsi="Times New Roman" w:eastAsia="宋体" w:cs="Times New Roman"/>
          <w:sz w:val="24"/>
        </w:rPr>
        <w:t>2.4 协助承包人办理证件和批件</w:t>
      </w:r>
      <w:bookmarkEnd w:id="783"/>
      <w:bookmarkEnd w:id="784"/>
      <w:bookmarkEnd w:id="785"/>
      <w:bookmarkEnd w:id="786"/>
      <w:bookmarkEnd w:id="787"/>
      <w:bookmarkEnd w:id="788"/>
      <w:bookmarkEnd w:id="789"/>
    </w:p>
    <w:p w14:paraId="3F36F3E7">
      <w:pPr>
        <w:rPr>
          <w:rFonts w:ascii="Times New Roman" w:hAnsi="Times New Roman" w:eastAsia="宋体" w:cs="Times New Roman"/>
          <w:sz w:val="24"/>
        </w:rPr>
      </w:pPr>
      <w:r>
        <w:rPr>
          <w:rFonts w:hint="eastAsia" w:ascii="Times New Roman" w:hAnsi="Times New Roman" w:eastAsia="宋体" w:cs="Times New Roman"/>
          <w:sz w:val="24"/>
        </w:rPr>
        <w:t>发包人应协助承包人办理法律规定的有关施工证件和批件。</w:t>
      </w:r>
    </w:p>
    <w:p w14:paraId="1F715E67">
      <w:pPr>
        <w:rPr>
          <w:rFonts w:ascii="Times New Roman" w:hAnsi="Times New Roman" w:eastAsia="宋体" w:cs="Times New Roman"/>
          <w:sz w:val="24"/>
        </w:rPr>
      </w:pPr>
      <w:bookmarkStart w:id="790" w:name="_Toc338944722"/>
      <w:bookmarkStart w:id="791" w:name="_Toc362252746"/>
      <w:bookmarkStart w:id="792" w:name="_Toc342296280"/>
      <w:r>
        <w:rPr>
          <w:rFonts w:hint="eastAsia" w:ascii="Times New Roman" w:hAnsi="Times New Roman" w:eastAsia="宋体" w:cs="Times New Roman"/>
          <w:sz w:val="24"/>
        </w:rPr>
        <w:t>2.5 组织设计交底</w:t>
      </w:r>
      <w:bookmarkEnd w:id="790"/>
      <w:bookmarkEnd w:id="791"/>
      <w:bookmarkEnd w:id="792"/>
    </w:p>
    <w:p w14:paraId="10E2353B">
      <w:pPr>
        <w:rPr>
          <w:rFonts w:ascii="Times New Roman" w:hAnsi="Times New Roman" w:eastAsia="宋体" w:cs="Times New Roman"/>
          <w:sz w:val="24"/>
        </w:rPr>
      </w:pPr>
      <w:r>
        <w:rPr>
          <w:rFonts w:hint="eastAsia" w:ascii="Times New Roman" w:hAnsi="Times New Roman" w:eastAsia="宋体" w:cs="Times New Roman"/>
          <w:sz w:val="24"/>
        </w:rPr>
        <w:t>发包人应根据合同进度计划，组织设计单位向承包人进行设计交底。</w:t>
      </w:r>
    </w:p>
    <w:p w14:paraId="279FA300">
      <w:pPr>
        <w:rPr>
          <w:rFonts w:ascii="Times New Roman" w:hAnsi="Times New Roman" w:eastAsia="宋体" w:cs="Times New Roman"/>
          <w:sz w:val="24"/>
        </w:rPr>
      </w:pPr>
      <w:bookmarkStart w:id="793" w:name="_Toc338944723"/>
      <w:bookmarkStart w:id="794" w:name="_Toc342296281"/>
      <w:bookmarkStart w:id="795" w:name="_Toc362252747"/>
      <w:r>
        <w:rPr>
          <w:rFonts w:hint="eastAsia" w:ascii="Times New Roman" w:hAnsi="Times New Roman" w:eastAsia="宋体" w:cs="Times New Roman"/>
          <w:sz w:val="24"/>
        </w:rPr>
        <w:t>2.6 支付合同价款</w:t>
      </w:r>
      <w:bookmarkEnd w:id="793"/>
      <w:bookmarkEnd w:id="794"/>
      <w:bookmarkEnd w:id="795"/>
    </w:p>
    <w:p w14:paraId="48F052EA">
      <w:pPr>
        <w:rPr>
          <w:rFonts w:ascii="Times New Roman" w:hAnsi="Times New Roman" w:eastAsia="宋体" w:cs="Times New Roman"/>
          <w:sz w:val="24"/>
        </w:rPr>
      </w:pPr>
      <w:r>
        <w:rPr>
          <w:rFonts w:hint="eastAsia" w:ascii="Times New Roman" w:hAnsi="Times New Roman" w:eastAsia="宋体" w:cs="Times New Roman"/>
          <w:sz w:val="24"/>
        </w:rPr>
        <w:t>发包人应按合同约定向承包人及时支付合同价款。</w:t>
      </w:r>
    </w:p>
    <w:p w14:paraId="2F20F903">
      <w:pPr>
        <w:rPr>
          <w:rFonts w:ascii="Times New Roman" w:hAnsi="Times New Roman" w:eastAsia="宋体" w:cs="Times New Roman"/>
          <w:sz w:val="24"/>
        </w:rPr>
      </w:pPr>
      <w:bookmarkStart w:id="796" w:name="_Toc362252748"/>
      <w:bookmarkStart w:id="797" w:name="_Toc144974599"/>
      <w:bookmarkStart w:id="798" w:name="_Toc152045631"/>
      <w:bookmarkStart w:id="799" w:name="_Toc342296282"/>
      <w:bookmarkStart w:id="800" w:name="_Toc179632649"/>
      <w:bookmarkStart w:id="801" w:name="_Toc338944724"/>
      <w:bookmarkStart w:id="802" w:name="_Toc152042409"/>
      <w:r>
        <w:rPr>
          <w:rFonts w:hint="eastAsia" w:ascii="Times New Roman" w:hAnsi="Times New Roman" w:eastAsia="宋体" w:cs="Times New Roman"/>
          <w:sz w:val="24"/>
        </w:rPr>
        <w:t>2.7 组织竣工验收</w:t>
      </w:r>
      <w:bookmarkEnd w:id="796"/>
      <w:bookmarkEnd w:id="797"/>
      <w:bookmarkEnd w:id="798"/>
      <w:bookmarkEnd w:id="799"/>
      <w:bookmarkEnd w:id="800"/>
      <w:bookmarkEnd w:id="801"/>
      <w:bookmarkEnd w:id="802"/>
    </w:p>
    <w:p w14:paraId="31ACB6D1">
      <w:pPr>
        <w:rPr>
          <w:rFonts w:ascii="Times New Roman" w:hAnsi="Times New Roman" w:eastAsia="宋体" w:cs="Times New Roman"/>
          <w:sz w:val="24"/>
        </w:rPr>
      </w:pPr>
      <w:r>
        <w:rPr>
          <w:rFonts w:hint="eastAsia" w:ascii="Times New Roman" w:hAnsi="Times New Roman" w:eastAsia="宋体" w:cs="Times New Roman"/>
          <w:sz w:val="24"/>
        </w:rPr>
        <w:t>发包人应按合同约定及时组织竣工验收。</w:t>
      </w:r>
    </w:p>
    <w:p w14:paraId="4D77712F">
      <w:pPr>
        <w:rPr>
          <w:rFonts w:ascii="Times New Roman" w:hAnsi="Times New Roman" w:eastAsia="宋体" w:cs="Times New Roman"/>
          <w:sz w:val="24"/>
        </w:rPr>
      </w:pPr>
      <w:bookmarkStart w:id="803" w:name="_Toc338944725"/>
      <w:bookmarkStart w:id="804" w:name="_Toc342296283"/>
      <w:bookmarkStart w:id="805" w:name="_Toc362252749"/>
      <w:r>
        <w:rPr>
          <w:rFonts w:hint="eastAsia" w:ascii="Times New Roman" w:hAnsi="Times New Roman" w:eastAsia="宋体" w:cs="Times New Roman"/>
          <w:sz w:val="24"/>
        </w:rPr>
        <w:t>2.8 其他义务</w:t>
      </w:r>
      <w:bookmarkEnd w:id="803"/>
      <w:bookmarkEnd w:id="804"/>
      <w:bookmarkEnd w:id="805"/>
    </w:p>
    <w:p w14:paraId="723FDA38">
      <w:pPr>
        <w:rPr>
          <w:rFonts w:ascii="Times New Roman" w:hAnsi="Times New Roman" w:eastAsia="宋体" w:cs="Times New Roman"/>
          <w:sz w:val="24"/>
        </w:rPr>
      </w:pPr>
      <w:r>
        <w:rPr>
          <w:rFonts w:hint="eastAsia" w:ascii="Times New Roman" w:hAnsi="Times New Roman" w:eastAsia="宋体" w:cs="Times New Roman"/>
          <w:sz w:val="24"/>
        </w:rPr>
        <w:t>发包人应履行合同约定的其他义务。</w:t>
      </w:r>
    </w:p>
    <w:p w14:paraId="5A364C41">
      <w:pPr>
        <w:rPr>
          <w:rFonts w:ascii="Times New Roman" w:hAnsi="Times New Roman" w:eastAsia="宋体" w:cs="Times New Roman"/>
          <w:sz w:val="24"/>
        </w:rPr>
      </w:pPr>
      <w:bookmarkStart w:id="806" w:name="_Toc362252750"/>
      <w:bookmarkStart w:id="807" w:name="_Toc342296284"/>
      <w:bookmarkStart w:id="808" w:name="_Toc338944726"/>
      <w:r>
        <w:rPr>
          <w:rFonts w:hint="eastAsia" w:ascii="Times New Roman" w:hAnsi="Times New Roman" w:eastAsia="宋体" w:cs="Times New Roman"/>
          <w:sz w:val="24"/>
        </w:rPr>
        <w:t>3. 监理人</w:t>
      </w:r>
      <w:bookmarkEnd w:id="806"/>
      <w:bookmarkEnd w:id="807"/>
      <w:bookmarkEnd w:id="808"/>
    </w:p>
    <w:p w14:paraId="09FD33D6">
      <w:pPr>
        <w:rPr>
          <w:rFonts w:ascii="Times New Roman" w:hAnsi="Times New Roman" w:eastAsia="宋体" w:cs="Times New Roman"/>
          <w:sz w:val="24"/>
        </w:rPr>
      </w:pPr>
      <w:bookmarkStart w:id="809" w:name="_Toc338944727"/>
      <w:bookmarkStart w:id="810" w:name="_Toc342296285"/>
      <w:bookmarkStart w:id="811" w:name="_Toc362252751"/>
      <w:r>
        <w:rPr>
          <w:rFonts w:hint="eastAsia" w:ascii="Times New Roman" w:hAnsi="Times New Roman" w:eastAsia="宋体" w:cs="Times New Roman"/>
          <w:sz w:val="24"/>
        </w:rPr>
        <w:t>3.1 监理人的职责和权力</w:t>
      </w:r>
      <w:bookmarkEnd w:id="809"/>
      <w:bookmarkEnd w:id="810"/>
      <w:bookmarkEnd w:id="811"/>
    </w:p>
    <w:p w14:paraId="05813443">
      <w:pPr>
        <w:rPr>
          <w:rFonts w:ascii="Times New Roman" w:hAnsi="Times New Roman" w:eastAsia="宋体" w:cs="Times New Roman"/>
          <w:sz w:val="24"/>
        </w:rPr>
      </w:pPr>
      <w:r>
        <w:rPr>
          <w:rFonts w:hint="eastAsia" w:ascii="Times New Roman" w:hAnsi="Times New Roman" w:eastAsia="宋体" w:cs="Times New Roman"/>
          <w:sz w:val="24"/>
        </w:rPr>
        <w:t>3.1.1 监理人受发包人委托，享有合同约定的权力。监理人在行使某项权力前需要经发包人事先批准而通用合同条款没有指明的，应在专用合同条款中指明。</w:t>
      </w:r>
    </w:p>
    <w:p w14:paraId="633BEAF6">
      <w:pPr>
        <w:rPr>
          <w:rFonts w:ascii="Times New Roman" w:hAnsi="Times New Roman" w:eastAsia="宋体" w:cs="Times New Roman"/>
          <w:sz w:val="24"/>
        </w:rPr>
      </w:pPr>
      <w:r>
        <w:rPr>
          <w:rFonts w:hint="eastAsia" w:ascii="Times New Roman" w:hAnsi="Times New Roman" w:eastAsia="宋体" w:cs="Times New Roman"/>
          <w:sz w:val="24"/>
        </w:rPr>
        <w:t>3.1.2 监理人发出的任何指示应视为已得到发包人的批准，但监理人无权免除或变更合同约定的发包人和承包人的权利、义务和责任。</w:t>
      </w:r>
    </w:p>
    <w:p w14:paraId="33C3D2CA">
      <w:pPr>
        <w:rPr>
          <w:rFonts w:ascii="Times New Roman" w:hAnsi="Times New Roman" w:eastAsia="宋体" w:cs="Times New Roman"/>
          <w:sz w:val="24"/>
        </w:rPr>
      </w:pPr>
      <w:r>
        <w:rPr>
          <w:rFonts w:hint="eastAsia" w:ascii="Times New Roman" w:hAnsi="Times New Roman" w:eastAsia="宋体" w:cs="Times New Roman"/>
          <w:sz w:val="24"/>
        </w:rPr>
        <w:t>3.1.3 合同约定应由承包人承担的义务和责任，不因监理人对承包人提交文件的审查或批准，对工程、材料和设备的检查和检验，以及为实施监理作出的指示等职务行为而减轻或解除。</w:t>
      </w:r>
    </w:p>
    <w:p w14:paraId="3E5A4DBD">
      <w:pPr>
        <w:rPr>
          <w:rFonts w:ascii="Times New Roman" w:hAnsi="Times New Roman" w:eastAsia="宋体" w:cs="Times New Roman"/>
          <w:sz w:val="24"/>
        </w:rPr>
      </w:pPr>
      <w:bookmarkStart w:id="812" w:name="_Toc338944728"/>
      <w:bookmarkStart w:id="813" w:name="_Toc179632653"/>
      <w:bookmarkStart w:id="814" w:name="_Toc152045635"/>
      <w:bookmarkStart w:id="815" w:name="_Toc342296286"/>
      <w:bookmarkStart w:id="816" w:name="_Toc144974603"/>
      <w:bookmarkStart w:id="817" w:name="_Toc152042413"/>
      <w:bookmarkStart w:id="818" w:name="_Toc362252752"/>
      <w:r>
        <w:rPr>
          <w:rFonts w:hint="eastAsia" w:ascii="Times New Roman" w:hAnsi="Times New Roman" w:eastAsia="宋体" w:cs="Times New Roman"/>
          <w:sz w:val="24"/>
        </w:rPr>
        <w:t>3.2 总监理工程师</w:t>
      </w:r>
      <w:bookmarkEnd w:id="812"/>
      <w:bookmarkEnd w:id="813"/>
      <w:bookmarkEnd w:id="814"/>
      <w:bookmarkEnd w:id="815"/>
      <w:bookmarkEnd w:id="816"/>
      <w:bookmarkEnd w:id="817"/>
      <w:bookmarkEnd w:id="818"/>
    </w:p>
    <w:p w14:paraId="2BC89C4E">
      <w:pPr>
        <w:rPr>
          <w:rFonts w:ascii="Times New Roman" w:hAnsi="Times New Roman" w:eastAsia="宋体" w:cs="Times New Roman"/>
          <w:sz w:val="24"/>
        </w:rPr>
      </w:pPr>
      <w:r>
        <w:rPr>
          <w:rFonts w:hint="eastAsia" w:ascii="Times New Roman" w:hAnsi="Times New Roman" w:eastAsia="宋体" w:cs="Times New Roman"/>
          <w:sz w:val="24"/>
        </w:rPr>
        <w:t>发包人应在发出开工通知前将总监理工程师的任命通知承包人。总监理工程师更换时，应在调离14天前通知承包人。总监理工程师短期离开施工场地的，应委派代表代行其职责，并通知承包人。</w:t>
      </w:r>
    </w:p>
    <w:p w14:paraId="7DBA2A07">
      <w:pPr>
        <w:rPr>
          <w:rFonts w:ascii="Times New Roman" w:hAnsi="Times New Roman" w:eastAsia="宋体" w:cs="Times New Roman"/>
          <w:sz w:val="24"/>
        </w:rPr>
      </w:pPr>
      <w:bookmarkStart w:id="819" w:name="_Toc338944729"/>
      <w:bookmarkStart w:id="820" w:name="_Toc342296287"/>
      <w:bookmarkStart w:id="821" w:name="_Toc362252753"/>
      <w:r>
        <w:rPr>
          <w:rFonts w:hint="eastAsia" w:ascii="Times New Roman" w:hAnsi="Times New Roman" w:eastAsia="宋体" w:cs="Times New Roman"/>
          <w:sz w:val="24"/>
        </w:rPr>
        <w:t>3.3 监理人员</w:t>
      </w:r>
      <w:bookmarkEnd w:id="819"/>
      <w:bookmarkEnd w:id="820"/>
      <w:bookmarkEnd w:id="821"/>
    </w:p>
    <w:p w14:paraId="6EFBCE32">
      <w:pPr>
        <w:rPr>
          <w:rFonts w:ascii="Times New Roman" w:hAnsi="Times New Roman" w:eastAsia="宋体" w:cs="Times New Roman"/>
          <w:sz w:val="24"/>
        </w:rPr>
      </w:pPr>
      <w:r>
        <w:rPr>
          <w:rFonts w:hint="eastAsia" w:ascii="Times New Roman" w:hAnsi="Times New Roman" w:eastAsia="宋体" w:cs="Times New Roman"/>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5629941">
      <w:pPr>
        <w:rPr>
          <w:rFonts w:ascii="Times New Roman" w:hAnsi="Times New Roman" w:eastAsia="宋体" w:cs="Times New Roman"/>
          <w:sz w:val="24"/>
        </w:rPr>
      </w:pPr>
      <w:r>
        <w:rPr>
          <w:rFonts w:hint="eastAsia" w:ascii="Times New Roman" w:hAnsi="Times New Roman" w:eastAsia="宋体" w:cs="Times New Roman"/>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176965B0">
      <w:pPr>
        <w:rPr>
          <w:rFonts w:ascii="Times New Roman" w:hAnsi="Times New Roman" w:eastAsia="宋体" w:cs="Times New Roman"/>
          <w:sz w:val="24"/>
        </w:rPr>
      </w:pPr>
      <w:r>
        <w:rPr>
          <w:rFonts w:hint="eastAsia" w:ascii="Times New Roman" w:hAnsi="Times New Roman" w:eastAsia="宋体" w:cs="Times New Roman"/>
          <w:sz w:val="24"/>
        </w:rPr>
        <w:t>3.3.3 承包人对总监理工程师授权的监理人员发出的指示有疑问的，可向总监理工程师提出书面异议，总监理工程师应在48小时内对该指示予以确认、更改或撤销。</w:t>
      </w:r>
    </w:p>
    <w:p w14:paraId="775C7CAC">
      <w:pPr>
        <w:rPr>
          <w:rFonts w:ascii="Times New Roman" w:hAnsi="Times New Roman" w:eastAsia="宋体" w:cs="Times New Roman"/>
          <w:sz w:val="24"/>
        </w:rPr>
      </w:pPr>
      <w:r>
        <w:rPr>
          <w:rFonts w:hint="eastAsia" w:ascii="Times New Roman" w:hAnsi="Times New Roman" w:eastAsia="宋体" w:cs="Times New Roman"/>
          <w:sz w:val="24"/>
        </w:rPr>
        <w:t>3.3.4 除专用合同条款另有约定外，总监理工程师不应将第3.5款约定应由总监理工程师作出确定的权力授权或委托给其他监理人员。</w:t>
      </w:r>
    </w:p>
    <w:p w14:paraId="72A82D13">
      <w:pPr>
        <w:rPr>
          <w:rFonts w:ascii="Times New Roman" w:hAnsi="Times New Roman" w:eastAsia="宋体" w:cs="Times New Roman"/>
          <w:sz w:val="24"/>
        </w:rPr>
      </w:pPr>
      <w:bookmarkStart w:id="822" w:name="_Toc362252754"/>
      <w:bookmarkStart w:id="823" w:name="_Toc338944730"/>
      <w:bookmarkStart w:id="824" w:name="_Toc342296288"/>
      <w:r>
        <w:rPr>
          <w:rFonts w:hint="eastAsia" w:ascii="Times New Roman" w:hAnsi="Times New Roman" w:eastAsia="宋体" w:cs="Times New Roman"/>
          <w:sz w:val="24"/>
        </w:rPr>
        <w:t>3.4 监理人的指示</w:t>
      </w:r>
      <w:bookmarkEnd w:id="822"/>
      <w:bookmarkEnd w:id="823"/>
      <w:bookmarkEnd w:id="824"/>
    </w:p>
    <w:p w14:paraId="48F33A87">
      <w:pPr>
        <w:rPr>
          <w:rFonts w:ascii="Times New Roman" w:hAnsi="Times New Roman" w:eastAsia="宋体" w:cs="Times New Roman"/>
          <w:sz w:val="24"/>
        </w:rPr>
      </w:pPr>
      <w:r>
        <w:rPr>
          <w:rFonts w:hint="eastAsia" w:ascii="Times New Roman" w:hAnsi="Times New Roman" w:eastAsia="宋体" w:cs="Times New Roman"/>
          <w:sz w:val="24"/>
        </w:rPr>
        <w:t>3.4.1 监理人应按第3.1款的约定向承包人发出指示，监理人的指示应盖有监理人授权的施工场地机构章，并由总监理工程师或总监理工程师按第3.3.1项约定授权的监理人员签字。</w:t>
      </w:r>
    </w:p>
    <w:p w14:paraId="7C0F1312">
      <w:pPr>
        <w:rPr>
          <w:rFonts w:ascii="Times New Roman" w:hAnsi="Times New Roman" w:eastAsia="宋体" w:cs="Times New Roman"/>
          <w:sz w:val="24"/>
        </w:rPr>
      </w:pPr>
      <w:r>
        <w:rPr>
          <w:rFonts w:hint="eastAsia" w:ascii="Times New Roman" w:hAnsi="Times New Roman" w:eastAsia="宋体" w:cs="Times New Roman"/>
          <w:sz w:val="24"/>
        </w:rPr>
        <w:t>3.4.2 承包人收到监理人按第3.4.1项作出的指示后应遵照执行。指示构成变更的，应按第15条处理。</w:t>
      </w:r>
    </w:p>
    <w:p w14:paraId="408AEAE2">
      <w:pPr>
        <w:rPr>
          <w:rFonts w:ascii="Times New Roman" w:hAnsi="Times New Roman" w:eastAsia="宋体" w:cs="Times New Roman"/>
          <w:sz w:val="24"/>
        </w:rPr>
      </w:pPr>
      <w:r>
        <w:rPr>
          <w:rFonts w:hint="eastAsia" w:ascii="Times New Roman" w:hAnsi="Times New Roman" w:eastAsia="宋体" w:cs="Times New Roman"/>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F780F89">
      <w:pPr>
        <w:rPr>
          <w:rFonts w:ascii="Times New Roman" w:hAnsi="Times New Roman" w:eastAsia="宋体" w:cs="Times New Roman"/>
          <w:sz w:val="24"/>
        </w:rPr>
      </w:pPr>
      <w:r>
        <w:rPr>
          <w:rFonts w:hint="eastAsia" w:ascii="Times New Roman" w:hAnsi="Times New Roman" w:eastAsia="宋体" w:cs="Times New Roman"/>
          <w:sz w:val="24"/>
        </w:rPr>
        <w:t>3.4.4 除合同另有约定外，承包人只从总监理工程师或按第3.3.1项被授权的监理人员处取得指示。</w:t>
      </w:r>
    </w:p>
    <w:p w14:paraId="58D8C6BB">
      <w:pPr>
        <w:rPr>
          <w:rFonts w:ascii="Times New Roman" w:hAnsi="Times New Roman" w:eastAsia="宋体" w:cs="Times New Roman"/>
          <w:sz w:val="24"/>
        </w:rPr>
      </w:pPr>
      <w:r>
        <w:rPr>
          <w:rFonts w:hint="eastAsia" w:ascii="Times New Roman" w:hAnsi="Times New Roman" w:eastAsia="宋体" w:cs="Times New Roman"/>
          <w:sz w:val="24"/>
        </w:rPr>
        <w:t xml:space="preserve">3.4.5 由于监理人未能按合同约定发出指示、指示延误或指示错误而导致承包人费用增加和（或）工期延误的，由发包人承担赔偿责任。 </w:t>
      </w:r>
    </w:p>
    <w:p w14:paraId="3E5C393B">
      <w:pPr>
        <w:rPr>
          <w:rFonts w:ascii="Times New Roman" w:hAnsi="Times New Roman" w:eastAsia="宋体" w:cs="Times New Roman"/>
          <w:sz w:val="24"/>
        </w:rPr>
      </w:pPr>
      <w:bookmarkStart w:id="825" w:name="_Toc152045638"/>
      <w:bookmarkStart w:id="826" w:name="_Toc342296289"/>
      <w:bookmarkStart w:id="827" w:name="_Toc362252755"/>
      <w:bookmarkStart w:id="828" w:name="_Toc179632656"/>
      <w:bookmarkStart w:id="829" w:name="_Toc144974606"/>
      <w:bookmarkStart w:id="830" w:name="_Toc338944731"/>
      <w:bookmarkStart w:id="831" w:name="_Toc152042416"/>
      <w:r>
        <w:rPr>
          <w:rFonts w:hint="eastAsia" w:ascii="Times New Roman" w:hAnsi="Times New Roman" w:eastAsia="宋体" w:cs="Times New Roman"/>
          <w:sz w:val="24"/>
        </w:rPr>
        <w:t>3.5 商定或确定</w:t>
      </w:r>
      <w:bookmarkEnd w:id="825"/>
      <w:bookmarkEnd w:id="826"/>
      <w:bookmarkEnd w:id="827"/>
      <w:bookmarkEnd w:id="828"/>
      <w:bookmarkEnd w:id="829"/>
      <w:bookmarkEnd w:id="830"/>
      <w:bookmarkEnd w:id="831"/>
    </w:p>
    <w:p w14:paraId="7A1D3EEF">
      <w:pPr>
        <w:rPr>
          <w:rFonts w:ascii="Times New Roman" w:hAnsi="Times New Roman" w:eastAsia="宋体" w:cs="Times New Roman"/>
          <w:sz w:val="24"/>
        </w:rPr>
      </w:pPr>
      <w:r>
        <w:rPr>
          <w:rFonts w:hint="eastAsia" w:ascii="Times New Roman" w:hAnsi="Times New Roman" w:eastAsia="宋体" w:cs="Times New Roman"/>
          <w:sz w:val="24"/>
        </w:rPr>
        <w:t>3.5.1合同约定总监理工程师应按照本款对任何事项进行商定或确定时，总监理工程师应与合同当事人协商，尽量达成一致。不能达成一致的，总监理工程师应认真研究后审慎确定。</w:t>
      </w:r>
    </w:p>
    <w:p w14:paraId="234B35DD">
      <w:pPr>
        <w:rPr>
          <w:rFonts w:ascii="Times New Roman" w:hAnsi="Times New Roman" w:eastAsia="宋体" w:cs="Times New Roman"/>
          <w:sz w:val="24"/>
        </w:rPr>
      </w:pPr>
      <w:r>
        <w:rPr>
          <w:rFonts w:hint="eastAsia" w:ascii="Times New Roman" w:hAnsi="Times New Roman" w:eastAsia="宋体" w:cs="Times New Roman"/>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1CC1067">
      <w:pPr>
        <w:rPr>
          <w:rFonts w:ascii="Times New Roman" w:hAnsi="Times New Roman" w:eastAsia="宋体" w:cs="Times New Roman"/>
          <w:sz w:val="24"/>
        </w:rPr>
      </w:pPr>
      <w:bookmarkStart w:id="832" w:name="_Toc338944732"/>
      <w:bookmarkStart w:id="833" w:name="_Toc362252756"/>
      <w:bookmarkStart w:id="834" w:name="_Toc342296290"/>
      <w:r>
        <w:rPr>
          <w:rFonts w:hint="eastAsia" w:ascii="Times New Roman" w:hAnsi="Times New Roman" w:eastAsia="宋体" w:cs="Times New Roman"/>
          <w:sz w:val="24"/>
        </w:rPr>
        <w:t>4. 承包人</w:t>
      </w:r>
      <w:bookmarkEnd w:id="832"/>
      <w:bookmarkEnd w:id="833"/>
      <w:bookmarkEnd w:id="834"/>
    </w:p>
    <w:p w14:paraId="1C786BB2">
      <w:pPr>
        <w:rPr>
          <w:rFonts w:ascii="Times New Roman" w:hAnsi="Times New Roman" w:eastAsia="宋体" w:cs="Times New Roman"/>
          <w:sz w:val="24"/>
        </w:rPr>
      </w:pPr>
      <w:bookmarkStart w:id="835" w:name="_Toc338944733"/>
      <w:bookmarkStart w:id="836" w:name="_Toc362252757"/>
      <w:bookmarkStart w:id="837" w:name="_Toc342296291"/>
      <w:r>
        <w:rPr>
          <w:rFonts w:hint="eastAsia" w:ascii="Times New Roman" w:hAnsi="Times New Roman" w:eastAsia="宋体" w:cs="Times New Roman"/>
          <w:sz w:val="24"/>
        </w:rPr>
        <w:t>4.1 承包人的一般义务</w:t>
      </w:r>
      <w:bookmarkEnd w:id="835"/>
      <w:bookmarkEnd w:id="836"/>
      <w:bookmarkEnd w:id="837"/>
    </w:p>
    <w:p w14:paraId="603B844C">
      <w:pPr>
        <w:rPr>
          <w:rFonts w:ascii="Times New Roman" w:hAnsi="Times New Roman" w:eastAsia="宋体" w:cs="Times New Roman"/>
          <w:sz w:val="24"/>
        </w:rPr>
      </w:pPr>
      <w:r>
        <w:rPr>
          <w:rFonts w:hint="eastAsia" w:ascii="Times New Roman" w:hAnsi="Times New Roman" w:eastAsia="宋体" w:cs="Times New Roman"/>
          <w:sz w:val="24"/>
        </w:rPr>
        <w:t xml:space="preserve">4.1.1 </w:t>
      </w:r>
      <w:r>
        <w:rPr>
          <w:rFonts w:hint="eastAsia" w:ascii="黑体" w:hAnsi="Times New Roman" w:eastAsia="黑体" w:cs="Times New Roman"/>
          <w:sz w:val="24"/>
        </w:rPr>
        <w:t>遵守法律</w:t>
      </w:r>
    </w:p>
    <w:p w14:paraId="45C9DBB6">
      <w:pPr>
        <w:rPr>
          <w:rFonts w:ascii="Times New Roman" w:hAnsi="Times New Roman" w:eastAsia="宋体" w:cs="Times New Roman"/>
          <w:sz w:val="24"/>
        </w:rPr>
      </w:pPr>
      <w:r>
        <w:rPr>
          <w:rFonts w:hint="eastAsia" w:ascii="Times New Roman" w:hAnsi="Times New Roman" w:eastAsia="宋体" w:cs="Times New Roman"/>
          <w:sz w:val="24"/>
        </w:rPr>
        <w:t>承包人在履行合同过程中应遵守法律，并保证发包人免于承担因承包人违反法律而引起的任何责任。</w:t>
      </w:r>
    </w:p>
    <w:p w14:paraId="0AD1B87D">
      <w:pPr>
        <w:rPr>
          <w:rFonts w:ascii="Times New Roman" w:hAnsi="Times New Roman" w:eastAsia="宋体" w:cs="Times New Roman"/>
          <w:sz w:val="24"/>
        </w:rPr>
      </w:pPr>
      <w:r>
        <w:rPr>
          <w:rFonts w:hint="eastAsia" w:ascii="Times New Roman" w:hAnsi="Times New Roman" w:eastAsia="宋体" w:cs="Times New Roman"/>
          <w:sz w:val="24"/>
        </w:rPr>
        <w:t xml:space="preserve">4.1.2 </w:t>
      </w:r>
      <w:r>
        <w:rPr>
          <w:rFonts w:hint="eastAsia" w:ascii="黑体" w:hAnsi="Times New Roman" w:eastAsia="黑体" w:cs="Times New Roman"/>
          <w:sz w:val="24"/>
        </w:rPr>
        <w:t>依法纳税</w:t>
      </w:r>
    </w:p>
    <w:p w14:paraId="3D4D2FE5">
      <w:pPr>
        <w:rPr>
          <w:rFonts w:ascii="Times New Roman" w:hAnsi="Times New Roman" w:eastAsia="宋体" w:cs="Times New Roman"/>
          <w:sz w:val="24"/>
        </w:rPr>
      </w:pPr>
      <w:r>
        <w:rPr>
          <w:rFonts w:hint="eastAsia" w:ascii="Times New Roman" w:hAnsi="Times New Roman" w:eastAsia="宋体" w:cs="Times New Roman"/>
          <w:sz w:val="24"/>
        </w:rPr>
        <w:t>承包人应按有关法律规定纳税，应缴纳的税金包括在合同价格内。</w:t>
      </w:r>
    </w:p>
    <w:p w14:paraId="5A5944FA">
      <w:pPr>
        <w:rPr>
          <w:rFonts w:ascii="Times New Roman" w:hAnsi="Times New Roman" w:eastAsia="宋体" w:cs="Times New Roman"/>
          <w:sz w:val="24"/>
        </w:rPr>
      </w:pPr>
      <w:r>
        <w:rPr>
          <w:rFonts w:hint="eastAsia" w:ascii="Times New Roman" w:hAnsi="Times New Roman" w:eastAsia="宋体" w:cs="Times New Roman"/>
          <w:sz w:val="24"/>
        </w:rPr>
        <w:t xml:space="preserve">4.1.3 </w:t>
      </w:r>
      <w:r>
        <w:rPr>
          <w:rFonts w:hint="eastAsia" w:ascii="黑体" w:hAnsi="Times New Roman" w:eastAsia="黑体" w:cs="Times New Roman"/>
          <w:sz w:val="24"/>
        </w:rPr>
        <w:t>完成各项承包工作</w:t>
      </w:r>
    </w:p>
    <w:p w14:paraId="2A515ECF">
      <w:pPr>
        <w:rPr>
          <w:rFonts w:ascii="Times New Roman" w:hAnsi="Times New Roman" w:eastAsia="宋体" w:cs="Times New Roman"/>
          <w:sz w:val="24"/>
        </w:rPr>
      </w:pPr>
      <w:r>
        <w:rPr>
          <w:rFonts w:hint="eastAsia" w:ascii="Times New Roman" w:hAnsi="Times New Roman" w:eastAsia="宋体" w:cs="Times New Roman"/>
          <w:sz w:val="24"/>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EE2CBAB">
      <w:pPr>
        <w:rPr>
          <w:rFonts w:ascii="Times New Roman" w:hAnsi="Times New Roman" w:eastAsia="宋体" w:cs="Times New Roman"/>
          <w:sz w:val="24"/>
        </w:rPr>
      </w:pPr>
      <w:r>
        <w:rPr>
          <w:rFonts w:hint="eastAsia" w:ascii="Times New Roman" w:hAnsi="Times New Roman" w:eastAsia="宋体" w:cs="Times New Roman"/>
          <w:sz w:val="24"/>
        </w:rPr>
        <w:t xml:space="preserve">4.1.4 </w:t>
      </w:r>
      <w:r>
        <w:rPr>
          <w:rFonts w:hint="eastAsia" w:ascii="黑体" w:hAnsi="Times New Roman" w:eastAsia="黑体" w:cs="Times New Roman"/>
          <w:sz w:val="24"/>
        </w:rPr>
        <w:t>对施工作业和施工方法的完备性负责</w:t>
      </w:r>
    </w:p>
    <w:p w14:paraId="4CA0C91E">
      <w:pPr>
        <w:rPr>
          <w:rFonts w:ascii="Times New Roman" w:hAnsi="Times New Roman" w:eastAsia="宋体" w:cs="Times New Roman"/>
          <w:sz w:val="24"/>
        </w:rPr>
      </w:pPr>
      <w:r>
        <w:rPr>
          <w:rFonts w:hint="eastAsia" w:ascii="Times New Roman" w:hAnsi="Times New Roman" w:eastAsia="宋体" w:cs="Times New Roman"/>
          <w:sz w:val="24"/>
        </w:rPr>
        <w:t>承包人应按合同约定的工作内容和施工进度要求，编制施工组织设计和施工措施计划，并对所有施工作业和施工方法的完备性和安全可靠性负责。</w:t>
      </w:r>
    </w:p>
    <w:p w14:paraId="044196B8">
      <w:pPr>
        <w:rPr>
          <w:rFonts w:ascii="Times New Roman" w:hAnsi="Times New Roman" w:eastAsia="宋体" w:cs="Times New Roman"/>
          <w:sz w:val="24"/>
        </w:rPr>
      </w:pPr>
      <w:r>
        <w:rPr>
          <w:rFonts w:hint="eastAsia" w:ascii="Times New Roman" w:hAnsi="Times New Roman" w:eastAsia="宋体" w:cs="Times New Roman"/>
          <w:sz w:val="24"/>
        </w:rPr>
        <w:t xml:space="preserve">4.1.5 </w:t>
      </w:r>
      <w:r>
        <w:rPr>
          <w:rFonts w:hint="eastAsia" w:ascii="黑体" w:hAnsi="Times New Roman" w:eastAsia="黑体" w:cs="Times New Roman"/>
          <w:sz w:val="24"/>
        </w:rPr>
        <w:t>保证工程施工和人员的安全</w:t>
      </w:r>
    </w:p>
    <w:p w14:paraId="62FB03D1">
      <w:pPr>
        <w:rPr>
          <w:rFonts w:ascii="Times New Roman" w:hAnsi="Times New Roman" w:eastAsia="宋体" w:cs="Times New Roman"/>
          <w:sz w:val="24"/>
        </w:rPr>
      </w:pPr>
      <w:r>
        <w:rPr>
          <w:rFonts w:hint="eastAsia" w:ascii="Times New Roman" w:hAnsi="Times New Roman" w:eastAsia="宋体" w:cs="Times New Roman"/>
          <w:sz w:val="24"/>
        </w:rPr>
        <w:t>承包人应按第9.2款约定采取施工安全措施，确保工程及其人员、材料、设备和设施的安全，防止因工程施工造成的人身伤害和财产损失。</w:t>
      </w:r>
    </w:p>
    <w:p w14:paraId="14EC2598">
      <w:pPr>
        <w:rPr>
          <w:rFonts w:ascii="Times New Roman" w:hAnsi="Times New Roman" w:eastAsia="宋体" w:cs="Times New Roman"/>
          <w:sz w:val="24"/>
        </w:rPr>
      </w:pPr>
      <w:r>
        <w:rPr>
          <w:rFonts w:hint="eastAsia" w:ascii="Times New Roman" w:hAnsi="Times New Roman" w:eastAsia="宋体" w:cs="Times New Roman"/>
          <w:sz w:val="24"/>
        </w:rPr>
        <w:t xml:space="preserve">4.1.6 </w:t>
      </w:r>
      <w:r>
        <w:rPr>
          <w:rFonts w:hint="eastAsia" w:ascii="黑体" w:hAnsi="Times New Roman" w:eastAsia="黑体" w:cs="Times New Roman"/>
          <w:sz w:val="24"/>
        </w:rPr>
        <w:t>负责施工场地及其周边环境与生态的保护工作</w:t>
      </w:r>
    </w:p>
    <w:p w14:paraId="51A2888C">
      <w:pPr>
        <w:rPr>
          <w:rFonts w:ascii="Times New Roman" w:hAnsi="Times New Roman" w:eastAsia="宋体" w:cs="Times New Roman"/>
          <w:sz w:val="24"/>
        </w:rPr>
      </w:pPr>
      <w:r>
        <w:rPr>
          <w:rFonts w:hint="eastAsia" w:ascii="Times New Roman" w:hAnsi="Times New Roman" w:eastAsia="宋体" w:cs="Times New Roman"/>
          <w:sz w:val="24"/>
        </w:rPr>
        <w:t>承包人应按照第9.4款约定负责施工场地及其周边环境与生态的保护工作。</w:t>
      </w:r>
    </w:p>
    <w:p w14:paraId="10AFCC71">
      <w:pPr>
        <w:rPr>
          <w:rFonts w:ascii="Times New Roman" w:hAnsi="Times New Roman" w:eastAsia="宋体" w:cs="Times New Roman"/>
          <w:sz w:val="24"/>
        </w:rPr>
      </w:pPr>
      <w:r>
        <w:rPr>
          <w:rFonts w:hint="eastAsia" w:ascii="Times New Roman" w:hAnsi="Times New Roman" w:eastAsia="宋体" w:cs="Times New Roman"/>
          <w:sz w:val="24"/>
        </w:rPr>
        <w:t xml:space="preserve">4.1.7 </w:t>
      </w:r>
      <w:r>
        <w:rPr>
          <w:rFonts w:hint="eastAsia" w:ascii="黑体" w:hAnsi="Times New Roman" w:eastAsia="黑体" w:cs="Times New Roman"/>
          <w:sz w:val="24"/>
        </w:rPr>
        <w:t>避免施工对公众与他人的利益造成损害</w:t>
      </w:r>
    </w:p>
    <w:p w14:paraId="75A52B01">
      <w:pPr>
        <w:rPr>
          <w:rFonts w:ascii="Times New Roman" w:hAnsi="Times New Roman" w:eastAsia="宋体" w:cs="Times New Roman"/>
          <w:sz w:val="24"/>
        </w:rPr>
      </w:pPr>
      <w:r>
        <w:rPr>
          <w:rFonts w:hint="eastAsia" w:ascii="Times New Roman" w:hAnsi="Times New Roman" w:eastAsia="宋体" w:cs="Times New Roman"/>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F15DD82">
      <w:pPr>
        <w:rPr>
          <w:rFonts w:ascii="Times New Roman" w:hAnsi="Times New Roman" w:eastAsia="宋体" w:cs="Times New Roman"/>
          <w:sz w:val="24"/>
        </w:rPr>
      </w:pPr>
      <w:r>
        <w:rPr>
          <w:rFonts w:hint="eastAsia" w:ascii="Times New Roman" w:hAnsi="Times New Roman" w:eastAsia="宋体" w:cs="Times New Roman"/>
          <w:sz w:val="24"/>
        </w:rPr>
        <w:t xml:space="preserve">4.1.8 </w:t>
      </w:r>
      <w:r>
        <w:rPr>
          <w:rFonts w:hint="eastAsia" w:ascii="黑体" w:hAnsi="Times New Roman" w:eastAsia="黑体" w:cs="Times New Roman"/>
          <w:sz w:val="24"/>
        </w:rPr>
        <w:t>为他人提供方便</w:t>
      </w:r>
    </w:p>
    <w:p w14:paraId="6FA6F038">
      <w:pPr>
        <w:rPr>
          <w:rFonts w:ascii="Times New Roman" w:hAnsi="Times New Roman" w:eastAsia="宋体" w:cs="Times New Roman"/>
          <w:sz w:val="24"/>
        </w:rPr>
      </w:pPr>
      <w:r>
        <w:rPr>
          <w:rFonts w:hint="eastAsia" w:ascii="Times New Roman" w:hAnsi="Times New Roman" w:eastAsia="宋体" w:cs="Times New Roman"/>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2F375210">
      <w:pPr>
        <w:rPr>
          <w:rFonts w:ascii="Times New Roman" w:hAnsi="Times New Roman" w:eastAsia="宋体" w:cs="Times New Roman"/>
          <w:sz w:val="24"/>
        </w:rPr>
      </w:pPr>
      <w:r>
        <w:rPr>
          <w:rFonts w:hint="eastAsia" w:ascii="Times New Roman" w:hAnsi="Times New Roman" w:eastAsia="宋体" w:cs="Times New Roman"/>
          <w:sz w:val="24"/>
        </w:rPr>
        <w:t xml:space="preserve">4.1.9 </w:t>
      </w:r>
      <w:r>
        <w:rPr>
          <w:rFonts w:hint="eastAsia" w:ascii="黑体" w:hAnsi="Times New Roman" w:eastAsia="黑体" w:cs="Times New Roman"/>
          <w:sz w:val="24"/>
        </w:rPr>
        <w:t>工程的维护和照管</w:t>
      </w:r>
    </w:p>
    <w:p w14:paraId="4B268A48">
      <w:pPr>
        <w:rPr>
          <w:rFonts w:ascii="Times New Roman" w:hAnsi="Times New Roman" w:eastAsia="宋体" w:cs="Times New Roman"/>
          <w:sz w:val="24"/>
        </w:rPr>
      </w:pPr>
      <w:r>
        <w:rPr>
          <w:rFonts w:hint="eastAsia" w:ascii="Times New Roman" w:hAnsi="Times New Roman" w:eastAsia="宋体" w:cs="Times New Roman"/>
          <w:sz w:val="24"/>
        </w:rPr>
        <w:t>工程接收证书颁发前，承包人应负责照管和维护工程。工程接收证书颁发时尚有部分未竣工工程的，承包人还应负责该未竣工工程的照管和维护工作，直至竣工后移交给发包人为止。</w:t>
      </w:r>
    </w:p>
    <w:p w14:paraId="5852E8D6">
      <w:pPr>
        <w:rPr>
          <w:rFonts w:ascii="Times New Roman" w:hAnsi="Times New Roman" w:eastAsia="宋体" w:cs="Times New Roman"/>
          <w:sz w:val="24"/>
        </w:rPr>
      </w:pPr>
      <w:r>
        <w:rPr>
          <w:rFonts w:hint="eastAsia" w:ascii="Times New Roman" w:hAnsi="Times New Roman" w:eastAsia="宋体" w:cs="Times New Roman"/>
          <w:sz w:val="24"/>
        </w:rPr>
        <w:t xml:space="preserve">4.1.10 </w:t>
      </w:r>
      <w:r>
        <w:rPr>
          <w:rFonts w:hint="eastAsia" w:ascii="黑体" w:hAnsi="Times New Roman" w:eastAsia="黑体" w:cs="Times New Roman"/>
          <w:sz w:val="24"/>
        </w:rPr>
        <w:t>其他义务</w:t>
      </w:r>
    </w:p>
    <w:p w14:paraId="2589DCED">
      <w:pPr>
        <w:rPr>
          <w:rFonts w:ascii="Times New Roman" w:hAnsi="Times New Roman" w:eastAsia="宋体" w:cs="Times New Roman"/>
          <w:sz w:val="24"/>
        </w:rPr>
      </w:pPr>
      <w:r>
        <w:rPr>
          <w:rFonts w:hint="eastAsia" w:ascii="Times New Roman" w:hAnsi="Times New Roman" w:eastAsia="宋体" w:cs="Times New Roman"/>
          <w:sz w:val="24"/>
        </w:rPr>
        <w:t>承包人应履行合同约定的其他义务。</w:t>
      </w:r>
    </w:p>
    <w:p w14:paraId="406B5E97">
      <w:pPr>
        <w:rPr>
          <w:rFonts w:ascii="Times New Roman" w:hAnsi="Times New Roman" w:eastAsia="宋体" w:cs="Times New Roman"/>
          <w:sz w:val="24"/>
        </w:rPr>
      </w:pPr>
      <w:bookmarkStart w:id="838" w:name="_Toc144974609"/>
      <w:bookmarkStart w:id="839" w:name="_Toc362252758"/>
      <w:bookmarkStart w:id="840" w:name="_Toc338944734"/>
      <w:bookmarkStart w:id="841" w:name="_Toc179632659"/>
      <w:bookmarkStart w:id="842" w:name="_Toc152045641"/>
      <w:bookmarkStart w:id="843" w:name="_Toc152042419"/>
      <w:bookmarkStart w:id="844" w:name="_Toc342296292"/>
      <w:r>
        <w:rPr>
          <w:rFonts w:hint="eastAsia" w:ascii="Times New Roman" w:hAnsi="Times New Roman" w:eastAsia="宋体" w:cs="Times New Roman"/>
          <w:sz w:val="24"/>
        </w:rPr>
        <w:t>4.2 履约担保</w:t>
      </w:r>
      <w:bookmarkEnd w:id="838"/>
      <w:bookmarkEnd w:id="839"/>
      <w:bookmarkEnd w:id="840"/>
      <w:bookmarkEnd w:id="841"/>
      <w:bookmarkEnd w:id="842"/>
      <w:bookmarkEnd w:id="843"/>
      <w:bookmarkEnd w:id="844"/>
    </w:p>
    <w:p w14:paraId="571B4789">
      <w:pPr>
        <w:rPr>
          <w:rFonts w:ascii="Times New Roman" w:hAnsi="Times New Roman" w:eastAsia="宋体" w:cs="Times New Roman"/>
          <w:sz w:val="24"/>
        </w:rPr>
      </w:pPr>
      <w:r>
        <w:rPr>
          <w:rFonts w:hint="eastAsia" w:ascii="Times New Roman" w:hAnsi="Times New Roman" w:eastAsia="宋体" w:cs="Times New Roman"/>
          <w:sz w:val="24"/>
        </w:rPr>
        <w:t>承包人应保证其履约担保在发包人颁发工程接收证书前一直有效。发包人应在工程接收证书颁发后28天内把履约担保退还给承包人。</w:t>
      </w:r>
    </w:p>
    <w:p w14:paraId="17D0ABDD">
      <w:pPr>
        <w:rPr>
          <w:rFonts w:ascii="Times New Roman" w:hAnsi="Times New Roman" w:eastAsia="宋体" w:cs="Times New Roman"/>
          <w:sz w:val="24"/>
        </w:rPr>
      </w:pPr>
      <w:bookmarkStart w:id="845" w:name="_Toc362252759"/>
      <w:bookmarkStart w:id="846" w:name="_Toc338944735"/>
      <w:bookmarkStart w:id="847" w:name="_Toc342296293"/>
      <w:r>
        <w:rPr>
          <w:rFonts w:hint="eastAsia" w:ascii="Times New Roman" w:hAnsi="Times New Roman" w:eastAsia="宋体" w:cs="Times New Roman"/>
          <w:sz w:val="24"/>
        </w:rPr>
        <w:t>4.3 分包</w:t>
      </w:r>
      <w:bookmarkEnd w:id="845"/>
      <w:bookmarkEnd w:id="846"/>
      <w:bookmarkEnd w:id="847"/>
    </w:p>
    <w:p w14:paraId="653FDC06">
      <w:pPr>
        <w:rPr>
          <w:rFonts w:ascii="Times New Roman" w:hAnsi="Times New Roman" w:eastAsia="宋体" w:cs="Times New Roman"/>
          <w:sz w:val="24"/>
        </w:rPr>
      </w:pPr>
      <w:r>
        <w:rPr>
          <w:rFonts w:hint="eastAsia" w:ascii="Times New Roman" w:hAnsi="Times New Roman" w:eastAsia="宋体" w:cs="Times New Roman"/>
          <w:sz w:val="24"/>
        </w:rPr>
        <w:t>4.3.1 承包人不得将其承包的全部工程转包给第三人，或将其承包的全部工程肢解后以分包的名义转包给第三人。</w:t>
      </w:r>
    </w:p>
    <w:p w14:paraId="2DF27836">
      <w:pPr>
        <w:rPr>
          <w:rFonts w:ascii="Times New Roman" w:hAnsi="Times New Roman" w:eastAsia="宋体" w:cs="Times New Roman"/>
          <w:sz w:val="24"/>
        </w:rPr>
      </w:pPr>
      <w:r>
        <w:rPr>
          <w:rFonts w:hint="eastAsia" w:ascii="Times New Roman" w:hAnsi="Times New Roman" w:eastAsia="宋体" w:cs="Times New Roman"/>
          <w:sz w:val="24"/>
        </w:rPr>
        <w:t>4.3.2 承包人不得将工程主体、关键性工作分包给第三人。除专用合同条款另有约定外，未经发包人同意，承包人不得将工程的其他部分或工作分包给第三人。</w:t>
      </w:r>
    </w:p>
    <w:p w14:paraId="131DFA89">
      <w:pPr>
        <w:rPr>
          <w:rFonts w:ascii="Times New Roman" w:hAnsi="Times New Roman" w:eastAsia="宋体" w:cs="Times New Roman"/>
          <w:sz w:val="24"/>
        </w:rPr>
      </w:pPr>
      <w:r>
        <w:rPr>
          <w:rFonts w:hint="eastAsia" w:ascii="Times New Roman" w:hAnsi="Times New Roman" w:eastAsia="宋体" w:cs="Times New Roman"/>
          <w:sz w:val="24"/>
        </w:rPr>
        <w:t>4.3.3 分包人的资格能力应与其分包工程的标准和规模相适应。</w:t>
      </w:r>
    </w:p>
    <w:p w14:paraId="31EF717D">
      <w:pPr>
        <w:rPr>
          <w:rFonts w:ascii="Times New Roman" w:hAnsi="Times New Roman" w:eastAsia="宋体" w:cs="Times New Roman"/>
          <w:sz w:val="24"/>
        </w:rPr>
      </w:pPr>
      <w:r>
        <w:rPr>
          <w:rFonts w:hint="eastAsia" w:ascii="Times New Roman" w:hAnsi="Times New Roman" w:eastAsia="宋体" w:cs="Times New Roman"/>
          <w:sz w:val="24"/>
        </w:rPr>
        <w:t>4.3.4 按投标函附录约定分包工程的，承包人应向发包人和监理人提交分包合同副本。</w:t>
      </w:r>
    </w:p>
    <w:p w14:paraId="16462A48">
      <w:pPr>
        <w:rPr>
          <w:rFonts w:ascii="Times New Roman" w:hAnsi="Times New Roman" w:eastAsia="宋体" w:cs="Times New Roman"/>
          <w:sz w:val="24"/>
        </w:rPr>
      </w:pPr>
      <w:r>
        <w:rPr>
          <w:rFonts w:hint="eastAsia" w:ascii="Times New Roman" w:hAnsi="Times New Roman" w:eastAsia="宋体" w:cs="Times New Roman"/>
          <w:sz w:val="24"/>
        </w:rPr>
        <w:t>4.3.5 承包人应与分包人就分包工程向发包人承担连带责任。</w:t>
      </w:r>
    </w:p>
    <w:p w14:paraId="00342AF2">
      <w:pPr>
        <w:rPr>
          <w:rFonts w:ascii="Times New Roman" w:hAnsi="Times New Roman" w:eastAsia="宋体" w:cs="Times New Roman"/>
          <w:sz w:val="24"/>
        </w:rPr>
      </w:pPr>
      <w:bookmarkStart w:id="848" w:name="_Toc342296294"/>
      <w:bookmarkStart w:id="849" w:name="_Toc179632661"/>
      <w:bookmarkStart w:id="850" w:name="_Toc338944736"/>
      <w:bookmarkStart w:id="851" w:name="_Toc362252760"/>
      <w:bookmarkStart w:id="852" w:name="_Toc152042421"/>
      <w:bookmarkStart w:id="853" w:name="_Toc152045643"/>
      <w:bookmarkStart w:id="854" w:name="_Toc144974611"/>
      <w:r>
        <w:rPr>
          <w:rFonts w:hint="eastAsia" w:ascii="Times New Roman" w:hAnsi="Times New Roman" w:eastAsia="宋体" w:cs="Times New Roman"/>
          <w:sz w:val="24"/>
        </w:rPr>
        <w:t>4.4 联合体</w:t>
      </w:r>
      <w:bookmarkEnd w:id="848"/>
      <w:bookmarkEnd w:id="849"/>
      <w:bookmarkEnd w:id="850"/>
      <w:bookmarkEnd w:id="851"/>
      <w:bookmarkEnd w:id="852"/>
      <w:bookmarkEnd w:id="853"/>
      <w:bookmarkEnd w:id="854"/>
    </w:p>
    <w:p w14:paraId="38764BA0">
      <w:pPr>
        <w:rPr>
          <w:rFonts w:ascii="Times New Roman" w:hAnsi="Times New Roman" w:eastAsia="宋体" w:cs="Times New Roman"/>
          <w:sz w:val="24"/>
        </w:rPr>
      </w:pPr>
      <w:r>
        <w:rPr>
          <w:rFonts w:hint="eastAsia" w:ascii="Times New Roman" w:hAnsi="Times New Roman" w:eastAsia="宋体" w:cs="Times New Roman"/>
          <w:sz w:val="24"/>
        </w:rPr>
        <w:t>4.4.1 联合体各方应共同与发包人签订合同协议书。联合体各方应为履行合同承担连带责任。</w:t>
      </w:r>
    </w:p>
    <w:p w14:paraId="02438351">
      <w:pPr>
        <w:rPr>
          <w:rFonts w:ascii="Times New Roman" w:hAnsi="Times New Roman" w:eastAsia="宋体" w:cs="Times New Roman"/>
          <w:sz w:val="24"/>
        </w:rPr>
      </w:pPr>
      <w:r>
        <w:rPr>
          <w:rFonts w:hint="eastAsia" w:ascii="Times New Roman" w:hAnsi="Times New Roman" w:eastAsia="宋体" w:cs="Times New Roman"/>
          <w:sz w:val="24"/>
        </w:rPr>
        <w:t>4.4.2 联合体协议经发包人确认后作为合同附件。在履行合同过程中，未经发包人同意，不得修改联合体协议。</w:t>
      </w:r>
    </w:p>
    <w:p w14:paraId="06BC3DD3">
      <w:pPr>
        <w:rPr>
          <w:rFonts w:ascii="Times New Roman" w:hAnsi="Times New Roman" w:eastAsia="宋体" w:cs="Times New Roman"/>
          <w:sz w:val="24"/>
        </w:rPr>
      </w:pPr>
      <w:r>
        <w:rPr>
          <w:rFonts w:hint="eastAsia" w:ascii="Times New Roman" w:hAnsi="Times New Roman" w:eastAsia="宋体" w:cs="Times New Roman"/>
          <w:sz w:val="24"/>
        </w:rPr>
        <w:t>4.4.3 联合体牵头人负责与发包人和监理人联系，并接受指示，负责组织联合体各成员全面履行合同。</w:t>
      </w:r>
    </w:p>
    <w:p w14:paraId="5DBAFBF2">
      <w:pPr>
        <w:rPr>
          <w:rFonts w:ascii="Times New Roman" w:hAnsi="Times New Roman" w:eastAsia="宋体" w:cs="Times New Roman"/>
          <w:sz w:val="24"/>
        </w:rPr>
      </w:pPr>
      <w:bookmarkStart w:id="855" w:name="_Toc338944737"/>
      <w:bookmarkStart w:id="856" w:name="_Toc362252761"/>
      <w:bookmarkStart w:id="857" w:name="_Toc342296295"/>
      <w:r>
        <w:rPr>
          <w:rFonts w:hint="eastAsia" w:ascii="Times New Roman" w:hAnsi="Times New Roman" w:eastAsia="宋体" w:cs="Times New Roman"/>
          <w:sz w:val="24"/>
        </w:rPr>
        <w:t>4.5 承包人项目经理</w:t>
      </w:r>
      <w:bookmarkEnd w:id="855"/>
      <w:bookmarkEnd w:id="856"/>
      <w:bookmarkEnd w:id="857"/>
    </w:p>
    <w:p w14:paraId="5E439DE7">
      <w:pPr>
        <w:rPr>
          <w:rFonts w:ascii="Times New Roman" w:hAnsi="Times New Roman" w:eastAsia="宋体" w:cs="Times New Roman"/>
          <w:sz w:val="24"/>
        </w:rPr>
      </w:pPr>
      <w:r>
        <w:rPr>
          <w:rFonts w:hint="eastAsia" w:ascii="Times New Roman" w:hAnsi="Times New Roman" w:eastAsia="宋体" w:cs="Times New Roman"/>
          <w:sz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1618625C">
      <w:pPr>
        <w:rPr>
          <w:rFonts w:ascii="Times New Roman" w:hAnsi="Times New Roman" w:eastAsia="宋体" w:cs="Times New Roman"/>
          <w:sz w:val="24"/>
        </w:rPr>
      </w:pPr>
      <w:r>
        <w:rPr>
          <w:rFonts w:hint="eastAsia" w:ascii="Times New Roman" w:hAnsi="Times New Roman" w:eastAsia="宋体" w:cs="Times New Roman"/>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71ECD9BA">
      <w:pPr>
        <w:rPr>
          <w:rFonts w:ascii="Times New Roman" w:hAnsi="Times New Roman" w:eastAsia="宋体" w:cs="Times New Roman"/>
          <w:sz w:val="24"/>
        </w:rPr>
      </w:pPr>
      <w:r>
        <w:rPr>
          <w:rFonts w:hint="eastAsia" w:ascii="Times New Roman" w:hAnsi="Times New Roman" w:eastAsia="宋体" w:cs="Times New Roman"/>
          <w:sz w:val="24"/>
        </w:rPr>
        <w:t>4.5.3承包人为履行合同发出的一切函件均应盖有承包人授权的施工场地管理机构章，并由承包人项目经理或其授权代表签字。</w:t>
      </w:r>
    </w:p>
    <w:p w14:paraId="274DA2D3">
      <w:pPr>
        <w:rPr>
          <w:rFonts w:ascii="Times New Roman" w:hAnsi="Times New Roman" w:eastAsia="宋体" w:cs="Times New Roman"/>
          <w:sz w:val="24"/>
        </w:rPr>
      </w:pPr>
      <w:r>
        <w:rPr>
          <w:rFonts w:hint="eastAsia" w:ascii="Times New Roman" w:hAnsi="Times New Roman" w:eastAsia="宋体" w:cs="Times New Roman"/>
          <w:sz w:val="24"/>
        </w:rPr>
        <w:t>4.5.4 承包人项目经理可以授权其下属人员履行其某项职责，但事先应将这些人员的姓名和授权范围通知监理人。</w:t>
      </w:r>
    </w:p>
    <w:p w14:paraId="1DD982DC">
      <w:pPr>
        <w:rPr>
          <w:rFonts w:ascii="Times New Roman" w:hAnsi="Times New Roman" w:eastAsia="宋体" w:cs="Times New Roman"/>
          <w:sz w:val="24"/>
        </w:rPr>
      </w:pPr>
      <w:bookmarkStart w:id="858" w:name="_Toc152045645"/>
      <w:bookmarkStart w:id="859" w:name="_Toc362252762"/>
      <w:bookmarkStart w:id="860" w:name="_Toc152042423"/>
      <w:bookmarkStart w:id="861" w:name="_Toc179632663"/>
      <w:bookmarkStart w:id="862" w:name="_Toc144974613"/>
      <w:bookmarkStart w:id="863" w:name="_Toc342296296"/>
      <w:bookmarkStart w:id="864" w:name="_Toc338944738"/>
      <w:r>
        <w:rPr>
          <w:rFonts w:hint="eastAsia" w:ascii="Times New Roman" w:hAnsi="Times New Roman" w:eastAsia="宋体" w:cs="Times New Roman"/>
          <w:sz w:val="24"/>
        </w:rPr>
        <w:t>4.6 承包人人员的管理</w:t>
      </w:r>
      <w:bookmarkEnd w:id="858"/>
      <w:bookmarkEnd w:id="859"/>
      <w:bookmarkEnd w:id="860"/>
      <w:bookmarkEnd w:id="861"/>
      <w:bookmarkEnd w:id="862"/>
      <w:bookmarkEnd w:id="863"/>
      <w:bookmarkEnd w:id="864"/>
    </w:p>
    <w:p w14:paraId="0FBB05A6">
      <w:pPr>
        <w:rPr>
          <w:rFonts w:ascii="Times New Roman" w:hAnsi="Times New Roman" w:eastAsia="宋体" w:cs="Times New Roman"/>
          <w:sz w:val="24"/>
        </w:rPr>
      </w:pPr>
      <w:r>
        <w:rPr>
          <w:rFonts w:hint="eastAsia" w:ascii="Times New Roman" w:hAnsi="Times New Roman" w:eastAsia="宋体" w:cs="Times New Roman"/>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0D96096">
      <w:pPr>
        <w:rPr>
          <w:rFonts w:ascii="Times New Roman" w:hAnsi="Times New Roman" w:eastAsia="宋体" w:cs="Times New Roman"/>
          <w:sz w:val="24"/>
        </w:rPr>
      </w:pPr>
      <w:r>
        <w:rPr>
          <w:rFonts w:hint="eastAsia" w:ascii="Times New Roman" w:hAnsi="Times New Roman" w:eastAsia="宋体" w:cs="Times New Roman"/>
          <w:sz w:val="24"/>
        </w:rPr>
        <w:t>4.6.2 为完成合同约定的各项工作，承包人应向施工场地派遣或雇佣足够数量的下列人员：</w:t>
      </w:r>
    </w:p>
    <w:p w14:paraId="6F279CF2">
      <w:pPr>
        <w:rPr>
          <w:rFonts w:ascii="Times New Roman" w:hAnsi="Times New Roman" w:eastAsia="宋体" w:cs="Times New Roman"/>
          <w:sz w:val="24"/>
        </w:rPr>
      </w:pPr>
      <w:r>
        <w:rPr>
          <w:rFonts w:hint="eastAsia" w:ascii="Times New Roman" w:hAnsi="Times New Roman" w:eastAsia="宋体" w:cs="Times New Roman"/>
          <w:sz w:val="24"/>
        </w:rPr>
        <w:t>（1）具有相应资格的专业技工和合格的普工；</w:t>
      </w:r>
    </w:p>
    <w:p w14:paraId="0FCCC3A4">
      <w:pPr>
        <w:rPr>
          <w:rFonts w:ascii="Times New Roman" w:hAnsi="Times New Roman" w:eastAsia="宋体" w:cs="Times New Roman"/>
          <w:sz w:val="24"/>
        </w:rPr>
      </w:pPr>
      <w:r>
        <w:rPr>
          <w:rFonts w:hint="eastAsia" w:ascii="Times New Roman" w:hAnsi="Times New Roman" w:eastAsia="宋体" w:cs="Times New Roman"/>
          <w:sz w:val="24"/>
        </w:rPr>
        <w:t>（2）具有相应施工经验的技术人员；</w:t>
      </w:r>
    </w:p>
    <w:p w14:paraId="5E643B83">
      <w:pPr>
        <w:rPr>
          <w:rFonts w:ascii="Times New Roman" w:hAnsi="Times New Roman" w:eastAsia="宋体" w:cs="Times New Roman"/>
          <w:sz w:val="24"/>
        </w:rPr>
      </w:pPr>
      <w:r>
        <w:rPr>
          <w:rFonts w:hint="eastAsia" w:ascii="Times New Roman" w:hAnsi="Times New Roman" w:eastAsia="宋体" w:cs="Times New Roman"/>
          <w:sz w:val="24"/>
        </w:rPr>
        <w:t>（3）具有相应岗位资格的各级管理人员。</w:t>
      </w:r>
    </w:p>
    <w:p w14:paraId="3672A1B9">
      <w:pPr>
        <w:rPr>
          <w:rFonts w:ascii="Times New Roman" w:hAnsi="Times New Roman" w:eastAsia="宋体" w:cs="Times New Roman"/>
          <w:sz w:val="24"/>
        </w:rPr>
      </w:pPr>
      <w:r>
        <w:rPr>
          <w:rFonts w:hint="eastAsia" w:ascii="Times New Roman" w:hAnsi="Times New Roman" w:eastAsia="宋体" w:cs="Times New Roman"/>
          <w:sz w:val="24"/>
        </w:rPr>
        <w:t>4.6.3 承包人安排在施工场地的主要管理人员和技术骨干应相对稳定。承包人更换主要管理人员和技术骨干时，应取得监理人的同意。</w:t>
      </w:r>
    </w:p>
    <w:p w14:paraId="01F3D838">
      <w:pPr>
        <w:rPr>
          <w:rFonts w:ascii="Times New Roman" w:hAnsi="Times New Roman" w:eastAsia="宋体" w:cs="Times New Roman"/>
          <w:sz w:val="24"/>
        </w:rPr>
      </w:pPr>
      <w:r>
        <w:rPr>
          <w:rFonts w:hint="eastAsia" w:ascii="Times New Roman" w:hAnsi="Times New Roman" w:eastAsia="宋体" w:cs="Times New Roman"/>
          <w:sz w:val="24"/>
        </w:rPr>
        <w:t>4.6.4 特殊岗位的工作人员均应持有相应的资格证明，监理人有权随时检查。监理人认为有必要时，可进行现场考核。</w:t>
      </w:r>
    </w:p>
    <w:p w14:paraId="65718223">
      <w:pPr>
        <w:rPr>
          <w:rFonts w:ascii="Times New Roman" w:hAnsi="Times New Roman" w:eastAsia="宋体" w:cs="Times New Roman"/>
          <w:sz w:val="24"/>
        </w:rPr>
      </w:pPr>
      <w:bookmarkStart w:id="865" w:name="_Toc179632664"/>
      <w:bookmarkStart w:id="866" w:name="_Toc338944739"/>
      <w:bookmarkStart w:id="867" w:name="_Toc144974614"/>
      <w:bookmarkStart w:id="868" w:name="_Toc342296297"/>
      <w:bookmarkStart w:id="869" w:name="_Toc362252763"/>
      <w:bookmarkStart w:id="870" w:name="_Toc152042424"/>
      <w:bookmarkStart w:id="871" w:name="_Toc152045646"/>
      <w:r>
        <w:rPr>
          <w:rFonts w:hint="eastAsia" w:ascii="Times New Roman" w:hAnsi="Times New Roman" w:eastAsia="宋体" w:cs="Times New Roman"/>
          <w:sz w:val="24"/>
        </w:rPr>
        <w:t>4.7 撤换承包人项目经理和其他人员</w:t>
      </w:r>
      <w:bookmarkEnd w:id="865"/>
      <w:bookmarkEnd w:id="866"/>
      <w:bookmarkEnd w:id="867"/>
      <w:bookmarkEnd w:id="868"/>
      <w:bookmarkEnd w:id="869"/>
      <w:bookmarkEnd w:id="870"/>
      <w:bookmarkEnd w:id="871"/>
    </w:p>
    <w:p w14:paraId="587073A5">
      <w:pPr>
        <w:rPr>
          <w:rFonts w:ascii="Times New Roman" w:hAnsi="Times New Roman" w:eastAsia="宋体" w:cs="Times New Roman"/>
          <w:sz w:val="24"/>
        </w:rPr>
      </w:pPr>
      <w:r>
        <w:rPr>
          <w:rFonts w:hint="eastAsia" w:ascii="Times New Roman" w:hAnsi="Times New Roman" w:eastAsia="宋体" w:cs="Times New Roman"/>
          <w:sz w:val="24"/>
        </w:rPr>
        <w:t>承包人应对其项目经理和其他人员进行有效管理。监理人要求撤换不能胜任本职工作、行为不端或玩忽职守的承包人项目经理和其他人员的，承包人应予以撤换。</w:t>
      </w:r>
    </w:p>
    <w:p w14:paraId="56026515">
      <w:pPr>
        <w:rPr>
          <w:rFonts w:ascii="Times New Roman" w:hAnsi="Times New Roman" w:eastAsia="宋体" w:cs="Times New Roman"/>
          <w:sz w:val="24"/>
        </w:rPr>
      </w:pPr>
      <w:bookmarkStart w:id="872" w:name="_Toc152042425"/>
      <w:bookmarkStart w:id="873" w:name="_Toc362252764"/>
      <w:bookmarkStart w:id="874" w:name="_Toc179632665"/>
      <w:bookmarkStart w:id="875" w:name="_Toc338944740"/>
      <w:bookmarkStart w:id="876" w:name="_Toc342296298"/>
      <w:bookmarkStart w:id="877" w:name="_Toc144974615"/>
      <w:bookmarkStart w:id="878" w:name="_Toc152045647"/>
      <w:r>
        <w:rPr>
          <w:rFonts w:hint="eastAsia" w:ascii="Times New Roman" w:hAnsi="Times New Roman" w:eastAsia="宋体" w:cs="Times New Roman"/>
          <w:sz w:val="24"/>
        </w:rPr>
        <w:t>4.8 保障承包人人员的合法权益</w:t>
      </w:r>
      <w:bookmarkEnd w:id="872"/>
      <w:bookmarkEnd w:id="873"/>
      <w:bookmarkEnd w:id="874"/>
      <w:bookmarkEnd w:id="875"/>
      <w:bookmarkEnd w:id="876"/>
      <w:bookmarkEnd w:id="877"/>
      <w:bookmarkEnd w:id="878"/>
    </w:p>
    <w:p w14:paraId="71205D9F">
      <w:pPr>
        <w:rPr>
          <w:rFonts w:ascii="Times New Roman" w:hAnsi="Times New Roman" w:eastAsia="宋体" w:cs="Times New Roman"/>
          <w:sz w:val="24"/>
        </w:rPr>
      </w:pPr>
      <w:r>
        <w:rPr>
          <w:rFonts w:hint="eastAsia" w:ascii="Times New Roman" w:hAnsi="Times New Roman" w:eastAsia="宋体" w:cs="Times New Roman"/>
          <w:sz w:val="24"/>
        </w:rPr>
        <w:t>4.8.1 承包人应与其雇佣的人员签订劳动合同，并按时发放工资。</w:t>
      </w:r>
    </w:p>
    <w:p w14:paraId="066C4760">
      <w:pPr>
        <w:rPr>
          <w:rFonts w:ascii="Times New Roman" w:hAnsi="Times New Roman" w:eastAsia="宋体" w:cs="Times New Roman"/>
          <w:sz w:val="24"/>
        </w:rPr>
      </w:pPr>
      <w:r>
        <w:rPr>
          <w:rFonts w:hint="eastAsia" w:ascii="Times New Roman" w:hAnsi="Times New Roman" w:eastAsia="宋体" w:cs="Times New Roman"/>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250DF71D">
      <w:pPr>
        <w:rPr>
          <w:rFonts w:ascii="Times New Roman" w:hAnsi="Times New Roman" w:eastAsia="宋体" w:cs="Times New Roman"/>
          <w:sz w:val="24"/>
        </w:rPr>
      </w:pPr>
      <w:r>
        <w:rPr>
          <w:rFonts w:hint="eastAsia" w:ascii="Times New Roman" w:hAnsi="Times New Roman" w:eastAsia="宋体" w:cs="Times New Roman"/>
          <w:sz w:val="24"/>
        </w:rPr>
        <w:t>4.8.3 承包人应为其雇佣人员提供必要的食宿条件，以及符合环境保护和卫生要求的生活环境，在远离城镇的施工场地，还应配备必要的伤病防治和急救的医务人员与医疗设施。</w:t>
      </w:r>
    </w:p>
    <w:p w14:paraId="61A0A722">
      <w:pPr>
        <w:rPr>
          <w:rFonts w:ascii="Times New Roman" w:hAnsi="Times New Roman" w:eastAsia="宋体" w:cs="Times New Roman"/>
          <w:sz w:val="24"/>
        </w:rPr>
      </w:pPr>
      <w:r>
        <w:rPr>
          <w:rFonts w:hint="eastAsia" w:ascii="Times New Roman" w:hAnsi="Times New Roman" w:eastAsia="宋体" w:cs="Times New Roman"/>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457BB82">
      <w:pPr>
        <w:rPr>
          <w:rFonts w:ascii="Times New Roman" w:hAnsi="Times New Roman" w:eastAsia="宋体" w:cs="Times New Roman"/>
          <w:sz w:val="24"/>
        </w:rPr>
      </w:pPr>
      <w:r>
        <w:rPr>
          <w:rFonts w:hint="eastAsia" w:ascii="Times New Roman" w:hAnsi="Times New Roman" w:eastAsia="宋体" w:cs="Times New Roman"/>
          <w:sz w:val="24"/>
        </w:rPr>
        <w:t>4.8.5 承包人应按有关法律规定和合同约定，为其雇佣人员办理保险。</w:t>
      </w:r>
    </w:p>
    <w:p w14:paraId="3CBFE05F">
      <w:pPr>
        <w:rPr>
          <w:rFonts w:ascii="Times New Roman" w:hAnsi="Times New Roman" w:eastAsia="宋体" w:cs="Times New Roman"/>
          <w:sz w:val="24"/>
        </w:rPr>
      </w:pPr>
      <w:r>
        <w:rPr>
          <w:rFonts w:hint="eastAsia" w:ascii="Times New Roman" w:hAnsi="Times New Roman" w:eastAsia="宋体" w:cs="Times New Roman"/>
          <w:sz w:val="24"/>
        </w:rPr>
        <w:t>4.8.6 承包人应负责处理其雇佣人员因工伤亡事故的善后事宜。</w:t>
      </w:r>
    </w:p>
    <w:p w14:paraId="3437A8A9">
      <w:pPr>
        <w:rPr>
          <w:rFonts w:ascii="Times New Roman" w:hAnsi="Times New Roman" w:eastAsia="宋体" w:cs="Times New Roman"/>
          <w:sz w:val="24"/>
        </w:rPr>
      </w:pPr>
      <w:bookmarkStart w:id="879" w:name="_Toc362252765"/>
      <w:bookmarkStart w:id="880" w:name="_Toc179632666"/>
      <w:bookmarkStart w:id="881" w:name="_Toc338944741"/>
      <w:bookmarkStart w:id="882" w:name="_Toc144974616"/>
      <w:bookmarkStart w:id="883" w:name="_Toc342296299"/>
      <w:bookmarkStart w:id="884" w:name="_Toc152045648"/>
      <w:bookmarkStart w:id="885" w:name="_Toc152042426"/>
      <w:r>
        <w:rPr>
          <w:rFonts w:hint="eastAsia" w:ascii="Times New Roman" w:hAnsi="Times New Roman" w:eastAsia="宋体" w:cs="Times New Roman"/>
          <w:sz w:val="24"/>
        </w:rPr>
        <w:t>4.9 工程价款应专款专用</w:t>
      </w:r>
      <w:bookmarkEnd w:id="879"/>
      <w:bookmarkEnd w:id="880"/>
      <w:bookmarkEnd w:id="881"/>
      <w:bookmarkEnd w:id="882"/>
      <w:bookmarkEnd w:id="883"/>
      <w:bookmarkEnd w:id="884"/>
      <w:bookmarkEnd w:id="885"/>
    </w:p>
    <w:p w14:paraId="6A426C41">
      <w:pPr>
        <w:rPr>
          <w:rFonts w:ascii="Times New Roman" w:hAnsi="Times New Roman" w:eastAsia="宋体" w:cs="Times New Roman"/>
          <w:sz w:val="24"/>
        </w:rPr>
      </w:pPr>
      <w:r>
        <w:rPr>
          <w:rFonts w:hint="eastAsia" w:ascii="Times New Roman" w:hAnsi="Times New Roman" w:eastAsia="宋体" w:cs="Times New Roman"/>
          <w:sz w:val="24"/>
        </w:rPr>
        <w:t>发包人按合同约定支付给承包人的各项价款应专用于合同工程。</w:t>
      </w:r>
    </w:p>
    <w:p w14:paraId="2297654D">
      <w:pPr>
        <w:rPr>
          <w:rFonts w:ascii="Times New Roman" w:hAnsi="Times New Roman" w:eastAsia="宋体" w:cs="Times New Roman"/>
          <w:sz w:val="24"/>
        </w:rPr>
      </w:pPr>
      <w:bookmarkStart w:id="886" w:name="_Toc338944742"/>
      <w:bookmarkStart w:id="887" w:name="_Toc144974617"/>
      <w:bookmarkStart w:id="888" w:name="_Toc152045649"/>
      <w:bookmarkStart w:id="889" w:name="_Toc342296300"/>
      <w:bookmarkStart w:id="890" w:name="_Toc152042427"/>
      <w:bookmarkStart w:id="891" w:name="_Toc179632667"/>
      <w:bookmarkStart w:id="892" w:name="_Toc362252766"/>
      <w:r>
        <w:rPr>
          <w:rFonts w:hint="eastAsia" w:ascii="Times New Roman" w:hAnsi="Times New Roman" w:eastAsia="宋体" w:cs="Times New Roman"/>
          <w:sz w:val="24"/>
        </w:rPr>
        <w:t>4.10 承包人现场查勘</w:t>
      </w:r>
      <w:bookmarkEnd w:id="886"/>
      <w:bookmarkEnd w:id="887"/>
      <w:bookmarkEnd w:id="888"/>
      <w:bookmarkEnd w:id="889"/>
      <w:bookmarkEnd w:id="890"/>
      <w:bookmarkEnd w:id="891"/>
      <w:bookmarkEnd w:id="892"/>
    </w:p>
    <w:p w14:paraId="517F2C40">
      <w:pPr>
        <w:rPr>
          <w:rFonts w:ascii="Times New Roman" w:hAnsi="Times New Roman" w:eastAsia="宋体" w:cs="Times New Roman"/>
          <w:sz w:val="24"/>
        </w:rPr>
      </w:pPr>
      <w:r>
        <w:rPr>
          <w:rFonts w:hint="eastAsia" w:ascii="Times New Roman" w:hAnsi="Times New Roman" w:eastAsia="宋体" w:cs="Times New Roman"/>
          <w:sz w:val="24"/>
        </w:rPr>
        <w:t>4.10.1 发包人应将其持有的现场地质勘探资料、水文气象资料提供给承包人，并对其准确性负责。但承包人应对其阅读上述有关资料后所作出的解释和推断负责。</w:t>
      </w:r>
    </w:p>
    <w:p w14:paraId="4DD0F3FD">
      <w:pPr>
        <w:rPr>
          <w:rFonts w:ascii="Times New Roman" w:hAnsi="Times New Roman" w:eastAsia="宋体" w:cs="Times New Roman"/>
          <w:sz w:val="24"/>
        </w:rPr>
      </w:pPr>
      <w:r>
        <w:rPr>
          <w:rFonts w:hint="eastAsia" w:ascii="Times New Roman" w:hAnsi="Times New Roman" w:eastAsia="宋体" w:cs="Times New Roman"/>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9F704BB">
      <w:pPr>
        <w:rPr>
          <w:rFonts w:ascii="Times New Roman" w:hAnsi="Times New Roman" w:eastAsia="宋体" w:cs="Times New Roman"/>
          <w:sz w:val="24"/>
        </w:rPr>
      </w:pPr>
      <w:bookmarkStart w:id="893" w:name="_Toc338944743"/>
      <w:bookmarkStart w:id="894" w:name="_Toc342296301"/>
      <w:bookmarkStart w:id="895" w:name="_Toc362252767"/>
      <w:r>
        <w:rPr>
          <w:rFonts w:hint="eastAsia" w:ascii="Times New Roman" w:hAnsi="Times New Roman" w:eastAsia="宋体" w:cs="Times New Roman"/>
          <w:sz w:val="24"/>
        </w:rPr>
        <w:t>4.11 不利物质条件</w:t>
      </w:r>
      <w:bookmarkEnd w:id="893"/>
      <w:bookmarkEnd w:id="894"/>
      <w:bookmarkEnd w:id="895"/>
    </w:p>
    <w:p w14:paraId="6E9D2650">
      <w:pPr>
        <w:rPr>
          <w:rFonts w:ascii="Times New Roman" w:hAnsi="Times New Roman" w:eastAsia="宋体" w:cs="Times New Roman"/>
          <w:sz w:val="24"/>
        </w:rPr>
      </w:pPr>
      <w:r>
        <w:rPr>
          <w:rFonts w:hint="eastAsia" w:ascii="Times New Roman" w:hAnsi="Times New Roman" w:eastAsia="宋体" w:cs="Times New Roman"/>
          <w:sz w:val="24"/>
        </w:rPr>
        <w:t>4.11.1 不利物质条件，除专用合同条款另有约定外，是指承包人在施工场地遇到的不可预见的自然物质条件、非自然的物质障碍和污染物，包括地下和水文条件，但不包括气候条件。</w:t>
      </w:r>
    </w:p>
    <w:p w14:paraId="58C5CD97">
      <w:pPr>
        <w:rPr>
          <w:rFonts w:ascii="Times New Roman" w:hAnsi="Times New Roman" w:eastAsia="宋体" w:cs="Times New Roman"/>
          <w:sz w:val="24"/>
        </w:rPr>
      </w:pPr>
      <w:r>
        <w:rPr>
          <w:rFonts w:hint="eastAsia" w:ascii="Times New Roman" w:hAnsi="Times New Roman" w:eastAsia="宋体" w:cs="Times New Roman"/>
          <w:sz w:val="24"/>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49DEC4A">
      <w:pPr>
        <w:rPr>
          <w:rFonts w:ascii="Times New Roman" w:hAnsi="Times New Roman" w:eastAsia="宋体" w:cs="Times New Roman"/>
          <w:sz w:val="24"/>
        </w:rPr>
      </w:pPr>
      <w:bookmarkStart w:id="896" w:name="_Toc342296302"/>
      <w:bookmarkStart w:id="897" w:name="_Toc362252768"/>
      <w:bookmarkStart w:id="898" w:name="_Toc338944744"/>
      <w:r>
        <w:rPr>
          <w:rFonts w:hint="eastAsia" w:ascii="Times New Roman" w:hAnsi="Times New Roman" w:eastAsia="宋体" w:cs="Times New Roman"/>
          <w:sz w:val="24"/>
        </w:rPr>
        <w:t>5. 材料和工程设备</w:t>
      </w:r>
      <w:bookmarkEnd w:id="896"/>
      <w:bookmarkEnd w:id="897"/>
      <w:bookmarkEnd w:id="898"/>
    </w:p>
    <w:p w14:paraId="7ADD2AD6">
      <w:pPr>
        <w:rPr>
          <w:rFonts w:ascii="Times New Roman" w:hAnsi="Times New Roman" w:eastAsia="宋体" w:cs="Times New Roman"/>
          <w:sz w:val="24"/>
        </w:rPr>
      </w:pPr>
      <w:bookmarkStart w:id="899" w:name="_Toc342296303"/>
      <w:bookmarkStart w:id="900" w:name="_Toc362252769"/>
      <w:bookmarkStart w:id="901" w:name="_Toc338944745"/>
      <w:r>
        <w:rPr>
          <w:rFonts w:hint="eastAsia" w:ascii="Times New Roman" w:hAnsi="Times New Roman" w:eastAsia="宋体" w:cs="Times New Roman"/>
          <w:sz w:val="24"/>
        </w:rPr>
        <w:t>5.1 承包人提供的材料和工程设备</w:t>
      </w:r>
      <w:bookmarkEnd w:id="899"/>
      <w:bookmarkEnd w:id="900"/>
      <w:bookmarkEnd w:id="901"/>
    </w:p>
    <w:p w14:paraId="45F02C14">
      <w:pPr>
        <w:rPr>
          <w:rFonts w:ascii="Times New Roman" w:hAnsi="Times New Roman" w:eastAsia="宋体" w:cs="Times New Roman"/>
          <w:sz w:val="24"/>
        </w:rPr>
      </w:pPr>
      <w:r>
        <w:rPr>
          <w:rFonts w:hint="eastAsia" w:ascii="Times New Roman" w:hAnsi="Times New Roman" w:eastAsia="宋体" w:cs="Times New Roman"/>
          <w:sz w:val="24"/>
        </w:rPr>
        <w:t>5.1.1 除专用合同条款另有约定外，承包人提供的材料和工程设备均由承包人负责采购、运输和保管。承包人应对其采购的材料和工程设备负责。</w:t>
      </w:r>
    </w:p>
    <w:p w14:paraId="23031D85">
      <w:pPr>
        <w:rPr>
          <w:rFonts w:ascii="Times New Roman" w:hAnsi="Times New Roman" w:eastAsia="宋体" w:cs="Times New Roman"/>
          <w:sz w:val="24"/>
        </w:rPr>
      </w:pPr>
      <w:r>
        <w:rPr>
          <w:rFonts w:hint="eastAsia" w:ascii="Times New Roman" w:hAnsi="Times New Roman" w:eastAsia="宋体" w:cs="Times New Roman"/>
          <w:sz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A08C2BB">
      <w:pPr>
        <w:rPr>
          <w:rFonts w:ascii="Times New Roman" w:hAnsi="Times New Roman" w:eastAsia="宋体" w:cs="Times New Roman"/>
          <w:sz w:val="24"/>
        </w:rPr>
      </w:pPr>
      <w:r>
        <w:rPr>
          <w:rFonts w:hint="eastAsia" w:ascii="Times New Roman" w:hAnsi="Times New Roman" w:eastAsia="宋体" w:cs="Times New Roman"/>
          <w:sz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C60E280">
      <w:pPr>
        <w:rPr>
          <w:rFonts w:ascii="Times New Roman" w:hAnsi="Times New Roman" w:eastAsia="宋体" w:cs="Times New Roman"/>
          <w:sz w:val="24"/>
        </w:rPr>
      </w:pPr>
      <w:bookmarkStart w:id="902" w:name="_Toc342296304"/>
      <w:bookmarkStart w:id="903" w:name="_Toc362252770"/>
      <w:bookmarkStart w:id="904" w:name="_Toc338944746"/>
      <w:r>
        <w:rPr>
          <w:rFonts w:hint="eastAsia" w:ascii="Times New Roman" w:hAnsi="Times New Roman" w:eastAsia="宋体" w:cs="Times New Roman"/>
          <w:sz w:val="24"/>
        </w:rPr>
        <w:t>5.2 发包人提供的材料和工程设备</w:t>
      </w:r>
      <w:bookmarkEnd w:id="902"/>
      <w:bookmarkEnd w:id="903"/>
      <w:bookmarkEnd w:id="904"/>
    </w:p>
    <w:p w14:paraId="0992CEEB">
      <w:pPr>
        <w:rPr>
          <w:rFonts w:ascii="Times New Roman" w:hAnsi="Times New Roman" w:eastAsia="宋体" w:cs="Times New Roman"/>
          <w:sz w:val="24"/>
        </w:rPr>
      </w:pPr>
      <w:r>
        <w:rPr>
          <w:rFonts w:hint="eastAsia" w:ascii="Times New Roman" w:hAnsi="Times New Roman" w:eastAsia="宋体" w:cs="Times New Roman"/>
          <w:sz w:val="24"/>
        </w:rPr>
        <w:t>5.2.1 发包人提供的材料和工程设备，应在专用合同条款中写明材料和工程设备的名称、规格、数量、价格、交货方式、交货地点和计划交货日期等。</w:t>
      </w:r>
    </w:p>
    <w:p w14:paraId="79F03D57">
      <w:pPr>
        <w:rPr>
          <w:rFonts w:ascii="Times New Roman" w:hAnsi="Times New Roman" w:eastAsia="宋体" w:cs="Times New Roman"/>
          <w:sz w:val="24"/>
        </w:rPr>
      </w:pPr>
      <w:r>
        <w:rPr>
          <w:rFonts w:hint="eastAsia" w:ascii="Times New Roman" w:hAnsi="Times New Roman" w:eastAsia="宋体" w:cs="Times New Roman"/>
          <w:sz w:val="24"/>
        </w:rPr>
        <w:t>5.2.2 承包人应根据合同进度计划的安排，向监理人报送要求发包人交货的日期计划。发包人应按照监理人与合同双方当事人商定的交货日期，向承包人提交材料和工程设备。</w:t>
      </w:r>
    </w:p>
    <w:p w14:paraId="2B1F726A">
      <w:pPr>
        <w:rPr>
          <w:rFonts w:ascii="Times New Roman" w:hAnsi="Times New Roman" w:eastAsia="宋体" w:cs="Times New Roman"/>
          <w:sz w:val="24"/>
        </w:rPr>
      </w:pPr>
      <w:r>
        <w:rPr>
          <w:rFonts w:hint="eastAsia" w:ascii="Times New Roman" w:hAnsi="Times New Roman" w:eastAsia="宋体" w:cs="Times New Roman"/>
          <w:sz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132D43E6">
      <w:pPr>
        <w:rPr>
          <w:rFonts w:ascii="Times New Roman" w:hAnsi="Times New Roman" w:eastAsia="宋体" w:cs="Times New Roman"/>
          <w:sz w:val="24"/>
        </w:rPr>
      </w:pPr>
      <w:r>
        <w:rPr>
          <w:rFonts w:hint="eastAsia" w:ascii="Times New Roman" w:hAnsi="Times New Roman" w:eastAsia="宋体" w:cs="Times New Roman"/>
          <w:sz w:val="24"/>
        </w:rPr>
        <w:t xml:space="preserve">5.2.4 发包人要求向承包人提前交货的，承包人不得拒绝，但发包人应承担承包人由此增加的费用。 </w:t>
      </w:r>
    </w:p>
    <w:p w14:paraId="38B1AF0C">
      <w:pPr>
        <w:rPr>
          <w:rFonts w:ascii="Times New Roman" w:hAnsi="Times New Roman" w:eastAsia="宋体" w:cs="Times New Roman"/>
          <w:sz w:val="24"/>
        </w:rPr>
      </w:pPr>
      <w:r>
        <w:rPr>
          <w:rFonts w:hint="eastAsia" w:ascii="Times New Roman" w:hAnsi="Times New Roman" w:eastAsia="宋体" w:cs="Times New Roman"/>
          <w:sz w:val="24"/>
        </w:rPr>
        <w:t xml:space="preserve">5.2.5 承包人要求更改交货日期或地点的，应事先报请监理人批准。由于承包人要求更改交货时间或地点所增加的费用和（或）工期延误由承包人承担。 </w:t>
      </w:r>
    </w:p>
    <w:p w14:paraId="42BDAC8D">
      <w:pPr>
        <w:rPr>
          <w:rFonts w:ascii="Times New Roman" w:hAnsi="Times New Roman" w:eastAsia="宋体" w:cs="Times New Roman"/>
          <w:sz w:val="24"/>
        </w:rPr>
      </w:pPr>
      <w:r>
        <w:rPr>
          <w:rFonts w:hint="eastAsia" w:ascii="Times New Roman" w:hAnsi="Times New Roman" w:eastAsia="宋体" w:cs="Times New Roman"/>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C00B0DB">
      <w:pPr>
        <w:rPr>
          <w:rFonts w:ascii="Times New Roman" w:hAnsi="Times New Roman" w:eastAsia="宋体" w:cs="Times New Roman"/>
          <w:sz w:val="24"/>
        </w:rPr>
      </w:pPr>
      <w:bookmarkStart w:id="905" w:name="_Toc179632672"/>
      <w:bookmarkStart w:id="906" w:name="_Toc152042432"/>
      <w:bookmarkStart w:id="907" w:name="_Toc362252771"/>
      <w:bookmarkStart w:id="908" w:name="_Toc342296305"/>
      <w:bookmarkStart w:id="909" w:name="_Toc144974622"/>
      <w:bookmarkStart w:id="910" w:name="_Toc152045654"/>
      <w:bookmarkStart w:id="911" w:name="_Toc338944747"/>
      <w:r>
        <w:rPr>
          <w:rFonts w:hint="eastAsia" w:ascii="Times New Roman" w:hAnsi="Times New Roman" w:eastAsia="宋体" w:cs="Times New Roman"/>
          <w:sz w:val="24"/>
        </w:rPr>
        <w:t>5.3 材料和工程设备专用于合同工程</w:t>
      </w:r>
      <w:bookmarkEnd w:id="905"/>
      <w:bookmarkEnd w:id="906"/>
      <w:bookmarkEnd w:id="907"/>
      <w:bookmarkEnd w:id="908"/>
      <w:bookmarkEnd w:id="909"/>
      <w:bookmarkEnd w:id="910"/>
      <w:bookmarkEnd w:id="911"/>
    </w:p>
    <w:p w14:paraId="5AFCC10F">
      <w:pPr>
        <w:rPr>
          <w:rFonts w:ascii="Times New Roman" w:hAnsi="Times New Roman" w:eastAsia="宋体" w:cs="Times New Roman"/>
          <w:sz w:val="24"/>
        </w:rPr>
      </w:pPr>
      <w:r>
        <w:rPr>
          <w:rFonts w:hint="eastAsia" w:ascii="Times New Roman" w:hAnsi="Times New Roman" w:eastAsia="宋体" w:cs="Times New Roman"/>
          <w:sz w:val="24"/>
        </w:rPr>
        <w:t>5.3.1运入施工场地的材料、工程设备，包括备品备件、安装专用工器具与随机资料，必须专用于合同工程，未经监理人同意，承包人不得运出施工场地或挪作他用。</w:t>
      </w:r>
    </w:p>
    <w:p w14:paraId="02D9D323">
      <w:pPr>
        <w:rPr>
          <w:rFonts w:ascii="Times New Roman" w:hAnsi="Times New Roman" w:eastAsia="宋体" w:cs="Times New Roman"/>
          <w:sz w:val="24"/>
        </w:rPr>
      </w:pPr>
      <w:r>
        <w:rPr>
          <w:rFonts w:hint="eastAsia" w:ascii="Times New Roman" w:hAnsi="Times New Roman" w:eastAsia="宋体" w:cs="Times New Roman"/>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250741D">
      <w:pPr>
        <w:rPr>
          <w:rFonts w:ascii="Times New Roman" w:hAnsi="Times New Roman" w:eastAsia="宋体" w:cs="Times New Roman"/>
          <w:sz w:val="24"/>
        </w:rPr>
      </w:pPr>
      <w:bookmarkStart w:id="912" w:name="_Toc152042433"/>
      <w:bookmarkStart w:id="913" w:name="_Toc338944748"/>
      <w:bookmarkStart w:id="914" w:name="_Toc342296306"/>
      <w:bookmarkStart w:id="915" w:name="_Toc152045655"/>
      <w:bookmarkStart w:id="916" w:name="_Toc144974623"/>
      <w:bookmarkStart w:id="917" w:name="_Toc362252772"/>
      <w:bookmarkStart w:id="918" w:name="_Toc179632673"/>
      <w:r>
        <w:rPr>
          <w:rFonts w:hint="eastAsia" w:ascii="Times New Roman" w:hAnsi="Times New Roman" w:eastAsia="宋体" w:cs="Times New Roman"/>
          <w:sz w:val="24"/>
        </w:rPr>
        <w:t>5.4 禁止使用不合格的材料和工程设备</w:t>
      </w:r>
      <w:bookmarkEnd w:id="912"/>
      <w:bookmarkEnd w:id="913"/>
      <w:bookmarkEnd w:id="914"/>
      <w:bookmarkEnd w:id="915"/>
      <w:bookmarkEnd w:id="916"/>
      <w:bookmarkEnd w:id="917"/>
      <w:bookmarkEnd w:id="918"/>
    </w:p>
    <w:p w14:paraId="6F456375">
      <w:pPr>
        <w:rPr>
          <w:rFonts w:ascii="Times New Roman" w:hAnsi="Times New Roman" w:eastAsia="宋体" w:cs="Times New Roman"/>
          <w:sz w:val="24"/>
        </w:rPr>
      </w:pPr>
      <w:r>
        <w:rPr>
          <w:rFonts w:hint="eastAsia" w:ascii="Times New Roman" w:hAnsi="Times New Roman" w:eastAsia="宋体" w:cs="Times New Roman"/>
          <w:sz w:val="24"/>
        </w:rPr>
        <w:t>5.4.1 监理人有权拒绝承包人提供的不合格材料或工程设备，并要求承包人立即进行更换。监理人应在更换后再次进行检查和检验，由此增加的费用和（或）工期延误由承包人承担。</w:t>
      </w:r>
    </w:p>
    <w:p w14:paraId="123BE700">
      <w:pPr>
        <w:rPr>
          <w:rFonts w:ascii="Times New Roman" w:hAnsi="Times New Roman" w:eastAsia="宋体" w:cs="Times New Roman"/>
          <w:sz w:val="24"/>
        </w:rPr>
      </w:pPr>
      <w:r>
        <w:rPr>
          <w:rFonts w:hint="eastAsia" w:ascii="Times New Roman" w:hAnsi="Times New Roman" w:eastAsia="宋体" w:cs="Times New Roman"/>
          <w:sz w:val="24"/>
        </w:rPr>
        <w:t>5.4.2 监理人发现承包人使用了不合格的材料和工程设备，应即时发出指示要求承包人立即改正，并禁止在工程中继续使用不合格的材料和工程设备。</w:t>
      </w:r>
    </w:p>
    <w:p w14:paraId="06CE0170">
      <w:pPr>
        <w:rPr>
          <w:rFonts w:ascii="Times New Roman" w:hAnsi="Times New Roman" w:eastAsia="宋体" w:cs="Times New Roman"/>
          <w:sz w:val="24"/>
        </w:rPr>
      </w:pPr>
      <w:r>
        <w:rPr>
          <w:rFonts w:hint="eastAsia" w:ascii="Times New Roman" w:hAnsi="Times New Roman" w:eastAsia="宋体" w:cs="Times New Roman"/>
          <w:sz w:val="24"/>
        </w:rPr>
        <w:t>5.4.3 发包人提供的材料或工程设备不符合合同要求的，承包人有权拒绝，并可要求发包人更换，由此增加的费用和（或）工期延误由发包人承担。</w:t>
      </w:r>
    </w:p>
    <w:p w14:paraId="191A099C">
      <w:pPr>
        <w:rPr>
          <w:rFonts w:ascii="Times New Roman" w:hAnsi="Times New Roman" w:eastAsia="宋体" w:cs="Times New Roman"/>
          <w:sz w:val="24"/>
        </w:rPr>
      </w:pPr>
      <w:bookmarkStart w:id="919" w:name="_Toc338944749"/>
      <w:bookmarkStart w:id="920" w:name="_Toc342296307"/>
      <w:bookmarkStart w:id="921" w:name="_Toc362252773"/>
      <w:r>
        <w:rPr>
          <w:rFonts w:hint="eastAsia" w:ascii="Times New Roman" w:hAnsi="Times New Roman" w:eastAsia="宋体" w:cs="Times New Roman"/>
          <w:sz w:val="24"/>
        </w:rPr>
        <w:t>6. 施工设备和临时设施</w:t>
      </w:r>
      <w:bookmarkEnd w:id="919"/>
      <w:bookmarkEnd w:id="920"/>
      <w:bookmarkEnd w:id="921"/>
    </w:p>
    <w:p w14:paraId="30E93525">
      <w:pPr>
        <w:rPr>
          <w:rFonts w:ascii="Times New Roman" w:hAnsi="Times New Roman" w:eastAsia="宋体" w:cs="Times New Roman"/>
          <w:sz w:val="24"/>
        </w:rPr>
      </w:pPr>
      <w:bookmarkStart w:id="922" w:name="_Toc342296308"/>
      <w:bookmarkStart w:id="923" w:name="_Toc338944750"/>
      <w:bookmarkStart w:id="924" w:name="_Toc362252774"/>
      <w:r>
        <w:rPr>
          <w:rFonts w:hint="eastAsia" w:ascii="Times New Roman" w:hAnsi="Times New Roman" w:eastAsia="宋体" w:cs="Times New Roman"/>
          <w:sz w:val="24"/>
        </w:rPr>
        <w:t>6.1 承包人提供的施工设备和临时设施</w:t>
      </w:r>
      <w:bookmarkEnd w:id="922"/>
      <w:bookmarkEnd w:id="923"/>
      <w:bookmarkEnd w:id="924"/>
    </w:p>
    <w:p w14:paraId="70DF7440">
      <w:pPr>
        <w:rPr>
          <w:rFonts w:ascii="Times New Roman" w:hAnsi="Times New Roman" w:eastAsia="宋体" w:cs="Times New Roman"/>
          <w:sz w:val="24"/>
        </w:rPr>
      </w:pPr>
      <w:r>
        <w:rPr>
          <w:rFonts w:hint="eastAsia" w:ascii="Times New Roman" w:hAnsi="Times New Roman" w:eastAsia="宋体" w:cs="Times New Roman"/>
          <w:sz w:val="24"/>
        </w:rPr>
        <w:t>6.1.1 承包人应按合同进度计划的要求，及时配置施工设备和修建临时设施。进入施工场地的承包人设备需经监理人核查后才能投入使用。承包人更换合同约定的承包人设备的，应报监理人批准。</w:t>
      </w:r>
    </w:p>
    <w:p w14:paraId="7E648430">
      <w:pPr>
        <w:rPr>
          <w:rFonts w:ascii="Times New Roman" w:hAnsi="Times New Roman" w:eastAsia="宋体" w:cs="Times New Roman"/>
          <w:sz w:val="24"/>
        </w:rPr>
      </w:pPr>
      <w:r>
        <w:rPr>
          <w:rFonts w:hint="eastAsia" w:ascii="Times New Roman" w:hAnsi="Times New Roman" w:eastAsia="宋体" w:cs="Times New Roman"/>
          <w:sz w:val="24"/>
        </w:rPr>
        <w:t>6.1.2除专用合同条款另有约定外，承包人应自行承担修建临时设施的费用，需要临时占地的，应由发包人办理申请手续并承担相应费用。</w:t>
      </w:r>
    </w:p>
    <w:p w14:paraId="048C1540">
      <w:pPr>
        <w:rPr>
          <w:rFonts w:ascii="Times New Roman" w:hAnsi="Times New Roman" w:eastAsia="宋体" w:cs="Times New Roman"/>
          <w:sz w:val="24"/>
        </w:rPr>
      </w:pPr>
      <w:bookmarkStart w:id="925" w:name="_Toc338944751"/>
      <w:bookmarkStart w:id="926" w:name="_Toc342296309"/>
      <w:bookmarkStart w:id="927" w:name="_Toc362252775"/>
      <w:r>
        <w:rPr>
          <w:rFonts w:hint="eastAsia" w:ascii="Times New Roman" w:hAnsi="Times New Roman" w:eastAsia="宋体" w:cs="Times New Roman"/>
          <w:sz w:val="24"/>
        </w:rPr>
        <w:t>6.2 发包人提供的施工设备和临时设施</w:t>
      </w:r>
      <w:bookmarkEnd w:id="925"/>
      <w:bookmarkEnd w:id="926"/>
      <w:bookmarkEnd w:id="927"/>
    </w:p>
    <w:p w14:paraId="78BCC37D">
      <w:pPr>
        <w:rPr>
          <w:rFonts w:ascii="Times New Roman" w:hAnsi="Times New Roman" w:eastAsia="宋体" w:cs="Times New Roman"/>
          <w:sz w:val="24"/>
        </w:rPr>
      </w:pPr>
      <w:r>
        <w:rPr>
          <w:rFonts w:hint="eastAsia" w:ascii="Times New Roman" w:hAnsi="Times New Roman" w:eastAsia="宋体" w:cs="Times New Roman"/>
          <w:sz w:val="24"/>
        </w:rPr>
        <w:t>发包人提供的施工设备或临时设施在专用合同条款中约定。</w:t>
      </w:r>
    </w:p>
    <w:p w14:paraId="243C937F">
      <w:pPr>
        <w:rPr>
          <w:rFonts w:ascii="Times New Roman" w:hAnsi="Times New Roman" w:eastAsia="宋体" w:cs="Times New Roman"/>
          <w:sz w:val="24"/>
        </w:rPr>
      </w:pPr>
      <w:bookmarkStart w:id="928" w:name="_Toc362252776"/>
      <w:bookmarkStart w:id="929" w:name="_Toc152045659"/>
      <w:bookmarkStart w:id="930" w:name="_Toc338944752"/>
      <w:bookmarkStart w:id="931" w:name="_Toc179632677"/>
      <w:bookmarkStart w:id="932" w:name="_Toc144974627"/>
      <w:bookmarkStart w:id="933" w:name="_Toc342296310"/>
      <w:bookmarkStart w:id="934" w:name="_Toc152042437"/>
      <w:r>
        <w:rPr>
          <w:rFonts w:hint="eastAsia" w:ascii="Times New Roman" w:hAnsi="Times New Roman" w:eastAsia="宋体" w:cs="Times New Roman"/>
          <w:sz w:val="24"/>
        </w:rPr>
        <w:t>6.3 要求承包人增加或更换施工设备</w:t>
      </w:r>
      <w:bookmarkEnd w:id="928"/>
      <w:bookmarkEnd w:id="929"/>
      <w:bookmarkEnd w:id="930"/>
      <w:bookmarkEnd w:id="931"/>
      <w:bookmarkEnd w:id="932"/>
      <w:bookmarkEnd w:id="933"/>
      <w:bookmarkEnd w:id="934"/>
    </w:p>
    <w:p w14:paraId="484DFC1A">
      <w:pPr>
        <w:rPr>
          <w:rFonts w:ascii="Times New Roman" w:hAnsi="Times New Roman" w:eastAsia="宋体" w:cs="Times New Roman"/>
          <w:sz w:val="24"/>
        </w:rPr>
      </w:pPr>
      <w:r>
        <w:rPr>
          <w:rFonts w:hint="eastAsia" w:ascii="Times New Roman" w:hAnsi="Times New Roman" w:eastAsia="宋体" w:cs="Times New Roman"/>
          <w:sz w:val="24"/>
        </w:rPr>
        <w:t>承包人使用的施工设备不能满足合同进度计划和（或）质量要求时，监理人有权要求承包人增加或更换施工设备，承包人应及时增加或更换，由此增加的费用和（或）工期延误由承包人承担。</w:t>
      </w:r>
    </w:p>
    <w:p w14:paraId="33429E47">
      <w:pPr>
        <w:rPr>
          <w:rFonts w:ascii="Times New Roman" w:hAnsi="Times New Roman" w:eastAsia="宋体" w:cs="Times New Roman"/>
          <w:sz w:val="24"/>
        </w:rPr>
      </w:pPr>
      <w:bookmarkStart w:id="935" w:name="_Toc342296311"/>
      <w:bookmarkStart w:id="936" w:name="_Toc338944753"/>
      <w:bookmarkStart w:id="937" w:name="_Toc362252777"/>
      <w:r>
        <w:rPr>
          <w:rFonts w:hint="eastAsia" w:ascii="Times New Roman" w:hAnsi="Times New Roman" w:eastAsia="宋体" w:cs="Times New Roman"/>
          <w:sz w:val="24"/>
        </w:rPr>
        <w:t>6.4 施工设备和临时设施专用于合同工程</w:t>
      </w:r>
      <w:bookmarkEnd w:id="935"/>
      <w:bookmarkEnd w:id="936"/>
      <w:bookmarkEnd w:id="937"/>
    </w:p>
    <w:p w14:paraId="7A91A38B">
      <w:pPr>
        <w:rPr>
          <w:rFonts w:ascii="Times New Roman" w:hAnsi="Times New Roman" w:eastAsia="宋体" w:cs="Times New Roman"/>
          <w:sz w:val="24"/>
        </w:rPr>
      </w:pPr>
      <w:r>
        <w:rPr>
          <w:rFonts w:hint="eastAsia" w:ascii="Times New Roman" w:hAnsi="Times New Roman" w:eastAsia="宋体" w:cs="Times New Roman"/>
          <w:sz w:val="24"/>
        </w:rPr>
        <w:t>6.4.1除合同另有约定外，运入施工场地的所有施工设备以及在施工场地建设的临时设施应专用于合同工程。未经监理人同意，不得将上述施工设备和临时设施中的任何部分运出施工场地或挪作他用。</w:t>
      </w:r>
    </w:p>
    <w:p w14:paraId="7974553A">
      <w:pPr>
        <w:rPr>
          <w:rFonts w:ascii="Times New Roman" w:hAnsi="Times New Roman" w:eastAsia="宋体" w:cs="Times New Roman"/>
          <w:sz w:val="24"/>
        </w:rPr>
      </w:pPr>
      <w:r>
        <w:rPr>
          <w:rFonts w:hint="eastAsia" w:ascii="Times New Roman" w:hAnsi="Times New Roman" w:eastAsia="宋体" w:cs="Times New Roman"/>
          <w:sz w:val="24"/>
        </w:rPr>
        <w:t>6.4.2 经监理人同意，承包人可根据合同进度计划撤走闲置的施工设备。</w:t>
      </w:r>
    </w:p>
    <w:p w14:paraId="191EC366">
      <w:pPr>
        <w:rPr>
          <w:rFonts w:ascii="Times New Roman" w:hAnsi="Times New Roman" w:eastAsia="宋体" w:cs="Times New Roman"/>
          <w:sz w:val="24"/>
        </w:rPr>
      </w:pPr>
      <w:bookmarkStart w:id="938" w:name="_Toc338944754"/>
      <w:bookmarkStart w:id="939" w:name="_Toc362252778"/>
      <w:bookmarkStart w:id="940" w:name="_Toc342296312"/>
      <w:r>
        <w:rPr>
          <w:rFonts w:hint="eastAsia" w:ascii="Times New Roman" w:hAnsi="Times New Roman" w:eastAsia="宋体" w:cs="Times New Roman"/>
          <w:sz w:val="24"/>
        </w:rPr>
        <w:t>7. 交通运输</w:t>
      </w:r>
      <w:bookmarkEnd w:id="938"/>
      <w:bookmarkEnd w:id="939"/>
      <w:bookmarkEnd w:id="940"/>
    </w:p>
    <w:p w14:paraId="18F4E4FC">
      <w:pPr>
        <w:rPr>
          <w:rFonts w:ascii="Times New Roman" w:hAnsi="Times New Roman" w:eastAsia="宋体" w:cs="Times New Roman"/>
          <w:sz w:val="24"/>
        </w:rPr>
      </w:pPr>
      <w:bookmarkStart w:id="941" w:name="_Toc338944755"/>
      <w:bookmarkStart w:id="942" w:name="_Toc342296313"/>
      <w:bookmarkStart w:id="943" w:name="_Toc362252779"/>
      <w:r>
        <w:rPr>
          <w:rFonts w:hint="eastAsia" w:ascii="Times New Roman" w:hAnsi="Times New Roman" w:eastAsia="宋体" w:cs="Times New Roman"/>
          <w:sz w:val="24"/>
        </w:rPr>
        <w:t>7.1 道路通行权和场外设施</w:t>
      </w:r>
      <w:bookmarkEnd w:id="941"/>
      <w:bookmarkEnd w:id="942"/>
      <w:bookmarkEnd w:id="943"/>
    </w:p>
    <w:p w14:paraId="30BD32E2">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20C5FE">
      <w:pPr>
        <w:rPr>
          <w:rFonts w:ascii="Times New Roman" w:hAnsi="Times New Roman" w:eastAsia="宋体" w:cs="Times New Roman"/>
          <w:sz w:val="24"/>
        </w:rPr>
      </w:pPr>
      <w:bookmarkStart w:id="944" w:name="_Toc342296314"/>
      <w:bookmarkStart w:id="945" w:name="_Toc362252780"/>
      <w:bookmarkStart w:id="946" w:name="_Toc338944756"/>
      <w:r>
        <w:rPr>
          <w:rFonts w:hint="eastAsia" w:ascii="Times New Roman" w:hAnsi="Times New Roman" w:eastAsia="宋体" w:cs="Times New Roman"/>
          <w:sz w:val="24"/>
        </w:rPr>
        <w:t>7.2 场内施工道路</w:t>
      </w:r>
      <w:bookmarkEnd w:id="944"/>
      <w:bookmarkEnd w:id="945"/>
      <w:bookmarkEnd w:id="946"/>
    </w:p>
    <w:p w14:paraId="0FD26DE5">
      <w:pPr>
        <w:rPr>
          <w:rFonts w:ascii="Times New Roman" w:hAnsi="Times New Roman" w:eastAsia="宋体" w:cs="Times New Roman"/>
          <w:sz w:val="24"/>
        </w:rPr>
      </w:pPr>
      <w:r>
        <w:rPr>
          <w:rFonts w:hint="eastAsia" w:ascii="Times New Roman" w:hAnsi="Times New Roman" w:eastAsia="宋体" w:cs="Times New Roman"/>
          <w:sz w:val="24"/>
        </w:rPr>
        <w:t>7.2.1 除专用合同条款另有约定外，承包人应负责修建、维修、养护和管理施工所需的临时道路和交通设施，包括维修、养护和管理发包人提供的道路和交通设施，并承担相应费用。</w:t>
      </w:r>
    </w:p>
    <w:p w14:paraId="17F47787">
      <w:pPr>
        <w:rPr>
          <w:rFonts w:ascii="Times New Roman" w:hAnsi="Times New Roman" w:eastAsia="宋体" w:cs="Times New Roman"/>
          <w:sz w:val="24"/>
        </w:rPr>
      </w:pPr>
      <w:r>
        <w:rPr>
          <w:rFonts w:hint="eastAsia" w:ascii="Times New Roman" w:hAnsi="Times New Roman" w:eastAsia="宋体" w:cs="Times New Roman"/>
          <w:sz w:val="24"/>
        </w:rPr>
        <w:t>7.2.2 除专用合同条款另有约定外，承包人修建的临时道路和交通设施应免费提供发包人和监理人使用。</w:t>
      </w:r>
    </w:p>
    <w:p w14:paraId="3EB9F38A">
      <w:pPr>
        <w:rPr>
          <w:rFonts w:ascii="Times New Roman" w:hAnsi="Times New Roman" w:eastAsia="宋体" w:cs="Times New Roman"/>
          <w:sz w:val="24"/>
        </w:rPr>
      </w:pPr>
      <w:bookmarkStart w:id="947" w:name="_Toc152042442"/>
      <w:bookmarkStart w:id="948" w:name="_Toc179632682"/>
      <w:bookmarkStart w:id="949" w:name="_Toc342296315"/>
      <w:bookmarkStart w:id="950" w:name="_Toc338944757"/>
      <w:bookmarkStart w:id="951" w:name="_Toc362252781"/>
      <w:bookmarkStart w:id="952" w:name="_Toc144974632"/>
      <w:bookmarkStart w:id="953" w:name="_Toc152045664"/>
      <w:r>
        <w:rPr>
          <w:rFonts w:hint="eastAsia" w:ascii="Times New Roman" w:hAnsi="Times New Roman" w:eastAsia="宋体" w:cs="Times New Roman"/>
          <w:sz w:val="24"/>
        </w:rPr>
        <w:t>7.3 场外交通</w:t>
      </w:r>
      <w:bookmarkEnd w:id="947"/>
      <w:bookmarkEnd w:id="948"/>
      <w:bookmarkEnd w:id="949"/>
      <w:bookmarkEnd w:id="950"/>
      <w:bookmarkEnd w:id="951"/>
      <w:bookmarkEnd w:id="952"/>
      <w:bookmarkEnd w:id="953"/>
    </w:p>
    <w:p w14:paraId="1625579D">
      <w:pPr>
        <w:rPr>
          <w:rFonts w:ascii="Times New Roman" w:hAnsi="Times New Roman" w:eastAsia="宋体" w:cs="Times New Roman"/>
          <w:sz w:val="24"/>
        </w:rPr>
      </w:pPr>
      <w:r>
        <w:rPr>
          <w:rFonts w:hint="eastAsia" w:ascii="Times New Roman" w:hAnsi="Times New Roman" w:eastAsia="宋体" w:cs="Times New Roman"/>
          <w:sz w:val="24"/>
        </w:rPr>
        <w:t>7.3.1 承包人车辆外出行驶所需的场外公共道路的通行费、养路费和税款等由承包人承担。</w:t>
      </w:r>
    </w:p>
    <w:p w14:paraId="21625DAB">
      <w:pPr>
        <w:rPr>
          <w:rFonts w:ascii="Times New Roman" w:hAnsi="Times New Roman" w:eastAsia="宋体" w:cs="Times New Roman"/>
          <w:sz w:val="24"/>
        </w:rPr>
      </w:pPr>
      <w:r>
        <w:rPr>
          <w:rFonts w:hint="eastAsia" w:ascii="Times New Roman" w:hAnsi="Times New Roman" w:eastAsia="宋体" w:cs="Times New Roman"/>
          <w:sz w:val="24"/>
        </w:rPr>
        <w:t>7.3.2 承包人应遵守有关交通法规，严格按照道路和桥梁的限制荷重安全行驶，并服从交通管理部门的检查和监督。</w:t>
      </w:r>
    </w:p>
    <w:p w14:paraId="6DBB3245">
      <w:pPr>
        <w:rPr>
          <w:rFonts w:ascii="Times New Roman" w:hAnsi="Times New Roman" w:eastAsia="宋体" w:cs="Times New Roman"/>
          <w:sz w:val="24"/>
        </w:rPr>
      </w:pPr>
      <w:bookmarkStart w:id="954" w:name="_Toc362252782"/>
      <w:bookmarkStart w:id="955" w:name="_Toc342296316"/>
      <w:bookmarkStart w:id="956" w:name="_Toc338944758"/>
      <w:r>
        <w:rPr>
          <w:rFonts w:hint="eastAsia" w:ascii="Times New Roman" w:hAnsi="Times New Roman" w:eastAsia="宋体" w:cs="Times New Roman"/>
          <w:sz w:val="24"/>
        </w:rPr>
        <w:t>7.4 超大件和超重件的运输</w:t>
      </w:r>
      <w:bookmarkEnd w:id="954"/>
      <w:bookmarkEnd w:id="955"/>
      <w:bookmarkEnd w:id="956"/>
    </w:p>
    <w:p w14:paraId="3AB5A561">
      <w:pPr>
        <w:rPr>
          <w:rFonts w:ascii="Times New Roman" w:hAnsi="Times New Roman" w:eastAsia="宋体" w:cs="Times New Roman"/>
          <w:sz w:val="24"/>
        </w:rPr>
      </w:pPr>
      <w:r>
        <w:rPr>
          <w:rFonts w:hint="eastAsia" w:ascii="Times New Roman" w:hAnsi="Times New Roman" w:eastAsia="宋体" w:cs="Times New Roman"/>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59CFAE3">
      <w:pPr>
        <w:rPr>
          <w:rFonts w:ascii="Times New Roman" w:hAnsi="Times New Roman" w:eastAsia="宋体" w:cs="Times New Roman"/>
          <w:sz w:val="24"/>
        </w:rPr>
      </w:pPr>
      <w:bookmarkStart w:id="957" w:name="_Toc362252783"/>
      <w:bookmarkStart w:id="958" w:name="_Toc338944759"/>
      <w:bookmarkStart w:id="959" w:name="_Toc342296317"/>
      <w:r>
        <w:rPr>
          <w:rFonts w:hint="eastAsia" w:ascii="Times New Roman" w:hAnsi="Times New Roman" w:eastAsia="宋体" w:cs="Times New Roman"/>
          <w:sz w:val="24"/>
        </w:rPr>
        <w:t>7.5 道路和桥梁的损坏责任</w:t>
      </w:r>
      <w:bookmarkEnd w:id="957"/>
      <w:bookmarkEnd w:id="958"/>
      <w:bookmarkEnd w:id="959"/>
    </w:p>
    <w:p w14:paraId="76DFC0CF">
      <w:pPr>
        <w:rPr>
          <w:rFonts w:ascii="Times New Roman" w:hAnsi="Times New Roman" w:eastAsia="宋体" w:cs="Times New Roman"/>
          <w:sz w:val="24"/>
        </w:rPr>
      </w:pPr>
      <w:r>
        <w:rPr>
          <w:rFonts w:hint="eastAsia" w:ascii="Times New Roman" w:hAnsi="Times New Roman" w:eastAsia="宋体" w:cs="Times New Roman"/>
          <w:sz w:val="24"/>
        </w:rPr>
        <w:t>因承包人运输造成施工场地内外公共道路和桥梁损坏的，由承包人承担修复损坏的全部费用和可能引起的赔偿。</w:t>
      </w:r>
    </w:p>
    <w:p w14:paraId="556FEE03">
      <w:pPr>
        <w:rPr>
          <w:rFonts w:ascii="Times New Roman" w:hAnsi="Times New Roman" w:eastAsia="宋体" w:cs="Times New Roman"/>
          <w:sz w:val="24"/>
        </w:rPr>
      </w:pPr>
      <w:bookmarkStart w:id="960" w:name="_Toc342296318"/>
      <w:bookmarkStart w:id="961" w:name="_Toc179632685"/>
      <w:bookmarkStart w:id="962" w:name="_Toc362252784"/>
      <w:bookmarkStart w:id="963" w:name="_Toc144974635"/>
      <w:bookmarkStart w:id="964" w:name="_Toc338944760"/>
      <w:bookmarkStart w:id="965" w:name="_Toc152045667"/>
      <w:bookmarkStart w:id="966" w:name="_Toc152042445"/>
      <w:r>
        <w:rPr>
          <w:rFonts w:hint="eastAsia" w:ascii="Times New Roman" w:hAnsi="Times New Roman" w:eastAsia="宋体" w:cs="Times New Roman"/>
          <w:sz w:val="24"/>
        </w:rPr>
        <w:t>7.6 水路和航空运输</w:t>
      </w:r>
      <w:bookmarkEnd w:id="960"/>
      <w:bookmarkEnd w:id="961"/>
      <w:bookmarkEnd w:id="962"/>
      <w:bookmarkEnd w:id="963"/>
      <w:bookmarkEnd w:id="964"/>
      <w:bookmarkEnd w:id="965"/>
      <w:bookmarkEnd w:id="966"/>
    </w:p>
    <w:p w14:paraId="0B610B7C">
      <w:pPr>
        <w:rPr>
          <w:rFonts w:ascii="Times New Roman" w:hAnsi="Times New Roman" w:eastAsia="宋体" w:cs="Times New Roman"/>
          <w:sz w:val="24"/>
        </w:rPr>
      </w:pPr>
      <w:r>
        <w:rPr>
          <w:rFonts w:hint="eastAsia" w:ascii="Times New Roman" w:hAnsi="Times New Roman" w:eastAsia="宋体" w:cs="Times New Roman"/>
          <w:sz w:val="24"/>
        </w:rPr>
        <w:t xml:space="preserve">本条上述各款的内容适用于水路运输和航空运输，其中“道路”一词的涵义包括河道、航线、船闸、机场、码头、堤防以及水路或航空运输中其他相似结构物；“车辆”一词的涵义包括船舶和飞机等。 </w:t>
      </w:r>
    </w:p>
    <w:p w14:paraId="6285A993">
      <w:pPr>
        <w:rPr>
          <w:rFonts w:ascii="Times New Roman" w:hAnsi="Times New Roman" w:eastAsia="宋体" w:cs="Times New Roman"/>
          <w:sz w:val="24"/>
        </w:rPr>
      </w:pPr>
      <w:bookmarkStart w:id="967" w:name="_Toc342296319"/>
      <w:bookmarkStart w:id="968" w:name="_Toc362252785"/>
      <w:bookmarkStart w:id="969" w:name="_Toc338944761"/>
      <w:r>
        <w:rPr>
          <w:rFonts w:hint="eastAsia" w:ascii="Times New Roman" w:hAnsi="Times New Roman" w:eastAsia="宋体" w:cs="Times New Roman"/>
          <w:sz w:val="24"/>
        </w:rPr>
        <w:t>8. 测量放线</w:t>
      </w:r>
      <w:bookmarkEnd w:id="967"/>
      <w:bookmarkEnd w:id="968"/>
      <w:bookmarkEnd w:id="969"/>
    </w:p>
    <w:p w14:paraId="38E4F9B7">
      <w:pPr>
        <w:rPr>
          <w:rFonts w:ascii="Times New Roman" w:hAnsi="Times New Roman" w:eastAsia="宋体" w:cs="Times New Roman"/>
          <w:sz w:val="24"/>
        </w:rPr>
      </w:pPr>
      <w:bookmarkStart w:id="970" w:name="_Toc338944762"/>
      <w:bookmarkStart w:id="971" w:name="_Toc362252786"/>
      <w:bookmarkStart w:id="972" w:name="_Toc342296320"/>
      <w:r>
        <w:rPr>
          <w:rFonts w:hint="eastAsia" w:ascii="Times New Roman" w:hAnsi="Times New Roman" w:eastAsia="宋体" w:cs="Times New Roman"/>
          <w:sz w:val="24"/>
        </w:rPr>
        <w:t>8.1 施工控制网</w:t>
      </w:r>
      <w:bookmarkEnd w:id="970"/>
      <w:bookmarkEnd w:id="971"/>
      <w:bookmarkEnd w:id="972"/>
    </w:p>
    <w:p w14:paraId="6EDC7AE2">
      <w:pPr>
        <w:rPr>
          <w:rFonts w:ascii="Times New Roman" w:hAnsi="Times New Roman" w:eastAsia="宋体" w:cs="Times New Roman"/>
          <w:sz w:val="24"/>
        </w:rPr>
      </w:pPr>
      <w:r>
        <w:rPr>
          <w:rFonts w:hint="eastAsia" w:ascii="Times New Roman" w:hAnsi="Times New Roman" w:eastAsia="宋体" w:cs="Times New Roman"/>
          <w:sz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0515B56">
      <w:pPr>
        <w:rPr>
          <w:rFonts w:ascii="Times New Roman" w:hAnsi="Times New Roman" w:eastAsia="宋体" w:cs="Times New Roman"/>
          <w:sz w:val="24"/>
        </w:rPr>
      </w:pPr>
      <w:r>
        <w:rPr>
          <w:rFonts w:hint="eastAsia" w:ascii="Times New Roman" w:hAnsi="Times New Roman" w:eastAsia="宋体" w:cs="Times New Roman"/>
          <w:sz w:val="24"/>
        </w:rPr>
        <w:t>8.1.2承包人应负责管理施工控制网点。施工控制网点丢失或损坏的，承包人应及时修复。承包人应承担施工控制网点的管理与修复费用，并在工程竣工后将施工控制网点移交发包人。</w:t>
      </w:r>
    </w:p>
    <w:p w14:paraId="41C54942">
      <w:pPr>
        <w:rPr>
          <w:rFonts w:ascii="Times New Roman" w:hAnsi="Times New Roman" w:eastAsia="宋体" w:cs="Times New Roman"/>
          <w:sz w:val="24"/>
        </w:rPr>
      </w:pPr>
      <w:bookmarkStart w:id="973" w:name="_Toc362252787"/>
      <w:bookmarkStart w:id="974" w:name="_Toc152042448"/>
      <w:bookmarkStart w:id="975" w:name="_Toc338944763"/>
      <w:bookmarkStart w:id="976" w:name="_Toc179632688"/>
      <w:bookmarkStart w:id="977" w:name="_Toc152045670"/>
      <w:bookmarkStart w:id="978" w:name="_Toc342296321"/>
      <w:bookmarkStart w:id="979" w:name="_Toc144974638"/>
      <w:r>
        <w:rPr>
          <w:rFonts w:hint="eastAsia" w:ascii="Times New Roman" w:hAnsi="Times New Roman" w:eastAsia="宋体" w:cs="Times New Roman"/>
          <w:sz w:val="24"/>
        </w:rPr>
        <w:t>8.2 施工测量</w:t>
      </w:r>
      <w:bookmarkEnd w:id="973"/>
      <w:bookmarkEnd w:id="974"/>
      <w:bookmarkEnd w:id="975"/>
      <w:bookmarkEnd w:id="976"/>
      <w:bookmarkEnd w:id="977"/>
      <w:bookmarkEnd w:id="978"/>
      <w:bookmarkEnd w:id="979"/>
    </w:p>
    <w:p w14:paraId="2420281F">
      <w:pPr>
        <w:rPr>
          <w:rFonts w:ascii="Times New Roman" w:hAnsi="Times New Roman" w:eastAsia="宋体" w:cs="Times New Roman"/>
          <w:sz w:val="24"/>
        </w:rPr>
      </w:pPr>
      <w:r>
        <w:rPr>
          <w:rFonts w:hint="eastAsia" w:ascii="Times New Roman" w:hAnsi="Times New Roman" w:eastAsia="宋体" w:cs="Times New Roman"/>
          <w:sz w:val="24"/>
        </w:rPr>
        <w:t>8.2.1承包人应负责施工过程中的全部施工测量放线工作，并配置合格的人员、仪器、设备和其他物品。</w:t>
      </w:r>
    </w:p>
    <w:p w14:paraId="165ADAD5">
      <w:pPr>
        <w:rPr>
          <w:rFonts w:ascii="Times New Roman" w:hAnsi="Times New Roman" w:eastAsia="宋体" w:cs="Times New Roman"/>
          <w:sz w:val="24"/>
        </w:rPr>
      </w:pPr>
      <w:r>
        <w:rPr>
          <w:rFonts w:hint="eastAsia" w:ascii="Times New Roman" w:hAnsi="Times New Roman" w:eastAsia="宋体" w:cs="Times New Roman"/>
          <w:sz w:val="24"/>
        </w:rPr>
        <w:t>8.2.2监理人可以指示承包人进行抽样复测，当复测中发现错误或出现超过合同约定的误差时，承包人应按监理人指示进行修正或补测，并承担相应的复测费用。</w:t>
      </w:r>
    </w:p>
    <w:p w14:paraId="226F5025">
      <w:pPr>
        <w:rPr>
          <w:rFonts w:ascii="Times New Roman" w:hAnsi="Times New Roman" w:eastAsia="宋体" w:cs="Times New Roman"/>
          <w:sz w:val="24"/>
        </w:rPr>
      </w:pPr>
      <w:bookmarkStart w:id="980" w:name="_Toc362252788"/>
      <w:bookmarkStart w:id="981" w:name="_Toc179632689"/>
      <w:bookmarkStart w:id="982" w:name="_Toc152042449"/>
      <w:bookmarkStart w:id="983" w:name="_Toc144974639"/>
      <w:bookmarkStart w:id="984" w:name="_Toc152045671"/>
      <w:bookmarkStart w:id="985" w:name="_Toc342296322"/>
      <w:bookmarkStart w:id="986" w:name="_Toc338944764"/>
      <w:r>
        <w:rPr>
          <w:rFonts w:hint="eastAsia" w:ascii="Times New Roman" w:hAnsi="Times New Roman" w:eastAsia="宋体" w:cs="Times New Roman"/>
          <w:sz w:val="24"/>
        </w:rPr>
        <w:t>8.3 基准资料错误的责任</w:t>
      </w:r>
      <w:bookmarkEnd w:id="980"/>
      <w:bookmarkEnd w:id="981"/>
      <w:bookmarkEnd w:id="982"/>
      <w:bookmarkEnd w:id="983"/>
      <w:bookmarkEnd w:id="984"/>
      <w:bookmarkEnd w:id="985"/>
      <w:bookmarkEnd w:id="986"/>
    </w:p>
    <w:p w14:paraId="7FD04510">
      <w:pPr>
        <w:rPr>
          <w:rFonts w:ascii="Times New Roman" w:hAnsi="Times New Roman" w:eastAsia="宋体" w:cs="Times New Roman"/>
          <w:sz w:val="24"/>
        </w:rPr>
      </w:pPr>
      <w:r>
        <w:rPr>
          <w:rFonts w:hint="eastAsia" w:ascii="Times New Roman" w:hAnsi="Times New Roman" w:eastAsia="宋体" w:cs="Times New Roman"/>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F275433">
      <w:pPr>
        <w:rPr>
          <w:rFonts w:ascii="Times New Roman" w:hAnsi="Times New Roman" w:eastAsia="宋体" w:cs="Times New Roman"/>
          <w:sz w:val="24"/>
        </w:rPr>
      </w:pPr>
      <w:bookmarkStart w:id="987" w:name="_Toc144974640"/>
      <w:bookmarkStart w:id="988" w:name="_Toc338944765"/>
      <w:bookmarkStart w:id="989" w:name="_Toc179632690"/>
      <w:bookmarkStart w:id="990" w:name="_Toc152045672"/>
      <w:bookmarkStart w:id="991" w:name="_Toc362252789"/>
      <w:bookmarkStart w:id="992" w:name="_Toc342296323"/>
      <w:bookmarkStart w:id="993" w:name="_Toc152042450"/>
      <w:r>
        <w:rPr>
          <w:rFonts w:hint="eastAsia" w:ascii="Times New Roman" w:hAnsi="Times New Roman" w:eastAsia="宋体" w:cs="Times New Roman"/>
          <w:sz w:val="24"/>
        </w:rPr>
        <w:t>8.4 监理人使用施工控制网</w:t>
      </w:r>
      <w:bookmarkEnd w:id="987"/>
      <w:bookmarkEnd w:id="988"/>
      <w:bookmarkEnd w:id="989"/>
      <w:bookmarkEnd w:id="990"/>
      <w:bookmarkEnd w:id="991"/>
      <w:bookmarkEnd w:id="992"/>
      <w:bookmarkEnd w:id="993"/>
    </w:p>
    <w:p w14:paraId="11A112F2">
      <w:pPr>
        <w:rPr>
          <w:rFonts w:ascii="Times New Roman" w:hAnsi="Times New Roman" w:eastAsia="宋体" w:cs="Times New Roman"/>
          <w:dstrike/>
          <w:sz w:val="24"/>
        </w:rPr>
      </w:pPr>
      <w:r>
        <w:rPr>
          <w:rFonts w:hint="eastAsia" w:ascii="Times New Roman" w:hAnsi="Times New Roman" w:eastAsia="宋体" w:cs="Times New Roman"/>
          <w:sz w:val="24"/>
        </w:rPr>
        <w:t>监理人需要使用施工控制网的，承包人应提供必要的协助，发包人不再为此支付费用。</w:t>
      </w:r>
    </w:p>
    <w:p w14:paraId="4FAD0726">
      <w:pPr>
        <w:rPr>
          <w:rFonts w:ascii="Times New Roman" w:hAnsi="Times New Roman" w:eastAsia="宋体" w:cs="Times New Roman"/>
          <w:sz w:val="24"/>
        </w:rPr>
      </w:pPr>
      <w:bookmarkStart w:id="994" w:name="_Toc362252790"/>
      <w:bookmarkStart w:id="995" w:name="_Toc342296324"/>
      <w:bookmarkStart w:id="996" w:name="_Toc338944766"/>
      <w:r>
        <w:rPr>
          <w:rFonts w:hint="eastAsia" w:ascii="Times New Roman" w:hAnsi="Times New Roman" w:eastAsia="宋体" w:cs="Times New Roman"/>
          <w:sz w:val="24"/>
        </w:rPr>
        <w:t>9. 施工安全、治安保卫和环境保护</w:t>
      </w:r>
      <w:bookmarkEnd w:id="994"/>
      <w:bookmarkEnd w:id="995"/>
      <w:bookmarkEnd w:id="996"/>
    </w:p>
    <w:p w14:paraId="5EB9C3C4">
      <w:pPr>
        <w:rPr>
          <w:rFonts w:ascii="Times New Roman" w:hAnsi="Times New Roman" w:eastAsia="宋体" w:cs="Times New Roman"/>
          <w:sz w:val="24"/>
        </w:rPr>
      </w:pPr>
      <w:bookmarkStart w:id="997" w:name="_Toc342296325"/>
      <w:bookmarkStart w:id="998" w:name="_Toc152042452"/>
      <w:bookmarkStart w:id="999" w:name="_Toc152045674"/>
      <w:bookmarkStart w:id="1000" w:name="_Toc144974642"/>
      <w:bookmarkStart w:id="1001" w:name="_Toc179632692"/>
      <w:bookmarkStart w:id="1002" w:name="_Toc338944767"/>
      <w:bookmarkStart w:id="1003" w:name="_Toc362252791"/>
      <w:r>
        <w:rPr>
          <w:rFonts w:hint="eastAsia" w:ascii="Times New Roman" w:hAnsi="Times New Roman" w:eastAsia="宋体" w:cs="Times New Roman"/>
          <w:sz w:val="24"/>
        </w:rPr>
        <w:t>9.1 发包人的施工安全责任</w:t>
      </w:r>
      <w:bookmarkEnd w:id="997"/>
      <w:bookmarkEnd w:id="998"/>
      <w:bookmarkEnd w:id="999"/>
      <w:bookmarkEnd w:id="1000"/>
      <w:bookmarkEnd w:id="1001"/>
      <w:bookmarkEnd w:id="1002"/>
      <w:bookmarkEnd w:id="1003"/>
    </w:p>
    <w:p w14:paraId="238ACF0F">
      <w:pPr>
        <w:rPr>
          <w:rFonts w:ascii="Times New Roman" w:hAnsi="Times New Roman" w:eastAsia="宋体" w:cs="Times New Roman"/>
          <w:sz w:val="24"/>
        </w:rPr>
      </w:pPr>
      <w:r>
        <w:rPr>
          <w:rFonts w:hint="eastAsia" w:ascii="Times New Roman" w:hAnsi="Times New Roman" w:eastAsia="宋体" w:cs="Times New Roman"/>
          <w:sz w:val="24"/>
        </w:rPr>
        <w:t>9.1.1 发包人应按合同约定履行安全职责，授权监理人按合同约定的安全工作内容监督、检查承包人安全工作的实施，组织承包人和有关单位进行安全检查。</w:t>
      </w:r>
    </w:p>
    <w:p w14:paraId="755A993A">
      <w:pPr>
        <w:rPr>
          <w:rFonts w:ascii="Times New Roman" w:hAnsi="Times New Roman" w:eastAsia="宋体" w:cs="Times New Roman"/>
          <w:sz w:val="24"/>
        </w:rPr>
      </w:pPr>
      <w:r>
        <w:rPr>
          <w:rFonts w:hint="eastAsia" w:ascii="Times New Roman" w:hAnsi="Times New Roman" w:eastAsia="宋体" w:cs="Times New Roman"/>
          <w:sz w:val="24"/>
        </w:rPr>
        <w:t>9.1.2 发包人应对其现场机构雇佣的全部人员的工伤事故承担责任，但由于承包人原因造成发包人人员工伤的，应由承包人承担责任。</w:t>
      </w:r>
    </w:p>
    <w:p w14:paraId="24FBE1C9">
      <w:pPr>
        <w:rPr>
          <w:rFonts w:ascii="Times New Roman" w:hAnsi="Times New Roman" w:eastAsia="宋体" w:cs="Times New Roman"/>
          <w:sz w:val="24"/>
        </w:rPr>
      </w:pPr>
      <w:r>
        <w:rPr>
          <w:rFonts w:hint="eastAsia" w:ascii="Times New Roman" w:hAnsi="Times New Roman" w:eastAsia="宋体" w:cs="Times New Roman"/>
          <w:sz w:val="24"/>
        </w:rPr>
        <w:t>9.1.3 发包人应负责赔偿以下各种情况造成的第三者人身伤亡和财产损失：</w:t>
      </w:r>
    </w:p>
    <w:p w14:paraId="478DCACE">
      <w:pPr>
        <w:rPr>
          <w:rFonts w:ascii="Times New Roman" w:hAnsi="Times New Roman" w:eastAsia="宋体" w:cs="Times New Roman"/>
          <w:sz w:val="24"/>
        </w:rPr>
      </w:pPr>
      <w:r>
        <w:rPr>
          <w:rFonts w:hint="eastAsia" w:ascii="Times New Roman" w:hAnsi="Times New Roman" w:eastAsia="宋体" w:cs="Times New Roman"/>
          <w:sz w:val="24"/>
        </w:rPr>
        <w:t>（1） 工程或工程的任何部分对土地的占用所造成的第三者财产损失；</w:t>
      </w:r>
    </w:p>
    <w:p w14:paraId="795C4BFE">
      <w:pPr>
        <w:rPr>
          <w:rFonts w:ascii="Times New Roman" w:hAnsi="Times New Roman" w:eastAsia="宋体" w:cs="Times New Roman"/>
          <w:sz w:val="24"/>
        </w:rPr>
      </w:pPr>
      <w:r>
        <w:rPr>
          <w:rFonts w:hint="eastAsia" w:ascii="Times New Roman" w:hAnsi="Times New Roman" w:eastAsia="宋体" w:cs="Times New Roman"/>
          <w:sz w:val="24"/>
        </w:rPr>
        <w:t>（2） 由于发包人原因在施工场地及其毗邻地带造成的第三者人身伤亡和财产损失。</w:t>
      </w:r>
    </w:p>
    <w:p w14:paraId="0535EBDD">
      <w:pPr>
        <w:rPr>
          <w:rFonts w:ascii="Times New Roman" w:hAnsi="Times New Roman" w:eastAsia="宋体" w:cs="Times New Roman"/>
          <w:sz w:val="24"/>
        </w:rPr>
      </w:pPr>
      <w:bookmarkStart w:id="1004" w:name="_Toc362252792"/>
      <w:bookmarkStart w:id="1005" w:name="_Toc342296326"/>
      <w:bookmarkStart w:id="1006" w:name="_Toc338944768"/>
      <w:r>
        <w:rPr>
          <w:rFonts w:hint="eastAsia" w:ascii="Times New Roman" w:hAnsi="Times New Roman" w:eastAsia="宋体" w:cs="Times New Roman"/>
          <w:sz w:val="24"/>
        </w:rPr>
        <w:t>9.2 承包人的施工安全责任</w:t>
      </w:r>
      <w:bookmarkEnd w:id="1004"/>
      <w:bookmarkEnd w:id="1005"/>
      <w:bookmarkEnd w:id="1006"/>
    </w:p>
    <w:p w14:paraId="4B1F22DC">
      <w:pPr>
        <w:rPr>
          <w:rFonts w:ascii="Times New Roman" w:hAnsi="Times New Roman" w:eastAsia="宋体" w:cs="Times New Roman"/>
          <w:sz w:val="24"/>
        </w:rPr>
      </w:pPr>
      <w:r>
        <w:rPr>
          <w:rFonts w:hint="eastAsia" w:ascii="Times New Roman" w:hAnsi="Times New Roman" w:eastAsia="宋体" w:cs="Times New Roman"/>
          <w:sz w:val="24"/>
        </w:rPr>
        <w:t>9.2.1 承包人应按合同约定履行安全职责,执行监理人有关安全工作的指示,并在专用合同条款约定的期限内，按合同约定的安全工作内容，编制施工安全措施计划报送监理人审批。</w:t>
      </w:r>
    </w:p>
    <w:p w14:paraId="0FA4D7F1">
      <w:pPr>
        <w:rPr>
          <w:rFonts w:ascii="Times New Roman" w:hAnsi="Times New Roman" w:eastAsia="宋体" w:cs="Times New Roman"/>
          <w:sz w:val="24"/>
        </w:rPr>
      </w:pPr>
      <w:r>
        <w:rPr>
          <w:rFonts w:hint="eastAsia" w:ascii="Times New Roman" w:hAnsi="Times New Roman" w:eastAsia="宋体" w:cs="Times New Roman"/>
          <w:sz w:val="24"/>
        </w:rPr>
        <w:t>9.2.2 承包人应加强施工作业安全管理，特别应加强易燃、易爆材料、火工器材、有毒与腐蚀性材料和其他危险品的管理，以及对爆破作业和地下工程施工等危险作业的管理。</w:t>
      </w:r>
    </w:p>
    <w:p w14:paraId="5A567B1E">
      <w:pPr>
        <w:rPr>
          <w:rFonts w:ascii="Times New Roman" w:hAnsi="Times New Roman" w:eastAsia="宋体" w:cs="Times New Roman"/>
          <w:sz w:val="24"/>
        </w:rPr>
      </w:pPr>
      <w:r>
        <w:rPr>
          <w:rFonts w:hint="eastAsia" w:ascii="Times New Roman" w:hAnsi="Times New Roman" w:eastAsia="宋体" w:cs="Times New Roman"/>
          <w:sz w:val="24"/>
        </w:rPr>
        <w:t>9.2.3 承包人应严格按照国家安全标准制定施工安全操作规程，配备必要的安全生产和劳动保护设施，加强对承包人人员的安全教育，并发放安全工作手册和劳动保护用具。</w:t>
      </w:r>
    </w:p>
    <w:p w14:paraId="7803637F">
      <w:pPr>
        <w:rPr>
          <w:rFonts w:ascii="Times New Roman" w:hAnsi="Times New Roman" w:eastAsia="宋体" w:cs="Times New Roman"/>
          <w:sz w:val="24"/>
        </w:rPr>
      </w:pPr>
      <w:r>
        <w:rPr>
          <w:rFonts w:hint="eastAsia" w:ascii="Times New Roman" w:hAnsi="Times New Roman" w:eastAsia="宋体" w:cs="Times New Roman"/>
          <w:sz w:val="24"/>
        </w:rPr>
        <w:t>9.2.4 承包人应按监理人的指示制定应对灾害的紧急预案，报送监理人审批。承包人还应按预案做好安全检查，配置必要的救助物资和器材，切实保护好有关人员的人身和财产安全。</w:t>
      </w:r>
    </w:p>
    <w:p w14:paraId="3B60771F">
      <w:pPr>
        <w:rPr>
          <w:rFonts w:ascii="Times New Roman" w:hAnsi="Times New Roman" w:eastAsia="宋体" w:cs="Times New Roman"/>
          <w:sz w:val="24"/>
        </w:rPr>
      </w:pPr>
      <w:r>
        <w:rPr>
          <w:rFonts w:hint="eastAsia" w:ascii="Times New Roman" w:hAnsi="Times New Roman" w:eastAsia="宋体" w:cs="Times New Roman"/>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3C934689">
      <w:pPr>
        <w:rPr>
          <w:rFonts w:ascii="Times New Roman" w:hAnsi="Times New Roman" w:eastAsia="宋体" w:cs="Times New Roman"/>
          <w:sz w:val="24"/>
        </w:rPr>
      </w:pPr>
      <w:r>
        <w:rPr>
          <w:rFonts w:hint="eastAsia" w:ascii="Times New Roman" w:hAnsi="Times New Roman" w:eastAsia="宋体" w:cs="Times New Roman"/>
          <w:sz w:val="24"/>
        </w:rPr>
        <w:t>9.2.6 承包人应对其履行合同所雇佣的全部人员，包括分包人人员的工伤事故承担责任，但由于发包人原因造成承包人人员工伤事故的，应由发包人承担责任。</w:t>
      </w:r>
    </w:p>
    <w:p w14:paraId="51DDD7B2">
      <w:pPr>
        <w:rPr>
          <w:rFonts w:ascii="Times New Roman" w:hAnsi="Times New Roman" w:eastAsia="宋体" w:cs="Times New Roman"/>
          <w:sz w:val="24"/>
        </w:rPr>
      </w:pPr>
      <w:r>
        <w:rPr>
          <w:rFonts w:hint="eastAsia" w:ascii="Times New Roman" w:hAnsi="Times New Roman" w:eastAsia="宋体" w:cs="Times New Roman"/>
          <w:sz w:val="24"/>
        </w:rPr>
        <w:t>9.2.7 由于承包人原因在施工场地内及其毗邻地带造成的第三者人员伤亡和财产损失，由承包人负责赔偿。</w:t>
      </w:r>
    </w:p>
    <w:p w14:paraId="73644E04">
      <w:pPr>
        <w:rPr>
          <w:rFonts w:ascii="Times New Roman" w:hAnsi="Times New Roman" w:eastAsia="宋体" w:cs="Times New Roman"/>
          <w:sz w:val="24"/>
        </w:rPr>
      </w:pPr>
      <w:bookmarkStart w:id="1007" w:name="_Toc362252793"/>
      <w:bookmarkStart w:id="1008" w:name="_Toc342296327"/>
      <w:bookmarkStart w:id="1009" w:name="_Toc338944769"/>
      <w:r>
        <w:rPr>
          <w:rFonts w:hint="eastAsia" w:ascii="Times New Roman" w:hAnsi="Times New Roman" w:eastAsia="宋体" w:cs="Times New Roman"/>
          <w:sz w:val="24"/>
        </w:rPr>
        <w:t>9.3 治安保卫</w:t>
      </w:r>
      <w:bookmarkEnd w:id="1007"/>
      <w:bookmarkEnd w:id="1008"/>
      <w:bookmarkEnd w:id="1009"/>
    </w:p>
    <w:p w14:paraId="424940E0">
      <w:pPr>
        <w:rPr>
          <w:rFonts w:ascii="Times New Roman" w:hAnsi="Times New Roman" w:eastAsia="宋体" w:cs="Times New Roman"/>
          <w:sz w:val="24"/>
        </w:rPr>
      </w:pPr>
      <w:r>
        <w:rPr>
          <w:rFonts w:hint="eastAsia" w:ascii="Times New Roman" w:hAnsi="Times New Roman" w:eastAsia="宋体" w:cs="Times New Roman"/>
          <w:sz w:val="24"/>
        </w:rPr>
        <w:t>9.3.1 除合同另有约定外，发包人应与当地公安部门协商，在现场建立治安管理机构或联防组织，统一管理施工场地的治安保卫事项，履行合同工程的治安保卫职责。</w:t>
      </w:r>
    </w:p>
    <w:p w14:paraId="1F5BA949">
      <w:pPr>
        <w:rPr>
          <w:rFonts w:ascii="Times New Roman" w:hAnsi="Times New Roman" w:eastAsia="宋体" w:cs="Times New Roman"/>
          <w:sz w:val="24"/>
        </w:rPr>
      </w:pPr>
      <w:r>
        <w:rPr>
          <w:rFonts w:hint="eastAsia" w:ascii="Times New Roman" w:hAnsi="Times New Roman" w:eastAsia="宋体" w:cs="Times New Roman"/>
          <w:sz w:val="24"/>
        </w:rPr>
        <w:t>9.3.2 发包人和承包人除应协助现场治安管理机构或联防组织维护施工场地的社会治安外，还应做好包括生活区在内的各自管辖区的治安保卫工作。</w:t>
      </w:r>
    </w:p>
    <w:p w14:paraId="3559F1E2">
      <w:pPr>
        <w:rPr>
          <w:rFonts w:ascii="Times New Roman" w:hAnsi="Times New Roman" w:eastAsia="宋体" w:cs="Times New Roman"/>
          <w:sz w:val="24"/>
        </w:rPr>
      </w:pPr>
      <w:r>
        <w:rPr>
          <w:rFonts w:hint="eastAsia" w:ascii="Times New Roman" w:hAnsi="Times New Roman" w:eastAsia="宋体" w:cs="Times New Roman"/>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8E7F5ED">
      <w:pPr>
        <w:rPr>
          <w:rFonts w:ascii="Times New Roman" w:hAnsi="Times New Roman" w:eastAsia="宋体" w:cs="Times New Roman"/>
          <w:sz w:val="24"/>
        </w:rPr>
      </w:pPr>
      <w:bookmarkStart w:id="1010" w:name="_Toc342296328"/>
      <w:bookmarkStart w:id="1011" w:name="_Toc362252794"/>
      <w:bookmarkStart w:id="1012" w:name="_Toc338944770"/>
      <w:r>
        <w:rPr>
          <w:rFonts w:hint="eastAsia" w:ascii="Times New Roman" w:hAnsi="Times New Roman" w:eastAsia="宋体" w:cs="Times New Roman"/>
          <w:sz w:val="24"/>
        </w:rPr>
        <w:t>9.4 环境保护</w:t>
      </w:r>
      <w:bookmarkEnd w:id="1010"/>
      <w:bookmarkEnd w:id="1011"/>
      <w:bookmarkEnd w:id="1012"/>
    </w:p>
    <w:p w14:paraId="0689C89E">
      <w:pPr>
        <w:rPr>
          <w:rFonts w:ascii="Times New Roman" w:hAnsi="Times New Roman" w:eastAsia="宋体" w:cs="Times New Roman"/>
          <w:sz w:val="24"/>
        </w:rPr>
      </w:pPr>
      <w:r>
        <w:rPr>
          <w:rFonts w:hint="eastAsia" w:ascii="Times New Roman" w:hAnsi="Times New Roman" w:eastAsia="宋体" w:cs="Times New Roman"/>
          <w:sz w:val="24"/>
        </w:rPr>
        <w:t>9.4.1 承包人在施工过程中，应遵守有关环境保护的法律，履行合同约定的环境保护义务，并对违反法律和合同约定义务所造成的环境破坏、人身伤害和财产损失负责。</w:t>
      </w:r>
    </w:p>
    <w:p w14:paraId="7A250B82">
      <w:pPr>
        <w:rPr>
          <w:rFonts w:ascii="Times New Roman" w:hAnsi="Times New Roman" w:eastAsia="宋体" w:cs="Times New Roman"/>
          <w:sz w:val="24"/>
        </w:rPr>
      </w:pPr>
      <w:r>
        <w:rPr>
          <w:rFonts w:hint="eastAsia" w:ascii="Times New Roman" w:hAnsi="Times New Roman" w:eastAsia="宋体" w:cs="Times New Roman"/>
          <w:sz w:val="24"/>
        </w:rPr>
        <w:t>9.4.2 承包人应按合同约定的环保工作内容，编制施工环保措施计划，报送监理人审批。</w:t>
      </w:r>
    </w:p>
    <w:p w14:paraId="1997D5CD">
      <w:pPr>
        <w:rPr>
          <w:rFonts w:ascii="Times New Roman" w:hAnsi="Times New Roman" w:eastAsia="宋体" w:cs="Times New Roman"/>
          <w:sz w:val="24"/>
        </w:rPr>
      </w:pPr>
      <w:r>
        <w:rPr>
          <w:rFonts w:hint="eastAsia" w:ascii="Times New Roman" w:hAnsi="Times New Roman" w:eastAsia="宋体" w:cs="Times New Roman"/>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86633B9">
      <w:pPr>
        <w:rPr>
          <w:rFonts w:ascii="Times New Roman" w:hAnsi="Times New Roman" w:eastAsia="宋体" w:cs="Times New Roman"/>
          <w:sz w:val="24"/>
        </w:rPr>
      </w:pPr>
      <w:r>
        <w:rPr>
          <w:rFonts w:hint="eastAsia" w:ascii="Times New Roman" w:hAnsi="Times New Roman" w:eastAsia="宋体" w:cs="Times New Roman"/>
          <w:sz w:val="24"/>
        </w:rPr>
        <w:t>9.4.4 承包人应按合同约定采取有效措施，对施工开挖的边坡及时进行支护,维护排水设施，并进行水土保护，避免因施工造成的地质灾害。</w:t>
      </w:r>
    </w:p>
    <w:p w14:paraId="7D05A7FE">
      <w:pPr>
        <w:rPr>
          <w:rFonts w:ascii="Times New Roman" w:hAnsi="Times New Roman" w:eastAsia="宋体" w:cs="Times New Roman"/>
          <w:sz w:val="24"/>
        </w:rPr>
      </w:pPr>
      <w:r>
        <w:rPr>
          <w:rFonts w:hint="eastAsia" w:ascii="Times New Roman" w:hAnsi="Times New Roman" w:eastAsia="宋体" w:cs="Times New Roman"/>
          <w:sz w:val="24"/>
        </w:rPr>
        <w:t>9.4.5 承包人应按国家饮用水管理标准定期对饮用水源进行监测，防止施工活动污染饮用水源。</w:t>
      </w:r>
    </w:p>
    <w:p w14:paraId="36A54554">
      <w:pPr>
        <w:rPr>
          <w:rFonts w:ascii="Times New Roman" w:hAnsi="Times New Roman" w:eastAsia="宋体" w:cs="Times New Roman"/>
          <w:sz w:val="24"/>
        </w:rPr>
      </w:pPr>
      <w:r>
        <w:rPr>
          <w:rFonts w:hint="eastAsia" w:ascii="Times New Roman" w:hAnsi="Times New Roman" w:eastAsia="宋体" w:cs="Times New Roman"/>
          <w:sz w:val="24"/>
        </w:rPr>
        <w:t>9.4.6 承包人应按合同约定，加强对噪声、粉尘、废气、废水和废油的控制，努力降低噪声，控制粉尘和废气浓度，做好废水和废油的治理和排放。</w:t>
      </w:r>
    </w:p>
    <w:p w14:paraId="1BE6E3CD">
      <w:pPr>
        <w:rPr>
          <w:rFonts w:ascii="Times New Roman" w:hAnsi="Times New Roman" w:eastAsia="宋体" w:cs="Times New Roman"/>
          <w:sz w:val="24"/>
        </w:rPr>
      </w:pPr>
      <w:bookmarkStart w:id="1013" w:name="_Toc179632696"/>
      <w:bookmarkStart w:id="1014" w:name="_Toc338944771"/>
      <w:bookmarkStart w:id="1015" w:name="_Toc144974646"/>
      <w:bookmarkStart w:id="1016" w:name="_Toc342296329"/>
      <w:bookmarkStart w:id="1017" w:name="_Toc152042456"/>
      <w:bookmarkStart w:id="1018" w:name="_Toc362252795"/>
      <w:bookmarkStart w:id="1019" w:name="_Toc152045678"/>
      <w:r>
        <w:rPr>
          <w:rFonts w:hint="eastAsia" w:ascii="Times New Roman" w:hAnsi="Times New Roman" w:eastAsia="宋体" w:cs="Times New Roman"/>
          <w:sz w:val="24"/>
        </w:rPr>
        <w:t>9.5 事故处理</w:t>
      </w:r>
      <w:bookmarkEnd w:id="1013"/>
      <w:bookmarkEnd w:id="1014"/>
      <w:bookmarkEnd w:id="1015"/>
      <w:bookmarkEnd w:id="1016"/>
      <w:bookmarkEnd w:id="1017"/>
      <w:bookmarkEnd w:id="1018"/>
      <w:bookmarkEnd w:id="1019"/>
    </w:p>
    <w:p w14:paraId="4A51C679">
      <w:pPr>
        <w:rPr>
          <w:rFonts w:ascii="Times New Roman" w:hAnsi="Times New Roman" w:eastAsia="宋体" w:cs="Times New Roman"/>
          <w:sz w:val="24"/>
        </w:rPr>
      </w:pPr>
      <w:r>
        <w:rPr>
          <w:rFonts w:hint="eastAsia" w:ascii="Times New Roman" w:hAnsi="Times New Roman" w:eastAsia="宋体" w:cs="Times New Roman"/>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B91F297">
      <w:pPr>
        <w:rPr>
          <w:rFonts w:ascii="Times New Roman" w:hAnsi="Times New Roman" w:eastAsia="宋体" w:cs="Times New Roman"/>
          <w:sz w:val="24"/>
        </w:rPr>
      </w:pPr>
      <w:bookmarkStart w:id="1020" w:name="_Toc342296330"/>
      <w:bookmarkStart w:id="1021" w:name="_Toc338944772"/>
      <w:bookmarkStart w:id="1022" w:name="_Toc362252796"/>
      <w:r>
        <w:rPr>
          <w:rFonts w:hint="eastAsia" w:ascii="Times New Roman" w:hAnsi="Times New Roman" w:eastAsia="宋体" w:cs="Times New Roman"/>
          <w:sz w:val="24"/>
        </w:rPr>
        <w:t>10. 进度计划</w:t>
      </w:r>
      <w:bookmarkEnd w:id="1020"/>
      <w:bookmarkEnd w:id="1021"/>
      <w:bookmarkEnd w:id="1022"/>
    </w:p>
    <w:p w14:paraId="3BECC7C7">
      <w:pPr>
        <w:rPr>
          <w:rFonts w:ascii="Times New Roman" w:hAnsi="Times New Roman" w:eastAsia="宋体" w:cs="Times New Roman"/>
          <w:sz w:val="24"/>
        </w:rPr>
      </w:pPr>
      <w:bookmarkStart w:id="1023" w:name="_Toc362252797"/>
      <w:bookmarkStart w:id="1024" w:name="_Toc338944773"/>
      <w:bookmarkStart w:id="1025" w:name="_Toc342296331"/>
      <w:r>
        <w:rPr>
          <w:rFonts w:hint="eastAsia" w:ascii="Times New Roman" w:hAnsi="Times New Roman" w:eastAsia="宋体" w:cs="Times New Roman"/>
          <w:sz w:val="24"/>
        </w:rPr>
        <w:t>10.1 合同进度计划</w:t>
      </w:r>
      <w:bookmarkEnd w:id="1023"/>
      <w:bookmarkEnd w:id="1024"/>
      <w:bookmarkEnd w:id="1025"/>
    </w:p>
    <w:p w14:paraId="061799A2">
      <w:pPr>
        <w:rPr>
          <w:rFonts w:ascii="Times New Roman" w:hAnsi="Times New Roman" w:eastAsia="宋体" w:cs="Times New Roman"/>
          <w:sz w:val="24"/>
        </w:rPr>
      </w:pPr>
      <w:r>
        <w:rPr>
          <w:rFonts w:hint="eastAsia" w:ascii="Times New Roman" w:hAnsi="Times New Roman" w:eastAsia="宋体" w:cs="Times New Roman"/>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62B0535">
      <w:pPr>
        <w:rPr>
          <w:rFonts w:ascii="Times New Roman" w:hAnsi="Times New Roman" w:eastAsia="宋体" w:cs="Times New Roman"/>
          <w:sz w:val="24"/>
        </w:rPr>
      </w:pPr>
      <w:bookmarkStart w:id="1026" w:name="_Toc342296332"/>
      <w:bookmarkStart w:id="1027" w:name="_Toc362252798"/>
      <w:bookmarkStart w:id="1028" w:name="_Toc338944774"/>
      <w:r>
        <w:rPr>
          <w:rFonts w:hint="eastAsia" w:ascii="Times New Roman" w:hAnsi="Times New Roman" w:eastAsia="宋体" w:cs="Times New Roman"/>
          <w:sz w:val="24"/>
        </w:rPr>
        <w:t>10.2 合同进度计划的修订</w:t>
      </w:r>
      <w:bookmarkEnd w:id="1026"/>
      <w:bookmarkEnd w:id="1027"/>
      <w:bookmarkEnd w:id="1028"/>
    </w:p>
    <w:p w14:paraId="20ECAADD">
      <w:pPr>
        <w:rPr>
          <w:rFonts w:ascii="Times New Roman" w:hAnsi="Times New Roman" w:eastAsia="宋体" w:cs="Times New Roman"/>
          <w:sz w:val="24"/>
        </w:rPr>
      </w:pPr>
      <w:r>
        <w:rPr>
          <w:rFonts w:hint="eastAsia" w:ascii="Times New Roman" w:hAnsi="Times New Roman" w:eastAsia="宋体" w:cs="Times New Roman"/>
          <w:sz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7E6D786D">
      <w:pPr>
        <w:rPr>
          <w:rFonts w:ascii="Times New Roman" w:hAnsi="Times New Roman" w:eastAsia="宋体" w:cs="Times New Roman"/>
          <w:sz w:val="24"/>
        </w:rPr>
      </w:pPr>
      <w:bookmarkStart w:id="1029" w:name="_Toc362252799"/>
      <w:bookmarkStart w:id="1030" w:name="_Toc338944775"/>
      <w:bookmarkStart w:id="1031" w:name="_Toc342296333"/>
      <w:r>
        <w:rPr>
          <w:rFonts w:hint="eastAsia" w:ascii="Times New Roman" w:hAnsi="Times New Roman" w:eastAsia="宋体" w:cs="Times New Roman"/>
          <w:sz w:val="24"/>
        </w:rPr>
        <w:t>11. 开工和竣工</w:t>
      </w:r>
      <w:bookmarkEnd w:id="1029"/>
      <w:bookmarkEnd w:id="1030"/>
      <w:bookmarkEnd w:id="1031"/>
    </w:p>
    <w:p w14:paraId="166AD046">
      <w:pPr>
        <w:rPr>
          <w:rFonts w:ascii="Times New Roman" w:hAnsi="Times New Roman" w:eastAsia="宋体" w:cs="Times New Roman"/>
          <w:sz w:val="24"/>
        </w:rPr>
      </w:pPr>
      <w:bookmarkStart w:id="1032" w:name="_Toc179632701"/>
      <w:bookmarkStart w:id="1033" w:name="_Toc338944776"/>
      <w:bookmarkStart w:id="1034" w:name="_Toc144974651"/>
      <w:bookmarkStart w:id="1035" w:name="_Toc152042461"/>
      <w:bookmarkStart w:id="1036" w:name="_Toc152045683"/>
      <w:bookmarkStart w:id="1037" w:name="_Toc362252800"/>
      <w:bookmarkStart w:id="1038" w:name="_Toc342296334"/>
      <w:r>
        <w:rPr>
          <w:rFonts w:hint="eastAsia" w:ascii="Times New Roman" w:hAnsi="Times New Roman" w:eastAsia="宋体" w:cs="Times New Roman"/>
          <w:sz w:val="24"/>
        </w:rPr>
        <w:t>11.1 开工</w:t>
      </w:r>
      <w:bookmarkEnd w:id="1032"/>
      <w:bookmarkEnd w:id="1033"/>
      <w:bookmarkEnd w:id="1034"/>
      <w:bookmarkEnd w:id="1035"/>
      <w:bookmarkEnd w:id="1036"/>
      <w:bookmarkEnd w:id="1037"/>
      <w:bookmarkEnd w:id="1038"/>
    </w:p>
    <w:p w14:paraId="5EBCD3CA">
      <w:pPr>
        <w:rPr>
          <w:rFonts w:ascii="Times New Roman" w:hAnsi="Times New Roman" w:eastAsia="宋体" w:cs="Times New Roman"/>
          <w:sz w:val="24"/>
        </w:rPr>
      </w:pPr>
      <w:r>
        <w:rPr>
          <w:rFonts w:hint="eastAsia" w:ascii="Times New Roman" w:hAnsi="Times New Roman" w:eastAsia="宋体" w:cs="Times New Roman"/>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2A0F2050">
      <w:pPr>
        <w:rPr>
          <w:rFonts w:ascii="Times New Roman" w:hAnsi="Times New Roman" w:eastAsia="宋体" w:cs="Times New Roman"/>
          <w:sz w:val="24"/>
          <w:shd w:val="pct10" w:color="auto" w:fill="FFFFFF"/>
        </w:rPr>
      </w:pPr>
      <w:r>
        <w:rPr>
          <w:rFonts w:hint="eastAsia" w:ascii="Times New Roman" w:hAnsi="Times New Roman" w:eastAsia="宋体" w:cs="Times New Roman"/>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6A8B38A">
      <w:pPr>
        <w:rPr>
          <w:rFonts w:ascii="Times New Roman" w:hAnsi="Times New Roman" w:eastAsia="宋体" w:cs="Times New Roman"/>
          <w:sz w:val="24"/>
        </w:rPr>
      </w:pPr>
      <w:bookmarkStart w:id="1039" w:name="_Toc342296335"/>
      <w:bookmarkStart w:id="1040" w:name="_Toc152042462"/>
      <w:bookmarkStart w:id="1041" w:name="_Toc179632702"/>
      <w:bookmarkStart w:id="1042" w:name="_Toc144974652"/>
      <w:bookmarkStart w:id="1043" w:name="_Toc338944777"/>
      <w:bookmarkStart w:id="1044" w:name="_Toc362252801"/>
      <w:bookmarkStart w:id="1045" w:name="_Toc152045684"/>
      <w:r>
        <w:rPr>
          <w:rFonts w:hint="eastAsia" w:ascii="Times New Roman" w:hAnsi="Times New Roman" w:eastAsia="宋体" w:cs="Times New Roman"/>
          <w:sz w:val="24"/>
        </w:rPr>
        <w:t>11.2 竣工</w:t>
      </w:r>
      <w:bookmarkEnd w:id="1039"/>
      <w:bookmarkEnd w:id="1040"/>
      <w:bookmarkEnd w:id="1041"/>
      <w:bookmarkEnd w:id="1042"/>
      <w:bookmarkEnd w:id="1043"/>
      <w:bookmarkEnd w:id="1044"/>
      <w:bookmarkEnd w:id="1045"/>
    </w:p>
    <w:p w14:paraId="601CF9CF">
      <w:pPr>
        <w:rPr>
          <w:rFonts w:ascii="Times New Roman" w:hAnsi="Times New Roman" w:eastAsia="宋体" w:cs="Times New Roman"/>
          <w:sz w:val="24"/>
        </w:rPr>
      </w:pPr>
      <w:r>
        <w:rPr>
          <w:rFonts w:hint="eastAsia" w:ascii="Times New Roman" w:hAnsi="Times New Roman" w:eastAsia="宋体" w:cs="Times New Roman"/>
          <w:sz w:val="24"/>
        </w:rPr>
        <w:t>承包人应在第1.1.4.3目约定的期限内完成合同工程。实际竣工日期在接收证书中写明。</w:t>
      </w:r>
    </w:p>
    <w:p w14:paraId="3719D73B">
      <w:pPr>
        <w:rPr>
          <w:rFonts w:ascii="Times New Roman" w:hAnsi="Times New Roman" w:eastAsia="宋体" w:cs="Times New Roman"/>
          <w:sz w:val="24"/>
        </w:rPr>
      </w:pPr>
      <w:bookmarkStart w:id="1046" w:name="_Toc342296336"/>
      <w:bookmarkStart w:id="1047" w:name="_Toc362252802"/>
      <w:bookmarkStart w:id="1048" w:name="_Toc338944778"/>
      <w:r>
        <w:rPr>
          <w:rFonts w:hint="eastAsia" w:ascii="Times New Roman" w:hAnsi="Times New Roman" w:eastAsia="宋体" w:cs="Times New Roman"/>
          <w:sz w:val="24"/>
        </w:rPr>
        <w:t>11.3 发包人的工期延误</w:t>
      </w:r>
      <w:bookmarkEnd w:id="1046"/>
      <w:bookmarkEnd w:id="1047"/>
      <w:bookmarkEnd w:id="1048"/>
    </w:p>
    <w:p w14:paraId="5D7AED25">
      <w:pPr>
        <w:rPr>
          <w:rFonts w:ascii="Times New Roman" w:hAnsi="Times New Roman" w:eastAsia="宋体" w:cs="Times New Roman"/>
          <w:sz w:val="24"/>
        </w:rPr>
      </w:pPr>
      <w:r>
        <w:rPr>
          <w:rFonts w:hint="eastAsia" w:ascii="Times New Roman" w:hAnsi="Times New Roman" w:eastAsia="宋体" w:cs="Times New Roman"/>
          <w:sz w:val="24"/>
        </w:rPr>
        <w:t>在履行合同过程中，由于发包人的下列原因造成工期延误的，承包人有权要求发包人延长工期和（或）增加费用，并支付合理利润。需要修订合同进度计划的，按照第10.2款的约定办理。</w:t>
      </w:r>
    </w:p>
    <w:p w14:paraId="5A47AC74">
      <w:pPr>
        <w:rPr>
          <w:rFonts w:ascii="Times New Roman" w:hAnsi="Times New Roman" w:eastAsia="宋体" w:cs="Times New Roman"/>
          <w:sz w:val="24"/>
        </w:rPr>
      </w:pPr>
      <w:r>
        <w:rPr>
          <w:rFonts w:hint="eastAsia" w:ascii="Times New Roman" w:hAnsi="Times New Roman" w:eastAsia="宋体" w:cs="Times New Roman"/>
          <w:sz w:val="24"/>
        </w:rPr>
        <w:t>（1）增加合同工作内容；</w:t>
      </w:r>
    </w:p>
    <w:p w14:paraId="52922E71">
      <w:pPr>
        <w:rPr>
          <w:rFonts w:ascii="Times New Roman" w:hAnsi="Times New Roman" w:eastAsia="宋体" w:cs="Times New Roman"/>
          <w:sz w:val="24"/>
        </w:rPr>
      </w:pPr>
      <w:r>
        <w:rPr>
          <w:rFonts w:hint="eastAsia" w:ascii="Times New Roman" w:hAnsi="Times New Roman" w:eastAsia="宋体" w:cs="Times New Roman"/>
          <w:sz w:val="24"/>
        </w:rPr>
        <w:t>（2）改变合同中任何一项工作的质量要求或其他特性；</w:t>
      </w:r>
    </w:p>
    <w:p w14:paraId="44C40DB5">
      <w:pPr>
        <w:rPr>
          <w:rFonts w:ascii="Times New Roman" w:hAnsi="Times New Roman" w:eastAsia="宋体" w:cs="Times New Roman"/>
          <w:sz w:val="24"/>
        </w:rPr>
      </w:pPr>
      <w:r>
        <w:rPr>
          <w:rFonts w:hint="eastAsia" w:ascii="Times New Roman" w:hAnsi="Times New Roman" w:eastAsia="宋体" w:cs="Times New Roman"/>
          <w:sz w:val="24"/>
        </w:rPr>
        <w:t>（3）发包人迟延提供材料、工程设备或变更交货地点的；</w:t>
      </w:r>
    </w:p>
    <w:p w14:paraId="70F0C6A2">
      <w:pPr>
        <w:rPr>
          <w:rFonts w:ascii="Times New Roman" w:hAnsi="Times New Roman" w:eastAsia="宋体" w:cs="Times New Roman"/>
          <w:sz w:val="24"/>
        </w:rPr>
      </w:pPr>
      <w:r>
        <w:rPr>
          <w:rFonts w:hint="eastAsia" w:ascii="Times New Roman" w:hAnsi="Times New Roman" w:eastAsia="宋体" w:cs="Times New Roman"/>
          <w:sz w:val="24"/>
        </w:rPr>
        <w:t>（4）因发包人原因导致的暂停施工；</w:t>
      </w:r>
    </w:p>
    <w:p w14:paraId="47613B55">
      <w:pPr>
        <w:rPr>
          <w:rFonts w:ascii="Times New Roman" w:hAnsi="Times New Roman" w:eastAsia="宋体" w:cs="Times New Roman"/>
          <w:sz w:val="24"/>
        </w:rPr>
      </w:pPr>
      <w:r>
        <w:rPr>
          <w:rFonts w:hint="eastAsia" w:ascii="Times New Roman" w:hAnsi="Times New Roman" w:eastAsia="宋体" w:cs="Times New Roman"/>
          <w:sz w:val="24"/>
        </w:rPr>
        <w:t>（5）提供图纸延误；</w:t>
      </w:r>
    </w:p>
    <w:p w14:paraId="594AEB66">
      <w:pPr>
        <w:rPr>
          <w:rFonts w:ascii="Times New Roman" w:hAnsi="Times New Roman" w:eastAsia="宋体" w:cs="Times New Roman"/>
          <w:sz w:val="24"/>
        </w:rPr>
      </w:pPr>
      <w:r>
        <w:rPr>
          <w:rFonts w:hint="eastAsia" w:ascii="Times New Roman" w:hAnsi="Times New Roman" w:eastAsia="宋体" w:cs="Times New Roman"/>
          <w:sz w:val="24"/>
        </w:rPr>
        <w:t>（6）未按合同约定及时支付预付款、进度款；</w:t>
      </w:r>
    </w:p>
    <w:p w14:paraId="5465E183">
      <w:pPr>
        <w:rPr>
          <w:rFonts w:ascii="Times New Roman" w:hAnsi="Times New Roman" w:eastAsia="宋体" w:cs="Times New Roman"/>
          <w:sz w:val="24"/>
        </w:rPr>
      </w:pPr>
      <w:r>
        <w:rPr>
          <w:rFonts w:hint="eastAsia" w:ascii="Times New Roman" w:hAnsi="Times New Roman" w:eastAsia="宋体" w:cs="Times New Roman"/>
          <w:sz w:val="24"/>
        </w:rPr>
        <w:t>（7）发包人造成工期延误的其他原因。</w:t>
      </w:r>
    </w:p>
    <w:p w14:paraId="3ABAF75F">
      <w:pPr>
        <w:rPr>
          <w:rFonts w:ascii="Times New Roman" w:hAnsi="Times New Roman" w:eastAsia="宋体" w:cs="Times New Roman"/>
          <w:sz w:val="24"/>
        </w:rPr>
      </w:pPr>
      <w:bookmarkStart w:id="1049" w:name="_Toc342296337"/>
      <w:bookmarkStart w:id="1050" w:name="_Toc362252803"/>
      <w:bookmarkStart w:id="1051" w:name="_Toc338944779"/>
      <w:r>
        <w:rPr>
          <w:rFonts w:hint="eastAsia" w:ascii="Times New Roman" w:hAnsi="Times New Roman" w:eastAsia="宋体" w:cs="Times New Roman"/>
          <w:sz w:val="24"/>
        </w:rPr>
        <w:t>11.4 异常恶劣的气候条件</w:t>
      </w:r>
      <w:bookmarkEnd w:id="1049"/>
      <w:bookmarkEnd w:id="1050"/>
      <w:bookmarkEnd w:id="1051"/>
    </w:p>
    <w:p w14:paraId="05C62A9C">
      <w:pPr>
        <w:rPr>
          <w:rFonts w:ascii="Times New Roman" w:hAnsi="Times New Roman" w:eastAsia="宋体" w:cs="Times New Roman"/>
          <w:sz w:val="24"/>
        </w:rPr>
      </w:pPr>
      <w:r>
        <w:rPr>
          <w:rFonts w:hint="eastAsia" w:ascii="Times New Roman" w:hAnsi="Times New Roman" w:eastAsia="宋体" w:cs="Times New Roman"/>
          <w:sz w:val="24"/>
        </w:rPr>
        <w:t>由于出现专用合同条款规定的异常恶劣气候的条件导致工期延误的，承包人有权要求发包人延长工期。</w:t>
      </w:r>
    </w:p>
    <w:p w14:paraId="3D551D28">
      <w:pPr>
        <w:rPr>
          <w:rFonts w:ascii="Times New Roman" w:hAnsi="Times New Roman" w:eastAsia="宋体" w:cs="Times New Roman"/>
          <w:sz w:val="24"/>
        </w:rPr>
      </w:pPr>
      <w:bookmarkStart w:id="1052" w:name="_Toc338944780"/>
      <w:bookmarkStart w:id="1053" w:name="_Toc362252804"/>
      <w:bookmarkStart w:id="1054" w:name="_Toc342296338"/>
      <w:r>
        <w:rPr>
          <w:rFonts w:hint="eastAsia" w:ascii="Times New Roman" w:hAnsi="Times New Roman" w:eastAsia="宋体" w:cs="Times New Roman"/>
          <w:sz w:val="24"/>
        </w:rPr>
        <w:t>11.5 承包人的工期延误</w:t>
      </w:r>
      <w:bookmarkEnd w:id="1052"/>
      <w:bookmarkEnd w:id="1053"/>
      <w:bookmarkEnd w:id="1054"/>
    </w:p>
    <w:p w14:paraId="3772959B">
      <w:pPr>
        <w:rPr>
          <w:rFonts w:ascii="Times New Roman" w:hAnsi="Times New Roman" w:eastAsia="宋体" w:cs="Times New Roman"/>
          <w:sz w:val="24"/>
        </w:rPr>
      </w:pPr>
      <w:r>
        <w:rPr>
          <w:rFonts w:hint="eastAsia" w:ascii="Times New Roman" w:hAnsi="Times New Roman" w:eastAsia="宋体" w:cs="Times New Roman"/>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F1924DF">
      <w:pPr>
        <w:rPr>
          <w:rFonts w:ascii="Times New Roman" w:hAnsi="Times New Roman" w:eastAsia="宋体" w:cs="Times New Roman"/>
          <w:sz w:val="24"/>
        </w:rPr>
      </w:pPr>
      <w:bookmarkStart w:id="1055" w:name="_Toc338944781"/>
      <w:bookmarkStart w:id="1056" w:name="_Toc362252805"/>
      <w:bookmarkStart w:id="1057" w:name="_Toc342296339"/>
      <w:r>
        <w:rPr>
          <w:rFonts w:hint="eastAsia" w:ascii="Times New Roman" w:hAnsi="Times New Roman" w:eastAsia="宋体" w:cs="Times New Roman"/>
          <w:sz w:val="24"/>
        </w:rPr>
        <w:t>11.6 工期提前</w:t>
      </w:r>
      <w:bookmarkEnd w:id="1055"/>
      <w:bookmarkEnd w:id="1056"/>
      <w:bookmarkEnd w:id="1057"/>
    </w:p>
    <w:p w14:paraId="1FF24512">
      <w:pPr>
        <w:rPr>
          <w:rFonts w:ascii="Times New Roman" w:hAnsi="Times New Roman" w:eastAsia="宋体" w:cs="Times New Roman"/>
          <w:sz w:val="24"/>
        </w:rPr>
      </w:pPr>
      <w:r>
        <w:rPr>
          <w:rFonts w:hint="eastAsia" w:ascii="Times New Roman" w:hAnsi="Times New Roman" w:eastAsia="宋体" w:cs="Times New Roman"/>
          <w:sz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FB1F806">
      <w:pPr>
        <w:rPr>
          <w:rFonts w:ascii="Times New Roman" w:hAnsi="Times New Roman" w:eastAsia="宋体" w:cs="Times New Roman"/>
          <w:sz w:val="24"/>
        </w:rPr>
      </w:pPr>
      <w:bookmarkStart w:id="1058" w:name="_Toc338944782"/>
      <w:bookmarkStart w:id="1059" w:name="_Toc342296340"/>
      <w:bookmarkStart w:id="1060" w:name="_Toc362252806"/>
      <w:r>
        <w:rPr>
          <w:rFonts w:hint="eastAsia" w:ascii="Times New Roman" w:hAnsi="Times New Roman" w:eastAsia="宋体" w:cs="Times New Roman"/>
          <w:sz w:val="24"/>
        </w:rPr>
        <w:t>12. 暂停施工</w:t>
      </w:r>
      <w:bookmarkEnd w:id="1058"/>
      <w:bookmarkEnd w:id="1059"/>
      <w:bookmarkEnd w:id="1060"/>
    </w:p>
    <w:p w14:paraId="61525555">
      <w:pPr>
        <w:rPr>
          <w:rFonts w:ascii="Times New Roman" w:hAnsi="Times New Roman" w:eastAsia="宋体" w:cs="Times New Roman"/>
          <w:sz w:val="24"/>
        </w:rPr>
      </w:pPr>
      <w:bookmarkStart w:id="1061" w:name="_Toc362252807"/>
      <w:bookmarkStart w:id="1062" w:name="_Toc342296341"/>
      <w:bookmarkStart w:id="1063" w:name="_Toc338944783"/>
      <w:r>
        <w:rPr>
          <w:rFonts w:hint="eastAsia" w:ascii="Times New Roman" w:hAnsi="Times New Roman" w:eastAsia="宋体" w:cs="Times New Roman"/>
          <w:sz w:val="24"/>
        </w:rPr>
        <w:t>12.1 承包人暂停施工的责任</w:t>
      </w:r>
      <w:bookmarkEnd w:id="1061"/>
      <w:bookmarkEnd w:id="1062"/>
      <w:bookmarkEnd w:id="1063"/>
    </w:p>
    <w:p w14:paraId="183AEFE3">
      <w:pPr>
        <w:rPr>
          <w:rFonts w:ascii="Times New Roman" w:hAnsi="Times New Roman" w:eastAsia="宋体" w:cs="Times New Roman"/>
          <w:sz w:val="24"/>
        </w:rPr>
      </w:pPr>
      <w:r>
        <w:rPr>
          <w:rFonts w:hint="eastAsia" w:ascii="Times New Roman" w:hAnsi="Times New Roman" w:eastAsia="宋体" w:cs="Times New Roman"/>
          <w:sz w:val="24"/>
        </w:rPr>
        <w:t>因下列暂停施工增加的费用和（或）工期延误由承包人承担：</w:t>
      </w:r>
    </w:p>
    <w:p w14:paraId="6A7CEED7">
      <w:pPr>
        <w:rPr>
          <w:rFonts w:ascii="Times New Roman" w:hAnsi="Times New Roman" w:eastAsia="宋体" w:cs="Times New Roman"/>
          <w:sz w:val="24"/>
        </w:rPr>
      </w:pPr>
      <w:r>
        <w:rPr>
          <w:rFonts w:hint="eastAsia" w:ascii="Times New Roman" w:hAnsi="Times New Roman" w:eastAsia="宋体" w:cs="Times New Roman"/>
          <w:sz w:val="24"/>
        </w:rPr>
        <w:t>（1）承包人违约引起的暂停施工；</w:t>
      </w:r>
    </w:p>
    <w:p w14:paraId="278A8B1D">
      <w:pPr>
        <w:rPr>
          <w:rFonts w:ascii="Times New Roman" w:hAnsi="Times New Roman" w:eastAsia="宋体" w:cs="Times New Roman"/>
          <w:sz w:val="24"/>
        </w:rPr>
      </w:pPr>
      <w:r>
        <w:rPr>
          <w:rFonts w:hint="eastAsia" w:ascii="Times New Roman" w:hAnsi="Times New Roman" w:eastAsia="宋体" w:cs="Times New Roman"/>
          <w:sz w:val="24"/>
        </w:rPr>
        <w:t>（2）由于承包人原因为工程合理施工和安全保障所必需的暂停施工；</w:t>
      </w:r>
    </w:p>
    <w:p w14:paraId="28CD8689">
      <w:pPr>
        <w:rPr>
          <w:rFonts w:ascii="Times New Roman" w:hAnsi="Times New Roman" w:eastAsia="宋体" w:cs="Times New Roman"/>
          <w:sz w:val="24"/>
        </w:rPr>
      </w:pPr>
      <w:r>
        <w:rPr>
          <w:rFonts w:hint="eastAsia" w:ascii="Times New Roman" w:hAnsi="Times New Roman" w:eastAsia="宋体" w:cs="Times New Roman"/>
          <w:sz w:val="24"/>
        </w:rPr>
        <w:t>（3）承包人擅自暂停施工；</w:t>
      </w:r>
    </w:p>
    <w:p w14:paraId="6562EB04">
      <w:pPr>
        <w:rPr>
          <w:rFonts w:ascii="Times New Roman" w:hAnsi="Times New Roman" w:eastAsia="宋体" w:cs="Times New Roman"/>
          <w:sz w:val="24"/>
        </w:rPr>
      </w:pPr>
      <w:r>
        <w:rPr>
          <w:rFonts w:hint="eastAsia" w:ascii="Times New Roman" w:hAnsi="Times New Roman" w:eastAsia="宋体" w:cs="Times New Roman"/>
          <w:sz w:val="24"/>
        </w:rPr>
        <w:t>（4）承包人其他原因引起的暂停施工；</w:t>
      </w:r>
    </w:p>
    <w:p w14:paraId="11C0E4E8">
      <w:pPr>
        <w:rPr>
          <w:rFonts w:ascii="Times New Roman" w:hAnsi="Times New Roman" w:eastAsia="宋体" w:cs="Times New Roman"/>
          <w:sz w:val="24"/>
        </w:rPr>
      </w:pPr>
      <w:r>
        <w:rPr>
          <w:rFonts w:hint="eastAsia" w:ascii="Times New Roman" w:hAnsi="Times New Roman" w:eastAsia="宋体" w:cs="Times New Roman"/>
          <w:sz w:val="24"/>
        </w:rPr>
        <w:t>（5）专用合同条款约定由承包人承担的其他暂停施工。</w:t>
      </w:r>
    </w:p>
    <w:p w14:paraId="707B7E2E">
      <w:pPr>
        <w:rPr>
          <w:rFonts w:ascii="Times New Roman" w:hAnsi="Times New Roman" w:eastAsia="宋体" w:cs="Times New Roman"/>
          <w:sz w:val="24"/>
        </w:rPr>
      </w:pPr>
      <w:bookmarkStart w:id="1064" w:name="_Toc152042469"/>
      <w:bookmarkStart w:id="1065" w:name="_Toc362252808"/>
      <w:bookmarkStart w:id="1066" w:name="_Toc144974660"/>
      <w:bookmarkStart w:id="1067" w:name="_Toc179632709"/>
      <w:bookmarkStart w:id="1068" w:name="_Toc338944784"/>
      <w:bookmarkStart w:id="1069" w:name="_Toc342296342"/>
      <w:bookmarkStart w:id="1070" w:name="_Toc152045691"/>
      <w:r>
        <w:rPr>
          <w:rFonts w:hint="eastAsia" w:ascii="Times New Roman" w:hAnsi="Times New Roman" w:eastAsia="宋体" w:cs="Times New Roman"/>
          <w:sz w:val="24"/>
        </w:rPr>
        <w:t>12.2 发包人暂停施工的责任</w:t>
      </w:r>
      <w:bookmarkEnd w:id="1064"/>
      <w:bookmarkEnd w:id="1065"/>
      <w:bookmarkEnd w:id="1066"/>
      <w:bookmarkEnd w:id="1067"/>
      <w:bookmarkEnd w:id="1068"/>
      <w:bookmarkEnd w:id="1069"/>
      <w:bookmarkEnd w:id="1070"/>
    </w:p>
    <w:p w14:paraId="3F3D6ECF">
      <w:pPr>
        <w:rPr>
          <w:rFonts w:ascii="Times New Roman" w:hAnsi="Times New Roman" w:eastAsia="宋体" w:cs="Times New Roman"/>
          <w:sz w:val="24"/>
        </w:rPr>
      </w:pPr>
      <w:r>
        <w:rPr>
          <w:rFonts w:hint="eastAsia" w:ascii="Times New Roman" w:hAnsi="Times New Roman" w:eastAsia="宋体" w:cs="Times New Roman"/>
          <w:sz w:val="24"/>
        </w:rPr>
        <w:t>由于发包人原因引起的暂停施工造成工期延误的，承包人有权要求发包人延长工期和（或）增加费用，并支付合理利润。</w:t>
      </w:r>
    </w:p>
    <w:p w14:paraId="79562D51">
      <w:pPr>
        <w:rPr>
          <w:rFonts w:ascii="Times New Roman" w:hAnsi="Times New Roman" w:eastAsia="宋体" w:cs="Times New Roman"/>
          <w:sz w:val="24"/>
        </w:rPr>
      </w:pPr>
      <w:bookmarkStart w:id="1071" w:name="_Toc144974661"/>
      <w:bookmarkStart w:id="1072" w:name="_Toc338944785"/>
      <w:bookmarkStart w:id="1073" w:name="_Toc152042470"/>
      <w:bookmarkStart w:id="1074" w:name="_Toc179632710"/>
      <w:bookmarkStart w:id="1075" w:name="_Toc362252809"/>
      <w:bookmarkStart w:id="1076" w:name="_Toc342296343"/>
      <w:bookmarkStart w:id="1077" w:name="_Toc152045692"/>
      <w:r>
        <w:rPr>
          <w:rFonts w:hint="eastAsia" w:ascii="Times New Roman" w:hAnsi="Times New Roman" w:eastAsia="宋体" w:cs="Times New Roman"/>
          <w:sz w:val="24"/>
        </w:rPr>
        <w:t>12.3 监理人暂停施工指示</w:t>
      </w:r>
      <w:bookmarkEnd w:id="1071"/>
      <w:bookmarkEnd w:id="1072"/>
      <w:bookmarkEnd w:id="1073"/>
      <w:bookmarkEnd w:id="1074"/>
      <w:bookmarkEnd w:id="1075"/>
      <w:bookmarkEnd w:id="1076"/>
      <w:bookmarkEnd w:id="1077"/>
    </w:p>
    <w:p w14:paraId="19D75E54">
      <w:pPr>
        <w:rPr>
          <w:rFonts w:ascii="Times New Roman" w:hAnsi="Times New Roman" w:eastAsia="宋体" w:cs="Times New Roman"/>
          <w:sz w:val="24"/>
        </w:rPr>
      </w:pPr>
      <w:r>
        <w:rPr>
          <w:rFonts w:hint="eastAsia" w:ascii="Times New Roman" w:hAnsi="Times New Roman" w:eastAsia="宋体" w:cs="Times New Roman"/>
          <w:sz w:val="24"/>
        </w:rPr>
        <w:t>12.3.1 监理人认为有必要时，可向承包人作出暂停施工的指示，承包人应按监理人指示暂停施工。不论由于何种原因引起的暂停施工，暂停施工期间承包人应负责妥善保护工程并提供安全保障。</w:t>
      </w:r>
    </w:p>
    <w:p w14:paraId="1A6BA7D4">
      <w:pPr>
        <w:rPr>
          <w:rFonts w:ascii="Times New Roman" w:hAnsi="Times New Roman" w:eastAsia="宋体" w:cs="Times New Roman"/>
          <w:sz w:val="24"/>
        </w:rPr>
      </w:pPr>
      <w:r>
        <w:rPr>
          <w:rFonts w:hint="eastAsia" w:ascii="Times New Roman" w:hAnsi="Times New Roman" w:eastAsia="宋体" w:cs="Times New Roman"/>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A2D1AE5">
      <w:pPr>
        <w:rPr>
          <w:rFonts w:ascii="Times New Roman" w:hAnsi="Times New Roman" w:eastAsia="宋体" w:cs="Times New Roman"/>
          <w:sz w:val="24"/>
        </w:rPr>
      </w:pPr>
      <w:bookmarkStart w:id="1078" w:name="_Toc152045693"/>
      <w:bookmarkStart w:id="1079" w:name="_Toc152042471"/>
      <w:bookmarkStart w:id="1080" w:name="_Toc179632711"/>
      <w:bookmarkStart w:id="1081" w:name="_Toc338944786"/>
      <w:bookmarkStart w:id="1082" w:name="_Toc144974662"/>
      <w:bookmarkStart w:id="1083" w:name="_Toc342296344"/>
      <w:bookmarkStart w:id="1084" w:name="_Toc362252810"/>
      <w:r>
        <w:rPr>
          <w:rFonts w:hint="eastAsia" w:ascii="Times New Roman" w:hAnsi="Times New Roman" w:eastAsia="宋体" w:cs="Times New Roman"/>
          <w:sz w:val="24"/>
        </w:rPr>
        <w:t>12.4 暂停施工后的复工</w:t>
      </w:r>
      <w:bookmarkEnd w:id="1078"/>
      <w:bookmarkEnd w:id="1079"/>
      <w:bookmarkEnd w:id="1080"/>
      <w:bookmarkEnd w:id="1081"/>
      <w:bookmarkEnd w:id="1082"/>
      <w:bookmarkEnd w:id="1083"/>
      <w:bookmarkEnd w:id="1084"/>
    </w:p>
    <w:p w14:paraId="7AF46C02">
      <w:pPr>
        <w:rPr>
          <w:rFonts w:ascii="Times New Roman" w:hAnsi="Times New Roman" w:eastAsia="宋体" w:cs="Times New Roman"/>
          <w:sz w:val="24"/>
        </w:rPr>
      </w:pPr>
      <w:r>
        <w:rPr>
          <w:rFonts w:hint="eastAsia" w:ascii="Times New Roman" w:hAnsi="Times New Roman" w:eastAsia="宋体" w:cs="Times New Roman"/>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596699F">
      <w:pPr>
        <w:rPr>
          <w:rFonts w:ascii="Times New Roman" w:hAnsi="Times New Roman" w:eastAsia="宋体" w:cs="Times New Roman"/>
          <w:sz w:val="24"/>
        </w:rPr>
      </w:pPr>
      <w:r>
        <w:rPr>
          <w:rFonts w:hint="eastAsia" w:ascii="Times New Roman" w:hAnsi="Times New Roman" w:eastAsia="宋体" w:cs="Times New Roman"/>
          <w:sz w:val="24"/>
        </w:rPr>
        <w:t>12.4.2 承包人无故拖延和拒绝复工的，由此增加的费用和工期延误由承包人承担；因发包人原因无法按时复工的，承包人有权要求发包人延长工期和（或）增加费用，并支付合理利润。</w:t>
      </w:r>
    </w:p>
    <w:p w14:paraId="216A90E7">
      <w:pPr>
        <w:rPr>
          <w:rFonts w:ascii="Times New Roman" w:hAnsi="Times New Roman" w:eastAsia="宋体" w:cs="Times New Roman"/>
          <w:sz w:val="24"/>
        </w:rPr>
      </w:pPr>
      <w:bookmarkStart w:id="1085" w:name="_Toc179632712"/>
      <w:bookmarkStart w:id="1086" w:name="_Toc152045694"/>
      <w:bookmarkStart w:id="1087" w:name="_Toc338944787"/>
      <w:bookmarkStart w:id="1088" w:name="_Toc362252811"/>
      <w:bookmarkStart w:id="1089" w:name="_Toc144974663"/>
      <w:bookmarkStart w:id="1090" w:name="_Toc342296345"/>
      <w:bookmarkStart w:id="1091" w:name="_Toc152042472"/>
      <w:r>
        <w:rPr>
          <w:rFonts w:hint="eastAsia" w:ascii="Times New Roman" w:hAnsi="Times New Roman" w:eastAsia="宋体" w:cs="Times New Roman"/>
          <w:sz w:val="24"/>
        </w:rPr>
        <w:t xml:space="preserve">12.5 </w:t>
      </w:r>
      <w:r>
        <w:rPr>
          <w:rFonts w:ascii="Times New Roman" w:hAnsi="Times New Roman" w:eastAsia="宋体" w:cs="Times New Roman"/>
          <w:sz w:val="24"/>
        </w:rPr>
        <w:t>暂停施工</w:t>
      </w:r>
      <w:r>
        <w:rPr>
          <w:rFonts w:hint="eastAsia" w:ascii="Times New Roman" w:hAnsi="Times New Roman" w:eastAsia="宋体" w:cs="Times New Roman"/>
          <w:sz w:val="24"/>
        </w:rPr>
        <w:t>持续56天以上</w:t>
      </w:r>
      <w:bookmarkEnd w:id="1085"/>
      <w:bookmarkEnd w:id="1086"/>
      <w:bookmarkEnd w:id="1087"/>
      <w:bookmarkEnd w:id="1088"/>
      <w:bookmarkEnd w:id="1089"/>
      <w:bookmarkEnd w:id="1090"/>
      <w:bookmarkEnd w:id="1091"/>
    </w:p>
    <w:p w14:paraId="2B5B1422">
      <w:pPr>
        <w:rPr>
          <w:rFonts w:ascii="Times New Roman" w:hAnsi="Times New Roman" w:eastAsia="宋体" w:cs="Times New Roman"/>
          <w:sz w:val="24"/>
        </w:rPr>
      </w:pPr>
      <w:r>
        <w:rPr>
          <w:rFonts w:hint="eastAsia" w:ascii="Times New Roman" w:hAnsi="Times New Roman" w:eastAsia="宋体" w:cs="Times New Roman"/>
          <w:sz w:val="24"/>
        </w:rPr>
        <w:t xml:space="preserve">12.5.1 </w:t>
      </w:r>
      <w:r>
        <w:rPr>
          <w:rFonts w:ascii="Times New Roman" w:hAnsi="Times New Roman" w:eastAsia="宋体" w:cs="Times New Roman"/>
          <w:sz w:val="24"/>
        </w:rPr>
        <w:t>监理人</w:t>
      </w:r>
      <w:r>
        <w:rPr>
          <w:rFonts w:hint="eastAsia" w:ascii="Times New Roman" w:hAnsi="Times New Roman" w:eastAsia="宋体" w:cs="Times New Roman"/>
          <w:sz w:val="24"/>
        </w:rPr>
        <w:t>发出</w:t>
      </w:r>
      <w:r>
        <w:rPr>
          <w:rFonts w:ascii="Times New Roman" w:hAnsi="Times New Roman" w:eastAsia="宋体" w:cs="Times New Roman"/>
          <w:sz w:val="24"/>
        </w:rPr>
        <w:t>暂停施工指示</w:t>
      </w:r>
      <w:r>
        <w:rPr>
          <w:rFonts w:hint="eastAsia" w:ascii="Times New Roman" w:hAnsi="Times New Roman" w:eastAsia="宋体" w:cs="Times New Roman"/>
          <w:sz w:val="24"/>
        </w:rPr>
        <w:t>后56天内未向</w:t>
      </w:r>
      <w:r>
        <w:rPr>
          <w:rFonts w:ascii="Times New Roman" w:hAnsi="Times New Roman" w:eastAsia="宋体" w:cs="Times New Roman"/>
          <w:sz w:val="24"/>
        </w:rPr>
        <w:t>承包人</w:t>
      </w:r>
      <w:r>
        <w:rPr>
          <w:rFonts w:hint="eastAsia" w:ascii="Times New Roman" w:hAnsi="Times New Roman" w:eastAsia="宋体" w:cs="Times New Roman"/>
          <w:sz w:val="24"/>
        </w:rPr>
        <w:t>发出复工通知，除了该项停工属于第12.1款的情况外，</w:t>
      </w:r>
      <w:r>
        <w:rPr>
          <w:rFonts w:ascii="Times New Roman" w:hAnsi="Times New Roman" w:eastAsia="宋体" w:cs="Times New Roman"/>
          <w:sz w:val="24"/>
        </w:rPr>
        <w:t>承包人</w:t>
      </w:r>
      <w:r>
        <w:rPr>
          <w:rFonts w:hint="eastAsia" w:ascii="Times New Roman" w:hAnsi="Times New Roman" w:eastAsia="宋体" w:cs="Times New Roman"/>
          <w:sz w:val="24"/>
        </w:rPr>
        <w:t>可向</w:t>
      </w:r>
      <w:r>
        <w:rPr>
          <w:rFonts w:ascii="Times New Roman" w:hAnsi="Times New Roman" w:eastAsia="宋体" w:cs="Times New Roman"/>
          <w:sz w:val="24"/>
        </w:rPr>
        <w:t>监理人</w:t>
      </w:r>
      <w:r>
        <w:rPr>
          <w:rFonts w:hint="eastAsia" w:ascii="Times New Roman" w:hAnsi="Times New Roman" w:eastAsia="宋体" w:cs="Times New Roman"/>
          <w:sz w:val="24"/>
        </w:rPr>
        <w:t>提交书面通知，要求</w:t>
      </w:r>
      <w:r>
        <w:rPr>
          <w:rFonts w:ascii="Times New Roman" w:hAnsi="Times New Roman" w:eastAsia="宋体" w:cs="Times New Roman"/>
          <w:sz w:val="24"/>
        </w:rPr>
        <w:t>监理人</w:t>
      </w:r>
      <w:r>
        <w:rPr>
          <w:rFonts w:hint="eastAsia" w:ascii="Times New Roman" w:hAnsi="Times New Roman" w:eastAsia="宋体" w:cs="Times New Roman"/>
          <w:sz w:val="24"/>
        </w:rPr>
        <w:t>在收到书面通知后28天内准许已</w:t>
      </w:r>
      <w:r>
        <w:rPr>
          <w:rFonts w:ascii="Times New Roman" w:hAnsi="Times New Roman" w:eastAsia="宋体" w:cs="Times New Roman"/>
          <w:sz w:val="24"/>
        </w:rPr>
        <w:t>暂停施工</w:t>
      </w:r>
      <w:r>
        <w:rPr>
          <w:rFonts w:hint="eastAsia" w:ascii="Times New Roman" w:hAnsi="Times New Roman" w:eastAsia="宋体" w:cs="Times New Roman"/>
          <w:sz w:val="24"/>
        </w:rPr>
        <w:t>的工程或其中一部分工程继续施工。如</w:t>
      </w:r>
      <w:r>
        <w:rPr>
          <w:rFonts w:ascii="Times New Roman" w:hAnsi="Times New Roman" w:eastAsia="宋体" w:cs="Times New Roman"/>
          <w:sz w:val="24"/>
        </w:rPr>
        <w:t>监理人</w:t>
      </w:r>
      <w:r>
        <w:rPr>
          <w:rFonts w:hint="eastAsia" w:ascii="Times New Roman" w:hAnsi="Times New Roman" w:eastAsia="宋体" w:cs="Times New Roman"/>
          <w:sz w:val="24"/>
        </w:rPr>
        <w:t>逾期不予批准，则承包人可以通知</w:t>
      </w:r>
      <w:r>
        <w:rPr>
          <w:rFonts w:ascii="Times New Roman" w:hAnsi="Times New Roman" w:eastAsia="宋体" w:cs="Times New Roman"/>
          <w:sz w:val="24"/>
        </w:rPr>
        <w:t>监理人</w:t>
      </w:r>
      <w:r>
        <w:rPr>
          <w:rFonts w:hint="eastAsia" w:ascii="Times New Roman" w:hAnsi="Times New Roman" w:eastAsia="宋体" w:cs="Times New Roman"/>
          <w:sz w:val="24"/>
        </w:rPr>
        <w:t>，将工程受影响的部分视为按第15.1（1）项的可取消工作。如</w:t>
      </w:r>
      <w:r>
        <w:rPr>
          <w:rFonts w:ascii="Times New Roman" w:hAnsi="Times New Roman" w:eastAsia="宋体" w:cs="Times New Roman"/>
          <w:sz w:val="24"/>
        </w:rPr>
        <w:t>暂停施工</w:t>
      </w:r>
      <w:r>
        <w:rPr>
          <w:rFonts w:hint="eastAsia" w:ascii="Times New Roman" w:hAnsi="Times New Roman" w:eastAsia="宋体" w:cs="Times New Roman"/>
          <w:sz w:val="24"/>
        </w:rPr>
        <w:t>影响到整个工程，可视为发包人违约，应按第22.2款的规定办理。</w:t>
      </w:r>
    </w:p>
    <w:p w14:paraId="15FBC526">
      <w:pPr>
        <w:rPr>
          <w:rFonts w:ascii="Times New Roman" w:hAnsi="Times New Roman" w:eastAsia="宋体" w:cs="Times New Roman"/>
          <w:sz w:val="24"/>
        </w:rPr>
      </w:pPr>
      <w:r>
        <w:rPr>
          <w:rFonts w:hint="eastAsia" w:ascii="Times New Roman" w:hAnsi="Times New Roman" w:eastAsia="宋体" w:cs="Times New Roman"/>
          <w:sz w:val="24"/>
        </w:rPr>
        <w:t>12.5.2 由于</w:t>
      </w:r>
      <w:r>
        <w:rPr>
          <w:rFonts w:ascii="Times New Roman" w:hAnsi="Times New Roman" w:eastAsia="宋体" w:cs="Times New Roman"/>
          <w:sz w:val="24"/>
        </w:rPr>
        <w:t>承包人</w:t>
      </w:r>
      <w:r>
        <w:rPr>
          <w:rFonts w:hint="eastAsia" w:ascii="Times New Roman" w:hAnsi="Times New Roman" w:eastAsia="宋体" w:cs="Times New Roman"/>
          <w:sz w:val="24"/>
        </w:rPr>
        <w:t>责任引起的</w:t>
      </w:r>
      <w:r>
        <w:rPr>
          <w:rFonts w:ascii="Times New Roman" w:hAnsi="Times New Roman" w:eastAsia="宋体" w:cs="Times New Roman"/>
          <w:sz w:val="24"/>
        </w:rPr>
        <w:t>暂停施工</w:t>
      </w:r>
      <w:r>
        <w:rPr>
          <w:rFonts w:hint="eastAsia" w:ascii="Times New Roman" w:hAnsi="Times New Roman" w:eastAsia="宋体" w:cs="Times New Roman"/>
          <w:sz w:val="24"/>
        </w:rPr>
        <w:t>，如</w:t>
      </w:r>
      <w:r>
        <w:rPr>
          <w:rFonts w:ascii="Times New Roman" w:hAnsi="Times New Roman" w:eastAsia="宋体" w:cs="Times New Roman"/>
          <w:sz w:val="24"/>
        </w:rPr>
        <w:t>承包人</w:t>
      </w:r>
      <w:r>
        <w:rPr>
          <w:rFonts w:hint="eastAsia" w:ascii="Times New Roman" w:hAnsi="Times New Roman" w:eastAsia="宋体" w:cs="Times New Roman"/>
          <w:sz w:val="24"/>
        </w:rPr>
        <w:t>在收到</w:t>
      </w:r>
      <w:r>
        <w:rPr>
          <w:rFonts w:ascii="Times New Roman" w:hAnsi="Times New Roman" w:eastAsia="宋体" w:cs="Times New Roman"/>
          <w:sz w:val="24"/>
        </w:rPr>
        <w:t>监理人暂停施工指示</w:t>
      </w:r>
      <w:r>
        <w:rPr>
          <w:rFonts w:hint="eastAsia" w:ascii="Times New Roman" w:hAnsi="Times New Roman" w:eastAsia="宋体" w:cs="Times New Roman"/>
          <w:sz w:val="24"/>
        </w:rPr>
        <w:t>后56天内不认真采取有效的复工措施，造成工期延误，可视为</w:t>
      </w:r>
      <w:r>
        <w:rPr>
          <w:rFonts w:ascii="Times New Roman" w:hAnsi="Times New Roman" w:eastAsia="宋体" w:cs="Times New Roman"/>
          <w:sz w:val="24"/>
        </w:rPr>
        <w:t>承包人</w:t>
      </w:r>
      <w:r>
        <w:rPr>
          <w:rFonts w:hint="eastAsia" w:ascii="Times New Roman" w:hAnsi="Times New Roman" w:eastAsia="宋体" w:cs="Times New Roman"/>
          <w:sz w:val="24"/>
        </w:rPr>
        <w:t>违约，应按第22.1款的规定办理。</w:t>
      </w:r>
    </w:p>
    <w:p w14:paraId="09AA1215">
      <w:pPr>
        <w:rPr>
          <w:rFonts w:ascii="Times New Roman" w:hAnsi="Times New Roman" w:eastAsia="宋体" w:cs="Times New Roman"/>
          <w:sz w:val="24"/>
        </w:rPr>
      </w:pPr>
      <w:bookmarkStart w:id="1092" w:name="_Toc362252812"/>
      <w:bookmarkStart w:id="1093" w:name="_Toc338944788"/>
      <w:bookmarkStart w:id="1094" w:name="_Toc342296346"/>
      <w:r>
        <w:rPr>
          <w:rFonts w:hint="eastAsia" w:ascii="Times New Roman" w:hAnsi="Times New Roman" w:eastAsia="宋体" w:cs="Times New Roman"/>
          <w:sz w:val="24"/>
        </w:rPr>
        <w:t>13. 工程质量</w:t>
      </w:r>
      <w:bookmarkEnd w:id="1092"/>
      <w:bookmarkEnd w:id="1093"/>
      <w:bookmarkEnd w:id="1094"/>
    </w:p>
    <w:p w14:paraId="3F34567D">
      <w:pPr>
        <w:rPr>
          <w:rFonts w:ascii="Times New Roman" w:hAnsi="Times New Roman" w:eastAsia="宋体" w:cs="Times New Roman"/>
          <w:sz w:val="24"/>
        </w:rPr>
      </w:pPr>
      <w:bookmarkStart w:id="1095" w:name="_Toc144974665"/>
      <w:bookmarkStart w:id="1096" w:name="_Toc152042474"/>
      <w:bookmarkStart w:id="1097" w:name="_Toc179632714"/>
      <w:bookmarkStart w:id="1098" w:name="_Toc338944789"/>
      <w:bookmarkStart w:id="1099" w:name="_Toc362252813"/>
      <w:bookmarkStart w:id="1100" w:name="_Toc342296347"/>
      <w:bookmarkStart w:id="1101" w:name="_Toc152045696"/>
      <w:r>
        <w:rPr>
          <w:rFonts w:hint="eastAsia" w:ascii="Times New Roman" w:hAnsi="Times New Roman" w:eastAsia="宋体" w:cs="Times New Roman"/>
          <w:sz w:val="24"/>
        </w:rPr>
        <w:t>13.1 工程质量要求</w:t>
      </w:r>
      <w:bookmarkEnd w:id="1095"/>
      <w:bookmarkEnd w:id="1096"/>
      <w:bookmarkEnd w:id="1097"/>
      <w:bookmarkEnd w:id="1098"/>
      <w:bookmarkEnd w:id="1099"/>
      <w:bookmarkEnd w:id="1100"/>
      <w:bookmarkEnd w:id="1101"/>
    </w:p>
    <w:p w14:paraId="3049F0D5">
      <w:pPr>
        <w:rPr>
          <w:rFonts w:ascii="Times New Roman" w:hAnsi="Times New Roman" w:eastAsia="宋体" w:cs="Times New Roman"/>
          <w:sz w:val="24"/>
        </w:rPr>
      </w:pPr>
      <w:r>
        <w:rPr>
          <w:rFonts w:hint="eastAsia" w:ascii="Times New Roman" w:hAnsi="Times New Roman" w:eastAsia="宋体" w:cs="Times New Roman"/>
          <w:sz w:val="24"/>
        </w:rPr>
        <w:t>13.1.1 工程质量验收按合同约定验收标准执行。</w:t>
      </w:r>
    </w:p>
    <w:p w14:paraId="24E87127">
      <w:pPr>
        <w:rPr>
          <w:rFonts w:ascii="Times New Roman" w:hAnsi="Times New Roman" w:eastAsia="宋体" w:cs="Times New Roman"/>
          <w:sz w:val="24"/>
        </w:rPr>
      </w:pPr>
      <w:r>
        <w:rPr>
          <w:rFonts w:hint="eastAsia" w:ascii="Times New Roman" w:hAnsi="Times New Roman" w:eastAsia="宋体" w:cs="Times New Roman"/>
          <w:sz w:val="24"/>
        </w:rPr>
        <w:t>13.1.2 因承包人原因造成工程质量达不到合同约定验收标准的，监理人有权要求承包人返工直至符合合同要求为止，由此造成的费用增加和（或）工期延误由承包人承担。</w:t>
      </w:r>
    </w:p>
    <w:p w14:paraId="33979671">
      <w:pPr>
        <w:rPr>
          <w:rFonts w:ascii="Times New Roman" w:hAnsi="Times New Roman" w:eastAsia="宋体" w:cs="Times New Roman"/>
          <w:sz w:val="24"/>
        </w:rPr>
      </w:pPr>
      <w:r>
        <w:rPr>
          <w:rFonts w:hint="eastAsia" w:ascii="Times New Roman" w:hAnsi="Times New Roman" w:eastAsia="宋体" w:cs="Times New Roman"/>
          <w:sz w:val="24"/>
        </w:rPr>
        <w:t>13.1.3 因发包人原因造成工程质量达不到合同约定验收标准的，发包人应承担由于承包人返工造成的费用增加和（或）工期延误，并支付承包人合理利润。</w:t>
      </w:r>
    </w:p>
    <w:p w14:paraId="7CFF3A31">
      <w:pPr>
        <w:rPr>
          <w:rFonts w:ascii="Times New Roman" w:hAnsi="Times New Roman" w:eastAsia="宋体" w:cs="Times New Roman"/>
          <w:sz w:val="24"/>
        </w:rPr>
      </w:pPr>
      <w:bookmarkStart w:id="1102" w:name="_Toc362252814"/>
      <w:bookmarkStart w:id="1103" w:name="_Toc342296348"/>
      <w:bookmarkStart w:id="1104" w:name="_Toc338944790"/>
      <w:r>
        <w:rPr>
          <w:rFonts w:hint="eastAsia" w:ascii="Times New Roman" w:hAnsi="Times New Roman" w:eastAsia="宋体" w:cs="Times New Roman"/>
          <w:sz w:val="24"/>
        </w:rPr>
        <w:t>13.2 承包人的质量管理</w:t>
      </w:r>
      <w:bookmarkEnd w:id="1102"/>
      <w:bookmarkEnd w:id="1103"/>
      <w:bookmarkEnd w:id="1104"/>
    </w:p>
    <w:p w14:paraId="7C51C01C">
      <w:pPr>
        <w:rPr>
          <w:rFonts w:ascii="Times New Roman" w:hAnsi="Times New Roman" w:eastAsia="宋体" w:cs="Times New Roman"/>
          <w:sz w:val="24"/>
        </w:rPr>
      </w:pPr>
      <w:r>
        <w:rPr>
          <w:rFonts w:hint="eastAsia" w:ascii="Times New Roman" w:hAnsi="Times New Roman" w:eastAsia="宋体" w:cs="Times New Roman"/>
          <w:sz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02FBB39C">
      <w:pPr>
        <w:rPr>
          <w:rFonts w:ascii="Times New Roman" w:hAnsi="Times New Roman" w:eastAsia="宋体" w:cs="Times New Roman"/>
          <w:sz w:val="24"/>
        </w:rPr>
      </w:pPr>
      <w:r>
        <w:rPr>
          <w:rFonts w:hint="eastAsia" w:ascii="Times New Roman" w:hAnsi="Times New Roman" w:eastAsia="宋体" w:cs="Times New Roman"/>
          <w:sz w:val="24"/>
        </w:rPr>
        <w:t>13.2.2 承包人应加强对施工人员的质量教育和技术培训，定期考核施工人员的劳动技能，严格执行规范和操作规程。</w:t>
      </w:r>
    </w:p>
    <w:p w14:paraId="1C44760E">
      <w:pPr>
        <w:rPr>
          <w:rFonts w:ascii="Times New Roman" w:hAnsi="Times New Roman" w:eastAsia="宋体" w:cs="Times New Roman"/>
          <w:sz w:val="24"/>
        </w:rPr>
      </w:pPr>
      <w:bookmarkStart w:id="1105" w:name="_Toc338944791"/>
      <w:bookmarkStart w:id="1106" w:name="_Toc342296349"/>
      <w:bookmarkStart w:id="1107" w:name="_Toc362252815"/>
      <w:r>
        <w:rPr>
          <w:rFonts w:hint="eastAsia" w:ascii="Times New Roman" w:hAnsi="Times New Roman" w:eastAsia="宋体" w:cs="Times New Roman"/>
          <w:sz w:val="24"/>
        </w:rPr>
        <w:t>13.3 承包人的质量检查</w:t>
      </w:r>
      <w:bookmarkEnd w:id="1105"/>
      <w:bookmarkEnd w:id="1106"/>
      <w:bookmarkEnd w:id="1107"/>
    </w:p>
    <w:p w14:paraId="5B0B5896">
      <w:pPr>
        <w:rPr>
          <w:rFonts w:ascii="Times New Roman" w:hAnsi="Times New Roman" w:eastAsia="宋体" w:cs="Times New Roman"/>
          <w:sz w:val="24"/>
        </w:rPr>
      </w:pPr>
      <w:r>
        <w:rPr>
          <w:rFonts w:hint="eastAsia" w:ascii="Times New Roman" w:hAnsi="Times New Roman" w:eastAsia="宋体" w:cs="Times New Roman"/>
          <w:sz w:val="24"/>
        </w:rPr>
        <w:t>承包人应按合同约定对材料、工程设备以及工程的所有部位及其施工工艺进行全过程的质量检查和检验，并作详细记录，编制工程质量报表，报送监理人审查。</w:t>
      </w:r>
    </w:p>
    <w:p w14:paraId="4EA5B23B">
      <w:pPr>
        <w:rPr>
          <w:rFonts w:ascii="Times New Roman" w:hAnsi="Times New Roman" w:eastAsia="宋体" w:cs="Times New Roman"/>
          <w:sz w:val="24"/>
        </w:rPr>
      </w:pPr>
      <w:bookmarkStart w:id="1108" w:name="_Toc362252816"/>
      <w:bookmarkStart w:id="1109" w:name="_Toc338944792"/>
      <w:bookmarkStart w:id="1110" w:name="_Toc342296350"/>
      <w:r>
        <w:rPr>
          <w:rFonts w:hint="eastAsia" w:ascii="Times New Roman" w:hAnsi="Times New Roman" w:eastAsia="宋体" w:cs="Times New Roman"/>
          <w:sz w:val="24"/>
        </w:rPr>
        <w:t>13.4 监理人的质量检查</w:t>
      </w:r>
      <w:bookmarkEnd w:id="1108"/>
      <w:bookmarkEnd w:id="1109"/>
      <w:bookmarkEnd w:id="1110"/>
    </w:p>
    <w:p w14:paraId="307A8918">
      <w:pPr>
        <w:rPr>
          <w:rFonts w:ascii="Times New Roman" w:hAnsi="Times New Roman" w:eastAsia="宋体" w:cs="Times New Roman"/>
          <w:sz w:val="24"/>
        </w:rPr>
      </w:pPr>
      <w:r>
        <w:rPr>
          <w:rFonts w:hint="eastAsia" w:ascii="Times New Roman" w:hAnsi="Times New Roman" w:eastAsia="宋体" w:cs="Times New Roman"/>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1D5D3679">
      <w:pPr>
        <w:rPr>
          <w:rFonts w:ascii="Times New Roman" w:hAnsi="Times New Roman" w:eastAsia="宋体" w:cs="Times New Roman"/>
          <w:sz w:val="24"/>
        </w:rPr>
      </w:pPr>
      <w:bookmarkStart w:id="1111" w:name="_Toc338944793"/>
      <w:bookmarkStart w:id="1112" w:name="_Toc342296351"/>
      <w:bookmarkStart w:id="1113" w:name="_Toc362252817"/>
      <w:r>
        <w:rPr>
          <w:rFonts w:hint="eastAsia" w:ascii="Times New Roman" w:hAnsi="Times New Roman" w:eastAsia="宋体" w:cs="Times New Roman"/>
          <w:sz w:val="24"/>
        </w:rPr>
        <w:t>13.5 工程隐蔽部位覆盖前的检查</w:t>
      </w:r>
      <w:bookmarkEnd w:id="1111"/>
      <w:bookmarkEnd w:id="1112"/>
      <w:bookmarkEnd w:id="1113"/>
    </w:p>
    <w:p w14:paraId="155D9990">
      <w:pPr>
        <w:rPr>
          <w:rFonts w:ascii="Times New Roman" w:hAnsi="Times New Roman" w:eastAsia="宋体" w:cs="Times New Roman"/>
          <w:sz w:val="24"/>
        </w:rPr>
      </w:pPr>
      <w:r>
        <w:rPr>
          <w:rFonts w:hint="eastAsia" w:ascii="Times New Roman" w:hAnsi="Times New Roman" w:eastAsia="宋体" w:cs="Times New Roman"/>
          <w:sz w:val="24"/>
        </w:rPr>
        <w:t xml:space="preserve">13.5.1 </w:t>
      </w:r>
      <w:r>
        <w:rPr>
          <w:rFonts w:hint="eastAsia" w:ascii="黑体" w:hAnsi="Times New Roman" w:eastAsia="黑体" w:cs="Times New Roman"/>
          <w:sz w:val="24"/>
        </w:rPr>
        <w:t>通知监理人检查</w:t>
      </w:r>
    </w:p>
    <w:p w14:paraId="60CD8DC2">
      <w:pPr>
        <w:rPr>
          <w:rFonts w:ascii="Times New Roman" w:hAnsi="Times New Roman" w:eastAsia="宋体" w:cs="Times New Roman"/>
          <w:sz w:val="24"/>
        </w:rPr>
      </w:pPr>
      <w:r>
        <w:rPr>
          <w:rFonts w:hint="eastAsia" w:ascii="Times New Roman" w:hAnsi="Times New Roman" w:eastAsia="宋体" w:cs="Times New Roman"/>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CFA6CA">
      <w:pPr>
        <w:rPr>
          <w:rFonts w:ascii="Times New Roman" w:hAnsi="Times New Roman" w:eastAsia="宋体" w:cs="Times New Roman"/>
          <w:sz w:val="24"/>
        </w:rPr>
      </w:pPr>
      <w:r>
        <w:rPr>
          <w:rFonts w:hint="eastAsia" w:ascii="Times New Roman" w:hAnsi="Times New Roman" w:eastAsia="宋体" w:cs="Times New Roman"/>
          <w:sz w:val="24"/>
        </w:rPr>
        <w:t xml:space="preserve">13.5.2 </w:t>
      </w:r>
      <w:r>
        <w:rPr>
          <w:rFonts w:hint="eastAsia" w:ascii="黑体" w:hAnsi="Times New Roman" w:eastAsia="黑体" w:cs="Times New Roman"/>
          <w:sz w:val="24"/>
        </w:rPr>
        <w:t>监理人未到场检查</w:t>
      </w:r>
    </w:p>
    <w:p w14:paraId="4283F5CC">
      <w:pPr>
        <w:rPr>
          <w:rFonts w:ascii="Times New Roman" w:hAnsi="Times New Roman" w:eastAsia="宋体" w:cs="Times New Roman"/>
          <w:sz w:val="24"/>
        </w:rPr>
      </w:pPr>
      <w:r>
        <w:rPr>
          <w:rFonts w:hint="eastAsia" w:ascii="Times New Roman" w:hAnsi="Times New Roman" w:eastAsia="宋体" w:cs="Times New Roman"/>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0678DF9">
      <w:pPr>
        <w:rPr>
          <w:rFonts w:ascii="Times New Roman" w:hAnsi="Times New Roman" w:eastAsia="宋体" w:cs="Times New Roman"/>
          <w:sz w:val="24"/>
        </w:rPr>
      </w:pPr>
      <w:r>
        <w:rPr>
          <w:rFonts w:hint="eastAsia" w:ascii="Times New Roman" w:hAnsi="Times New Roman" w:eastAsia="宋体" w:cs="Times New Roman"/>
          <w:sz w:val="24"/>
        </w:rPr>
        <w:t xml:space="preserve">13.5.3 </w:t>
      </w:r>
      <w:r>
        <w:rPr>
          <w:rFonts w:hint="eastAsia" w:ascii="黑体" w:hAnsi="Times New Roman" w:eastAsia="黑体" w:cs="Times New Roman"/>
          <w:sz w:val="24"/>
        </w:rPr>
        <w:t>监理人重新检查</w:t>
      </w:r>
    </w:p>
    <w:p w14:paraId="661DF5DC">
      <w:pPr>
        <w:rPr>
          <w:rFonts w:ascii="Times New Roman" w:hAnsi="Times New Roman" w:eastAsia="宋体" w:cs="Times New Roman"/>
          <w:sz w:val="24"/>
        </w:rPr>
      </w:pPr>
      <w:r>
        <w:rPr>
          <w:rFonts w:hint="eastAsia" w:ascii="Times New Roman" w:hAnsi="Times New Roman" w:eastAsia="宋体" w:cs="Times New Roman"/>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24F1423">
      <w:pPr>
        <w:rPr>
          <w:rFonts w:ascii="Times New Roman" w:hAnsi="Times New Roman" w:eastAsia="宋体" w:cs="Times New Roman"/>
          <w:sz w:val="24"/>
        </w:rPr>
      </w:pPr>
      <w:r>
        <w:rPr>
          <w:rFonts w:hint="eastAsia" w:ascii="Times New Roman" w:hAnsi="Times New Roman" w:eastAsia="宋体" w:cs="Times New Roman"/>
          <w:sz w:val="24"/>
        </w:rPr>
        <w:t xml:space="preserve">13.5.4 </w:t>
      </w:r>
      <w:r>
        <w:rPr>
          <w:rFonts w:hint="eastAsia" w:ascii="黑体" w:hAnsi="Times New Roman" w:eastAsia="黑体" w:cs="Times New Roman"/>
          <w:sz w:val="24"/>
        </w:rPr>
        <w:t>承包人私自覆盖</w:t>
      </w:r>
    </w:p>
    <w:p w14:paraId="39EA76E8">
      <w:pPr>
        <w:rPr>
          <w:rFonts w:ascii="Times New Roman" w:hAnsi="Times New Roman" w:eastAsia="宋体" w:cs="Times New Roman"/>
          <w:sz w:val="24"/>
        </w:rPr>
      </w:pPr>
      <w:r>
        <w:rPr>
          <w:rFonts w:hint="eastAsia" w:ascii="Times New Roman" w:hAnsi="Times New Roman" w:eastAsia="宋体" w:cs="Times New Roman"/>
          <w:sz w:val="24"/>
        </w:rPr>
        <w:t>承包人未通知监理人到场检查，私自将工程隐蔽部位覆盖的，监理人有权指示承包人钻孔探测或揭开检查，由此增加的费用和（或）工期延误由承包人承担。</w:t>
      </w:r>
    </w:p>
    <w:p w14:paraId="0C94B64D">
      <w:pPr>
        <w:rPr>
          <w:rFonts w:ascii="Times New Roman" w:hAnsi="Times New Roman" w:eastAsia="宋体" w:cs="Times New Roman"/>
          <w:sz w:val="24"/>
        </w:rPr>
      </w:pPr>
      <w:bookmarkStart w:id="1114" w:name="_Toc152045701"/>
      <w:bookmarkStart w:id="1115" w:name="_Toc144974670"/>
      <w:bookmarkStart w:id="1116" w:name="_Toc179632719"/>
      <w:bookmarkStart w:id="1117" w:name="_Toc338944794"/>
      <w:bookmarkStart w:id="1118" w:name="_Toc152042479"/>
      <w:bookmarkStart w:id="1119" w:name="_Toc342296352"/>
      <w:bookmarkStart w:id="1120" w:name="_Toc362252818"/>
      <w:r>
        <w:rPr>
          <w:rFonts w:hint="eastAsia" w:ascii="Times New Roman" w:hAnsi="Times New Roman" w:eastAsia="宋体" w:cs="Times New Roman"/>
          <w:sz w:val="24"/>
        </w:rPr>
        <w:t>13.6 清除不合格工程</w:t>
      </w:r>
      <w:bookmarkEnd w:id="1114"/>
      <w:bookmarkEnd w:id="1115"/>
      <w:bookmarkEnd w:id="1116"/>
      <w:bookmarkEnd w:id="1117"/>
      <w:bookmarkEnd w:id="1118"/>
      <w:bookmarkEnd w:id="1119"/>
      <w:bookmarkEnd w:id="1120"/>
    </w:p>
    <w:p w14:paraId="073B280C">
      <w:pPr>
        <w:rPr>
          <w:rFonts w:ascii="Times New Roman" w:hAnsi="Times New Roman" w:eastAsia="宋体" w:cs="Times New Roman"/>
          <w:sz w:val="24"/>
        </w:rPr>
      </w:pPr>
      <w:r>
        <w:rPr>
          <w:rFonts w:hint="eastAsia" w:ascii="Times New Roman" w:hAnsi="Times New Roman" w:eastAsia="宋体" w:cs="Times New Roman"/>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D96F67D">
      <w:pPr>
        <w:rPr>
          <w:rFonts w:ascii="Times New Roman" w:hAnsi="Times New Roman" w:eastAsia="宋体" w:cs="Times New Roman"/>
          <w:sz w:val="24"/>
        </w:rPr>
      </w:pPr>
      <w:r>
        <w:rPr>
          <w:rFonts w:hint="eastAsia" w:ascii="Times New Roman" w:hAnsi="Times New Roman" w:eastAsia="宋体" w:cs="Times New Roman"/>
          <w:sz w:val="24"/>
        </w:rPr>
        <w:t>13.6.2 由于发包人提供的材料或工程设备不合格造成的工程不合格，需要承包人采取措施补救的，发包人应承担由此增加的费用和（或）工期延误，并支付承包人合理利润。</w:t>
      </w:r>
    </w:p>
    <w:p w14:paraId="7571153B">
      <w:pPr>
        <w:rPr>
          <w:rFonts w:ascii="Times New Roman" w:hAnsi="Times New Roman" w:eastAsia="宋体" w:cs="Times New Roman"/>
          <w:sz w:val="24"/>
        </w:rPr>
      </w:pPr>
      <w:bookmarkStart w:id="1121" w:name="_Toc152042480"/>
      <w:bookmarkStart w:id="1122" w:name="_Toc179632720"/>
      <w:bookmarkStart w:id="1123" w:name="_Toc152045702"/>
      <w:bookmarkStart w:id="1124" w:name="_Toc342296353"/>
      <w:bookmarkStart w:id="1125" w:name="_Toc144974671"/>
      <w:bookmarkStart w:id="1126" w:name="_Toc362252819"/>
      <w:bookmarkStart w:id="1127" w:name="_Toc338944795"/>
      <w:r>
        <w:rPr>
          <w:rFonts w:hint="eastAsia" w:ascii="Times New Roman" w:hAnsi="Times New Roman" w:eastAsia="宋体" w:cs="Times New Roman"/>
          <w:sz w:val="24"/>
        </w:rPr>
        <w:t>14. 试验和检验</w:t>
      </w:r>
      <w:bookmarkEnd w:id="1121"/>
      <w:bookmarkEnd w:id="1122"/>
      <w:bookmarkEnd w:id="1123"/>
      <w:bookmarkEnd w:id="1124"/>
      <w:bookmarkEnd w:id="1125"/>
      <w:bookmarkEnd w:id="1126"/>
      <w:bookmarkEnd w:id="1127"/>
    </w:p>
    <w:p w14:paraId="10A802F8">
      <w:pPr>
        <w:rPr>
          <w:rFonts w:ascii="Times New Roman" w:hAnsi="Times New Roman" w:eastAsia="宋体" w:cs="Times New Roman"/>
          <w:sz w:val="24"/>
        </w:rPr>
      </w:pPr>
      <w:bookmarkStart w:id="1128" w:name="_Toc179632721"/>
      <w:bookmarkStart w:id="1129" w:name="_Toc342296354"/>
      <w:bookmarkStart w:id="1130" w:name="_Toc362252820"/>
      <w:bookmarkStart w:id="1131" w:name="_Toc338944796"/>
      <w:bookmarkStart w:id="1132" w:name="_Toc152045703"/>
      <w:bookmarkStart w:id="1133" w:name="_Toc152042481"/>
      <w:bookmarkStart w:id="1134" w:name="_Toc144974672"/>
      <w:r>
        <w:rPr>
          <w:rFonts w:hint="eastAsia" w:ascii="Times New Roman" w:hAnsi="Times New Roman" w:eastAsia="宋体" w:cs="Times New Roman"/>
          <w:sz w:val="24"/>
        </w:rPr>
        <w:t>14.1 材料、工程设备和工程的试验和检验</w:t>
      </w:r>
      <w:bookmarkEnd w:id="1128"/>
      <w:bookmarkEnd w:id="1129"/>
      <w:bookmarkEnd w:id="1130"/>
      <w:bookmarkEnd w:id="1131"/>
      <w:bookmarkEnd w:id="1132"/>
      <w:bookmarkEnd w:id="1133"/>
      <w:bookmarkEnd w:id="1134"/>
    </w:p>
    <w:p w14:paraId="472636CB">
      <w:pPr>
        <w:rPr>
          <w:rFonts w:ascii="Times New Roman" w:hAnsi="Times New Roman" w:eastAsia="宋体" w:cs="Times New Roman"/>
          <w:sz w:val="24"/>
        </w:rPr>
      </w:pPr>
      <w:r>
        <w:rPr>
          <w:rFonts w:hint="eastAsia" w:ascii="Times New Roman" w:hAnsi="Times New Roman" w:eastAsia="宋体" w:cs="Times New Roman"/>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DE39BA9">
      <w:pPr>
        <w:rPr>
          <w:rFonts w:ascii="Times New Roman" w:hAnsi="Times New Roman" w:eastAsia="宋体" w:cs="Times New Roman"/>
          <w:sz w:val="24"/>
        </w:rPr>
      </w:pPr>
      <w:r>
        <w:rPr>
          <w:rFonts w:hint="eastAsia" w:ascii="Times New Roman" w:hAnsi="Times New Roman" w:eastAsia="宋体" w:cs="Times New Roman"/>
          <w:sz w:val="24"/>
        </w:rPr>
        <w:t>14.1.2 监理人未按合同约定派员参加试验和检验的，除监理人另有指示外，承包人可自行试验和检验，并应立即将试验和检验结果报送监理人，监理人应签字确认。</w:t>
      </w:r>
    </w:p>
    <w:p w14:paraId="04FA2780">
      <w:pPr>
        <w:rPr>
          <w:rFonts w:ascii="Times New Roman" w:hAnsi="Times New Roman" w:eastAsia="宋体" w:cs="Times New Roman"/>
          <w:sz w:val="24"/>
        </w:rPr>
      </w:pPr>
      <w:r>
        <w:rPr>
          <w:rFonts w:hint="eastAsia" w:ascii="Times New Roman" w:hAnsi="Times New Roman" w:eastAsia="宋体" w:cs="Times New Roman"/>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CA71228">
      <w:pPr>
        <w:rPr>
          <w:rFonts w:ascii="Times New Roman" w:hAnsi="Times New Roman" w:eastAsia="宋体" w:cs="Times New Roman"/>
          <w:sz w:val="24"/>
        </w:rPr>
      </w:pPr>
      <w:bookmarkStart w:id="1135" w:name="_Toc152045704"/>
      <w:bookmarkStart w:id="1136" w:name="_Toc144974673"/>
      <w:bookmarkStart w:id="1137" w:name="_Toc152042482"/>
      <w:bookmarkStart w:id="1138" w:name="_Toc342296355"/>
      <w:bookmarkStart w:id="1139" w:name="_Toc179632722"/>
      <w:bookmarkStart w:id="1140" w:name="_Toc338944797"/>
      <w:bookmarkStart w:id="1141" w:name="_Toc362252821"/>
      <w:r>
        <w:rPr>
          <w:rFonts w:hint="eastAsia" w:ascii="Times New Roman" w:hAnsi="Times New Roman" w:eastAsia="宋体" w:cs="Times New Roman"/>
          <w:sz w:val="24"/>
        </w:rPr>
        <w:t>14.2 现场材料试验</w:t>
      </w:r>
      <w:bookmarkEnd w:id="1135"/>
      <w:bookmarkEnd w:id="1136"/>
      <w:bookmarkEnd w:id="1137"/>
      <w:bookmarkEnd w:id="1138"/>
      <w:bookmarkEnd w:id="1139"/>
      <w:bookmarkEnd w:id="1140"/>
      <w:bookmarkEnd w:id="1141"/>
    </w:p>
    <w:p w14:paraId="55C745A5">
      <w:pPr>
        <w:rPr>
          <w:rFonts w:ascii="Times New Roman" w:hAnsi="Times New Roman" w:eastAsia="宋体" w:cs="Times New Roman"/>
          <w:sz w:val="24"/>
        </w:rPr>
      </w:pPr>
      <w:r>
        <w:rPr>
          <w:rFonts w:hint="eastAsia" w:ascii="Times New Roman" w:hAnsi="Times New Roman" w:eastAsia="宋体" w:cs="Times New Roman"/>
          <w:sz w:val="24"/>
        </w:rPr>
        <w:t>14.2.1 承包人根据合同约定或监理人指示进行的现场材料试验，应由承包人提供试验场所、试验人员、试验设备器材以及其他必要的试验条件。</w:t>
      </w:r>
    </w:p>
    <w:p w14:paraId="03C55240">
      <w:pPr>
        <w:rPr>
          <w:rFonts w:ascii="Times New Roman" w:hAnsi="Times New Roman" w:eastAsia="宋体" w:cs="Times New Roman"/>
          <w:sz w:val="24"/>
        </w:rPr>
      </w:pPr>
      <w:r>
        <w:rPr>
          <w:rFonts w:hint="eastAsia" w:ascii="Times New Roman" w:hAnsi="Times New Roman" w:eastAsia="宋体" w:cs="Times New Roman"/>
          <w:sz w:val="24"/>
        </w:rPr>
        <w:t>14.2.2 监理人在必要时可以使用承包人的试验场所、试验设备器材以及其他试验条件，进行以工程质量检查为目的的复核性材料试验，承包人应予以协助。</w:t>
      </w:r>
    </w:p>
    <w:p w14:paraId="57739B51">
      <w:pPr>
        <w:rPr>
          <w:rFonts w:ascii="Times New Roman" w:hAnsi="Times New Roman" w:eastAsia="宋体" w:cs="Times New Roman"/>
          <w:sz w:val="24"/>
        </w:rPr>
      </w:pPr>
      <w:bookmarkStart w:id="1142" w:name="_Toc179632723"/>
      <w:bookmarkStart w:id="1143" w:name="_Toc362252822"/>
      <w:bookmarkStart w:id="1144" w:name="_Toc144974674"/>
      <w:bookmarkStart w:id="1145" w:name="_Toc152042483"/>
      <w:bookmarkStart w:id="1146" w:name="_Toc152045705"/>
      <w:bookmarkStart w:id="1147" w:name="_Toc342296356"/>
      <w:bookmarkStart w:id="1148" w:name="_Toc338944798"/>
      <w:r>
        <w:rPr>
          <w:rFonts w:hint="eastAsia" w:ascii="Times New Roman" w:hAnsi="Times New Roman" w:eastAsia="宋体" w:cs="Times New Roman"/>
          <w:sz w:val="24"/>
        </w:rPr>
        <w:t>14.3 现场工艺试验</w:t>
      </w:r>
      <w:bookmarkEnd w:id="1142"/>
      <w:bookmarkEnd w:id="1143"/>
      <w:bookmarkEnd w:id="1144"/>
      <w:bookmarkEnd w:id="1145"/>
      <w:bookmarkEnd w:id="1146"/>
      <w:bookmarkEnd w:id="1147"/>
      <w:bookmarkEnd w:id="1148"/>
    </w:p>
    <w:p w14:paraId="3D9FFAAA">
      <w:pPr>
        <w:rPr>
          <w:rFonts w:ascii="Times New Roman" w:hAnsi="Times New Roman" w:eastAsia="宋体" w:cs="Times New Roman"/>
          <w:sz w:val="24"/>
        </w:rPr>
      </w:pPr>
      <w:r>
        <w:rPr>
          <w:rFonts w:hint="eastAsia" w:ascii="Times New Roman" w:hAnsi="Times New Roman" w:eastAsia="宋体" w:cs="Times New Roman"/>
          <w:sz w:val="24"/>
        </w:rPr>
        <w:t>承包人应按合同约定或监理人指示进行现场工艺试验。对大型的现场工艺试验，监理人认为必要时，应由承包人根据监理人提出的工艺试验要求，编制工艺试验措施计划，报送监理人审批。</w:t>
      </w:r>
    </w:p>
    <w:p w14:paraId="741EF56F">
      <w:pPr>
        <w:rPr>
          <w:rFonts w:ascii="Times New Roman" w:hAnsi="Times New Roman" w:eastAsia="宋体" w:cs="Times New Roman"/>
          <w:sz w:val="24"/>
        </w:rPr>
      </w:pPr>
      <w:bookmarkStart w:id="1149" w:name="_Toc342296357"/>
      <w:bookmarkStart w:id="1150" w:name="_Toc362252823"/>
      <w:bookmarkStart w:id="1151" w:name="_Toc338944799"/>
      <w:r>
        <w:rPr>
          <w:rFonts w:hint="eastAsia" w:ascii="Times New Roman" w:hAnsi="Times New Roman" w:eastAsia="宋体" w:cs="Times New Roman"/>
          <w:sz w:val="24"/>
        </w:rPr>
        <w:t>15. 变更</w:t>
      </w:r>
      <w:bookmarkEnd w:id="1149"/>
      <w:bookmarkEnd w:id="1150"/>
      <w:bookmarkEnd w:id="1151"/>
    </w:p>
    <w:p w14:paraId="230894FF">
      <w:pPr>
        <w:rPr>
          <w:rFonts w:ascii="Times New Roman" w:hAnsi="Times New Roman" w:eastAsia="宋体" w:cs="Times New Roman"/>
          <w:sz w:val="24"/>
        </w:rPr>
      </w:pPr>
      <w:bookmarkStart w:id="1152" w:name="_Toc338944800"/>
      <w:bookmarkStart w:id="1153" w:name="_Toc362252824"/>
      <w:bookmarkStart w:id="1154" w:name="_Toc342296358"/>
      <w:r>
        <w:rPr>
          <w:rFonts w:hint="eastAsia" w:ascii="Times New Roman" w:hAnsi="Times New Roman" w:eastAsia="宋体" w:cs="Times New Roman"/>
          <w:sz w:val="24"/>
        </w:rPr>
        <w:t>15.1 变更的范围和内容</w:t>
      </w:r>
      <w:bookmarkEnd w:id="1152"/>
      <w:bookmarkEnd w:id="1153"/>
      <w:bookmarkEnd w:id="1154"/>
    </w:p>
    <w:p w14:paraId="122E4AB7">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除专用合同条款另有约定外，在履行合同中发生以下情形之一，应按照本条规定进行变更。</w:t>
      </w:r>
    </w:p>
    <w:p w14:paraId="39C37CFD">
      <w:pPr>
        <w:rPr>
          <w:rFonts w:ascii="Times New Roman" w:hAnsi="Times New Roman" w:eastAsia="宋体" w:cs="Times New Roman"/>
          <w:sz w:val="24"/>
        </w:rPr>
      </w:pPr>
      <w:r>
        <w:rPr>
          <w:rFonts w:hint="eastAsia" w:ascii="Times New Roman" w:hAnsi="Times New Roman" w:eastAsia="宋体" w:cs="Times New Roman"/>
          <w:sz w:val="24"/>
        </w:rPr>
        <w:t>（1）取消合同中任何一项工作，但被取消的工作不能转由发包人或其他人实施；</w:t>
      </w:r>
    </w:p>
    <w:p w14:paraId="454E2F50">
      <w:pPr>
        <w:rPr>
          <w:rFonts w:ascii="Times New Roman" w:hAnsi="Times New Roman" w:eastAsia="宋体" w:cs="Times New Roman"/>
          <w:sz w:val="24"/>
        </w:rPr>
      </w:pPr>
      <w:r>
        <w:rPr>
          <w:rFonts w:hint="eastAsia" w:ascii="Times New Roman" w:hAnsi="Times New Roman" w:eastAsia="宋体" w:cs="Times New Roman"/>
          <w:sz w:val="24"/>
        </w:rPr>
        <w:t>（2）改变合同中任何一项工作的质量或其他特性；</w:t>
      </w:r>
    </w:p>
    <w:p w14:paraId="0DF886FE">
      <w:pPr>
        <w:rPr>
          <w:rFonts w:ascii="Times New Roman" w:hAnsi="Times New Roman" w:eastAsia="宋体" w:cs="Times New Roman"/>
          <w:sz w:val="24"/>
        </w:rPr>
      </w:pPr>
      <w:r>
        <w:rPr>
          <w:rFonts w:hint="eastAsia" w:ascii="Times New Roman" w:hAnsi="Times New Roman" w:eastAsia="宋体" w:cs="Times New Roman"/>
          <w:sz w:val="24"/>
        </w:rPr>
        <w:t>（3）改变合同工程的基线、标高、位置或尺寸；</w:t>
      </w:r>
    </w:p>
    <w:p w14:paraId="29054DFF">
      <w:pPr>
        <w:rPr>
          <w:rFonts w:ascii="Times New Roman" w:hAnsi="Times New Roman" w:eastAsia="宋体" w:cs="Times New Roman"/>
          <w:sz w:val="24"/>
        </w:rPr>
      </w:pPr>
      <w:r>
        <w:rPr>
          <w:rFonts w:hint="eastAsia" w:ascii="Times New Roman" w:hAnsi="Times New Roman" w:eastAsia="宋体" w:cs="Times New Roman"/>
          <w:sz w:val="24"/>
        </w:rPr>
        <w:t>（4）改变合同中任何一项工作的施工时间或改变已批准的施工工艺或顺序；</w:t>
      </w:r>
    </w:p>
    <w:p w14:paraId="14C02530">
      <w:pPr>
        <w:rPr>
          <w:rFonts w:ascii="Times New Roman" w:hAnsi="Times New Roman" w:eastAsia="宋体" w:cs="Times New Roman"/>
          <w:sz w:val="24"/>
        </w:rPr>
      </w:pPr>
      <w:r>
        <w:rPr>
          <w:rFonts w:hint="eastAsia" w:ascii="Times New Roman" w:hAnsi="Times New Roman" w:eastAsia="宋体" w:cs="Times New Roman"/>
          <w:sz w:val="24"/>
        </w:rPr>
        <w:t>（5）为完成工程需要追加的额外工作。</w:t>
      </w:r>
    </w:p>
    <w:p w14:paraId="468DEE6D">
      <w:pPr>
        <w:rPr>
          <w:rFonts w:ascii="Times New Roman" w:hAnsi="Times New Roman" w:eastAsia="宋体" w:cs="Times New Roman"/>
          <w:sz w:val="24"/>
        </w:rPr>
      </w:pPr>
      <w:bookmarkStart w:id="1155" w:name="_Toc144974677"/>
      <w:bookmarkStart w:id="1156" w:name="_Toc342296359"/>
      <w:bookmarkStart w:id="1157" w:name="_Toc152042486"/>
      <w:bookmarkStart w:id="1158" w:name="_Toc179632726"/>
      <w:bookmarkStart w:id="1159" w:name="_Toc338944801"/>
      <w:bookmarkStart w:id="1160" w:name="_Toc362252825"/>
      <w:bookmarkStart w:id="1161" w:name="_Toc152045708"/>
      <w:r>
        <w:rPr>
          <w:rFonts w:hint="eastAsia" w:ascii="Times New Roman" w:hAnsi="Times New Roman" w:eastAsia="宋体" w:cs="Times New Roman"/>
          <w:sz w:val="24"/>
        </w:rPr>
        <w:t>15.2 变更权</w:t>
      </w:r>
      <w:bookmarkEnd w:id="1155"/>
      <w:bookmarkEnd w:id="1156"/>
      <w:bookmarkEnd w:id="1157"/>
      <w:bookmarkEnd w:id="1158"/>
      <w:bookmarkEnd w:id="1159"/>
      <w:bookmarkEnd w:id="1160"/>
      <w:bookmarkEnd w:id="1161"/>
    </w:p>
    <w:p w14:paraId="6BF2A32F">
      <w:pPr>
        <w:rPr>
          <w:rFonts w:ascii="Times New Roman" w:hAnsi="Times New Roman" w:eastAsia="宋体" w:cs="Times New Roman"/>
          <w:sz w:val="24"/>
        </w:rPr>
      </w:pPr>
      <w:r>
        <w:rPr>
          <w:rFonts w:hint="eastAsia" w:ascii="Times New Roman" w:hAnsi="Times New Roman" w:eastAsia="宋体" w:cs="Times New Roman"/>
          <w:sz w:val="24"/>
        </w:rPr>
        <w:t>在履行合同过程中，经发包人同意，监理人可按第15.3款约定的变更程序向承包人作出变更指示，承包人应遵照执行。没有监理人的变更指示，承包人不得擅自变更。</w:t>
      </w:r>
    </w:p>
    <w:p w14:paraId="762ABEED">
      <w:pPr>
        <w:rPr>
          <w:rFonts w:ascii="Times New Roman" w:hAnsi="Times New Roman" w:eastAsia="宋体" w:cs="Times New Roman"/>
          <w:sz w:val="24"/>
        </w:rPr>
      </w:pPr>
      <w:bookmarkStart w:id="1162" w:name="_Toc342296360"/>
      <w:bookmarkStart w:id="1163" w:name="_Toc362252826"/>
      <w:bookmarkStart w:id="1164" w:name="_Toc338944802"/>
      <w:r>
        <w:rPr>
          <w:rFonts w:hint="eastAsia" w:ascii="Times New Roman" w:hAnsi="Times New Roman" w:eastAsia="宋体" w:cs="Times New Roman"/>
          <w:sz w:val="24"/>
        </w:rPr>
        <w:t>15.3 变更程序</w:t>
      </w:r>
      <w:bookmarkEnd w:id="1162"/>
      <w:bookmarkEnd w:id="1163"/>
      <w:bookmarkEnd w:id="1164"/>
    </w:p>
    <w:p w14:paraId="7F826781">
      <w:pPr>
        <w:rPr>
          <w:rFonts w:ascii="Times New Roman" w:hAnsi="Times New Roman" w:eastAsia="宋体" w:cs="Times New Roman"/>
          <w:sz w:val="24"/>
        </w:rPr>
      </w:pPr>
      <w:r>
        <w:rPr>
          <w:rFonts w:hint="eastAsia" w:ascii="Times New Roman" w:hAnsi="Times New Roman" w:eastAsia="宋体" w:cs="Times New Roman"/>
          <w:sz w:val="24"/>
        </w:rPr>
        <w:t xml:space="preserve">15.3.1 </w:t>
      </w:r>
      <w:r>
        <w:rPr>
          <w:rFonts w:hint="eastAsia" w:ascii="黑体" w:hAnsi="Times New Roman" w:eastAsia="黑体" w:cs="Times New Roman"/>
          <w:sz w:val="24"/>
        </w:rPr>
        <w:t>变更的提出</w:t>
      </w:r>
    </w:p>
    <w:p w14:paraId="366747B7">
      <w:pPr>
        <w:rPr>
          <w:rFonts w:ascii="Times New Roman" w:hAnsi="Times New Roman" w:eastAsia="宋体" w:cs="Times New Roman"/>
          <w:sz w:val="24"/>
        </w:rPr>
      </w:pPr>
      <w:r>
        <w:rPr>
          <w:rFonts w:hint="eastAsia" w:ascii="Times New Roman" w:hAnsi="Times New Roman" w:eastAsia="宋体" w:cs="Times New Roman"/>
          <w:sz w:val="24"/>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0D0FC8C7">
      <w:pPr>
        <w:rPr>
          <w:rFonts w:ascii="Times New Roman" w:hAnsi="Times New Roman" w:eastAsia="宋体" w:cs="Times New Roman"/>
          <w:sz w:val="24"/>
        </w:rPr>
      </w:pPr>
      <w:r>
        <w:rPr>
          <w:rFonts w:hint="eastAsia" w:ascii="Times New Roman" w:hAnsi="Times New Roman" w:eastAsia="宋体" w:cs="Times New Roman"/>
          <w:sz w:val="24"/>
        </w:rPr>
        <w:t>（2）在合同履行过程中，发生第15.1款约定情形的，监理人应按照第15.3.3项约定向承包人发出变更指示。</w:t>
      </w:r>
    </w:p>
    <w:p w14:paraId="56FB6EBF">
      <w:pPr>
        <w:rPr>
          <w:rFonts w:ascii="Times New Roman" w:hAnsi="Times New Roman" w:eastAsia="宋体" w:cs="Times New Roman"/>
          <w:sz w:val="24"/>
        </w:rPr>
      </w:pPr>
      <w:r>
        <w:rPr>
          <w:rFonts w:hint="eastAsia" w:ascii="Times New Roman" w:hAnsi="Times New Roman" w:eastAsia="宋体" w:cs="Times New Roman"/>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EC26E89">
      <w:pPr>
        <w:rPr>
          <w:rFonts w:ascii="Times New Roman" w:hAnsi="Times New Roman" w:eastAsia="宋体" w:cs="Times New Roman"/>
          <w:sz w:val="24"/>
        </w:rPr>
      </w:pPr>
      <w:r>
        <w:rPr>
          <w:rFonts w:hint="eastAsia" w:ascii="Times New Roman" w:hAnsi="Times New Roman" w:eastAsia="宋体" w:cs="Times New Roman"/>
          <w:sz w:val="24"/>
        </w:rPr>
        <w:t>（4）若承包人收到监理人的变更意向书后认为难以实施此项变更，应立即通知监理人，说明原因并附详细依据。监理人与承包人和发包人协商后确定撤销</w:t>
      </w:r>
      <w:r>
        <w:rPr>
          <w:rFonts w:hint="eastAsia" w:ascii="宋体" w:hAnsi="宋体" w:eastAsia="宋体" w:cs="Times New Roman"/>
          <w:sz w:val="24"/>
        </w:rPr>
        <w:t>、</w:t>
      </w:r>
      <w:r>
        <w:rPr>
          <w:rFonts w:hint="eastAsia" w:ascii="Times New Roman" w:hAnsi="Times New Roman" w:eastAsia="宋体" w:cs="Times New Roman"/>
          <w:sz w:val="24"/>
        </w:rPr>
        <w:t>改变或不改变原变更意向书。</w:t>
      </w:r>
    </w:p>
    <w:p w14:paraId="41F521C0">
      <w:pPr>
        <w:rPr>
          <w:rFonts w:ascii="Times New Roman" w:hAnsi="Times New Roman" w:eastAsia="宋体" w:cs="Times New Roman"/>
          <w:sz w:val="24"/>
        </w:rPr>
      </w:pPr>
      <w:r>
        <w:rPr>
          <w:rFonts w:hint="eastAsia" w:ascii="Times New Roman" w:hAnsi="Times New Roman" w:eastAsia="宋体" w:cs="Times New Roman"/>
          <w:sz w:val="24"/>
        </w:rPr>
        <w:t xml:space="preserve">15.3.2 </w:t>
      </w:r>
      <w:r>
        <w:rPr>
          <w:rFonts w:hint="eastAsia" w:ascii="黑体" w:hAnsi="Times New Roman" w:eastAsia="黑体" w:cs="Times New Roman"/>
          <w:sz w:val="24"/>
        </w:rPr>
        <w:t>变更估价</w:t>
      </w:r>
    </w:p>
    <w:p w14:paraId="65AB8CA8">
      <w:pPr>
        <w:rPr>
          <w:rFonts w:ascii="Times New Roman" w:hAnsi="Times New Roman" w:eastAsia="宋体" w:cs="Times New Roman"/>
          <w:sz w:val="24"/>
        </w:rPr>
      </w:pPr>
      <w:r>
        <w:rPr>
          <w:rFonts w:hint="eastAsia" w:ascii="Times New Roman" w:hAnsi="Times New Roman" w:eastAsia="宋体" w:cs="Times New Roman"/>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1A8508B7">
      <w:pPr>
        <w:rPr>
          <w:rFonts w:ascii="Times New Roman" w:hAnsi="Times New Roman" w:eastAsia="宋体" w:cs="Times New Roman"/>
          <w:sz w:val="24"/>
        </w:rPr>
      </w:pPr>
      <w:r>
        <w:rPr>
          <w:rFonts w:hint="eastAsia" w:ascii="Times New Roman" w:hAnsi="Times New Roman" w:eastAsia="宋体" w:cs="Times New Roman"/>
          <w:sz w:val="24"/>
        </w:rPr>
        <w:t>（2）变更工作影响工期的，承包人应提出调整工期的具体细节。监理人认为有必要时，可要求承包人提交要求提前或延长工期的施工进度计划及相应施工措施等详细资料。</w:t>
      </w:r>
    </w:p>
    <w:p w14:paraId="2B3AFA87">
      <w:pPr>
        <w:rPr>
          <w:rFonts w:ascii="Times New Roman" w:hAnsi="Times New Roman" w:eastAsia="宋体" w:cs="Times New Roman"/>
          <w:sz w:val="24"/>
        </w:rPr>
      </w:pPr>
      <w:r>
        <w:rPr>
          <w:rFonts w:hint="eastAsia" w:ascii="Times New Roman" w:hAnsi="Times New Roman" w:eastAsia="宋体" w:cs="Times New Roman"/>
          <w:sz w:val="24"/>
        </w:rPr>
        <w:t>（3）除专用合同条款对期限另有约定外，监理人收到承包人变更报价书后的14天内，根据第15.4款约定的估价原则，按照第3.5款商定或确定变更价格。</w:t>
      </w:r>
    </w:p>
    <w:p w14:paraId="2537D7C2">
      <w:pPr>
        <w:rPr>
          <w:rFonts w:ascii="Times New Roman" w:hAnsi="Times New Roman" w:eastAsia="宋体" w:cs="Times New Roman"/>
          <w:sz w:val="24"/>
        </w:rPr>
      </w:pPr>
      <w:r>
        <w:rPr>
          <w:rFonts w:hint="eastAsia" w:ascii="Times New Roman" w:hAnsi="Times New Roman" w:eastAsia="宋体" w:cs="Times New Roman"/>
          <w:sz w:val="24"/>
        </w:rPr>
        <w:t xml:space="preserve">15.3.3 </w:t>
      </w:r>
      <w:r>
        <w:rPr>
          <w:rFonts w:hint="eastAsia" w:ascii="黑体" w:hAnsi="Times New Roman" w:eastAsia="黑体" w:cs="Times New Roman"/>
          <w:sz w:val="24"/>
        </w:rPr>
        <w:t>变更指示</w:t>
      </w:r>
    </w:p>
    <w:p w14:paraId="3EBDA09D">
      <w:pPr>
        <w:rPr>
          <w:rFonts w:ascii="Times New Roman" w:hAnsi="Times New Roman" w:eastAsia="宋体" w:cs="Times New Roman"/>
          <w:sz w:val="24"/>
        </w:rPr>
      </w:pPr>
      <w:r>
        <w:rPr>
          <w:rFonts w:hint="eastAsia" w:ascii="Times New Roman" w:hAnsi="Times New Roman" w:eastAsia="宋体" w:cs="Times New Roman"/>
          <w:sz w:val="24"/>
        </w:rPr>
        <w:t>（1）变更指示只能由监理人发出。</w:t>
      </w:r>
    </w:p>
    <w:p w14:paraId="716D4A80">
      <w:pPr>
        <w:rPr>
          <w:rFonts w:ascii="Times New Roman" w:hAnsi="Times New Roman" w:eastAsia="宋体" w:cs="Times New Roman"/>
          <w:sz w:val="24"/>
        </w:rPr>
      </w:pPr>
      <w:r>
        <w:rPr>
          <w:rFonts w:hint="eastAsia" w:ascii="Times New Roman" w:hAnsi="Times New Roman" w:eastAsia="宋体" w:cs="Times New Roman"/>
          <w:sz w:val="24"/>
        </w:rPr>
        <w:t>（2）变更指示应说明变更的目的、范围、变更内容以及变更的工程量及其进度和技术要求，并附有关图纸和文件。承包人收到变更指示后，应按变更指示进行变更工作。</w:t>
      </w:r>
    </w:p>
    <w:p w14:paraId="4F256C22">
      <w:pPr>
        <w:rPr>
          <w:rFonts w:ascii="Times New Roman" w:hAnsi="Times New Roman" w:eastAsia="宋体" w:cs="Times New Roman"/>
          <w:sz w:val="24"/>
        </w:rPr>
      </w:pPr>
      <w:bookmarkStart w:id="1165" w:name="_Toc338944803"/>
      <w:bookmarkStart w:id="1166" w:name="_Toc342296361"/>
      <w:bookmarkStart w:id="1167" w:name="_Toc362252827"/>
      <w:r>
        <w:rPr>
          <w:rFonts w:hint="eastAsia" w:ascii="Times New Roman" w:hAnsi="Times New Roman" w:eastAsia="宋体" w:cs="Times New Roman"/>
          <w:sz w:val="24"/>
        </w:rPr>
        <w:t>15.4 变更的估价原则</w:t>
      </w:r>
      <w:bookmarkEnd w:id="1165"/>
      <w:bookmarkEnd w:id="1166"/>
      <w:bookmarkEnd w:id="1167"/>
    </w:p>
    <w:p w14:paraId="24CC5D61">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除专用合同条款另有约定外，因变更引起的价格调整按照本款约定处理。</w:t>
      </w:r>
    </w:p>
    <w:p w14:paraId="2044970D">
      <w:pPr>
        <w:rPr>
          <w:rFonts w:ascii="Times New Roman" w:hAnsi="Times New Roman" w:eastAsia="宋体" w:cs="Times New Roman"/>
          <w:sz w:val="24"/>
        </w:rPr>
      </w:pPr>
      <w:r>
        <w:rPr>
          <w:rFonts w:hint="eastAsia" w:ascii="Times New Roman" w:hAnsi="Times New Roman" w:eastAsia="宋体" w:cs="Times New Roman"/>
          <w:sz w:val="24"/>
        </w:rPr>
        <w:t>15.4.1 已标价工程量清单中有适用于变更工作的子目的，采用该子目的单价。</w:t>
      </w:r>
    </w:p>
    <w:p w14:paraId="790883DC">
      <w:pPr>
        <w:rPr>
          <w:rFonts w:ascii="Times New Roman" w:hAnsi="Times New Roman" w:eastAsia="宋体" w:cs="Times New Roman"/>
          <w:sz w:val="24"/>
        </w:rPr>
      </w:pPr>
      <w:r>
        <w:rPr>
          <w:rFonts w:hint="eastAsia" w:ascii="Times New Roman" w:hAnsi="Times New Roman" w:eastAsia="宋体" w:cs="Times New Roman"/>
          <w:sz w:val="24"/>
        </w:rPr>
        <w:t>15.4.2 已标价工程量清单中无适用于变更工作的子目，但有类似子目的，可在合理范围内参照类似子目的单价，由监理人按第3.5款商定或确定变更工作的单价。</w:t>
      </w:r>
    </w:p>
    <w:p w14:paraId="0063381F">
      <w:pPr>
        <w:rPr>
          <w:rFonts w:ascii="Times New Roman" w:hAnsi="Times New Roman" w:eastAsia="宋体" w:cs="Times New Roman"/>
          <w:sz w:val="24"/>
        </w:rPr>
      </w:pPr>
      <w:r>
        <w:rPr>
          <w:rFonts w:hint="eastAsia" w:ascii="Times New Roman" w:hAnsi="Times New Roman" w:eastAsia="宋体" w:cs="Times New Roman"/>
          <w:sz w:val="24"/>
        </w:rPr>
        <w:t>15.4.3 已标价工程量清单中无适用或类似子目的单价，可按照成本加利润的原则，由监理人按第3.5款商定或确定变更工作的单价。</w:t>
      </w:r>
    </w:p>
    <w:p w14:paraId="7B441C3E">
      <w:pPr>
        <w:rPr>
          <w:rFonts w:ascii="Times New Roman" w:hAnsi="Times New Roman" w:eastAsia="宋体" w:cs="Times New Roman"/>
          <w:sz w:val="24"/>
        </w:rPr>
      </w:pPr>
      <w:bookmarkStart w:id="1168" w:name="_Toc342296362"/>
      <w:bookmarkStart w:id="1169" w:name="_Toc362252828"/>
      <w:bookmarkStart w:id="1170" w:name="_Toc338944804"/>
      <w:r>
        <w:rPr>
          <w:rFonts w:hint="eastAsia" w:ascii="Times New Roman" w:hAnsi="Times New Roman" w:eastAsia="宋体" w:cs="Times New Roman"/>
          <w:sz w:val="24"/>
        </w:rPr>
        <w:t>15.5 承包人的合理化建议</w:t>
      </w:r>
      <w:bookmarkEnd w:id="1168"/>
      <w:bookmarkEnd w:id="1169"/>
      <w:bookmarkEnd w:id="1170"/>
    </w:p>
    <w:p w14:paraId="7F1C921C">
      <w:pPr>
        <w:rPr>
          <w:rFonts w:ascii="Times New Roman" w:hAnsi="Times New Roman" w:eastAsia="宋体" w:cs="Times New Roman"/>
          <w:sz w:val="24"/>
        </w:rPr>
      </w:pPr>
      <w:r>
        <w:rPr>
          <w:rFonts w:hint="eastAsia" w:ascii="Times New Roman" w:hAnsi="Times New Roman" w:eastAsia="宋体" w:cs="Times New Roman"/>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288A6E87">
      <w:pPr>
        <w:rPr>
          <w:rFonts w:ascii="Times New Roman" w:hAnsi="Times New Roman" w:eastAsia="宋体" w:cs="Times New Roman"/>
          <w:sz w:val="24"/>
        </w:rPr>
      </w:pPr>
      <w:r>
        <w:rPr>
          <w:rFonts w:hint="eastAsia" w:ascii="Times New Roman" w:hAnsi="Times New Roman" w:eastAsia="宋体" w:cs="Times New Roman"/>
          <w:sz w:val="24"/>
        </w:rPr>
        <w:t>15.5.2 承包人提出的合理化建议降低了合同价格、缩短了工期或者提高了工程经济效益的，发包人可按国家有关规定在专用合同条款中约定给予奖励。</w:t>
      </w:r>
    </w:p>
    <w:p w14:paraId="6C7FB8DE">
      <w:pPr>
        <w:rPr>
          <w:rFonts w:ascii="Times New Roman" w:hAnsi="Times New Roman" w:eastAsia="宋体" w:cs="Times New Roman"/>
          <w:sz w:val="24"/>
        </w:rPr>
      </w:pPr>
      <w:bookmarkStart w:id="1171" w:name="_Toc338944805"/>
      <w:bookmarkStart w:id="1172" w:name="_Toc152042490"/>
      <w:bookmarkStart w:id="1173" w:name="_Toc152045712"/>
      <w:bookmarkStart w:id="1174" w:name="_Toc144974681"/>
      <w:bookmarkStart w:id="1175" w:name="_Toc179632730"/>
      <w:bookmarkStart w:id="1176" w:name="_Toc362252829"/>
      <w:bookmarkStart w:id="1177" w:name="_Toc342296363"/>
      <w:r>
        <w:rPr>
          <w:rFonts w:hint="eastAsia" w:ascii="Times New Roman" w:hAnsi="Times New Roman" w:eastAsia="宋体" w:cs="Times New Roman"/>
          <w:sz w:val="24"/>
        </w:rPr>
        <w:t>15.6 暂列金额</w:t>
      </w:r>
      <w:bookmarkEnd w:id="1171"/>
      <w:bookmarkEnd w:id="1172"/>
      <w:bookmarkEnd w:id="1173"/>
      <w:bookmarkEnd w:id="1174"/>
      <w:bookmarkEnd w:id="1175"/>
      <w:bookmarkEnd w:id="1176"/>
      <w:bookmarkEnd w:id="1177"/>
    </w:p>
    <w:p w14:paraId="4EA68611">
      <w:pPr>
        <w:rPr>
          <w:rFonts w:ascii="Times New Roman" w:hAnsi="Times New Roman" w:eastAsia="宋体" w:cs="Times New Roman"/>
          <w:sz w:val="24"/>
        </w:rPr>
      </w:pPr>
      <w:r>
        <w:rPr>
          <w:rFonts w:hint="eastAsia" w:ascii="Times New Roman" w:hAnsi="Times New Roman" w:eastAsia="宋体" w:cs="Times New Roman"/>
          <w:sz w:val="24"/>
        </w:rPr>
        <w:t>暂列金额只能按照监理人的指示使用，并对合同价格进行相应调整。</w:t>
      </w:r>
    </w:p>
    <w:p w14:paraId="042E3336">
      <w:pPr>
        <w:rPr>
          <w:rFonts w:ascii="Times New Roman" w:hAnsi="Times New Roman" w:eastAsia="宋体" w:cs="Times New Roman"/>
          <w:sz w:val="24"/>
        </w:rPr>
      </w:pPr>
      <w:bookmarkStart w:id="1178" w:name="_Toc179632731"/>
      <w:bookmarkStart w:id="1179" w:name="_Toc144974682"/>
      <w:bookmarkStart w:id="1180" w:name="_Toc152045713"/>
      <w:bookmarkStart w:id="1181" w:name="_Toc338944806"/>
      <w:bookmarkStart w:id="1182" w:name="_Toc342296364"/>
      <w:bookmarkStart w:id="1183" w:name="_Toc152042491"/>
      <w:bookmarkStart w:id="1184" w:name="_Toc362252830"/>
      <w:r>
        <w:rPr>
          <w:rFonts w:hint="eastAsia" w:ascii="Times New Roman" w:hAnsi="Times New Roman" w:eastAsia="宋体" w:cs="Times New Roman"/>
          <w:sz w:val="24"/>
        </w:rPr>
        <w:t>15.7 计日工</w:t>
      </w:r>
      <w:bookmarkEnd w:id="1178"/>
      <w:bookmarkEnd w:id="1179"/>
      <w:bookmarkEnd w:id="1180"/>
      <w:bookmarkEnd w:id="1181"/>
      <w:bookmarkEnd w:id="1182"/>
      <w:bookmarkEnd w:id="1183"/>
      <w:bookmarkEnd w:id="1184"/>
    </w:p>
    <w:p w14:paraId="6BB1B7EC">
      <w:pPr>
        <w:rPr>
          <w:rFonts w:ascii="Times New Roman" w:hAnsi="Times New Roman" w:eastAsia="宋体" w:cs="Times New Roman"/>
          <w:sz w:val="24"/>
          <w:shd w:val="pct10" w:color="auto" w:fill="FFFFFF"/>
        </w:rPr>
      </w:pPr>
      <w:r>
        <w:rPr>
          <w:rFonts w:hint="eastAsia" w:ascii="Times New Roman" w:hAnsi="Times New Roman" w:eastAsia="宋体" w:cs="Times New Roman"/>
          <w:sz w:val="24"/>
        </w:rPr>
        <w:t>15.7.1 发包人认为有必要时，由监理人通知承包人以计日工方式实施变更的零星工作。其价款按列入已标价工程量清单中的计日工计价子目及其单价进行计算。</w:t>
      </w:r>
    </w:p>
    <w:p w14:paraId="37AB9D94">
      <w:pPr>
        <w:rPr>
          <w:rFonts w:ascii="Times New Roman" w:hAnsi="Times New Roman" w:eastAsia="宋体" w:cs="Times New Roman"/>
          <w:sz w:val="24"/>
        </w:rPr>
      </w:pPr>
      <w:r>
        <w:rPr>
          <w:rFonts w:hint="eastAsia" w:ascii="Times New Roman" w:hAnsi="Times New Roman" w:eastAsia="宋体" w:cs="Times New Roman"/>
          <w:sz w:val="24"/>
        </w:rPr>
        <w:t>15.7.2 采用计日工计价的任何一项变更工作，应从暂列金额中支付，承包人应在该项变更的实施过程中，每天提交以下报表和有关凭证报送监理人审批：</w:t>
      </w:r>
    </w:p>
    <w:p w14:paraId="5D7B1565">
      <w:pPr>
        <w:rPr>
          <w:rFonts w:ascii="Times New Roman" w:hAnsi="Times New Roman" w:eastAsia="宋体" w:cs="Times New Roman"/>
          <w:sz w:val="24"/>
        </w:rPr>
      </w:pPr>
      <w:r>
        <w:rPr>
          <w:rFonts w:hint="eastAsia" w:ascii="Times New Roman" w:hAnsi="Times New Roman" w:eastAsia="宋体" w:cs="Times New Roman"/>
          <w:sz w:val="24"/>
        </w:rPr>
        <w:t>（1）工作名称、内容和数量；</w:t>
      </w:r>
    </w:p>
    <w:p w14:paraId="03FDB7C0">
      <w:pPr>
        <w:rPr>
          <w:rFonts w:ascii="Times New Roman" w:hAnsi="Times New Roman" w:eastAsia="宋体" w:cs="Times New Roman"/>
          <w:sz w:val="24"/>
        </w:rPr>
      </w:pPr>
      <w:r>
        <w:rPr>
          <w:rFonts w:hint="eastAsia" w:ascii="Times New Roman" w:hAnsi="Times New Roman" w:eastAsia="宋体" w:cs="Times New Roman"/>
          <w:sz w:val="24"/>
        </w:rPr>
        <w:t>（2）投入该工作所有人员的姓名、工种、级别和耗用工时；</w:t>
      </w:r>
    </w:p>
    <w:p w14:paraId="71F1ED52">
      <w:pPr>
        <w:rPr>
          <w:rFonts w:ascii="Times New Roman" w:hAnsi="Times New Roman" w:eastAsia="宋体" w:cs="Times New Roman"/>
          <w:sz w:val="24"/>
        </w:rPr>
      </w:pPr>
      <w:r>
        <w:rPr>
          <w:rFonts w:hint="eastAsia" w:ascii="Times New Roman" w:hAnsi="Times New Roman" w:eastAsia="宋体" w:cs="Times New Roman"/>
          <w:sz w:val="24"/>
        </w:rPr>
        <w:t>（3）投入该工作的材料类别和数量；</w:t>
      </w:r>
    </w:p>
    <w:p w14:paraId="6DAB4980">
      <w:pPr>
        <w:rPr>
          <w:rFonts w:ascii="Times New Roman" w:hAnsi="Times New Roman" w:eastAsia="宋体" w:cs="Times New Roman"/>
          <w:sz w:val="24"/>
        </w:rPr>
      </w:pPr>
      <w:r>
        <w:rPr>
          <w:rFonts w:hint="eastAsia" w:ascii="Times New Roman" w:hAnsi="Times New Roman" w:eastAsia="宋体" w:cs="Times New Roman"/>
          <w:sz w:val="24"/>
        </w:rPr>
        <w:t>（4）投入该工作的施工设备型号、台数和耗用台时；</w:t>
      </w:r>
    </w:p>
    <w:p w14:paraId="576FC9DF">
      <w:pPr>
        <w:rPr>
          <w:rFonts w:ascii="Times New Roman" w:hAnsi="Times New Roman" w:eastAsia="宋体" w:cs="Times New Roman"/>
          <w:sz w:val="24"/>
        </w:rPr>
      </w:pPr>
      <w:r>
        <w:rPr>
          <w:rFonts w:hint="eastAsia" w:ascii="Times New Roman" w:hAnsi="Times New Roman" w:eastAsia="宋体" w:cs="Times New Roman"/>
          <w:sz w:val="24"/>
        </w:rPr>
        <w:t>（5）监理人要求提交的其他资料和凭证。</w:t>
      </w:r>
    </w:p>
    <w:p w14:paraId="2BF79A80">
      <w:pPr>
        <w:rPr>
          <w:rFonts w:ascii="Times New Roman" w:hAnsi="Times New Roman" w:eastAsia="宋体" w:cs="Times New Roman"/>
          <w:sz w:val="24"/>
        </w:rPr>
      </w:pPr>
      <w:r>
        <w:rPr>
          <w:rFonts w:hint="eastAsia" w:ascii="Times New Roman" w:hAnsi="Times New Roman" w:eastAsia="宋体" w:cs="Times New Roman"/>
          <w:sz w:val="24"/>
        </w:rPr>
        <w:t>15.7.3 计日工由承包人汇总后，按第17.3.2项的约定列入进度付款申请单，由监理人复核并经发包人同意后列入进度付款。</w:t>
      </w:r>
    </w:p>
    <w:p w14:paraId="4AD3E96F">
      <w:pPr>
        <w:rPr>
          <w:rFonts w:ascii="Times New Roman" w:hAnsi="Times New Roman" w:eastAsia="宋体" w:cs="Times New Roman"/>
          <w:sz w:val="24"/>
        </w:rPr>
      </w:pPr>
      <w:bookmarkStart w:id="1185" w:name="_Toc342296365"/>
      <w:bookmarkStart w:id="1186" w:name="_Toc338944807"/>
      <w:bookmarkStart w:id="1187" w:name="_Toc362252831"/>
      <w:r>
        <w:rPr>
          <w:rFonts w:hint="eastAsia" w:ascii="Times New Roman" w:hAnsi="Times New Roman" w:eastAsia="宋体" w:cs="Times New Roman"/>
          <w:sz w:val="24"/>
        </w:rPr>
        <w:t>15.8 暂估价</w:t>
      </w:r>
      <w:bookmarkEnd w:id="1185"/>
      <w:bookmarkEnd w:id="1186"/>
      <w:bookmarkEnd w:id="1187"/>
    </w:p>
    <w:p w14:paraId="76C63F82">
      <w:pPr>
        <w:rPr>
          <w:rFonts w:ascii="Times New Roman" w:hAnsi="Times New Roman" w:eastAsia="宋体" w:cs="Times New Roman"/>
          <w:sz w:val="24"/>
        </w:rPr>
      </w:pPr>
      <w:r>
        <w:rPr>
          <w:rFonts w:hint="eastAsia" w:ascii="Times New Roman" w:hAnsi="Times New Roman" w:eastAsia="宋体" w:cs="Times New Roman"/>
          <w:sz w:val="24"/>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C90AAAD">
      <w:pPr>
        <w:rPr>
          <w:rFonts w:ascii="Times New Roman" w:hAnsi="Times New Roman" w:eastAsia="宋体" w:cs="Times New Roman"/>
          <w:sz w:val="24"/>
        </w:rPr>
      </w:pPr>
      <w:r>
        <w:rPr>
          <w:rFonts w:hint="eastAsia" w:ascii="Times New Roman" w:hAnsi="Times New Roman" w:eastAsia="宋体" w:cs="Times New Roman"/>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690F25E">
      <w:pPr>
        <w:rPr>
          <w:rFonts w:ascii="Times New Roman" w:hAnsi="Times New Roman" w:eastAsia="宋体" w:cs="Times New Roman"/>
          <w:sz w:val="24"/>
        </w:rPr>
      </w:pPr>
      <w:r>
        <w:rPr>
          <w:rFonts w:hint="eastAsia" w:ascii="Times New Roman" w:hAnsi="Times New Roman" w:eastAsia="宋体" w:cs="Times New Roman"/>
          <w:sz w:val="24"/>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7DD2959F">
      <w:pPr>
        <w:rPr>
          <w:rFonts w:ascii="Times New Roman" w:hAnsi="Times New Roman" w:eastAsia="宋体" w:cs="Times New Roman"/>
          <w:sz w:val="24"/>
        </w:rPr>
      </w:pPr>
      <w:bookmarkStart w:id="1188" w:name="_Toc338944808"/>
      <w:bookmarkStart w:id="1189" w:name="_Toc362252832"/>
      <w:bookmarkStart w:id="1190" w:name="_Toc342296366"/>
      <w:r>
        <w:rPr>
          <w:rFonts w:hint="eastAsia" w:ascii="Times New Roman" w:hAnsi="Times New Roman" w:eastAsia="宋体" w:cs="Times New Roman"/>
          <w:sz w:val="24"/>
        </w:rPr>
        <w:t>16. 价格调整</w:t>
      </w:r>
      <w:bookmarkEnd w:id="1188"/>
      <w:bookmarkEnd w:id="1189"/>
      <w:bookmarkEnd w:id="1190"/>
    </w:p>
    <w:p w14:paraId="5122B6C0">
      <w:pPr>
        <w:rPr>
          <w:rFonts w:ascii="Times New Roman" w:hAnsi="Times New Roman" w:eastAsia="宋体" w:cs="Times New Roman"/>
          <w:sz w:val="24"/>
        </w:rPr>
      </w:pPr>
      <w:bookmarkStart w:id="1191" w:name="_Toc342296367"/>
      <w:bookmarkStart w:id="1192" w:name="_Toc362252833"/>
      <w:bookmarkStart w:id="1193" w:name="_Toc338944809"/>
      <w:r>
        <w:rPr>
          <w:rFonts w:hint="eastAsia" w:ascii="Times New Roman" w:hAnsi="Times New Roman" w:eastAsia="宋体" w:cs="Times New Roman"/>
          <w:sz w:val="24"/>
        </w:rPr>
        <w:t>16.1 物价波动引起的价格调整</w:t>
      </w:r>
      <w:bookmarkEnd w:id="1191"/>
      <w:bookmarkEnd w:id="1192"/>
      <w:bookmarkEnd w:id="1193"/>
    </w:p>
    <w:p w14:paraId="1DBE187D">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除专用合同条款另有约定外，因物价波动引起的价格调整按照本款约定处理。</w:t>
      </w:r>
    </w:p>
    <w:p w14:paraId="3583A4CC">
      <w:pPr>
        <w:rPr>
          <w:rFonts w:ascii="Times New Roman" w:hAnsi="Times New Roman" w:eastAsia="宋体" w:cs="Times New Roman"/>
          <w:sz w:val="24"/>
        </w:rPr>
      </w:pPr>
      <w:r>
        <w:rPr>
          <w:rFonts w:hint="eastAsia" w:ascii="Times New Roman" w:hAnsi="Times New Roman" w:eastAsia="宋体" w:cs="Times New Roman"/>
          <w:sz w:val="24"/>
        </w:rPr>
        <w:t xml:space="preserve">16.1.1 </w:t>
      </w:r>
      <w:r>
        <w:rPr>
          <w:rFonts w:hint="eastAsia" w:ascii="黑体" w:hAnsi="Times New Roman" w:eastAsia="黑体" w:cs="Times New Roman"/>
          <w:sz w:val="24"/>
        </w:rPr>
        <w:t>采用价格指数调整价格差额</w:t>
      </w:r>
    </w:p>
    <w:p w14:paraId="1E6A58CA">
      <w:pPr>
        <w:rPr>
          <w:rFonts w:ascii="Times New Roman" w:hAnsi="Times New Roman" w:eastAsia="宋体" w:cs="Times New Roman"/>
          <w:sz w:val="24"/>
        </w:rPr>
      </w:pPr>
      <w:r>
        <w:rPr>
          <w:rFonts w:hint="eastAsia" w:ascii="Times New Roman" w:hAnsi="Times New Roman" w:eastAsia="宋体" w:cs="Times New Roman"/>
          <w:sz w:val="24"/>
        </w:rPr>
        <w:t>16.1.1.1 价格调整公式</w:t>
      </w:r>
    </w:p>
    <w:p w14:paraId="3073C5FC">
      <w:pPr>
        <w:rPr>
          <w:rFonts w:ascii="Times New Roman" w:hAnsi="Times New Roman" w:eastAsia="宋体" w:cs="Times New Roman"/>
          <w:sz w:val="24"/>
        </w:rPr>
      </w:pPr>
      <w:r>
        <w:rPr>
          <w:rFonts w:hint="eastAsia" w:ascii="Times New Roman" w:hAnsi="Times New Roman" w:eastAsia="宋体" w:cs="Times New Roman"/>
          <w:sz w:val="24"/>
        </w:rPr>
        <w:t>因人工、材料和设备等价格波动影响合同价格时，根据投标函附录中的价格指数和权重表约定的数据，按以下公式计算差额并调整合同价格。</w:t>
      </w:r>
    </w:p>
    <w:p w14:paraId="7DC13640">
      <w:pPr>
        <w:rPr>
          <w:rFonts w:ascii="Times New Roman" w:hAnsi="Times New Roman" w:eastAsia="宋体" w:cs="Times New Roman"/>
          <w:sz w:val="24"/>
        </w:rPr>
      </w:pPr>
      <w:r>
        <w:rPr>
          <w:rFonts w:hint="eastAsia" w:ascii="Times New Roman" w:hAnsi="Times New Roman" w:eastAsia="宋体" w:cs="Times New Roman"/>
          <w:b/>
          <w:bCs/>
          <w:kern w:val="0"/>
          <w:sz w:val="24"/>
          <w:lang w:val="zh-CN"/>
        </w:rPr>
        <w:t xml:space="preserve">        </w:t>
      </w:r>
      <w:r>
        <w:rPr>
          <w:rFonts w:ascii="Times New Roman" w:hAnsi="Times New Roman" w:eastAsia="宋体" w:cs="Times New Roman"/>
          <w:position w:val="-34"/>
          <w:sz w:val="24"/>
        </w:rPr>
        <w:object>
          <v:shape id="_x0000_i1028" o:spt="75" type="#_x0000_t75" style="height:39.75pt;width:306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5" r:id="rId26">
            <o:LockedField>false</o:LockedField>
          </o:OLEObject>
        </w:object>
      </w:r>
    </w:p>
    <w:p w14:paraId="52EA1ED5">
      <w:pPr>
        <w:rPr>
          <w:rFonts w:ascii="Times New Roman" w:hAnsi="Times New Roman" w:eastAsia="宋体" w:cs="Times New Roman"/>
          <w:sz w:val="24"/>
        </w:rPr>
      </w:pPr>
      <w:r>
        <w:rPr>
          <w:rFonts w:hint="eastAsia" w:ascii="Times New Roman" w:hAnsi="Times New Roman" w:eastAsia="宋体" w:cs="Times New Roman"/>
          <w:sz w:val="24"/>
        </w:rPr>
        <w:t xml:space="preserve"> </w:t>
      </w:r>
    </w:p>
    <w:p w14:paraId="78589C6A">
      <w:pPr>
        <w:rPr>
          <w:rFonts w:ascii="Times New Roman" w:hAnsi="Times New Roman" w:eastAsia="宋体" w:cs="Times New Roman"/>
          <w:sz w:val="24"/>
        </w:rPr>
      </w:pPr>
      <w:r>
        <w:rPr>
          <w:rFonts w:hint="eastAsia" w:ascii="Times New Roman" w:hAnsi="Times New Roman" w:eastAsia="宋体" w:cs="Times New Roman"/>
          <w:sz w:val="24"/>
        </w:rPr>
        <w:t>式中： △P -- 需调整的价格差额；</w:t>
      </w:r>
    </w:p>
    <w:p w14:paraId="3596D4FB">
      <w:pPr>
        <w:rPr>
          <w:rFonts w:ascii="Times New Roman" w:hAnsi="Times New Roman" w:eastAsia="宋体" w:cs="Times New Roman"/>
          <w:sz w:val="24"/>
        </w:rPr>
      </w:pPr>
      <w:r>
        <w:rPr>
          <w:rFonts w:hint="eastAsia" w:ascii="Times New Roman" w:hAnsi="Times New Roman" w:eastAsia="宋体" w:cs="Times New Roman"/>
          <w:sz w:val="24"/>
        </w:rPr>
        <w:tab/>
      </w:r>
      <w:r>
        <w:rPr>
          <w:rFonts w:hint="eastAsia" w:ascii="Times New Roman" w:hAnsi="Times New Roman" w:eastAsia="宋体" w:cs="Times New Roman"/>
          <w:sz w:val="24"/>
        </w:rPr>
        <w:t>P</w:t>
      </w:r>
      <w:r>
        <w:rPr>
          <w:rFonts w:hint="eastAsia" w:ascii="Times New Roman" w:hAnsi="Times New Roman" w:eastAsia="宋体" w:cs="Times New Roman"/>
          <w:sz w:val="24"/>
          <w:vertAlign w:val="subscript"/>
        </w:rPr>
        <w:t>0</w:t>
      </w:r>
      <w:r>
        <w:rPr>
          <w:rFonts w:hint="eastAsia" w:ascii="Times New Roman" w:hAnsi="Times New Roman" w:eastAsia="宋体" w:cs="Times New Roman"/>
          <w:sz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3DD94B5A">
      <w:pPr>
        <w:rPr>
          <w:rFonts w:ascii="Times New Roman" w:hAnsi="Times New Roman" w:eastAsia="宋体" w:cs="Times New Roman"/>
          <w:sz w:val="24"/>
        </w:rPr>
      </w:pPr>
      <w:r>
        <w:rPr>
          <w:rFonts w:hint="eastAsia" w:ascii="Times New Roman" w:hAnsi="Times New Roman" w:eastAsia="宋体" w:cs="Times New Roman"/>
          <w:sz w:val="24"/>
        </w:rPr>
        <w:tab/>
      </w:r>
      <w:bookmarkStart w:id="1194" w:name="_Toc144974686"/>
      <w:bookmarkStart w:id="1195" w:name="_Toc152042495"/>
      <w:r>
        <w:rPr>
          <w:rFonts w:hint="eastAsia" w:ascii="Times New Roman" w:hAnsi="Times New Roman" w:eastAsia="宋体" w:cs="Times New Roman"/>
          <w:sz w:val="24"/>
        </w:rPr>
        <w:t>A -- 定值权重(即不调部分的权重)；</w:t>
      </w:r>
      <w:bookmarkEnd w:id="1194"/>
      <w:bookmarkEnd w:id="1195"/>
    </w:p>
    <w:p w14:paraId="2009143C">
      <w:pPr>
        <w:rPr>
          <w:rFonts w:ascii="Times New Roman" w:hAnsi="Times New Roman" w:eastAsia="宋体" w:cs="Times New Roman"/>
          <w:sz w:val="24"/>
        </w:rPr>
      </w:pPr>
      <w:r>
        <w:rPr>
          <w:rFonts w:hint="eastAsia" w:ascii="Times New Roman" w:hAnsi="Times New Roman" w:eastAsia="宋体" w:cs="Times New Roman"/>
          <w:sz w:val="24"/>
        </w:rPr>
        <w:tab/>
      </w:r>
      <w:r>
        <w:rPr>
          <w:rFonts w:hint="eastAsia" w:ascii="Times New Roman" w:hAnsi="Times New Roman" w:eastAsia="宋体" w:cs="Times New Roman"/>
          <w:sz w:val="24"/>
        </w:rPr>
        <w:t>B</w:t>
      </w:r>
      <w:r>
        <w:rPr>
          <w:rFonts w:hint="eastAsia" w:ascii="Times New Roman" w:hAnsi="Times New Roman" w:eastAsia="宋体" w:cs="Times New Roman"/>
          <w:sz w:val="24"/>
          <w:vertAlign w:val="subscript"/>
        </w:rPr>
        <w:t>1</w:t>
      </w:r>
      <w:r>
        <w:rPr>
          <w:rFonts w:hint="eastAsia" w:ascii="Times New Roman" w:hAnsi="Times New Roman" w:eastAsia="宋体" w:cs="Times New Roman"/>
          <w:sz w:val="24"/>
        </w:rPr>
        <w:t>; B</w:t>
      </w:r>
      <w:r>
        <w:rPr>
          <w:rFonts w:hint="eastAsia" w:ascii="Times New Roman" w:hAnsi="Times New Roman" w:eastAsia="宋体" w:cs="Times New Roman"/>
          <w:sz w:val="24"/>
          <w:vertAlign w:val="subscript"/>
        </w:rPr>
        <w:t>2</w:t>
      </w:r>
      <w:r>
        <w:rPr>
          <w:rFonts w:hint="eastAsia" w:ascii="Times New Roman" w:hAnsi="Times New Roman" w:eastAsia="宋体" w:cs="Times New Roman"/>
          <w:sz w:val="24"/>
        </w:rPr>
        <w:t xml:space="preserve"> ;B</w:t>
      </w:r>
      <w:r>
        <w:rPr>
          <w:rFonts w:hint="eastAsia" w:ascii="Times New Roman" w:hAnsi="Times New Roman" w:eastAsia="宋体" w:cs="Times New Roman"/>
          <w:sz w:val="24"/>
          <w:vertAlign w:val="subscript"/>
        </w:rPr>
        <w:t>3</w:t>
      </w:r>
      <w:r>
        <w:rPr>
          <w:rFonts w:hint="eastAsia" w:ascii="宋体" w:hAnsi="宋体" w:eastAsia="宋体" w:cs="Times New Roman"/>
          <w:sz w:val="24"/>
        </w:rPr>
        <w:t>·····</w:t>
      </w:r>
      <w:r>
        <w:rPr>
          <w:rFonts w:hint="eastAsia" w:ascii="Times New Roman" w:hAnsi="Times New Roman" w:eastAsia="宋体" w:cs="Times New Roman"/>
          <w:sz w:val="24"/>
        </w:rPr>
        <w:t>B</w:t>
      </w:r>
      <w:r>
        <w:rPr>
          <w:rFonts w:hint="eastAsia" w:ascii="Times New Roman" w:hAnsi="Times New Roman" w:eastAsia="宋体" w:cs="Times New Roman"/>
          <w:sz w:val="24"/>
          <w:vertAlign w:val="subscript"/>
        </w:rPr>
        <w:t>n</w:t>
      </w:r>
      <w:r>
        <w:rPr>
          <w:rFonts w:hint="eastAsia" w:ascii="Times New Roman" w:hAnsi="Times New Roman" w:eastAsia="宋体" w:cs="Times New Roman"/>
          <w:sz w:val="24"/>
        </w:rPr>
        <w:t xml:space="preserve"> -- 各可调因子的变值权重(即可调部分的权重)为各可调因子在投标函投标总报价中所占的比例；</w:t>
      </w:r>
    </w:p>
    <w:p w14:paraId="44EE7B88">
      <w:pPr>
        <w:rPr>
          <w:rFonts w:ascii="Times New Roman" w:hAnsi="Times New Roman" w:eastAsia="宋体" w:cs="Times New Roman"/>
          <w:sz w:val="24"/>
        </w:rPr>
      </w:pPr>
      <w:r>
        <w:rPr>
          <w:rFonts w:hint="eastAsia" w:ascii="Times New Roman" w:hAnsi="Times New Roman" w:eastAsia="宋体" w:cs="Times New Roman"/>
          <w:sz w:val="24"/>
        </w:rPr>
        <w:tab/>
      </w:r>
      <w:r>
        <w:rPr>
          <w:rFonts w:hint="eastAsia" w:ascii="Times New Roman" w:hAnsi="Times New Roman" w:eastAsia="宋体" w:cs="Times New Roman"/>
          <w:sz w:val="24"/>
        </w:rPr>
        <w:t>F</w:t>
      </w:r>
      <w:r>
        <w:rPr>
          <w:rFonts w:hint="eastAsia" w:ascii="Times New Roman" w:hAnsi="Times New Roman" w:eastAsia="宋体" w:cs="Times New Roman"/>
          <w:sz w:val="24"/>
          <w:vertAlign w:val="subscript"/>
        </w:rPr>
        <w:t>t1</w:t>
      </w:r>
      <w:r>
        <w:rPr>
          <w:rFonts w:hint="eastAsia" w:ascii="Times New Roman" w:hAnsi="Times New Roman" w:eastAsia="宋体" w:cs="Times New Roman"/>
          <w:sz w:val="24"/>
        </w:rPr>
        <w:t xml:space="preserve"> ;F</w:t>
      </w:r>
      <w:r>
        <w:rPr>
          <w:rFonts w:hint="eastAsia" w:ascii="Times New Roman" w:hAnsi="Times New Roman" w:eastAsia="宋体" w:cs="Times New Roman"/>
          <w:sz w:val="24"/>
          <w:vertAlign w:val="subscript"/>
        </w:rPr>
        <w:t>t2</w:t>
      </w:r>
      <w:r>
        <w:rPr>
          <w:rFonts w:hint="eastAsia" w:ascii="Times New Roman" w:hAnsi="Times New Roman" w:eastAsia="宋体" w:cs="Times New Roman"/>
          <w:sz w:val="24"/>
        </w:rPr>
        <w:t xml:space="preserve"> ;F</w:t>
      </w:r>
      <w:r>
        <w:rPr>
          <w:rFonts w:hint="eastAsia" w:ascii="Times New Roman" w:hAnsi="Times New Roman" w:eastAsia="宋体" w:cs="Times New Roman"/>
          <w:sz w:val="24"/>
          <w:vertAlign w:val="subscript"/>
        </w:rPr>
        <w:t>t3</w:t>
      </w:r>
      <w:r>
        <w:rPr>
          <w:rFonts w:hint="eastAsia" w:ascii="宋体" w:hAnsi="宋体" w:eastAsia="宋体" w:cs="Times New Roman"/>
          <w:sz w:val="24"/>
        </w:rPr>
        <w:t>·····</w:t>
      </w:r>
      <w:r>
        <w:rPr>
          <w:rFonts w:hint="eastAsia" w:ascii="Times New Roman" w:hAnsi="Times New Roman" w:eastAsia="宋体" w:cs="Times New Roman"/>
          <w:sz w:val="24"/>
        </w:rPr>
        <w:t>F</w:t>
      </w:r>
      <w:r>
        <w:rPr>
          <w:rFonts w:hint="eastAsia" w:ascii="Times New Roman" w:hAnsi="Times New Roman" w:eastAsia="宋体" w:cs="Times New Roman"/>
          <w:sz w:val="24"/>
          <w:vertAlign w:val="subscript"/>
        </w:rPr>
        <w:t>tn</w:t>
      </w:r>
      <w:r>
        <w:rPr>
          <w:rFonts w:hint="eastAsia" w:ascii="Times New Roman" w:hAnsi="Times New Roman" w:eastAsia="宋体" w:cs="Times New Roman"/>
          <w:sz w:val="24"/>
        </w:rPr>
        <w:t xml:space="preserve"> -- 各可调因子的现行价格指数，指第17.3.3项、第17.5.2项和第17.6.2项约定的付款证书相关周期最后一天的前42天的各可调因子的价格指数；</w:t>
      </w:r>
    </w:p>
    <w:p w14:paraId="30E3D908">
      <w:pPr>
        <w:rPr>
          <w:rFonts w:ascii="Times New Roman" w:hAnsi="Times New Roman" w:eastAsia="宋体" w:cs="Times New Roman"/>
          <w:sz w:val="24"/>
        </w:rPr>
      </w:pPr>
      <w:r>
        <w:rPr>
          <w:rFonts w:hint="eastAsia" w:ascii="Times New Roman" w:hAnsi="Times New Roman" w:eastAsia="宋体" w:cs="Times New Roman"/>
          <w:sz w:val="24"/>
        </w:rPr>
        <w:tab/>
      </w:r>
      <w:r>
        <w:rPr>
          <w:rFonts w:hint="eastAsia" w:ascii="Times New Roman" w:hAnsi="Times New Roman" w:eastAsia="宋体" w:cs="Times New Roman"/>
          <w:sz w:val="24"/>
        </w:rPr>
        <w:t>F</w:t>
      </w:r>
      <w:r>
        <w:rPr>
          <w:rFonts w:hint="eastAsia" w:ascii="Times New Roman" w:hAnsi="Times New Roman" w:eastAsia="宋体" w:cs="Times New Roman"/>
          <w:sz w:val="24"/>
          <w:vertAlign w:val="subscript"/>
        </w:rPr>
        <w:t>o1</w:t>
      </w:r>
      <w:r>
        <w:rPr>
          <w:rFonts w:hint="eastAsia" w:ascii="Times New Roman" w:hAnsi="Times New Roman" w:eastAsia="宋体" w:cs="Times New Roman"/>
          <w:sz w:val="24"/>
        </w:rPr>
        <w:t>; F</w:t>
      </w:r>
      <w:r>
        <w:rPr>
          <w:rFonts w:hint="eastAsia" w:ascii="Times New Roman" w:hAnsi="Times New Roman" w:eastAsia="宋体" w:cs="Times New Roman"/>
          <w:sz w:val="24"/>
          <w:vertAlign w:val="subscript"/>
        </w:rPr>
        <w:t>o2</w:t>
      </w:r>
      <w:r>
        <w:rPr>
          <w:rFonts w:hint="eastAsia" w:ascii="Times New Roman" w:hAnsi="Times New Roman" w:eastAsia="宋体" w:cs="Times New Roman"/>
          <w:sz w:val="24"/>
        </w:rPr>
        <w:t>; F</w:t>
      </w:r>
      <w:r>
        <w:rPr>
          <w:rFonts w:hint="eastAsia" w:ascii="Times New Roman" w:hAnsi="Times New Roman" w:eastAsia="宋体" w:cs="Times New Roman"/>
          <w:sz w:val="24"/>
          <w:vertAlign w:val="subscript"/>
        </w:rPr>
        <w:t>o3</w:t>
      </w:r>
      <w:r>
        <w:rPr>
          <w:rFonts w:hint="eastAsia" w:ascii="宋体" w:hAnsi="宋体" w:eastAsia="宋体" w:cs="Times New Roman"/>
          <w:sz w:val="24"/>
        </w:rPr>
        <w:t>·····</w:t>
      </w:r>
      <w:r>
        <w:rPr>
          <w:rFonts w:hint="eastAsia" w:ascii="Times New Roman" w:hAnsi="Times New Roman" w:eastAsia="宋体" w:cs="Times New Roman"/>
          <w:sz w:val="24"/>
        </w:rPr>
        <w:t>F</w:t>
      </w:r>
      <w:r>
        <w:rPr>
          <w:rFonts w:hint="eastAsia" w:ascii="Times New Roman" w:hAnsi="Times New Roman" w:eastAsia="宋体" w:cs="Times New Roman"/>
          <w:sz w:val="24"/>
          <w:vertAlign w:val="subscript"/>
        </w:rPr>
        <w:t>on</w:t>
      </w:r>
      <w:r>
        <w:rPr>
          <w:rFonts w:hint="eastAsia" w:ascii="Times New Roman" w:hAnsi="Times New Roman" w:eastAsia="宋体" w:cs="Times New Roman"/>
          <w:sz w:val="24"/>
        </w:rPr>
        <w:t xml:space="preserve"> -- 各可调因子的基本价格指数，指基准日期的各可调因子的价格指数。</w:t>
      </w:r>
    </w:p>
    <w:p w14:paraId="0644D772">
      <w:pPr>
        <w:rPr>
          <w:rFonts w:ascii="Times New Roman" w:hAnsi="Times New Roman" w:eastAsia="宋体" w:cs="Times New Roman"/>
          <w:sz w:val="24"/>
        </w:rPr>
      </w:pPr>
      <w:r>
        <w:rPr>
          <w:rFonts w:hint="eastAsia" w:ascii="Times New Roman" w:hAnsi="Times New Roman" w:eastAsia="宋体" w:cs="Times New Roman"/>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D7ED842">
      <w:pPr>
        <w:rPr>
          <w:rFonts w:ascii="Times New Roman" w:hAnsi="Times New Roman" w:eastAsia="宋体" w:cs="Times New Roman"/>
          <w:sz w:val="24"/>
        </w:rPr>
      </w:pPr>
      <w:r>
        <w:rPr>
          <w:rFonts w:hint="eastAsia" w:ascii="Times New Roman" w:hAnsi="Times New Roman" w:eastAsia="宋体" w:cs="Times New Roman"/>
          <w:sz w:val="24"/>
        </w:rPr>
        <w:t>16.1.1.2 暂时确定调整差额</w:t>
      </w:r>
    </w:p>
    <w:p w14:paraId="5DC893D4">
      <w:pPr>
        <w:rPr>
          <w:rFonts w:ascii="Times New Roman" w:hAnsi="Times New Roman" w:eastAsia="宋体" w:cs="Times New Roman"/>
          <w:sz w:val="24"/>
        </w:rPr>
      </w:pPr>
      <w:r>
        <w:rPr>
          <w:rFonts w:hint="eastAsia" w:ascii="Times New Roman" w:hAnsi="Times New Roman" w:eastAsia="宋体" w:cs="Times New Roman"/>
          <w:sz w:val="24"/>
        </w:rPr>
        <w:t>在计算调整差额时得不到现行价格指数的，可暂用上一次价格指数计算，并在以后的付款中再按实际价格指数进行调整。</w:t>
      </w:r>
    </w:p>
    <w:p w14:paraId="6AFD472E">
      <w:pPr>
        <w:rPr>
          <w:rFonts w:ascii="Times New Roman" w:hAnsi="Times New Roman" w:eastAsia="宋体" w:cs="Times New Roman"/>
          <w:sz w:val="24"/>
        </w:rPr>
      </w:pPr>
      <w:r>
        <w:rPr>
          <w:rFonts w:hint="eastAsia" w:ascii="Times New Roman" w:hAnsi="Times New Roman" w:eastAsia="宋体" w:cs="Times New Roman"/>
          <w:sz w:val="24"/>
        </w:rPr>
        <w:t>16.1.1.3 权重的调整</w:t>
      </w:r>
    </w:p>
    <w:p w14:paraId="01E1253F">
      <w:pPr>
        <w:rPr>
          <w:rFonts w:ascii="Times New Roman" w:hAnsi="Times New Roman" w:eastAsia="宋体" w:cs="Times New Roman"/>
          <w:sz w:val="24"/>
        </w:rPr>
      </w:pPr>
      <w:r>
        <w:rPr>
          <w:rFonts w:hint="eastAsia" w:ascii="Times New Roman" w:hAnsi="Times New Roman" w:eastAsia="宋体" w:cs="Times New Roman"/>
          <w:sz w:val="24"/>
        </w:rPr>
        <w:t>按第15.1款约定的变更导致原定合同中的权重不合理时，由监理人与承包人和发包人协商后进行调整。</w:t>
      </w:r>
    </w:p>
    <w:p w14:paraId="3F8F0388">
      <w:pPr>
        <w:rPr>
          <w:rFonts w:ascii="Times New Roman" w:hAnsi="Times New Roman" w:eastAsia="宋体" w:cs="Times New Roman"/>
          <w:sz w:val="24"/>
        </w:rPr>
      </w:pPr>
      <w:r>
        <w:rPr>
          <w:rFonts w:hint="eastAsia" w:ascii="Times New Roman" w:hAnsi="Times New Roman" w:eastAsia="宋体" w:cs="Times New Roman"/>
          <w:sz w:val="24"/>
        </w:rPr>
        <w:t>16.1.1.4 承包人工期延误后的价格调整</w:t>
      </w:r>
    </w:p>
    <w:p w14:paraId="029E2CC5">
      <w:pPr>
        <w:rPr>
          <w:rFonts w:ascii="Times New Roman" w:hAnsi="Times New Roman" w:eastAsia="宋体" w:cs="Times New Roman"/>
          <w:sz w:val="24"/>
        </w:rPr>
      </w:pPr>
      <w:r>
        <w:rPr>
          <w:rFonts w:hint="eastAsia" w:ascii="Times New Roman" w:hAnsi="Times New Roman" w:eastAsia="宋体" w:cs="Times New Roman"/>
          <w:sz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921632D">
      <w:pPr>
        <w:rPr>
          <w:rFonts w:ascii="黑体" w:hAnsi="Times New Roman" w:eastAsia="黑体" w:cs="Times New Roman"/>
          <w:sz w:val="24"/>
        </w:rPr>
      </w:pPr>
      <w:r>
        <w:rPr>
          <w:rFonts w:hint="eastAsia" w:ascii="黑体" w:hAnsi="Times New Roman" w:eastAsia="黑体" w:cs="Times New Roman"/>
          <w:sz w:val="24"/>
        </w:rPr>
        <w:t>16.1.2 采用造价信息调整价格差额</w:t>
      </w:r>
    </w:p>
    <w:p w14:paraId="3E74C5EE">
      <w:pPr>
        <w:rPr>
          <w:rFonts w:ascii="Times New Roman" w:hAnsi="Times New Roman" w:eastAsia="宋体" w:cs="Times New Roman"/>
          <w:sz w:val="24"/>
        </w:rPr>
      </w:pPr>
      <w:r>
        <w:rPr>
          <w:rFonts w:hint="eastAsia" w:ascii="Times New Roman" w:hAnsi="Times New Roman" w:eastAsia="宋体" w:cs="Times New Roman"/>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BC2A486">
      <w:pPr>
        <w:rPr>
          <w:rFonts w:ascii="Times New Roman" w:hAnsi="Times New Roman" w:eastAsia="宋体" w:cs="Times New Roman"/>
          <w:sz w:val="24"/>
        </w:rPr>
      </w:pPr>
      <w:bookmarkStart w:id="1196" w:name="_Toc179632735"/>
      <w:bookmarkStart w:id="1197" w:name="_Toc362252834"/>
      <w:bookmarkStart w:id="1198" w:name="_Toc144974688"/>
      <w:bookmarkStart w:id="1199" w:name="_Toc152042496"/>
      <w:bookmarkStart w:id="1200" w:name="_Toc152045717"/>
      <w:bookmarkStart w:id="1201" w:name="_Toc342296368"/>
      <w:bookmarkStart w:id="1202" w:name="_Toc338944810"/>
      <w:r>
        <w:rPr>
          <w:rFonts w:hint="eastAsia" w:ascii="Times New Roman" w:hAnsi="Times New Roman" w:eastAsia="宋体" w:cs="Times New Roman"/>
          <w:sz w:val="24"/>
        </w:rPr>
        <w:t>16.2 法律变化引起的价格调整</w:t>
      </w:r>
      <w:bookmarkEnd w:id="1196"/>
      <w:bookmarkEnd w:id="1197"/>
      <w:bookmarkEnd w:id="1198"/>
      <w:bookmarkEnd w:id="1199"/>
      <w:bookmarkEnd w:id="1200"/>
      <w:bookmarkEnd w:id="1201"/>
      <w:bookmarkEnd w:id="1202"/>
    </w:p>
    <w:p w14:paraId="7A363876">
      <w:pPr>
        <w:rPr>
          <w:rFonts w:ascii="Times New Roman" w:hAnsi="Times New Roman" w:eastAsia="宋体" w:cs="Times New Roman"/>
          <w:sz w:val="24"/>
        </w:rPr>
      </w:pPr>
      <w:r>
        <w:rPr>
          <w:rFonts w:hint="eastAsia" w:ascii="Times New Roman" w:hAnsi="Times New Roman" w:eastAsia="宋体" w:cs="Times New Roman"/>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0003E1DD">
      <w:pPr>
        <w:rPr>
          <w:rFonts w:ascii="Times New Roman" w:hAnsi="Times New Roman" w:eastAsia="宋体" w:cs="Times New Roman"/>
          <w:sz w:val="24"/>
        </w:rPr>
      </w:pPr>
      <w:bookmarkStart w:id="1203" w:name="_Toc342296369"/>
      <w:bookmarkStart w:id="1204" w:name="_Toc338944811"/>
      <w:bookmarkStart w:id="1205" w:name="_Toc362252835"/>
      <w:r>
        <w:rPr>
          <w:rFonts w:hint="eastAsia" w:ascii="Times New Roman" w:hAnsi="Times New Roman" w:eastAsia="宋体" w:cs="Times New Roman"/>
          <w:sz w:val="24"/>
        </w:rPr>
        <w:t>17. 计量与支付</w:t>
      </w:r>
      <w:bookmarkEnd w:id="1203"/>
      <w:bookmarkEnd w:id="1204"/>
      <w:bookmarkEnd w:id="1205"/>
    </w:p>
    <w:p w14:paraId="4F36A147">
      <w:pPr>
        <w:rPr>
          <w:rFonts w:ascii="Times New Roman" w:hAnsi="Times New Roman" w:eastAsia="宋体" w:cs="Times New Roman"/>
          <w:sz w:val="24"/>
        </w:rPr>
      </w:pPr>
      <w:bookmarkStart w:id="1206" w:name="_Toc342296370"/>
      <w:bookmarkStart w:id="1207" w:name="_Toc338944812"/>
      <w:bookmarkStart w:id="1208" w:name="_Toc362252836"/>
      <w:r>
        <w:rPr>
          <w:rFonts w:hint="eastAsia" w:ascii="Times New Roman" w:hAnsi="Times New Roman" w:eastAsia="宋体" w:cs="Times New Roman"/>
          <w:sz w:val="24"/>
        </w:rPr>
        <w:t>17.1 计量</w:t>
      </w:r>
      <w:bookmarkEnd w:id="1206"/>
      <w:bookmarkEnd w:id="1207"/>
      <w:bookmarkEnd w:id="1208"/>
    </w:p>
    <w:p w14:paraId="6EE77024">
      <w:pPr>
        <w:rPr>
          <w:rFonts w:ascii="Times New Roman" w:hAnsi="Times New Roman" w:eastAsia="宋体" w:cs="Times New Roman"/>
          <w:sz w:val="24"/>
        </w:rPr>
      </w:pPr>
      <w:r>
        <w:rPr>
          <w:rFonts w:hint="eastAsia" w:ascii="Times New Roman" w:hAnsi="Times New Roman" w:eastAsia="宋体" w:cs="Times New Roman"/>
          <w:sz w:val="24"/>
        </w:rPr>
        <w:t xml:space="preserve">17.1.1 </w:t>
      </w:r>
      <w:r>
        <w:rPr>
          <w:rFonts w:hint="eastAsia" w:ascii="黑体" w:hAnsi="Times New Roman" w:eastAsia="黑体" w:cs="Times New Roman"/>
          <w:sz w:val="24"/>
        </w:rPr>
        <w:t>计量单位</w:t>
      </w:r>
    </w:p>
    <w:p w14:paraId="7BC42DB5">
      <w:pPr>
        <w:rPr>
          <w:rFonts w:ascii="Times New Roman" w:hAnsi="Times New Roman" w:eastAsia="宋体" w:cs="Times New Roman"/>
          <w:sz w:val="24"/>
        </w:rPr>
      </w:pPr>
      <w:r>
        <w:rPr>
          <w:rFonts w:hint="eastAsia" w:ascii="Times New Roman" w:hAnsi="Times New Roman" w:eastAsia="宋体" w:cs="Times New Roman"/>
          <w:sz w:val="24"/>
        </w:rPr>
        <w:t>计量采用国家法定的计量单位。</w:t>
      </w:r>
    </w:p>
    <w:p w14:paraId="2DEC8BBA">
      <w:pPr>
        <w:rPr>
          <w:rFonts w:ascii="Times New Roman" w:hAnsi="Times New Roman" w:eastAsia="宋体" w:cs="Times New Roman"/>
          <w:sz w:val="24"/>
        </w:rPr>
      </w:pPr>
      <w:r>
        <w:rPr>
          <w:rFonts w:hint="eastAsia" w:ascii="Times New Roman" w:hAnsi="Times New Roman" w:eastAsia="宋体" w:cs="Times New Roman"/>
          <w:sz w:val="24"/>
        </w:rPr>
        <w:t xml:space="preserve">17.1.2 </w:t>
      </w:r>
      <w:r>
        <w:rPr>
          <w:rFonts w:hint="eastAsia" w:ascii="黑体" w:hAnsi="Times New Roman" w:eastAsia="黑体" w:cs="Times New Roman"/>
          <w:sz w:val="24"/>
        </w:rPr>
        <w:t>计量方法</w:t>
      </w:r>
    </w:p>
    <w:p w14:paraId="6D1CF5C5">
      <w:pPr>
        <w:rPr>
          <w:rFonts w:ascii="Times New Roman" w:hAnsi="Times New Roman" w:eastAsia="宋体" w:cs="Times New Roman"/>
          <w:sz w:val="24"/>
        </w:rPr>
      </w:pPr>
      <w:r>
        <w:rPr>
          <w:rFonts w:hint="eastAsia" w:ascii="Times New Roman" w:hAnsi="Times New Roman" w:eastAsia="宋体" w:cs="Times New Roman"/>
          <w:sz w:val="24"/>
        </w:rPr>
        <w:t>工程量清单中的工程量计算规则应按有关国家标准、行业标准的规定，并在合同中约定执行。</w:t>
      </w:r>
    </w:p>
    <w:p w14:paraId="3FE3B6BB">
      <w:pPr>
        <w:rPr>
          <w:rFonts w:ascii="Times New Roman" w:hAnsi="Times New Roman" w:eastAsia="宋体" w:cs="Times New Roman"/>
          <w:sz w:val="24"/>
        </w:rPr>
      </w:pPr>
      <w:r>
        <w:rPr>
          <w:rFonts w:hint="eastAsia" w:ascii="Times New Roman" w:hAnsi="Times New Roman" w:eastAsia="宋体" w:cs="Times New Roman"/>
          <w:sz w:val="24"/>
        </w:rPr>
        <w:t xml:space="preserve">17.1.3 </w:t>
      </w:r>
      <w:r>
        <w:rPr>
          <w:rFonts w:hint="eastAsia" w:ascii="黑体" w:hAnsi="Times New Roman" w:eastAsia="黑体" w:cs="Times New Roman"/>
          <w:sz w:val="24"/>
        </w:rPr>
        <w:t>计量周期</w:t>
      </w:r>
    </w:p>
    <w:p w14:paraId="0ABAC0EF">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除专用合同条款另有约定外，单价子目已完成工程量按月计量，总价子目的计量周期按批准的支付分解报告确定。</w:t>
      </w:r>
    </w:p>
    <w:p w14:paraId="763EC8BC">
      <w:pPr>
        <w:rPr>
          <w:rFonts w:ascii="Times New Roman" w:hAnsi="Times New Roman" w:eastAsia="宋体" w:cs="Times New Roman"/>
          <w:sz w:val="24"/>
        </w:rPr>
      </w:pPr>
      <w:r>
        <w:rPr>
          <w:rFonts w:hint="eastAsia" w:ascii="Times New Roman" w:hAnsi="Times New Roman" w:eastAsia="宋体" w:cs="Times New Roman"/>
          <w:sz w:val="24"/>
        </w:rPr>
        <w:t>17.1.4</w:t>
      </w:r>
      <w:r>
        <w:rPr>
          <w:rFonts w:hint="eastAsia" w:ascii="黑体" w:hAnsi="Times New Roman" w:eastAsia="黑体" w:cs="Times New Roman"/>
          <w:sz w:val="24"/>
        </w:rPr>
        <w:t xml:space="preserve"> 单价子目的计量</w:t>
      </w:r>
    </w:p>
    <w:p w14:paraId="6BE83306">
      <w:pPr>
        <w:rPr>
          <w:rFonts w:ascii="Times New Roman" w:hAnsi="Times New Roman" w:eastAsia="宋体" w:cs="Times New Roman"/>
          <w:sz w:val="24"/>
        </w:rPr>
      </w:pPr>
      <w:r>
        <w:rPr>
          <w:rFonts w:hint="eastAsia" w:ascii="Times New Roman" w:hAnsi="Times New Roman" w:eastAsia="宋体" w:cs="Times New Roman"/>
          <w:sz w:val="24"/>
        </w:rPr>
        <w:t>（1）已标价工程量清单中的单价子目工程量为估算工程量。结算工程量是承包人实际完成的，并按合同约定的计量方法进行计量的工程量。</w:t>
      </w:r>
    </w:p>
    <w:p w14:paraId="57B834E5">
      <w:pPr>
        <w:rPr>
          <w:rFonts w:ascii="Times New Roman" w:hAnsi="Times New Roman" w:eastAsia="宋体" w:cs="Times New Roman"/>
          <w:sz w:val="24"/>
        </w:rPr>
      </w:pPr>
      <w:r>
        <w:rPr>
          <w:rFonts w:hint="eastAsia" w:ascii="Times New Roman" w:hAnsi="Times New Roman" w:eastAsia="宋体" w:cs="Times New Roman"/>
          <w:sz w:val="24"/>
        </w:rPr>
        <w:t>（2）承包人对已完成的工程进行计量，向监理人提交进度付款申请单、已完成工程量报表和有关计量资料。</w:t>
      </w:r>
    </w:p>
    <w:p w14:paraId="7A904B27">
      <w:pPr>
        <w:rPr>
          <w:rFonts w:ascii="Times New Roman" w:hAnsi="Times New Roman" w:eastAsia="宋体" w:cs="Times New Roman"/>
          <w:sz w:val="24"/>
        </w:rPr>
      </w:pPr>
      <w:r>
        <w:rPr>
          <w:rFonts w:hint="eastAsia" w:ascii="Times New Roman" w:hAnsi="Times New Roman" w:eastAsia="宋体" w:cs="Times New Roman"/>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A3767FB">
      <w:pPr>
        <w:rPr>
          <w:rFonts w:ascii="Times New Roman" w:hAnsi="Times New Roman" w:eastAsia="宋体" w:cs="Times New Roman"/>
          <w:sz w:val="24"/>
        </w:rPr>
      </w:pPr>
      <w:r>
        <w:rPr>
          <w:rFonts w:hint="eastAsia" w:ascii="Times New Roman" w:hAnsi="Times New Roman" w:eastAsia="宋体" w:cs="Times New Roman"/>
          <w:sz w:val="24"/>
        </w:rPr>
        <w:t>（4）监理人认为有必要时，可通知承包人共同进行联合测量、计量，承包人应遵照执行。</w:t>
      </w:r>
    </w:p>
    <w:p w14:paraId="10CB6353">
      <w:pPr>
        <w:rPr>
          <w:rFonts w:ascii="Times New Roman" w:hAnsi="Times New Roman" w:eastAsia="宋体" w:cs="Times New Roman"/>
          <w:sz w:val="24"/>
        </w:rPr>
      </w:pPr>
      <w:r>
        <w:rPr>
          <w:rFonts w:hint="eastAsia" w:ascii="Times New Roman" w:hAnsi="Times New Roman" w:eastAsia="宋体" w:cs="Times New Roman"/>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C2C3623">
      <w:pPr>
        <w:rPr>
          <w:rFonts w:ascii="Times New Roman" w:hAnsi="Times New Roman" w:eastAsia="宋体" w:cs="Times New Roman"/>
          <w:sz w:val="24"/>
        </w:rPr>
      </w:pPr>
      <w:r>
        <w:rPr>
          <w:rFonts w:hint="eastAsia" w:ascii="Times New Roman" w:hAnsi="Times New Roman" w:eastAsia="宋体" w:cs="Times New Roman"/>
          <w:sz w:val="24"/>
        </w:rPr>
        <w:t>（6）监理人应在收到承包人提交的工程量报表后的7天内进行复核，监理人未在约定时间内复核的，承包人提交的工程量报表中的工程量视为承包人实际完成的工程量，据此计算工程价款。</w:t>
      </w:r>
    </w:p>
    <w:p w14:paraId="40D95776">
      <w:pPr>
        <w:rPr>
          <w:rFonts w:ascii="黑体" w:hAnsi="Times New Roman" w:eastAsia="黑体" w:cs="Times New Roman"/>
          <w:sz w:val="24"/>
        </w:rPr>
      </w:pPr>
      <w:r>
        <w:rPr>
          <w:rFonts w:hint="eastAsia" w:ascii="Times New Roman" w:hAnsi="Times New Roman" w:eastAsia="宋体" w:cs="Times New Roman"/>
          <w:sz w:val="24"/>
        </w:rPr>
        <w:t xml:space="preserve">17.1.5 </w:t>
      </w:r>
      <w:r>
        <w:rPr>
          <w:rFonts w:hint="eastAsia" w:ascii="黑体" w:hAnsi="Times New Roman" w:eastAsia="黑体" w:cs="Times New Roman"/>
          <w:sz w:val="24"/>
        </w:rPr>
        <w:t>总价子目的计量</w:t>
      </w:r>
    </w:p>
    <w:p w14:paraId="3D0898A6">
      <w:pPr>
        <w:rPr>
          <w:rFonts w:ascii="宋体" w:hAnsi="宋体" w:eastAsia="宋体" w:cs="Times New Roman"/>
          <w:sz w:val="24"/>
        </w:rPr>
      </w:pPr>
      <w:r>
        <w:rPr>
          <w:rFonts w:hint="eastAsia" w:ascii="宋体" w:hAnsi="宋体" w:eastAsia="宋体" w:cs="Times New Roman"/>
          <w:sz w:val="24"/>
        </w:rPr>
        <w:t>除专用合同条款另有约定外，总价子目的分解和计量按照下述约定进行。</w:t>
      </w:r>
    </w:p>
    <w:p w14:paraId="17EB9B2D">
      <w:pPr>
        <w:rPr>
          <w:rFonts w:ascii="宋体" w:hAnsi="宋体" w:eastAsia="宋体" w:cs="Times New Roman"/>
          <w:sz w:val="24"/>
        </w:rPr>
      </w:pPr>
      <w:r>
        <w:rPr>
          <w:rFonts w:hint="eastAsia" w:ascii="宋体" w:hAnsi="宋体" w:eastAsia="宋体" w:cs="Times New Roman"/>
          <w:sz w:val="24"/>
        </w:rPr>
        <w:t>（1）总价子目的计量和支付应以总价为基础，不因第16.1款中的因素而进行调整。承包人实际完成的工程量，是进行工程目标管理和控制进度支付的依据。</w:t>
      </w:r>
    </w:p>
    <w:p w14:paraId="4F4ECDF7">
      <w:pPr>
        <w:rPr>
          <w:rFonts w:ascii="宋体" w:hAnsi="宋体" w:eastAsia="宋体" w:cs="Times New Roman"/>
          <w:sz w:val="24"/>
        </w:rPr>
      </w:pPr>
      <w:r>
        <w:rPr>
          <w:rFonts w:hint="eastAsia" w:ascii="宋体" w:hAnsi="宋体" w:eastAsia="宋体" w:cs="Times New Roman"/>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063F219D">
      <w:pPr>
        <w:rPr>
          <w:rFonts w:ascii="宋体" w:hAnsi="宋体" w:eastAsia="宋体" w:cs="Times New Roman"/>
          <w:sz w:val="24"/>
        </w:rPr>
      </w:pPr>
      <w:r>
        <w:rPr>
          <w:rFonts w:hint="eastAsia" w:ascii="宋体" w:hAnsi="宋体" w:eastAsia="宋体" w:cs="Times New Roman"/>
          <w:sz w:val="24"/>
        </w:rPr>
        <w:t>（3）监理人对承包人提交的上述资料进行复核，以确定分阶段实际完成的工程量和工程形象目标。对其有异议的，可要求承包人按第8.2款约定进行共同复核和抽样复测。</w:t>
      </w:r>
    </w:p>
    <w:p w14:paraId="70347DEF">
      <w:pPr>
        <w:rPr>
          <w:rFonts w:ascii="宋体" w:hAnsi="宋体" w:eastAsia="宋体" w:cs="Times New Roman"/>
          <w:sz w:val="24"/>
        </w:rPr>
      </w:pPr>
      <w:r>
        <w:rPr>
          <w:rFonts w:hint="eastAsia" w:ascii="宋体" w:hAnsi="宋体" w:eastAsia="宋体" w:cs="Times New Roman"/>
          <w:sz w:val="24"/>
        </w:rPr>
        <w:t xml:space="preserve">（4）除按照第15条约定的变更外，总价子目的工程量是承包人用于结算的最终工程量。 </w:t>
      </w:r>
    </w:p>
    <w:p w14:paraId="6D1C007E">
      <w:pPr>
        <w:rPr>
          <w:rFonts w:ascii="Times New Roman" w:hAnsi="Times New Roman" w:eastAsia="宋体" w:cs="Times New Roman"/>
          <w:sz w:val="24"/>
        </w:rPr>
      </w:pPr>
      <w:bookmarkStart w:id="1209" w:name="_Toc338944813"/>
      <w:bookmarkStart w:id="1210" w:name="_Toc342296371"/>
      <w:bookmarkStart w:id="1211" w:name="_Toc362252837"/>
      <w:r>
        <w:rPr>
          <w:rFonts w:hint="eastAsia" w:ascii="Times New Roman" w:hAnsi="Times New Roman" w:eastAsia="宋体" w:cs="Times New Roman"/>
          <w:sz w:val="24"/>
        </w:rPr>
        <w:t>17.2 预付款</w:t>
      </w:r>
      <w:bookmarkEnd w:id="1209"/>
      <w:bookmarkEnd w:id="1210"/>
      <w:bookmarkEnd w:id="1211"/>
    </w:p>
    <w:p w14:paraId="12A11551">
      <w:pPr>
        <w:rPr>
          <w:rFonts w:ascii="Times New Roman" w:hAnsi="Times New Roman" w:eastAsia="宋体" w:cs="Times New Roman"/>
          <w:sz w:val="24"/>
        </w:rPr>
      </w:pPr>
      <w:r>
        <w:rPr>
          <w:rFonts w:hint="eastAsia" w:ascii="Times New Roman" w:hAnsi="Times New Roman" w:eastAsia="宋体" w:cs="Times New Roman"/>
          <w:sz w:val="24"/>
        </w:rPr>
        <w:t xml:space="preserve">17.2.1 </w:t>
      </w:r>
      <w:r>
        <w:rPr>
          <w:rFonts w:hint="eastAsia" w:ascii="黑体" w:hAnsi="Times New Roman" w:eastAsia="黑体" w:cs="Times New Roman"/>
          <w:sz w:val="24"/>
        </w:rPr>
        <w:t>预付款</w:t>
      </w:r>
    </w:p>
    <w:p w14:paraId="68E2D337">
      <w:pPr>
        <w:rPr>
          <w:rFonts w:ascii="Times New Roman" w:hAnsi="Times New Roman" w:eastAsia="宋体" w:cs="Times New Roman"/>
          <w:sz w:val="24"/>
        </w:rPr>
      </w:pPr>
      <w:r>
        <w:rPr>
          <w:rFonts w:hint="eastAsia" w:ascii="Times New Roman" w:hAnsi="Times New Roman" w:eastAsia="宋体" w:cs="Times New Roman"/>
          <w:sz w:val="24"/>
        </w:rPr>
        <w:t>预付款用于承包人为合同工程施工购置材料、工程设备、施工设备、修建临时设施以及组织施工队伍进场等。预付款的额度和预付办法在专用合同条款中约定。预付款必须专用于合同工程。</w:t>
      </w:r>
    </w:p>
    <w:p w14:paraId="01176647">
      <w:pPr>
        <w:rPr>
          <w:rFonts w:ascii="Times New Roman" w:hAnsi="Times New Roman" w:eastAsia="宋体" w:cs="Times New Roman"/>
          <w:sz w:val="24"/>
        </w:rPr>
      </w:pPr>
      <w:r>
        <w:rPr>
          <w:rFonts w:hint="eastAsia" w:ascii="Times New Roman" w:hAnsi="Times New Roman" w:eastAsia="宋体" w:cs="Times New Roman"/>
          <w:sz w:val="24"/>
        </w:rPr>
        <w:t xml:space="preserve">17.2.2 </w:t>
      </w:r>
      <w:r>
        <w:rPr>
          <w:rFonts w:hint="eastAsia" w:ascii="黑体" w:hAnsi="Times New Roman" w:eastAsia="黑体" w:cs="Times New Roman"/>
          <w:sz w:val="24"/>
        </w:rPr>
        <w:t>预付款保函</w:t>
      </w:r>
    </w:p>
    <w:p w14:paraId="478995BB">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除专用合同条款另有约定外，承包人应在收到预付款的同时向发包人提交预付款保函，预付款保函的担保金额应与预付款金额相同。保函的担保金额可根据预付款扣回的金额相应递减。</w:t>
      </w:r>
    </w:p>
    <w:p w14:paraId="3521EEB3">
      <w:pPr>
        <w:rPr>
          <w:rFonts w:ascii="Times New Roman" w:hAnsi="Times New Roman" w:eastAsia="宋体" w:cs="Times New Roman"/>
          <w:sz w:val="24"/>
        </w:rPr>
      </w:pPr>
      <w:r>
        <w:rPr>
          <w:rFonts w:hint="eastAsia" w:ascii="Times New Roman" w:hAnsi="Times New Roman" w:eastAsia="宋体" w:cs="Times New Roman"/>
          <w:sz w:val="24"/>
        </w:rPr>
        <w:t xml:space="preserve">17.2.3 </w:t>
      </w:r>
      <w:r>
        <w:rPr>
          <w:rFonts w:hint="eastAsia" w:ascii="黑体" w:hAnsi="Times New Roman" w:eastAsia="黑体" w:cs="Times New Roman"/>
          <w:sz w:val="24"/>
        </w:rPr>
        <w:t>预付款的扣回与还清</w:t>
      </w:r>
    </w:p>
    <w:p w14:paraId="408E29C1">
      <w:pPr>
        <w:rPr>
          <w:rFonts w:ascii="Times New Roman" w:hAnsi="Times New Roman" w:eastAsia="宋体" w:cs="Times New Roman"/>
          <w:sz w:val="24"/>
        </w:rPr>
      </w:pPr>
      <w:r>
        <w:rPr>
          <w:rFonts w:hint="eastAsia" w:ascii="Times New Roman" w:hAnsi="Times New Roman" w:eastAsia="宋体" w:cs="Times New Roman"/>
          <w:sz w:val="24"/>
        </w:rPr>
        <w:t>预付款在进度付款中扣回，扣回办法在专用合同条款中约定。在颁发工程接收证书前，由于不可抗力或其他原因解除合同时，预付款尚未扣清的，尚未扣清的预付款余额应作为承包人的到期应付款。</w:t>
      </w:r>
    </w:p>
    <w:p w14:paraId="7DDA4FD2">
      <w:pPr>
        <w:rPr>
          <w:rFonts w:ascii="Times New Roman" w:hAnsi="Times New Roman" w:eastAsia="宋体" w:cs="Times New Roman"/>
          <w:sz w:val="24"/>
        </w:rPr>
      </w:pPr>
      <w:bookmarkStart w:id="1212" w:name="_Toc342296372"/>
      <w:bookmarkStart w:id="1213" w:name="_Toc362252838"/>
      <w:bookmarkStart w:id="1214" w:name="_Toc338944814"/>
      <w:r>
        <w:rPr>
          <w:rFonts w:hint="eastAsia" w:ascii="Times New Roman" w:hAnsi="Times New Roman" w:eastAsia="宋体" w:cs="Times New Roman"/>
          <w:sz w:val="24"/>
        </w:rPr>
        <w:t>17.3 工程进度付款</w:t>
      </w:r>
      <w:bookmarkEnd w:id="1212"/>
      <w:bookmarkEnd w:id="1213"/>
      <w:bookmarkEnd w:id="1214"/>
    </w:p>
    <w:p w14:paraId="38692460">
      <w:pPr>
        <w:rPr>
          <w:rFonts w:ascii="Times New Roman" w:hAnsi="Times New Roman" w:eastAsia="宋体" w:cs="Times New Roman"/>
          <w:sz w:val="24"/>
        </w:rPr>
      </w:pPr>
      <w:r>
        <w:rPr>
          <w:rFonts w:hint="eastAsia" w:ascii="Times New Roman" w:hAnsi="Times New Roman" w:eastAsia="宋体" w:cs="Times New Roman"/>
          <w:sz w:val="24"/>
        </w:rPr>
        <w:t xml:space="preserve">17.3.1 </w:t>
      </w:r>
      <w:r>
        <w:rPr>
          <w:rFonts w:hint="eastAsia" w:ascii="黑体" w:hAnsi="Times New Roman" w:eastAsia="黑体" w:cs="Times New Roman"/>
          <w:sz w:val="24"/>
        </w:rPr>
        <w:t>付款周期</w:t>
      </w:r>
    </w:p>
    <w:p w14:paraId="7F9E052C">
      <w:pPr>
        <w:rPr>
          <w:rFonts w:ascii="Times New Roman" w:hAnsi="Times New Roman" w:eastAsia="宋体" w:cs="Times New Roman"/>
          <w:sz w:val="24"/>
        </w:rPr>
      </w:pPr>
      <w:r>
        <w:rPr>
          <w:rFonts w:hint="eastAsia" w:ascii="Times New Roman" w:hAnsi="Times New Roman" w:eastAsia="宋体" w:cs="Times New Roman"/>
          <w:sz w:val="24"/>
        </w:rPr>
        <w:t>付款周期同计量周期。</w:t>
      </w:r>
    </w:p>
    <w:p w14:paraId="06235179">
      <w:pPr>
        <w:rPr>
          <w:rFonts w:ascii="Times New Roman" w:hAnsi="Times New Roman" w:eastAsia="宋体" w:cs="Times New Roman"/>
          <w:sz w:val="24"/>
        </w:rPr>
      </w:pPr>
      <w:r>
        <w:rPr>
          <w:rFonts w:hint="eastAsia" w:ascii="Times New Roman" w:hAnsi="Times New Roman" w:eastAsia="宋体" w:cs="Times New Roman"/>
          <w:sz w:val="24"/>
        </w:rPr>
        <w:t xml:space="preserve">17.3.2 </w:t>
      </w:r>
      <w:r>
        <w:rPr>
          <w:rFonts w:hint="eastAsia" w:ascii="黑体" w:hAnsi="Times New Roman" w:eastAsia="黑体" w:cs="Times New Roman"/>
          <w:sz w:val="24"/>
        </w:rPr>
        <w:t>进度付款申请单</w:t>
      </w:r>
    </w:p>
    <w:p w14:paraId="160328EB">
      <w:pPr>
        <w:rPr>
          <w:rFonts w:ascii="Times New Roman" w:hAnsi="Times New Roman" w:eastAsia="宋体" w:cs="Times New Roman"/>
          <w:dstrike/>
          <w:sz w:val="24"/>
        </w:rPr>
      </w:pPr>
      <w:r>
        <w:rPr>
          <w:rFonts w:hint="eastAsia" w:ascii="Times New Roman" w:hAnsi="Times New Roman" w:eastAsia="宋体" w:cs="Times New Roman"/>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159F0A2">
      <w:pPr>
        <w:rPr>
          <w:rFonts w:ascii="Times New Roman" w:hAnsi="Times New Roman" w:eastAsia="宋体" w:cs="Times New Roman"/>
          <w:sz w:val="24"/>
        </w:rPr>
      </w:pPr>
      <w:r>
        <w:rPr>
          <w:rFonts w:hint="eastAsia" w:ascii="Times New Roman" w:hAnsi="Times New Roman" w:eastAsia="宋体" w:cs="Times New Roman"/>
          <w:sz w:val="24"/>
        </w:rPr>
        <w:t>（1）截至本次付款周期末已实施工程的价款；</w:t>
      </w:r>
    </w:p>
    <w:p w14:paraId="47FD87BD">
      <w:pPr>
        <w:rPr>
          <w:rFonts w:ascii="Times New Roman" w:hAnsi="Times New Roman" w:eastAsia="宋体" w:cs="Times New Roman"/>
          <w:sz w:val="24"/>
        </w:rPr>
      </w:pPr>
      <w:r>
        <w:rPr>
          <w:rFonts w:hint="eastAsia" w:ascii="Times New Roman" w:hAnsi="Times New Roman" w:eastAsia="宋体" w:cs="Times New Roman"/>
          <w:sz w:val="24"/>
        </w:rPr>
        <w:t>（2）根据第15条应增加和扣减的变更金额；</w:t>
      </w:r>
    </w:p>
    <w:p w14:paraId="6C808415">
      <w:pPr>
        <w:rPr>
          <w:rFonts w:ascii="Times New Roman" w:hAnsi="Times New Roman" w:eastAsia="宋体" w:cs="Times New Roman"/>
          <w:sz w:val="24"/>
        </w:rPr>
      </w:pPr>
      <w:r>
        <w:rPr>
          <w:rFonts w:hint="eastAsia" w:ascii="Times New Roman" w:hAnsi="Times New Roman" w:eastAsia="宋体" w:cs="Times New Roman"/>
          <w:sz w:val="24"/>
        </w:rPr>
        <w:t>（3）根据第23条应增加和扣减的索赔金额；</w:t>
      </w:r>
    </w:p>
    <w:p w14:paraId="5BBDEB70">
      <w:pPr>
        <w:rPr>
          <w:rFonts w:ascii="Times New Roman" w:hAnsi="Times New Roman" w:eastAsia="宋体" w:cs="Times New Roman"/>
          <w:sz w:val="24"/>
        </w:rPr>
      </w:pPr>
      <w:r>
        <w:rPr>
          <w:rFonts w:hint="eastAsia" w:ascii="Times New Roman" w:hAnsi="Times New Roman" w:eastAsia="宋体" w:cs="Times New Roman"/>
          <w:sz w:val="24"/>
        </w:rPr>
        <w:t>（4）根据第17.2款约定应支付的预付款和扣减的返还预付款；</w:t>
      </w:r>
    </w:p>
    <w:p w14:paraId="2EADBDB2">
      <w:pPr>
        <w:rPr>
          <w:rFonts w:ascii="Times New Roman" w:hAnsi="Times New Roman" w:eastAsia="宋体" w:cs="Times New Roman"/>
          <w:sz w:val="24"/>
        </w:rPr>
      </w:pPr>
      <w:r>
        <w:rPr>
          <w:rFonts w:hint="eastAsia" w:ascii="Times New Roman" w:hAnsi="Times New Roman" w:eastAsia="宋体" w:cs="Times New Roman"/>
          <w:sz w:val="24"/>
        </w:rPr>
        <w:t>（5）根据第17.4.1项约定应扣减的质量保证金；</w:t>
      </w:r>
    </w:p>
    <w:p w14:paraId="1AB51E93">
      <w:pPr>
        <w:rPr>
          <w:rFonts w:ascii="Times New Roman" w:hAnsi="Times New Roman" w:eastAsia="宋体" w:cs="Times New Roman"/>
          <w:sz w:val="24"/>
        </w:rPr>
      </w:pPr>
      <w:r>
        <w:rPr>
          <w:rFonts w:hint="eastAsia" w:ascii="Times New Roman" w:hAnsi="Times New Roman" w:eastAsia="宋体" w:cs="Times New Roman"/>
          <w:sz w:val="24"/>
        </w:rPr>
        <w:t>（6）根据合同应增加和扣减的其他金额。</w:t>
      </w:r>
    </w:p>
    <w:p w14:paraId="62E41A30">
      <w:pPr>
        <w:rPr>
          <w:rFonts w:ascii="Times New Roman" w:hAnsi="Times New Roman" w:eastAsia="宋体" w:cs="Times New Roman"/>
          <w:sz w:val="24"/>
        </w:rPr>
      </w:pPr>
      <w:r>
        <w:rPr>
          <w:rFonts w:hint="eastAsia" w:ascii="Times New Roman" w:hAnsi="Times New Roman" w:eastAsia="宋体" w:cs="Times New Roman"/>
          <w:sz w:val="24"/>
        </w:rPr>
        <w:t xml:space="preserve">17.3.3 </w:t>
      </w:r>
      <w:r>
        <w:rPr>
          <w:rFonts w:hint="eastAsia" w:ascii="黑体" w:hAnsi="Times New Roman" w:eastAsia="黑体" w:cs="Times New Roman"/>
          <w:sz w:val="24"/>
        </w:rPr>
        <w:t>进度付款证书和支付时间</w:t>
      </w:r>
    </w:p>
    <w:p w14:paraId="75203FF4">
      <w:pPr>
        <w:rPr>
          <w:rFonts w:ascii="Times New Roman" w:hAnsi="Times New Roman" w:eastAsia="宋体" w:cs="Times New Roman"/>
          <w:sz w:val="24"/>
        </w:rPr>
      </w:pPr>
      <w:r>
        <w:rPr>
          <w:rFonts w:hint="eastAsia" w:ascii="Times New Roman" w:hAnsi="Times New Roman" w:eastAsia="宋体" w:cs="Times New Roman"/>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BB56DC7">
      <w:pPr>
        <w:rPr>
          <w:rFonts w:ascii="Times New Roman" w:hAnsi="Times New Roman" w:eastAsia="宋体" w:cs="Times New Roman"/>
          <w:sz w:val="24"/>
        </w:rPr>
      </w:pPr>
      <w:r>
        <w:rPr>
          <w:rFonts w:hint="eastAsia" w:ascii="Times New Roman" w:hAnsi="Times New Roman" w:eastAsia="宋体" w:cs="Times New Roman"/>
          <w:sz w:val="24"/>
        </w:rPr>
        <w:t>（2）发包人应在监理人收到进度付款申请单后的28天内，将进度应付款支付给承包人。发包人不按期支付的，按专用合同条款的约定支付逾期付款违约金。</w:t>
      </w:r>
    </w:p>
    <w:p w14:paraId="50BA36BC">
      <w:pPr>
        <w:rPr>
          <w:rFonts w:ascii="Times New Roman" w:hAnsi="Times New Roman" w:eastAsia="宋体" w:cs="Times New Roman"/>
          <w:sz w:val="24"/>
        </w:rPr>
      </w:pPr>
      <w:r>
        <w:rPr>
          <w:rFonts w:hint="eastAsia" w:ascii="Times New Roman" w:hAnsi="Times New Roman" w:eastAsia="宋体" w:cs="Times New Roman"/>
          <w:sz w:val="24"/>
        </w:rPr>
        <w:t>（3）监理人出具进度付款证书，不应视为监理人已同意、批准或接受了承包人完成的该部分工作。</w:t>
      </w:r>
    </w:p>
    <w:p w14:paraId="74A847C0">
      <w:pPr>
        <w:rPr>
          <w:rFonts w:ascii="Times New Roman" w:hAnsi="Times New Roman" w:eastAsia="宋体" w:cs="Times New Roman"/>
          <w:sz w:val="24"/>
        </w:rPr>
      </w:pPr>
      <w:r>
        <w:rPr>
          <w:rFonts w:hint="eastAsia" w:ascii="Times New Roman" w:hAnsi="Times New Roman" w:eastAsia="宋体" w:cs="Times New Roman"/>
          <w:sz w:val="24"/>
        </w:rPr>
        <w:t>（4）进度付款涉及政府投资资金的，按照国库集中支付等国家相关规定和专用合同条款的约定办理。</w:t>
      </w:r>
    </w:p>
    <w:p w14:paraId="1C576326">
      <w:pPr>
        <w:rPr>
          <w:rFonts w:ascii="Times New Roman" w:hAnsi="Times New Roman" w:eastAsia="宋体" w:cs="Times New Roman"/>
          <w:sz w:val="24"/>
        </w:rPr>
      </w:pPr>
      <w:r>
        <w:rPr>
          <w:rFonts w:hint="eastAsia" w:ascii="Times New Roman" w:hAnsi="Times New Roman" w:eastAsia="宋体" w:cs="Times New Roman"/>
          <w:sz w:val="24"/>
        </w:rPr>
        <w:t xml:space="preserve">17.3.4 </w:t>
      </w:r>
      <w:r>
        <w:rPr>
          <w:rFonts w:hint="eastAsia" w:ascii="黑体" w:hAnsi="Times New Roman" w:eastAsia="黑体" w:cs="Times New Roman"/>
          <w:sz w:val="24"/>
        </w:rPr>
        <w:t>工程进度付款的修正</w:t>
      </w:r>
    </w:p>
    <w:p w14:paraId="49199A10">
      <w:pPr>
        <w:rPr>
          <w:rFonts w:ascii="Times New Roman" w:hAnsi="Times New Roman" w:eastAsia="宋体" w:cs="Times New Roman"/>
          <w:sz w:val="24"/>
        </w:rPr>
      </w:pPr>
      <w:r>
        <w:rPr>
          <w:rFonts w:hint="eastAsia" w:ascii="Times New Roman" w:hAnsi="Times New Roman" w:eastAsia="宋体" w:cs="Times New Roman"/>
          <w:sz w:val="24"/>
        </w:rPr>
        <w:t>在对以往历次已签发的进度付款证书进行汇总和复核中发现错、漏或重复的，监理人有权予以修正，承包人也有权提出修正申请。经双方复核同意的修正，应在本次进度付款中支付或扣除。</w:t>
      </w:r>
    </w:p>
    <w:p w14:paraId="3D9EF933">
      <w:pPr>
        <w:rPr>
          <w:rFonts w:ascii="Times New Roman" w:hAnsi="Times New Roman" w:eastAsia="宋体" w:cs="Times New Roman"/>
          <w:sz w:val="24"/>
        </w:rPr>
      </w:pPr>
      <w:bookmarkStart w:id="1215" w:name="_Toc342296373"/>
      <w:bookmarkStart w:id="1216" w:name="_Toc338944815"/>
      <w:bookmarkStart w:id="1217" w:name="_Toc362252839"/>
      <w:r>
        <w:rPr>
          <w:rFonts w:hint="eastAsia" w:ascii="Times New Roman" w:hAnsi="Times New Roman" w:eastAsia="宋体" w:cs="Times New Roman"/>
          <w:sz w:val="24"/>
        </w:rPr>
        <w:t>17.4 质量保证金</w:t>
      </w:r>
      <w:bookmarkEnd w:id="1215"/>
      <w:bookmarkEnd w:id="1216"/>
      <w:bookmarkEnd w:id="1217"/>
    </w:p>
    <w:p w14:paraId="5F291DB8">
      <w:pPr>
        <w:rPr>
          <w:rFonts w:ascii="Times New Roman" w:hAnsi="Times New Roman" w:eastAsia="宋体" w:cs="Times New Roman"/>
          <w:sz w:val="24"/>
        </w:rPr>
      </w:pPr>
      <w:r>
        <w:rPr>
          <w:rFonts w:hint="eastAsia" w:ascii="Times New Roman" w:hAnsi="Times New Roman" w:eastAsia="宋体" w:cs="Times New Roman"/>
          <w:sz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04C19ECE">
      <w:pPr>
        <w:rPr>
          <w:rFonts w:ascii="Times New Roman" w:hAnsi="Times New Roman" w:eastAsia="宋体" w:cs="Times New Roman"/>
          <w:sz w:val="24"/>
        </w:rPr>
      </w:pPr>
      <w:r>
        <w:rPr>
          <w:rFonts w:hint="eastAsia" w:ascii="Times New Roman" w:hAnsi="Times New Roman" w:eastAsia="宋体" w:cs="Times New Roman"/>
          <w:sz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763F6B5">
      <w:pPr>
        <w:rPr>
          <w:rFonts w:ascii="Times New Roman" w:hAnsi="Times New Roman" w:eastAsia="宋体" w:cs="Times New Roman"/>
          <w:sz w:val="24"/>
        </w:rPr>
      </w:pPr>
      <w:r>
        <w:rPr>
          <w:rFonts w:hint="eastAsia" w:ascii="Times New Roman" w:hAnsi="Times New Roman" w:eastAsia="宋体" w:cs="Times New Roman"/>
          <w:sz w:val="24"/>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6B5502E3">
      <w:pPr>
        <w:rPr>
          <w:rFonts w:ascii="Times New Roman" w:hAnsi="Times New Roman" w:eastAsia="宋体" w:cs="Times New Roman"/>
          <w:sz w:val="24"/>
        </w:rPr>
      </w:pPr>
      <w:bookmarkStart w:id="1218" w:name="_Toc342296374"/>
      <w:bookmarkStart w:id="1219" w:name="_Toc362252840"/>
      <w:bookmarkStart w:id="1220" w:name="_Toc338944816"/>
      <w:r>
        <w:rPr>
          <w:rFonts w:hint="eastAsia" w:ascii="Times New Roman" w:hAnsi="Times New Roman" w:eastAsia="宋体" w:cs="Times New Roman"/>
          <w:sz w:val="24"/>
        </w:rPr>
        <w:t>17.5 竣工结算</w:t>
      </w:r>
      <w:bookmarkEnd w:id="1218"/>
      <w:bookmarkEnd w:id="1219"/>
      <w:bookmarkEnd w:id="1220"/>
    </w:p>
    <w:p w14:paraId="60F9C31E">
      <w:pPr>
        <w:rPr>
          <w:rFonts w:ascii="Times New Roman" w:hAnsi="Times New Roman" w:eastAsia="宋体" w:cs="Times New Roman"/>
          <w:sz w:val="24"/>
        </w:rPr>
      </w:pPr>
      <w:r>
        <w:rPr>
          <w:rFonts w:hint="eastAsia" w:ascii="Times New Roman" w:hAnsi="Times New Roman" w:eastAsia="宋体" w:cs="Times New Roman"/>
          <w:sz w:val="24"/>
        </w:rPr>
        <w:t xml:space="preserve">17.5.1 </w:t>
      </w:r>
      <w:r>
        <w:rPr>
          <w:rFonts w:hint="eastAsia" w:ascii="黑体" w:hAnsi="Times New Roman" w:eastAsia="黑体" w:cs="Times New Roman"/>
          <w:sz w:val="24"/>
        </w:rPr>
        <w:t>竣工付款申请单</w:t>
      </w:r>
    </w:p>
    <w:p w14:paraId="698ADAD9">
      <w:pPr>
        <w:rPr>
          <w:rFonts w:ascii="Times New Roman" w:hAnsi="Times New Roman" w:eastAsia="宋体" w:cs="Times New Roman"/>
          <w:sz w:val="24"/>
        </w:rPr>
      </w:pPr>
      <w:r>
        <w:rPr>
          <w:rFonts w:hint="eastAsia" w:ascii="Times New Roman" w:hAnsi="Times New Roman" w:eastAsia="宋体" w:cs="Times New Roman"/>
          <w:sz w:val="24"/>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5D173761">
      <w:pPr>
        <w:rPr>
          <w:rFonts w:ascii="Times New Roman" w:hAnsi="Times New Roman" w:eastAsia="宋体" w:cs="Times New Roman"/>
          <w:sz w:val="24"/>
        </w:rPr>
      </w:pPr>
      <w:r>
        <w:rPr>
          <w:rFonts w:hint="eastAsia" w:ascii="Times New Roman" w:hAnsi="Times New Roman" w:eastAsia="宋体" w:cs="Times New Roman"/>
          <w:sz w:val="24"/>
        </w:rPr>
        <w:t>（2）监理人对竣工付款申请单有异议的，有权要求承包人进行修正和提供补充资料。经监理人和承包人协商后，由承包人向监理人提交修正后的竣工付款申请单。</w:t>
      </w:r>
    </w:p>
    <w:p w14:paraId="6A25A0F5">
      <w:pPr>
        <w:rPr>
          <w:rFonts w:ascii="Times New Roman" w:hAnsi="Times New Roman" w:eastAsia="宋体" w:cs="Times New Roman"/>
          <w:sz w:val="24"/>
        </w:rPr>
      </w:pPr>
      <w:r>
        <w:rPr>
          <w:rFonts w:hint="eastAsia" w:ascii="Times New Roman" w:hAnsi="Times New Roman" w:eastAsia="宋体" w:cs="Times New Roman"/>
          <w:sz w:val="24"/>
        </w:rPr>
        <w:t xml:space="preserve">17.5.2 </w:t>
      </w:r>
      <w:r>
        <w:rPr>
          <w:rFonts w:hint="eastAsia" w:ascii="黑体" w:hAnsi="Times New Roman" w:eastAsia="黑体" w:cs="Times New Roman"/>
          <w:sz w:val="24"/>
        </w:rPr>
        <w:t>竣工付款证书及支付时间</w:t>
      </w:r>
    </w:p>
    <w:p w14:paraId="4068C7AA">
      <w:pPr>
        <w:rPr>
          <w:rFonts w:ascii="Times New Roman" w:hAnsi="Times New Roman" w:eastAsia="宋体" w:cs="Times New Roman"/>
          <w:sz w:val="24"/>
        </w:rPr>
      </w:pPr>
      <w:r>
        <w:rPr>
          <w:rFonts w:hint="eastAsia" w:ascii="Times New Roman" w:hAnsi="Times New Roman" w:eastAsia="宋体" w:cs="Times New Roman"/>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71A21A37">
      <w:pPr>
        <w:rPr>
          <w:rFonts w:ascii="Times New Roman" w:hAnsi="Times New Roman" w:eastAsia="宋体" w:cs="Times New Roman"/>
          <w:sz w:val="24"/>
        </w:rPr>
      </w:pPr>
      <w:r>
        <w:rPr>
          <w:rFonts w:hint="eastAsia" w:ascii="Times New Roman" w:hAnsi="Times New Roman" w:eastAsia="宋体" w:cs="Times New Roman"/>
          <w:sz w:val="24"/>
        </w:rPr>
        <w:t>（2）发包人应在监理人出具竣工付款证书后的14天内，将应支付款支付给承包人。发包人不按期支付的，按第17.3.3（2）目的约定，将逾期付款违约金支付给承包人。</w:t>
      </w:r>
    </w:p>
    <w:p w14:paraId="384B6A60">
      <w:pPr>
        <w:rPr>
          <w:rFonts w:ascii="Times New Roman" w:hAnsi="Times New Roman" w:eastAsia="宋体" w:cs="Times New Roman"/>
          <w:sz w:val="24"/>
        </w:rPr>
      </w:pPr>
      <w:r>
        <w:rPr>
          <w:rFonts w:hint="eastAsia" w:ascii="Times New Roman" w:hAnsi="Times New Roman" w:eastAsia="宋体" w:cs="Times New Roman"/>
          <w:sz w:val="24"/>
        </w:rPr>
        <w:t>（3）承包人对发包人签认的竣工付款证书有异议的，发包人可出具竣工付款申请单中承包人已同意部分的临时付款证书。存在争议的部分，按第24条的约定办理。</w:t>
      </w:r>
    </w:p>
    <w:p w14:paraId="11F935E3">
      <w:pPr>
        <w:rPr>
          <w:rFonts w:ascii="Times New Roman" w:hAnsi="Times New Roman" w:eastAsia="宋体" w:cs="Times New Roman"/>
          <w:sz w:val="24"/>
        </w:rPr>
      </w:pPr>
      <w:r>
        <w:rPr>
          <w:rFonts w:hint="eastAsia" w:ascii="Times New Roman" w:hAnsi="Times New Roman" w:eastAsia="宋体" w:cs="Times New Roman"/>
          <w:sz w:val="24"/>
        </w:rPr>
        <w:t>（4）竣工付款涉及政府投资资金的，按第17.3.3（４）目的约定办理。</w:t>
      </w:r>
    </w:p>
    <w:p w14:paraId="6E44674B">
      <w:pPr>
        <w:rPr>
          <w:rFonts w:ascii="Times New Roman" w:hAnsi="Times New Roman" w:eastAsia="宋体" w:cs="Times New Roman"/>
          <w:sz w:val="24"/>
        </w:rPr>
      </w:pPr>
      <w:bookmarkStart w:id="1221" w:name="_Toc362252841"/>
      <w:bookmarkStart w:id="1222" w:name="_Toc338944817"/>
      <w:bookmarkStart w:id="1223" w:name="_Toc342296375"/>
      <w:r>
        <w:rPr>
          <w:rFonts w:hint="eastAsia" w:ascii="Times New Roman" w:hAnsi="Times New Roman" w:eastAsia="宋体" w:cs="Times New Roman"/>
          <w:sz w:val="24"/>
        </w:rPr>
        <w:t>17.6 最终结清</w:t>
      </w:r>
      <w:bookmarkEnd w:id="1221"/>
      <w:bookmarkEnd w:id="1222"/>
      <w:bookmarkEnd w:id="1223"/>
    </w:p>
    <w:p w14:paraId="22280743">
      <w:pPr>
        <w:rPr>
          <w:rFonts w:ascii="Times New Roman" w:hAnsi="Times New Roman" w:eastAsia="宋体" w:cs="Times New Roman"/>
          <w:sz w:val="24"/>
        </w:rPr>
      </w:pPr>
      <w:r>
        <w:rPr>
          <w:rFonts w:hint="eastAsia" w:ascii="Times New Roman" w:hAnsi="Times New Roman" w:eastAsia="宋体" w:cs="Times New Roman"/>
          <w:sz w:val="24"/>
        </w:rPr>
        <w:t xml:space="preserve">17.6.1 </w:t>
      </w:r>
      <w:r>
        <w:rPr>
          <w:rFonts w:hint="eastAsia" w:ascii="黑体" w:hAnsi="Times New Roman" w:eastAsia="黑体" w:cs="Times New Roman"/>
          <w:sz w:val="24"/>
        </w:rPr>
        <w:t>最终结清申请单</w:t>
      </w:r>
    </w:p>
    <w:p w14:paraId="6B022844">
      <w:pPr>
        <w:rPr>
          <w:rFonts w:ascii="Times New Roman" w:hAnsi="Times New Roman" w:eastAsia="宋体" w:cs="Times New Roman"/>
          <w:sz w:val="24"/>
        </w:rPr>
      </w:pPr>
      <w:r>
        <w:rPr>
          <w:rFonts w:hint="eastAsia" w:ascii="Times New Roman" w:hAnsi="Times New Roman" w:eastAsia="宋体" w:cs="Times New Roman"/>
          <w:sz w:val="24"/>
        </w:rPr>
        <w:t>（1）缺陷责任期终止证书签发后，承包人可按专用合同条款约定的份数和期限向监理人提交最终结清申请单，并提供相关证明材料。</w:t>
      </w:r>
    </w:p>
    <w:p w14:paraId="53536231">
      <w:pPr>
        <w:rPr>
          <w:rFonts w:ascii="Times New Roman" w:hAnsi="Times New Roman" w:eastAsia="宋体" w:cs="Times New Roman"/>
          <w:sz w:val="24"/>
        </w:rPr>
      </w:pPr>
      <w:r>
        <w:rPr>
          <w:rFonts w:hint="eastAsia" w:ascii="Times New Roman" w:hAnsi="Times New Roman" w:eastAsia="宋体" w:cs="Times New Roman"/>
          <w:sz w:val="24"/>
        </w:rPr>
        <w:t>（2）发包人对最终结清申请单内容有异议的，有权要求承包人进行修正和提供补充资料，由承包人向监理人提交修正后的最终结清申请单。</w:t>
      </w:r>
    </w:p>
    <w:p w14:paraId="2F95F503">
      <w:pPr>
        <w:rPr>
          <w:rFonts w:ascii="Times New Roman" w:hAnsi="Times New Roman" w:eastAsia="宋体" w:cs="Times New Roman"/>
          <w:sz w:val="24"/>
        </w:rPr>
      </w:pPr>
      <w:r>
        <w:rPr>
          <w:rFonts w:hint="eastAsia" w:ascii="Times New Roman" w:hAnsi="Times New Roman" w:eastAsia="宋体" w:cs="Times New Roman"/>
          <w:sz w:val="24"/>
        </w:rPr>
        <w:t xml:space="preserve">17.6.2 </w:t>
      </w:r>
      <w:r>
        <w:rPr>
          <w:rFonts w:hint="eastAsia" w:ascii="黑体" w:hAnsi="Times New Roman" w:eastAsia="黑体" w:cs="Times New Roman"/>
          <w:sz w:val="24"/>
        </w:rPr>
        <w:t>最终结清证书和支付时间</w:t>
      </w:r>
    </w:p>
    <w:p w14:paraId="10CB6375">
      <w:pPr>
        <w:rPr>
          <w:rFonts w:ascii="Times New Roman" w:hAnsi="Times New Roman" w:eastAsia="宋体" w:cs="Times New Roman"/>
          <w:sz w:val="24"/>
        </w:rPr>
      </w:pPr>
      <w:r>
        <w:rPr>
          <w:rFonts w:hint="eastAsia" w:ascii="Times New Roman" w:hAnsi="Times New Roman" w:eastAsia="宋体" w:cs="Times New Roman"/>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6BC9742">
      <w:pPr>
        <w:rPr>
          <w:rFonts w:ascii="Times New Roman" w:hAnsi="Times New Roman" w:eastAsia="宋体" w:cs="Times New Roman"/>
          <w:sz w:val="24"/>
        </w:rPr>
      </w:pPr>
      <w:r>
        <w:rPr>
          <w:rFonts w:hint="eastAsia" w:ascii="Times New Roman" w:hAnsi="Times New Roman" w:eastAsia="宋体" w:cs="Times New Roman"/>
          <w:sz w:val="24"/>
        </w:rPr>
        <w:t>（2）发包人应在监理人出具最终结清证书后的14天内，将应支付款支付给承包人。发包人不按期支付的，按第17.3.3（2）目的约定，将逾期付款违约金支付给承包人。</w:t>
      </w:r>
    </w:p>
    <w:p w14:paraId="34572012">
      <w:pPr>
        <w:rPr>
          <w:rFonts w:ascii="Times New Roman" w:hAnsi="Times New Roman" w:eastAsia="宋体" w:cs="Times New Roman"/>
          <w:sz w:val="24"/>
        </w:rPr>
      </w:pPr>
      <w:r>
        <w:rPr>
          <w:rFonts w:hint="eastAsia" w:ascii="Times New Roman" w:hAnsi="Times New Roman" w:eastAsia="宋体" w:cs="Times New Roman"/>
          <w:sz w:val="24"/>
        </w:rPr>
        <w:t>（3）承包人对发包人签认的最终结清证书有异议的，按第24条的约定办理。</w:t>
      </w:r>
    </w:p>
    <w:p w14:paraId="6A21FD1B">
      <w:pPr>
        <w:rPr>
          <w:rFonts w:ascii="Times New Roman" w:hAnsi="Times New Roman" w:eastAsia="宋体" w:cs="Times New Roman"/>
          <w:sz w:val="24"/>
        </w:rPr>
      </w:pPr>
      <w:r>
        <w:rPr>
          <w:rFonts w:hint="eastAsia" w:ascii="Times New Roman" w:hAnsi="Times New Roman" w:eastAsia="宋体" w:cs="Times New Roman"/>
          <w:sz w:val="24"/>
        </w:rPr>
        <w:t>（4）最终结清付款涉及政府投资资金的，按第17.3.3（４）目的约定办理。</w:t>
      </w:r>
    </w:p>
    <w:p w14:paraId="204A385E">
      <w:pPr>
        <w:rPr>
          <w:rFonts w:ascii="Times New Roman" w:hAnsi="Times New Roman" w:eastAsia="宋体" w:cs="Times New Roman"/>
          <w:sz w:val="24"/>
        </w:rPr>
      </w:pPr>
      <w:bookmarkStart w:id="1224" w:name="_Toc362252842"/>
      <w:bookmarkStart w:id="1225" w:name="_Toc342296376"/>
      <w:bookmarkStart w:id="1226" w:name="_Toc338944818"/>
      <w:r>
        <w:rPr>
          <w:rFonts w:hint="eastAsia" w:ascii="Times New Roman" w:hAnsi="Times New Roman" w:eastAsia="宋体" w:cs="Times New Roman"/>
          <w:sz w:val="24"/>
        </w:rPr>
        <w:t>18. 竣工验收</w:t>
      </w:r>
      <w:bookmarkEnd w:id="1224"/>
      <w:bookmarkEnd w:id="1225"/>
      <w:bookmarkEnd w:id="1226"/>
    </w:p>
    <w:p w14:paraId="7E8ED62D">
      <w:pPr>
        <w:rPr>
          <w:rFonts w:ascii="Times New Roman" w:hAnsi="Times New Roman" w:eastAsia="宋体" w:cs="Times New Roman"/>
          <w:sz w:val="24"/>
        </w:rPr>
      </w:pPr>
      <w:bookmarkStart w:id="1227" w:name="_Toc342296377"/>
      <w:bookmarkStart w:id="1228" w:name="_Toc338944819"/>
      <w:bookmarkStart w:id="1229" w:name="_Toc144974697"/>
      <w:bookmarkStart w:id="1230" w:name="_Toc152045726"/>
      <w:bookmarkStart w:id="1231" w:name="_Toc179632744"/>
      <w:bookmarkStart w:id="1232" w:name="_Toc362252843"/>
      <w:bookmarkStart w:id="1233" w:name="_Toc152042505"/>
      <w:r>
        <w:rPr>
          <w:rFonts w:hint="eastAsia" w:ascii="Times New Roman" w:hAnsi="Times New Roman" w:eastAsia="宋体" w:cs="Times New Roman"/>
          <w:sz w:val="24"/>
        </w:rPr>
        <w:t>18.1 竣工验收的含义</w:t>
      </w:r>
      <w:bookmarkEnd w:id="1227"/>
      <w:bookmarkEnd w:id="1228"/>
      <w:bookmarkEnd w:id="1229"/>
      <w:bookmarkEnd w:id="1230"/>
      <w:bookmarkEnd w:id="1231"/>
      <w:bookmarkEnd w:id="1232"/>
      <w:bookmarkEnd w:id="1233"/>
    </w:p>
    <w:p w14:paraId="35DF69BB">
      <w:pPr>
        <w:rPr>
          <w:rFonts w:ascii="Times New Roman" w:hAnsi="Times New Roman" w:eastAsia="宋体" w:cs="Times New Roman"/>
          <w:sz w:val="24"/>
        </w:rPr>
      </w:pPr>
      <w:r>
        <w:rPr>
          <w:rFonts w:hint="eastAsia" w:ascii="Times New Roman" w:hAnsi="Times New Roman" w:eastAsia="宋体" w:cs="Times New Roman"/>
          <w:sz w:val="24"/>
        </w:rPr>
        <w:t>18.1.1 竣工验收指承包人完成了全部合同工作后，发包人按合同要求进行的验收。</w:t>
      </w:r>
    </w:p>
    <w:p w14:paraId="7156869B">
      <w:pPr>
        <w:rPr>
          <w:rFonts w:ascii="Times New Roman" w:hAnsi="Times New Roman" w:eastAsia="宋体" w:cs="Times New Roman"/>
          <w:sz w:val="24"/>
        </w:rPr>
      </w:pPr>
      <w:r>
        <w:rPr>
          <w:rFonts w:hint="eastAsia" w:ascii="Times New Roman" w:hAnsi="Times New Roman" w:eastAsia="宋体" w:cs="Times New Roman"/>
          <w:sz w:val="24"/>
        </w:rPr>
        <w:t>18.1.2 国家验收是政府有关部门根据法律、规范、规程和政策要求，针对发包人全面组织实施的整个工程正式交付投运前的验收。</w:t>
      </w:r>
    </w:p>
    <w:p w14:paraId="7658E513">
      <w:pPr>
        <w:rPr>
          <w:rFonts w:ascii="Times New Roman" w:hAnsi="Times New Roman" w:eastAsia="宋体" w:cs="Times New Roman"/>
          <w:sz w:val="24"/>
        </w:rPr>
      </w:pPr>
      <w:r>
        <w:rPr>
          <w:rFonts w:hint="eastAsia" w:ascii="Times New Roman" w:hAnsi="Times New Roman" w:eastAsia="宋体" w:cs="Times New Roman"/>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47341FC0">
      <w:pPr>
        <w:rPr>
          <w:rFonts w:ascii="Times New Roman" w:hAnsi="Times New Roman" w:eastAsia="宋体" w:cs="Times New Roman"/>
          <w:sz w:val="24"/>
        </w:rPr>
      </w:pPr>
      <w:bookmarkStart w:id="1234" w:name="_Toc338944820"/>
      <w:bookmarkStart w:id="1235" w:name="_Toc342296378"/>
      <w:bookmarkStart w:id="1236" w:name="_Toc362252844"/>
      <w:r>
        <w:rPr>
          <w:rFonts w:hint="eastAsia" w:ascii="Times New Roman" w:hAnsi="Times New Roman" w:eastAsia="宋体" w:cs="Times New Roman"/>
          <w:sz w:val="24"/>
        </w:rPr>
        <w:t>18.2 竣工验收申请报告</w:t>
      </w:r>
      <w:bookmarkEnd w:id="1234"/>
      <w:bookmarkEnd w:id="1235"/>
      <w:bookmarkEnd w:id="1236"/>
    </w:p>
    <w:p w14:paraId="17ADE6FC">
      <w:pPr>
        <w:rPr>
          <w:rFonts w:ascii="Times New Roman" w:hAnsi="Times New Roman" w:eastAsia="宋体" w:cs="Times New Roman"/>
          <w:sz w:val="24"/>
        </w:rPr>
      </w:pPr>
      <w:r>
        <w:rPr>
          <w:rFonts w:hint="eastAsia" w:ascii="Times New Roman" w:hAnsi="Times New Roman" w:eastAsia="宋体" w:cs="Times New Roman"/>
          <w:sz w:val="24"/>
        </w:rPr>
        <w:t>当工程具备以下条件时，承包人即可向监理人报送竣工验收申请报告：</w:t>
      </w:r>
    </w:p>
    <w:p w14:paraId="4262E96B">
      <w:pPr>
        <w:rPr>
          <w:rFonts w:ascii="Times New Roman" w:hAnsi="Times New Roman" w:eastAsia="宋体" w:cs="Times New Roman"/>
          <w:sz w:val="24"/>
        </w:rPr>
      </w:pPr>
      <w:r>
        <w:rPr>
          <w:rFonts w:hint="eastAsia" w:ascii="Times New Roman" w:hAnsi="Times New Roman" w:eastAsia="宋体" w:cs="Times New Roman"/>
          <w:sz w:val="24"/>
        </w:rPr>
        <w:t>（1）除监理人同意列入缺陷责任期内完成的尾工（甩项）工程和缺陷修补工作外，合同范围内的全部单位工程以及有关工作，包括合同要求的试验、试运行以及检验和验收均已完成，并符合合同要求；</w:t>
      </w:r>
    </w:p>
    <w:p w14:paraId="704BE809">
      <w:pPr>
        <w:rPr>
          <w:rFonts w:ascii="Times New Roman" w:hAnsi="Times New Roman" w:eastAsia="宋体" w:cs="Times New Roman"/>
          <w:sz w:val="24"/>
        </w:rPr>
      </w:pPr>
      <w:r>
        <w:rPr>
          <w:rFonts w:hint="eastAsia" w:ascii="Times New Roman" w:hAnsi="Times New Roman" w:eastAsia="宋体" w:cs="Times New Roman"/>
          <w:sz w:val="24"/>
        </w:rPr>
        <w:t xml:space="preserve">（2）已按合同约定的内容和份数备齐了符合要求的竣工资料； </w:t>
      </w:r>
    </w:p>
    <w:p w14:paraId="0FF7D0B7">
      <w:pPr>
        <w:rPr>
          <w:rFonts w:ascii="Times New Roman" w:hAnsi="Times New Roman" w:eastAsia="宋体" w:cs="Times New Roman"/>
          <w:sz w:val="24"/>
        </w:rPr>
      </w:pPr>
      <w:r>
        <w:rPr>
          <w:rFonts w:hint="eastAsia" w:ascii="Times New Roman" w:hAnsi="Times New Roman" w:eastAsia="宋体" w:cs="Times New Roman"/>
          <w:sz w:val="24"/>
        </w:rPr>
        <w:t>（3）已按监理人的要求编制了在缺陷责任期内完成的尾工（甩项）工程和缺陷修补工作清单以及相应施工计划；</w:t>
      </w:r>
    </w:p>
    <w:p w14:paraId="21751BB9">
      <w:pPr>
        <w:rPr>
          <w:rFonts w:ascii="Times New Roman" w:hAnsi="Times New Roman" w:eastAsia="宋体" w:cs="Times New Roman"/>
          <w:sz w:val="24"/>
        </w:rPr>
      </w:pPr>
      <w:r>
        <w:rPr>
          <w:rFonts w:hint="eastAsia" w:ascii="Times New Roman" w:hAnsi="Times New Roman" w:eastAsia="宋体" w:cs="Times New Roman"/>
          <w:sz w:val="24"/>
        </w:rPr>
        <w:t>（4）监理人要求在竣工验收前应完成的其他工作；</w:t>
      </w:r>
    </w:p>
    <w:p w14:paraId="342E0F77">
      <w:pPr>
        <w:rPr>
          <w:rFonts w:ascii="Times New Roman" w:hAnsi="Times New Roman" w:eastAsia="宋体" w:cs="Times New Roman"/>
          <w:sz w:val="24"/>
        </w:rPr>
      </w:pPr>
      <w:r>
        <w:rPr>
          <w:rFonts w:hint="eastAsia" w:ascii="Times New Roman" w:hAnsi="Times New Roman" w:eastAsia="宋体" w:cs="Times New Roman"/>
          <w:sz w:val="24"/>
        </w:rPr>
        <w:t>（5）监理人要求提交的竣工验收资料清单。</w:t>
      </w:r>
    </w:p>
    <w:p w14:paraId="6C89B459">
      <w:pPr>
        <w:rPr>
          <w:rFonts w:ascii="Times New Roman" w:hAnsi="Times New Roman" w:eastAsia="宋体" w:cs="Times New Roman"/>
          <w:sz w:val="24"/>
        </w:rPr>
      </w:pPr>
      <w:bookmarkStart w:id="1237" w:name="_Toc362252845"/>
      <w:bookmarkStart w:id="1238" w:name="_Toc338944821"/>
      <w:bookmarkStart w:id="1239" w:name="_Toc342296379"/>
      <w:r>
        <w:rPr>
          <w:rFonts w:hint="eastAsia" w:ascii="Times New Roman" w:hAnsi="Times New Roman" w:eastAsia="宋体" w:cs="Times New Roman"/>
          <w:sz w:val="24"/>
        </w:rPr>
        <w:t>18.3 验收</w:t>
      </w:r>
      <w:bookmarkEnd w:id="1237"/>
      <w:bookmarkEnd w:id="1238"/>
      <w:bookmarkEnd w:id="1239"/>
    </w:p>
    <w:p w14:paraId="74A4C96F">
      <w:pPr>
        <w:rPr>
          <w:rFonts w:ascii="Times New Roman" w:hAnsi="Times New Roman" w:eastAsia="宋体" w:cs="Times New Roman"/>
          <w:sz w:val="24"/>
        </w:rPr>
      </w:pPr>
      <w:r>
        <w:rPr>
          <w:rFonts w:hint="eastAsia" w:ascii="Times New Roman" w:hAnsi="Times New Roman" w:eastAsia="宋体" w:cs="Times New Roman"/>
          <w:sz w:val="24"/>
        </w:rPr>
        <w:t>监理人收到承包人按第18.2款约定提交的竣工验收申请报告后，应审查申请报告的各项内容，并按以下不同情况进行处理。</w:t>
      </w:r>
    </w:p>
    <w:p w14:paraId="65E1E0A5">
      <w:pPr>
        <w:rPr>
          <w:rFonts w:ascii="Times New Roman" w:hAnsi="Times New Roman" w:eastAsia="宋体" w:cs="Times New Roman"/>
          <w:sz w:val="24"/>
        </w:rPr>
      </w:pPr>
      <w:r>
        <w:rPr>
          <w:rFonts w:hint="eastAsia" w:ascii="Times New Roman" w:hAnsi="Times New Roman" w:eastAsia="宋体" w:cs="Times New Roman"/>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4897476D">
      <w:pPr>
        <w:rPr>
          <w:rFonts w:ascii="Times New Roman" w:hAnsi="Times New Roman" w:eastAsia="宋体" w:cs="Times New Roman"/>
          <w:sz w:val="24"/>
        </w:rPr>
      </w:pPr>
      <w:r>
        <w:rPr>
          <w:rFonts w:hint="eastAsia" w:ascii="Times New Roman" w:hAnsi="Times New Roman" w:eastAsia="宋体" w:cs="Times New Roman"/>
          <w:sz w:val="24"/>
        </w:rPr>
        <w:t>18.3.2 监理人审查后认为已具备竣工验收条件的，应在收到竣工验收申请报告后的28天内提请发包人进行工程验收。</w:t>
      </w:r>
    </w:p>
    <w:p w14:paraId="67A46969">
      <w:pPr>
        <w:rPr>
          <w:rFonts w:ascii="Times New Roman" w:hAnsi="Times New Roman" w:eastAsia="宋体" w:cs="Times New Roman"/>
          <w:sz w:val="24"/>
        </w:rPr>
      </w:pPr>
      <w:r>
        <w:rPr>
          <w:rFonts w:hint="eastAsia" w:ascii="Times New Roman" w:hAnsi="Times New Roman" w:eastAsia="宋体" w:cs="Times New Roman"/>
          <w:sz w:val="24"/>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04B3171">
      <w:pPr>
        <w:rPr>
          <w:rFonts w:ascii="Times New Roman" w:hAnsi="Times New Roman" w:eastAsia="宋体" w:cs="Times New Roman"/>
          <w:sz w:val="24"/>
        </w:rPr>
      </w:pPr>
      <w:r>
        <w:rPr>
          <w:rFonts w:hint="eastAsia" w:ascii="Times New Roman" w:hAnsi="Times New Roman" w:eastAsia="宋体" w:cs="Times New Roman"/>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5CDCEC3">
      <w:pPr>
        <w:rPr>
          <w:rFonts w:ascii="Times New Roman" w:hAnsi="Times New Roman" w:eastAsia="宋体" w:cs="Times New Roman"/>
          <w:sz w:val="24"/>
        </w:rPr>
      </w:pPr>
      <w:r>
        <w:rPr>
          <w:rFonts w:hint="eastAsia" w:ascii="Times New Roman" w:hAnsi="Times New Roman" w:eastAsia="宋体" w:cs="Times New Roman"/>
          <w:sz w:val="24"/>
        </w:rPr>
        <w:t>18.3.5 除专用合同条款另有约定外，经验收合格工程的实际竣工日期，以提交竣工验收申请报告的日期为准，并在工程接收证书中写明。</w:t>
      </w:r>
    </w:p>
    <w:p w14:paraId="103FF4AD">
      <w:pPr>
        <w:rPr>
          <w:rFonts w:ascii="Times New Roman" w:hAnsi="Times New Roman" w:eastAsia="宋体" w:cs="Times New Roman"/>
          <w:sz w:val="24"/>
        </w:rPr>
      </w:pPr>
      <w:r>
        <w:rPr>
          <w:rFonts w:hint="eastAsia" w:ascii="Times New Roman" w:hAnsi="Times New Roman" w:eastAsia="宋体" w:cs="Times New Roman"/>
          <w:sz w:val="24"/>
        </w:rPr>
        <w:t>18.3.6 发包人在收到承包人竣工验收申请报告56天后未进行验收的，视为验收合格，实际竣工日期以提交竣工验收申请报告的日期为准，但发包人由于不可抗力不能进行验收的除外。</w:t>
      </w:r>
    </w:p>
    <w:p w14:paraId="7782638F">
      <w:pPr>
        <w:rPr>
          <w:rFonts w:ascii="Times New Roman" w:hAnsi="Times New Roman" w:eastAsia="宋体" w:cs="Times New Roman"/>
          <w:sz w:val="24"/>
        </w:rPr>
      </w:pPr>
      <w:bookmarkStart w:id="1240" w:name="_Toc179632747"/>
      <w:bookmarkStart w:id="1241" w:name="_Toc152042508"/>
      <w:bookmarkStart w:id="1242" w:name="_Toc152045729"/>
      <w:bookmarkStart w:id="1243" w:name="_Toc362252846"/>
      <w:bookmarkStart w:id="1244" w:name="_Toc338944822"/>
      <w:bookmarkStart w:id="1245" w:name="_Toc144974700"/>
      <w:bookmarkStart w:id="1246" w:name="_Toc342296380"/>
      <w:r>
        <w:rPr>
          <w:rFonts w:hint="eastAsia" w:ascii="Times New Roman" w:hAnsi="Times New Roman" w:eastAsia="宋体" w:cs="Times New Roman"/>
          <w:sz w:val="24"/>
        </w:rPr>
        <w:t>18.4 单位工程验收</w:t>
      </w:r>
      <w:bookmarkEnd w:id="1240"/>
      <w:bookmarkEnd w:id="1241"/>
      <w:bookmarkEnd w:id="1242"/>
      <w:bookmarkEnd w:id="1243"/>
      <w:bookmarkEnd w:id="1244"/>
      <w:bookmarkEnd w:id="1245"/>
      <w:bookmarkEnd w:id="1246"/>
    </w:p>
    <w:p w14:paraId="7AB5DBDD">
      <w:pPr>
        <w:rPr>
          <w:rFonts w:ascii="Times New Roman" w:hAnsi="Times New Roman" w:eastAsia="宋体" w:cs="Times New Roman"/>
          <w:sz w:val="24"/>
        </w:rPr>
      </w:pPr>
      <w:r>
        <w:rPr>
          <w:rFonts w:hint="eastAsia" w:ascii="Times New Roman" w:hAnsi="Times New Roman" w:eastAsia="宋体" w:cs="Times New Roman"/>
          <w:sz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2ADC0D43">
      <w:pPr>
        <w:rPr>
          <w:rFonts w:ascii="Times New Roman" w:hAnsi="Times New Roman" w:eastAsia="宋体" w:cs="Times New Roman"/>
          <w:sz w:val="24"/>
        </w:rPr>
      </w:pPr>
      <w:r>
        <w:rPr>
          <w:rFonts w:hint="eastAsia" w:ascii="Times New Roman" w:hAnsi="Times New Roman" w:eastAsia="宋体" w:cs="Times New Roman"/>
          <w:sz w:val="24"/>
        </w:rPr>
        <w:t>18.4.2 发包人在全部工程竣工前，使用已接收的单位工程导致承包人费用增加的，发包人应承担由此增加的费用和（或）工期延误，并支付承包人合理利润。</w:t>
      </w:r>
    </w:p>
    <w:p w14:paraId="37B28803">
      <w:pPr>
        <w:rPr>
          <w:rFonts w:ascii="Times New Roman" w:hAnsi="Times New Roman" w:eastAsia="宋体" w:cs="Times New Roman"/>
          <w:sz w:val="24"/>
        </w:rPr>
      </w:pPr>
      <w:bookmarkStart w:id="1247" w:name="_Toc342296381"/>
      <w:bookmarkStart w:id="1248" w:name="_Toc338944823"/>
      <w:bookmarkStart w:id="1249" w:name="_Toc362252847"/>
      <w:r>
        <w:rPr>
          <w:rFonts w:hint="eastAsia" w:ascii="Times New Roman" w:hAnsi="Times New Roman" w:eastAsia="宋体" w:cs="Times New Roman"/>
          <w:sz w:val="24"/>
        </w:rPr>
        <w:t>18.5 施工期运行</w:t>
      </w:r>
      <w:bookmarkEnd w:id="1247"/>
      <w:bookmarkEnd w:id="1248"/>
      <w:bookmarkEnd w:id="1249"/>
    </w:p>
    <w:p w14:paraId="6910CCD8">
      <w:pPr>
        <w:rPr>
          <w:rFonts w:ascii="Times New Roman" w:hAnsi="Times New Roman" w:eastAsia="宋体" w:cs="Times New Roman"/>
          <w:sz w:val="24"/>
        </w:rPr>
      </w:pPr>
      <w:r>
        <w:rPr>
          <w:rFonts w:hint="eastAsia" w:ascii="Times New Roman" w:hAnsi="Times New Roman" w:eastAsia="宋体" w:cs="Times New Roman"/>
          <w:sz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84BA9CE">
      <w:pPr>
        <w:rPr>
          <w:rFonts w:ascii="Times New Roman" w:hAnsi="Times New Roman" w:eastAsia="宋体" w:cs="Times New Roman"/>
          <w:sz w:val="24"/>
        </w:rPr>
      </w:pPr>
      <w:r>
        <w:rPr>
          <w:rFonts w:hint="eastAsia" w:ascii="Times New Roman" w:hAnsi="Times New Roman" w:eastAsia="宋体" w:cs="Times New Roman"/>
          <w:sz w:val="24"/>
        </w:rPr>
        <w:t>18.5.2 在施工期运行中发现工程或工程设备损坏或存在缺陷的，由承包人按第19.2款约定进行修复。</w:t>
      </w:r>
    </w:p>
    <w:p w14:paraId="302C43EB">
      <w:pPr>
        <w:rPr>
          <w:rFonts w:ascii="Times New Roman" w:hAnsi="Times New Roman" w:eastAsia="宋体" w:cs="Times New Roman"/>
          <w:sz w:val="24"/>
        </w:rPr>
      </w:pPr>
      <w:bookmarkStart w:id="1250" w:name="_Toc342296382"/>
      <w:bookmarkStart w:id="1251" w:name="_Toc338944824"/>
      <w:bookmarkStart w:id="1252" w:name="_Toc362252848"/>
      <w:r>
        <w:rPr>
          <w:rFonts w:hint="eastAsia" w:ascii="Times New Roman" w:hAnsi="Times New Roman" w:eastAsia="宋体" w:cs="Times New Roman"/>
          <w:sz w:val="24"/>
        </w:rPr>
        <w:t>18.6 试运行</w:t>
      </w:r>
      <w:bookmarkEnd w:id="1250"/>
      <w:bookmarkEnd w:id="1251"/>
      <w:bookmarkEnd w:id="1252"/>
    </w:p>
    <w:p w14:paraId="0FAA05C3">
      <w:pPr>
        <w:rPr>
          <w:rFonts w:ascii="Times New Roman" w:hAnsi="Times New Roman" w:eastAsia="宋体" w:cs="Times New Roman"/>
          <w:sz w:val="24"/>
        </w:rPr>
      </w:pPr>
      <w:r>
        <w:rPr>
          <w:rFonts w:hint="eastAsia" w:ascii="Times New Roman" w:hAnsi="Times New Roman" w:eastAsia="宋体" w:cs="Times New Roman"/>
          <w:sz w:val="24"/>
        </w:rPr>
        <w:t>18.6.1 除专用合同条款另有约定外，承包人应按专用合同条款约定进行工程及工程设备试运行，负责提供试运行所需的人员、器材和必要的条件，并承担全部试运行费用。</w:t>
      </w:r>
    </w:p>
    <w:p w14:paraId="1E5CB48C">
      <w:pPr>
        <w:rPr>
          <w:rFonts w:ascii="Times New Roman" w:hAnsi="Times New Roman" w:eastAsia="宋体" w:cs="Times New Roman"/>
          <w:sz w:val="24"/>
        </w:rPr>
      </w:pPr>
      <w:r>
        <w:rPr>
          <w:rFonts w:hint="eastAsia" w:ascii="Times New Roman" w:hAnsi="Times New Roman" w:eastAsia="宋体" w:cs="Times New Roman"/>
          <w:sz w:val="24"/>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A1D99A7">
      <w:pPr>
        <w:rPr>
          <w:rFonts w:ascii="Times New Roman" w:hAnsi="Times New Roman" w:eastAsia="宋体" w:cs="Times New Roman"/>
          <w:sz w:val="24"/>
        </w:rPr>
      </w:pPr>
      <w:bookmarkStart w:id="1253" w:name="_Toc342296383"/>
      <w:bookmarkStart w:id="1254" w:name="_Toc338944825"/>
      <w:bookmarkStart w:id="1255" w:name="_Toc362252849"/>
      <w:r>
        <w:rPr>
          <w:rFonts w:hint="eastAsia" w:ascii="Times New Roman" w:hAnsi="Times New Roman" w:eastAsia="宋体" w:cs="Times New Roman"/>
          <w:sz w:val="24"/>
        </w:rPr>
        <w:t>18.7 竣工清场</w:t>
      </w:r>
      <w:bookmarkEnd w:id="1253"/>
      <w:bookmarkEnd w:id="1254"/>
      <w:bookmarkEnd w:id="1255"/>
    </w:p>
    <w:p w14:paraId="62F2E7D9">
      <w:pPr>
        <w:rPr>
          <w:rFonts w:ascii="Times New Roman" w:hAnsi="Times New Roman" w:eastAsia="宋体" w:cs="Times New Roman"/>
          <w:sz w:val="24"/>
        </w:rPr>
      </w:pPr>
      <w:r>
        <w:rPr>
          <w:rFonts w:hint="eastAsia" w:ascii="Times New Roman" w:hAnsi="Times New Roman" w:eastAsia="宋体" w:cs="Times New Roman"/>
          <w:sz w:val="24"/>
        </w:rPr>
        <w:t>18.7.1 除合同另有约定外，工程接收证书颁发后，承包人应按以下要求对施工场地进行清理，直至监理人检验合格为止。竣工清场费用由承包人承担。</w:t>
      </w:r>
    </w:p>
    <w:p w14:paraId="13D06E9D">
      <w:pPr>
        <w:rPr>
          <w:rFonts w:ascii="Times New Roman" w:hAnsi="Times New Roman" w:eastAsia="宋体" w:cs="Times New Roman"/>
          <w:sz w:val="24"/>
        </w:rPr>
      </w:pPr>
      <w:r>
        <w:rPr>
          <w:rFonts w:hint="eastAsia" w:ascii="Times New Roman" w:hAnsi="Times New Roman" w:eastAsia="宋体" w:cs="Times New Roman"/>
          <w:sz w:val="24"/>
        </w:rPr>
        <w:t>（1）施工场地内残留的垃圾已全部清除出场；</w:t>
      </w:r>
    </w:p>
    <w:p w14:paraId="0B192496">
      <w:pPr>
        <w:rPr>
          <w:rFonts w:ascii="Times New Roman" w:hAnsi="Times New Roman" w:eastAsia="宋体" w:cs="Times New Roman"/>
          <w:sz w:val="24"/>
        </w:rPr>
      </w:pPr>
      <w:r>
        <w:rPr>
          <w:rFonts w:hint="eastAsia" w:ascii="Times New Roman" w:hAnsi="Times New Roman" w:eastAsia="宋体" w:cs="Times New Roman"/>
          <w:sz w:val="24"/>
        </w:rPr>
        <w:t>（2）临时工程已拆除，场地已按合同要求进行清理、平整或复原；</w:t>
      </w:r>
    </w:p>
    <w:p w14:paraId="5271F3D8">
      <w:pPr>
        <w:rPr>
          <w:rFonts w:ascii="Times New Roman" w:hAnsi="Times New Roman" w:eastAsia="宋体" w:cs="Times New Roman"/>
          <w:sz w:val="24"/>
        </w:rPr>
      </w:pPr>
      <w:r>
        <w:rPr>
          <w:rFonts w:hint="eastAsia" w:ascii="Times New Roman" w:hAnsi="Times New Roman" w:eastAsia="宋体" w:cs="Times New Roman"/>
          <w:sz w:val="24"/>
        </w:rPr>
        <w:t>（3）按合同约定应撤离的承包人设备和剩余的材料，包括废弃的施工设备和材料，已按计划撤离施工场地；</w:t>
      </w:r>
    </w:p>
    <w:p w14:paraId="243E0E06">
      <w:pPr>
        <w:rPr>
          <w:rFonts w:ascii="Times New Roman" w:hAnsi="Times New Roman" w:eastAsia="宋体" w:cs="Times New Roman"/>
          <w:sz w:val="24"/>
        </w:rPr>
      </w:pPr>
      <w:r>
        <w:rPr>
          <w:rFonts w:hint="eastAsia" w:ascii="Times New Roman" w:hAnsi="Times New Roman" w:eastAsia="宋体" w:cs="Times New Roman"/>
          <w:sz w:val="24"/>
        </w:rPr>
        <w:t>（4）工程建筑物周边及其附近道路、河道的施工堆积物，已按监理人指示全部清理；</w:t>
      </w:r>
    </w:p>
    <w:p w14:paraId="360E0AE7">
      <w:pPr>
        <w:rPr>
          <w:rFonts w:ascii="Times New Roman" w:hAnsi="Times New Roman" w:eastAsia="宋体" w:cs="Times New Roman"/>
          <w:sz w:val="24"/>
        </w:rPr>
      </w:pPr>
      <w:r>
        <w:rPr>
          <w:rFonts w:hint="eastAsia" w:ascii="Times New Roman" w:hAnsi="Times New Roman" w:eastAsia="宋体" w:cs="Times New Roman"/>
          <w:sz w:val="24"/>
        </w:rPr>
        <w:t>（5）监理人指示的其他场地清理工作已全部完成。</w:t>
      </w:r>
    </w:p>
    <w:p w14:paraId="39231229">
      <w:pPr>
        <w:rPr>
          <w:rFonts w:ascii="Times New Roman" w:hAnsi="Times New Roman" w:eastAsia="宋体" w:cs="Times New Roman"/>
          <w:sz w:val="24"/>
        </w:rPr>
      </w:pPr>
      <w:r>
        <w:rPr>
          <w:rFonts w:hint="eastAsia" w:ascii="Times New Roman" w:hAnsi="Times New Roman" w:eastAsia="宋体" w:cs="Times New Roman"/>
          <w:sz w:val="24"/>
        </w:rPr>
        <w:t>18.7.2 承包人未按监理人的要求恢复临时占地，或者场地清理未达到合同约定的，发包人有权委托其他人恢复或清理，所发生的金额从拟支付给承包人的款项中扣除。</w:t>
      </w:r>
    </w:p>
    <w:p w14:paraId="7C9C8251">
      <w:pPr>
        <w:rPr>
          <w:rFonts w:ascii="Times New Roman" w:hAnsi="Times New Roman" w:eastAsia="宋体" w:cs="Times New Roman"/>
          <w:sz w:val="24"/>
        </w:rPr>
      </w:pPr>
      <w:bookmarkStart w:id="1256" w:name="_Toc342296384"/>
      <w:bookmarkStart w:id="1257" w:name="_Toc362252850"/>
      <w:bookmarkStart w:id="1258" w:name="_Toc338944826"/>
      <w:r>
        <w:rPr>
          <w:rFonts w:hint="eastAsia" w:ascii="Times New Roman" w:hAnsi="Times New Roman" w:eastAsia="宋体" w:cs="Times New Roman"/>
          <w:sz w:val="24"/>
        </w:rPr>
        <w:t>18.8 施工队伍的撤离</w:t>
      </w:r>
      <w:bookmarkEnd w:id="1256"/>
      <w:bookmarkEnd w:id="1257"/>
      <w:bookmarkEnd w:id="1258"/>
    </w:p>
    <w:p w14:paraId="42C60E7D">
      <w:pPr>
        <w:rPr>
          <w:rFonts w:ascii="Times New Roman" w:hAnsi="Times New Roman" w:eastAsia="宋体" w:cs="Times New Roman"/>
          <w:sz w:val="24"/>
        </w:rPr>
      </w:pPr>
      <w:r>
        <w:rPr>
          <w:rFonts w:hint="eastAsia" w:ascii="Times New Roman" w:hAnsi="Times New Roman" w:eastAsia="宋体" w:cs="Times New Roman"/>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CC6FED9">
      <w:pPr>
        <w:rPr>
          <w:rFonts w:ascii="Times New Roman" w:hAnsi="Times New Roman" w:eastAsia="宋体" w:cs="Times New Roman"/>
          <w:sz w:val="24"/>
        </w:rPr>
      </w:pPr>
      <w:bookmarkStart w:id="1259" w:name="_Toc362252851"/>
      <w:bookmarkStart w:id="1260" w:name="_Toc338944827"/>
      <w:bookmarkStart w:id="1261" w:name="_Toc342296385"/>
      <w:r>
        <w:rPr>
          <w:rFonts w:hint="eastAsia" w:ascii="Times New Roman" w:hAnsi="Times New Roman" w:eastAsia="宋体" w:cs="Times New Roman"/>
          <w:sz w:val="24"/>
        </w:rPr>
        <w:t>19. 缺陷责任与保修责任</w:t>
      </w:r>
      <w:bookmarkEnd w:id="1259"/>
      <w:bookmarkEnd w:id="1260"/>
      <w:bookmarkEnd w:id="1261"/>
    </w:p>
    <w:p w14:paraId="75300F2A">
      <w:pPr>
        <w:rPr>
          <w:rFonts w:ascii="Times New Roman" w:hAnsi="Times New Roman" w:eastAsia="宋体" w:cs="Times New Roman"/>
          <w:sz w:val="24"/>
        </w:rPr>
      </w:pPr>
      <w:bookmarkStart w:id="1262" w:name="_Toc342296386"/>
      <w:bookmarkStart w:id="1263" w:name="_Toc179632753"/>
      <w:bookmarkStart w:id="1264" w:name="_Toc152045735"/>
      <w:bookmarkStart w:id="1265" w:name="_Toc152042514"/>
      <w:bookmarkStart w:id="1266" w:name="_Toc362252852"/>
      <w:bookmarkStart w:id="1267" w:name="_Toc144974706"/>
      <w:bookmarkStart w:id="1268" w:name="_Toc338944828"/>
      <w:r>
        <w:rPr>
          <w:rFonts w:hint="eastAsia" w:ascii="Times New Roman" w:hAnsi="Times New Roman" w:eastAsia="宋体" w:cs="Times New Roman"/>
          <w:sz w:val="24"/>
        </w:rPr>
        <w:t>19.1 缺陷责任期的起算时间</w:t>
      </w:r>
      <w:bookmarkEnd w:id="1262"/>
      <w:bookmarkEnd w:id="1263"/>
      <w:bookmarkEnd w:id="1264"/>
      <w:bookmarkEnd w:id="1265"/>
      <w:bookmarkEnd w:id="1266"/>
      <w:bookmarkEnd w:id="1267"/>
      <w:bookmarkEnd w:id="1268"/>
    </w:p>
    <w:p w14:paraId="1775CF5D">
      <w:pPr>
        <w:rPr>
          <w:rFonts w:ascii="Times New Roman" w:hAnsi="Times New Roman" w:eastAsia="宋体" w:cs="Times New Roman"/>
          <w:sz w:val="24"/>
        </w:rPr>
      </w:pPr>
      <w:r>
        <w:rPr>
          <w:rFonts w:hint="eastAsia" w:ascii="Times New Roman" w:hAnsi="Times New Roman" w:eastAsia="宋体" w:cs="Times New Roman"/>
          <w:sz w:val="24"/>
        </w:rPr>
        <w:t>缺陷责任期自实际竣工日期起计算。在全部工程竣工验收前，已经发包人提前验收的单位工程，其缺陷责任期的起算日期相应提前。</w:t>
      </w:r>
    </w:p>
    <w:p w14:paraId="2D66F334">
      <w:pPr>
        <w:rPr>
          <w:rFonts w:ascii="Times New Roman" w:hAnsi="Times New Roman" w:eastAsia="宋体" w:cs="Times New Roman"/>
          <w:sz w:val="24"/>
        </w:rPr>
      </w:pPr>
      <w:bookmarkStart w:id="1269" w:name="_Toc362252853"/>
      <w:bookmarkStart w:id="1270" w:name="_Toc338944829"/>
      <w:bookmarkStart w:id="1271" w:name="_Toc179632754"/>
      <w:bookmarkStart w:id="1272" w:name="_Toc144974707"/>
      <w:bookmarkStart w:id="1273" w:name="_Toc152042515"/>
      <w:bookmarkStart w:id="1274" w:name="_Toc342296387"/>
      <w:bookmarkStart w:id="1275" w:name="_Toc152045736"/>
      <w:r>
        <w:rPr>
          <w:rFonts w:hint="eastAsia" w:ascii="Times New Roman" w:hAnsi="Times New Roman" w:eastAsia="宋体" w:cs="Times New Roman"/>
          <w:sz w:val="24"/>
        </w:rPr>
        <w:t>19.2 缺陷责任</w:t>
      </w:r>
      <w:bookmarkEnd w:id="1269"/>
      <w:bookmarkEnd w:id="1270"/>
      <w:bookmarkEnd w:id="1271"/>
      <w:bookmarkEnd w:id="1272"/>
      <w:bookmarkEnd w:id="1273"/>
      <w:bookmarkEnd w:id="1274"/>
      <w:bookmarkEnd w:id="1275"/>
    </w:p>
    <w:p w14:paraId="3D05ADC1">
      <w:pPr>
        <w:rPr>
          <w:rFonts w:ascii="Times New Roman" w:hAnsi="Times New Roman" w:eastAsia="宋体" w:cs="Times New Roman"/>
          <w:sz w:val="24"/>
        </w:rPr>
      </w:pPr>
      <w:r>
        <w:rPr>
          <w:rFonts w:hint="eastAsia" w:ascii="Times New Roman" w:hAnsi="Times New Roman" w:eastAsia="宋体" w:cs="Times New Roman"/>
          <w:sz w:val="24"/>
        </w:rPr>
        <w:t>19.2.1 承包人应在缺陷责任期内对已交付使用的工程承担缺陷责任。</w:t>
      </w:r>
    </w:p>
    <w:p w14:paraId="5FF64331">
      <w:pPr>
        <w:rPr>
          <w:rFonts w:ascii="Times New Roman" w:hAnsi="Times New Roman" w:eastAsia="宋体" w:cs="Times New Roman"/>
          <w:sz w:val="24"/>
        </w:rPr>
      </w:pPr>
      <w:r>
        <w:rPr>
          <w:rFonts w:hint="eastAsia" w:ascii="Times New Roman" w:hAnsi="Times New Roman" w:eastAsia="宋体" w:cs="Times New Roman"/>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6FB276FC">
      <w:pPr>
        <w:rPr>
          <w:rFonts w:ascii="Times New Roman" w:hAnsi="Times New Roman" w:eastAsia="宋体" w:cs="Times New Roman"/>
          <w:sz w:val="24"/>
        </w:rPr>
      </w:pPr>
      <w:r>
        <w:rPr>
          <w:rFonts w:hint="eastAsia" w:ascii="Times New Roman" w:hAnsi="Times New Roman" w:eastAsia="宋体" w:cs="Times New Roman"/>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A0A73BA">
      <w:pPr>
        <w:rPr>
          <w:rFonts w:ascii="Times New Roman" w:hAnsi="Times New Roman" w:eastAsia="宋体" w:cs="Times New Roman"/>
          <w:sz w:val="24"/>
        </w:rPr>
      </w:pPr>
      <w:r>
        <w:rPr>
          <w:rFonts w:hint="eastAsia" w:ascii="Times New Roman" w:hAnsi="Times New Roman" w:eastAsia="宋体" w:cs="Times New Roman"/>
          <w:sz w:val="24"/>
        </w:rPr>
        <w:t>19.2.4 承包人不能在合理时间内修复缺陷的，发包人可自行修复或委托其他人修复，所需费用和利润的承担，按第19.2.3项约定办理。</w:t>
      </w:r>
    </w:p>
    <w:p w14:paraId="6462752F">
      <w:pPr>
        <w:rPr>
          <w:rFonts w:ascii="Times New Roman" w:hAnsi="Times New Roman" w:eastAsia="宋体" w:cs="Times New Roman"/>
          <w:sz w:val="24"/>
        </w:rPr>
      </w:pPr>
      <w:bookmarkStart w:id="1276" w:name="_Toc152045737"/>
      <w:bookmarkStart w:id="1277" w:name="_Toc342296388"/>
      <w:bookmarkStart w:id="1278" w:name="_Toc338944830"/>
      <w:bookmarkStart w:id="1279" w:name="_Toc179632755"/>
      <w:bookmarkStart w:id="1280" w:name="_Toc362252854"/>
      <w:bookmarkStart w:id="1281" w:name="_Toc152042516"/>
      <w:bookmarkStart w:id="1282" w:name="_Toc144974708"/>
      <w:r>
        <w:rPr>
          <w:rFonts w:hint="eastAsia" w:ascii="Times New Roman" w:hAnsi="Times New Roman" w:eastAsia="宋体" w:cs="Times New Roman"/>
          <w:sz w:val="24"/>
        </w:rPr>
        <w:t>19.3 缺陷责任期的延长</w:t>
      </w:r>
      <w:bookmarkEnd w:id="1276"/>
      <w:bookmarkEnd w:id="1277"/>
      <w:bookmarkEnd w:id="1278"/>
      <w:bookmarkEnd w:id="1279"/>
      <w:bookmarkEnd w:id="1280"/>
      <w:bookmarkEnd w:id="1281"/>
      <w:bookmarkEnd w:id="1282"/>
    </w:p>
    <w:p w14:paraId="22BE4FEA">
      <w:pPr>
        <w:rPr>
          <w:rFonts w:ascii="Times New Roman" w:hAnsi="Times New Roman" w:eastAsia="宋体" w:cs="Times New Roman"/>
          <w:sz w:val="24"/>
        </w:rPr>
      </w:pPr>
      <w:r>
        <w:rPr>
          <w:rFonts w:hint="eastAsia" w:ascii="Times New Roman" w:hAnsi="Times New Roman" w:eastAsia="宋体" w:cs="Times New Roman"/>
          <w:sz w:val="24"/>
        </w:rPr>
        <w:t>由于承包人原因造成某项缺陷或损坏使某项工程或工程设备不能按原定目标使用而需要再次检查、检验和修复的，发包人有权要求承包人相应延长缺陷责任期，但缺陷责任期最长不超过2年。</w:t>
      </w:r>
    </w:p>
    <w:p w14:paraId="0C5002A3">
      <w:pPr>
        <w:rPr>
          <w:rFonts w:ascii="Times New Roman" w:hAnsi="Times New Roman" w:eastAsia="宋体" w:cs="Times New Roman"/>
          <w:sz w:val="24"/>
        </w:rPr>
      </w:pPr>
      <w:bookmarkStart w:id="1283" w:name="_Toc152042517"/>
      <w:bookmarkStart w:id="1284" w:name="_Toc338944831"/>
      <w:bookmarkStart w:id="1285" w:name="_Toc342296389"/>
      <w:bookmarkStart w:id="1286" w:name="_Toc179632756"/>
      <w:bookmarkStart w:id="1287" w:name="_Toc152045738"/>
      <w:bookmarkStart w:id="1288" w:name="_Toc144974709"/>
      <w:bookmarkStart w:id="1289" w:name="_Toc362252855"/>
      <w:r>
        <w:rPr>
          <w:rFonts w:hint="eastAsia" w:ascii="Times New Roman" w:hAnsi="Times New Roman" w:eastAsia="宋体" w:cs="Times New Roman"/>
          <w:sz w:val="24"/>
        </w:rPr>
        <w:t>19.4 进一步试验和试运行</w:t>
      </w:r>
      <w:bookmarkEnd w:id="1283"/>
      <w:bookmarkEnd w:id="1284"/>
      <w:bookmarkEnd w:id="1285"/>
      <w:bookmarkEnd w:id="1286"/>
      <w:bookmarkEnd w:id="1287"/>
      <w:bookmarkEnd w:id="1288"/>
      <w:bookmarkEnd w:id="1289"/>
    </w:p>
    <w:p w14:paraId="20A34176">
      <w:pPr>
        <w:rPr>
          <w:rFonts w:ascii="Times New Roman" w:hAnsi="Times New Roman" w:eastAsia="宋体" w:cs="Times New Roman"/>
          <w:sz w:val="24"/>
        </w:rPr>
      </w:pPr>
      <w:r>
        <w:rPr>
          <w:rFonts w:hint="eastAsia" w:ascii="Times New Roman" w:hAnsi="Times New Roman" w:eastAsia="宋体" w:cs="Times New Roman"/>
          <w:sz w:val="24"/>
        </w:rPr>
        <w:t>任何一项缺陷或损坏修复后，经检查证明其影响了工程或工程设备的使用性能，承包人应重新进行合同约定的试验和试运行，试验和试运行的全部费用应由责任方承担。</w:t>
      </w:r>
    </w:p>
    <w:p w14:paraId="40C672D5">
      <w:pPr>
        <w:rPr>
          <w:rFonts w:ascii="Times New Roman" w:hAnsi="Times New Roman" w:eastAsia="宋体" w:cs="Times New Roman"/>
          <w:sz w:val="24"/>
        </w:rPr>
      </w:pPr>
      <w:bookmarkStart w:id="1290" w:name="_Toc152042518"/>
      <w:bookmarkStart w:id="1291" w:name="_Toc152045739"/>
      <w:bookmarkStart w:id="1292" w:name="_Toc338944832"/>
      <w:bookmarkStart w:id="1293" w:name="_Toc362252856"/>
      <w:bookmarkStart w:id="1294" w:name="_Toc144974710"/>
      <w:bookmarkStart w:id="1295" w:name="_Toc179632757"/>
      <w:bookmarkStart w:id="1296" w:name="_Toc342296390"/>
      <w:r>
        <w:rPr>
          <w:rFonts w:hint="eastAsia" w:ascii="Times New Roman" w:hAnsi="Times New Roman" w:eastAsia="宋体" w:cs="Times New Roman"/>
          <w:sz w:val="24"/>
        </w:rPr>
        <w:t>19.5 承包人的进入权</w:t>
      </w:r>
      <w:bookmarkEnd w:id="1290"/>
      <w:bookmarkEnd w:id="1291"/>
      <w:bookmarkEnd w:id="1292"/>
      <w:bookmarkEnd w:id="1293"/>
      <w:bookmarkEnd w:id="1294"/>
      <w:bookmarkEnd w:id="1295"/>
      <w:bookmarkEnd w:id="1296"/>
    </w:p>
    <w:p w14:paraId="08ECECE6">
      <w:pPr>
        <w:rPr>
          <w:rFonts w:ascii="Times New Roman" w:hAnsi="Times New Roman" w:eastAsia="宋体" w:cs="Times New Roman"/>
          <w:sz w:val="24"/>
        </w:rPr>
      </w:pPr>
      <w:r>
        <w:rPr>
          <w:rFonts w:hint="eastAsia" w:ascii="Times New Roman" w:hAnsi="Times New Roman" w:eastAsia="宋体" w:cs="Times New Roman"/>
          <w:sz w:val="24"/>
        </w:rPr>
        <w:t>缺陷责任期内承包人为缺陷修复工作需要，有权进入工程现场，但应遵守发包人的保安和保密规定。</w:t>
      </w:r>
    </w:p>
    <w:p w14:paraId="72E5A0F2">
      <w:pPr>
        <w:rPr>
          <w:rFonts w:ascii="Times New Roman" w:hAnsi="Times New Roman" w:eastAsia="宋体" w:cs="Times New Roman"/>
          <w:sz w:val="24"/>
        </w:rPr>
      </w:pPr>
      <w:bookmarkStart w:id="1297" w:name="_Toc338944833"/>
      <w:bookmarkStart w:id="1298" w:name="_Toc152045740"/>
      <w:bookmarkStart w:id="1299" w:name="_Toc144974711"/>
      <w:bookmarkStart w:id="1300" w:name="_Toc152042519"/>
      <w:bookmarkStart w:id="1301" w:name="_Toc362252857"/>
      <w:bookmarkStart w:id="1302" w:name="_Toc342296391"/>
      <w:bookmarkStart w:id="1303" w:name="_Toc179632758"/>
      <w:r>
        <w:rPr>
          <w:rFonts w:hint="eastAsia" w:ascii="Times New Roman" w:hAnsi="Times New Roman" w:eastAsia="宋体" w:cs="Times New Roman"/>
          <w:sz w:val="24"/>
        </w:rPr>
        <w:t>19.6 缺陷责任期终止证书</w:t>
      </w:r>
      <w:bookmarkEnd w:id="1297"/>
      <w:bookmarkEnd w:id="1298"/>
      <w:bookmarkEnd w:id="1299"/>
      <w:bookmarkEnd w:id="1300"/>
      <w:bookmarkEnd w:id="1301"/>
      <w:bookmarkEnd w:id="1302"/>
      <w:bookmarkEnd w:id="1303"/>
    </w:p>
    <w:p w14:paraId="55724424">
      <w:pPr>
        <w:rPr>
          <w:rFonts w:ascii="Times New Roman" w:hAnsi="Times New Roman" w:eastAsia="宋体" w:cs="Times New Roman"/>
          <w:sz w:val="24"/>
        </w:rPr>
      </w:pPr>
      <w:r>
        <w:rPr>
          <w:rFonts w:hint="eastAsia" w:ascii="Times New Roman" w:hAnsi="Times New Roman" w:eastAsia="宋体" w:cs="Times New Roman"/>
          <w:sz w:val="24"/>
        </w:rPr>
        <w:t>在第1.1.4.5目约定的缺陷责任期，包括根据第19.3款延长的期限终止后14天内，由监理人向承包人出具经发包人签认的缺陷责任期终止证书，并退还剩余的质量保证金。</w:t>
      </w:r>
    </w:p>
    <w:p w14:paraId="7CC5F42D">
      <w:pPr>
        <w:rPr>
          <w:rFonts w:ascii="Times New Roman" w:hAnsi="Times New Roman" w:eastAsia="宋体" w:cs="Times New Roman"/>
          <w:sz w:val="24"/>
        </w:rPr>
      </w:pPr>
      <w:bookmarkStart w:id="1304" w:name="_Toc338944834"/>
      <w:bookmarkStart w:id="1305" w:name="_Toc362252858"/>
      <w:bookmarkStart w:id="1306" w:name="_Toc342296392"/>
      <w:r>
        <w:rPr>
          <w:rFonts w:hint="eastAsia" w:ascii="Times New Roman" w:hAnsi="Times New Roman" w:eastAsia="宋体" w:cs="Times New Roman"/>
          <w:sz w:val="24"/>
        </w:rPr>
        <w:t>19.7 保修责任</w:t>
      </w:r>
      <w:bookmarkEnd w:id="1304"/>
      <w:bookmarkEnd w:id="1305"/>
      <w:bookmarkEnd w:id="1306"/>
    </w:p>
    <w:p w14:paraId="410D4C9E">
      <w:pPr>
        <w:rPr>
          <w:rFonts w:ascii="Times New Roman" w:hAnsi="Times New Roman" w:eastAsia="宋体" w:cs="Times New Roman"/>
          <w:sz w:val="24"/>
        </w:rPr>
      </w:pPr>
      <w:r>
        <w:rPr>
          <w:rFonts w:hint="eastAsia" w:ascii="Times New Roman" w:hAnsi="Times New Roman" w:eastAsia="宋体" w:cs="Times New Roman"/>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351EBCC">
      <w:pPr>
        <w:rPr>
          <w:rFonts w:ascii="Times New Roman" w:hAnsi="Times New Roman" w:eastAsia="宋体" w:cs="Times New Roman"/>
          <w:sz w:val="24"/>
        </w:rPr>
      </w:pPr>
      <w:bookmarkStart w:id="1307" w:name="_Toc338944835"/>
      <w:bookmarkStart w:id="1308" w:name="_Toc362252859"/>
      <w:bookmarkStart w:id="1309" w:name="_Toc342296393"/>
      <w:r>
        <w:rPr>
          <w:rFonts w:hint="eastAsia" w:ascii="Times New Roman" w:hAnsi="Times New Roman" w:eastAsia="宋体" w:cs="Times New Roman"/>
          <w:sz w:val="24"/>
        </w:rPr>
        <w:t>20. 保险</w:t>
      </w:r>
      <w:bookmarkEnd w:id="1307"/>
      <w:bookmarkEnd w:id="1308"/>
      <w:bookmarkEnd w:id="1309"/>
    </w:p>
    <w:p w14:paraId="0AF770B3">
      <w:pPr>
        <w:rPr>
          <w:rFonts w:ascii="Times New Roman" w:hAnsi="Times New Roman" w:eastAsia="宋体" w:cs="Times New Roman"/>
          <w:sz w:val="24"/>
        </w:rPr>
      </w:pPr>
      <w:bookmarkStart w:id="1310" w:name="_Toc338944836"/>
      <w:bookmarkStart w:id="1311" w:name="_Toc362252860"/>
      <w:bookmarkStart w:id="1312" w:name="_Toc342296394"/>
      <w:r>
        <w:rPr>
          <w:rFonts w:hint="eastAsia" w:ascii="Times New Roman" w:hAnsi="Times New Roman" w:eastAsia="宋体" w:cs="Times New Roman"/>
          <w:sz w:val="24"/>
        </w:rPr>
        <w:t>20.1 工程保险</w:t>
      </w:r>
      <w:bookmarkEnd w:id="1310"/>
      <w:bookmarkEnd w:id="1311"/>
      <w:bookmarkEnd w:id="1312"/>
    </w:p>
    <w:p w14:paraId="5137A5E0">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EB72E41">
      <w:pPr>
        <w:rPr>
          <w:rFonts w:ascii="Times New Roman" w:hAnsi="Times New Roman" w:eastAsia="宋体" w:cs="Times New Roman"/>
          <w:sz w:val="24"/>
        </w:rPr>
      </w:pPr>
      <w:bookmarkStart w:id="1313" w:name="_Toc342296395"/>
      <w:bookmarkStart w:id="1314" w:name="_Toc338944837"/>
      <w:bookmarkStart w:id="1315" w:name="_Toc362252861"/>
      <w:r>
        <w:rPr>
          <w:rFonts w:hint="eastAsia" w:ascii="Times New Roman" w:hAnsi="Times New Roman" w:eastAsia="宋体" w:cs="Times New Roman"/>
          <w:sz w:val="24"/>
        </w:rPr>
        <w:t>20.2 人员工伤事故的保险</w:t>
      </w:r>
      <w:bookmarkEnd w:id="1313"/>
      <w:bookmarkEnd w:id="1314"/>
      <w:bookmarkEnd w:id="1315"/>
    </w:p>
    <w:p w14:paraId="27CC35A5">
      <w:pPr>
        <w:rPr>
          <w:rFonts w:ascii="黑体" w:hAnsi="Times New Roman" w:eastAsia="黑体" w:cs="Times New Roman"/>
          <w:sz w:val="24"/>
        </w:rPr>
      </w:pPr>
      <w:r>
        <w:rPr>
          <w:rFonts w:hint="eastAsia" w:ascii="Times New Roman" w:hAnsi="Times New Roman" w:eastAsia="宋体" w:cs="Times New Roman"/>
          <w:sz w:val="24"/>
        </w:rPr>
        <w:t xml:space="preserve">20.2.1 </w:t>
      </w:r>
      <w:r>
        <w:rPr>
          <w:rFonts w:hint="eastAsia" w:ascii="黑体" w:hAnsi="Times New Roman" w:eastAsia="黑体" w:cs="Times New Roman"/>
          <w:sz w:val="24"/>
        </w:rPr>
        <w:t>承包人员工伤事故的保险</w:t>
      </w:r>
    </w:p>
    <w:p w14:paraId="6D6492CD">
      <w:pPr>
        <w:rPr>
          <w:rFonts w:ascii="Times New Roman" w:hAnsi="Times New Roman" w:eastAsia="宋体" w:cs="Times New Roman"/>
          <w:sz w:val="24"/>
        </w:rPr>
      </w:pPr>
      <w:r>
        <w:rPr>
          <w:rFonts w:hint="eastAsia" w:ascii="Times New Roman" w:hAnsi="Times New Roman" w:eastAsia="宋体" w:cs="Times New Roman"/>
          <w:sz w:val="24"/>
        </w:rPr>
        <w:t>承包人应</w:t>
      </w:r>
      <w:r>
        <w:rPr>
          <w:rFonts w:ascii="Times New Roman" w:hAnsi="Times New Roman" w:eastAsia="宋体" w:cs="Times New Roman"/>
          <w:sz w:val="24"/>
        </w:rPr>
        <w:t>依照</w:t>
      </w:r>
      <w:r>
        <w:rPr>
          <w:rFonts w:hint="eastAsia" w:ascii="Times New Roman" w:hAnsi="Times New Roman" w:eastAsia="宋体" w:cs="Times New Roman"/>
          <w:sz w:val="24"/>
        </w:rPr>
        <w:t>有关法律</w:t>
      </w:r>
      <w:r>
        <w:rPr>
          <w:rFonts w:ascii="Times New Roman" w:hAnsi="Times New Roman" w:eastAsia="宋体" w:cs="Times New Roman"/>
          <w:sz w:val="24"/>
        </w:rPr>
        <w:t>规定参加工伤保险，</w:t>
      </w:r>
      <w:r>
        <w:rPr>
          <w:rFonts w:hint="eastAsia" w:ascii="Times New Roman" w:hAnsi="Times New Roman" w:eastAsia="宋体" w:cs="Times New Roman"/>
          <w:sz w:val="24"/>
        </w:rPr>
        <w:t>为其履行合同所雇佣的全部人员，</w:t>
      </w:r>
      <w:r>
        <w:rPr>
          <w:rFonts w:ascii="Times New Roman" w:hAnsi="Times New Roman" w:eastAsia="宋体" w:cs="Times New Roman"/>
          <w:sz w:val="24"/>
        </w:rPr>
        <w:t>缴纳工伤保险费</w:t>
      </w:r>
      <w:r>
        <w:rPr>
          <w:rFonts w:hint="eastAsia" w:ascii="Times New Roman" w:hAnsi="Times New Roman" w:eastAsia="宋体" w:cs="Times New Roman"/>
          <w:sz w:val="24"/>
        </w:rPr>
        <w:t>，并要求其分包人也进行此项保险。</w:t>
      </w:r>
    </w:p>
    <w:p w14:paraId="3D11BEE0">
      <w:pPr>
        <w:rPr>
          <w:rFonts w:ascii="黑体" w:hAnsi="Times New Roman" w:eastAsia="黑体" w:cs="Times New Roman"/>
          <w:sz w:val="24"/>
        </w:rPr>
      </w:pPr>
      <w:r>
        <w:rPr>
          <w:rFonts w:hint="eastAsia" w:ascii="Times New Roman" w:hAnsi="Times New Roman" w:eastAsia="宋体" w:cs="Times New Roman"/>
          <w:sz w:val="24"/>
        </w:rPr>
        <w:t>20.2.2</w:t>
      </w:r>
      <w:r>
        <w:rPr>
          <w:rFonts w:hint="eastAsia" w:ascii="黑体" w:hAnsi="Times New Roman" w:eastAsia="黑体" w:cs="Times New Roman"/>
          <w:sz w:val="24"/>
        </w:rPr>
        <w:t xml:space="preserve"> 发包人员工伤事故的保险</w:t>
      </w:r>
    </w:p>
    <w:p w14:paraId="76098867">
      <w:pPr>
        <w:rPr>
          <w:rFonts w:ascii="Times New Roman" w:hAnsi="Times New Roman" w:eastAsia="宋体" w:cs="Times New Roman"/>
          <w:sz w:val="24"/>
        </w:rPr>
      </w:pPr>
      <w:r>
        <w:rPr>
          <w:rFonts w:hint="eastAsia" w:ascii="Times New Roman" w:hAnsi="Times New Roman" w:eastAsia="宋体" w:cs="Times New Roman"/>
          <w:sz w:val="24"/>
        </w:rPr>
        <w:t>发包人应</w:t>
      </w:r>
      <w:r>
        <w:rPr>
          <w:rFonts w:ascii="Times New Roman" w:hAnsi="Times New Roman" w:eastAsia="宋体" w:cs="Times New Roman"/>
          <w:sz w:val="24"/>
        </w:rPr>
        <w:t>依照</w:t>
      </w:r>
      <w:r>
        <w:rPr>
          <w:rFonts w:hint="eastAsia" w:ascii="Times New Roman" w:hAnsi="Times New Roman" w:eastAsia="宋体" w:cs="Times New Roman"/>
          <w:sz w:val="24"/>
        </w:rPr>
        <w:t>有关法律</w:t>
      </w:r>
      <w:r>
        <w:rPr>
          <w:rFonts w:ascii="Times New Roman" w:hAnsi="Times New Roman" w:eastAsia="宋体" w:cs="Times New Roman"/>
          <w:sz w:val="24"/>
        </w:rPr>
        <w:t>规定参加工伤保险，</w:t>
      </w:r>
      <w:r>
        <w:rPr>
          <w:rFonts w:hint="eastAsia" w:ascii="Times New Roman" w:hAnsi="Times New Roman" w:eastAsia="宋体" w:cs="Times New Roman"/>
          <w:sz w:val="24"/>
        </w:rPr>
        <w:t>为其现场机构雇佣的全部人员，</w:t>
      </w:r>
      <w:r>
        <w:rPr>
          <w:rFonts w:ascii="Times New Roman" w:hAnsi="Times New Roman" w:eastAsia="宋体" w:cs="Times New Roman"/>
          <w:sz w:val="24"/>
        </w:rPr>
        <w:t>缴纳工伤保险费</w:t>
      </w:r>
      <w:r>
        <w:rPr>
          <w:rFonts w:hint="eastAsia" w:ascii="Times New Roman" w:hAnsi="Times New Roman" w:eastAsia="宋体" w:cs="Times New Roman"/>
          <w:sz w:val="24"/>
        </w:rPr>
        <w:t>，并要求其监理人也进行此项保险。</w:t>
      </w:r>
    </w:p>
    <w:p w14:paraId="14DF2A41">
      <w:pPr>
        <w:rPr>
          <w:rFonts w:ascii="Times New Roman" w:hAnsi="Times New Roman" w:eastAsia="宋体" w:cs="Times New Roman"/>
          <w:sz w:val="24"/>
        </w:rPr>
      </w:pPr>
      <w:bookmarkStart w:id="1316" w:name="_Toc152045745"/>
      <w:bookmarkStart w:id="1317" w:name="_Toc342296396"/>
      <w:bookmarkStart w:id="1318" w:name="_Toc179632763"/>
      <w:bookmarkStart w:id="1319" w:name="_Toc338944838"/>
      <w:bookmarkStart w:id="1320" w:name="_Toc362252862"/>
      <w:bookmarkStart w:id="1321" w:name="_Toc152042524"/>
      <w:bookmarkStart w:id="1322" w:name="_Toc144974716"/>
      <w:r>
        <w:rPr>
          <w:rFonts w:hint="eastAsia" w:ascii="Times New Roman" w:hAnsi="Times New Roman" w:eastAsia="宋体" w:cs="Times New Roman"/>
          <w:sz w:val="24"/>
        </w:rPr>
        <w:t>20.3 人身意外伤害险</w:t>
      </w:r>
      <w:bookmarkEnd w:id="1316"/>
      <w:bookmarkEnd w:id="1317"/>
      <w:bookmarkEnd w:id="1318"/>
      <w:bookmarkEnd w:id="1319"/>
      <w:bookmarkEnd w:id="1320"/>
      <w:bookmarkEnd w:id="1321"/>
      <w:bookmarkEnd w:id="1322"/>
    </w:p>
    <w:p w14:paraId="288E780F">
      <w:pPr>
        <w:rPr>
          <w:rFonts w:ascii="Times New Roman" w:hAnsi="Times New Roman" w:eastAsia="宋体" w:cs="Times New Roman"/>
          <w:sz w:val="24"/>
        </w:rPr>
      </w:pPr>
      <w:r>
        <w:rPr>
          <w:rFonts w:hint="eastAsia" w:ascii="Times New Roman" w:hAnsi="Times New Roman" w:eastAsia="宋体" w:cs="Times New Roman"/>
          <w:sz w:val="24"/>
        </w:rPr>
        <w:t>20.3.1 发包人应在整个施工期间为其现场机构雇用的全部人员，投保人身意外伤害险，缴纳保险费，并要求其监理人也进行此项保险。</w:t>
      </w:r>
    </w:p>
    <w:p w14:paraId="6E591C83">
      <w:pPr>
        <w:rPr>
          <w:rFonts w:ascii="Times New Roman" w:hAnsi="Times New Roman" w:eastAsia="宋体" w:cs="Times New Roman"/>
          <w:sz w:val="24"/>
        </w:rPr>
      </w:pPr>
      <w:r>
        <w:rPr>
          <w:rFonts w:hint="eastAsia" w:ascii="Times New Roman" w:hAnsi="Times New Roman" w:eastAsia="宋体" w:cs="Times New Roman"/>
          <w:sz w:val="24"/>
        </w:rPr>
        <w:t>20.3.2 承包人应在整个施工期间为其现场机构雇用的全部人员，投保人身意外伤害险，缴纳保险费，并要求其分包人也进行此项保险。</w:t>
      </w:r>
    </w:p>
    <w:p w14:paraId="0E4ED427">
      <w:pPr>
        <w:rPr>
          <w:rFonts w:ascii="Times New Roman" w:hAnsi="Times New Roman" w:eastAsia="宋体" w:cs="Times New Roman"/>
          <w:sz w:val="24"/>
        </w:rPr>
      </w:pPr>
      <w:bookmarkStart w:id="1323" w:name="_Toc338944839"/>
      <w:bookmarkStart w:id="1324" w:name="_Toc342296397"/>
      <w:bookmarkStart w:id="1325" w:name="_Toc362252863"/>
      <w:r>
        <w:rPr>
          <w:rFonts w:hint="eastAsia" w:ascii="Times New Roman" w:hAnsi="Times New Roman" w:eastAsia="宋体" w:cs="Times New Roman"/>
          <w:sz w:val="24"/>
        </w:rPr>
        <w:t>20.4 第三者责任险</w:t>
      </w:r>
      <w:bookmarkEnd w:id="1323"/>
      <w:bookmarkEnd w:id="1324"/>
      <w:bookmarkEnd w:id="1325"/>
    </w:p>
    <w:p w14:paraId="43F856B1">
      <w:pPr>
        <w:rPr>
          <w:rFonts w:ascii="Times New Roman" w:hAnsi="Times New Roman" w:eastAsia="宋体" w:cs="Times New Roman"/>
          <w:sz w:val="24"/>
        </w:rPr>
      </w:pPr>
      <w:r>
        <w:rPr>
          <w:rFonts w:hint="eastAsia" w:ascii="Times New Roman" w:hAnsi="Times New Roman" w:eastAsia="宋体" w:cs="Times New Roman"/>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D8BA476">
      <w:pPr>
        <w:rPr>
          <w:rFonts w:ascii="Times New Roman" w:hAnsi="Times New Roman" w:eastAsia="宋体" w:cs="Times New Roman"/>
          <w:sz w:val="24"/>
        </w:rPr>
      </w:pPr>
      <w:r>
        <w:rPr>
          <w:rFonts w:hint="eastAsia" w:ascii="Times New Roman" w:hAnsi="Times New Roman" w:eastAsia="宋体" w:cs="Times New Roman"/>
          <w:sz w:val="24"/>
        </w:rPr>
        <w:t>20.4.2 在缺陷责任期终止证书颁发前，承包人应以承包人和发包人的共同名义，投保第20.4.1项约定的第三者责任险，其保险费率、保险金额等有关内容在专用合同条款中约定。</w:t>
      </w:r>
    </w:p>
    <w:p w14:paraId="46F3211F">
      <w:pPr>
        <w:rPr>
          <w:rFonts w:ascii="Times New Roman" w:hAnsi="Times New Roman" w:eastAsia="宋体" w:cs="Times New Roman"/>
          <w:sz w:val="24"/>
        </w:rPr>
      </w:pPr>
      <w:bookmarkStart w:id="1326" w:name="_Toc362252864"/>
      <w:bookmarkStart w:id="1327" w:name="_Toc342296398"/>
      <w:bookmarkStart w:id="1328" w:name="_Toc338944840"/>
      <w:r>
        <w:rPr>
          <w:rFonts w:hint="eastAsia" w:ascii="Times New Roman" w:hAnsi="Times New Roman" w:eastAsia="宋体" w:cs="Times New Roman"/>
          <w:sz w:val="24"/>
        </w:rPr>
        <w:t>20.5 其他保险</w:t>
      </w:r>
      <w:bookmarkEnd w:id="1326"/>
      <w:bookmarkEnd w:id="1327"/>
      <w:bookmarkEnd w:id="1328"/>
    </w:p>
    <w:p w14:paraId="7FFD7BE6">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除专用合同条款另有约定外，承包人应为其施工设备、进场的材料和工程设备等办理保险。</w:t>
      </w:r>
    </w:p>
    <w:p w14:paraId="6D640B49">
      <w:pPr>
        <w:rPr>
          <w:rFonts w:ascii="Times New Roman" w:hAnsi="Times New Roman" w:eastAsia="宋体" w:cs="Times New Roman"/>
          <w:sz w:val="24"/>
        </w:rPr>
      </w:pPr>
      <w:bookmarkStart w:id="1329" w:name="_Toc338944841"/>
      <w:bookmarkStart w:id="1330" w:name="_Toc362252865"/>
      <w:bookmarkStart w:id="1331" w:name="_Toc342296399"/>
      <w:r>
        <w:rPr>
          <w:rFonts w:hint="eastAsia" w:ascii="Times New Roman" w:hAnsi="Times New Roman" w:eastAsia="宋体" w:cs="Times New Roman"/>
          <w:sz w:val="24"/>
        </w:rPr>
        <w:t>20.6 对各项保险的一般要求</w:t>
      </w:r>
      <w:bookmarkEnd w:id="1329"/>
      <w:bookmarkEnd w:id="1330"/>
      <w:bookmarkEnd w:id="1331"/>
    </w:p>
    <w:p w14:paraId="30250E77">
      <w:pPr>
        <w:rPr>
          <w:rFonts w:ascii="Times New Roman" w:hAnsi="Times New Roman" w:eastAsia="宋体" w:cs="Times New Roman"/>
          <w:sz w:val="24"/>
        </w:rPr>
      </w:pPr>
      <w:r>
        <w:rPr>
          <w:rFonts w:hint="eastAsia" w:ascii="Times New Roman" w:hAnsi="Times New Roman" w:eastAsia="宋体" w:cs="Times New Roman"/>
          <w:sz w:val="24"/>
        </w:rPr>
        <w:t xml:space="preserve">20.6.1 </w:t>
      </w:r>
      <w:r>
        <w:rPr>
          <w:rFonts w:hint="eastAsia" w:ascii="黑体" w:hAnsi="Times New Roman" w:eastAsia="黑体" w:cs="Times New Roman"/>
          <w:sz w:val="24"/>
        </w:rPr>
        <w:t>保险凭证</w:t>
      </w:r>
    </w:p>
    <w:p w14:paraId="7378DFE7">
      <w:pPr>
        <w:rPr>
          <w:rFonts w:ascii="Times New Roman" w:hAnsi="Times New Roman" w:eastAsia="宋体" w:cs="Times New Roman"/>
          <w:sz w:val="24"/>
        </w:rPr>
      </w:pPr>
      <w:r>
        <w:rPr>
          <w:rFonts w:hint="eastAsia" w:ascii="Times New Roman" w:hAnsi="Times New Roman" w:eastAsia="宋体" w:cs="Times New Roman"/>
          <w:sz w:val="24"/>
        </w:rPr>
        <w:t>承包人应在专用合同条款约定的期限内向发包人提交各项保险生效的证据和保险单副本，保险单必须与专用合同条款约定的条件保持一致。</w:t>
      </w:r>
    </w:p>
    <w:p w14:paraId="462831FB">
      <w:pPr>
        <w:rPr>
          <w:rFonts w:ascii="Times New Roman" w:hAnsi="Times New Roman" w:eastAsia="宋体" w:cs="Times New Roman"/>
          <w:sz w:val="24"/>
        </w:rPr>
      </w:pPr>
      <w:r>
        <w:rPr>
          <w:rFonts w:hint="eastAsia" w:ascii="Times New Roman" w:hAnsi="Times New Roman" w:eastAsia="宋体" w:cs="Times New Roman"/>
          <w:sz w:val="24"/>
        </w:rPr>
        <w:t xml:space="preserve">20.6.2 </w:t>
      </w:r>
      <w:r>
        <w:rPr>
          <w:rFonts w:hint="eastAsia" w:ascii="黑体" w:hAnsi="Times New Roman" w:eastAsia="黑体" w:cs="Times New Roman"/>
          <w:sz w:val="24"/>
        </w:rPr>
        <w:t>保险合同条款的变动</w:t>
      </w:r>
    </w:p>
    <w:p w14:paraId="0AF50D46">
      <w:pPr>
        <w:rPr>
          <w:rFonts w:ascii="Times New Roman" w:hAnsi="Times New Roman" w:eastAsia="宋体" w:cs="Times New Roman"/>
          <w:sz w:val="24"/>
        </w:rPr>
      </w:pPr>
      <w:r>
        <w:rPr>
          <w:rFonts w:hint="eastAsia" w:ascii="Times New Roman" w:hAnsi="Times New Roman" w:eastAsia="宋体" w:cs="Times New Roman"/>
          <w:sz w:val="24"/>
        </w:rPr>
        <w:t>承包人需要变动保险合同条款时，应事先征得发包人同意，并通知监理人。保险人作出变动的，承包人应在收到保险人通知后立即通知发包人和监理人。</w:t>
      </w:r>
    </w:p>
    <w:p w14:paraId="63F82905">
      <w:pPr>
        <w:rPr>
          <w:rFonts w:ascii="Times New Roman" w:hAnsi="Times New Roman" w:eastAsia="宋体" w:cs="Times New Roman"/>
          <w:sz w:val="24"/>
        </w:rPr>
      </w:pPr>
      <w:r>
        <w:rPr>
          <w:rFonts w:hint="eastAsia" w:ascii="Times New Roman" w:hAnsi="Times New Roman" w:eastAsia="宋体" w:cs="Times New Roman"/>
          <w:sz w:val="24"/>
        </w:rPr>
        <w:t xml:space="preserve">20.6.3 </w:t>
      </w:r>
      <w:r>
        <w:rPr>
          <w:rFonts w:hint="eastAsia" w:ascii="黑体" w:hAnsi="Times New Roman" w:eastAsia="黑体" w:cs="Times New Roman"/>
          <w:sz w:val="24"/>
        </w:rPr>
        <w:t>持续保险</w:t>
      </w:r>
    </w:p>
    <w:p w14:paraId="5ACEEF32">
      <w:pPr>
        <w:rPr>
          <w:rFonts w:ascii="Times New Roman" w:hAnsi="Times New Roman" w:eastAsia="宋体" w:cs="Times New Roman"/>
          <w:sz w:val="24"/>
        </w:rPr>
      </w:pPr>
      <w:r>
        <w:rPr>
          <w:rFonts w:hint="eastAsia" w:ascii="Times New Roman" w:hAnsi="Times New Roman" w:eastAsia="宋体" w:cs="Times New Roman"/>
          <w:sz w:val="24"/>
        </w:rPr>
        <w:t>承包人应与保险人保持联系，使保险人能够随时了解工程实施中的变动，并确保按保险合同条款要求持续保险。</w:t>
      </w:r>
    </w:p>
    <w:p w14:paraId="5BFB996E">
      <w:pPr>
        <w:rPr>
          <w:rFonts w:ascii="黑体" w:hAnsi="Times New Roman" w:eastAsia="黑体" w:cs="Times New Roman"/>
          <w:sz w:val="24"/>
        </w:rPr>
      </w:pPr>
      <w:r>
        <w:rPr>
          <w:rFonts w:hint="eastAsia" w:ascii="Times New Roman" w:hAnsi="Times New Roman" w:eastAsia="宋体" w:cs="Times New Roman"/>
          <w:sz w:val="24"/>
        </w:rPr>
        <w:t xml:space="preserve">20.6.4 </w:t>
      </w:r>
      <w:r>
        <w:rPr>
          <w:rFonts w:hint="eastAsia" w:ascii="黑体" w:hAnsi="Times New Roman" w:eastAsia="黑体" w:cs="Times New Roman"/>
          <w:sz w:val="24"/>
        </w:rPr>
        <w:t>保险金不足的补偿</w:t>
      </w:r>
    </w:p>
    <w:p w14:paraId="2A9A5C6C">
      <w:pPr>
        <w:rPr>
          <w:rFonts w:ascii="Times New Roman" w:hAnsi="Times New Roman" w:eastAsia="宋体" w:cs="Times New Roman"/>
          <w:sz w:val="24"/>
        </w:rPr>
      </w:pPr>
      <w:r>
        <w:rPr>
          <w:rFonts w:hint="eastAsia" w:ascii="Times New Roman" w:hAnsi="Times New Roman" w:eastAsia="宋体" w:cs="Times New Roman"/>
          <w:sz w:val="24"/>
        </w:rPr>
        <w:t>保险金不足以补偿损失的，应由承包人和（或）发包人按合同约定负责补偿。</w:t>
      </w:r>
    </w:p>
    <w:p w14:paraId="3C919FC1">
      <w:pPr>
        <w:rPr>
          <w:rFonts w:ascii="黑体" w:hAnsi="Times New Roman" w:eastAsia="黑体" w:cs="Times New Roman"/>
          <w:sz w:val="24"/>
        </w:rPr>
      </w:pPr>
      <w:r>
        <w:rPr>
          <w:rFonts w:hint="eastAsia" w:ascii="Times New Roman" w:hAnsi="Times New Roman" w:eastAsia="宋体" w:cs="Times New Roman"/>
          <w:sz w:val="24"/>
        </w:rPr>
        <w:t xml:space="preserve">20.6.5 </w:t>
      </w:r>
      <w:r>
        <w:rPr>
          <w:rFonts w:hint="eastAsia" w:ascii="黑体" w:hAnsi="Times New Roman" w:eastAsia="黑体" w:cs="Times New Roman"/>
          <w:sz w:val="24"/>
        </w:rPr>
        <w:t>未按约定投保的补救</w:t>
      </w:r>
    </w:p>
    <w:p w14:paraId="021F356F">
      <w:pPr>
        <w:rPr>
          <w:rFonts w:ascii="黑体" w:hAnsi="Times New Roman" w:eastAsia="黑体" w:cs="Times New Roman"/>
          <w:sz w:val="24"/>
        </w:rPr>
      </w:pPr>
      <w:r>
        <w:rPr>
          <w:rFonts w:hint="eastAsia" w:ascii="Times New Roman" w:hAnsi="Times New Roman" w:eastAsia="宋体" w:cs="Times New Roman"/>
          <w:sz w:val="24"/>
        </w:rPr>
        <w:t>（1）由于负有投保义务的一方当事人未按合同约定办理保险，或未能使保险持续有效的，另一方当事人可代为办理，所需费用由对方当事人承担。</w:t>
      </w:r>
    </w:p>
    <w:p w14:paraId="25D459F9">
      <w:pPr>
        <w:rPr>
          <w:rFonts w:ascii="Times New Roman" w:hAnsi="Times New Roman" w:eastAsia="宋体" w:cs="Times New Roman"/>
          <w:sz w:val="24"/>
        </w:rPr>
      </w:pPr>
      <w:r>
        <w:rPr>
          <w:rFonts w:hint="eastAsia" w:ascii="Times New Roman" w:hAnsi="Times New Roman" w:eastAsia="宋体" w:cs="Times New Roman"/>
          <w:sz w:val="24"/>
        </w:rPr>
        <w:t>（2）由于负有投保义务的一方当事人未按合同约定办理某项保险，导致受益人未能得到保险人的赔偿，原应从该项保险得到的保险金应由负有投保义务的一方当事人支付。</w:t>
      </w:r>
    </w:p>
    <w:p w14:paraId="176CF15B">
      <w:pPr>
        <w:rPr>
          <w:rFonts w:ascii="黑体" w:hAnsi="Times New Roman" w:eastAsia="黑体" w:cs="Times New Roman"/>
          <w:sz w:val="24"/>
        </w:rPr>
      </w:pPr>
      <w:r>
        <w:rPr>
          <w:rFonts w:hint="eastAsia" w:ascii="Times New Roman" w:hAnsi="Times New Roman" w:eastAsia="宋体" w:cs="Times New Roman"/>
          <w:sz w:val="24"/>
        </w:rPr>
        <w:t xml:space="preserve">20.6.6 </w:t>
      </w:r>
      <w:r>
        <w:rPr>
          <w:rFonts w:hint="eastAsia" w:ascii="黑体" w:hAnsi="Times New Roman" w:eastAsia="黑体" w:cs="Times New Roman"/>
          <w:sz w:val="24"/>
        </w:rPr>
        <w:t>报告义务</w:t>
      </w:r>
    </w:p>
    <w:p w14:paraId="7A416856">
      <w:pPr>
        <w:rPr>
          <w:rFonts w:ascii="Times New Roman" w:hAnsi="Times New Roman" w:eastAsia="宋体" w:cs="Times New Roman"/>
          <w:sz w:val="24"/>
        </w:rPr>
      </w:pPr>
      <w:r>
        <w:rPr>
          <w:rFonts w:hint="eastAsia" w:ascii="Times New Roman" w:hAnsi="Times New Roman" w:eastAsia="宋体" w:cs="Times New Roman"/>
          <w:sz w:val="24"/>
        </w:rPr>
        <w:t>当保险事故发生时，投保人应按照保险单规定的条件和期限及时向保险人报告。</w:t>
      </w:r>
    </w:p>
    <w:p w14:paraId="3C83CCDD">
      <w:pPr>
        <w:rPr>
          <w:rFonts w:ascii="Times New Roman" w:hAnsi="Times New Roman" w:eastAsia="宋体" w:cs="Times New Roman"/>
          <w:sz w:val="24"/>
        </w:rPr>
      </w:pPr>
      <w:bookmarkStart w:id="1332" w:name="_Toc342296400"/>
      <w:bookmarkStart w:id="1333" w:name="_Toc338944842"/>
      <w:bookmarkStart w:id="1334" w:name="_Toc362252866"/>
      <w:r>
        <w:rPr>
          <w:rFonts w:hint="eastAsia" w:ascii="Times New Roman" w:hAnsi="Times New Roman" w:eastAsia="宋体" w:cs="Times New Roman"/>
          <w:sz w:val="24"/>
        </w:rPr>
        <w:t>21. 不可抗力</w:t>
      </w:r>
      <w:bookmarkEnd w:id="1332"/>
      <w:bookmarkEnd w:id="1333"/>
      <w:bookmarkEnd w:id="1334"/>
    </w:p>
    <w:p w14:paraId="383D420C">
      <w:pPr>
        <w:rPr>
          <w:rFonts w:ascii="Times New Roman" w:hAnsi="Times New Roman" w:eastAsia="宋体" w:cs="Times New Roman"/>
          <w:sz w:val="24"/>
        </w:rPr>
      </w:pPr>
      <w:bookmarkStart w:id="1335" w:name="_Toc338944843"/>
      <w:bookmarkStart w:id="1336" w:name="_Toc342296401"/>
      <w:bookmarkStart w:id="1337" w:name="_Toc362252867"/>
      <w:r>
        <w:rPr>
          <w:rFonts w:hint="eastAsia" w:ascii="Times New Roman" w:hAnsi="Times New Roman" w:eastAsia="宋体" w:cs="Times New Roman"/>
          <w:sz w:val="24"/>
        </w:rPr>
        <w:t>21.1 不可抗力的确认</w:t>
      </w:r>
      <w:bookmarkEnd w:id="1335"/>
      <w:bookmarkEnd w:id="1336"/>
      <w:bookmarkEnd w:id="1337"/>
    </w:p>
    <w:p w14:paraId="676E671E">
      <w:pPr>
        <w:rPr>
          <w:rFonts w:ascii="Times New Roman" w:hAnsi="Times New Roman" w:eastAsia="宋体" w:cs="Times New Roman"/>
          <w:sz w:val="24"/>
        </w:rPr>
      </w:pPr>
      <w:r>
        <w:rPr>
          <w:rFonts w:hint="eastAsia" w:ascii="Times New Roman" w:hAnsi="Times New Roman" w:eastAsia="宋体" w:cs="Times New Roman"/>
          <w:sz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10A2852C">
      <w:pPr>
        <w:rPr>
          <w:rFonts w:ascii="Times New Roman" w:hAnsi="Times New Roman" w:eastAsia="宋体" w:cs="Times New Roman"/>
          <w:sz w:val="24"/>
        </w:rPr>
      </w:pPr>
      <w:r>
        <w:rPr>
          <w:rFonts w:hint="eastAsia" w:ascii="Times New Roman" w:hAnsi="Times New Roman" w:eastAsia="宋体" w:cs="Times New Roman"/>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DAED0A1">
      <w:pPr>
        <w:rPr>
          <w:rFonts w:ascii="Times New Roman" w:hAnsi="Times New Roman" w:eastAsia="宋体" w:cs="Times New Roman"/>
          <w:sz w:val="24"/>
        </w:rPr>
      </w:pPr>
      <w:bookmarkStart w:id="1338" w:name="_Toc362252868"/>
      <w:bookmarkStart w:id="1339" w:name="_Toc152042530"/>
      <w:bookmarkStart w:id="1340" w:name="_Toc152045751"/>
      <w:bookmarkStart w:id="1341" w:name="_Toc342296402"/>
      <w:bookmarkStart w:id="1342" w:name="_Toc338944844"/>
      <w:bookmarkStart w:id="1343" w:name="_Toc179632769"/>
      <w:bookmarkStart w:id="1344" w:name="_Toc144974722"/>
      <w:r>
        <w:rPr>
          <w:rFonts w:hint="eastAsia" w:ascii="Times New Roman" w:hAnsi="Times New Roman" w:eastAsia="宋体" w:cs="Times New Roman"/>
          <w:sz w:val="24"/>
        </w:rPr>
        <w:t>21.2 不可抗力的通知</w:t>
      </w:r>
      <w:bookmarkEnd w:id="1338"/>
      <w:bookmarkEnd w:id="1339"/>
      <w:bookmarkEnd w:id="1340"/>
      <w:bookmarkEnd w:id="1341"/>
      <w:bookmarkEnd w:id="1342"/>
      <w:bookmarkEnd w:id="1343"/>
      <w:bookmarkEnd w:id="1344"/>
    </w:p>
    <w:p w14:paraId="54896817">
      <w:pPr>
        <w:rPr>
          <w:rFonts w:ascii="Times New Roman" w:hAnsi="Times New Roman" w:eastAsia="宋体" w:cs="Times New Roman"/>
          <w:sz w:val="24"/>
        </w:rPr>
      </w:pPr>
      <w:r>
        <w:rPr>
          <w:rFonts w:hint="eastAsia" w:ascii="Times New Roman" w:hAnsi="Times New Roman" w:eastAsia="宋体" w:cs="Times New Roman"/>
          <w:sz w:val="24"/>
        </w:rPr>
        <w:t>21.2.1 合同一方当事人遇到不可抗力事件，使其履行合同义务受到阻碍时，应立即通知合同另一方当事人和监理人，书面说明不可抗力和受阻碍的详细情况，并提供必要的证明。</w:t>
      </w:r>
    </w:p>
    <w:p w14:paraId="59C95AE9">
      <w:pPr>
        <w:rPr>
          <w:rFonts w:ascii="Times New Roman" w:hAnsi="Times New Roman" w:eastAsia="宋体" w:cs="Times New Roman"/>
          <w:sz w:val="24"/>
        </w:rPr>
      </w:pPr>
      <w:r>
        <w:rPr>
          <w:rFonts w:hint="eastAsia" w:ascii="Times New Roman" w:hAnsi="Times New Roman" w:eastAsia="宋体" w:cs="Times New Roman"/>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4219DD35">
      <w:pPr>
        <w:rPr>
          <w:rFonts w:ascii="Times New Roman" w:hAnsi="Times New Roman" w:eastAsia="宋体" w:cs="Times New Roman"/>
          <w:sz w:val="24"/>
        </w:rPr>
      </w:pPr>
      <w:bookmarkStart w:id="1345" w:name="_Toc362252869"/>
      <w:bookmarkStart w:id="1346" w:name="_Toc342296403"/>
      <w:bookmarkStart w:id="1347" w:name="_Toc338944845"/>
      <w:r>
        <w:rPr>
          <w:rFonts w:hint="eastAsia" w:ascii="Times New Roman" w:hAnsi="Times New Roman" w:eastAsia="宋体" w:cs="Times New Roman"/>
          <w:sz w:val="24"/>
        </w:rPr>
        <w:t>21.3 不可抗力后果及其处理</w:t>
      </w:r>
      <w:bookmarkEnd w:id="1345"/>
      <w:bookmarkEnd w:id="1346"/>
      <w:bookmarkEnd w:id="1347"/>
    </w:p>
    <w:p w14:paraId="1D6E7C71">
      <w:pPr>
        <w:rPr>
          <w:rFonts w:ascii="Times New Roman" w:hAnsi="Times New Roman" w:eastAsia="宋体" w:cs="Times New Roman"/>
          <w:sz w:val="24"/>
        </w:rPr>
      </w:pPr>
      <w:r>
        <w:rPr>
          <w:rFonts w:hint="eastAsia" w:ascii="Times New Roman" w:hAnsi="Times New Roman" w:eastAsia="宋体" w:cs="Times New Roman"/>
          <w:sz w:val="24"/>
        </w:rPr>
        <w:t xml:space="preserve">21.3.1 </w:t>
      </w:r>
      <w:r>
        <w:rPr>
          <w:rFonts w:hint="eastAsia" w:ascii="黑体" w:hAnsi="Times New Roman" w:eastAsia="黑体" w:cs="Times New Roman"/>
          <w:sz w:val="24"/>
        </w:rPr>
        <w:t>不可抗力造成损害的责任</w:t>
      </w:r>
    </w:p>
    <w:p w14:paraId="142AFD2F">
      <w:pPr>
        <w:rPr>
          <w:rFonts w:ascii="Times New Roman" w:hAnsi="Times New Roman" w:eastAsia="宋体" w:cs="Times New Roman"/>
          <w:sz w:val="24"/>
        </w:rPr>
      </w:pPr>
      <w:r>
        <w:rPr>
          <w:rFonts w:hint="eastAsia" w:ascii="Times New Roman" w:hAnsi="Times New Roman" w:eastAsia="宋体" w:cs="Times New Roman"/>
          <w:sz w:val="24"/>
        </w:rPr>
        <w:t>除专用合同条款另有约定外，不可抗力导致的人员伤亡、财产损失、费用增加和（或）工期延误等后果，由合同双方按以下原则承担：</w:t>
      </w:r>
    </w:p>
    <w:p w14:paraId="4DAE45DD">
      <w:pPr>
        <w:rPr>
          <w:rFonts w:ascii="Times New Roman" w:hAnsi="Times New Roman" w:eastAsia="宋体" w:cs="Times New Roman"/>
          <w:sz w:val="24"/>
        </w:rPr>
      </w:pPr>
      <w:r>
        <w:rPr>
          <w:rFonts w:hint="eastAsia" w:ascii="Times New Roman" w:hAnsi="Times New Roman" w:eastAsia="宋体" w:cs="Times New Roman"/>
          <w:sz w:val="24"/>
        </w:rPr>
        <w:t>（1）永久工程，包括已运至施工场地的材料和工程设备的损害，以及因工程损害造成的第三者人员伤亡和财产损失由发包人承担；</w:t>
      </w:r>
    </w:p>
    <w:p w14:paraId="51E562EB">
      <w:pPr>
        <w:rPr>
          <w:rFonts w:ascii="Times New Roman" w:hAnsi="Times New Roman" w:eastAsia="宋体" w:cs="Times New Roman"/>
          <w:sz w:val="24"/>
        </w:rPr>
      </w:pPr>
      <w:r>
        <w:rPr>
          <w:rFonts w:hint="eastAsia" w:ascii="Times New Roman" w:hAnsi="Times New Roman" w:eastAsia="宋体" w:cs="Times New Roman"/>
          <w:sz w:val="24"/>
        </w:rPr>
        <w:t>（2）承包人设备的损坏由承包人承担；</w:t>
      </w:r>
    </w:p>
    <w:p w14:paraId="640975E1">
      <w:pPr>
        <w:rPr>
          <w:rFonts w:ascii="Times New Roman" w:hAnsi="Times New Roman" w:eastAsia="宋体" w:cs="Times New Roman"/>
          <w:sz w:val="24"/>
        </w:rPr>
      </w:pPr>
      <w:r>
        <w:rPr>
          <w:rFonts w:hint="eastAsia" w:ascii="Times New Roman" w:hAnsi="Times New Roman" w:eastAsia="宋体" w:cs="Times New Roman"/>
          <w:sz w:val="24"/>
        </w:rPr>
        <w:t>（3）发包人和承包人各自承担其人员伤亡和其他财产损失及其相关费用；</w:t>
      </w:r>
    </w:p>
    <w:p w14:paraId="79DCA9CE">
      <w:pPr>
        <w:rPr>
          <w:rFonts w:ascii="Times New Roman" w:hAnsi="Times New Roman" w:eastAsia="宋体" w:cs="Times New Roman"/>
          <w:sz w:val="24"/>
        </w:rPr>
      </w:pPr>
      <w:r>
        <w:rPr>
          <w:rFonts w:hint="eastAsia" w:ascii="Times New Roman" w:hAnsi="Times New Roman" w:eastAsia="宋体" w:cs="Times New Roman"/>
          <w:sz w:val="24"/>
        </w:rPr>
        <w:t>（4）承包人的停工损失由承包人承担，但停工期间应监理人要求照管工程和清理、修复工程的金额由发包人承担；</w:t>
      </w:r>
    </w:p>
    <w:p w14:paraId="425ED5B7">
      <w:pPr>
        <w:rPr>
          <w:rFonts w:ascii="Times New Roman" w:hAnsi="Times New Roman" w:eastAsia="宋体" w:cs="Times New Roman"/>
          <w:sz w:val="24"/>
        </w:rPr>
      </w:pPr>
      <w:r>
        <w:rPr>
          <w:rFonts w:hint="eastAsia" w:ascii="Times New Roman" w:hAnsi="Times New Roman" w:eastAsia="宋体" w:cs="Times New Roman"/>
          <w:sz w:val="24"/>
        </w:rPr>
        <w:t>（5）不能按期竣工的，应合理延长工期，承包人不需支付逾期竣工违约金。发包人要求赶工的，承包人应采取赶工措施，赶工费用由发包人承担。</w:t>
      </w:r>
    </w:p>
    <w:p w14:paraId="78CF9A3E">
      <w:pPr>
        <w:rPr>
          <w:rFonts w:ascii="Times New Roman" w:hAnsi="Times New Roman" w:eastAsia="宋体" w:cs="Times New Roman"/>
          <w:sz w:val="24"/>
        </w:rPr>
      </w:pPr>
      <w:r>
        <w:rPr>
          <w:rFonts w:hint="eastAsia" w:ascii="Times New Roman" w:hAnsi="Times New Roman" w:eastAsia="宋体" w:cs="Times New Roman"/>
          <w:sz w:val="24"/>
        </w:rPr>
        <w:t xml:space="preserve">21.3.2 </w:t>
      </w:r>
      <w:r>
        <w:rPr>
          <w:rFonts w:hint="eastAsia" w:ascii="黑体" w:hAnsi="Times New Roman" w:eastAsia="黑体" w:cs="Times New Roman"/>
          <w:sz w:val="24"/>
        </w:rPr>
        <w:t>延迟履行期间发生的不可抗力</w:t>
      </w:r>
    </w:p>
    <w:p w14:paraId="14CF4903">
      <w:pPr>
        <w:rPr>
          <w:rFonts w:ascii="Times New Roman" w:hAnsi="Times New Roman" w:eastAsia="宋体" w:cs="Times New Roman"/>
          <w:sz w:val="24"/>
        </w:rPr>
      </w:pPr>
      <w:r>
        <w:rPr>
          <w:rFonts w:hint="eastAsia" w:ascii="Times New Roman" w:hAnsi="Times New Roman" w:eastAsia="宋体" w:cs="Times New Roman"/>
          <w:sz w:val="24"/>
        </w:rPr>
        <w:t>合同一方当事人延迟履行，在延迟履行期间发生不可抗力的，不免除其责任。</w:t>
      </w:r>
    </w:p>
    <w:p w14:paraId="37DEF320">
      <w:pPr>
        <w:rPr>
          <w:rFonts w:ascii="Times New Roman" w:hAnsi="Times New Roman" w:eastAsia="宋体" w:cs="Times New Roman"/>
          <w:sz w:val="24"/>
        </w:rPr>
      </w:pPr>
      <w:r>
        <w:rPr>
          <w:rFonts w:hint="eastAsia" w:ascii="Times New Roman" w:hAnsi="Times New Roman" w:eastAsia="宋体" w:cs="Times New Roman"/>
          <w:sz w:val="24"/>
        </w:rPr>
        <w:t xml:space="preserve">21.3.3 </w:t>
      </w:r>
      <w:r>
        <w:rPr>
          <w:rFonts w:hint="eastAsia" w:ascii="黑体" w:hAnsi="Times New Roman" w:eastAsia="黑体" w:cs="Times New Roman"/>
          <w:sz w:val="24"/>
        </w:rPr>
        <w:t>避免和减少不可抗力损失</w:t>
      </w:r>
    </w:p>
    <w:p w14:paraId="6235D97E">
      <w:pPr>
        <w:rPr>
          <w:rFonts w:ascii="Times New Roman" w:hAnsi="Times New Roman" w:eastAsia="宋体" w:cs="Times New Roman"/>
          <w:sz w:val="24"/>
        </w:rPr>
      </w:pPr>
      <w:r>
        <w:rPr>
          <w:rFonts w:hint="eastAsia" w:ascii="Times New Roman" w:hAnsi="Times New Roman" w:eastAsia="宋体" w:cs="Times New Roman"/>
          <w:sz w:val="24"/>
        </w:rPr>
        <w:t>不可抗力发生后，发包人和承包人均应采取措施尽量避免和减少损失的扩大，任何一方没有采取有效措施导致损失扩大的，应对扩大的损失承担责任。</w:t>
      </w:r>
    </w:p>
    <w:p w14:paraId="2AD15918">
      <w:pPr>
        <w:rPr>
          <w:rFonts w:ascii="Times New Roman" w:hAnsi="Times New Roman" w:eastAsia="宋体" w:cs="Times New Roman"/>
          <w:sz w:val="24"/>
        </w:rPr>
      </w:pPr>
      <w:r>
        <w:rPr>
          <w:rFonts w:hint="eastAsia" w:ascii="Times New Roman" w:hAnsi="Times New Roman" w:eastAsia="宋体" w:cs="Times New Roman"/>
          <w:sz w:val="24"/>
        </w:rPr>
        <w:t xml:space="preserve">21.3.4 </w:t>
      </w:r>
      <w:r>
        <w:rPr>
          <w:rFonts w:hint="eastAsia" w:ascii="黑体" w:hAnsi="Times New Roman" w:eastAsia="黑体" w:cs="Times New Roman"/>
          <w:sz w:val="24"/>
        </w:rPr>
        <w:t>因不可抗力解除合同</w:t>
      </w:r>
    </w:p>
    <w:p w14:paraId="414E3905">
      <w:pPr>
        <w:rPr>
          <w:rFonts w:ascii="Times New Roman" w:hAnsi="Times New Roman" w:eastAsia="宋体" w:cs="Times New Roman"/>
          <w:sz w:val="24"/>
        </w:rPr>
      </w:pPr>
      <w:r>
        <w:rPr>
          <w:rFonts w:hint="eastAsia" w:ascii="Times New Roman" w:hAnsi="Times New Roman" w:eastAsia="宋体"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0D7D555">
      <w:pPr>
        <w:rPr>
          <w:rFonts w:ascii="Times New Roman" w:hAnsi="Times New Roman" w:eastAsia="宋体" w:cs="Times New Roman"/>
          <w:sz w:val="24"/>
        </w:rPr>
      </w:pPr>
      <w:bookmarkStart w:id="1348" w:name="_Toc152045753"/>
      <w:bookmarkStart w:id="1349" w:name="_Toc342296404"/>
      <w:bookmarkStart w:id="1350" w:name="_Toc152042532"/>
      <w:bookmarkStart w:id="1351" w:name="_Toc144974724"/>
      <w:bookmarkStart w:id="1352" w:name="_Toc179632771"/>
      <w:bookmarkStart w:id="1353" w:name="_Toc338944846"/>
      <w:bookmarkStart w:id="1354" w:name="_Toc362252870"/>
      <w:r>
        <w:rPr>
          <w:rFonts w:hint="eastAsia" w:ascii="Times New Roman" w:hAnsi="Times New Roman" w:eastAsia="宋体" w:cs="Times New Roman"/>
          <w:sz w:val="24"/>
        </w:rPr>
        <w:t>22. 违约</w:t>
      </w:r>
      <w:bookmarkEnd w:id="1348"/>
      <w:bookmarkEnd w:id="1349"/>
      <w:bookmarkEnd w:id="1350"/>
      <w:bookmarkEnd w:id="1351"/>
      <w:bookmarkEnd w:id="1352"/>
      <w:bookmarkEnd w:id="1353"/>
      <w:bookmarkEnd w:id="1354"/>
    </w:p>
    <w:p w14:paraId="69A0E1CF">
      <w:pPr>
        <w:rPr>
          <w:rFonts w:ascii="Times New Roman" w:hAnsi="Times New Roman" w:eastAsia="宋体" w:cs="Times New Roman"/>
          <w:sz w:val="24"/>
        </w:rPr>
      </w:pPr>
      <w:bookmarkStart w:id="1355" w:name="_Toc152045754"/>
      <w:bookmarkStart w:id="1356" w:name="_Toc338944847"/>
      <w:bookmarkStart w:id="1357" w:name="_Toc342296405"/>
      <w:bookmarkStart w:id="1358" w:name="_Toc179632772"/>
      <w:bookmarkStart w:id="1359" w:name="_Toc152042533"/>
      <w:bookmarkStart w:id="1360" w:name="_Toc362252871"/>
      <w:bookmarkStart w:id="1361" w:name="_Toc144974725"/>
      <w:r>
        <w:rPr>
          <w:rFonts w:hint="eastAsia" w:ascii="Times New Roman" w:hAnsi="Times New Roman" w:eastAsia="宋体" w:cs="Times New Roman"/>
          <w:sz w:val="24"/>
        </w:rPr>
        <w:t>22.1 承包人违约</w:t>
      </w:r>
      <w:bookmarkEnd w:id="1355"/>
      <w:bookmarkEnd w:id="1356"/>
      <w:bookmarkEnd w:id="1357"/>
      <w:bookmarkEnd w:id="1358"/>
      <w:bookmarkEnd w:id="1359"/>
      <w:bookmarkEnd w:id="1360"/>
      <w:bookmarkEnd w:id="1361"/>
    </w:p>
    <w:p w14:paraId="46B47279">
      <w:pPr>
        <w:rPr>
          <w:rFonts w:ascii="Times New Roman" w:hAnsi="Times New Roman" w:eastAsia="宋体" w:cs="Times New Roman"/>
          <w:sz w:val="24"/>
        </w:rPr>
      </w:pPr>
      <w:r>
        <w:rPr>
          <w:rFonts w:hint="eastAsia" w:ascii="Times New Roman" w:hAnsi="Times New Roman" w:eastAsia="宋体" w:cs="Times New Roman"/>
          <w:sz w:val="24"/>
        </w:rPr>
        <w:t>22.1.1</w:t>
      </w:r>
      <w:r>
        <w:rPr>
          <w:rFonts w:hint="eastAsia" w:ascii="黑体" w:hAnsi="Times New Roman" w:eastAsia="黑体" w:cs="Times New Roman"/>
          <w:sz w:val="24"/>
        </w:rPr>
        <w:t xml:space="preserve"> 承包人违约的情形</w:t>
      </w:r>
    </w:p>
    <w:p w14:paraId="4DCD7738">
      <w:pPr>
        <w:rPr>
          <w:rFonts w:ascii="Times New Roman" w:hAnsi="Times New Roman" w:eastAsia="宋体" w:cs="Times New Roman"/>
          <w:sz w:val="24"/>
        </w:rPr>
      </w:pPr>
      <w:r>
        <w:rPr>
          <w:rFonts w:hint="eastAsia" w:ascii="Times New Roman" w:hAnsi="Times New Roman" w:eastAsia="宋体" w:cs="Times New Roman"/>
          <w:sz w:val="24"/>
        </w:rPr>
        <w:t>在履行合同过程中发生的下列情况属承包人违约：</w:t>
      </w:r>
    </w:p>
    <w:p w14:paraId="04D706AB">
      <w:pPr>
        <w:rPr>
          <w:rFonts w:ascii="Times New Roman" w:hAnsi="Times New Roman" w:eastAsia="宋体" w:cs="Times New Roman"/>
          <w:sz w:val="24"/>
        </w:rPr>
      </w:pPr>
      <w:r>
        <w:rPr>
          <w:rFonts w:hint="eastAsia" w:ascii="Times New Roman" w:hAnsi="Times New Roman" w:eastAsia="宋体" w:cs="Times New Roman"/>
          <w:sz w:val="24"/>
        </w:rPr>
        <w:t>（1）承包人违反第1.8款或第4.3款的约定，私自将合同的全部或部分权利转让给其他人，或私自将合同的全部或部分义务转移给其他人；</w:t>
      </w:r>
    </w:p>
    <w:p w14:paraId="27C4DC35">
      <w:pPr>
        <w:rPr>
          <w:rFonts w:ascii="Times New Roman" w:hAnsi="Times New Roman" w:eastAsia="宋体" w:cs="Times New Roman"/>
          <w:sz w:val="24"/>
        </w:rPr>
      </w:pPr>
      <w:r>
        <w:rPr>
          <w:rFonts w:hint="eastAsia" w:ascii="Times New Roman" w:hAnsi="Times New Roman" w:eastAsia="宋体" w:cs="Times New Roman"/>
          <w:sz w:val="24"/>
        </w:rPr>
        <w:t>（2）承包人违反第5.3款或第6.4款的约定，未经监理人批准，私自将已按合同约定进入施工场地的施工设备、临时设施或材料撤离施工场地；</w:t>
      </w:r>
    </w:p>
    <w:p w14:paraId="64245E74">
      <w:pPr>
        <w:rPr>
          <w:rFonts w:ascii="Times New Roman" w:hAnsi="Times New Roman" w:eastAsia="宋体" w:cs="Times New Roman"/>
          <w:sz w:val="24"/>
        </w:rPr>
      </w:pPr>
      <w:r>
        <w:rPr>
          <w:rFonts w:hint="eastAsia" w:ascii="Times New Roman" w:hAnsi="Times New Roman" w:eastAsia="宋体" w:cs="Times New Roman"/>
          <w:sz w:val="24"/>
        </w:rPr>
        <w:t>（3）承包人违反第5.4款的约定使用了不合格材料或工程设备，工程质量达不到标准要求，又拒绝清除不合格工程；</w:t>
      </w:r>
    </w:p>
    <w:p w14:paraId="185EAAD7">
      <w:pPr>
        <w:rPr>
          <w:rFonts w:ascii="Times New Roman" w:hAnsi="Times New Roman" w:eastAsia="宋体" w:cs="Times New Roman"/>
          <w:sz w:val="24"/>
        </w:rPr>
      </w:pPr>
      <w:r>
        <w:rPr>
          <w:rFonts w:hint="eastAsia" w:ascii="Times New Roman" w:hAnsi="Times New Roman" w:eastAsia="宋体" w:cs="Times New Roman"/>
          <w:sz w:val="24"/>
        </w:rPr>
        <w:t>（4）承包人未能按合同进度计划及时完成合同约定的工作，已造成或预期造成工期延误；</w:t>
      </w:r>
    </w:p>
    <w:p w14:paraId="483C4D00">
      <w:pPr>
        <w:rPr>
          <w:rFonts w:ascii="Times New Roman" w:hAnsi="Times New Roman" w:eastAsia="宋体" w:cs="Times New Roman"/>
          <w:sz w:val="24"/>
        </w:rPr>
      </w:pPr>
      <w:r>
        <w:rPr>
          <w:rFonts w:hint="eastAsia" w:ascii="Times New Roman" w:hAnsi="Times New Roman" w:eastAsia="宋体" w:cs="Times New Roman"/>
          <w:sz w:val="24"/>
        </w:rPr>
        <w:t>（5）承包人在缺陷责任期内，未能对工程接收证书所列的缺陷清单的内容或缺陷责任期内发生的缺陷进行修复，而又拒绝按监理人指示再进行修补；</w:t>
      </w:r>
    </w:p>
    <w:p w14:paraId="5EA1DB74">
      <w:pPr>
        <w:rPr>
          <w:rFonts w:ascii="Times New Roman" w:hAnsi="Times New Roman" w:eastAsia="宋体" w:cs="Times New Roman"/>
          <w:sz w:val="24"/>
        </w:rPr>
      </w:pPr>
      <w:r>
        <w:rPr>
          <w:rFonts w:hint="eastAsia" w:ascii="Times New Roman" w:hAnsi="Times New Roman" w:eastAsia="宋体" w:cs="Times New Roman"/>
          <w:sz w:val="24"/>
        </w:rPr>
        <w:t>（6）承包人无法继续履行或明确表示不履行或实质上已停止履行合同；</w:t>
      </w:r>
    </w:p>
    <w:p w14:paraId="4A687776">
      <w:pPr>
        <w:rPr>
          <w:rFonts w:ascii="Times New Roman" w:hAnsi="Times New Roman" w:eastAsia="宋体" w:cs="Times New Roman"/>
          <w:sz w:val="24"/>
        </w:rPr>
      </w:pPr>
      <w:r>
        <w:rPr>
          <w:rFonts w:hint="eastAsia" w:ascii="Times New Roman" w:hAnsi="Times New Roman" w:eastAsia="宋体" w:cs="Times New Roman"/>
          <w:sz w:val="24"/>
        </w:rPr>
        <w:t>（7）承包人不按合同约定履行义务的其他情况。</w:t>
      </w:r>
    </w:p>
    <w:p w14:paraId="1CCDE314">
      <w:pPr>
        <w:rPr>
          <w:rFonts w:ascii="黑体" w:hAnsi="Times New Roman" w:eastAsia="黑体" w:cs="Times New Roman"/>
          <w:sz w:val="24"/>
        </w:rPr>
      </w:pPr>
      <w:r>
        <w:rPr>
          <w:rFonts w:hint="eastAsia" w:ascii="Times New Roman" w:hAnsi="Times New Roman" w:eastAsia="宋体" w:cs="Times New Roman"/>
          <w:sz w:val="24"/>
        </w:rPr>
        <w:t>22.1.2</w:t>
      </w:r>
      <w:r>
        <w:rPr>
          <w:rFonts w:hint="eastAsia" w:ascii="黑体" w:hAnsi="Times New Roman" w:eastAsia="黑体" w:cs="Times New Roman"/>
          <w:sz w:val="24"/>
        </w:rPr>
        <w:t xml:space="preserve"> 对承包人违约的处理</w:t>
      </w:r>
    </w:p>
    <w:p w14:paraId="0ECFA00B">
      <w:pPr>
        <w:rPr>
          <w:rFonts w:ascii="Times New Roman" w:hAnsi="Times New Roman" w:eastAsia="宋体" w:cs="Times New Roman"/>
          <w:sz w:val="24"/>
        </w:rPr>
      </w:pPr>
      <w:r>
        <w:rPr>
          <w:rFonts w:hint="eastAsia" w:ascii="Times New Roman" w:hAnsi="Times New Roman" w:eastAsia="宋体" w:cs="Times New Roman"/>
          <w:sz w:val="24"/>
        </w:rPr>
        <w:t>（1）承包人发生第22.1.1（6）目约定的违约情况时，发包人可通知承包人立即解除合同，并按有关法律处理。</w:t>
      </w:r>
    </w:p>
    <w:p w14:paraId="2D756B74">
      <w:pPr>
        <w:rPr>
          <w:rFonts w:ascii="Times New Roman" w:hAnsi="Times New Roman" w:eastAsia="宋体" w:cs="Times New Roman"/>
          <w:sz w:val="24"/>
        </w:rPr>
      </w:pPr>
      <w:r>
        <w:rPr>
          <w:rFonts w:hint="eastAsia" w:ascii="Times New Roman" w:hAnsi="Times New Roman" w:eastAsia="宋体" w:cs="Times New Roman"/>
          <w:sz w:val="24"/>
        </w:rPr>
        <w:t>（2）承包人发生除第22.1.1（6）目约定以外的其他违约情况时，监理人可向承包人发出整改通知，要求其在指定的期限内改正。承包人应承担其违约所引起的费用增加和（或）工期延误。</w:t>
      </w:r>
    </w:p>
    <w:p w14:paraId="33BF8AC8">
      <w:pPr>
        <w:rPr>
          <w:rFonts w:ascii="Times New Roman" w:hAnsi="Times New Roman" w:eastAsia="宋体" w:cs="Times New Roman"/>
          <w:sz w:val="24"/>
        </w:rPr>
      </w:pPr>
      <w:r>
        <w:rPr>
          <w:rFonts w:hint="eastAsia" w:ascii="Times New Roman" w:hAnsi="Times New Roman" w:eastAsia="宋体" w:cs="Times New Roman"/>
          <w:sz w:val="24"/>
        </w:rPr>
        <w:t>（3）经检查证明承包人已采取了有效措施纠正违约行为，具备复工条件的，可由监理人签发复工通知复工。</w:t>
      </w:r>
    </w:p>
    <w:p w14:paraId="04736299">
      <w:pPr>
        <w:rPr>
          <w:rFonts w:ascii="黑体" w:hAnsi="Times New Roman" w:eastAsia="黑体" w:cs="Times New Roman"/>
          <w:sz w:val="24"/>
        </w:rPr>
      </w:pPr>
      <w:r>
        <w:rPr>
          <w:rFonts w:hint="eastAsia" w:ascii="Times New Roman" w:hAnsi="Times New Roman" w:eastAsia="宋体" w:cs="Times New Roman"/>
          <w:sz w:val="24"/>
        </w:rPr>
        <w:t>22.1.3</w:t>
      </w:r>
      <w:r>
        <w:rPr>
          <w:rFonts w:hint="eastAsia" w:ascii="黑体" w:hAnsi="Times New Roman" w:eastAsia="黑体" w:cs="Times New Roman"/>
          <w:sz w:val="24"/>
        </w:rPr>
        <w:t xml:space="preserve"> 承包人违约解除合同</w:t>
      </w:r>
    </w:p>
    <w:p w14:paraId="27A17133">
      <w:pPr>
        <w:rPr>
          <w:rFonts w:ascii="Times New Roman" w:hAnsi="Times New Roman" w:eastAsia="宋体" w:cs="Times New Roman"/>
          <w:sz w:val="24"/>
        </w:rPr>
      </w:pPr>
      <w:r>
        <w:rPr>
          <w:rFonts w:hint="eastAsia" w:ascii="Times New Roman" w:hAnsi="Times New Roman" w:eastAsia="宋体" w:cs="Times New Roman"/>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8092354">
      <w:pPr>
        <w:rPr>
          <w:rFonts w:ascii="黑体" w:hAnsi="Times New Roman" w:eastAsia="黑体" w:cs="Times New Roman"/>
          <w:sz w:val="24"/>
        </w:rPr>
      </w:pPr>
      <w:r>
        <w:rPr>
          <w:rFonts w:hint="eastAsia" w:ascii="Times New Roman" w:hAnsi="Times New Roman" w:eastAsia="宋体" w:cs="Times New Roman"/>
          <w:sz w:val="24"/>
        </w:rPr>
        <w:t>22.1.4</w:t>
      </w:r>
      <w:r>
        <w:rPr>
          <w:rFonts w:hint="eastAsia" w:ascii="黑体" w:hAnsi="Times New Roman" w:eastAsia="黑体" w:cs="Times New Roman"/>
          <w:sz w:val="24"/>
        </w:rPr>
        <w:t xml:space="preserve"> 合同解除后的估价、付款和结清</w:t>
      </w:r>
    </w:p>
    <w:p w14:paraId="739E0C5C">
      <w:pPr>
        <w:rPr>
          <w:rFonts w:ascii="Times New Roman" w:hAnsi="Times New Roman" w:eastAsia="宋体" w:cs="Times New Roman"/>
          <w:sz w:val="24"/>
        </w:rPr>
      </w:pPr>
      <w:r>
        <w:rPr>
          <w:rFonts w:hint="eastAsia" w:ascii="Times New Roman" w:hAnsi="Times New Roman" w:eastAsia="宋体" w:cs="Times New Roman"/>
          <w:sz w:val="24"/>
        </w:rPr>
        <w:t xml:space="preserve">（1）合同解除后，监理人按第3.5款商定或确定承包人实际完成工作的价值，以及承包人已提供的材料、施工设备、工程设备和临时工程等的价值。 </w:t>
      </w:r>
    </w:p>
    <w:p w14:paraId="6EF5DDF1">
      <w:pPr>
        <w:rPr>
          <w:rFonts w:ascii="Times New Roman" w:hAnsi="Times New Roman" w:eastAsia="宋体" w:cs="Times New Roman"/>
          <w:sz w:val="24"/>
        </w:rPr>
      </w:pPr>
      <w:r>
        <w:rPr>
          <w:rFonts w:hint="eastAsia" w:ascii="Times New Roman" w:hAnsi="Times New Roman" w:eastAsia="宋体" w:cs="Times New Roman"/>
          <w:sz w:val="24"/>
        </w:rPr>
        <w:t xml:space="preserve">（2）合同解除后，发包人应暂停对承包人的一切付款，查清各项付款和已扣款金额，包括承包人应支付的违约金。 </w:t>
      </w:r>
    </w:p>
    <w:p w14:paraId="4BA95CFC">
      <w:pPr>
        <w:rPr>
          <w:rFonts w:ascii="Times New Roman" w:hAnsi="Times New Roman" w:eastAsia="宋体" w:cs="Times New Roman"/>
          <w:sz w:val="24"/>
        </w:rPr>
      </w:pPr>
      <w:r>
        <w:rPr>
          <w:rFonts w:hint="eastAsia" w:ascii="Times New Roman" w:hAnsi="Times New Roman" w:eastAsia="宋体" w:cs="Times New Roman"/>
          <w:sz w:val="24"/>
        </w:rPr>
        <w:t>（3）合同解除后，发包人应按第23.4款的约定向承包人索赔由于解除合同给发包人造成的损失。</w:t>
      </w:r>
    </w:p>
    <w:p w14:paraId="5B143C4A">
      <w:pPr>
        <w:rPr>
          <w:rFonts w:ascii="Times New Roman" w:hAnsi="Times New Roman" w:eastAsia="宋体" w:cs="Times New Roman"/>
          <w:sz w:val="24"/>
        </w:rPr>
      </w:pPr>
      <w:r>
        <w:rPr>
          <w:rFonts w:hint="eastAsia" w:ascii="Times New Roman" w:hAnsi="Times New Roman" w:eastAsia="宋体" w:cs="Times New Roman"/>
          <w:sz w:val="24"/>
        </w:rPr>
        <w:t>（4）合同双方确认上述往来款项后，出具最终结清付款证书，结清全部合同款项。</w:t>
      </w:r>
    </w:p>
    <w:p w14:paraId="22E10182">
      <w:pPr>
        <w:rPr>
          <w:rFonts w:ascii="Times New Roman" w:hAnsi="Times New Roman" w:eastAsia="宋体" w:cs="Times New Roman"/>
          <w:sz w:val="24"/>
        </w:rPr>
      </w:pPr>
      <w:r>
        <w:rPr>
          <w:rFonts w:hint="eastAsia" w:ascii="Times New Roman" w:hAnsi="Times New Roman" w:eastAsia="宋体" w:cs="Times New Roman"/>
          <w:sz w:val="24"/>
        </w:rPr>
        <w:t>（5）发包人和承包人未能就解除合同后的结清达成一致而形成争议的，按第24条的约定办理。</w:t>
      </w:r>
    </w:p>
    <w:p w14:paraId="37296CB0">
      <w:pPr>
        <w:rPr>
          <w:rFonts w:ascii="黑体" w:hAnsi="Times New Roman" w:eastAsia="黑体" w:cs="Times New Roman"/>
          <w:sz w:val="24"/>
        </w:rPr>
      </w:pPr>
      <w:r>
        <w:rPr>
          <w:rFonts w:hint="eastAsia" w:ascii="Times New Roman" w:hAnsi="Times New Roman" w:eastAsia="宋体" w:cs="Times New Roman"/>
          <w:sz w:val="24"/>
        </w:rPr>
        <w:t>22.1.5</w:t>
      </w:r>
      <w:r>
        <w:rPr>
          <w:rFonts w:hint="eastAsia" w:ascii="黑体" w:hAnsi="Times New Roman" w:eastAsia="黑体" w:cs="Times New Roman"/>
          <w:sz w:val="24"/>
        </w:rPr>
        <w:t xml:space="preserve"> 协议利益的转让</w:t>
      </w:r>
    </w:p>
    <w:p w14:paraId="71CC9437">
      <w:pPr>
        <w:rPr>
          <w:rFonts w:ascii="Times New Roman" w:hAnsi="Times New Roman" w:eastAsia="宋体" w:cs="Times New Roman"/>
          <w:sz w:val="24"/>
        </w:rPr>
      </w:pPr>
      <w:r>
        <w:rPr>
          <w:rFonts w:hint="eastAsia" w:ascii="Times New Roman" w:hAnsi="Times New Roman" w:eastAsia="宋体" w:cs="Times New Roman"/>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6E6B56D5">
      <w:pPr>
        <w:rPr>
          <w:rFonts w:ascii="黑体" w:hAnsi="Times New Roman" w:eastAsia="黑体" w:cs="Times New Roman"/>
          <w:sz w:val="24"/>
        </w:rPr>
      </w:pPr>
      <w:r>
        <w:rPr>
          <w:rFonts w:hint="eastAsia" w:ascii="Times New Roman" w:hAnsi="Times New Roman" w:eastAsia="宋体" w:cs="Times New Roman"/>
          <w:sz w:val="24"/>
        </w:rPr>
        <w:t>22.1.6</w:t>
      </w:r>
      <w:r>
        <w:rPr>
          <w:rFonts w:hint="eastAsia" w:ascii="黑体" w:hAnsi="Times New Roman" w:eastAsia="黑体" w:cs="Times New Roman"/>
          <w:sz w:val="24"/>
        </w:rPr>
        <w:t xml:space="preserve"> 紧急情况下无能力或不愿进行抢救</w:t>
      </w:r>
    </w:p>
    <w:p w14:paraId="37982B14">
      <w:pPr>
        <w:rPr>
          <w:rFonts w:ascii="Times New Roman" w:hAnsi="Times New Roman" w:eastAsia="宋体" w:cs="Times New Roman"/>
          <w:sz w:val="24"/>
        </w:rPr>
      </w:pPr>
      <w:r>
        <w:rPr>
          <w:rFonts w:hint="eastAsia" w:ascii="Times New Roman" w:hAnsi="Times New Roman" w:eastAsia="宋体" w:cs="Times New Roman"/>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FE1C105">
      <w:pPr>
        <w:rPr>
          <w:rFonts w:ascii="Times New Roman" w:hAnsi="Times New Roman" w:eastAsia="宋体" w:cs="Times New Roman"/>
          <w:sz w:val="24"/>
        </w:rPr>
      </w:pPr>
      <w:bookmarkStart w:id="1362" w:name="_Toc179632773"/>
      <w:bookmarkStart w:id="1363" w:name="_Toc362252872"/>
      <w:bookmarkStart w:id="1364" w:name="_Toc152045755"/>
      <w:bookmarkStart w:id="1365" w:name="_Toc338944848"/>
      <w:bookmarkStart w:id="1366" w:name="_Toc144974726"/>
      <w:bookmarkStart w:id="1367" w:name="_Toc152042534"/>
      <w:bookmarkStart w:id="1368" w:name="_Toc342296406"/>
      <w:r>
        <w:rPr>
          <w:rFonts w:hint="eastAsia" w:ascii="Times New Roman" w:hAnsi="Times New Roman" w:eastAsia="宋体" w:cs="Times New Roman"/>
          <w:sz w:val="24"/>
        </w:rPr>
        <w:t>22.2 发包人违约</w:t>
      </w:r>
      <w:bookmarkEnd w:id="1362"/>
      <w:bookmarkEnd w:id="1363"/>
      <w:bookmarkEnd w:id="1364"/>
      <w:bookmarkEnd w:id="1365"/>
      <w:bookmarkEnd w:id="1366"/>
      <w:bookmarkEnd w:id="1367"/>
      <w:bookmarkEnd w:id="1368"/>
    </w:p>
    <w:p w14:paraId="2F929335">
      <w:pPr>
        <w:rPr>
          <w:rFonts w:ascii="黑体" w:hAnsi="Times New Roman" w:eastAsia="黑体" w:cs="Times New Roman"/>
          <w:sz w:val="24"/>
        </w:rPr>
      </w:pPr>
      <w:r>
        <w:rPr>
          <w:rFonts w:hint="eastAsia" w:ascii="Times New Roman" w:hAnsi="Times New Roman" w:eastAsia="宋体" w:cs="Times New Roman"/>
          <w:sz w:val="24"/>
        </w:rPr>
        <w:t xml:space="preserve">22.2.1 </w:t>
      </w:r>
      <w:r>
        <w:rPr>
          <w:rFonts w:hint="eastAsia" w:ascii="黑体" w:hAnsi="Times New Roman" w:eastAsia="黑体" w:cs="Times New Roman"/>
          <w:sz w:val="24"/>
        </w:rPr>
        <w:t>发包人违约的情形</w:t>
      </w:r>
    </w:p>
    <w:p w14:paraId="7D01A1B0">
      <w:pPr>
        <w:rPr>
          <w:rFonts w:ascii="Times New Roman" w:hAnsi="Times New Roman" w:eastAsia="宋体" w:cs="Times New Roman"/>
          <w:sz w:val="24"/>
        </w:rPr>
      </w:pPr>
      <w:r>
        <w:rPr>
          <w:rFonts w:hint="eastAsia" w:ascii="Times New Roman" w:hAnsi="Times New Roman" w:eastAsia="宋体" w:cs="Times New Roman"/>
          <w:sz w:val="24"/>
        </w:rPr>
        <w:t>在履行合同过程中发生的下列情形，属发包人违约：</w:t>
      </w:r>
    </w:p>
    <w:p w14:paraId="5748BC95">
      <w:pPr>
        <w:rPr>
          <w:rFonts w:ascii="Times New Roman" w:hAnsi="Times New Roman" w:eastAsia="宋体" w:cs="Times New Roman"/>
          <w:sz w:val="24"/>
        </w:rPr>
      </w:pPr>
      <w:r>
        <w:rPr>
          <w:rFonts w:hint="eastAsia" w:ascii="Times New Roman" w:hAnsi="Times New Roman" w:eastAsia="宋体" w:cs="Times New Roman"/>
          <w:sz w:val="24"/>
        </w:rPr>
        <w:t>（1）发包人未能按合同约定支付预付款或合同价款，或拖延、拒绝批准付款申请和支付凭证，导致付款延误的；</w:t>
      </w:r>
    </w:p>
    <w:p w14:paraId="764CD574">
      <w:pPr>
        <w:rPr>
          <w:rFonts w:ascii="Times New Roman" w:hAnsi="Times New Roman" w:eastAsia="宋体" w:cs="Times New Roman"/>
          <w:sz w:val="24"/>
        </w:rPr>
      </w:pPr>
      <w:r>
        <w:rPr>
          <w:rFonts w:hint="eastAsia" w:ascii="Times New Roman" w:hAnsi="Times New Roman" w:eastAsia="宋体" w:cs="Times New Roman"/>
          <w:sz w:val="24"/>
        </w:rPr>
        <w:t>（2）发包人原因造成停工的；</w:t>
      </w:r>
    </w:p>
    <w:p w14:paraId="26A0AC6F">
      <w:pPr>
        <w:rPr>
          <w:rFonts w:ascii="Times New Roman" w:hAnsi="Times New Roman" w:eastAsia="宋体" w:cs="Times New Roman"/>
          <w:sz w:val="24"/>
        </w:rPr>
      </w:pPr>
      <w:r>
        <w:rPr>
          <w:rFonts w:hint="eastAsia" w:ascii="Times New Roman" w:hAnsi="Times New Roman" w:eastAsia="宋体" w:cs="Times New Roman"/>
          <w:sz w:val="24"/>
        </w:rPr>
        <w:t>（3）监理人无正当理由没有在约定期限内发出复工指示，导致承包人无法复工的；</w:t>
      </w:r>
    </w:p>
    <w:p w14:paraId="6162C8FF">
      <w:pPr>
        <w:rPr>
          <w:rFonts w:ascii="Times New Roman" w:hAnsi="Times New Roman" w:eastAsia="宋体" w:cs="Times New Roman"/>
          <w:sz w:val="24"/>
        </w:rPr>
      </w:pPr>
      <w:r>
        <w:rPr>
          <w:rFonts w:hint="eastAsia" w:ascii="Times New Roman" w:hAnsi="Times New Roman" w:eastAsia="宋体" w:cs="Times New Roman"/>
          <w:sz w:val="24"/>
        </w:rPr>
        <w:t>（4）发包人无法继续履行或明确表示不履行或实质上已停止履行合同的；</w:t>
      </w:r>
    </w:p>
    <w:p w14:paraId="718732E2">
      <w:pPr>
        <w:rPr>
          <w:rFonts w:ascii="Times New Roman" w:hAnsi="Times New Roman" w:eastAsia="宋体" w:cs="Times New Roman"/>
          <w:sz w:val="24"/>
        </w:rPr>
      </w:pPr>
      <w:r>
        <w:rPr>
          <w:rFonts w:hint="eastAsia" w:ascii="Times New Roman" w:hAnsi="Times New Roman" w:eastAsia="宋体" w:cs="Times New Roman"/>
          <w:sz w:val="24"/>
        </w:rPr>
        <w:t>（5）发包人不履行合同约定其他义务的。</w:t>
      </w:r>
    </w:p>
    <w:p w14:paraId="52EF069E">
      <w:pPr>
        <w:rPr>
          <w:rFonts w:ascii="Times New Roman" w:hAnsi="Times New Roman" w:eastAsia="宋体" w:cs="Times New Roman"/>
          <w:sz w:val="24"/>
        </w:rPr>
      </w:pPr>
      <w:r>
        <w:rPr>
          <w:rFonts w:hint="eastAsia" w:ascii="Times New Roman" w:hAnsi="Times New Roman" w:eastAsia="宋体" w:cs="Times New Roman"/>
          <w:sz w:val="24"/>
        </w:rPr>
        <w:t>22.2.2</w:t>
      </w:r>
      <w:r>
        <w:rPr>
          <w:rFonts w:hint="eastAsia" w:ascii="黑体" w:hAnsi="Times New Roman" w:eastAsia="黑体" w:cs="Times New Roman"/>
          <w:sz w:val="24"/>
        </w:rPr>
        <w:t xml:space="preserve"> 承包人有权暂停施工</w:t>
      </w:r>
    </w:p>
    <w:p w14:paraId="777F8A79">
      <w:pPr>
        <w:rPr>
          <w:rFonts w:ascii="Times New Roman" w:hAnsi="Times New Roman" w:eastAsia="宋体" w:cs="Times New Roman"/>
          <w:sz w:val="24"/>
        </w:rPr>
      </w:pPr>
      <w:r>
        <w:rPr>
          <w:rFonts w:hint="eastAsia" w:ascii="Times New Roman" w:hAnsi="Times New Roman" w:eastAsia="宋体" w:cs="Times New Roman"/>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225448C">
      <w:pPr>
        <w:rPr>
          <w:rFonts w:ascii="Times New Roman" w:hAnsi="Times New Roman" w:eastAsia="宋体" w:cs="Times New Roman"/>
          <w:sz w:val="24"/>
        </w:rPr>
      </w:pPr>
      <w:r>
        <w:rPr>
          <w:rFonts w:hint="eastAsia" w:ascii="Times New Roman" w:hAnsi="Times New Roman" w:eastAsia="宋体" w:cs="Times New Roman"/>
          <w:sz w:val="24"/>
        </w:rPr>
        <w:t>22.2.3</w:t>
      </w:r>
      <w:r>
        <w:rPr>
          <w:rFonts w:hint="eastAsia" w:ascii="黑体" w:hAnsi="Times New Roman" w:eastAsia="黑体" w:cs="Times New Roman"/>
          <w:sz w:val="24"/>
        </w:rPr>
        <w:t xml:space="preserve"> 发包人违约解除合同</w:t>
      </w:r>
      <w:r>
        <w:rPr>
          <w:rFonts w:hint="eastAsia" w:ascii="Times New Roman" w:hAnsi="Times New Roman" w:eastAsia="宋体" w:cs="Times New Roman"/>
          <w:sz w:val="24"/>
        </w:rPr>
        <w:t xml:space="preserve"> </w:t>
      </w:r>
    </w:p>
    <w:p w14:paraId="004D3DF8">
      <w:pPr>
        <w:rPr>
          <w:rFonts w:ascii="Times New Roman" w:hAnsi="Times New Roman" w:eastAsia="宋体" w:cs="Times New Roman"/>
          <w:sz w:val="24"/>
        </w:rPr>
      </w:pPr>
      <w:r>
        <w:rPr>
          <w:rFonts w:hint="eastAsia" w:ascii="Times New Roman" w:hAnsi="Times New Roman" w:eastAsia="宋体" w:cs="Times New Roman"/>
          <w:sz w:val="24"/>
        </w:rPr>
        <w:t xml:space="preserve">（1）发生第22.2.1（4）目的违约情况时，承包人可书面通知发包人解除合同。   </w:t>
      </w:r>
    </w:p>
    <w:p w14:paraId="5263D845">
      <w:pPr>
        <w:rPr>
          <w:rFonts w:ascii="Times New Roman" w:hAnsi="Times New Roman" w:eastAsia="宋体" w:cs="Times New Roman"/>
          <w:sz w:val="24"/>
        </w:rPr>
      </w:pPr>
      <w:r>
        <w:rPr>
          <w:rFonts w:hint="eastAsia" w:ascii="Times New Roman" w:hAnsi="Times New Roman" w:eastAsia="宋体" w:cs="Times New Roman"/>
          <w:sz w:val="24"/>
        </w:rPr>
        <w:t>（2）承包人按22.2.2项暂停施工28天后，发包人仍不纠正违约行为的，承包人可向发包人发出解除合同通知。但承包人的这一行动不免除发包人承担的违约责任，也不影响承包人根据合同约定享有的索赔权利。</w:t>
      </w:r>
    </w:p>
    <w:p w14:paraId="680ADCFA">
      <w:pPr>
        <w:rPr>
          <w:rFonts w:ascii="黑体" w:hAnsi="Times New Roman" w:eastAsia="黑体" w:cs="Times New Roman"/>
          <w:sz w:val="24"/>
        </w:rPr>
      </w:pPr>
      <w:r>
        <w:rPr>
          <w:rFonts w:hint="eastAsia" w:ascii="Times New Roman" w:hAnsi="Times New Roman" w:eastAsia="宋体" w:cs="Times New Roman"/>
          <w:sz w:val="24"/>
        </w:rPr>
        <w:t>22.2.4</w:t>
      </w:r>
      <w:r>
        <w:rPr>
          <w:rFonts w:hint="eastAsia" w:ascii="黑体" w:hAnsi="Times New Roman" w:eastAsia="黑体" w:cs="Times New Roman"/>
          <w:sz w:val="24"/>
        </w:rPr>
        <w:t xml:space="preserve"> 解除合同后的付款</w:t>
      </w:r>
    </w:p>
    <w:p w14:paraId="5B208176">
      <w:pPr>
        <w:rPr>
          <w:rFonts w:ascii="Times New Roman" w:hAnsi="Times New Roman" w:eastAsia="宋体" w:cs="Times New Roman"/>
          <w:sz w:val="24"/>
        </w:rPr>
      </w:pPr>
      <w:r>
        <w:rPr>
          <w:rFonts w:hint="eastAsia" w:ascii="Times New Roman" w:hAnsi="Times New Roman" w:eastAsia="宋体" w:cs="Times New Roman"/>
          <w:sz w:val="24"/>
        </w:rPr>
        <w:t>因发包人违约解除合同的，发包人应在解除合同后28天内向承包人支付下列金额，承包人应在此期限内及时向发包人提交要求支付下列金额的有关资料和凭证：</w:t>
      </w:r>
    </w:p>
    <w:p w14:paraId="4D2CF2FD">
      <w:pPr>
        <w:rPr>
          <w:rFonts w:ascii="Times New Roman" w:hAnsi="Times New Roman" w:eastAsia="宋体" w:cs="Times New Roman"/>
          <w:sz w:val="24"/>
        </w:rPr>
      </w:pPr>
      <w:r>
        <w:rPr>
          <w:rFonts w:hint="eastAsia" w:ascii="Times New Roman" w:hAnsi="Times New Roman" w:eastAsia="宋体" w:cs="Times New Roman"/>
          <w:sz w:val="24"/>
        </w:rPr>
        <w:t>（1）合同解除日以前所完成工作的价款；</w:t>
      </w:r>
    </w:p>
    <w:p w14:paraId="33075BDA">
      <w:pPr>
        <w:rPr>
          <w:rFonts w:ascii="Times New Roman" w:hAnsi="Times New Roman" w:eastAsia="宋体" w:cs="Times New Roman"/>
          <w:sz w:val="24"/>
        </w:rPr>
      </w:pPr>
      <w:r>
        <w:rPr>
          <w:rFonts w:hint="eastAsia" w:ascii="Times New Roman" w:hAnsi="Times New Roman" w:eastAsia="宋体" w:cs="Times New Roman"/>
          <w:sz w:val="24"/>
        </w:rPr>
        <w:t>（2）承包人为该工程施工订购并已付款的材料、工程设备和其他物品的金额。发包人付还后，该材料、工程设备和其他物品归发包人所有；</w:t>
      </w:r>
    </w:p>
    <w:p w14:paraId="65B10A08">
      <w:pPr>
        <w:rPr>
          <w:rFonts w:ascii="Times New Roman" w:hAnsi="Times New Roman" w:eastAsia="宋体" w:cs="Times New Roman"/>
          <w:sz w:val="24"/>
        </w:rPr>
      </w:pPr>
      <w:r>
        <w:rPr>
          <w:rFonts w:hint="eastAsia" w:ascii="Times New Roman" w:hAnsi="Times New Roman" w:eastAsia="宋体" w:cs="Times New Roman"/>
          <w:sz w:val="24"/>
        </w:rPr>
        <w:t>（3）承包人为完成工程所发生的，而发包人未支付的金额；</w:t>
      </w:r>
    </w:p>
    <w:p w14:paraId="647C62CF">
      <w:pPr>
        <w:rPr>
          <w:rFonts w:ascii="Times New Roman" w:hAnsi="Times New Roman" w:eastAsia="宋体" w:cs="Times New Roman"/>
          <w:sz w:val="24"/>
        </w:rPr>
      </w:pPr>
      <w:r>
        <w:rPr>
          <w:rFonts w:hint="eastAsia" w:ascii="Times New Roman" w:hAnsi="Times New Roman" w:eastAsia="宋体" w:cs="Times New Roman"/>
          <w:sz w:val="24"/>
        </w:rPr>
        <w:t>（4）承包人撤离施工场地以及遣散承包人人员的金额；</w:t>
      </w:r>
    </w:p>
    <w:p w14:paraId="1A5306EC">
      <w:pPr>
        <w:rPr>
          <w:rFonts w:ascii="Times New Roman" w:hAnsi="Times New Roman" w:eastAsia="宋体" w:cs="Times New Roman"/>
          <w:sz w:val="24"/>
        </w:rPr>
      </w:pPr>
      <w:r>
        <w:rPr>
          <w:rFonts w:hint="eastAsia" w:ascii="Times New Roman" w:hAnsi="Times New Roman" w:eastAsia="宋体" w:cs="Times New Roman"/>
          <w:sz w:val="24"/>
        </w:rPr>
        <w:t>（5）由于解除合同应赔偿的承包人损失；</w:t>
      </w:r>
    </w:p>
    <w:p w14:paraId="32A85DF9">
      <w:pPr>
        <w:rPr>
          <w:rFonts w:ascii="Times New Roman" w:hAnsi="Times New Roman" w:eastAsia="宋体" w:cs="Times New Roman"/>
          <w:sz w:val="24"/>
        </w:rPr>
      </w:pPr>
      <w:r>
        <w:rPr>
          <w:rFonts w:hint="eastAsia" w:ascii="Times New Roman" w:hAnsi="Times New Roman" w:eastAsia="宋体" w:cs="Times New Roman"/>
          <w:sz w:val="24"/>
        </w:rPr>
        <w:t>（6）按合同约定在合同解除日前应支付给承包人的其他金额。</w:t>
      </w:r>
    </w:p>
    <w:p w14:paraId="5F89CA9A">
      <w:pPr>
        <w:rPr>
          <w:rFonts w:ascii="Times New Roman" w:hAnsi="Times New Roman" w:eastAsia="宋体" w:cs="Times New Roman"/>
          <w:sz w:val="24"/>
        </w:rPr>
      </w:pPr>
      <w:r>
        <w:rPr>
          <w:rFonts w:hint="eastAsia" w:ascii="Times New Roman" w:hAnsi="Times New Roman" w:eastAsia="宋体" w:cs="Times New Roman"/>
          <w:sz w:val="24"/>
        </w:rPr>
        <w:t>发包人应按本项约定支付上述金额并退还质量保证金和履约担保，但有权要求承包人支付应偿还给发包人的各项金额。</w:t>
      </w:r>
    </w:p>
    <w:p w14:paraId="4545FD85">
      <w:pPr>
        <w:rPr>
          <w:rFonts w:ascii="黑体" w:hAnsi="Times New Roman" w:eastAsia="黑体" w:cs="Times New Roman"/>
          <w:sz w:val="24"/>
        </w:rPr>
      </w:pPr>
      <w:r>
        <w:rPr>
          <w:rFonts w:hint="eastAsia" w:ascii="Times New Roman" w:hAnsi="Times New Roman" w:eastAsia="宋体" w:cs="Times New Roman"/>
          <w:sz w:val="24"/>
        </w:rPr>
        <w:t>22.2.5</w:t>
      </w:r>
      <w:r>
        <w:rPr>
          <w:rFonts w:hint="eastAsia" w:ascii="黑体" w:hAnsi="Times New Roman" w:eastAsia="黑体" w:cs="Times New Roman"/>
          <w:sz w:val="24"/>
        </w:rPr>
        <w:t xml:space="preserve"> 解除合同后的承包人撤离</w:t>
      </w:r>
    </w:p>
    <w:p w14:paraId="195021F4">
      <w:pPr>
        <w:rPr>
          <w:rFonts w:ascii="Times New Roman" w:hAnsi="Times New Roman" w:eastAsia="宋体" w:cs="Times New Roman"/>
          <w:sz w:val="24"/>
        </w:rPr>
      </w:pPr>
      <w:r>
        <w:rPr>
          <w:rFonts w:hint="eastAsia" w:ascii="Times New Roman" w:hAnsi="Times New Roman" w:eastAsia="宋体" w:cs="Times New Roman"/>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32C6878">
      <w:pPr>
        <w:rPr>
          <w:rFonts w:ascii="Times New Roman" w:hAnsi="Times New Roman" w:eastAsia="宋体" w:cs="Times New Roman"/>
          <w:sz w:val="24"/>
        </w:rPr>
      </w:pPr>
      <w:bookmarkStart w:id="1369" w:name="_Toc152045756"/>
      <w:bookmarkStart w:id="1370" w:name="_Toc152042535"/>
      <w:bookmarkStart w:id="1371" w:name="_Toc362252873"/>
      <w:bookmarkStart w:id="1372" w:name="_Toc342296407"/>
      <w:bookmarkStart w:id="1373" w:name="_Toc179632774"/>
      <w:bookmarkStart w:id="1374" w:name="_Toc338944849"/>
      <w:r>
        <w:rPr>
          <w:rFonts w:hint="eastAsia" w:ascii="Times New Roman" w:hAnsi="Times New Roman" w:eastAsia="宋体" w:cs="Times New Roman"/>
          <w:sz w:val="24"/>
        </w:rPr>
        <w:t>22.3 第三人造成的违约</w:t>
      </w:r>
      <w:bookmarkEnd w:id="1369"/>
      <w:bookmarkEnd w:id="1370"/>
      <w:bookmarkEnd w:id="1371"/>
      <w:bookmarkEnd w:id="1372"/>
      <w:bookmarkEnd w:id="1373"/>
      <w:bookmarkEnd w:id="1374"/>
    </w:p>
    <w:p w14:paraId="4B6F1A48">
      <w:pPr>
        <w:rPr>
          <w:rFonts w:ascii="Times New Roman" w:hAnsi="Times New Roman" w:eastAsia="宋体" w:cs="Times New Roman"/>
          <w:sz w:val="24"/>
        </w:rPr>
      </w:pPr>
      <w:r>
        <w:rPr>
          <w:rFonts w:hint="eastAsia" w:ascii="Times New Roman" w:hAnsi="Times New Roman" w:eastAsia="宋体" w:cs="Times New Roman"/>
          <w:sz w:val="24"/>
        </w:rPr>
        <w:t>在履行合同过程中，一方当事人因第三人的原因造成违约的，应当向对方当事人承担违约责任。一方当事人和第三人之间的纠纷，依照法律规定或者按照约定解决。</w:t>
      </w:r>
    </w:p>
    <w:p w14:paraId="197CE9BC">
      <w:pPr>
        <w:rPr>
          <w:rFonts w:ascii="Times New Roman" w:hAnsi="Times New Roman" w:eastAsia="宋体" w:cs="Times New Roman"/>
          <w:sz w:val="24"/>
        </w:rPr>
      </w:pPr>
      <w:bookmarkStart w:id="1375" w:name="_Toc179632775"/>
      <w:bookmarkStart w:id="1376" w:name="_Toc338944850"/>
      <w:bookmarkStart w:id="1377" w:name="_Toc362252874"/>
      <w:bookmarkStart w:id="1378" w:name="_Toc152042536"/>
      <w:bookmarkStart w:id="1379" w:name="_Toc152045757"/>
      <w:bookmarkStart w:id="1380" w:name="_Toc342296408"/>
      <w:bookmarkStart w:id="1381" w:name="_Toc144974727"/>
      <w:r>
        <w:rPr>
          <w:rFonts w:hint="eastAsia" w:ascii="Times New Roman" w:hAnsi="Times New Roman" w:eastAsia="宋体" w:cs="Times New Roman"/>
          <w:sz w:val="24"/>
        </w:rPr>
        <w:t>23. 索赔</w:t>
      </w:r>
      <w:bookmarkEnd w:id="1375"/>
      <w:bookmarkEnd w:id="1376"/>
      <w:bookmarkEnd w:id="1377"/>
      <w:bookmarkEnd w:id="1378"/>
      <w:bookmarkEnd w:id="1379"/>
      <w:bookmarkEnd w:id="1380"/>
      <w:bookmarkEnd w:id="1381"/>
    </w:p>
    <w:p w14:paraId="7A8D2018">
      <w:pPr>
        <w:rPr>
          <w:rFonts w:ascii="Times New Roman" w:hAnsi="Times New Roman" w:eastAsia="宋体" w:cs="Times New Roman"/>
          <w:sz w:val="24"/>
        </w:rPr>
      </w:pPr>
      <w:bookmarkStart w:id="1382" w:name="_Toc362252875"/>
      <w:bookmarkStart w:id="1383" w:name="_Toc179632776"/>
      <w:bookmarkStart w:id="1384" w:name="_Toc144974728"/>
      <w:bookmarkStart w:id="1385" w:name="_Toc342296409"/>
      <w:bookmarkStart w:id="1386" w:name="_Toc338944851"/>
      <w:bookmarkStart w:id="1387" w:name="_Toc152045758"/>
      <w:bookmarkStart w:id="1388" w:name="_Toc152042537"/>
      <w:r>
        <w:rPr>
          <w:rFonts w:hint="eastAsia" w:ascii="Times New Roman" w:hAnsi="Times New Roman" w:eastAsia="宋体" w:cs="Times New Roman"/>
          <w:sz w:val="24"/>
        </w:rPr>
        <w:t>23.1 承包人索赔的提出</w:t>
      </w:r>
      <w:bookmarkEnd w:id="1382"/>
      <w:bookmarkEnd w:id="1383"/>
      <w:bookmarkEnd w:id="1384"/>
      <w:bookmarkEnd w:id="1385"/>
      <w:bookmarkEnd w:id="1386"/>
      <w:bookmarkEnd w:id="1387"/>
      <w:bookmarkEnd w:id="1388"/>
    </w:p>
    <w:p w14:paraId="1C0FA11D">
      <w:pPr>
        <w:rPr>
          <w:rFonts w:ascii="Times New Roman" w:hAnsi="Times New Roman" w:eastAsia="宋体" w:cs="Times New Roman"/>
          <w:sz w:val="24"/>
        </w:rPr>
      </w:pPr>
      <w:r>
        <w:rPr>
          <w:rFonts w:hint="eastAsia" w:ascii="Times New Roman" w:hAnsi="Times New Roman" w:eastAsia="宋体" w:cs="Times New Roman"/>
          <w:sz w:val="24"/>
        </w:rPr>
        <w:t>根据合同约定，承包人认为有权得到追加付款和（或）延长工期的，应按以下程序向发包人提出索赔：</w:t>
      </w:r>
    </w:p>
    <w:p w14:paraId="0E7A0722">
      <w:pPr>
        <w:rPr>
          <w:rFonts w:ascii="Times New Roman" w:hAnsi="Times New Roman" w:eastAsia="宋体" w:cs="Times New Roman"/>
          <w:sz w:val="24"/>
        </w:rPr>
      </w:pPr>
      <w:r>
        <w:rPr>
          <w:rFonts w:hint="eastAsia" w:ascii="Times New Roman" w:hAnsi="Times New Roman" w:eastAsia="宋体" w:cs="Times New Roman"/>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EF4D962">
      <w:pPr>
        <w:rPr>
          <w:rFonts w:ascii="Times New Roman" w:hAnsi="Times New Roman" w:eastAsia="宋体" w:cs="Times New Roman"/>
          <w:sz w:val="24"/>
        </w:rPr>
      </w:pPr>
      <w:r>
        <w:rPr>
          <w:rFonts w:hint="eastAsia" w:ascii="Times New Roman" w:hAnsi="Times New Roman" w:eastAsia="宋体" w:cs="Times New Roman"/>
          <w:sz w:val="24"/>
        </w:rPr>
        <w:t>（2）承包人应在发出索赔意向通知书后28天内，向监理人正式递交索赔通知书。索赔通知书应详细说明索赔理由以及要求追加的付款金额和（或）延长的工期，并附必要的记录和证明材料；</w:t>
      </w:r>
    </w:p>
    <w:p w14:paraId="71CBADB3">
      <w:pPr>
        <w:rPr>
          <w:rFonts w:ascii="Times New Roman" w:hAnsi="Times New Roman" w:eastAsia="宋体" w:cs="Times New Roman"/>
          <w:sz w:val="24"/>
        </w:rPr>
      </w:pPr>
      <w:r>
        <w:rPr>
          <w:rFonts w:hint="eastAsia" w:ascii="Times New Roman" w:hAnsi="Times New Roman" w:eastAsia="宋体" w:cs="Times New Roman"/>
          <w:sz w:val="24"/>
        </w:rPr>
        <w:t>（3）索赔事件具有连续影响的，承包人应按合理时间间隔继续递交延续索赔通知，说明连续影响的实际情况和记录，列出累计的追加付款金额和（或）工期延长天数；</w:t>
      </w:r>
    </w:p>
    <w:p w14:paraId="1C15D2C2">
      <w:pPr>
        <w:rPr>
          <w:rFonts w:ascii="Times New Roman" w:hAnsi="Times New Roman" w:eastAsia="宋体" w:cs="Times New Roman"/>
          <w:sz w:val="24"/>
        </w:rPr>
      </w:pPr>
      <w:r>
        <w:rPr>
          <w:rFonts w:hint="eastAsia" w:ascii="Times New Roman" w:hAnsi="Times New Roman" w:eastAsia="宋体" w:cs="Times New Roman"/>
          <w:sz w:val="24"/>
        </w:rPr>
        <w:t>（4）在索赔事件影响结束后的28天内，承包人应向监理人递交最终索赔通知书，说明最终要求索赔的追加付款金额和延长的工期，并附必要的记录和证明材料。</w:t>
      </w:r>
    </w:p>
    <w:p w14:paraId="21DAE882">
      <w:pPr>
        <w:rPr>
          <w:rFonts w:ascii="Times New Roman" w:hAnsi="Times New Roman" w:eastAsia="宋体" w:cs="Times New Roman"/>
          <w:sz w:val="24"/>
        </w:rPr>
      </w:pPr>
      <w:bookmarkStart w:id="1389" w:name="_Toc144974729"/>
      <w:bookmarkStart w:id="1390" w:name="_Toc152042538"/>
      <w:bookmarkStart w:id="1391" w:name="_Toc338944852"/>
      <w:bookmarkStart w:id="1392" w:name="_Toc342296410"/>
      <w:bookmarkStart w:id="1393" w:name="_Toc179632777"/>
      <w:bookmarkStart w:id="1394" w:name="_Toc152045759"/>
      <w:bookmarkStart w:id="1395" w:name="_Toc362252876"/>
      <w:r>
        <w:rPr>
          <w:rFonts w:hint="eastAsia" w:ascii="Times New Roman" w:hAnsi="Times New Roman" w:eastAsia="宋体" w:cs="Times New Roman"/>
          <w:sz w:val="24"/>
        </w:rPr>
        <w:t>23.2 承包人索赔处理程序</w:t>
      </w:r>
      <w:bookmarkEnd w:id="1389"/>
      <w:bookmarkEnd w:id="1390"/>
      <w:bookmarkEnd w:id="1391"/>
      <w:bookmarkEnd w:id="1392"/>
      <w:bookmarkEnd w:id="1393"/>
      <w:bookmarkEnd w:id="1394"/>
      <w:bookmarkEnd w:id="1395"/>
    </w:p>
    <w:p w14:paraId="0362014C">
      <w:pPr>
        <w:rPr>
          <w:rFonts w:ascii="Times New Roman" w:hAnsi="Times New Roman" w:eastAsia="宋体" w:cs="Times New Roman"/>
          <w:sz w:val="24"/>
        </w:rPr>
      </w:pPr>
      <w:r>
        <w:rPr>
          <w:rFonts w:hint="eastAsia" w:ascii="Times New Roman" w:hAnsi="Times New Roman" w:eastAsia="宋体" w:cs="Times New Roman"/>
          <w:sz w:val="24"/>
        </w:rPr>
        <w:t>（1）监理人收到承包人提交的索赔通知书后，应及时审查索赔通知书的内容、查验承包人的记录和证明材料，必要时监理人可要求承包人提交全部原始记录副本。</w:t>
      </w:r>
    </w:p>
    <w:p w14:paraId="4DFD0573">
      <w:pPr>
        <w:rPr>
          <w:rFonts w:ascii="Times New Roman" w:hAnsi="Times New Roman" w:eastAsia="宋体" w:cs="Times New Roman"/>
          <w:sz w:val="24"/>
        </w:rPr>
      </w:pPr>
      <w:r>
        <w:rPr>
          <w:rFonts w:hint="eastAsia" w:ascii="Times New Roman" w:hAnsi="Times New Roman" w:eastAsia="宋体" w:cs="Times New Roman"/>
          <w:sz w:val="24"/>
        </w:rPr>
        <w:t>（2）监理人应按第3.5款商定或确定追加的付款和（或）延长的工期，并在收到上述索赔通知书或有关索赔的进一步证明材料后的42天内，将索赔处理结果答复承包人。</w:t>
      </w:r>
    </w:p>
    <w:p w14:paraId="67515F68">
      <w:pPr>
        <w:rPr>
          <w:rFonts w:ascii="Times New Roman" w:hAnsi="Times New Roman" w:eastAsia="宋体" w:cs="Times New Roman"/>
          <w:sz w:val="24"/>
        </w:rPr>
      </w:pPr>
      <w:r>
        <w:rPr>
          <w:rFonts w:hint="eastAsia" w:ascii="Times New Roman" w:hAnsi="Times New Roman" w:eastAsia="宋体" w:cs="Times New Roman"/>
          <w:sz w:val="24"/>
        </w:rPr>
        <w:t>（3）承包人接受索赔处理结果的，发包人应在作出索赔处理结果答复后28天内完成赔付。承包人不接受索赔处理结果的，按第24条的约定办理。</w:t>
      </w:r>
    </w:p>
    <w:p w14:paraId="4F67B4F4">
      <w:pPr>
        <w:rPr>
          <w:rFonts w:ascii="Times New Roman" w:hAnsi="Times New Roman" w:eastAsia="宋体" w:cs="Times New Roman"/>
          <w:sz w:val="24"/>
        </w:rPr>
      </w:pPr>
      <w:bookmarkStart w:id="1396" w:name="_Toc152042539"/>
      <w:bookmarkStart w:id="1397" w:name="_Toc338944853"/>
      <w:bookmarkStart w:id="1398" w:name="_Toc152045760"/>
      <w:bookmarkStart w:id="1399" w:name="_Toc144974730"/>
      <w:bookmarkStart w:id="1400" w:name="_Toc179632778"/>
      <w:bookmarkStart w:id="1401" w:name="_Toc342296411"/>
      <w:bookmarkStart w:id="1402" w:name="_Toc362252877"/>
      <w:r>
        <w:rPr>
          <w:rFonts w:hint="eastAsia" w:ascii="Times New Roman" w:hAnsi="Times New Roman" w:eastAsia="宋体" w:cs="Times New Roman"/>
          <w:sz w:val="24"/>
        </w:rPr>
        <w:t>23.3 承包人提出索赔的期限</w:t>
      </w:r>
      <w:bookmarkEnd w:id="1396"/>
      <w:bookmarkEnd w:id="1397"/>
      <w:bookmarkEnd w:id="1398"/>
      <w:bookmarkEnd w:id="1399"/>
      <w:bookmarkEnd w:id="1400"/>
      <w:bookmarkEnd w:id="1401"/>
      <w:bookmarkEnd w:id="1402"/>
    </w:p>
    <w:p w14:paraId="211B0F16">
      <w:pPr>
        <w:rPr>
          <w:rFonts w:ascii="Times New Roman" w:hAnsi="Times New Roman" w:eastAsia="宋体" w:cs="Times New Roman"/>
          <w:sz w:val="24"/>
        </w:rPr>
      </w:pPr>
      <w:r>
        <w:rPr>
          <w:rFonts w:hint="eastAsia" w:ascii="Times New Roman" w:hAnsi="Times New Roman" w:eastAsia="宋体" w:cs="Times New Roman"/>
          <w:sz w:val="24"/>
        </w:rPr>
        <w:t>23.3.1 承包人按第17.5款的约定接受了竣工付款证书后，应被认为已无权再提出在合同工程接收证书颁发前所发生的任何索赔。</w:t>
      </w:r>
    </w:p>
    <w:p w14:paraId="11CFFF01">
      <w:pPr>
        <w:rPr>
          <w:rFonts w:ascii="Times New Roman" w:hAnsi="Times New Roman" w:eastAsia="宋体" w:cs="Times New Roman"/>
          <w:sz w:val="24"/>
          <w:shd w:val="pct10" w:color="auto" w:fill="FFFFFF"/>
        </w:rPr>
      </w:pPr>
      <w:r>
        <w:rPr>
          <w:rFonts w:hint="eastAsia" w:ascii="Times New Roman" w:hAnsi="Times New Roman" w:eastAsia="宋体" w:cs="Times New Roman"/>
          <w:sz w:val="24"/>
        </w:rPr>
        <w:t xml:space="preserve">23.3.2 承包人按第17.6款的约定提交的最终结清申请单中，只限于提出工程接收证书颁发后发生的索赔。提出索赔的期限自接受最终结清证书时终止。 </w:t>
      </w:r>
    </w:p>
    <w:p w14:paraId="232CB2FC">
      <w:pPr>
        <w:rPr>
          <w:rFonts w:ascii="Times New Roman" w:hAnsi="Times New Roman" w:eastAsia="宋体" w:cs="Times New Roman"/>
          <w:sz w:val="24"/>
        </w:rPr>
      </w:pPr>
      <w:bookmarkStart w:id="1403" w:name="_Toc338944854"/>
      <w:bookmarkStart w:id="1404" w:name="_Toc362252878"/>
      <w:bookmarkStart w:id="1405" w:name="_Toc152042540"/>
      <w:bookmarkStart w:id="1406" w:name="_Toc342296412"/>
      <w:bookmarkStart w:id="1407" w:name="_Toc144974731"/>
      <w:bookmarkStart w:id="1408" w:name="_Toc152045761"/>
      <w:bookmarkStart w:id="1409" w:name="_Toc179632779"/>
      <w:r>
        <w:rPr>
          <w:rFonts w:hint="eastAsia" w:ascii="Times New Roman" w:hAnsi="Times New Roman" w:eastAsia="宋体" w:cs="Times New Roman"/>
          <w:sz w:val="24"/>
        </w:rPr>
        <w:t>23.4 发包人的索赔</w:t>
      </w:r>
      <w:bookmarkEnd w:id="1403"/>
      <w:bookmarkEnd w:id="1404"/>
      <w:bookmarkEnd w:id="1405"/>
      <w:bookmarkEnd w:id="1406"/>
      <w:bookmarkEnd w:id="1407"/>
      <w:bookmarkEnd w:id="1408"/>
      <w:bookmarkEnd w:id="1409"/>
    </w:p>
    <w:p w14:paraId="7454CCBF">
      <w:pPr>
        <w:rPr>
          <w:rFonts w:ascii="Times New Roman" w:hAnsi="Times New Roman" w:eastAsia="宋体" w:cs="Times New Roman"/>
          <w:sz w:val="24"/>
        </w:rPr>
      </w:pPr>
      <w:r>
        <w:rPr>
          <w:rFonts w:hint="eastAsia" w:ascii="Times New Roman" w:hAnsi="Times New Roman" w:eastAsia="宋体" w:cs="Times New Roman"/>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892785D">
      <w:pPr>
        <w:rPr>
          <w:rFonts w:ascii="Times New Roman" w:hAnsi="Times New Roman" w:eastAsia="宋体" w:cs="Times New Roman"/>
          <w:sz w:val="24"/>
        </w:rPr>
      </w:pPr>
      <w:r>
        <w:rPr>
          <w:rFonts w:hint="eastAsia" w:ascii="Times New Roman" w:hAnsi="Times New Roman" w:eastAsia="宋体" w:cs="Times New Roman"/>
          <w:sz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5FAAEE3E">
      <w:pPr>
        <w:rPr>
          <w:rFonts w:ascii="Times New Roman" w:hAnsi="Times New Roman" w:eastAsia="宋体" w:cs="Times New Roman"/>
          <w:sz w:val="24"/>
        </w:rPr>
      </w:pPr>
      <w:bookmarkStart w:id="1410" w:name="_Toc362252879"/>
      <w:bookmarkStart w:id="1411" w:name="_Toc338944855"/>
      <w:bookmarkStart w:id="1412" w:name="_Toc342296413"/>
      <w:r>
        <w:rPr>
          <w:rFonts w:hint="eastAsia" w:ascii="Times New Roman" w:hAnsi="Times New Roman" w:eastAsia="宋体" w:cs="Times New Roman"/>
          <w:sz w:val="24"/>
        </w:rPr>
        <w:t>24. 争议的解决</w:t>
      </w:r>
      <w:bookmarkEnd w:id="1410"/>
      <w:bookmarkEnd w:id="1411"/>
      <w:bookmarkEnd w:id="1412"/>
    </w:p>
    <w:p w14:paraId="5B2F1DBE">
      <w:pPr>
        <w:rPr>
          <w:rFonts w:ascii="Times New Roman" w:hAnsi="Times New Roman" w:eastAsia="宋体" w:cs="Times New Roman"/>
          <w:sz w:val="24"/>
        </w:rPr>
      </w:pPr>
      <w:bookmarkStart w:id="1413" w:name="_Toc342296414"/>
      <w:bookmarkStart w:id="1414" w:name="_Toc362252880"/>
      <w:bookmarkStart w:id="1415" w:name="_Toc338944856"/>
      <w:r>
        <w:rPr>
          <w:rFonts w:hint="eastAsia" w:ascii="Times New Roman" w:hAnsi="Times New Roman" w:eastAsia="宋体" w:cs="Times New Roman"/>
          <w:sz w:val="24"/>
        </w:rPr>
        <w:t>24.1 争议的解决方式</w:t>
      </w:r>
      <w:bookmarkEnd w:id="1413"/>
      <w:bookmarkEnd w:id="1414"/>
      <w:bookmarkEnd w:id="1415"/>
    </w:p>
    <w:p w14:paraId="3B712D9C">
      <w:pPr>
        <w:rPr>
          <w:rFonts w:ascii="Times New Roman" w:hAnsi="Times New Roman" w:eastAsia="宋体" w:cs="Times New Roman"/>
          <w:sz w:val="24"/>
        </w:rPr>
      </w:pPr>
      <w:r>
        <w:rPr>
          <w:rFonts w:hint="eastAsia" w:ascii="Times New Roman" w:hAnsi="Times New Roman" w:eastAsia="宋体" w:cs="Times New Roman"/>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36E61B8">
      <w:pPr>
        <w:rPr>
          <w:rFonts w:ascii="Times New Roman" w:hAnsi="Times New Roman" w:eastAsia="宋体" w:cs="Times New Roman"/>
          <w:sz w:val="24"/>
        </w:rPr>
      </w:pPr>
      <w:r>
        <w:rPr>
          <w:rFonts w:hint="eastAsia" w:ascii="Times New Roman" w:hAnsi="Times New Roman" w:eastAsia="宋体" w:cs="Times New Roman"/>
          <w:sz w:val="24"/>
        </w:rPr>
        <w:t>（1）向约定的仲裁委员会申请仲裁；</w:t>
      </w:r>
    </w:p>
    <w:p w14:paraId="7D7AAB0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（2）向有管辖权的人民法院提起诉讼。</w:t>
      </w:r>
    </w:p>
    <w:p w14:paraId="2519344B">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16" w:name="_Toc362252881"/>
      <w:bookmarkStart w:id="1417" w:name="_Toc338944857"/>
      <w:bookmarkStart w:id="1418" w:name="_Toc342296415"/>
      <w:r>
        <w:rPr>
          <w:rFonts w:ascii="宋体" w:hAnsi="Times New Roman" w:eastAsia="宋体" w:cs="Times New Roman"/>
          <w:b w:val="0"/>
          <w:color w:val="000000"/>
          <w:kern w:val="0"/>
          <w:sz w:val="24"/>
          <w:szCs w:val="24"/>
          <w:u w:val="single"/>
          <w:lang w:val="en-US" w:eastAsia="zh-CN" w:bidi="ar-SA"/>
        </w:rPr>
        <w:t>24.2 友好解决</w:t>
      </w:r>
      <w:bookmarkEnd w:id="1416"/>
      <w:bookmarkEnd w:id="1417"/>
      <w:bookmarkEnd w:id="1418"/>
    </w:p>
    <w:p w14:paraId="76F9ACC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在提请争议评审、仲裁或者诉讼前，以及在争议评审、仲裁或诉讼过程中，发包人和承包人均可共同努力友好协商解决争议。</w:t>
      </w:r>
    </w:p>
    <w:p w14:paraId="5528443F">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19" w:name="_Toc362252882"/>
      <w:bookmarkStart w:id="1420" w:name="_Toc338944858"/>
      <w:bookmarkStart w:id="1421" w:name="_Toc342296416"/>
      <w:r>
        <w:rPr>
          <w:rFonts w:ascii="宋体" w:hAnsi="Times New Roman" w:eastAsia="宋体" w:cs="Times New Roman"/>
          <w:b w:val="0"/>
          <w:color w:val="000000"/>
          <w:kern w:val="0"/>
          <w:sz w:val="24"/>
          <w:szCs w:val="24"/>
          <w:u w:val="single"/>
          <w:lang w:val="en-US" w:eastAsia="zh-CN" w:bidi="ar-SA"/>
        </w:rPr>
        <w:t>24.3 争议评审</w:t>
      </w:r>
      <w:bookmarkEnd w:id="1419"/>
      <w:bookmarkEnd w:id="1420"/>
      <w:bookmarkEnd w:id="1421"/>
    </w:p>
    <w:p w14:paraId="30B5821B">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24.3.1 采用争议评审的，发包人和承包人应在开工日后的28天内或在争议发生后，协商成立争议评审组。争议评审组由有合同管理和工程实践经验的专家组成。</w:t>
      </w:r>
    </w:p>
    <w:p w14:paraId="3978B4F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24.3.2 合同双方的争议，应首先由申请人向争议评审组提交一份详细的评审申请报告，并附必要的文件、图纸和证明材料，申请人还应将上述报告的副本同时提交给被申请人和监理人。</w:t>
      </w:r>
    </w:p>
    <w:p w14:paraId="3D2F70B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24.3.3 被申请人在收到申请人评审申请报告副本后的28天内，向争议评审组提交一份答辩报告，并附证明材料。被申请人应将答辩报告的副本同时提交给申请人和监理人。</w:t>
      </w:r>
    </w:p>
    <w:p w14:paraId="5F490BB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24.3.4 除专用合同条款另有约定外，争议评审组在收到合同双方报告后的14天内，邀请双方代表和有关人员举行调查会，向双方调查争议细节；必要时争议评审组可要求双方进一步提供补充材料。</w:t>
      </w:r>
    </w:p>
    <w:p w14:paraId="2EC62B6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57EF7D8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24.3.6 发包人和承包人接受评审意见的，由监理人根据评审意见拟定执行协议，经争议双方签字后作为合同的补充文件，并遵照执行。</w:t>
      </w:r>
    </w:p>
    <w:p w14:paraId="717B478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67B7AD00">
      <w:pPr>
        <w:rPr>
          <w:rFonts w:ascii="Times New Roman" w:hAnsi="Times New Roman" w:eastAsia="宋体" w:cs="Times New Roman"/>
          <w:color w:val="000000"/>
          <w:sz w:val="24"/>
        </w:rPr>
      </w:pPr>
    </w:p>
    <w:p w14:paraId="7F0DC027">
      <w:pPr>
        <w:rPr>
          <w:rFonts w:ascii="Times New Roman" w:hAnsi="Times New Roman" w:eastAsia="宋体" w:cs="Times New Roman"/>
        </w:rPr>
      </w:pPr>
    </w:p>
    <w:p w14:paraId="4CD390FA">
      <w:pPr>
        <w:widowControl/>
        <w:jc w:val="left"/>
        <w:rPr>
          <w:rFonts w:ascii="Times New Roman" w:hAnsi="Times New Roman" w:eastAsia="宋体" w:cs="Times New Roman"/>
          <w:color w:val="FF0000"/>
          <w:sz w:val="24"/>
        </w:rPr>
      </w:pPr>
      <w:r>
        <w:rPr>
          <w:rFonts w:ascii="Times New Roman" w:hAnsi="Times New Roman" w:eastAsia="宋体" w:cs="Times New Roman"/>
          <w:b/>
          <w:color w:val="000000"/>
          <w:sz w:val="32"/>
        </w:rPr>
        <w:br w:type="page"/>
      </w:r>
    </w:p>
    <w:p w14:paraId="6083CF5F">
      <w:pPr>
        <w:pStyle w:val="258"/>
        <w:keepNext/>
        <w:keepLines/>
        <w:pageBreakBefore w:val="0"/>
        <w:widowControl w:val="0"/>
        <w:kinsoku/>
        <w:wordWrap/>
        <w:overflowPunct/>
        <w:topLinePunct w:val="0"/>
        <w:autoSpaceDE w:val="0"/>
        <w:autoSpaceDN w:val="0"/>
        <w:bidi w:val="0"/>
        <w:adjustRightInd w:val="0"/>
        <w:snapToGrid/>
        <w:spacing w:before="0" w:line="240" w:lineRule="auto"/>
        <w:textAlignment w:val="auto"/>
        <w:outlineLvl w:val="0"/>
        <w:rPr>
          <w:sz w:val="44"/>
          <w:szCs w:val="44"/>
        </w:rPr>
      </w:pPr>
      <w:bookmarkStart w:id="1422" w:name="_Toc405878289"/>
      <w:r>
        <w:rPr>
          <w:rFonts w:hint="eastAsia"/>
          <w:sz w:val="44"/>
          <w:szCs w:val="44"/>
        </w:rPr>
        <w:t>三、专用合同条款</w:t>
      </w:r>
      <w:bookmarkEnd w:id="1422"/>
      <w:bookmarkStart w:id="1423" w:name="_Toc362252884"/>
      <w:bookmarkStart w:id="1424" w:name="_Toc342296418"/>
      <w:bookmarkStart w:id="1425" w:name="_Toc241459659"/>
    </w:p>
    <w:p w14:paraId="6A9828E9">
      <w:pPr>
        <w:pStyle w:val="258"/>
        <w:spacing w:before="0"/>
        <w:outlineLvl w:val="0"/>
        <w:rPr>
          <w:rFonts w:eastAsia="宋体" w:cs="Times New Roman"/>
          <w:color w:val="000000"/>
          <w:sz w:val="24"/>
          <w:szCs w:val="24"/>
        </w:rPr>
      </w:pPr>
      <w:r>
        <w:rPr>
          <w:rFonts w:eastAsia="宋体" w:cs="Times New Roman"/>
          <w:color w:val="000000"/>
          <w:sz w:val="24"/>
          <w:szCs w:val="24"/>
        </w:rPr>
        <w:t>1. 一般约定</w:t>
      </w:r>
      <w:bookmarkEnd w:id="1423"/>
      <w:bookmarkEnd w:id="1424"/>
      <w:bookmarkEnd w:id="1425"/>
    </w:p>
    <w:p w14:paraId="39A200C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26" w:name="_Toc241459660"/>
      <w:bookmarkStart w:id="1427" w:name="_Toc342296419"/>
      <w:bookmarkStart w:id="1428" w:name="_Toc179632630"/>
      <w:bookmarkStart w:id="1429" w:name="_Toc152042390"/>
      <w:bookmarkStart w:id="1430" w:name="_Toc152045612"/>
      <w:bookmarkStart w:id="1431" w:name="_Toc144974580"/>
      <w:bookmarkStart w:id="1432" w:name="_Toc362252885"/>
      <w:r>
        <w:rPr>
          <w:rFonts w:ascii="宋体" w:hAnsi="Times New Roman" w:eastAsia="宋体" w:cs="Times New Roman"/>
          <w:b w:val="0"/>
          <w:color w:val="000000"/>
          <w:kern w:val="0"/>
          <w:sz w:val="24"/>
          <w:szCs w:val="24"/>
          <w:u w:val="single"/>
          <w:lang w:val="en-US" w:eastAsia="zh-CN" w:bidi="ar-SA"/>
        </w:rPr>
        <w:t>1.1 词语定义</w:t>
      </w:r>
      <w:bookmarkEnd w:id="1426"/>
      <w:bookmarkEnd w:id="1427"/>
      <w:bookmarkEnd w:id="1428"/>
      <w:bookmarkEnd w:id="1429"/>
      <w:bookmarkEnd w:id="1430"/>
      <w:bookmarkEnd w:id="1431"/>
      <w:bookmarkEnd w:id="1432"/>
    </w:p>
    <w:p w14:paraId="4945265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1.1.2合同当事人和人员</w:t>
      </w:r>
    </w:p>
    <w:p w14:paraId="3539B0FB">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1.1.2.2发包人：</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北京工业职业技术学院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5FE8DC26">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1.1.2.6监理人：</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待定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E8FB3D6">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1.1.2.8发包人代表：指发包人指定的派驻施工场地（现场）的全权代表。</w:t>
      </w:r>
    </w:p>
    <w:p w14:paraId="487C1A0A">
      <w:pPr>
        <w:spacing w:line="400" w:lineRule="exact"/>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姓    名：</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p>
    <w:p w14:paraId="75B2159D">
      <w:pPr>
        <w:spacing w:line="400" w:lineRule="exact"/>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职    称：</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p>
    <w:p w14:paraId="0466D1CD">
      <w:pPr>
        <w:spacing w:line="400" w:lineRule="exact"/>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联系电话：</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 xml:space="preserve">。 </w:t>
      </w:r>
    </w:p>
    <w:p w14:paraId="06EAFB0A">
      <w:pPr>
        <w:spacing w:line="400" w:lineRule="exact"/>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电子信箱：</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p>
    <w:p w14:paraId="2A78CC38">
      <w:pPr>
        <w:spacing w:line="400" w:lineRule="exact"/>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通信地址：</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p>
    <w:p w14:paraId="26181906">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1.1.2.9专业分包人：指根据合同条款第15.8.1项的约定，由发包人和承包人以招标方式选择的分包人。</w:t>
      </w:r>
    </w:p>
    <w:p w14:paraId="5E2AF7E5">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1.1.2.10专项供应商：指根据合同条款第15.8.1项的约定，由发包人和承包人以招标方式选择的供应商。</w:t>
      </w:r>
    </w:p>
    <w:p w14:paraId="76CEC5ED">
      <w:pPr>
        <w:spacing w:line="400" w:lineRule="exact"/>
        <w:ind w:firstLine="480" w:firstLineChars="200"/>
        <w:jc w:val="left"/>
        <w:rPr>
          <w:rFonts w:ascii="Times New Roman" w:hAnsi="Times New Roman" w:eastAsia="宋体" w:cs="Times New Roman"/>
          <w:color w:val="000000"/>
          <w:sz w:val="24"/>
          <w:u w:val="single"/>
        </w:rPr>
      </w:pPr>
      <w:r>
        <w:rPr>
          <w:rFonts w:ascii="Times New Roman" w:hAnsi="Times New Roman" w:eastAsia="宋体" w:cs="Times New Roman"/>
          <w:color w:val="000000"/>
          <w:sz w:val="24"/>
        </w:rPr>
        <w:t>1.1.2.11独立承包人：指与发包人直接订立工程承包合同，负责实施与工程有关的其他工作的当事人。</w:t>
      </w:r>
    </w:p>
    <w:p w14:paraId="497416D5">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1.1.3工程和设备</w:t>
      </w:r>
    </w:p>
    <w:p w14:paraId="29176089">
      <w:pPr>
        <w:spacing w:line="400" w:lineRule="exact"/>
        <w:ind w:firstLine="480" w:firstLineChars="200"/>
        <w:jc w:val="left"/>
        <w:rPr>
          <w:rFonts w:ascii="Times New Roman" w:hAnsi="Times New Roman" w:eastAsia="宋体" w:cs="Times New Roman"/>
          <w:color w:val="000000"/>
          <w:sz w:val="24"/>
          <w:u w:val="single"/>
        </w:rPr>
      </w:pPr>
      <w:r>
        <w:rPr>
          <w:rFonts w:ascii="Times New Roman" w:hAnsi="Times New Roman" w:eastAsia="宋体" w:cs="Times New Roman"/>
          <w:color w:val="000000"/>
          <w:sz w:val="24"/>
        </w:rPr>
        <w:t>1.1.3.2永久工程：</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sz w:val="24"/>
          <w:u w:val="single"/>
        </w:rPr>
        <w:t xml:space="preserve">                   /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9D9E37B">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1.1.3.3临时工程：</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临时供水、临时供电、临时照明等</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A49025E">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1.1.3.4单位工程：指具有相对独立的设计文件，能够独立组织施工并能形成独立使用功能的永久工程的组成部分。</w:t>
      </w:r>
    </w:p>
    <w:p w14:paraId="181F4111">
      <w:pPr>
        <w:spacing w:line="400" w:lineRule="exact"/>
        <w:ind w:firstLine="480" w:firstLineChars="200"/>
        <w:jc w:val="left"/>
        <w:rPr>
          <w:rFonts w:ascii="Times New Roman" w:hAnsi="Times New Roman" w:eastAsia="宋体" w:cs="Times New Roman"/>
          <w:color w:val="000000"/>
          <w:sz w:val="24"/>
          <w:u w:val="single"/>
        </w:rPr>
      </w:pPr>
      <w:r>
        <w:rPr>
          <w:rFonts w:ascii="Times New Roman" w:hAnsi="Times New Roman" w:eastAsia="宋体" w:cs="Times New Roman"/>
          <w:color w:val="000000"/>
          <w:sz w:val="24"/>
        </w:rPr>
        <w:t>1.1.3.10永久占地：</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1B237B20">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1.1.3.11临时占地：</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086B11F4">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1.1.4日期</w:t>
      </w:r>
    </w:p>
    <w:p w14:paraId="0C4261A7">
      <w:pPr>
        <w:spacing w:line="400" w:lineRule="exact"/>
        <w:ind w:firstLine="480" w:firstLineChars="200"/>
        <w:jc w:val="left"/>
        <w:rPr>
          <w:rFonts w:ascii="Times New Roman" w:hAnsi="Times New Roman" w:eastAsia="宋体" w:cs="Times New Roman"/>
          <w:color w:val="000000"/>
          <w:sz w:val="24"/>
          <w:u w:val="single"/>
        </w:rPr>
      </w:pPr>
      <w:r>
        <w:rPr>
          <w:rFonts w:ascii="Times New Roman" w:hAnsi="Times New Roman" w:eastAsia="宋体" w:cs="Times New Roman"/>
          <w:color w:val="000000"/>
          <w:sz w:val="24"/>
        </w:rPr>
        <w:t>1.1.4.5缺陷责任期期限：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24个</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月。</w:t>
      </w:r>
    </w:p>
    <w:p w14:paraId="4FB89D35">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1.1.4.8保修期：是根据现行有关法律规定，在合同条款第19.7款中约定的由承包人负责对合同约定的保修范围内发生的质量问题履行保修义务并对造成的损失承担赔偿责任的期限。</w:t>
      </w:r>
    </w:p>
    <w:p w14:paraId="3D463E6E">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1.1.6其他</w:t>
      </w:r>
    </w:p>
    <w:p w14:paraId="4AAFB61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1.1.6.2材料：指构成或将构成永久工程组成部分的各类物品(工程设备除外)，包括合同中可能约定的承包人仅负责供应的材料。</w:t>
      </w:r>
    </w:p>
    <w:p w14:paraId="691F9571">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11F990A">
      <w:pPr>
        <w:widowControl w:val="0"/>
        <w:autoSpaceDE w:val="0"/>
        <w:autoSpaceDN w:val="0"/>
        <w:adjustRightInd w:val="0"/>
        <w:ind w:firstLine="420"/>
        <w:jc w:val="left"/>
        <w:outlineLvl w:val="0"/>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1.1.6.4 除另有特别指明外，专用合同条款中使用的措辞“合同条款”指通用合同条款和（或）专用合同条款。</w:t>
      </w:r>
    </w:p>
    <w:p w14:paraId="0A520BDD">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33" w:name="_Toc179632633"/>
      <w:bookmarkStart w:id="1434" w:name="_Toc152042393"/>
      <w:bookmarkStart w:id="1435" w:name="_Toc342296420"/>
      <w:bookmarkStart w:id="1436" w:name="_Toc362252886"/>
      <w:bookmarkStart w:id="1437" w:name="_Toc241459661"/>
      <w:bookmarkStart w:id="1438" w:name="_Toc152045615"/>
      <w:bookmarkStart w:id="1439" w:name="_Toc144974583"/>
      <w:r>
        <w:rPr>
          <w:rFonts w:ascii="宋体" w:hAnsi="Times New Roman" w:eastAsia="宋体" w:cs="Times New Roman"/>
          <w:b w:val="0"/>
          <w:color w:val="000000"/>
          <w:kern w:val="0"/>
          <w:sz w:val="24"/>
          <w:szCs w:val="24"/>
          <w:u w:val="single"/>
          <w:lang w:val="en-US" w:eastAsia="zh-CN" w:bidi="ar-SA"/>
        </w:rPr>
        <w:t>1.4 合同文件的优先顺序</w:t>
      </w:r>
      <w:bookmarkEnd w:id="1433"/>
      <w:bookmarkEnd w:id="1434"/>
      <w:bookmarkEnd w:id="1435"/>
      <w:bookmarkEnd w:id="1436"/>
      <w:bookmarkEnd w:id="1437"/>
      <w:bookmarkEnd w:id="1438"/>
      <w:bookmarkEnd w:id="1439"/>
    </w:p>
    <w:p w14:paraId="0C83AC5E">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合同文件的优先解释顺序如下：</w:t>
      </w:r>
    </w:p>
    <w:p w14:paraId="031D61F4">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（1）合同协议书；</w:t>
      </w:r>
    </w:p>
    <w:p w14:paraId="1F2099B9">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（2）中标通知书；</w:t>
      </w:r>
    </w:p>
    <w:p w14:paraId="010A9DB8">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（3）投标函及投标函附录；</w:t>
      </w:r>
    </w:p>
    <w:p w14:paraId="7B2F7286">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（4）专用合同条款；</w:t>
      </w:r>
    </w:p>
    <w:p w14:paraId="22F00048">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（5）通用合同条款；</w:t>
      </w:r>
    </w:p>
    <w:p w14:paraId="15F525F5">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（6）</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技术标准和要求</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1BC5C743">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（7）</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图纸</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2775F696">
      <w:pPr>
        <w:spacing w:line="400" w:lineRule="exact"/>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（8）</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已标价工程量清单</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BF6A293">
      <w:pPr>
        <w:spacing w:line="400" w:lineRule="exact"/>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（9）</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施工组织设计</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07C67DD5">
      <w:pPr>
        <w:spacing w:line="400" w:lineRule="exact"/>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（说明：（6）、（7）、（8）填空内容分别限于技术标准和要求、图纸、已标价工程量清单三者之一。）</w:t>
      </w:r>
    </w:p>
    <w:p w14:paraId="09D282A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合同协议书中约定采用总价合同形式的，除非合同另有约定，已标价工程量清单中的各项工程量对合同双方不具合同约束力。</w:t>
      </w:r>
    </w:p>
    <w:p w14:paraId="6BE27D9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图纸与技术标准和要求之间有矛盾或者不一致的，以其中要求较严格的标准为准。</w:t>
      </w:r>
    </w:p>
    <w:p w14:paraId="22B2288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合同双方在合同履行过程中签订的补充协议亦构成合同文件的组成部分，其解释顺序视其内容与其他合同文件的相互关系而定。</w:t>
      </w:r>
    </w:p>
    <w:p w14:paraId="678E8519">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40" w:name="_Toc342296421"/>
      <w:bookmarkStart w:id="1441" w:name="_Toc179632634"/>
      <w:bookmarkStart w:id="1442" w:name="_Toc152042394"/>
      <w:bookmarkStart w:id="1443" w:name="_Toc241459662"/>
      <w:bookmarkStart w:id="1444" w:name="_Toc152045616"/>
      <w:bookmarkStart w:id="1445" w:name="_Toc144974584"/>
      <w:bookmarkStart w:id="1446" w:name="_Toc362252887"/>
      <w:r>
        <w:rPr>
          <w:rFonts w:ascii="宋体" w:hAnsi="Times New Roman" w:eastAsia="宋体" w:cs="Times New Roman"/>
          <w:b w:val="0"/>
          <w:color w:val="000000"/>
          <w:kern w:val="0"/>
          <w:sz w:val="24"/>
          <w:szCs w:val="24"/>
          <w:u w:val="single"/>
          <w:lang w:val="en-US" w:eastAsia="zh-CN" w:bidi="ar-SA"/>
        </w:rPr>
        <w:t>1.5 合同协议书</w:t>
      </w:r>
      <w:bookmarkEnd w:id="1440"/>
      <w:bookmarkEnd w:id="1441"/>
      <w:bookmarkEnd w:id="1442"/>
      <w:bookmarkEnd w:id="1443"/>
      <w:bookmarkEnd w:id="1444"/>
      <w:bookmarkEnd w:id="1445"/>
      <w:bookmarkEnd w:id="1446"/>
    </w:p>
    <w:p w14:paraId="2705309F">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合同生效的条件：</w:t>
      </w:r>
      <w:r>
        <w:rPr>
          <w:rFonts w:ascii="Times New Roman" w:hAnsi="Times New Roman" w:eastAsia="宋体" w:cs="Times New Roman"/>
          <w:color w:val="000000"/>
          <w:sz w:val="24"/>
          <w:u w:val="single"/>
        </w:rPr>
        <w:t xml:space="preserve">  发承包双方签字盖章后开始生效  </w:t>
      </w:r>
      <w:r>
        <w:rPr>
          <w:rFonts w:ascii="Times New Roman" w:hAnsi="Times New Roman" w:eastAsia="宋体" w:cs="Times New Roman"/>
          <w:color w:val="000000"/>
          <w:sz w:val="24"/>
        </w:rPr>
        <w:t>。</w:t>
      </w:r>
      <w:r>
        <w:rPr>
          <w:rFonts w:ascii="Times New Roman" w:hAnsi="Times New Roman" w:eastAsia="宋体" w:cs="Times New Roman"/>
          <w:color w:val="000000"/>
          <w:sz w:val="24"/>
          <w:u w:val="single"/>
        </w:rPr>
        <w:t xml:space="preserve"> </w:t>
      </w:r>
    </w:p>
    <w:p w14:paraId="4266194A">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47" w:name="_Toc362252888"/>
      <w:bookmarkStart w:id="1448" w:name="_Toc342296422"/>
      <w:bookmarkStart w:id="1449" w:name="_Toc241459663"/>
      <w:bookmarkStart w:id="1450" w:name="_Toc152045617"/>
      <w:bookmarkStart w:id="1451" w:name="_Toc152042395"/>
      <w:bookmarkStart w:id="1452" w:name="_Toc144974585"/>
      <w:bookmarkStart w:id="1453" w:name="_Toc179632635"/>
      <w:r>
        <w:rPr>
          <w:rFonts w:ascii="宋体" w:hAnsi="Times New Roman" w:eastAsia="宋体" w:cs="Times New Roman"/>
          <w:b w:val="0"/>
          <w:color w:val="000000"/>
          <w:kern w:val="0"/>
          <w:sz w:val="24"/>
          <w:szCs w:val="24"/>
          <w:u w:val="single"/>
          <w:lang w:val="en-US" w:eastAsia="zh-CN" w:bidi="ar-SA"/>
        </w:rPr>
        <w:t>1.6 图纸和承包人文件</w:t>
      </w:r>
      <w:bookmarkEnd w:id="1447"/>
      <w:bookmarkEnd w:id="1448"/>
      <w:bookmarkEnd w:id="1449"/>
      <w:bookmarkEnd w:id="1450"/>
      <w:bookmarkEnd w:id="1451"/>
      <w:bookmarkEnd w:id="1452"/>
      <w:bookmarkEnd w:id="1453"/>
    </w:p>
    <w:p w14:paraId="5DE0A4FF">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1.6.1图纸的提供</w:t>
      </w:r>
    </w:p>
    <w:p w14:paraId="49839E52">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（1） 发包人按照合同条款本项的约定向承包人提供图纸。承包人需要增加图纸套数的，发包人应代为复制，复制费用由承包人承担。</w:t>
      </w:r>
    </w:p>
    <w:p w14:paraId="21E67A43">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28BDB46F">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（3）发包人提供图纸的期限：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合同签订后3日内</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936E991">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（4）发包人提供图纸的数量：</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5套</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498EB5FC">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1.6.2 承包人提供的文件</w:t>
      </w:r>
    </w:p>
    <w:p w14:paraId="5547BD89">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（1）除专用合同条款第4.1.10(1)目约定的由承包人提供的设计文件外，本项约定的其他应由承包人提供的文件，包括必要的加工图和大样图，均不是合同计量与支付的依据文件。由承包人提供的文件范围：</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7A421A7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（2）承包人提供文件的期限：</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476B9AA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（3）承包人提供文件的数量：</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0CF6CA93">
      <w:pPr>
        <w:spacing w:line="400" w:lineRule="exact"/>
        <w:ind w:left="315" w:leftChars="150" w:firstLine="120" w:firstLineChars="50"/>
        <w:rPr>
          <w:rFonts w:ascii="Times New Roman" w:hAnsi="Times New Roman" w:eastAsia="宋体" w:cs="Times New Roman"/>
          <w:color w:val="000000"/>
          <w:sz w:val="24"/>
        </w:rPr>
      </w:pPr>
      <w:r>
        <w:rPr>
          <w:rFonts w:ascii="Times New Roman" w:hAnsi="Times New Roman" w:eastAsia="宋体" w:cs="Times New Roman"/>
          <w:color w:val="000000"/>
          <w:sz w:val="24"/>
        </w:rPr>
        <w:t>（4）监理人批复承包人提供文件的期限：</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1C5034E4">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（5）其他约定：</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2E80DEB9">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1.6.3 图纸的修改</w:t>
      </w:r>
    </w:p>
    <w:p w14:paraId="1161669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监理人应当按照合同条款第1.6.1（2）目约定的有合同约束力的图纸供应计划，签发图纸修改图给承包人。</w:t>
      </w:r>
    </w:p>
    <w:p w14:paraId="39BC4ED1">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54" w:name="_Toc362252889"/>
      <w:bookmarkStart w:id="1455" w:name="_Toc179632636"/>
      <w:bookmarkStart w:id="1456" w:name="_Toc152045618"/>
      <w:bookmarkStart w:id="1457" w:name="_Toc152042396"/>
      <w:bookmarkStart w:id="1458" w:name="_Toc241459664"/>
      <w:bookmarkStart w:id="1459" w:name="_Toc144974586"/>
      <w:bookmarkStart w:id="1460" w:name="_Toc342296423"/>
      <w:r>
        <w:rPr>
          <w:rFonts w:ascii="宋体" w:hAnsi="Times New Roman" w:eastAsia="宋体" w:cs="Times New Roman"/>
          <w:b w:val="0"/>
          <w:color w:val="000000"/>
          <w:kern w:val="0"/>
          <w:sz w:val="24"/>
          <w:szCs w:val="24"/>
          <w:u w:val="single"/>
          <w:lang w:val="en-US" w:eastAsia="zh-CN" w:bidi="ar-SA"/>
        </w:rPr>
        <w:t>1.7 联 络</w:t>
      </w:r>
      <w:bookmarkEnd w:id="1454"/>
      <w:bookmarkEnd w:id="1455"/>
      <w:bookmarkEnd w:id="1456"/>
      <w:bookmarkEnd w:id="1457"/>
      <w:bookmarkEnd w:id="1458"/>
      <w:bookmarkEnd w:id="1459"/>
      <w:bookmarkEnd w:id="1460"/>
    </w:p>
    <w:p w14:paraId="4DB39021">
      <w:pPr>
        <w:spacing w:line="400" w:lineRule="exact"/>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1.7.2联络来往函件的送达和接收</w:t>
      </w:r>
    </w:p>
    <w:p w14:paraId="738CD884">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（1）联络来往信函的送达期限：合同约定了发出期限的，送达期限为合同约定的发出期限后的24小时内；合同约定了通知、提供或者报送期限的，通知、提供或者报送期限即为送达期限。</w:t>
      </w:r>
    </w:p>
    <w:p w14:paraId="71E06C8E">
      <w:pPr>
        <w:spacing w:line="400" w:lineRule="exact"/>
        <w:ind w:firstLine="360" w:firstLineChars="150"/>
        <w:rPr>
          <w:rFonts w:ascii="Times New Roman" w:hAnsi="Times New Roman" w:eastAsia="宋体" w:cs="Times New Roman"/>
          <w:color w:val="FF0000"/>
          <w:sz w:val="24"/>
        </w:rPr>
      </w:pPr>
      <w:r>
        <w:rPr>
          <w:rFonts w:ascii="Times New Roman" w:hAnsi="Times New Roman" w:eastAsia="宋体" w:cs="Times New Roman"/>
          <w:color w:val="000000"/>
          <w:sz w:val="24"/>
        </w:rPr>
        <w:t>（2）发包人指定的接收地点：</w:t>
      </w:r>
      <w:r>
        <w:rPr>
          <w:rFonts w:hint="eastAsia" w:ascii="Times New Roman" w:hAnsi="Times New Roman" w:eastAsia="宋体" w:cs="Times New Roman"/>
          <w:color w:val="FF0000"/>
          <w:sz w:val="24"/>
          <w:u w:val="single"/>
        </w:rPr>
        <w:t>北京工业职业技术学院</w:t>
      </w:r>
      <w:r>
        <w:rPr>
          <w:rFonts w:ascii="Times New Roman" w:hAnsi="Times New Roman" w:eastAsia="宋体" w:cs="Times New Roman"/>
          <w:color w:val="FF0000"/>
          <w:sz w:val="24"/>
        </w:rPr>
        <w:t>。</w:t>
      </w:r>
    </w:p>
    <w:p w14:paraId="7290FBF9">
      <w:pPr>
        <w:spacing w:line="400" w:lineRule="exact"/>
        <w:ind w:firstLine="360" w:firstLineChars="150"/>
        <w:rPr>
          <w:rFonts w:ascii="Times New Roman" w:hAnsi="Times New Roman" w:eastAsia="宋体" w:cs="Times New Roman"/>
          <w:sz w:val="24"/>
        </w:rPr>
      </w:pPr>
      <w:r>
        <w:rPr>
          <w:rFonts w:ascii="Times New Roman" w:hAnsi="Times New Roman" w:eastAsia="宋体" w:cs="Times New Roman"/>
          <w:sz w:val="24"/>
        </w:rPr>
        <w:t>（3）发包人指定的接收人为：</w:t>
      </w:r>
      <w:r>
        <w:rPr>
          <w:rFonts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rPr>
        <w:t xml:space="preserve"> </w:t>
      </w:r>
      <w:r>
        <w:rPr>
          <w:rFonts w:hint="eastAsia" w:ascii="Times New Roman" w:hAnsi="Times New Roman" w:eastAsia="宋体" w:cs="Times New Roman"/>
          <w:color w:val="FF0000"/>
          <w:sz w:val="24"/>
          <w:u w:val="single"/>
          <w:lang w:val="en-US" w:eastAsia="zh-CN"/>
        </w:rPr>
        <w:t xml:space="preserve">         </w:t>
      </w:r>
      <w:r>
        <w:rPr>
          <w:rFonts w:hint="eastAsia" w:ascii="Times New Roman" w:hAnsi="Times New Roman" w:eastAsia="宋体" w:cs="Times New Roman"/>
          <w:color w:val="FF0000"/>
          <w:sz w:val="24"/>
          <w:u w:val="single"/>
        </w:rPr>
        <w:t xml:space="preserve">      </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p>
    <w:p w14:paraId="6C9A64F2">
      <w:pPr>
        <w:spacing w:line="400" w:lineRule="exact"/>
        <w:ind w:firstLine="360" w:firstLineChars="150"/>
        <w:rPr>
          <w:rFonts w:ascii="Times New Roman" w:hAnsi="Times New Roman" w:eastAsia="宋体" w:cs="Times New Roman"/>
          <w:sz w:val="24"/>
        </w:rPr>
      </w:pPr>
      <w:r>
        <w:rPr>
          <w:rFonts w:ascii="Times New Roman" w:hAnsi="Times New Roman" w:eastAsia="宋体" w:cs="Times New Roman"/>
          <w:sz w:val="24"/>
        </w:rPr>
        <w:t>（4）监理人指定的接收地点：</w:t>
      </w:r>
      <w:r>
        <w:rPr>
          <w:rFonts w:ascii="Times New Roman" w:hAnsi="Times New Roman" w:eastAsia="宋体" w:cs="Times New Roman"/>
          <w:sz w:val="24"/>
          <w:u w:val="single"/>
        </w:rPr>
        <w:t xml:space="preserve">   合同签订时确定  </w:t>
      </w:r>
      <w:r>
        <w:rPr>
          <w:rFonts w:hint="eastAsia" w:ascii="Times New Roman" w:hAnsi="Times New Roman" w:eastAsia="宋体" w:cs="Times New Roman"/>
          <w:sz w:val="24"/>
          <w:u w:val="single"/>
          <w:lang w:val="en-US" w:eastAsia="zh-CN"/>
        </w:rPr>
        <w:t xml:space="preserve"> </w:t>
      </w:r>
      <w:r>
        <w:rPr>
          <w:rFonts w:ascii="Times New Roman" w:hAnsi="Times New Roman" w:eastAsia="宋体" w:cs="Times New Roman"/>
          <w:sz w:val="24"/>
        </w:rPr>
        <w:t>。</w:t>
      </w:r>
    </w:p>
    <w:p w14:paraId="13089574">
      <w:pPr>
        <w:spacing w:line="400" w:lineRule="exact"/>
        <w:ind w:firstLine="360" w:firstLineChars="150"/>
        <w:rPr>
          <w:rFonts w:ascii="Times New Roman" w:hAnsi="Times New Roman" w:eastAsia="宋体" w:cs="Times New Roman"/>
          <w:sz w:val="24"/>
        </w:rPr>
      </w:pPr>
      <w:r>
        <w:rPr>
          <w:rFonts w:ascii="Times New Roman" w:hAnsi="Times New Roman" w:eastAsia="宋体" w:cs="Times New Roman"/>
          <w:sz w:val="24"/>
        </w:rPr>
        <w:t>（5）监理人指定的接收人为：</w:t>
      </w:r>
      <w:r>
        <w:rPr>
          <w:rFonts w:ascii="Times New Roman" w:hAnsi="Times New Roman" w:eastAsia="宋体" w:cs="Times New Roman"/>
          <w:sz w:val="24"/>
          <w:u w:val="single"/>
        </w:rPr>
        <w:t xml:space="preserve">   合同签订时确定   </w:t>
      </w:r>
      <w:r>
        <w:rPr>
          <w:rFonts w:ascii="Times New Roman" w:hAnsi="Times New Roman" w:eastAsia="宋体" w:cs="Times New Roman"/>
          <w:sz w:val="24"/>
        </w:rPr>
        <w:t>。</w:t>
      </w:r>
    </w:p>
    <w:p w14:paraId="0BE0099C">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727B8D1B">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5A066B3C">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3430820E">
      <w:pPr>
        <w:pStyle w:val="258"/>
        <w:spacing w:before="0"/>
        <w:outlineLvl w:val="0"/>
        <w:rPr>
          <w:rFonts w:eastAsia="宋体" w:cs="Times New Roman"/>
          <w:color w:val="000000"/>
          <w:sz w:val="24"/>
          <w:szCs w:val="24"/>
        </w:rPr>
      </w:pPr>
      <w:bookmarkStart w:id="1461" w:name="_Toc152042402"/>
      <w:bookmarkStart w:id="1462" w:name="_Toc152045624"/>
      <w:bookmarkStart w:id="1463" w:name="_Toc144974592"/>
      <w:bookmarkStart w:id="1464" w:name="_Toc342296424"/>
      <w:bookmarkStart w:id="1465" w:name="_Toc179632642"/>
      <w:bookmarkStart w:id="1466" w:name="_Toc241459665"/>
      <w:bookmarkStart w:id="1467" w:name="_Toc362252890"/>
      <w:r>
        <w:rPr>
          <w:rFonts w:eastAsia="宋体" w:cs="Times New Roman"/>
          <w:color w:val="000000"/>
          <w:sz w:val="24"/>
          <w:szCs w:val="24"/>
        </w:rPr>
        <w:t>2. 发包人义务</w:t>
      </w:r>
      <w:bookmarkEnd w:id="1461"/>
      <w:bookmarkEnd w:id="1462"/>
      <w:bookmarkEnd w:id="1463"/>
      <w:bookmarkEnd w:id="1464"/>
      <w:bookmarkEnd w:id="1465"/>
      <w:bookmarkEnd w:id="1466"/>
      <w:bookmarkEnd w:id="1467"/>
    </w:p>
    <w:p w14:paraId="5DB5762C">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68" w:name="_Toc362252891"/>
      <w:bookmarkStart w:id="1469" w:name="_Toc342296425"/>
      <w:bookmarkStart w:id="1470" w:name="_Toc152042405"/>
      <w:bookmarkStart w:id="1471" w:name="_Toc179632645"/>
      <w:bookmarkStart w:id="1472" w:name="_Toc144974595"/>
      <w:bookmarkStart w:id="1473" w:name="_Toc152045627"/>
      <w:bookmarkStart w:id="1474" w:name="_Toc241459666"/>
      <w:r>
        <w:rPr>
          <w:rFonts w:ascii="宋体" w:hAnsi="Times New Roman" w:eastAsia="宋体" w:cs="Times New Roman"/>
          <w:b w:val="0"/>
          <w:color w:val="000000"/>
          <w:kern w:val="0"/>
          <w:sz w:val="24"/>
          <w:szCs w:val="24"/>
          <w:u w:val="single"/>
          <w:lang w:val="en-US" w:eastAsia="zh-CN" w:bidi="ar-SA"/>
        </w:rPr>
        <w:t>2.3 提供施工场地</w:t>
      </w:r>
      <w:bookmarkEnd w:id="1468"/>
      <w:bookmarkEnd w:id="1469"/>
      <w:bookmarkEnd w:id="1470"/>
      <w:bookmarkEnd w:id="1471"/>
      <w:bookmarkEnd w:id="1472"/>
      <w:bookmarkEnd w:id="1473"/>
      <w:bookmarkEnd w:id="1474"/>
    </w:p>
    <w:p w14:paraId="232C6E8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施工场地应当在监理人发出的开工通知中载明的开工日期前</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2293DD7A">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75" w:name="_Toc362252892"/>
      <w:bookmarkStart w:id="1476" w:name="_Toc152045629"/>
      <w:bookmarkStart w:id="1477" w:name="_Toc241459667"/>
      <w:bookmarkStart w:id="1478" w:name="_Toc342296426"/>
      <w:bookmarkStart w:id="1479" w:name="_Toc144974597"/>
      <w:bookmarkStart w:id="1480" w:name="_Toc179632647"/>
      <w:bookmarkStart w:id="1481" w:name="_Toc152042407"/>
      <w:r>
        <w:rPr>
          <w:rFonts w:ascii="宋体" w:hAnsi="Times New Roman" w:eastAsia="宋体" w:cs="Times New Roman"/>
          <w:b w:val="0"/>
          <w:color w:val="000000"/>
          <w:kern w:val="0"/>
          <w:sz w:val="24"/>
          <w:szCs w:val="24"/>
          <w:u w:val="single"/>
          <w:lang w:val="en-US" w:eastAsia="zh-CN" w:bidi="ar-SA"/>
        </w:rPr>
        <w:t>2.5 组织设计交底</w:t>
      </w:r>
      <w:bookmarkEnd w:id="1475"/>
      <w:bookmarkEnd w:id="1476"/>
      <w:bookmarkEnd w:id="1477"/>
      <w:bookmarkEnd w:id="1478"/>
      <w:bookmarkEnd w:id="1479"/>
      <w:bookmarkEnd w:id="1480"/>
      <w:bookmarkEnd w:id="1481"/>
    </w:p>
    <w:p w14:paraId="55E490E8">
      <w:pPr>
        <w:spacing w:line="400" w:lineRule="exact"/>
        <w:ind w:firstLine="480" w:firstLineChars="200"/>
        <w:rPr>
          <w:rFonts w:ascii="Times New Roman" w:hAnsi="Times New Roman" w:eastAsia="宋体" w:cs="Times New Roman"/>
          <w:color w:val="000000"/>
          <w:sz w:val="24"/>
        </w:rPr>
      </w:pPr>
      <w:bookmarkStart w:id="1482" w:name="_Toc179632648"/>
      <w:bookmarkStart w:id="1483" w:name="_Toc152042408"/>
      <w:bookmarkStart w:id="1484" w:name="_Toc152045630"/>
      <w:bookmarkStart w:id="1485" w:name="_Toc144974598"/>
      <w:r>
        <w:rPr>
          <w:rFonts w:ascii="Times New Roman" w:hAnsi="Times New Roman" w:eastAsia="宋体" w:cs="Times New Roman"/>
          <w:color w:val="000000"/>
          <w:sz w:val="24"/>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bookmarkEnd w:id="1482"/>
    <w:bookmarkEnd w:id="1483"/>
    <w:bookmarkEnd w:id="1484"/>
    <w:bookmarkEnd w:id="1485"/>
    <w:p w14:paraId="3546232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486" w:name="_Toc362252893"/>
      <w:bookmarkStart w:id="1487" w:name="_Toc152045632"/>
      <w:bookmarkStart w:id="1488" w:name="_Toc241459668"/>
      <w:bookmarkStart w:id="1489" w:name="_Toc152042410"/>
      <w:bookmarkStart w:id="1490" w:name="_Toc342296427"/>
      <w:bookmarkStart w:id="1491" w:name="_Toc179632650"/>
      <w:bookmarkStart w:id="1492" w:name="_Toc144974600"/>
      <w:r>
        <w:rPr>
          <w:rFonts w:ascii="宋体" w:hAnsi="Times New Roman" w:eastAsia="宋体" w:cs="Times New Roman"/>
          <w:b w:val="0"/>
          <w:color w:val="000000"/>
          <w:kern w:val="0"/>
          <w:sz w:val="24"/>
          <w:szCs w:val="24"/>
          <w:u w:val="single"/>
          <w:lang w:val="en-US" w:eastAsia="zh-CN" w:bidi="ar-SA"/>
        </w:rPr>
        <w:t>2.8 其他义务</w:t>
      </w:r>
      <w:bookmarkEnd w:id="1486"/>
      <w:bookmarkEnd w:id="1487"/>
      <w:bookmarkEnd w:id="1488"/>
      <w:bookmarkEnd w:id="1489"/>
      <w:bookmarkEnd w:id="1490"/>
      <w:bookmarkEnd w:id="1491"/>
      <w:bookmarkEnd w:id="1492"/>
    </w:p>
    <w:p w14:paraId="32E60AA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74F17FCB">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（2）按有关规定及时办理工程质量监督手续。</w:t>
      </w:r>
    </w:p>
    <w:p w14:paraId="05C43747">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（3）根据建设行政主管部门和（或）城市建设档案管理机构的规定，收集、整理、立卷、归档工程资料，并按规定时间向建设行政主管部门或者城市建设档案管理机构移交规定的工程档案。</w:t>
      </w:r>
    </w:p>
    <w:p w14:paraId="32329051">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3BE3E6C">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（5）发包人应当履行合同约定的其他义务以及下述义务：</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14FB20F0">
      <w:pPr>
        <w:pStyle w:val="258"/>
        <w:spacing w:before="0"/>
        <w:outlineLvl w:val="0"/>
        <w:rPr>
          <w:rFonts w:eastAsia="宋体" w:cs="Times New Roman"/>
          <w:color w:val="000000"/>
          <w:sz w:val="24"/>
          <w:szCs w:val="24"/>
        </w:rPr>
      </w:pPr>
      <w:bookmarkStart w:id="1493" w:name="_Toc144974601"/>
      <w:bookmarkStart w:id="1494" w:name="_Toc241459669"/>
      <w:bookmarkStart w:id="1495" w:name="_Toc152045633"/>
      <w:bookmarkStart w:id="1496" w:name="_Toc179632651"/>
      <w:bookmarkStart w:id="1497" w:name="_Toc152042411"/>
      <w:bookmarkStart w:id="1498" w:name="_Toc362252894"/>
      <w:bookmarkStart w:id="1499" w:name="_Toc342296428"/>
      <w:r>
        <w:rPr>
          <w:rFonts w:eastAsia="宋体" w:cs="Times New Roman"/>
          <w:color w:val="000000"/>
          <w:sz w:val="24"/>
          <w:szCs w:val="24"/>
        </w:rPr>
        <w:t>3. 监理人</w:t>
      </w:r>
      <w:bookmarkEnd w:id="1493"/>
      <w:bookmarkEnd w:id="1494"/>
      <w:bookmarkEnd w:id="1495"/>
      <w:bookmarkEnd w:id="1496"/>
      <w:bookmarkEnd w:id="1497"/>
      <w:bookmarkEnd w:id="1498"/>
      <w:bookmarkEnd w:id="1499"/>
    </w:p>
    <w:p w14:paraId="7077A9CA">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00" w:name="_Toc179632652"/>
      <w:bookmarkStart w:id="1501" w:name="_Toc362252895"/>
      <w:bookmarkStart w:id="1502" w:name="_Toc241459670"/>
      <w:bookmarkStart w:id="1503" w:name="_Toc144974602"/>
      <w:bookmarkStart w:id="1504" w:name="_Toc342296429"/>
      <w:bookmarkStart w:id="1505" w:name="_Toc152042412"/>
      <w:bookmarkStart w:id="1506" w:name="_Toc152045634"/>
      <w:r>
        <w:rPr>
          <w:rFonts w:ascii="宋体" w:hAnsi="Times New Roman" w:eastAsia="宋体" w:cs="Times New Roman"/>
          <w:b w:val="0"/>
          <w:color w:val="000000"/>
          <w:kern w:val="0"/>
          <w:sz w:val="24"/>
          <w:szCs w:val="24"/>
          <w:u w:val="single"/>
          <w:lang w:val="en-US" w:eastAsia="zh-CN" w:bidi="ar-SA"/>
        </w:rPr>
        <w:t>3.1 监理人的职责和权力</w:t>
      </w:r>
      <w:bookmarkEnd w:id="1500"/>
      <w:bookmarkEnd w:id="1501"/>
      <w:bookmarkEnd w:id="1502"/>
      <w:bookmarkEnd w:id="1503"/>
      <w:bookmarkEnd w:id="1504"/>
      <w:bookmarkEnd w:id="1505"/>
      <w:bookmarkEnd w:id="1506"/>
    </w:p>
    <w:p w14:paraId="1AE86820">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3.1.1须经发包人批准行使的权力：</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（1）处理发包人与承包人所签订合同的变更事宜的权力（2）要求承包人调换其不能胜任本职工作人员的权力</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。不管通用合同条款第3.1.1项如何约定，监理人履行须经发包人批准行使的权力时，应当向承包人出示其行使该权力已经取得发包人批准的文件或者其他合法有效的证明。</w:t>
      </w:r>
    </w:p>
    <w:p w14:paraId="7A4B8F09">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07" w:name="_Toc362252896"/>
      <w:bookmarkStart w:id="1508" w:name="_Toc179632654"/>
      <w:bookmarkStart w:id="1509" w:name="_Toc152045636"/>
      <w:bookmarkStart w:id="1510" w:name="_Toc144974604"/>
      <w:bookmarkStart w:id="1511" w:name="_Toc342296430"/>
      <w:bookmarkStart w:id="1512" w:name="_Toc241459671"/>
      <w:bookmarkStart w:id="1513" w:name="_Toc152042414"/>
      <w:r>
        <w:rPr>
          <w:rFonts w:ascii="宋体" w:hAnsi="Times New Roman" w:eastAsia="宋体" w:cs="Times New Roman"/>
          <w:b w:val="0"/>
          <w:color w:val="000000"/>
          <w:kern w:val="0"/>
          <w:sz w:val="24"/>
          <w:szCs w:val="24"/>
          <w:u w:val="single"/>
          <w:lang w:val="en-US" w:eastAsia="zh-CN" w:bidi="ar-SA"/>
        </w:rPr>
        <w:t>3.3 监理人员</w:t>
      </w:r>
      <w:bookmarkEnd w:id="1507"/>
      <w:bookmarkEnd w:id="1508"/>
      <w:bookmarkEnd w:id="1509"/>
      <w:bookmarkEnd w:id="1510"/>
      <w:bookmarkEnd w:id="1511"/>
      <w:bookmarkEnd w:id="1512"/>
      <w:bookmarkEnd w:id="1513"/>
    </w:p>
    <w:p w14:paraId="5B09DDB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3.3.4 总监理工程师不应将第3.5款约定应由总监理工程师作出确定的权力授权或者委托给其他监理人员。</w:t>
      </w:r>
    </w:p>
    <w:p w14:paraId="6D28E3D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14" w:name="_Toc152045637"/>
      <w:bookmarkStart w:id="1515" w:name="_Toc144974605"/>
      <w:bookmarkStart w:id="1516" w:name="_Toc179632655"/>
      <w:bookmarkStart w:id="1517" w:name="_Toc342296431"/>
      <w:bookmarkStart w:id="1518" w:name="_Toc241459672"/>
      <w:bookmarkStart w:id="1519" w:name="_Toc152042415"/>
      <w:bookmarkStart w:id="1520" w:name="_Toc362252897"/>
      <w:r>
        <w:rPr>
          <w:rFonts w:ascii="宋体" w:hAnsi="Times New Roman" w:eastAsia="宋体" w:cs="Times New Roman"/>
          <w:b w:val="0"/>
          <w:color w:val="000000"/>
          <w:kern w:val="0"/>
          <w:sz w:val="24"/>
          <w:szCs w:val="24"/>
          <w:u w:val="single"/>
          <w:lang w:val="en-US" w:eastAsia="zh-CN" w:bidi="ar-SA"/>
        </w:rPr>
        <w:t>3.4 监理人的指示</w:t>
      </w:r>
      <w:bookmarkEnd w:id="1514"/>
      <w:bookmarkEnd w:id="1515"/>
      <w:bookmarkEnd w:id="1516"/>
      <w:bookmarkEnd w:id="1517"/>
      <w:bookmarkEnd w:id="1518"/>
      <w:bookmarkEnd w:id="1519"/>
      <w:bookmarkEnd w:id="1520"/>
    </w:p>
    <w:p w14:paraId="5F10C88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3.4.4除通用合同条款已有的专门约定外，承包人只能从总监理工程师或按第3.3.1项授权的监理人员处取得指示，发包人应当通过监理人向承包人发出指示。</w:t>
      </w:r>
      <w:bookmarkStart w:id="1521" w:name="_Toc152045639"/>
      <w:bookmarkStart w:id="1522" w:name="_Toc179632657"/>
      <w:bookmarkStart w:id="1523" w:name="_Toc144974607"/>
      <w:bookmarkStart w:id="1524" w:name="_Toc152042417"/>
    </w:p>
    <w:p w14:paraId="6C3C7B16">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25" w:name="_Toc362252898"/>
      <w:bookmarkStart w:id="1526" w:name="_Toc342296432"/>
      <w:bookmarkStart w:id="1527" w:name="_Toc241459673"/>
      <w:r>
        <w:rPr>
          <w:rFonts w:ascii="宋体" w:hAnsi="Times New Roman" w:eastAsia="宋体" w:cs="Times New Roman"/>
          <w:b w:val="0"/>
          <w:color w:val="000000"/>
          <w:kern w:val="0"/>
          <w:sz w:val="24"/>
          <w:szCs w:val="24"/>
          <w:u w:val="single"/>
          <w:lang w:val="en-US" w:eastAsia="zh-CN" w:bidi="ar-SA"/>
        </w:rPr>
        <w:t>3.6 监理人的宽恕</w:t>
      </w:r>
      <w:bookmarkEnd w:id="1525"/>
      <w:bookmarkEnd w:id="1526"/>
      <w:bookmarkEnd w:id="1527"/>
    </w:p>
    <w:p w14:paraId="57C6CF4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83A4322">
      <w:pPr>
        <w:pStyle w:val="258"/>
        <w:spacing w:before="0"/>
        <w:outlineLvl w:val="0"/>
        <w:rPr>
          <w:rFonts w:eastAsia="宋体" w:cs="Times New Roman"/>
          <w:color w:val="000000"/>
          <w:sz w:val="24"/>
          <w:szCs w:val="24"/>
        </w:rPr>
      </w:pPr>
      <w:bookmarkStart w:id="1528" w:name="_Toc342296433"/>
      <w:bookmarkStart w:id="1529" w:name="_Toc241459674"/>
      <w:bookmarkStart w:id="1530" w:name="_Toc362252899"/>
      <w:r>
        <w:rPr>
          <w:rFonts w:eastAsia="宋体" w:cs="Times New Roman"/>
          <w:color w:val="000000"/>
          <w:sz w:val="24"/>
          <w:szCs w:val="24"/>
        </w:rPr>
        <w:t>4. 承包人</w:t>
      </w:r>
      <w:bookmarkEnd w:id="1521"/>
      <w:bookmarkEnd w:id="1522"/>
      <w:bookmarkEnd w:id="1523"/>
      <w:bookmarkEnd w:id="1524"/>
      <w:bookmarkEnd w:id="1528"/>
      <w:bookmarkEnd w:id="1529"/>
      <w:bookmarkEnd w:id="1530"/>
    </w:p>
    <w:p w14:paraId="2BF24E43">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31" w:name="_Toc241459675"/>
      <w:bookmarkStart w:id="1532" w:name="_Toc179632658"/>
      <w:bookmarkStart w:id="1533" w:name="_Toc152045640"/>
      <w:bookmarkStart w:id="1534" w:name="_Toc342296434"/>
      <w:bookmarkStart w:id="1535" w:name="_Toc152042418"/>
      <w:bookmarkStart w:id="1536" w:name="_Toc144974608"/>
      <w:bookmarkStart w:id="1537" w:name="_Toc362252900"/>
      <w:r>
        <w:rPr>
          <w:rFonts w:ascii="宋体" w:hAnsi="Times New Roman" w:eastAsia="宋体" w:cs="Times New Roman"/>
          <w:b w:val="0"/>
          <w:color w:val="000000"/>
          <w:kern w:val="0"/>
          <w:sz w:val="24"/>
          <w:szCs w:val="24"/>
          <w:u w:val="single"/>
          <w:lang w:val="en-US" w:eastAsia="zh-CN" w:bidi="ar-SA"/>
        </w:rPr>
        <w:t>4.1 承包人的一般义务</w:t>
      </w:r>
      <w:bookmarkEnd w:id="1531"/>
      <w:bookmarkEnd w:id="1532"/>
      <w:bookmarkEnd w:id="1533"/>
      <w:bookmarkEnd w:id="1534"/>
      <w:bookmarkEnd w:id="1535"/>
      <w:bookmarkEnd w:id="1536"/>
      <w:bookmarkEnd w:id="1537"/>
    </w:p>
    <w:p w14:paraId="6D8B079B">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0616C49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4.1.8为他人提供方便</w:t>
      </w:r>
    </w:p>
    <w:p w14:paraId="37D92BA4">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p>
    <w:p w14:paraId="3804664E">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a.提供施工现场水源、电源；</w:t>
      </w:r>
    </w:p>
    <w:p w14:paraId="5BB543AD">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b.如果根据工程实际进展情况，承包人需拆除现场已存在的临时设施时，承包人须征得发包人和监理人的认可后方可拆除；</w:t>
      </w:r>
    </w:p>
    <w:p w14:paraId="4D023D7E">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c.提供相应的工作场所并负责协调工作；</w:t>
      </w:r>
    </w:p>
    <w:p w14:paraId="518E9165">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d.提供足够的和无障碍的工作面；</w:t>
      </w:r>
    </w:p>
    <w:p w14:paraId="582AD782">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e.提供正常的临时照明和施工及调试运行所必需的设施；</w:t>
      </w:r>
    </w:p>
    <w:p w14:paraId="6CFD461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sz w:val="24"/>
          <w:u w:val="single"/>
        </w:rPr>
        <w:t>f.负责清理现场垃圾</w:t>
      </w:r>
      <w:r>
        <w:rPr>
          <w:rFonts w:ascii="Times New Roman" w:hAnsi="Times New Roman" w:eastAsia="宋体" w:cs="Times New Roman"/>
          <w:sz w:val="24"/>
        </w:rPr>
        <w:t>。</w:t>
      </w:r>
    </w:p>
    <w:p w14:paraId="75F69CE7">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（2）承包人还应按监理人指示为独立承包人以外的他人在施工场地或者附近实施与合同工程有关的其他工作提供可能的条件，可能发生费用由监理人按第3.5款商定或者确定。</w:t>
      </w:r>
    </w:p>
    <w:p w14:paraId="2D0CF1D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4.1.10其他义务  </w:t>
      </w:r>
    </w:p>
    <w:p w14:paraId="15FD14C3">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582A8B54">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（2）承包人应履行合同约定的其他义务以及下述义务：</w:t>
      </w:r>
    </w:p>
    <w:p w14:paraId="50A8DE22">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a.委派负责现场管理的承包人代表须持有与本工程相应的资格证书；</w:t>
      </w:r>
    </w:p>
    <w:p w14:paraId="2C7B4A8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b.施工中如发现设计错误或严重不合理时，承包人应立即以书面形式通知监理人并经监理人报发包人；</w:t>
      </w:r>
    </w:p>
    <w:p w14:paraId="335C82AA">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c.承包人应自觉遵守执行国家及北京市行业主管部门颁布实施的有关安全生产的法规、规章、制度、标准；</w:t>
      </w:r>
    </w:p>
    <w:p w14:paraId="1E6EA1B7">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d.承包人应当服从发包人现行的施工现场统一管理的规定及有关安全生产法规、规章、制度、标准，严格执行发包人下达的各项安全指令，确保安全施工，并按合同有关条款加强自身管理，履行承包人责任；</w:t>
      </w:r>
    </w:p>
    <w:p w14:paraId="5891E0A0">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e.承包人确保本工程无安全事故发生，达到北京市安全文明样板工地；</w:t>
      </w:r>
    </w:p>
    <w:p w14:paraId="78E4BFA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f.已竣工工程未交付发包人之前，承包人负责其保护工作。保护期间发生损坏的，由承包人予以修复并承担相应费用；</w:t>
      </w:r>
    </w:p>
    <w:p w14:paraId="51914355">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g.对竣工验收后保修期内发现的因承包人原因造成的工程质量问题负责免费返修，对造成的间接损失负责全部赔偿；</w:t>
      </w:r>
    </w:p>
    <w:p w14:paraId="6967AD71">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h.由承包人采用招标方式选定专业分包人的项目，承包人应承担相关的全部费用（包括招标过程发生的招标代理费、造价咨询费、评标专家费、专业分包招标交易服务费及合同印花税等）；</w:t>
      </w:r>
    </w:p>
    <w:p w14:paraId="3FB44C3E">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i.承包人应为发包人工作人员或监理提供如下服务：将承包人负责修建、维修及保养的任何道路或通道，提供给上述人员使用； 允许上述人员使用承包人提供的临时工程或承包人在现场的垂直运输机械和设备（如果有）；为保证承包人和其它专业施工单位的工作不发生冲突，承包人应对他们的工作场所和材料存放等负责协调；</w:t>
      </w:r>
    </w:p>
    <w:p w14:paraId="0C20EDC4">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j.除非合同文件中另有约定，从工程开工日期起直至颁发整个工程的竣工移交证书日期止，承包人应对工程以及材料和待安装的工程设备等的照管负完全责任。这种照管的责任应随工程一起移交给发包人。承包人还应对移交后发生的，由承包人负责的以前的事件引起的损失或损害负责；</w:t>
      </w:r>
    </w:p>
    <w:p w14:paraId="15727FE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k.负责施工现场的所有施工临时设施、临时道路、备用发电机、水、电管线的修建安装，保证施工的正常进行；</w:t>
      </w:r>
    </w:p>
    <w:p w14:paraId="7D1F4C01">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l.承包人应承担在施工中因承包人原因发生的停工、返工、材料及物件的倒运、机械二次进场等所造成的损失；</w:t>
      </w:r>
    </w:p>
    <w:p w14:paraId="13406FE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m.承包人应对整个现场的施工组织和施工方案的适用性、稳定性和安全性负全面责任。同时根据施工现场的实际情况建立健全质量保证体系、环境保证体系和职业健康与安全保证体系；</w:t>
      </w:r>
    </w:p>
    <w:p w14:paraId="7970A9C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n.承包人应保证工程各部分的位置、标高、尺寸和基准线的正确性；监理对放线和标高的检查，绝不意味着解除承包人对放线定位的责任；</w:t>
      </w:r>
    </w:p>
    <w:p w14:paraId="462AB427">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o.无论何时，承包人向发包人提供的有关工程施工的书面文件虽经审批、修改，但亦不能免除承包人按合同文件或法律应承担的责任；</w:t>
      </w:r>
    </w:p>
    <w:p w14:paraId="29A47F1A">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p.合同签订后7个日历天内提交施工组织设计及施工总进度计划、人员资质等需承包人向监理人提交的发布动工令的全部要件；</w:t>
      </w:r>
    </w:p>
    <w:p w14:paraId="1B4B16A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sz w:val="24"/>
          <w:u w:val="single"/>
        </w:rPr>
        <w:t>q.为避免正常施工时产生的噪音、震动、光线等因素导致周围的居民和公众对工程进展造成影响，承包人应当及时采取合理措施对施工场地周围的居民和公众进行协调，并在必要时支付补偿金，补偿金由发包人负担。</w:t>
      </w:r>
    </w:p>
    <w:p w14:paraId="6CBFB97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38" w:name="_Toc241459676"/>
      <w:bookmarkStart w:id="1539" w:name="_Toc362252901"/>
      <w:bookmarkStart w:id="1540" w:name="_Toc342296435"/>
      <w:bookmarkStart w:id="1541" w:name="_Toc179632660"/>
      <w:bookmarkStart w:id="1542" w:name="_Toc152045642"/>
      <w:bookmarkStart w:id="1543" w:name="_Toc144974610"/>
      <w:bookmarkStart w:id="1544" w:name="_Toc152042420"/>
      <w:r>
        <w:rPr>
          <w:rFonts w:ascii="宋体" w:hAnsi="Times New Roman" w:eastAsia="宋体" w:cs="Times New Roman"/>
          <w:b w:val="0"/>
          <w:color w:val="000000"/>
          <w:kern w:val="0"/>
          <w:sz w:val="24"/>
          <w:szCs w:val="24"/>
          <w:u w:val="single"/>
          <w:lang w:val="en-US" w:eastAsia="zh-CN" w:bidi="ar-SA"/>
        </w:rPr>
        <w:t>4.2 履约担保</w:t>
      </w:r>
      <w:bookmarkEnd w:id="1538"/>
      <w:bookmarkEnd w:id="1539"/>
      <w:bookmarkEnd w:id="1540"/>
      <w:r>
        <w:rPr>
          <w:rFonts w:ascii="宋体" w:hAnsi="Times New Roman" w:eastAsia="宋体" w:cs="Times New Roman"/>
          <w:b w:val="0"/>
          <w:color w:val="000000"/>
          <w:kern w:val="0"/>
          <w:sz w:val="24"/>
          <w:szCs w:val="24"/>
          <w:u w:val="single"/>
          <w:lang w:val="en-US" w:eastAsia="zh-CN" w:bidi="ar-SA"/>
        </w:rPr>
        <w:t xml:space="preserve"> </w:t>
      </w:r>
    </w:p>
    <w:p w14:paraId="1F90D2F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4.2.1 履约担保的格式和金额</w:t>
      </w:r>
    </w:p>
    <w:p w14:paraId="7AC94D9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w:t>
      </w:r>
      <w:r>
        <w:rPr>
          <w:rFonts w:ascii="Times New Roman" w:hAnsi="Times New Roman" w:eastAsia="宋体" w:cs="Times New Roman"/>
          <w:color w:val="FF0000"/>
          <w:sz w:val="24"/>
        </w:rPr>
        <w:t>履约担保的金额为</w:t>
      </w:r>
      <w:r>
        <w:rPr>
          <w:rFonts w:ascii="Times New Roman" w:hAnsi="Times New Roman" w:eastAsia="宋体" w:cs="Times New Roman"/>
          <w:color w:val="FF0000"/>
          <w:sz w:val="24"/>
          <w:u w:val="single"/>
        </w:rPr>
        <w:t xml:space="preserve">    /    </w:t>
      </w:r>
      <w:r>
        <w:rPr>
          <w:rFonts w:ascii="Times New Roman" w:hAnsi="Times New Roman" w:eastAsia="宋体" w:cs="Times New Roman"/>
          <w:color w:val="FF0000"/>
          <w:sz w:val="24"/>
        </w:rPr>
        <w:t>。</w:t>
      </w:r>
      <w:r>
        <w:rPr>
          <w:rFonts w:ascii="Times New Roman" w:hAnsi="Times New Roman" w:eastAsia="宋体" w:cs="Times New Roman"/>
          <w:color w:val="000000"/>
          <w:sz w:val="24"/>
        </w:rPr>
        <w:t>履约担保是本合同的附件。</w:t>
      </w:r>
    </w:p>
    <w:p w14:paraId="16BAAC6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4.2.2 履约担保的有效期</w:t>
      </w:r>
    </w:p>
    <w:p w14:paraId="162CEFA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003FD2C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4.2.3 履约担保的退还</w:t>
      </w:r>
    </w:p>
    <w:p w14:paraId="5B31E10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履约担保应在监理人向承包人颁发（出具）工程接收证书之日后28天内退还给承包人。发包人不承担承包人与履约担保有关的任何利息或其它类似的费用或者收益。</w:t>
      </w:r>
    </w:p>
    <w:p w14:paraId="11D3389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4.2.4 通知义务</w:t>
      </w:r>
    </w:p>
    <w:p w14:paraId="3880B05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08FC5435">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45" w:name="_Toc241459677"/>
      <w:bookmarkStart w:id="1546" w:name="_Toc342296436"/>
      <w:bookmarkStart w:id="1547" w:name="_Toc362252902"/>
      <w:r>
        <w:rPr>
          <w:rFonts w:ascii="宋体" w:hAnsi="Times New Roman" w:eastAsia="宋体" w:cs="Times New Roman"/>
          <w:b w:val="0"/>
          <w:color w:val="000000"/>
          <w:kern w:val="0"/>
          <w:sz w:val="24"/>
          <w:szCs w:val="24"/>
          <w:u w:val="single"/>
          <w:lang w:val="en-US" w:eastAsia="zh-CN" w:bidi="ar-SA"/>
        </w:rPr>
        <w:t>4.3 分包</w:t>
      </w:r>
      <w:bookmarkEnd w:id="1541"/>
      <w:bookmarkEnd w:id="1542"/>
      <w:bookmarkEnd w:id="1543"/>
      <w:bookmarkEnd w:id="1544"/>
      <w:bookmarkEnd w:id="1545"/>
      <w:bookmarkEnd w:id="1546"/>
      <w:bookmarkEnd w:id="1547"/>
      <w:r>
        <w:rPr>
          <w:rFonts w:ascii="宋体" w:hAnsi="Times New Roman" w:eastAsia="宋体" w:cs="Times New Roman"/>
          <w:b w:val="0"/>
          <w:color w:val="000000"/>
          <w:kern w:val="0"/>
          <w:sz w:val="24"/>
          <w:szCs w:val="24"/>
          <w:u w:val="single"/>
          <w:lang w:val="en-US" w:eastAsia="zh-CN" w:bidi="ar-SA"/>
        </w:rPr>
        <w:t xml:space="preserve"> </w:t>
      </w:r>
    </w:p>
    <w:p w14:paraId="1F3192E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4.3.2发包人同意承包人分包的非主体、非关键性工作见投标函附录。除通用合同条款第4.3款的约定外，分包还应遵循以下约定：</w:t>
      </w:r>
    </w:p>
    <w:p w14:paraId="2C73880D">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511F3A4E">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767734B5">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（3）在相关分包合同签订并报送有关建设行政主管部门备案后7天内，承包人应当将一份副本提交给监理人，承包人应保障分包工作不得再次分包。</w:t>
      </w:r>
    </w:p>
    <w:p w14:paraId="5703654B">
      <w:pPr>
        <w:spacing w:line="400" w:lineRule="exact"/>
        <w:ind w:firstLine="360" w:firstLineChars="150"/>
        <w:rPr>
          <w:rFonts w:ascii="Times New Roman" w:hAnsi="Times New Roman" w:eastAsia="宋体" w:cs="Times New Roman"/>
          <w:color w:val="000000"/>
          <w:sz w:val="24"/>
        </w:rPr>
      </w:pPr>
      <w:r>
        <w:rPr>
          <w:rFonts w:ascii="Times New Roman" w:hAnsi="Times New Roman" w:eastAsia="宋体" w:cs="Times New Roman"/>
          <w:color w:val="000000"/>
          <w:sz w:val="24"/>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C55A1AD">
      <w:pPr>
        <w:spacing w:line="400" w:lineRule="exact"/>
        <w:ind w:firstLine="360" w:firstLineChars="150"/>
        <w:rPr>
          <w:rFonts w:ascii="Times New Roman" w:hAnsi="Times New Roman" w:eastAsia="宋体" w:cs="Times New Roman"/>
          <w:color w:val="000000"/>
          <w:sz w:val="24"/>
        </w:rPr>
      </w:pPr>
      <w:bookmarkStart w:id="1548" w:name="_Toc179632662"/>
      <w:bookmarkStart w:id="1549" w:name="_Toc152045644"/>
      <w:bookmarkStart w:id="1550" w:name="_Toc144974612"/>
      <w:bookmarkStart w:id="1551" w:name="_Toc152042422"/>
      <w:r>
        <w:rPr>
          <w:rFonts w:ascii="Times New Roman" w:hAnsi="Times New Roman" w:eastAsia="宋体" w:cs="Times New Roman"/>
          <w:color w:val="000000"/>
          <w:sz w:val="24"/>
        </w:rPr>
        <w:t>（5）未经发包人和监理人审批同意的分包工程和分包人，发包人有权拒绝验收分包工程和支付相应款项，由此引起的承包人费用增加和（或）延误的工期由承包人承担。</w:t>
      </w:r>
    </w:p>
    <w:p w14:paraId="6445F27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52" w:name="_Toc362252903"/>
      <w:bookmarkStart w:id="1553" w:name="_Toc241459678"/>
      <w:bookmarkStart w:id="1554" w:name="_Toc342296437"/>
      <w:r>
        <w:rPr>
          <w:rFonts w:ascii="宋体" w:hAnsi="Times New Roman" w:eastAsia="宋体" w:cs="Times New Roman"/>
          <w:b w:val="0"/>
          <w:color w:val="000000"/>
          <w:kern w:val="0"/>
          <w:sz w:val="24"/>
          <w:szCs w:val="24"/>
          <w:u w:val="single"/>
          <w:lang w:val="en-US" w:eastAsia="zh-CN" w:bidi="ar-SA"/>
        </w:rPr>
        <w:t>4.5 承包人项目经理</w:t>
      </w:r>
      <w:bookmarkEnd w:id="1548"/>
      <w:bookmarkEnd w:id="1549"/>
      <w:bookmarkEnd w:id="1550"/>
      <w:bookmarkEnd w:id="1551"/>
      <w:bookmarkEnd w:id="1552"/>
      <w:bookmarkEnd w:id="1553"/>
      <w:bookmarkEnd w:id="1554"/>
    </w:p>
    <w:p w14:paraId="1931E5A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073008D">
      <w:pPr>
        <w:keepNext/>
        <w:keepLines/>
        <w:widowControl w:val="0"/>
        <w:autoSpaceDE w:val="0"/>
        <w:autoSpaceDN w:val="0"/>
        <w:adjustRightInd w:val="0"/>
        <w:spacing w:before="0" w:after="0" w:line="400" w:lineRule="exact"/>
        <w:jc w:val="left"/>
        <w:outlineLvl w:val="3"/>
        <w:rPr>
          <w:rFonts w:ascii="宋体" w:hAnsi="Times New Roman" w:eastAsia="宋体" w:cs="Times New Roman"/>
          <w:b w:val="0"/>
          <w:color w:val="000000"/>
          <w:kern w:val="0"/>
          <w:sz w:val="24"/>
          <w:szCs w:val="24"/>
          <w:u w:val="single"/>
          <w:lang w:val="en-US" w:eastAsia="zh-CN" w:bidi="ar-SA"/>
        </w:rPr>
      </w:pPr>
      <w:bookmarkStart w:id="1555" w:name="_Toc144974618"/>
      <w:bookmarkStart w:id="1556" w:name="_Toc362252904"/>
      <w:bookmarkStart w:id="1557" w:name="_Toc241459679"/>
      <w:bookmarkStart w:id="1558" w:name="_Toc342296438"/>
      <w:bookmarkStart w:id="1559" w:name="_Toc152042428"/>
      <w:bookmarkStart w:id="1560" w:name="_Toc152045650"/>
      <w:bookmarkStart w:id="1561" w:name="_Toc179632668"/>
      <w:r>
        <w:rPr>
          <w:rFonts w:ascii="宋体" w:hAnsi="Times New Roman" w:eastAsia="宋体" w:cs="Times New Roman"/>
          <w:b w:val="0"/>
          <w:color w:val="000000"/>
          <w:kern w:val="0"/>
          <w:sz w:val="24"/>
          <w:szCs w:val="24"/>
          <w:u w:val="single"/>
          <w:lang w:val="en-US" w:eastAsia="zh-CN" w:bidi="ar-SA"/>
        </w:rPr>
        <w:t>4.11 不利物质条件</w:t>
      </w:r>
      <w:bookmarkEnd w:id="1555"/>
      <w:bookmarkEnd w:id="1556"/>
      <w:bookmarkEnd w:id="1557"/>
      <w:bookmarkEnd w:id="1558"/>
      <w:bookmarkEnd w:id="1559"/>
      <w:bookmarkEnd w:id="1560"/>
      <w:bookmarkEnd w:id="1561"/>
    </w:p>
    <w:p w14:paraId="7F3C29C0">
      <w:pPr>
        <w:spacing w:line="400" w:lineRule="exact"/>
        <w:rPr>
          <w:rFonts w:ascii="Times New Roman" w:hAnsi="Times New Roman" w:eastAsia="宋体" w:cs="Times New Roman"/>
          <w:color w:val="000000"/>
          <w:sz w:val="24"/>
          <w:u w:val="single"/>
        </w:rPr>
      </w:pPr>
      <w:bookmarkStart w:id="1562" w:name="_Toc152045651"/>
      <w:bookmarkStart w:id="1563" w:name="_Toc179632669"/>
      <w:bookmarkStart w:id="1564" w:name="_Toc144974619"/>
      <w:bookmarkStart w:id="1565" w:name="_Toc152042429"/>
      <w:r>
        <w:rPr>
          <w:rFonts w:ascii="Times New Roman" w:hAnsi="Times New Roman" w:eastAsia="宋体" w:cs="Times New Roman"/>
          <w:color w:val="000000"/>
          <w:sz w:val="24"/>
        </w:rPr>
        <w:t>4.11.1不利物质条件的范围：</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6A24C18C">
      <w:pPr>
        <w:pStyle w:val="258"/>
        <w:spacing w:before="0"/>
        <w:outlineLvl w:val="0"/>
        <w:rPr>
          <w:rFonts w:eastAsia="宋体" w:cs="Times New Roman"/>
          <w:color w:val="000000"/>
          <w:sz w:val="24"/>
          <w:szCs w:val="24"/>
        </w:rPr>
      </w:pPr>
      <w:bookmarkStart w:id="1566" w:name="_Toc241459680"/>
      <w:bookmarkStart w:id="1567" w:name="_Toc342296439"/>
      <w:bookmarkStart w:id="1568" w:name="_Toc362252905"/>
      <w:r>
        <w:rPr>
          <w:rFonts w:eastAsia="宋体" w:cs="Times New Roman"/>
          <w:color w:val="000000"/>
          <w:sz w:val="24"/>
          <w:szCs w:val="24"/>
        </w:rPr>
        <w:t>5. 材料和工程设备</w:t>
      </w:r>
      <w:bookmarkEnd w:id="1562"/>
      <w:bookmarkEnd w:id="1563"/>
      <w:bookmarkEnd w:id="1564"/>
      <w:bookmarkEnd w:id="1565"/>
      <w:bookmarkEnd w:id="1566"/>
      <w:bookmarkEnd w:id="1567"/>
      <w:bookmarkEnd w:id="1568"/>
    </w:p>
    <w:p w14:paraId="367BC545">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69" w:name="_Toc152045652"/>
      <w:bookmarkStart w:id="1570" w:name="_Toc179632670"/>
      <w:bookmarkStart w:id="1571" w:name="_Toc144974620"/>
      <w:bookmarkStart w:id="1572" w:name="_Toc152042430"/>
      <w:bookmarkStart w:id="1573" w:name="_Toc241459681"/>
      <w:bookmarkStart w:id="1574" w:name="_Toc342296440"/>
      <w:bookmarkStart w:id="1575" w:name="_Toc362252906"/>
      <w:r>
        <w:rPr>
          <w:rFonts w:ascii="宋体" w:hAnsi="Times New Roman" w:eastAsia="宋体" w:cs="Times New Roman"/>
          <w:b w:val="0"/>
          <w:color w:val="000000"/>
          <w:kern w:val="0"/>
          <w:sz w:val="24"/>
          <w:szCs w:val="24"/>
          <w:u w:val="single"/>
          <w:lang w:val="en-US" w:eastAsia="zh-CN" w:bidi="ar-SA"/>
        </w:rPr>
        <w:t>5.1 承包人提供的材料和工程设备</w:t>
      </w:r>
      <w:bookmarkEnd w:id="1569"/>
      <w:bookmarkEnd w:id="1570"/>
      <w:bookmarkEnd w:id="1571"/>
      <w:bookmarkEnd w:id="1572"/>
      <w:bookmarkEnd w:id="1573"/>
      <w:bookmarkEnd w:id="1574"/>
      <w:bookmarkEnd w:id="1575"/>
    </w:p>
    <w:p w14:paraId="3F9C996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5716C09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5.1.2 承包人将由其提供的材料和工程设备的供货人及品种、规格、数量和供货时间等报送监理人审批的期限：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不少于15天</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561FE37E">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76" w:name="_Toc362252907"/>
      <w:bookmarkStart w:id="1577" w:name="_Toc241459682"/>
      <w:bookmarkStart w:id="1578" w:name="_Toc152042431"/>
      <w:bookmarkStart w:id="1579" w:name="_Toc144974621"/>
      <w:bookmarkStart w:id="1580" w:name="_Toc179632671"/>
      <w:bookmarkStart w:id="1581" w:name="_Toc152045653"/>
      <w:bookmarkStart w:id="1582" w:name="_Toc342296441"/>
      <w:r>
        <w:rPr>
          <w:rFonts w:ascii="宋体" w:hAnsi="Times New Roman" w:eastAsia="宋体" w:cs="Times New Roman"/>
          <w:b w:val="0"/>
          <w:color w:val="000000"/>
          <w:kern w:val="0"/>
          <w:sz w:val="24"/>
          <w:szCs w:val="24"/>
          <w:u w:val="single"/>
          <w:lang w:val="en-US" w:eastAsia="zh-CN" w:bidi="ar-SA"/>
        </w:rPr>
        <w:t>5.2 发包人提供的材料和工程设备</w:t>
      </w:r>
      <w:bookmarkEnd w:id="1576"/>
      <w:bookmarkEnd w:id="1577"/>
      <w:bookmarkEnd w:id="1578"/>
      <w:bookmarkEnd w:id="1579"/>
      <w:bookmarkEnd w:id="1580"/>
      <w:bookmarkEnd w:id="1581"/>
      <w:bookmarkEnd w:id="1582"/>
    </w:p>
    <w:p w14:paraId="3312C36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5.2.1发包人负责提供的材料和工程设备的名称、规格、数量、价格、交货方式、交货地点和计划交货日期等见合同附件三“发包人提供的材料和工程设备一览表”。</w:t>
      </w:r>
    </w:p>
    <w:p w14:paraId="3354788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5.2.3由发包人提供的材料和工程设备验收后，由承包人负责接收、运输和保管。 </w:t>
      </w:r>
    </w:p>
    <w:p w14:paraId="0AD4AAEB">
      <w:pPr>
        <w:pStyle w:val="258"/>
        <w:spacing w:before="0"/>
        <w:outlineLvl w:val="0"/>
        <w:rPr>
          <w:rFonts w:eastAsia="宋体" w:cs="Times New Roman"/>
          <w:color w:val="000000"/>
          <w:sz w:val="24"/>
          <w:szCs w:val="24"/>
        </w:rPr>
      </w:pPr>
      <w:bookmarkStart w:id="1583" w:name="_Toc241459683"/>
      <w:bookmarkStart w:id="1584" w:name="_Toc144974624"/>
      <w:bookmarkStart w:id="1585" w:name="_Toc342296442"/>
      <w:bookmarkStart w:id="1586" w:name="_Toc152045656"/>
      <w:bookmarkStart w:id="1587" w:name="_Toc179632674"/>
      <w:bookmarkStart w:id="1588" w:name="_Toc362252908"/>
      <w:bookmarkStart w:id="1589" w:name="_Toc152042434"/>
      <w:r>
        <w:rPr>
          <w:rFonts w:eastAsia="宋体" w:cs="Times New Roman"/>
          <w:color w:val="000000"/>
          <w:sz w:val="24"/>
          <w:szCs w:val="24"/>
        </w:rPr>
        <w:t>6. 施工设备和临时设施</w:t>
      </w:r>
      <w:bookmarkEnd w:id="1583"/>
      <w:bookmarkEnd w:id="1584"/>
      <w:bookmarkEnd w:id="1585"/>
      <w:bookmarkEnd w:id="1586"/>
      <w:bookmarkEnd w:id="1587"/>
      <w:bookmarkEnd w:id="1588"/>
      <w:bookmarkEnd w:id="1589"/>
    </w:p>
    <w:p w14:paraId="4F7B6104">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90" w:name="_Toc152045657"/>
      <w:bookmarkStart w:id="1591" w:name="_Toc144974625"/>
      <w:bookmarkStart w:id="1592" w:name="_Toc241459684"/>
      <w:bookmarkStart w:id="1593" w:name="_Toc152042435"/>
      <w:bookmarkStart w:id="1594" w:name="_Toc179632675"/>
      <w:bookmarkStart w:id="1595" w:name="_Toc342296443"/>
      <w:bookmarkStart w:id="1596" w:name="_Toc362252909"/>
      <w:r>
        <w:rPr>
          <w:rFonts w:ascii="宋体" w:hAnsi="Times New Roman" w:eastAsia="宋体" w:cs="Times New Roman"/>
          <w:b w:val="0"/>
          <w:color w:val="000000"/>
          <w:kern w:val="0"/>
          <w:sz w:val="24"/>
          <w:szCs w:val="24"/>
          <w:u w:val="single"/>
          <w:lang w:val="en-US" w:eastAsia="zh-CN" w:bidi="ar-SA"/>
        </w:rPr>
        <w:t>6.1 承包人提供的施工设备和临时设施</w:t>
      </w:r>
      <w:bookmarkEnd w:id="1590"/>
      <w:bookmarkEnd w:id="1591"/>
      <w:bookmarkEnd w:id="1592"/>
      <w:bookmarkEnd w:id="1593"/>
      <w:bookmarkEnd w:id="1594"/>
      <w:bookmarkEnd w:id="1595"/>
      <w:bookmarkEnd w:id="1596"/>
    </w:p>
    <w:p w14:paraId="13D113D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6.1.2发包人承担修建临时设施的费用的范围：</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接至施工现场的临时管线；临时用房；临时道路等</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7A7DAF6">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需要发包人办理申请手续和承担相关费用的临时占地：</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 xml:space="preserve">。 </w:t>
      </w:r>
    </w:p>
    <w:p w14:paraId="2A04BD73">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597" w:name="_Toc241459685"/>
      <w:bookmarkStart w:id="1598" w:name="_Toc342296444"/>
      <w:bookmarkStart w:id="1599" w:name="_Toc152045658"/>
      <w:bookmarkStart w:id="1600" w:name="_Toc152042436"/>
      <w:bookmarkStart w:id="1601" w:name="_Toc179632676"/>
      <w:bookmarkStart w:id="1602" w:name="_Toc362252910"/>
      <w:bookmarkStart w:id="1603" w:name="_Toc144974626"/>
      <w:r>
        <w:rPr>
          <w:rFonts w:ascii="宋体" w:hAnsi="Times New Roman" w:eastAsia="宋体" w:cs="Times New Roman"/>
          <w:b w:val="0"/>
          <w:color w:val="000000"/>
          <w:kern w:val="0"/>
          <w:sz w:val="24"/>
          <w:szCs w:val="24"/>
          <w:u w:val="single"/>
          <w:lang w:val="en-US" w:eastAsia="zh-CN" w:bidi="ar-SA"/>
        </w:rPr>
        <w:t>6.2 发包人提供的施工设备和临时设施</w:t>
      </w:r>
      <w:bookmarkEnd w:id="1597"/>
      <w:bookmarkEnd w:id="1598"/>
      <w:bookmarkEnd w:id="1599"/>
      <w:bookmarkEnd w:id="1600"/>
      <w:bookmarkEnd w:id="1601"/>
      <w:bookmarkEnd w:id="1602"/>
      <w:bookmarkEnd w:id="1603"/>
    </w:p>
    <w:p w14:paraId="3A4C027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发包人提供的施工设备和临时设施：</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水、电接驳点，接至施工现场的管线（电缆）由承包人承担</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DCD4A1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发包人提供的施工设备和临时设施的运行、维护、拆除、清运费用的承担人：</w:t>
      </w:r>
      <w:r>
        <w:rPr>
          <w:rFonts w:ascii="Times New Roman" w:hAnsi="Times New Roman" w:eastAsia="宋体" w:cs="Times New Roman"/>
          <w:sz w:val="24"/>
          <w:u w:val="single"/>
        </w:rPr>
        <w:t>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6F2F57C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604" w:name="_Toc152045660"/>
      <w:bookmarkStart w:id="1605" w:name="_Toc179632678"/>
      <w:bookmarkStart w:id="1606" w:name="_Toc241459686"/>
      <w:bookmarkStart w:id="1607" w:name="_Toc342296445"/>
      <w:bookmarkStart w:id="1608" w:name="_Toc144974628"/>
      <w:bookmarkStart w:id="1609" w:name="_Toc362252911"/>
      <w:bookmarkStart w:id="1610" w:name="_Toc152042438"/>
      <w:r>
        <w:rPr>
          <w:rFonts w:ascii="宋体" w:hAnsi="Times New Roman" w:eastAsia="宋体" w:cs="Times New Roman"/>
          <w:b w:val="0"/>
          <w:color w:val="000000"/>
          <w:kern w:val="0"/>
          <w:sz w:val="24"/>
          <w:szCs w:val="24"/>
          <w:u w:val="single"/>
          <w:lang w:val="en-US" w:eastAsia="zh-CN" w:bidi="ar-SA"/>
        </w:rPr>
        <w:t>6.4 施工设备和临时设施专用于合同工程</w:t>
      </w:r>
      <w:bookmarkEnd w:id="1604"/>
      <w:bookmarkEnd w:id="1605"/>
      <w:bookmarkEnd w:id="1606"/>
      <w:bookmarkEnd w:id="1607"/>
      <w:bookmarkEnd w:id="1608"/>
      <w:bookmarkEnd w:id="1609"/>
      <w:bookmarkEnd w:id="1610"/>
    </w:p>
    <w:p w14:paraId="3919E798">
      <w:pPr>
        <w:spacing w:line="400" w:lineRule="exact"/>
        <w:ind w:firstLine="480" w:firstLineChars="200"/>
        <w:rPr>
          <w:rFonts w:ascii="Times New Roman" w:hAnsi="Times New Roman" w:eastAsia="宋体" w:cs="Times New Roman"/>
          <w:color w:val="000000"/>
          <w:sz w:val="24"/>
          <w:u w:val="single"/>
          <w:bdr w:val="single" w:color="auto" w:sz="4" w:space="0"/>
        </w:rPr>
      </w:pPr>
      <w:r>
        <w:rPr>
          <w:rFonts w:ascii="Times New Roman" w:hAnsi="Times New Roman" w:eastAsia="宋体" w:cs="Times New Roman"/>
          <w:color w:val="000000"/>
          <w:sz w:val="24"/>
        </w:rPr>
        <w:t>6.4.1除为专用合同条款第4.1.8项约定的其他独立承包人和监理人指示的他人提供条件外,承包人运入施工场地的所有施工设备以及在施工场地建设的临时设施仅限于用于合同工程。</w:t>
      </w:r>
    </w:p>
    <w:p w14:paraId="4F94A118">
      <w:pPr>
        <w:pStyle w:val="258"/>
        <w:spacing w:before="0"/>
        <w:outlineLvl w:val="0"/>
        <w:rPr>
          <w:rFonts w:eastAsia="宋体" w:cs="Times New Roman"/>
          <w:color w:val="000000"/>
          <w:sz w:val="24"/>
          <w:szCs w:val="24"/>
        </w:rPr>
      </w:pPr>
      <w:bookmarkStart w:id="1611" w:name="_Toc152042439"/>
      <w:bookmarkStart w:id="1612" w:name="_Toc144974629"/>
      <w:bookmarkStart w:id="1613" w:name="_Toc241459687"/>
      <w:bookmarkStart w:id="1614" w:name="_Toc179632679"/>
      <w:bookmarkStart w:id="1615" w:name="_Toc152045661"/>
      <w:bookmarkStart w:id="1616" w:name="_Toc342296446"/>
      <w:bookmarkStart w:id="1617" w:name="_Toc362252912"/>
      <w:r>
        <w:rPr>
          <w:rFonts w:eastAsia="宋体" w:cs="Times New Roman"/>
          <w:color w:val="000000"/>
          <w:sz w:val="24"/>
          <w:szCs w:val="24"/>
        </w:rPr>
        <w:t>7. 交通运输</w:t>
      </w:r>
      <w:bookmarkEnd w:id="1611"/>
      <w:bookmarkEnd w:id="1612"/>
      <w:bookmarkEnd w:id="1613"/>
      <w:bookmarkEnd w:id="1614"/>
      <w:bookmarkEnd w:id="1615"/>
      <w:bookmarkEnd w:id="1616"/>
      <w:bookmarkEnd w:id="1617"/>
    </w:p>
    <w:p w14:paraId="00362F23">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618" w:name="_Toc342296447"/>
      <w:bookmarkStart w:id="1619" w:name="_Toc362252913"/>
      <w:bookmarkStart w:id="1620" w:name="_Toc152042440"/>
      <w:bookmarkStart w:id="1621" w:name="_Toc144974630"/>
      <w:bookmarkStart w:id="1622" w:name="_Toc241459688"/>
      <w:bookmarkStart w:id="1623" w:name="_Toc152045662"/>
      <w:bookmarkStart w:id="1624" w:name="_Toc179632680"/>
      <w:r>
        <w:rPr>
          <w:rFonts w:ascii="宋体" w:hAnsi="Times New Roman" w:eastAsia="宋体" w:cs="Times New Roman"/>
          <w:b w:val="0"/>
          <w:color w:val="000000"/>
          <w:kern w:val="0"/>
          <w:sz w:val="24"/>
          <w:szCs w:val="24"/>
          <w:u w:val="single"/>
          <w:lang w:val="en-US" w:eastAsia="zh-CN" w:bidi="ar-SA"/>
        </w:rPr>
        <w:t>7.1 道路通行权和场外设施</w:t>
      </w:r>
      <w:bookmarkEnd w:id="1618"/>
      <w:bookmarkEnd w:id="1619"/>
      <w:bookmarkEnd w:id="1620"/>
      <w:bookmarkEnd w:id="1621"/>
      <w:bookmarkEnd w:id="1622"/>
      <w:bookmarkEnd w:id="1623"/>
      <w:bookmarkEnd w:id="1624"/>
    </w:p>
    <w:p w14:paraId="7BB11C00">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取得道路通行权、场外设施修建权的办理人:</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，其相关费用由发包人承担。                       </w:t>
      </w:r>
    </w:p>
    <w:p w14:paraId="0BA2CE23">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625" w:name="_Toc152045663"/>
      <w:bookmarkStart w:id="1626" w:name="_Toc179632681"/>
      <w:bookmarkStart w:id="1627" w:name="_Toc342296448"/>
      <w:bookmarkStart w:id="1628" w:name="_Toc241459689"/>
      <w:bookmarkStart w:id="1629" w:name="_Toc144974631"/>
      <w:bookmarkStart w:id="1630" w:name="_Toc362252914"/>
      <w:bookmarkStart w:id="1631" w:name="_Toc152042441"/>
      <w:r>
        <w:rPr>
          <w:rFonts w:ascii="宋体" w:hAnsi="Times New Roman" w:eastAsia="宋体" w:cs="Times New Roman"/>
          <w:b w:val="0"/>
          <w:color w:val="000000"/>
          <w:kern w:val="0"/>
          <w:sz w:val="24"/>
          <w:szCs w:val="24"/>
          <w:u w:val="single"/>
          <w:lang w:val="en-US" w:eastAsia="zh-CN" w:bidi="ar-SA"/>
        </w:rPr>
        <w:t>7.2 场内施工道路</w:t>
      </w:r>
      <w:bookmarkEnd w:id="1625"/>
      <w:bookmarkEnd w:id="1626"/>
      <w:bookmarkEnd w:id="1627"/>
      <w:bookmarkEnd w:id="1628"/>
      <w:bookmarkEnd w:id="1629"/>
      <w:bookmarkEnd w:id="1630"/>
      <w:bookmarkEnd w:id="1631"/>
    </w:p>
    <w:p w14:paraId="5893E21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7.2.1施工所需的场内临时道路和交通设施的修建、维护、养护和管理人：</w:t>
      </w:r>
      <w:r>
        <w:rPr>
          <w:rFonts w:ascii="Times New Roman" w:hAnsi="Times New Roman" w:eastAsia="宋体" w:cs="Times New Roman"/>
          <w:sz w:val="24"/>
          <w:u w:val="single"/>
        </w:rPr>
        <w:t>承包人</w:t>
      </w:r>
      <w:r>
        <w:rPr>
          <w:rFonts w:ascii="Times New Roman" w:hAnsi="Times New Roman" w:eastAsia="宋体" w:cs="Times New Roman"/>
          <w:color w:val="000000"/>
          <w:sz w:val="24"/>
        </w:rPr>
        <w:t>，相关费用由</w:t>
      </w:r>
      <w:r>
        <w:rPr>
          <w:rFonts w:ascii="Times New Roman" w:hAnsi="Times New Roman" w:eastAsia="宋体" w:cs="Times New Roman"/>
          <w:sz w:val="24"/>
          <w:u w:val="single"/>
        </w:rPr>
        <w:t>承包人</w:t>
      </w:r>
      <w:r>
        <w:rPr>
          <w:rFonts w:ascii="Times New Roman" w:hAnsi="Times New Roman" w:eastAsia="宋体" w:cs="Times New Roman"/>
          <w:color w:val="000000"/>
          <w:sz w:val="24"/>
        </w:rPr>
        <w:t>承担。</w:t>
      </w:r>
    </w:p>
    <w:p w14:paraId="438D0510">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7.2.2发包人和监理人有权无偿使用承包人修建的临时道路和交通设施，不需要交纳任何费用。</w:t>
      </w:r>
    </w:p>
    <w:p w14:paraId="1FA006D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632" w:name="_Toc152042443"/>
      <w:bookmarkStart w:id="1633" w:name="_Toc241459690"/>
      <w:bookmarkStart w:id="1634" w:name="_Toc144974633"/>
      <w:bookmarkStart w:id="1635" w:name="_Toc362252915"/>
      <w:bookmarkStart w:id="1636" w:name="_Toc179632683"/>
      <w:bookmarkStart w:id="1637" w:name="_Toc152045665"/>
      <w:bookmarkStart w:id="1638" w:name="_Toc342296449"/>
      <w:r>
        <w:rPr>
          <w:rFonts w:ascii="宋体" w:hAnsi="Times New Roman" w:eastAsia="宋体" w:cs="Times New Roman"/>
          <w:b w:val="0"/>
          <w:color w:val="000000"/>
          <w:kern w:val="0"/>
          <w:sz w:val="24"/>
          <w:szCs w:val="24"/>
          <w:u w:val="single"/>
          <w:lang w:val="en-US" w:eastAsia="zh-CN" w:bidi="ar-SA"/>
        </w:rPr>
        <w:t>7.4 超大件和超重件的运输</w:t>
      </w:r>
      <w:bookmarkEnd w:id="1632"/>
      <w:bookmarkEnd w:id="1633"/>
      <w:bookmarkEnd w:id="1634"/>
      <w:bookmarkEnd w:id="1635"/>
      <w:bookmarkEnd w:id="1636"/>
      <w:bookmarkEnd w:id="1637"/>
      <w:bookmarkEnd w:id="1638"/>
    </w:p>
    <w:p w14:paraId="5AAD7F50">
      <w:pPr>
        <w:spacing w:line="400" w:lineRule="exact"/>
        <w:ind w:firstLine="480" w:firstLineChars="200"/>
        <w:rPr>
          <w:rFonts w:ascii="Times New Roman" w:hAnsi="Times New Roman" w:eastAsia="宋体" w:cs="Times New Roman"/>
          <w:color w:val="000000"/>
          <w:sz w:val="24"/>
        </w:rPr>
      </w:pPr>
      <w:bookmarkStart w:id="1639" w:name="_Toc152045666"/>
      <w:bookmarkStart w:id="1640" w:name="_Toc179632684"/>
      <w:bookmarkStart w:id="1641" w:name="_Toc144974634"/>
      <w:bookmarkStart w:id="1642" w:name="_Toc152042444"/>
      <w:r>
        <w:rPr>
          <w:rFonts w:ascii="Times New Roman" w:hAnsi="Times New Roman" w:eastAsia="宋体" w:cs="Times New Roman"/>
          <w:color w:val="000000"/>
          <w:sz w:val="24"/>
        </w:rPr>
        <w:t>运输超大件或超重件所需的道路和桥梁临时加固改造等费用的承担人：</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bookmarkEnd w:id="1639"/>
    <w:bookmarkEnd w:id="1640"/>
    <w:bookmarkEnd w:id="1641"/>
    <w:bookmarkEnd w:id="1642"/>
    <w:p w14:paraId="2EAB7329">
      <w:pPr>
        <w:pStyle w:val="258"/>
        <w:spacing w:before="0"/>
        <w:outlineLvl w:val="0"/>
        <w:rPr>
          <w:rFonts w:hint="eastAsia" w:ascii="宋体" w:hAnsi="宋体" w:eastAsia="宋体" w:cs="宋体"/>
          <w:color w:val="000000"/>
          <w:sz w:val="24"/>
          <w:szCs w:val="24"/>
        </w:rPr>
      </w:pPr>
      <w:bookmarkStart w:id="1643" w:name="_Toc152042446"/>
      <w:bookmarkStart w:id="1644" w:name="_Toc144974636"/>
      <w:bookmarkStart w:id="1645" w:name="_Toc362252916"/>
      <w:bookmarkStart w:id="1646" w:name="_Toc241459691"/>
      <w:bookmarkStart w:id="1647" w:name="_Toc179632686"/>
      <w:bookmarkStart w:id="1648" w:name="_Toc152045668"/>
      <w:bookmarkStart w:id="1649" w:name="_Toc342296450"/>
      <w:r>
        <w:rPr>
          <w:rFonts w:hint="eastAsia" w:ascii="宋体" w:hAnsi="宋体" w:eastAsia="宋体" w:cs="宋体"/>
          <w:color w:val="000000"/>
          <w:sz w:val="24"/>
          <w:szCs w:val="24"/>
        </w:rPr>
        <w:t>8. 测量放线</w:t>
      </w:r>
      <w:bookmarkEnd w:id="1643"/>
      <w:bookmarkEnd w:id="1644"/>
      <w:bookmarkEnd w:id="1645"/>
      <w:bookmarkEnd w:id="1646"/>
      <w:bookmarkEnd w:id="1647"/>
      <w:bookmarkEnd w:id="1648"/>
      <w:bookmarkEnd w:id="1649"/>
    </w:p>
    <w:p w14:paraId="22BC955D">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50" w:name="_Toc152042447"/>
      <w:bookmarkStart w:id="1651" w:name="_Toc342296451"/>
      <w:bookmarkStart w:id="1652" w:name="_Toc241459692"/>
      <w:bookmarkStart w:id="1653" w:name="_Toc152045669"/>
      <w:bookmarkStart w:id="1654" w:name="_Toc362252917"/>
      <w:bookmarkStart w:id="1655" w:name="_Toc179632687"/>
      <w:bookmarkStart w:id="1656" w:name="_Toc144974637"/>
      <w:r>
        <w:rPr>
          <w:rFonts w:hint="eastAsia" w:ascii="宋体" w:hAnsi="宋体" w:eastAsia="宋体" w:cs="宋体"/>
          <w:b w:val="0"/>
          <w:color w:val="000000"/>
          <w:kern w:val="0"/>
          <w:sz w:val="24"/>
          <w:szCs w:val="24"/>
          <w:u w:val="single"/>
          <w:lang w:val="en-US" w:eastAsia="zh-CN" w:bidi="ar-SA"/>
        </w:rPr>
        <w:t>8.1 施工控制网</w:t>
      </w:r>
      <w:bookmarkEnd w:id="1650"/>
      <w:bookmarkEnd w:id="1651"/>
      <w:bookmarkEnd w:id="1652"/>
      <w:bookmarkEnd w:id="1653"/>
      <w:bookmarkEnd w:id="1654"/>
      <w:bookmarkEnd w:id="1655"/>
      <w:bookmarkEnd w:id="1656"/>
    </w:p>
    <w:p w14:paraId="7D71F816">
      <w:pPr>
        <w:spacing w:line="400" w:lineRule="exact"/>
        <w:rPr>
          <w:rFonts w:hint="eastAsia" w:ascii="宋体" w:hAnsi="宋体" w:eastAsia="宋体" w:cs="宋体"/>
          <w:color w:val="000000"/>
          <w:sz w:val="24"/>
        </w:rPr>
      </w:pPr>
      <w:r>
        <w:rPr>
          <w:rFonts w:hint="eastAsia" w:ascii="宋体" w:hAnsi="宋体" w:eastAsia="宋体" w:cs="宋体"/>
          <w:color w:val="000000"/>
          <w:sz w:val="24"/>
        </w:rPr>
        <w:t>8.1.1发包人通过监理人提供测量基准点、基准线和水准点及其书面资料的期限：</w:t>
      </w:r>
      <w:r>
        <w:rPr>
          <w:rFonts w:hint="eastAsia" w:ascii="宋体" w:hAnsi="宋体" w:eastAsia="宋体" w:cs="宋体"/>
          <w:sz w:val="24"/>
          <w:u w:val="single"/>
        </w:rPr>
        <w:t>合同签订后7天内</w:t>
      </w:r>
      <w:r>
        <w:rPr>
          <w:rFonts w:hint="eastAsia" w:ascii="宋体" w:hAnsi="宋体" w:eastAsia="宋体" w:cs="宋体"/>
          <w:color w:val="000000"/>
          <w:sz w:val="24"/>
        </w:rPr>
        <w:t xml:space="preserve">。 </w:t>
      </w:r>
    </w:p>
    <w:p w14:paraId="3968817E">
      <w:pPr>
        <w:spacing w:line="400" w:lineRule="exact"/>
        <w:rPr>
          <w:rFonts w:hint="eastAsia" w:ascii="宋体" w:hAnsi="宋体" w:eastAsia="宋体" w:cs="宋体"/>
          <w:color w:val="000000"/>
          <w:sz w:val="24"/>
        </w:rPr>
      </w:pPr>
      <w:r>
        <w:rPr>
          <w:rFonts w:hint="eastAsia" w:ascii="宋体" w:hAnsi="宋体" w:eastAsia="宋体" w:cs="宋体"/>
          <w:color w:val="000000"/>
          <w:sz w:val="24"/>
        </w:rPr>
        <w:t>承包人测设施工控制网的要求：</w:t>
      </w:r>
      <w:r>
        <w:rPr>
          <w:rFonts w:hint="eastAsia" w:ascii="宋体" w:hAnsi="宋体" w:eastAsia="宋体" w:cs="宋体"/>
          <w:color w:val="000000"/>
          <w:sz w:val="24"/>
          <w:u w:val="single"/>
        </w:rPr>
        <w:t xml:space="preserve">  </w:t>
      </w:r>
      <w:r>
        <w:rPr>
          <w:rFonts w:hint="eastAsia" w:ascii="宋体" w:hAnsi="宋体" w:eastAsia="宋体" w:cs="宋体"/>
          <w:sz w:val="24"/>
          <w:u w:val="single"/>
        </w:rPr>
        <w:t>依据监理人提供的测量基准点、基准线和水准点以及国家的工程测量技术规范和合同要求的工程精度，测设施工控制网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34C0A04A">
      <w:pPr>
        <w:spacing w:line="40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承包人将施工控制网资料报送监理人审批的期限：</w:t>
      </w:r>
      <w:r>
        <w:rPr>
          <w:rFonts w:hint="eastAsia" w:ascii="宋体" w:hAnsi="宋体" w:eastAsia="宋体" w:cs="宋体"/>
          <w:color w:val="000000"/>
          <w:sz w:val="24"/>
          <w:u w:val="single"/>
        </w:rPr>
        <w:t xml:space="preserve">  </w:t>
      </w:r>
      <w:r>
        <w:rPr>
          <w:rFonts w:hint="eastAsia" w:ascii="宋体" w:hAnsi="宋体" w:eastAsia="宋体" w:cs="宋体"/>
          <w:sz w:val="24"/>
          <w:u w:val="single"/>
        </w:rPr>
        <w:t>在收到监理人按照通用合同条款第11.1.1项发出的开工通知后7天内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2FEB2E20">
      <w:pPr>
        <w:pStyle w:val="258"/>
        <w:spacing w:before="0"/>
        <w:outlineLvl w:val="0"/>
        <w:rPr>
          <w:rFonts w:hint="eastAsia" w:ascii="宋体" w:hAnsi="宋体" w:eastAsia="宋体" w:cs="宋体"/>
          <w:color w:val="000000"/>
          <w:sz w:val="24"/>
          <w:szCs w:val="24"/>
        </w:rPr>
      </w:pPr>
      <w:bookmarkStart w:id="1657" w:name="_Toc342296452"/>
      <w:bookmarkStart w:id="1658" w:name="_Toc152045673"/>
      <w:bookmarkStart w:id="1659" w:name="_Toc144974641"/>
      <w:bookmarkStart w:id="1660" w:name="_Toc179632691"/>
      <w:bookmarkStart w:id="1661" w:name="_Toc241459693"/>
      <w:bookmarkStart w:id="1662" w:name="_Toc152042451"/>
      <w:bookmarkStart w:id="1663" w:name="_Toc362252918"/>
      <w:r>
        <w:rPr>
          <w:rFonts w:hint="eastAsia" w:ascii="宋体" w:hAnsi="宋体" w:eastAsia="宋体" w:cs="宋体"/>
          <w:color w:val="000000"/>
          <w:sz w:val="24"/>
          <w:szCs w:val="24"/>
        </w:rPr>
        <w:t>9. 施工安全、治安保卫和环境保护</w:t>
      </w:r>
      <w:bookmarkEnd w:id="1657"/>
      <w:bookmarkEnd w:id="1658"/>
      <w:bookmarkEnd w:id="1659"/>
      <w:bookmarkEnd w:id="1660"/>
      <w:bookmarkEnd w:id="1661"/>
      <w:bookmarkEnd w:id="1662"/>
      <w:bookmarkEnd w:id="1663"/>
    </w:p>
    <w:p w14:paraId="68EF6AEC">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64" w:name="_Toc152045675"/>
      <w:bookmarkStart w:id="1665" w:name="_Toc342296453"/>
      <w:bookmarkStart w:id="1666" w:name="_Toc179632693"/>
      <w:bookmarkStart w:id="1667" w:name="_Toc362252919"/>
      <w:bookmarkStart w:id="1668" w:name="_Toc152042453"/>
      <w:bookmarkStart w:id="1669" w:name="_Toc241459694"/>
      <w:bookmarkStart w:id="1670" w:name="_Toc144974643"/>
      <w:r>
        <w:rPr>
          <w:rFonts w:hint="eastAsia" w:ascii="宋体" w:hAnsi="宋体" w:eastAsia="宋体" w:cs="宋体"/>
          <w:b w:val="0"/>
          <w:color w:val="000000"/>
          <w:kern w:val="0"/>
          <w:sz w:val="24"/>
          <w:szCs w:val="24"/>
          <w:u w:val="single"/>
          <w:lang w:val="en-US" w:eastAsia="zh-CN" w:bidi="ar-SA"/>
        </w:rPr>
        <w:t>9.2 承包人的施工安全责任</w:t>
      </w:r>
      <w:bookmarkEnd w:id="1664"/>
      <w:bookmarkEnd w:id="1665"/>
      <w:bookmarkEnd w:id="1666"/>
      <w:bookmarkEnd w:id="1667"/>
      <w:bookmarkEnd w:id="1668"/>
      <w:bookmarkEnd w:id="1669"/>
      <w:bookmarkEnd w:id="1670"/>
    </w:p>
    <w:p w14:paraId="6DCDEBEC">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9.2.1承包人向监理人报送施工安全措施计划的期限：</w:t>
      </w:r>
      <w:r>
        <w:rPr>
          <w:rFonts w:hint="eastAsia" w:ascii="宋体" w:hAnsi="宋体" w:eastAsia="宋体" w:cs="宋体"/>
          <w:sz w:val="24"/>
          <w:u w:val="single"/>
        </w:rPr>
        <w:t>在收到监理人按照通用合同条款第11.1.1项发出的开工通知后7天内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A395894">
      <w:pPr>
        <w:pStyle w:val="27"/>
        <w:spacing w:after="0" w:line="400" w:lineRule="exact"/>
        <w:rPr>
          <w:rFonts w:hint="eastAsia" w:ascii="宋体" w:hAnsi="宋体" w:eastAsia="宋体" w:cs="宋体"/>
          <w:color w:val="000000"/>
          <w:sz w:val="24"/>
        </w:rPr>
      </w:pPr>
      <w:r>
        <w:rPr>
          <w:rFonts w:hint="eastAsia" w:ascii="宋体" w:hAnsi="宋体" w:eastAsia="宋体" w:cs="宋体"/>
          <w:color w:val="000000"/>
          <w:sz w:val="24"/>
        </w:rPr>
        <w:t>监理人收到承包人报送的施工安全措施计划后应当在</w:t>
      </w:r>
      <w:r>
        <w:rPr>
          <w:rFonts w:hint="eastAsia" w:ascii="宋体" w:hAnsi="宋体" w:eastAsia="宋体" w:cs="宋体"/>
          <w:color w:val="000000"/>
          <w:sz w:val="24"/>
          <w:u w:val="single"/>
        </w:rPr>
        <w:t xml:space="preserve">  7  </w:t>
      </w:r>
      <w:r>
        <w:rPr>
          <w:rFonts w:hint="eastAsia" w:ascii="宋体" w:hAnsi="宋体" w:eastAsia="宋体" w:cs="宋体"/>
          <w:color w:val="000000"/>
          <w:sz w:val="24"/>
        </w:rPr>
        <w:t>天内给予批复。</w:t>
      </w:r>
    </w:p>
    <w:p w14:paraId="3521B336">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71" w:name="_Toc179632694"/>
      <w:bookmarkStart w:id="1672" w:name="_Toc152042454"/>
      <w:bookmarkStart w:id="1673" w:name="_Toc144974644"/>
      <w:bookmarkStart w:id="1674" w:name="_Toc152045676"/>
      <w:bookmarkStart w:id="1675" w:name="_Toc362252920"/>
      <w:bookmarkStart w:id="1676" w:name="_Toc241459695"/>
      <w:bookmarkStart w:id="1677" w:name="_Toc342296454"/>
      <w:r>
        <w:rPr>
          <w:rFonts w:hint="eastAsia" w:ascii="宋体" w:hAnsi="宋体" w:eastAsia="宋体" w:cs="宋体"/>
          <w:b w:val="0"/>
          <w:color w:val="000000"/>
          <w:kern w:val="0"/>
          <w:sz w:val="24"/>
          <w:szCs w:val="24"/>
          <w:u w:val="single"/>
          <w:lang w:val="en-US" w:eastAsia="zh-CN" w:bidi="ar-SA"/>
        </w:rPr>
        <w:t>9.3 治安保卫</w:t>
      </w:r>
      <w:bookmarkEnd w:id="1671"/>
      <w:bookmarkEnd w:id="1672"/>
      <w:bookmarkEnd w:id="1673"/>
      <w:bookmarkEnd w:id="1674"/>
      <w:bookmarkEnd w:id="1675"/>
      <w:bookmarkEnd w:id="1676"/>
      <w:bookmarkEnd w:id="1677"/>
    </w:p>
    <w:p w14:paraId="74C394A6">
      <w:pPr>
        <w:pStyle w:val="27"/>
        <w:spacing w:after="0" w:line="400" w:lineRule="exact"/>
        <w:ind w:left="0" w:leftChars="0" w:firstLine="480" w:firstLineChars="200"/>
        <w:rPr>
          <w:rFonts w:hint="eastAsia" w:ascii="宋体" w:hAnsi="宋体" w:eastAsia="宋体" w:cs="宋体"/>
          <w:color w:val="000000"/>
          <w:sz w:val="24"/>
        </w:rPr>
      </w:pPr>
      <w:bookmarkStart w:id="1678" w:name="_Toc179632695"/>
      <w:bookmarkStart w:id="1679" w:name="_Toc152045677"/>
      <w:bookmarkStart w:id="1680" w:name="_Toc144974645"/>
      <w:bookmarkStart w:id="1681" w:name="_Toc152042455"/>
      <w:r>
        <w:rPr>
          <w:rFonts w:hint="eastAsia" w:ascii="宋体" w:hAnsi="宋体" w:eastAsia="宋体" w:cs="宋体"/>
          <w:color w:val="000000"/>
          <w:sz w:val="24"/>
        </w:rPr>
        <w:t>9.3.1承包人应当负责统一管理施工场地的治安保卫事项，履行合同工程的治安保卫职责。</w:t>
      </w:r>
    </w:p>
    <w:p w14:paraId="6ADFFE0A">
      <w:pPr>
        <w:pStyle w:val="27"/>
        <w:spacing w:after="0" w:line="400" w:lineRule="exact"/>
        <w:rPr>
          <w:rFonts w:hint="eastAsia" w:ascii="宋体" w:hAnsi="宋体" w:eastAsia="宋体" w:cs="宋体"/>
          <w:color w:val="000000"/>
          <w:sz w:val="24"/>
        </w:rPr>
      </w:pPr>
      <w:r>
        <w:rPr>
          <w:rFonts w:hint="eastAsia" w:ascii="宋体" w:hAnsi="宋体" w:eastAsia="宋体" w:cs="宋体"/>
          <w:color w:val="000000"/>
          <w:sz w:val="24"/>
        </w:rPr>
        <w:t>9.3.3施工场地治安管理计划和突发治安事件紧急预案的编制责任人：</w:t>
      </w:r>
      <w:r>
        <w:rPr>
          <w:rFonts w:hint="eastAsia" w:ascii="宋体" w:hAnsi="宋体" w:eastAsia="宋体" w:cs="宋体"/>
          <w:color w:val="000000"/>
          <w:sz w:val="24"/>
          <w:u w:val="single"/>
        </w:rPr>
        <w:t xml:space="preserve">  </w:t>
      </w:r>
      <w:r>
        <w:rPr>
          <w:rFonts w:hint="eastAsia" w:ascii="宋体" w:hAnsi="宋体" w:eastAsia="宋体" w:cs="宋体"/>
          <w:sz w:val="24"/>
          <w:u w:val="single"/>
        </w:rPr>
        <w:t>承包人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1678"/>
    <w:bookmarkEnd w:id="1679"/>
    <w:bookmarkEnd w:id="1680"/>
    <w:bookmarkEnd w:id="1681"/>
    <w:p w14:paraId="516A1DA7">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82" w:name="_Toc362252921"/>
      <w:bookmarkStart w:id="1683" w:name="_Toc241459696"/>
      <w:bookmarkStart w:id="1684" w:name="_Toc342296455"/>
      <w:bookmarkStart w:id="1685" w:name="_Toc144974647"/>
      <w:bookmarkStart w:id="1686" w:name="_Toc152045679"/>
      <w:bookmarkStart w:id="1687" w:name="_Toc179632697"/>
      <w:bookmarkStart w:id="1688" w:name="_Toc152042457"/>
      <w:r>
        <w:rPr>
          <w:rFonts w:hint="eastAsia" w:ascii="宋体" w:hAnsi="宋体" w:eastAsia="宋体" w:cs="宋体"/>
          <w:b w:val="0"/>
          <w:color w:val="000000"/>
          <w:kern w:val="0"/>
          <w:sz w:val="24"/>
          <w:szCs w:val="24"/>
          <w:u w:val="single"/>
          <w:lang w:val="en-US" w:eastAsia="zh-CN" w:bidi="ar-SA"/>
        </w:rPr>
        <w:t>9.4 环境保护</w:t>
      </w:r>
      <w:bookmarkEnd w:id="1682"/>
      <w:bookmarkEnd w:id="1683"/>
      <w:bookmarkEnd w:id="1684"/>
    </w:p>
    <w:p w14:paraId="76993992">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9.4.2施工环保措施计划报送监理人审批的时间：</w:t>
      </w:r>
      <w:r>
        <w:rPr>
          <w:rFonts w:hint="eastAsia" w:ascii="宋体" w:hAnsi="宋体" w:eastAsia="宋体" w:cs="宋体"/>
          <w:sz w:val="24"/>
          <w:u w:val="single"/>
        </w:rPr>
        <w:t>在收到监理人按照通用合同条款第11.1.1项发出的开工通知后7天内</w:t>
      </w:r>
      <w:r>
        <w:rPr>
          <w:rFonts w:hint="eastAsia" w:ascii="宋体" w:hAnsi="宋体" w:eastAsia="宋体" w:cs="宋体"/>
          <w:color w:val="000000"/>
          <w:sz w:val="24"/>
        </w:rPr>
        <w:t>。</w:t>
      </w:r>
    </w:p>
    <w:p w14:paraId="3491FF24">
      <w:pPr>
        <w:pStyle w:val="27"/>
        <w:spacing w:after="0" w:line="400" w:lineRule="exact"/>
        <w:rPr>
          <w:rFonts w:hint="eastAsia" w:ascii="宋体" w:hAnsi="宋体" w:eastAsia="宋体" w:cs="宋体"/>
          <w:color w:val="000000"/>
          <w:sz w:val="24"/>
        </w:rPr>
      </w:pPr>
      <w:r>
        <w:rPr>
          <w:rFonts w:hint="eastAsia" w:ascii="宋体" w:hAnsi="宋体" w:eastAsia="宋体" w:cs="宋体"/>
          <w:color w:val="000000"/>
          <w:sz w:val="24"/>
        </w:rPr>
        <w:t>监理人收到承包人报送的施工环保措施计划后应当在</w:t>
      </w:r>
      <w:r>
        <w:rPr>
          <w:rFonts w:hint="eastAsia" w:ascii="宋体" w:hAnsi="宋体" w:eastAsia="宋体" w:cs="宋体"/>
          <w:color w:val="000000"/>
          <w:sz w:val="24"/>
          <w:u w:val="single"/>
        </w:rPr>
        <w:t xml:space="preserve">  7  </w:t>
      </w:r>
      <w:r>
        <w:rPr>
          <w:rFonts w:hint="eastAsia" w:ascii="宋体" w:hAnsi="宋体" w:eastAsia="宋体" w:cs="宋体"/>
          <w:color w:val="000000"/>
          <w:sz w:val="24"/>
        </w:rPr>
        <w:t>天内给予批复。</w:t>
      </w:r>
    </w:p>
    <w:p w14:paraId="0642F44A">
      <w:pPr>
        <w:pStyle w:val="258"/>
        <w:spacing w:before="0"/>
        <w:outlineLvl w:val="0"/>
        <w:rPr>
          <w:rFonts w:hint="eastAsia" w:ascii="宋体" w:hAnsi="宋体" w:eastAsia="宋体" w:cs="宋体"/>
          <w:color w:val="000000"/>
          <w:sz w:val="24"/>
          <w:szCs w:val="24"/>
        </w:rPr>
      </w:pPr>
      <w:bookmarkStart w:id="1689" w:name="_Toc342296456"/>
      <w:bookmarkStart w:id="1690" w:name="_Toc241459697"/>
      <w:bookmarkStart w:id="1691" w:name="_Toc362252922"/>
      <w:r>
        <w:rPr>
          <w:rFonts w:hint="eastAsia" w:ascii="宋体" w:hAnsi="宋体" w:eastAsia="宋体" w:cs="宋体"/>
          <w:color w:val="000000"/>
          <w:sz w:val="24"/>
          <w:szCs w:val="24"/>
        </w:rPr>
        <w:t>10. 进度计划</w:t>
      </w:r>
      <w:bookmarkEnd w:id="1685"/>
      <w:bookmarkEnd w:id="1686"/>
      <w:bookmarkEnd w:id="1687"/>
      <w:bookmarkEnd w:id="1688"/>
      <w:bookmarkEnd w:id="1689"/>
      <w:bookmarkEnd w:id="1690"/>
      <w:bookmarkEnd w:id="1691"/>
    </w:p>
    <w:p w14:paraId="0549819F">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92" w:name="_Toc144974648"/>
      <w:bookmarkStart w:id="1693" w:name="_Toc241459698"/>
      <w:bookmarkStart w:id="1694" w:name="_Toc152042458"/>
      <w:bookmarkStart w:id="1695" w:name="_Toc152045680"/>
      <w:bookmarkStart w:id="1696" w:name="_Toc342296457"/>
      <w:bookmarkStart w:id="1697" w:name="_Toc362252923"/>
      <w:bookmarkStart w:id="1698" w:name="_Toc179632698"/>
      <w:r>
        <w:rPr>
          <w:rFonts w:hint="eastAsia" w:ascii="宋体" w:hAnsi="宋体" w:eastAsia="宋体" w:cs="宋体"/>
          <w:b w:val="0"/>
          <w:color w:val="000000"/>
          <w:kern w:val="0"/>
          <w:sz w:val="24"/>
          <w:szCs w:val="24"/>
          <w:u w:val="single"/>
          <w:lang w:val="en-US" w:eastAsia="zh-CN" w:bidi="ar-SA"/>
        </w:rPr>
        <w:t>10.1 合同进度计划</w:t>
      </w:r>
      <w:bookmarkEnd w:id="1692"/>
      <w:bookmarkEnd w:id="1693"/>
      <w:bookmarkEnd w:id="1694"/>
      <w:bookmarkEnd w:id="1695"/>
      <w:bookmarkEnd w:id="1696"/>
      <w:bookmarkEnd w:id="1697"/>
      <w:bookmarkEnd w:id="1698"/>
    </w:p>
    <w:p w14:paraId="23EAE4E4">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color w:val="000000"/>
          <w:sz w:val="24"/>
          <w:u w:val="single"/>
        </w:rPr>
        <w:t xml:space="preserve">  </w:t>
      </w:r>
      <w:r>
        <w:rPr>
          <w:rFonts w:hint="eastAsia" w:ascii="宋体" w:hAnsi="宋体" w:eastAsia="宋体" w:cs="宋体"/>
          <w:sz w:val="24"/>
          <w:u w:val="single"/>
        </w:rPr>
        <w:t>应按投标时承诺的总进度计划关键线路目标，以及施工顺序和方法，向监理人提交更准确更详细的施工进度计划和施工方案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 施工进度计划中还应载明要求发包人组织设计人进行阶段性工程设计交底的时间。</w:t>
      </w:r>
    </w:p>
    <w:p w14:paraId="7455F547">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（2）监理人批复或对施工进度计划和施工方案说明提出修改意见的期限：自监理人收到承包人报送的相关进度计划和施工方案说明后14天内。</w:t>
      </w:r>
    </w:p>
    <w:p w14:paraId="16571706">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（3）承包人编制分阶段或分项施工进度计划和施工方案说明的内容：</w:t>
      </w:r>
      <w:r>
        <w:rPr>
          <w:rFonts w:hint="eastAsia" w:ascii="宋体" w:hAnsi="宋体" w:eastAsia="宋体" w:cs="宋体"/>
          <w:sz w:val="24"/>
          <w:u w:val="single"/>
        </w:rPr>
        <w:t>应包含总进度计划关键线路上的分部分项工程</w:t>
      </w:r>
      <w:r>
        <w:rPr>
          <w:rFonts w:hint="eastAsia" w:ascii="宋体" w:hAnsi="宋体" w:eastAsia="宋体" w:cs="宋体"/>
          <w:color w:val="000000"/>
          <w:sz w:val="24"/>
        </w:rPr>
        <w:t>。</w:t>
      </w:r>
    </w:p>
    <w:p w14:paraId="2099158D">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承包人报送分阶段或分项施工进度计划和施工方案说明的期限：</w:t>
      </w:r>
      <w:r>
        <w:rPr>
          <w:rFonts w:hint="eastAsia" w:ascii="宋体" w:hAnsi="宋体" w:eastAsia="宋体" w:cs="宋体"/>
          <w:color w:val="000000"/>
          <w:sz w:val="24"/>
          <w:u w:val="single"/>
        </w:rPr>
        <w:t xml:space="preserve">分阶段或分项施工开始前7天  </w:t>
      </w:r>
      <w:r>
        <w:rPr>
          <w:rFonts w:hint="eastAsia" w:ascii="宋体" w:hAnsi="宋体" w:eastAsia="宋体" w:cs="宋体"/>
          <w:color w:val="000000"/>
          <w:sz w:val="24"/>
        </w:rPr>
        <w:t>。</w:t>
      </w:r>
    </w:p>
    <w:p w14:paraId="26C694C8">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5CB9BFD">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699" w:name="_Toc144974649"/>
      <w:bookmarkStart w:id="1700" w:name="_Toc241459699"/>
      <w:bookmarkStart w:id="1701" w:name="_Toc342296458"/>
      <w:bookmarkStart w:id="1702" w:name="_Toc152045681"/>
      <w:bookmarkStart w:id="1703" w:name="_Toc179632699"/>
      <w:bookmarkStart w:id="1704" w:name="_Toc362252924"/>
      <w:bookmarkStart w:id="1705" w:name="_Toc152042459"/>
      <w:r>
        <w:rPr>
          <w:rFonts w:hint="eastAsia" w:ascii="宋体" w:hAnsi="宋体" w:eastAsia="宋体" w:cs="宋体"/>
          <w:b w:val="0"/>
          <w:color w:val="000000"/>
          <w:kern w:val="0"/>
          <w:sz w:val="24"/>
          <w:szCs w:val="24"/>
          <w:u w:val="single"/>
          <w:lang w:val="en-US" w:eastAsia="zh-CN" w:bidi="ar-SA"/>
        </w:rPr>
        <w:t>10.2 合同进度计划的修订</w:t>
      </w:r>
      <w:bookmarkEnd w:id="1699"/>
      <w:bookmarkEnd w:id="1700"/>
      <w:bookmarkEnd w:id="1701"/>
      <w:bookmarkEnd w:id="1702"/>
      <w:bookmarkEnd w:id="1703"/>
      <w:bookmarkEnd w:id="1704"/>
      <w:bookmarkEnd w:id="1705"/>
    </w:p>
    <w:p w14:paraId="10B180D9">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（1）承包人报送修订合同进度计划申请报告和相关资料的期限：</w:t>
      </w:r>
      <w:r>
        <w:rPr>
          <w:rFonts w:hint="eastAsia" w:ascii="宋体" w:hAnsi="宋体" w:eastAsia="宋体" w:cs="宋体"/>
          <w:color w:val="000000"/>
          <w:sz w:val="24"/>
          <w:u w:val="single"/>
        </w:rPr>
        <w:t xml:space="preserve">在收到监理人按照通用合同条款第11.1.1项发出的开工通知后7天内  </w:t>
      </w:r>
      <w:r>
        <w:rPr>
          <w:rFonts w:hint="eastAsia" w:ascii="宋体" w:hAnsi="宋体" w:eastAsia="宋体" w:cs="宋体"/>
          <w:color w:val="000000"/>
          <w:sz w:val="24"/>
        </w:rPr>
        <w:t>。</w:t>
      </w:r>
    </w:p>
    <w:p w14:paraId="27BA2EE3">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（2）监理人批复修订合同进度计划申请报告的期限：</w:t>
      </w:r>
      <w:r>
        <w:rPr>
          <w:rFonts w:hint="eastAsia" w:ascii="宋体" w:hAnsi="宋体" w:eastAsia="宋体" w:cs="宋体"/>
          <w:color w:val="000000"/>
          <w:sz w:val="24"/>
          <w:u w:val="single"/>
        </w:rPr>
        <w:t>收到承包人报送的修订合同进度计划申请报告和相关资料后3天内</w:t>
      </w:r>
      <w:r>
        <w:rPr>
          <w:rFonts w:hint="eastAsia" w:ascii="宋体" w:hAnsi="宋体" w:eastAsia="宋体" w:cs="宋体"/>
          <w:color w:val="000000"/>
          <w:sz w:val="24"/>
        </w:rPr>
        <w:t>。</w:t>
      </w:r>
    </w:p>
    <w:p w14:paraId="4771E903">
      <w:pPr>
        <w:pStyle w:val="27"/>
        <w:spacing w:after="0" w:line="400" w:lineRule="exact"/>
        <w:ind w:left="0" w:leftChars="0"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（3）监理人批复修订合同进度计划的期限：</w:t>
      </w:r>
      <w:r>
        <w:rPr>
          <w:rFonts w:hint="eastAsia" w:ascii="宋体" w:hAnsi="宋体" w:eastAsia="宋体" w:cs="宋体"/>
          <w:color w:val="000000"/>
          <w:sz w:val="24"/>
          <w:u w:val="single"/>
        </w:rPr>
        <w:t xml:space="preserve">  收到承包人报送的修订合同进度计划后3天内  </w:t>
      </w:r>
      <w:r>
        <w:rPr>
          <w:rFonts w:hint="eastAsia" w:ascii="宋体" w:hAnsi="宋体" w:eastAsia="宋体" w:cs="宋体"/>
          <w:color w:val="000000"/>
          <w:sz w:val="24"/>
        </w:rPr>
        <w:t>。</w:t>
      </w:r>
    </w:p>
    <w:p w14:paraId="3B506640">
      <w:pPr>
        <w:pStyle w:val="258"/>
        <w:spacing w:before="0"/>
        <w:outlineLvl w:val="0"/>
        <w:rPr>
          <w:rFonts w:hint="eastAsia" w:ascii="宋体" w:hAnsi="宋体" w:eastAsia="宋体" w:cs="宋体"/>
          <w:color w:val="000000"/>
          <w:sz w:val="24"/>
          <w:szCs w:val="24"/>
        </w:rPr>
      </w:pPr>
      <w:bookmarkStart w:id="1706" w:name="_Toc152045682"/>
      <w:bookmarkStart w:id="1707" w:name="_Toc342296459"/>
      <w:bookmarkStart w:id="1708" w:name="_Toc144974650"/>
      <w:bookmarkStart w:id="1709" w:name="_Toc179632700"/>
      <w:bookmarkStart w:id="1710" w:name="_Toc362252925"/>
      <w:bookmarkStart w:id="1711" w:name="_Toc241459700"/>
      <w:bookmarkStart w:id="1712" w:name="_Toc152042460"/>
      <w:r>
        <w:rPr>
          <w:rFonts w:hint="eastAsia" w:ascii="宋体" w:hAnsi="宋体" w:eastAsia="宋体" w:cs="宋体"/>
          <w:color w:val="000000"/>
          <w:sz w:val="24"/>
          <w:szCs w:val="24"/>
        </w:rPr>
        <w:t>11. 开工和竣工</w:t>
      </w:r>
      <w:bookmarkEnd w:id="1706"/>
      <w:bookmarkEnd w:id="1707"/>
      <w:bookmarkEnd w:id="1708"/>
      <w:bookmarkEnd w:id="1709"/>
      <w:bookmarkEnd w:id="1710"/>
      <w:bookmarkEnd w:id="1711"/>
      <w:bookmarkEnd w:id="1712"/>
    </w:p>
    <w:p w14:paraId="47CCCCE1">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13" w:name="_Toc144974653"/>
      <w:bookmarkStart w:id="1714" w:name="_Toc342296460"/>
      <w:bookmarkStart w:id="1715" w:name="_Toc152042463"/>
      <w:bookmarkStart w:id="1716" w:name="_Toc152045685"/>
      <w:bookmarkStart w:id="1717" w:name="_Toc362252926"/>
      <w:bookmarkStart w:id="1718" w:name="_Toc179632703"/>
      <w:bookmarkStart w:id="1719" w:name="_Toc241459701"/>
      <w:r>
        <w:rPr>
          <w:rFonts w:hint="eastAsia" w:ascii="宋体" w:hAnsi="宋体" w:eastAsia="宋体" w:cs="宋体"/>
          <w:b w:val="0"/>
          <w:color w:val="000000"/>
          <w:kern w:val="0"/>
          <w:sz w:val="24"/>
          <w:szCs w:val="24"/>
          <w:u w:val="single"/>
          <w:lang w:val="en-US" w:eastAsia="zh-CN" w:bidi="ar-SA"/>
        </w:rPr>
        <w:t>11.3 发包人的工期延误</w:t>
      </w:r>
      <w:bookmarkEnd w:id="1713"/>
      <w:bookmarkEnd w:id="1714"/>
      <w:bookmarkEnd w:id="1715"/>
      <w:bookmarkEnd w:id="1716"/>
      <w:bookmarkEnd w:id="1717"/>
      <w:bookmarkEnd w:id="1718"/>
      <w:bookmarkEnd w:id="1719"/>
    </w:p>
    <w:p w14:paraId="2F569AFD">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等延误承包人关键线路工作的情况。</w:t>
      </w:r>
    </w:p>
    <w:p w14:paraId="13467C50">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20" w:name="_Toc241459702"/>
      <w:bookmarkStart w:id="1721" w:name="_Toc342296461"/>
      <w:bookmarkStart w:id="1722" w:name="_Toc179632704"/>
      <w:bookmarkStart w:id="1723" w:name="_Toc152042464"/>
      <w:bookmarkStart w:id="1724" w:name="_Toc152045686"/>
      <w:bookmarkStart w:id="1725" w:name="_Toc144974654"/>
      <w:bookmarkStart w:id="1726" w:name="_Toc362252927"/>
      <w:r>
        <w:rPr>
          <w:rFonts w:hint="eastAsia" w:ascii="宋体" w:hAnsi="宋体" w:eastAsia="宋体" w:cs="宋体"/>
          <w:b w:val="0"/>
          <w:color w:val="000000"/>
          <w:kern w:val="0"/>
          <w:sz w:val="24"/>
          <w:szCs w:val="24"/>
          <w:u w:val="single"/>
          <w:lang w:val="en-US" w:eastAsia="zh-CN" w:bidi="ar-SA"/>
        </w:rPr>
        <w:t>11.4 异常恶劣的气候条件</w:t>
      </w:r>
      <w:bookmarkEnd w:id="1720"/>
      <w:bookmarkEnd w:id="1721"/>
      <w:bookmarkEnd w:id="1722"/>
      <w:bookmarkEnd w:id="1723"/>
      <w:bookmarkEnd w:id="1724"/>
      <w:bookmarkEnd w:id="1725"/>
      <w:bookmarkEnd w:id="1726"/>
    </w:p>
    <w:p w14:paraId="6BEB934A">
      <w:pPr>
        <w:pStyle w:val="27"/>
        <w:spacing w:after="0" w:line="400" w:lineRule="exact"/>
        <w:ind w:left="0" w:leftChars="0" w:firstLine="480" w:firstLineChars="200"/>
        <w:rPr>
          <w:rFonts w:hint="eastAsia" w:ascii="宋体" w:hAnsi="宋体" w:eastAsia="宋体" w:cs="宋体"/>
          <w:color w:val="000000"/>
          <w:sz w:val="24"/>
        </w:rPr>
      </w:pPr>
      <w:bookmarkStart w:id="1727" w:name="_Toc179632705"/>
      <w:bookmarkStart w:id="1728" w:name="_Toc152045687"/>
      <w:bookmarkStart w:id="1729" w:name="_Toc152042465"/>
      <w:bookmarkStart w:id="1730" w:name="_Toc144974655"/>
      <w:r>
        <w:rPr>
          <w:rFonts w:hint="eastAsia" w:ascii="宋体" w:hAnsi="宋体" w:eastAsia="宋体" w:cs="宋体"/>
          <w:color w:val="000000"/>
          <w:sz w:val="24"/>
        </w:rPr>
        <w:t>异常恶劣的气候条件的范围和标准：</w:t>
      </w:r>
      <w:r>
        <w:rPr>
          <w:rFonts w:hint="eastAsia" w:ascii="宋体" w:hAnsi="宋体" w:eastAsia="宋体" w:cs="宋体"/>
          <w:color w:val="000000"/>
          <w:sz w:val="24"/>
          <w:u w:val="single"/>
        </w:rPr>
        <w:t xml:space="preserve">  由市级以上人民政府颁布的条件为准  </w:t>
      </w:r>
      <w:r>
        <w:rPr>
          <w:rFonts w:hint="eastAsia" w:ascii="宋体" w:hAnsi="宋体" w:eastAsia="宋体" w:cs="宋体"/>
          <w:color w:val="000000"/>
          <w:sz w:val="24"/>
        </w:rPr>
        <w:t>。</w:t>
      </w:r>
    </w:p>
    <w:p w14:paraId="50CF89CE">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31" w:name="_Toc362252928"/>
      <w:bookmarkStart w:id="1732" w:name="_Toc241459703"/>
      <w:bookmarkStart w:id="1733" w:name="_Toc342296462"/>
      <w:r>
        <w:rPr>
          <w:rFonts w:hint="eastAsia" w:ascii="宋体" w:hAnsi="宋体" w:eastAsia="宋体" w:cs="宋体"/>
          <w:b w:val="0"/>
          <w:color w:val="000000"/>
          <w:kern w:val="0"/>
          <w:sz w:val="24"/>
          <w:szCs w:val="24"/>
          <w:u w:val="single"/>
          <w:lang w:val="en-US" w:eastAsia="zh-CN" w:bidi="ar-SA"/>
        </w:rPr>
        <w:t>11.5 承包人的工期延误</w:t>
      </w:r>
      <w:bookmarkEnd w:id="1727"/>
      <w:bookmarkEnd w:id="1728"/>
      <w:bookmarkEnd w:id="1729"/>
      <w:bookmarkEnd w:id="1730"/>
      <w:bookmarkEnd w:id="1731"/>
      <w:bookmarkEnd w:id="1732"/>
      <w:bookmarkEnd w:id="1733"/>
    </w:p>
    <w:p w14:paraId="764EBA59">
      <w:pPr>
        <w:pStyle w:val="27"/>
        <w:spacing w:after="0" w:line="400" w:lineRule="exact"/>
        <w:ind w:left="0" w:leftChars="0" w:firstLine="480" w:firstLineChars="200"/>
        <w:rPr>
          <w:rFonts w:hint="eastAsia" w:ascii="宋体" w:hAnsi="宋体" w:eastAsia="宋体" w:cs="宋体"/>
          <w:color w:val="000000"/>
          <w:sz w:val="24"/>
        </w:rPr>
      </w:pPr>
      <w:bookmarkStart w:id="1734" w:name="_Toc144974656"/>
      <w:bookmarkStart w:id="1735" w:name="_Toc179632706"/>
      <w:bookmarkStart w:id="1736" w:name="_Toc152045688"/>
      <w:bookmarkStart w:id="1737" w:name="_Toc152042466"/>
      <w:r>
        <w:rPr>
          <w:rFonts w:hint="eastAsia" w:ascii="宋体" w:hAnsi="宋体" w:eastAsia="宋体" w:cs="宋体"/>
          <w:color w:val="000000"/>
          <w:sz w:val="24"/>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4AF2FAAE">
      <w:pPr>
        <w:pStyle w:val="27"/>
        <w:spacing w:after="0" w:line="40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逾期竣工违约金的计算标准：</w:t>
      </w:r>
      <w:r>
        <w:rPr>
          <w:rFonts w:hint="eastAsia" w:ascii="宋体" w:hAnsi="宋体" w:eastAsia="宋体" w:cs="宋体"/>
          <w:color w:val="000000"/>
          <w:sz w:val="24"/>
          <w:u w:val="single"/>
        </w:rPr>
        <w:t xml:space="preserve">  工期每延误一天，承包人应当向发包人赔偿工程结算价的万分之二，不足一天按一天计  </w:t>
      </w:r>
      <w:r>
        <w:rPr>
          <w:rFonts w:hint="eastAsia" w:ascii="宋体" w:hAnsi="宋体" w:eastAsia="宋体" w:cs="宋体"/>
          <w:color w:val="000000"/>
          <w:sz w:val="24"/>
        </w:rPr>
        <w:t>。</w:t>
      </w:r>
    </w:p>
    <w:p w14:paraId="068B2617">
      <w:pPr>
        <w:pStyle w:val="27"/>
        <w:spacing w:after="0" w:line="400" w:lineRule="exact"/>
        <w:rPr>
          <w:rFonts w:hint="eastAsia" w:ascii="宋体" w:hAnsi="宋体" w:eastAsia="宋体" w:cs="宋体"/>
          <w:color w:val="000000"/>
          <w:sz w:val="24"/>
        </w:rPr>
      </w:pPr>
      <w:r>
        <w:rPr>
          <w:rFonts w:hint="eastAsia" w:ascii="宋体" w:hAnsi="宋体" w:eastAsia="宋体" w:cs="宋体"/>
          <w:color w:val="000000"/>
          <w:sz w:val="24"/>
        </w:rPr>
        <w:t>逾期竣工违约金的计算方法：</w:t>
      </w:r>
      <w:r>
        <w:rPr>
          <w:rFonts w:hint="eastAsia" w:ascii="宋体" w:hAnsi="宋体" w:eastAsia="宋体" w:cs="宋体"/>
          <w:color w:val="000000"/>
          <w:sz w:val="24"/>
          <w:u w:val="single"/>
        </w:rPr>
        <w:t xml:space="preserve">工程结算价的0.2‰  </w:t>
      </w:r>
      <w:r>
        <w:rPr>
          <w:rFonts w:hint="eastAsia" w:ascii="宋体" w:hAnsi="宋体" w:eastAsia="宋体" w:cs="宋体"/>
          <w:color w:val="000000"/>
          <w:sz w:val="24"/>
        </w:rPr>
        <w:t xml:space="preserve">。 </w:t>
      </w:r>
    </w:p>
    <w:p w14:paraId="1BCD9BEE">
      <w:pPr>
        <w:pStyle w:val="27"/>
        <w:spacing w:after="0" w:line="400" w:lineRule="exact"/>
        <w:rPr>
          <w:rFonts w:hint="eastAsia" w:ascii="宋体" w:hAnsi="宋体" w:eastAsia="宋体" w:cs="宋体"/>
          <w:color w:val="000000"/>
          <w:sz w:val="24"/>
        </w:rPr>
      </w:pPr>
      <w:r>
        <w:rPr>
          <w:rFonts w:hint="eastAsia" w:ascii="宋体" w:hAnsi="宋体" w:eastAsia="宋体" w:cs="宋体"/>
          <w:color w:val="000000"/>
          <w:sz w:val="24"/>
        </w:rPr>
        <w:t>逾期竣工违约金最高限额：</w:t>
      </w:r>
      <w:r>
        <w:rPr>
          <w:rFonts w:hint="eastAsia" w:ascii="宋体" w:hAnsi="宋体" w:eastAsia="宋体" w:cs="宋体"/>
          <w:color w:val="000000"/>
          <w:sz w:val="24"/>
          <w:u w:val="single"/>
        </w:rPr>
        <w:t xml:space="preserve">  最高不超过工程结算价的3%    </w:t>
      </w:r>
      <w:r>
        <w:rPr>
          <w:rFonts w:hint="eastAsia" w:ascii="宋体" w:hAnsi="宋体" w:eastAsia="宋体" w:cs="宋体"/>
          <w:color w:val="000000"/>
          <w:sz w:val="24"/>
        </w:rPr>
        <w:t>。</w:t>
      </w:r>
    </w:p>
    <w:p w14:paraId="72E9D0EF">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38" w:name="_Toc362252929"/>
      <w:bookmarkStart w:id="1739" w:name="_Toc342296463"/>
      <w:bookmarkStart w:id="1740" w:name="_Toc241459704"/>
      <w:r>
        <w:rPr>
          <w:rFonts w:hint="eastAsia" w:ascii="宋体" w:hAnsi="宋体" w:eastAsia="宋体" w:cs="宋体"/>
          <w:b w:val="0"/>
          <w:color w:val="000000"/>
          <w:kern w:val="0"/>
          <w:sz w:val="24"/>
          <w:szCs w:val="24"/>
          <w:u w:val="single"/>
          <w:lang w:val="en-US" w:eastAsia="zh-CN" w:bidi="ar-SA"/>
        </w:rPr>
        <w:t>11.6</w:t>
      </w:r>
      <w:bookmarkEnd w:id="1734"/>
      <w:bookmarkStart w:id="1741" w:name="_Toc144974657"/>
      <w:r>
        <w:rPr>
          <w:rFonts w:hint="eastAsia" w:ascii="宋体" w:hAnsi="宋体" w:eastAsia="宋体" w:cs="宋体"/>
          <w:b w:val="0"/>
          <w:color w:val="000000"/>
          <w:kern w:val="0"/>
          <w:sz w:val="24"/>
          <w:szCs w:val="24"/>
          <w:u w:val="single"/>
          <w:lang w:val="en-US" w:eastAsia="zh-CN" w:bidi="ar-SA"/>
        </w:rPr>
        <w:t xml:space="preserve"> 工期提前</w:t>
      </w:r>
      <w:bookmarkEnd w:id="1735"/>
      <w:bookmarkEnd w:id="1736"/>
      <w:bookmarkEnd w:id="1737"/>
      <w:bookmarkEnd w:id="1738"/>
      <w:bookmarkEnd w:id="1739"/>
      <w:bookmarkEnd w:id="1740"/>
      <w:bookmarkEnd w:id="1741"/>
    </w:p>
    <w:p w14:paraId="108BBCA6">
      <w:pPr>
        <w:pStyle w:val="27"/>
        <w:spacing w:after="0" w:line="400" w:lineRule="exact"/>
        <w:rPr>
          <w:rFonts w:hint="eastAsia" w:ascii="宋体" w:hAnsi="宋体" w:eastAsia="宋体" w:cs="宋体"/>
          <w:color w:val="000000"/>
          <w:sz w:val="24"/>
        </w:rPr>
      </w:pPr>
      <w:bookmarkStart w:id="1742" w:name="_Toc179632707"/>
      <w:bookmarkStart w:id="1743" w:name="_Toc152042467"/>
      <w:bookmarkStart w:id="1744" w:name="_Toc152045689"/>
      <w:bookmarkStart w:id="1745" w:name="_Toc144974658"/>
      <w:r>
        <w:rPr>
          <w:rFonts w:hint="eastAsia" w:ascii="宋体" w:hAnsi="宋体" w:eastAsia="宋体" w:cs="宋体"/>
          <w:color w:val="000000"/>
          <w:sz w:val="24"/>
        </w:rPr>
        <w:t>提前竣工的奖励办法：</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30302EDE">
      <w:pPr>
        <w:pStyle w:val="258"/>
        <w:spacing w:before="0"/>
        <w:outlineLvl w:val="0"/>
        <w:rPr>
          <w:rFonts w:hint="eastAsia" w:ascii="宋体" w:hAnsi="宋体" w:eastAsia="宋体" w:cs="宋体"/>
          <w:color w:val="000000"/>
          <w:sz w:val="24"/>
          <w:szCs w:val="24"/>
        </w:rPr>
      </w:pPr>
      <w:bookmarkStart w:id="1746" w:name="_Toc362252930"/>
      <w:bookmarkStart w:id="1747" w:name="_Toc241459705"/>
      <w:bookmarkStart w:id="1748" w:name="_Toc342296464"/>
      <w:bookmarkStart w:id="1749" w:name="_Toc241484601"/>
      <w:r>
        <w:rPr>
          <w:rFonts w:hint="eastAsia" w:ascii="宋体" w:hAnsi="宋体" w:eastAsia="宋体" w:cs="宋体"/>
          <w:color w:val="000000"/>
          <w:sz w:val="24"/>
          <w:szCs w:val="24"/>
        </w:rPr>
        <w:t>12. 暂停施工</w:t>
      </w:r>
      <w:bookmarkEnd w:id="1742"/>
      <w:bookmarkEnd w:id="1743"/>
      <w:bookmarkEnd w:id="1744"/>
      <w:bookmarkEnd w:id="1745"/>
      <w:bookmarkEnd w:id="1746"/>
      <w:bookmarkEnd w:id="1747"/>
      <w:bookmarkEnd w:id="1748"/>
      <w:bookmarkEnd w:id="1749"/>
    </w:p>
    <w:p w14:paraId="0F8E7373">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50" w:name="_Toc241459706"/>
      <w:bookmarkStart w:id="1751" w:name="_Toc152042468"/>
      <w:bookmarkStart w:id="1752" w:name="_Toc179632708"/>
      <w:bookmarkStart w:id="1753" w:name="_Toc144974659"/>
      <w:bookmarkStart w:id="1754" w:name="_Toc362252931"/>
      <w:bookmarkStart w:id="1755" w:name="_Toc342296465"/>
      <w:bookmarkStart w:id="1756" w:name="_Toc152045690"/>
      <w:r>
        <w:rPr>
          <w:rFonts w:hint="eastAsia" w:ascii="宋体" w:hAnsi="宋体" w:eastAsia="宋体" w:cs="宋体"/>
          <w:b w:val="0"/>
          <w:color w:val="000000"/>
          <w:kern w:val="0"/>
          <w:sz w:val="24"/>
          <w:szCs w:val="24"/>
          <w:u w:val="single"/>
          <w:lang w:val="en-US" w:eastAsia="zh-CN" w:bidi="ar-SA"/>
        </w:rPr>
        <w:t>12.1 承包人暂停施工的责任</w:t>
      </w:r>
      <w:bookmarkEnd w:id="1750"/>
      <w:bookmarkEnd w:id="1751"/>
      <w:bookmarkEnd w:id="1752"/>
      <w:bookmarkEnd w:id="1753"/>
      <w:bookmarkEnd w:id="1754"/>
      <w:bookmarkEnd w:id="1755"/>
      <w:bookmarkEnd w:id="1756"/>
    </w:p>
    <w:p w14:paraId="3D1428B8">
      <w:pPr>
        <w:pStyle w:val="27"/>
        <w:spacing w:after="0" w:line="400" w:lineRule="exact"/>
        <w:ind w:left="0" w:leftChars="0"/>
        <w:rPr>
          <w:rFonts w:hint="eastAsia" w:ascii="宋体" w:hAnsi="宋体" w:eastAsia="宋体" w:cs="宋体"/>
          <w:color w:val="000000"/>
          <w:sz w:val="24"/>
        </w:rPr>
      </w:pPr>
      <w:r>
        <w:rPr>
          <w:rFonts w:hint="eastAsia" w:ascii="宋体" w:hAnsi="宋体" w:eastAsia="宋体" w:cs="宋体"/>
          <w:color w:val="000000"/>
          <w:sz w:val="24"/>
        </w:rPr>
        <w:t xml:space="preserve">（5）承包人承担暂停施工责任的其他情形： </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489AD0A8">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57" w:name="_Toc241459707"/>
      <w:bookmarkStart w:id="1758" w:name="_Toc342296466"/>
      <w:bookmarkStart w:id="1759" w:name="_Toc362252932"/>
      <w:r>
        <w:rPr>
          <w:rFonts w:hint="eastAsia" w:ascii="宋体" w:hAnsi="宋体" w:eastAsia="宋体" w:cs="宋体"/>
          <w:b w:val="0"/>
          <w:color w:val="000000"/>
          <w:kern w:val="0"/>
          <w:sz w:val="24"/>
          <w:szCs w:val="24"/>
          <w:u w:val="single"/>
          <w:lang w:val="en-US" w:eastAsia="zh-CN" w:bidi="ar-SA"/>
        </w:rPr>
        <w:t>12.4 暂停施工后的复工</w:t>
      </w:r>
      <w:bookmarkEnd w:id="1757"/>
      <w:bookmarkEnd w:id="1758"/>
      <w:bookmarkEnd w:id="1759"/>
    </w:p>
    <w:p w14:paraId="242250CE">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17FEEBA5">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bookmarkStart w:id="1760" w:name="_Toc241459708"/>
      <w:bookmarkStart w:id="1761" w:name="_Toc152042473"/>
      <w:bookmarkStart w:id="1762" w:name="_Toc179632713"/>
      <w:bookmarkStart w:id="1763" w:name="_Toc144974664"/>
      <w:bookmarkStart w:id="1764" w:name="_Toc152045695"/>
    </w:p>
    <w:p w14:paraId="7B7A9B16">
      <w:pPr>
        <w:pStyle w:val="258"/>
        <w:spacing w:before="0"/>
        <w:outlineLvl w:val="0"/>
        <w:rPr>
          <w:rFonts w:hint="eastAsia" w:ascii="宋体" w:hAnsi="宋体" w:eastAsia="宋体" w:cs="宋体"/>
          <w:color w:val="000000"/>
          <w:sz w:val="24"/>
          <w:szCs w:val="24"/>
        </w:rPr>
      </w:pPr>
      <w:bookmarkStart w:id="1765" w:name="_Toc362252933"/>
      <w:bookmarkStart w:id="1766" w:name="_Toc342296467"/>
      <w:r>
        <w:rPr>
          <w:rFonts w:hint="eastAsia" w:ascii="宋体" w:hAnsi="宋体" w:eastAsia="宋体" w:cs="宋体"/>
          <w:color w:val="000000"/>
          <w:sz w:val="24"/>
          <w:szCs w:val="24"/>
        </w:rPr>
        <w:t>13. 工程质量</w:t>
      </w:r>
      <w:bookmarkEnd w:id="1760"/>
      <w:bookmarkEnd w:id="1761"/>
      <w:bookmarkEnd w:id="1762"/>
      <w:bookmarkEnd w:id="1763"/>
      <w:bookmarkEnd w:id="1764"/>
      <w:bookmarkEnd w:id="1765"/>
      <w:bookmarkEnd w:id="1766"/>
      <w:bookmarkStart w:id="1767" w:name="_Toc152045697"/>
      <w:bookmarkStart w:id="1768" w:name="_Toc152042475"/>
      <w:bookmarkStart w:id="1769" w:name="_Toc144974666"/>
      <w:bookmarkStart w:id="1770" w:name="_Toc179632715"/>
    </w:p>
    <w:p w14:paraId="0266DBC3">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71" w:name="_Toc241459709"/>
      <w:bookmarkStart w:id="1772" w:name="_Toc362252934"/>
      <w:bookmarkStart w:id="1773" w:name="_Toc342296468"/>
      <w:r>
        <w:rPr>
          <w:rFonts w:hint="eastAsia" w:ascii="宋体" w:hAnsi="宋体" w:eastAsia="宋体" w:cs="宋体"/>
          <w:b w:val="0"/>
          <w:color w:val="000000"/>
          <w:kern w:val="0"/>
          <w:sz w:val="24"/>
          <w:szCs w:val="24"/>
          <w:u w:val="single"/>
          <w:lang w:val="en-US" w:eastAsia="zh-CN" w:bidi="ar-SA"/>
        </w:rPr>
        <w:t>13.2 承包人的质量管理</w:t>
      </w:r>
      <w:bookmarkEnd w:id="1767"/>
      <w:bookmarkEnd w:id="1768"/>
      <w:bookmarkEnd w:id="1769"/>
      <w:bookmarkEnd w:id="1770"/>
      <w:bookmarkEnd w:id="1771"/>
      <w:bookmarkEnd w:id="1772"/>
      <w:bookmarkEnd w:id="1773"/>
    </w:p>
    <w:p w14:paraId="02FFEF69">
      <w:pPr>
        <w:spacing w:line="400" w:lineRule="exact"/>
        <w:ind w:firstLine="480" w:firstLineChars="200"/>
        <w:rPr>
          <w:rFonts w:hint="eastAsia" w:ascii="宋体" w:hAnsi="宋体" w:eastAsia="宋体" w:cs="宋体"/>
          <w:color w:val="000000"/>
          <w:sz w:val="24"/>
        </w:rPr>
      </w:pPr>
      <w:bookmarkStart w:id="1774" w:name="_Toc179632716"/>
      <w:bookmarkStart w:id="1775" w:name="_Toc144974667"/>
      <w:bookmarkStart w:id="1776" w:name="_Toc152045698"/>
      <w:bookmarkStart w:id="1777" w:name="_Toc152042476"/>
      <w:r>
        <w:rPr>
          <w:rFonts w:hint="eastAsia" w:ascii="宋体" w:hAnsi="宋体" w:eastAsia="宋体" w:cs="宋体"/>
          <w:color w:val="000000"/>
          <w:sz w:val="24"/>
        </w:rPr>
        <w:t>13.2.1承包人向监理人提交工程质量保证措施文件的期限：</w:t>
      </w:r>
      <w:r>
        <w:rPr>
          <w:rFonts w:hint="eastAsia" w:ascii="宋体" w:hAnsi="宋体" w:eastAsia="宋体" w:cs="宋体"/>
          <w:color w:val="000000"/>
          <w:sz w:val="24"/>
          <w:u w:val="single"/>
        </w:rPr>
        <w:t xml:space="preserve">  在收到监理人按照通用合同条款第11.1.1项发出的开工通知后7天内  </w:t>
      </w:r>
      <w:r>
        <w:rPr>
          <w:rFonts w:hint="eastAsia" w:ascii="宋体" w:hAnsi="宋体" w:eastAsia="宋体" w:cs="宋体"/>
          <w:color w:val="000000"/>
          <w:sz w:val="24"/>
        </w:rPr>
        <w:t>。</w:t>
      </w:r>
    </w:p>
    <w:p w14:paraId="316480E5">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监理人审批工程质量保证措施文件的期限：</w:t>
      </w:r>
      <w:r>
        <w:rPr>
          <w:rFonts w:hint="eastAsia" w:ascii="宋体" w:hAnsi="宋体" w:eastAsia="宋体" w:cs="宋体"/>
          <w:color w:val="000000"/>
          <w:sz w:val="24"/>
          <w:u w:val="single"/>
        </w:rPr>
        <w:t>收到相关措施文件后7天内</w:t>
      </w:r>
      <w:r>
        <w:rPr>
          <w:rFonts w:hint="eastAsia" w:ascii="宋体" w:hAnsi="宋体" w:eastAsia="宋体" w:cs="宋体"/>
          <w:color w:val="000000"/>
          <w:sz w:val="24"/>
        </w:rPr>
        <w:t>。</w:t>
      </w:r>
    </w:p>
    <w:p w14:paraId="3634C78B">
      <w:pPr>
        <w:keepNext/>
        <w:keepLines/>
        <w:widowControl w:val="0"/>
        <w:autoSpaceDE w:val="0"/>
        <w:autoSpaceDN w:val="0"/>
        <w:adjustRightInd w:val="0"/>
        <w:spacing w:before="0" w:after="0" w:line="400" w:lineRule="exact"/>
        <w:jc w:val="left"/>
        <w:outlineLvl w:val="0"/>
        <w:rPr>
          <w:rFonts w:hint="eastAsia" w:ascii="宋体" w:hAnsi="宋体" w:eastAsia="宋体" w:cs="宋体"/>
          <w:b w:val="0"/>
          <w:color w:val="000000"/>
          <w:kern w:val="0"/>
          <w:sz w:val="24"/>
          <w:szCs w:val="24"/>
          <w:u w:val="single"/>
          <w:lang w:val="en-US" w:eastAsia="zh-CN" w:bidi="ar-SA"/>
        </w:rPr>
      </w:pPr>
      <w:bookmarkStart w:id="1778" w:name="_Toc362252935"/>
      <w:bookmarkStart w:id="1779" w:name="_Toc342296469"/>
      <w:bookmarkStart w:id="1780" w:name="_Toc241459710"/>
      <w:r>
        <w:rPr>
          <w:rFonts w:hint="eastAsia" w:ascii="宋体" w:hAnsi="宋体" w:eastAsia="宋体" w:cs="宋体"/>
          <w:b w:val="0"/>
          <w:color w:val="000000"/>
          <w:kern w:val="0"/>
          <w:sz w:val="24"/>
          <w:szCs w:val="24"/>
          <w:u w:val="single"/>
          <w:lang w:val="en-US" w:eastAsia="zh-CN" w:bidi="ar-SA"/>
        </w:rPr>
        <w:t>13.3 承包人的质量检查</w:t>
      </w:r>
      <w:bookmarkEnd w:id="1774"/>
      <w:bookmarkEnd w:id="1775"/>
      <w:bookmarkEnd w:id="1776"/>
      <w:bookmarkEnd w:id="1777"/>
      <w:bookmarkEnd w:id="1778"/>
      <w:bookmarkEnd w:id="1779"/>
      <w:bookmarkEnd w:id="1780"/>
    </w:p>
    <w:p w14:paraId="09BB9B62">
      <w:pPr>
        <w:spacing w:line="400" w:lineRule="exact"/>
        <w:ind w:firstLine="480" w:firstLineChars="200"/>
        <w:rPr>
          <w:rFonts w:hint="eastAsia" w:ascii="宋体" w:hAnsi="宋体" w:eastAsia="宋体" w:cs="宋体"/>
          <w:color w:val="000000"/>
          <w:sz w:val="24"/>
        </w:rPr>
      </w:pPr>
      <w:bookmarkStart w:id="1781" w:name="_Toc179632717"/>
      <w:bookmarkStart w:id="1782" w:name="_Toc144974668"/>
      <w:bookmarkStart w:id="1783" w:name="_Toc152042477"/>
      <w:bookmarkStart w:id="1784" w:name="_Toc152045699"/>
      <w:r>
        <w:rPr>
          <w:rFonts w:hint="eastAsia" w:ascii="宋体" w:hAnsi="宋体" w:eastAsia="宋体" w:cs="宋体"/>
          <w:color w:val="000000"/>
          <w:sz w:val="24"/>
        </w:rPr>
        <w:t>承包人向监理人报送工程质量报表的期限：</w:t>
      </w:r>
      <w:r>
        <w:rPr>
          <w:rFonts w:hint="eastAsia" w:ascii="宋体" w:hAnsi="宋体" w:eastAsia="宋体" w:cs="宋体"/>
          <w:color w:val="000000"/>
          <w:sz w:val="24"/>
          <w:u w:val="single"/>
        </w:rPr>
        <w:t xml:space="preserve"> 3天内  </w:t>
      </w:r>
      <w:r>
        <w:rPr>
          <w:rFonts w:hint="eastAsia" w:ascii="宋体" w:hAnsi="宋体" w:eastAsia="宋体" w:cs="宋体"/>
          <w:color w:val="000000"/>
          <w:sz w:val="24"/>
        </w:rPr>
        <w:t>。</w:t>
      </w:r>
    </w:p>
    <w:bookmarkEnd w:id="1781"/>
    <w:bookmarkEnd w:id="1782"/>
    <w:bookmarkEnd w:id="1783"/>
    <w:bookmarkEnd w:id="1784"/>
    <w:p w14:paraId="4639FB24">
      <w:pPr>
        <w:spacing w:line="400" w:lineRule="exact"/>
        <w:ind w:firstLine="480" w:firstLineChars="200"/>
        <w:rPr>
          <w:rFonts w:ascii="Times New Roman" w:hAnsi="Times New Roman" w:eastAsia="宋体" w:cs="Times New Roman"/>
          <w:color w:val="000000"/>
          <w:sz w:val="24"/>
        </w:rPr>
      </w:pPr>
      <w:bookmarkStart w:id="1785" w:name="_Toc144974669"/>
      <w:bookmarkStart w:id="1786" w:name="_Toc152042478"/>
      <w:bookmarkStart w:id="1787" w:name="_Toc179632718"/>
      <w:bookmarkStart w:id="1788" w:name="_Toc152045700"/>
      <w:r>
        <w:rPr>
          <w:rFonts w:hint="eastAsia" w:ascii="宋体" w:hAnsi="宋体" w:eastAsia="宋体" w:cs="宋体"/>
          <w:color w:val="000000"/>
          <w:sz w:val="24"/>
        </w:rPr>
        <w:t>承包人向监理人报送工程质量报表的要求：</w:t>
      </w:r>
      <w:r>
        <w:rPr>
          <w:rFonts w:hint="eastAsia" w:ascii="宋体" w:hAnsi="宋体" w:eastAsia="宋体" w:cs="宋体"/>
          <w:color w:val="000000"/>
          <w:sz w:val="24"/>
          <w:u w:val="single"/>
        </w:rPr>
        <w:t xml:space="preserve">  每月25日前  </w:t>
      </w:r>
      <w:r>
        <w:rPr>
          <w:rFonts w:ascii="Times New Roman" w:hAnsi="Times New Roman" w:eastAsia="宋体" w:cs="Times New Roman"/>
          <w:color w:val="000000"/>
          <w:sz w:val="24"/>
        </w:rPr>
        <w:t>。</w:t>
      </w:r>
    </w:p>
    <w:p w14:paraId="586DD69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监理人审查工程质量报表的期限：</w:t>
      </w:r>
      <w:r>
        <w:rPr>
          <w:rFonts w:ascii="Times New Roman" w:hAnsi="Times New Roman" w:eastAsia="宋体" w:cs="Times New Roman"/>
          <w:color w:val="000000"/>
          <w:sz w:val="24"/>
          <w:u w:val="single"/>
        </w:rPr>
        <w:t xml:space="preserve">  接到报表后2天内  </w:t>
      </w:r>
      <w:r>
        <w:rPr>
          <w:rFonts w:ascii="Times New Roman" w:hAnsi="Times New Roman" w:eastAsia="宋体" w:cs="Times New Roman"/>
          <w:color w:val="000000"/>
          <w:sz w:val="24"/>
        </w:rPr>
        <w:t>。</w:t>
      </w:r>
    </w:p>
    <w:p w14:paraId="44DA4A6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789" w:name="_Toc241459711"/>
      <w:bookmarkStart w:id="1790" w:name="_Toc362252936"/>
      <w:bookmarkStart w:id="1791" w:name="_Toc342296470"/>
      <w:r>
        <w:rPr>
          <w:rFonts w:ascii="宋体" w:hAnsi="Times New Roman" w:eastAsia="宋体" w:cs="Times New Roman"/>
          <w:b w:val="0"/>
          <w:color w:val="000000"/>
          <w:kern w:val="0"/>
          <w:sz w:val="24"/>
          <w:szCs w:val="24"/>
          <w:u w:val="single"/>
          <w:lang w:val="en-US" w:eastAsia="zh-CN" w:bidi="ar-SA"/>
        </w:rPr>
        <w:t>13.4 监理人的质量检查</w:t>
      </w:r>
      <w:bookmarkEnd w:id="1789"/>
      <w:bookmarkEnd w:id="1790"/>
      <w:bookmarkEnd w:id="1791"/>
    </w:p>
    <w:p w14:paraId="5174E0B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承包人应当为监理人的检查和检验提供方便，监理人可以进行察看和查阅施工原始记录的其他地方包括：</w:t>
      </w:r>
      <w:r>
        <w:rPr>
          <w:rFonts w:ascii="Times New Roman" w:hAnsi="Times New Roman" w:eastAsia="宋体" w:cs="Times New Roman"/>
          <w:color w:val="000000"/>
          <w:sz w:val="24"/>
          <w:u w:val="single"/>
        </w:rPr>
        <w:t xml:space="preserve">   承包人的预制构件制作车间   </w:t>
      </w:r>
      <w:r>
        <w:rPr>
          <w:rFonts w:ascii="Times New Roman" w:hAnsi="Times New Roman" w:eastAsia="宋体" w:cs="Times New Roman"/>
          <w:color w:val="000000"/>
          <w:sz w:val="24"/>
        </w:rPr>
        <w:t>。</w:t>
      </w:r>
    </w:p>
    <w:p w14:paraId="337BCF55">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792" w:name="_Toc241459712"/>
      <w:bookmarkStart w:id="1793" w:name="_Toc362252937"/>
      <w:bookmarkStart w:id="1794" w:name="_Toc342296471"/>
      <w:r>
        <w:rPr>
          <w:rFonts w:ascii="宋体" w:hAnsi="Times New Roman" w:eastAsia="宋体" w:cs="Times New Roman"/>
          <w:b w:val="0"/>
          <w:color w:val="000000"/>
          <w:kern w:val="0"/>
          <w:sz w:val="24"/>
          <w:szCs w:val="24"/>
          <w:u w:val="single"/>
          <w:lang w:val="en-US" w:eastAsia="zh-CN" w:bidi="ar-SA"/>
        </w:rPr>
        <w:t>13.5 工程隐蔽部位覆盖前的检查</w:t>
      </w:r>
      <w:bookmarkEnd w:id="1785"/>
      <w:bookmarkEnd w:id="1786"/>
      <w:bookmarkEnd w:id="1787"/>
      <w:bookmarkEnd w:id="1788"/>
      <w:bookmarkEnd w:id="1792"/>
      <w:bookmarkEnd w:id="1793"/>
      <w:bookmarkEnd w:id="1794"/>
    </w:p>
    <w:p w14:paraId="50A8720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13.5.1 监理人对工程隐蔽部位进行检查的期限：</w:t>
      </w:r>
      <w:r>
        <w:rPr>
          <w:rFonts w:ascii="Times New Roman" w:hAnsi="Times New Roman" w:eastAsia="宋体" w:cs="Times New Roman"/>
          <w:color w:val="000000"/>
          <w:sz w:val="24"/>
          <w:u w:val="single"/>
        </w:rPr>
        <w:t xml:space="preserve">  收到承包人的检查通知后12小时内  </w:t>
      </w:r>
      <w:r>
        <w:rPr>
          <w:rFonts w:ascii="Times New Roman" w:hAnsi="Times New Roman" w:eastAsia="宋体" w:cs="Times New Roman"/>
          <w:color w:val="000000"/>
          <w:sz w:val="24"/>
        </w:rPr>
        <w:t>。</w:t>
      </w:r>
    </w:p>
    <w:p w14:paraId="2E828D0C">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795" w:name="_Toc362252938"/>
      <w:bookmarkStart w:id="1796" w:name="_Toc342296472"/>
      <w:bookmarkStart w:id="1797" w:name="_Toc241459713"/>
      <w:bookmarkStart w:id="1798" w:name="_Toc152045706"/>
      <w:bookmarkStart w:id="1799" w:name="_Toc152042484"/>
      <w:bookmarkStart w:id="1800" w:name="_Toc144974675"/>
      <w:bookmarkStart w:id="1801" w:name="_Toc179632724"/>
      <w:r>
        <w:rPr>
          <w:rFonts w:ascii="宋体" w:hAnsi="Times New Roman" w:eastAsia="宋体" w:cs="Times New Roman"/>
          <w:b w:val="0"/>
          <w:color w:val="000000"/>
          <w:kern w:val="0"/>
          <w:sz w:val="24"/>
          <w:szCs w:val="24"/>
          <w:u w:val="single"/>
          <w:lang w:val="en-US" w:eastAsia="zh-CN" w:bidi="ar-SA"/>
        </w:rPr>
        <w:t>13.7 质量争议</w:t>
      </w:r>
      <w:bookmarkEnd w:id="1795"/>
      <w:bookmarkEnd w:id="1796"/>
      <w:bookmarkEnd w:id="1797"/>
    </w:p>
    <w:p w14:paraId="2BF8192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26E08073">
      <w:pPr>
        <w:pStyle w:val="258"/>
        <w:spacing w:before="0"/>
        <w:outlineLvl w:val="0"/>
        <w:rPr>
          <w:rFonts w:eastAsia="宋体" w:cs="Times New Roman"/>
          <w:color w:val="000000"/>
          <w:sz w:val="24"/>
          <w:szCs w:val="24"/>
        </w:rPr>
      </w:pPr>
      <w:bookmarkStart w:id="1802" w:name="_Toc362252939"/>
      <w:bookmarkStart w:id="1803" w:name="_Toc342296473"/>
      <w:bookmarkStart w:id="1804" w:name="_Toc241459714"/>
      <w:r>
        <w:rPr>
          <w:rFonts w:eastAsia="宋体" w:cs="Times New Roman"/>
          <w:color w:val="000000"/>
          <w:sz w:val="24"/>
          <w:szCs w:val="24"/>
        </w:rPr>
        <w:t>15. 变更</w:t>
      </w:r>
      <w:bookmarkEnd w:id="1798"/>
      <w:bookmarkEnd w:id="1799"/>
      <w:bookmarkEnd w:id="1800"/>
      <w:bookmarkEnd w:id="1801"/>
      <w:bookmarkEnd w:id="1802"/>
      <w:bookmarkEnd w:id="1803"/>
      <w:bookmarkEnd w:id="1804"/>
    </w:p>
    <w:p w14:paraId="1A7F7EA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05" w:name="_Toc144974676"/>
      <w:bookmarkStart w:id="1806" w:name="_Toc241459715"/>
      <w:bookmarkStart w:id="1807" w:name="_Toc179632725"/>
      <w:bookmarkStart w:id="1808" w:name="_Toc152042485"/>
      <w:bookmarkStart w:id="1809" w:name="_Toc362252940"/>
      <w:bookmarkStart w:id="1810" w:name="_Toc342296474"/>
      <w:bookmarkStart w:id="1811" w:name="_Toc152045707"/>
      <w:r>
        <w:rPr>
          <w:rFonts w:ascii="宋体" w:hAnsi="Times New Roman" w:eastAsia="宋体" w:cs="Times New Roman"/>
          <w:b w:val="0"/>
          <w:color w:val="000000"/>
          <w:kern w:val="0"/>
          <w:sz w:val="24"/>
          <w:szCs w:val="24"/>
          <w:u w:val="single"/>
          <w:lang w:val="en-US" w:eastAsia="zh-CN" w:bidi="ar-SA"/>
        </w:rPr>
        <w:t>15.1 变更的范围和内容</w:t>
      </w:r>
      <w:bookmarkEnd w:id="1805"/>
      <w:bookmarkEnd w:id="1806"/>
      <w:bookmarkEnd w:id="1807"/>
      <w:bookmarkEnd w:id="1808"/>
      <w:bookmarkEnd w:id="1809"/>
      <w:bookmarkEnd w:id="1810"/>
      <w:bookmarkEnd w:id="1811"/>
    </w:p>
    <w:p w14:paraId="37915AFE">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应当进行变更的其他情形：</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35F952D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25D562E6">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12" w:name="_Toc342296475"/>
      <w:bookmarkStart w:id="1813" w:name="_Toc179632727"/>
      <w:bookmarkStart w:id="1814" w:name="_Toc144974678"/>
      <w:bookmarkStart w:id="1815" w:name="_Toc241459716"/>
      <w:bookmarkStart w:id="1816" w:name="_Toc152045709"/>
      <w:bookmarkStart w:id="1817" w:name="_Toc152042487"/>
      <w:bookmarkStart w:id="1818" w:name="_Toc362252941"/>
      <w:r>
        <w:rPr>
          <w:rFonts w:ascii="宋体" w:hAnsi="Times New Roman" w:eastAsia="宋体" w:cs="Times New Roman"/>
          <w:b w:val="0"/>
          <w:color w:val="000000"/>
          <w:kern w:val="0"/>
          <w:sz w:val="24"/>
          <w:szCs w:val="24"/>
          <w:u w:val="single"/>
          <w:lang w:val="en-US" w:eastAsia="zh-CN" w:bidi="ar-SA"/>
        </w:rPr>
        <w:t>15.3 变更程序</w:t>
      </w:r>
      <w:bookmarkEnd w:id="1812"/>
      <w:bookmarkEnd w:id="1813"/>
      <w:bookmarkEnd w:id="1814"/>
      <w:bookmarkEnd w:id="1815"/>
      <w:bookmarkEnd w:id="1816"/>
      <w:bookmarkEnd w:id="1817"/>
      <w:bookmarkEnd w:id="1818"/>
    </w:p>
    <w:p w14:paraId="02E0AD8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15.3.2 变更估价</w:t>
      </w:r>
    </w:p>
    <w:p w14:paraId="2F7C0AA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（1）承包人提交变更报价书的期限：</w:t>
      </w:r>
      <w:r>
        <w:rPr>
          <w:rFonts w:ascii="Times New Roman" w:hAnsi="Times New Roman" w:eastAsia="宋体" w:cs="Times New Roman"/>
          <w:color w:val="000000"/>
          <w:sz w:val="24"/>
          <w:u w:val="single"/>
        </w:rPr>
        <w:t xml:space="preserve">  承包人收到变更指示或变更意向书后的14天内  </w:t>
      </w:r>
      <w:r>
        <w:rPr>
          <w:rFonts w:ascii="Times New Roman" w:hAnsi="Times New Roman" w:eastAsia="宋体" w:cs="Times New Roman"/>
          <w:color w:val="000000"/>
          <w:sz w:val="24"/>
        </w:rPr>
        <w:t>。</w:t>
      </w:r>
    </w:p>
    <w:p w14:paraId="54ABADE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（3）监理人商定或确定变更价格的期限：</w:t>
      </w:r>
      <w:r>
        <w:rPr>
          <w:rFonts w:ascii="Times New Roman" w:hAnsi="Times New Roman" w:eastAsia="宋体" w:cs="Times New Roman"/>
          <w:color w:val="000000"/>
          <w:sz w:val="24"/>
          <w:u w:val="single"/>
        </w:rPr>
        <w:t xml:space="preserve"> 监理人收到承包人变更报价书后的14天内  </w:t>
      </w:r>
      <w:r>
        <w:rPr>
          <w:rFonts w:ascii="Times New Roman" w:hAnsi="Times New Roman" w:eastAsia="宋体" w:cs="Times New Roman"/>
          <w:color w:val="000000"/>
          <w:sz w:val="24"/>
        </w:rPr>
        <w:t>。</w:t>
      </w:r>
    </w:p>
    <w:p w14:paraId="57281FC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（4）收到变更指示后，如承包人未在规定的期限内提交变更报价书的，监理人可自行决定是否调整合同价款以及如果监理人决定调整合同价款时，相应调整的具体金额。</w:t>
      </w:r>
    </w:p>
    <w:p w14:paraId="2C123E1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19" w:name="_Toc342296476"/>
      <w:bookmarkStart w:id="1820" w:name="_Toc362252942"/>
      <w:bookmarkStart w:id="1821" w:name="_Toc144974679"/>
      <w:bookmarkStart w:id="1822" w:name="_Toc179632728"/>
      <w:bookmarkStart w:id="1823" w:name="_Toc152042488"/>
      <w:bookmarkStart w:id="1824" w:name="_Toc152045710"/>
      <w:bookmarkStart w:id="1825" w:name="_Toc241459717"/>
      <w:r>
        <w:rPr>
          <w:rFonts w:ascii="宋体" w:hAnsi="Times New Roman" w:eastAsia="宋体" w:cs="Times New Roman"/>
          <w:b w:val="0"/>
          <w:color w:val="000000"/>
          <w:kern w:val="0"/>
          <w:sz w:val="24"/>
          <w:szCs w:val="24"/>
          <w:u w:val="single"/>
          <w:lang w:val="en-US" w:eastAsia="zh-CN" w:bidi="ar-SA"/>
        </w:rPr>
        <w:t>15.4 变更的估价原则</w:t>
      </w:r>
      <w:bookmarkEnd w:id="1819"/>
      <w:bookmarkEnd w:id="1820"/>
      <w:bookmarkEnd w:id="1821"/>
      <w:bookmarkEnd w:id="1822"/>
      <w:bookmarkEnd w:id="1823"/>
      <w:bookmarkEnd w:id="1824"/>
      <w:bookmarkEnd w:id="1825"/>
    </w:p>
    <w:p w14:paraId="09087C4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5A287E5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15.4.5 合同协议书约定采用单价合同形式时，因非承包人原因引起已标价工程量清单中列明的工程量发生增减，且单个子目工程量变化幅度在</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±15</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%以内（含）时，应执行已标价工程量清单中列明的该子目的单价；单个子目工程量变化幅度在</w:t>
      </w:r>
      <w:r>
        <w:rPr>
          <w:rFonts w:ascii="Times New Roman" w:hAnsi="Times New Roman" w:eastAsia="宋体" w:cs="Times New Roman"/>
          <w:color w:val="000000"/>
          <w:sz w:val="24"/>
          <w:u w:val="single"/>
        </w:rPr>
        <w:t xml:space="preserve"> ±15  </w:t>
      </w:r>
      <w:r>
        <w:rPr>
          <w:rFonts w:ascii="Times New Roman" w:hAnsi="Times New Roman" w:eastAsia="宋体" w:cs="Times New Roman"/>
          <w:color w:val="000000"/>
          <w:sz w:val="24"/>
        </w:rPr>
        <w:t>%以外（不含），且导致分部分项工程费总额变化幅度超过</w:t>
      </w:r>
      <w:r>
        <w:rPr>
          <w:rFonts w:ascii="Times New Roman" w:hAnsi="Times New Roman" w:eastAsia="宋体" w:cs="Times New Roman"/>
          <w:color w:val="000000"/>
          <w:sz w:val="24"/>
          <w:u w:val="single"/>
        </w:rPr>
        <w:t xml:space="preserve"> ±2 </w:t>
      </w:r>
      <w:r>
        <w:rPr>
          <w:rFonts w:ascii="Times New Roman" w:hAnsi="Times New Roman" w:eastAsia="宋体" w:cs="Times New Roman"/>
          <w:color w:val="000000"/>
          <w:sz w:val="24"/>
        </w:rPr>
        <w:t>%时，由承包人提出并由监理人按第3.5款商定或确定新的单价，该子目按修正后的新的单价计价。</w:t>
      </w:r>
    </w:p>
    <w:p w14:paraId="615F151C">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5.4.6 因变更引起价格调整的其他处理方式：</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1D3380FA">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26" w:name="_Toc152045711"/>
      <w:bookmarkStart w:id="1827" w:name="_Toc152042489"/>
      <w:bookmarkStart w:id="1828" w:name="_Toc342296477"/>
      <w:bookmarkStart w:id="1829" w:name="_Toc144974680"/>
      <w:bookmarkStart w:id="1830" w:name="_Toc241459718"/>
      <w:bookmarkStart w:id="1831" w:name="_Toc362252943"/>
      <w:bookmarkStart w:id="1832" w:name="_Toc179632729"/>
      <w:r>
        <w:rPr>
          <w:rFonts w:ascii="宋体" w:hAnsi="Times New Roman" w:eastAsia="宋体" w:cs="Times New Roman"/>
          <w:b w:val="0"/>
          <w:color w:val="000000"/>
          <w:kern w:val="0"/>
          <w:sz w:val="24"/>
          <w:szCs w:val="24"/>
          <w:u w:val="single"/>
          <w:lang w:val="en-US" w:eastAsia="zh-CN" w:bidi="ar-SA"/>
        </w:rPr>
        <w:t>15.5 承包人的合理化建议</w:t>
      </w:r>
      <w:bookmarkEnd w:id="1826"/>
      <w:bookmarkEnd w:id="1827"/>
      <w:bookmarkEnd w:id="1828"/>
      <w:bookmarkEnd w:id="1829"/>
      <w:bookmarkEnd w:id="1830"/>
      <w:bookmarkEnd w:id="1831"/>
      <w:bookmarkEnd w:id="1832"/>
    </w:p>
    <w:p w14:paraId="568F2742">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15.5.2对承包人提出合理化建议的奖励方法：</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5E21B3BE">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33" w:name="_Toc179632732"/>
      <w:bookmarkStart w:id="1834" w:name="_Toc144974683"/>
      <w:bookmarkStart w:id="1835" w:name="_Toc241459719"/>
      <w:bookmarkStart w:id="1836" w:name="_Toc152045714"/>
      <w:bookmarkStart w:id="1837" w:name="_Toc342296478"/>
      <w:bookmarkStart w:id="1838" w:name="_Toc152042492"/>
      <w:bookmarkStart w:id="1839" w:name="_Toc362252944"/>
      <w:r>
        <w:rPr>
          <w:rFonts w:ascii="宋体" w:hAnsi="Times New Roman" w:eastAsia="宋体" w:cs="Times New Roman"/>
          <w:b w:val="0"/>
          <w:color w:val="000000"/>
          <w:kern w:val="0"/>
          <w:sz w:val="24"/>
          <w:szCs w:val="24"/>
          <w:u w:val="single"/>
          <w:lang w:val="en-US" w:eastAsia="zh-CN" w:bidi="ar-SA"/>
        </w:rPr>
        <w:t>15.8 暂估价</w:t>
      </w:r>
      <w:bookmarkEnd w:id="1833"/>
      <w:bookmarkEnd w:id="1834"/>
      <w:bookmarkEnd w:id="1835"/>
      <w:bookmarkEnd w:id="1836"/>
      <w:bookmarkEnd w:id="1837"/>
      <w:bookmarkEnd w:id="1838"/>
      <w:bookmarkEnd w:id="1839"/>
    </w:p>
    <w:p w14:paraId="3814D28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2E62106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（1）在任何招标工作启动前，承包人应当提前至少</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天内给予批准或者提出修改意见。承包人应当严格按照经过发包人批准的招标工作计划开展招标工作。</w:t>
      </w:r>
    </w:p>
    <w:p w14:paraId="3DFB3CD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（2）承包人应当在发出招标公告（或者资格预审公告或者投标邀请书）、资格预审文件和招标文件前至少</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天，分别将相关文件通过监理人报请发包人审批，发包人应当在监理人收到承包人报送的相关文件后</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510258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（3）如果发、承包任何一方委派评标代表，评标委员会应当由七人以上单数构成。除发包人或者承包人自愿放弃委派评标代表的权利外，招标人评标代表应当分别由发包人和承包人等额委派。</w:t>
      </w:r>
    </w:p>
    <w:p w14:paraId="2888F88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E4C159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6231BBC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3FCEF1A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（7）承包人与专业分包人或者专项供应商订立合同前</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天，应当将准备用于正式签订的合同文件通过监理人报发包人审核，发包人应当在监理人收到相关文件后</w:t>
      </w:r>
      <w:r>
        <w:rPr>
          <w:rFonts w:ascii="Times New Roman" w:hAnsi="Times New Roman" w:eastAsia="宋体" w:cs="Times New Roman"/>
          <w:color w:val="000000"/>
          <w:sz w:val="24"/>
          <w:u w:val="single"/>
        </w:rPr>
        <w:t xml:space="preserve"> 7 </w:t>
      </w:r>
      <w:r>
        <w:rPr>
          <w:rFonts w:ascii="Times New Roman" w:hAnsi="Times New Roman" w:eastAsia="宋体" w:cs="Times New Roman"/>
          <w:color w:val="000000"/>
          <w:sz w:val="24"/>
        </w:rPr>
        <w:t>天内给予批准或者提出修改意见，承包人应当按照发包人批准的合同文件签订相关合同，合同订立后</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天内，承包人应当将其中的两份副本报送监理人，其中一份由监理人报发包人留存。</w:t>
      </w:r>
    </w:p>
    <w:p w14:paraId="6924CD8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（8）发包人对承包人报送文件进行审批或提出的修改意见应当合理，并符合现行有关法律法规的规定。</w:t>
      </w:r>
    </w:p>
    <w:p w14:paraId="79A486E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54A331D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15.8.3发包人在工程量清单中给定暂估价的专业工程不属于依法必须招标的范围或者未达到依法必须招标的规模标准的，其最终价格的估价人为：</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发包人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或者按照下列约定：</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5730094D">
      <w:pPr>
        <w:pStyle w:val="258"/>
        <w:spacing w:before="0"/>
        <w:outlineLvl w:val="0"/>
        <w:rPr>
          <w:rFonts w:eastAsia="宋体" w:cs="Times New Roman"/>
          <w:color w:val="000000"/>
          <w:sz w:val="24"/>
          <w:szCs w:val="24"/>
        </w:rPr>
      </w:pPr>
      <w:bookmarkStart w:id="1840" w:name="_Toc241459720"/>
      <w:bookmarkStart w:id="1841" w:name="_Toc362252945"/>
      <w:bookmarkStart w:id="1842" w:name="_Toc152042493"/>
      <w:bookmarkStart w:id="1843" w:name="_Toc144974684"/>
      <w:bookmarkStart w:id="1844" w:name="_Toc179632733"/>
      <w:bookmarkStart w:id="1845" w:name="_Toc342296479"/>
      <w:bookmarkStart w:id="1846" w:name="_Toc152045715"/>
      <w:r>
        <w:rPr>
          <w:rFonts w:eastAsia="宋体" w:cs="Times New Roman"/>
          <w:color w:val="000000"/>
          <w:sz w:val="24"/>
          <w:szCs w:val="24"/>
        </w:rPr>
        <w:t>16. 价格调整</w:t>
      </w:r>
      <w:bookmarkEnd w:id="1840"/>
      <w:bookmarkEnd w:id="1841"/>
      <w:bookmarkEnd w:id="1842"/>
      <w:bookmarkEnd w:id="1843"/>
      <w:bookmarkEnd w:id="1844"/>
      <w:bookmarkEnd w:id="1845"/>
      <w:bookmarkEnd w:id="1846"/>
    </w:p>
    <w:p w14:paraId="4DB28AA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47" w:name="_Toc152045716"/>
      <w:bookmarkStart w:id="1848" w:name="_Toc362252946"/>
      <w:bookmarkStart w:id="1849" w:name="_Toc179632734"/>
      <w:bookmarkStart w:id="1850" w:name="_Toc342296480"/>
      <w:bookmarkStart w:id="1851" w:name="_Toc241459721"/>
      <w:bookmarkStart w:id="1852" w:name="_Toc144974685"/>
      <w:bookmarkStart w:id="1853" w:name="_Toc152042494"/>
      <w:r>
        <w:rPr>
          <w:rFonts w:ascii="宋体" w:hAnsi="Times New Roman" w:eastAsia="宋体" w:cs="Times New Roman"/>
          <w:b w:val="0"/>
          <w:color w:val="000000"/>
          <w:kern w:val="0"/>
          <w:sz w:val="24"/>
          <w:szCs w:val="24"/>
          <w:u w:val="single"/>
          <w:lang w:val="en-US" w:eastAsia="zh-CN" w:bidi="ar-SA"/>
        </w:rPr>
        <w:t>16.1 物价波动引起的价格调整</w:t>
      </w:r>
      <w:bookmarkEnd w:id="1847"/>
      <w:bookmarkEnd w:id="1848"/>
      <w:bookmarkEnd w:id="1849"/>
      <w:bookmarkEnd w:id="1850"/>
      <w:bookmarkEnd w:id="1851"/>
      <w:bookmarkEnd w:id="1852"/>
      <w:bookmarkEnd w:id="1853"/>
    </w:p>
    <w:p w14:paraId="78EEFD9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物价波动引起的价格调整方法：</w:t>
      </w:r>
      <w:r>
        <w:rPr>
          <w:rFonts w:ascii="Times New Roman" w:hAnsi="Times New Roman" w:eastAsia="宋体" w:cs="Times New Roman"/>
          <w:sz w:val="24"/>
          <w:u w:val="single"/>
        </w:rPr>
        <w:t>造价信息调整差额法</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6700B5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其他约定：</w:t>
      </w:r>
    </w:p>
    <w:p w14:paraId="7FC37628">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u w:val="single"/>
        </w:rPr>
        <w:t xml:space="preserve">a）当钢材、木材、水泥、预拌混凝土、钢筋混凝土预制构件、沥青混凝土、电线、电缆对工程造价影响较大的主要材料以及人工和机械的市场价格变化幅度在±6%（含）以内时，不做调整。除前述材料及暂估价的材料和工程设备外，其它材料的任何市场价格变化不做调整。  </w:t>
      </w:r>
      <w:r>
        <w:rPr>
          <w:rFonts w:ascii="Times New Roman" w:hAnsi="Times New Roman" w:eastAsia="宋体" w:cs="Times New Roman"/>
          <w:sz w:val="24"/>
        </w:rPr>
        <w:t>。</w:t>
      </w:r>
    </w:p>
    <w:p w14:paraId="48F95EE8">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b)当钢材、木材、水泥、预拌混凝土、钢筋混凝土预制构件、沥青混凝土、电线、电缆对工程造价影响较大的主要材料以及人工和机械的市场价格变化幅度在±6%（不含）以外时，应当计算超过部分的价差，超过部分的价差由发包人承担或受益。</w:t>
      </w:r>
    </w:p>
    <w:p w14:paraId="3668EA3E">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c)市场价格变化幅度确定方法：</w:t>
      </w:r>
    </w:p>
    <w:p w14:paraId="5AC9ACFB">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基准价：以</w:t>
      </w:r>
      <w:r>
        <w:rPr>
          <w:rFonts w:hint="eastAsia" w:ascii="Times New Roman" w:hAnsi="Times New Roman" w:eastAsia="宋体" w:cs="Times New Roman"/>
          <w:sz w:val="24"/>
          <w:u w:val="single"/>
          <w:lang w:val="en-US" w:eastAsia="zh-CN"/>
        </w:rPr>
        <w:t>2025</w:t>
      </w:r>
      <w:r>
        <w:rPr>
          <w:rFonts w:ascii="Times New Roman" w:hAnsi="Times New Roman" w:eastAsia="宋体" w:cs="Times New Roman"/>
          <w:sz w:val="24"/>
          <w:u w:val="single"/>
        </w:rPr>
        <w:t>年</w:t>
      </w:r>
      <w:r>
        <w:rPr>
          <w:rFonts w:hint="eastAsia" w:ascii="Times New Roman" w:hAnsi="Times New Roman" w:eastAsia="宋体" w:cs="Times New Roman"/>
          <w:sz w:val="24"/>
          <w:u w:val="single"/>
          <w:lang w:val="en-US" w:eastAsia="zh-CN"/>
        </w:rPr>
        <w:t>5月</w:t>
      </w:r>
      <w:r>
        <w:rPr>
          <w:rFonts w:ascii="Times New Roman" w:hAnsi="Times New Roman" w:eastAsia="宋体" w:cs="Times New Roman"/>
          <w:sz w:val="24"/>
          <w:u w:val="single"/>
        </w:rPr>
        <w:t>的《北京工程造价信息》为基准期，与基准期对应的主要材料和机械以及人工市场价格为基准价。</w:t>
      </w:r>
    </w:p>
    <w:p w14:paraId="2365F4E7">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基准价应以《北京工程造价信息》（以下简称造价信息）中的市场信息价格为依据确定。造价信息价格中有上、下限的，以下限为准；造价信息价格缺项时，应以发包人、承包人共同确认的市场价格为依据确定。</w:t>
      </w:r>
    </w:p>
    <w:p w14:paraId="33951871">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u w:val="single"/>
        </w:rPr>
        <w:t>施工期市场价应以发包人、承包人共同确认的价格为准。若发包人、承包人未能就施工期市场价格达成一致，可以参考施工期的造价信息价格。</w:t>
      </w:r>
    </w:p>
    <w:p w14:paraId="4970D11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d）市场价格变化幅度的计算：</w:t>
      </w:r>
    </w:p>
    <w:p w14:paraId="40D65289">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当承包人投标报价中的主要材料和机械以及人工单价低于基准价时，施工期市场价的涨幅以基准价格为基础确定，跌幅以投标报价为基础确定，涨（跌）幅度超过合同约定的市场价格变化幅度值时，其超过部分按第e）条的规定执行。</w:t>
      </w:r>
    </w:p>
    <w:p w14:paraId="3C19E9C5">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当承包人投标报价中的主要材料和机械以及人工单价高于基准价时，施工期市场价跌幅以基准价格为基础确定，涨幅以投标报价为基础确定，涨（跌）幅度超过合同约定的市场价格变化幅度值时，其超过部分按第e）条的规定执行。</w:t>
      </w:r>
    </w:p>
    <w:p w14:paraId="6199BE1A">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当承包人投标报价中的主要材料和机械以及人工单价等于基准价时，施工期市场价涨（跌）幅度以基准价格为基础确定，涨（跌）幅度超过合同约定的市场价格变化幅度值时，其超过部分按第e）条的规定执行。</w:t>
      </w:r>
    </w:p>
    <w:p w14:paraId="504D2457">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e）超过市场价格变化幅度的调整原则：</w:t>
      </w:r>
    </w:p>
    <w:p w14:paraId="622A2918">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主要材料和机械市场价格的变化幅度小于或等于合同中约定的价格变化幅度时，不做调整；变化幅度大于合同中约定的价格变化幅度时，应当计算超过部分的价格差额，其价格差额由发包人承担或受益。</w:t>
      </w:r>
    </w:p>
    <w:p w14:paraId="20E1C4ED">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人工市场价格的变化幅度小于或等于合同中约定的价格变化幅度时，不做调整；变化幅度大于合同中约定的价格变化幅度时，应当计算全部价格差额，其价格差额由发包人承担或受益。</w:t>
      </w:r>
    </w:p>
    <w:p w14:paraId="0BA12070">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人工费价格差额不计取规费；人工、材料、机械计算后的价格差额只计取税金。</w:t>
      </w:r>
    </w:p>
    <w:p w14:paraId="7B290106">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f）因发包人原因造成工期延误的，延误期间发生的价差由发包人承担；因承包人原因造成工期延误的，延误期间发生的价差由承包人承担；</w:t>
      </w:r>
    </w:p>
    <w:p w14:paraId="4697133D">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u w:val="single"/>
        </w:rPr>
        <w:t>g）发包人、承包人应当按月对施工期间人工、材料、机械等市场价格进行认价。承包人应当在合同规定的调整情况发生后14天内，将调整原因、金额以书面形式通知发包人，发包人确认调整金额后将其作为追加合同价款，竣工结算时一并支付；发包人收到承包人通知后14天内未予确认也未提出异议的，视为已经同意该项调整。</w:t>
      </w:r>
    </w:p>
    <w:p w14:paraId="5DE83F1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sz w:val="24"/>
          <w:u w:val="single"/>
        </w:rPr>
        <w:t>当合同规定的调整合同价款的调整情况发生后，承包人未在规定的时间内通知发包人，或者未在规定的时间内提出调整报告，发包人可以根据有关资料，决定是否调整和调整的金额，并书面通知承包人。</w:t>
      </w:r>
    </w:p>
    <w:p w14:paraId="3FC35F1C">
      <w:pPr>
        <w:pStyle w:val="258"/>
        <w:spacing w:before="0"/>
        <w:outlineLvl w:val="0"/>
        <w:rPr>
          <w:rFonts w:eastAsia="宋体" w:cs="Times New Roman"/>
          <w:color w:val="000000"/>
          <w:sz w:val="24"/>
          <w:szCs w:val="24"/>
        </w:rPr>
      </w:pPr>
      <w:bookmarkStart w:id="1854" w:name="_Toc179632736"/>
      <w:bookmarkStart w:id="1855" w:name="_Toc241459722"/>
      <w:bookmarkStart w:id="1856" w:name="_Toc144974689"/>
      <w:bookmarkStart w:id="1857" w:name="_Toc152042497"/>
      <w:bookmarkStart w:id="1858" w:name="_Toc342296481"/>
      <w:bookmarkStart w:id="1859" w:name="_Toc362252947"/>
      <w:bookmarkStart w:id="1860" w:name="_Toc152045718"/>
      <w:r>
        <w:rPr>
          <w:rFonts w:eastAsia="宋体" w:cs="Times New Roman"/>
          <w:color w:val="000000"/>
          <w:sz w:val="24"/>
          <w:szCs w:val="24"/>
        </w:rPr>
        <w:t>17. 计量与支付</w:t>
      </w:r>
      <w:bookmarkEnd w:id="1854"/>
      <w:bookmarkEnd w:id="1855"/>
      <w:bookmarkEnd w:id="1856"/>
      <w:bookmarkEnd w:id="1857"/>
      <w:bookmarkEnd w:id="1858"/>
      <w:bookmarkEnd w:id="1859"/>
      <w:bookmarkEnd w:id="1860"/>
    </w:p>
    <w:p w14:paraId="14EDFD5B">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61" w:name="_Toc144974690"/>
      <w:bookmarkStart w:id="1862" w:name="_Toc152045719"/>
      <w:bookmarkStart w:id="1863" w:name="_Toc152042498"/>
      <w:bookmarkStart w:id="1864" w:name="_Toc179632737"/>
      <w:bookmarkStart w:id="1865" w:name="_Toc342296482"/>
      <w:bookmarkStart w:id="1866" w:name="_Toc362252948"/>
      <w:bookmarkStart w:id="1867" w:name="_Toc241459723"/>
      <w:r>
        <w:rPr>
          <w:rFonts w:ascii="宋体" w:hAnsi="Times New Roman" w:eastAsia="宋体" w:cs="Times New Roman"/>
          <w:b w:val="0"/>
          <w:color w:val="000000"/>
          <w:kern w:val="0"/>
          <w:sz w:val="24"/>
          <w:szCs w:val="24"/>
          <w:u w:val="single"/>
          <w:lang w:val="en-US" w:eastAsia="zh-CN" w:bidi="ar-SA"/>
        </w:rPr>
        <w:t>17.1 计量</w:t>
      </w:r>
      <w:bookmarkEnd w:id="1861"/>
      <w:bookmarkEnd w:id="1862"/>
      <w:bookmarkEnd w:id="1863"/>
      <w:bookmarkEnd w:id="1864"/>
      <w:bookmarkEnd w:id="1865"/>
      <w:bookmarkEnd w:id="1866"/>
      <w:bookmarkEnd w:id="1867"/>
    </w:p>
    <w:p w14:paraId="4078D86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17.1.2 计量方法</w:t>
      </w:r>
    </w:p>
    <w:p w14:paraId="1919811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工程量计算规则执行国家标准《建设工程工程量清单计价规范》（GB50500）或其适用的修订版本。除合同另有约定外，承包人实际完成的工程量按约定的工程量计算规则和有合同约束力的图纸进行计量。</w:t>
      </w:r>
    </w:p>
    <w:p w14:paraId="19E4CEA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17.1.3 计量周期</w:t>
      </w:r>
    </w:p>
    <w:p w14:paraId="121C095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（1）本合同的计量周期为月，每月</w:t>
      </w:r>
      <w:r>
        <w:rPr>
          <w:rFonts w:ascii="Times New Roman" w:hAnsi="Times New Roman" w:eastAsia="宋体" w:cs="Times New Roman"/>
          <w:color w:val="000000"/>
          <w:sz w:val="24"/>
          <w:u w:val="single"/>
        </w:rPr>
        <w:t xml:space="preserve"> 25 </w:t>
      </w:r>
      <w:r>
        <w:rPr>
          <w:rFonts w:ascii="Times New Roman" w:hAnsi="Times New Roman" w:eastAsia="宋体" w:cs="Times New Roman"/>
          <w:color w:val="000000"/>
          <w:sz w:val="24"/>
        </w:rPr>
        <w:t>日为当月计量截止日期（不含当日）和下月计量起始日期（含当日）。</w:t>
      </w:r>
    </w:p>
    <w:p w14:paraId="684789F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（2）本合同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不</w:t>
      </w:r>
      <w:r>
        <w:rPr>
          <w:rFonts w:ascii="Times New Roman" w:hAnsi="Times New Roman" w:eastAsia="宋体" w:cs="Times New Roman"/>
          <w:color w:val="000000"/>
          <w:sz w:val="24"/>
          <w:u w:val="single"/>
        </w:rPr>
        <w:t xml:space="preserve">执行  </w:t>
      </w:r>
      <w:r>
        <w:rPr>
          <w:rFonts w:ascii="Times New Roman" w:hAnsi="Times New Roman" w:eastAsia="宋体" w:cs="Times New Roman"/>
          <w:color w:val="000000"/>
          <w:sz w:val="24"/>
        </w:rPr>
        <w:t>（执行（采用单价合同形式时）/不执行（采用总价合同形式时））通用合同条款本项约定的单价子目计量。总价子目计量方法按专用合同条款第17.1.5项总价子目的计量--</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（支付分解报告/按实际完成工程量计量）。</w:t>
      </w:r>
    </w:p>
    <w:p w14:paraId="61B208F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17.1.5 总价子目的计量—支付分解报告</w:t>
      </w:r>
    </w:p>
    <w:p w14:paraId="4D4E51C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0583D7CA">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（1）总价子目的价格调整方法：</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45C4B4C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（2）列入每月进度付款申请单中各总价子目的价值为有合同约束力的支付分解表中对应月份的总价子目总价值。</w:t>
      </w:r>
    </w:p>
    <w:p w14:paraId="6B61A79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（3）监理人根据有合同约束力的支付分解表复核列入每月进度付款申请单中的总价子目的总价值。</w:t>
      </w:r>
    </w:p>
    <w:p w14:paraId="5EA7EA7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（4）除按照第15条约定的变更外，在竣工结算时总价子目的工程量不应当重新计量，签约合同价所基于的工程量即是用于竣工结算的最终工程量。</w:t>
      </w:r>
    </w:p>
    <w:p w14:paraId="64B34007">
      <w:pPr>
        <w:spacing w:line="400" w:lineRule="exact"/>
        <w:ind w:firstLine="480" w:firstLineChars="200"/>
        <w:rPr>
          <w:rFonts w:ascii="Times New Roman" w:hAnsi="Times New Roman" w:eastAsia="宋体" w:cs="Times New Roman"/>
          <w:color w:val="000000"/>
          <w:sz w:val="24"/>
        </w:rPr>
      </w:pPr>
      <w:bookmarkStart w:id="1868" w:name="_Toc152045720"/>
      <w:bookmarkStart w:id="1869" w:name="_Toc179632738"/>
      <w:bookmarkStart w:id="1870" w:name="_Toc152042499"/>
      <w:bookmarkStart w:id="1871" w:name="_Toc144974691"/>
      <w:r>
        <w:rPr>
          <w:rFonts w:ascii="Times New Roman" w:hAnsi="Times New Roman" w:eastAsia="宋体" w:cs="Times New Roman"/>
          <w:color w:val="000000"/>
          <w:sz w:val="24"/>
        </w:rPr>
        <w:t>17.1.5 总价子目的计量--按实际完成工程量计量</w:t>
      </w:r>
    </w:p>
    <w:p w14:paraId="58AE36C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（1）总价子目的价格调整方法：</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。总价子目的计量和支付应以总价为基础，对承包人实际完成的工程量进行计量，是进行工程目标管理和控制进度款支付的依据。</w:t>
      </w:r>
    </w:p>
    <w:p w14:paraId="49A3301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6CA4BDBD">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2D026F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（4）监理人应在收到承包人提交的工程量报表后的7天内进行复核，监理人未在约定时间内复核的，承包人提交的工程量报表中的工程量视为承包人实际完成的工程量，据此计算工程价款。</w:t>
      </w:r>
    </w:p>
    <w:p w14:paraId="61A2AC1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（5）除按照第15条约定的变更外，在竣工结算时总价子目的工程量不应当重新计量，签约合同价所基于的工程量即是用于竣工结算的最终工程量。</w:t>
      </w:r>
    </w:p>
    <w:p w14:paraId="18265FC6">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72" w:name="_Toc362252949"/>
      <w:bookmarkStart w:id="1873" w:name="_Toc241459724"/>
      <w:bookmarkStart w:id="1874" w:name="_Toc342296483"/>
      <w:r>
        <w:rPr>
          <w:rFonts w:ascii="宋体" w:hAnsi="Times New Roman" w:eastAsia="宋体" w:cs="Times New Roman"/>
          <w:b w:val="0"/>
          <w:color w:val="000000"/>
          <w:kern w:val="0"/>
          <w:sz w:val="24"/>
          <w:szCs w:val="24"/>
          <w:u w:val="single"/>
          <w:lang w:val="en-US" w:eastAsia="zh-CN" w:bidi="ar-SA"/>
        </w:rPr>
        <w:t>17.2 预付款</w:t>
      </w:r>
      <w:bookmarkEnd w:id="1868"/>
      <w:bookmarkEnd w:id="1869"/>
      <w:bookmarkEnd w:id="1870"/>
      <w:bookmarkEnd w:id="1871"/>
      <w:bookmarkEnd w:id="1872"/>
      <w:bookmarkEnd w:id="1873"/>
      <w:bookmarkEnd w:id="1874"/>
    </w:p>
    <w:p w14:paraId="613B354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17.2.1 预付款</w:t>
      </w:r>
    </w:p>
    <w:p w14:paraId="123B97B5">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（1）预付款额度</w:t>
      </w:r>
    </w:p>
    <w:p w14:paraId="4D2B3414">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分部分项工程部分的预付款额度：</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3336AE55">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措施项目部分预付款额度：</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29F804FA">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其中：安全文明施工费用预付额度：</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19EC1CEB">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（2）预付办法</w:t>
      </w:r>
    </w:p>
    <w:p w14:paraId="1F2CECA3">
      <w:pPr>
        <w:spacing w:line="400" w:lineRule="exact"/>
        <w:ind w:firstLine="480" w:firstLineChars="200"/>
        <w:rPr>
          <w:rFonts w:hint="eastAsia" w:ascii="Times New Roman" w:hAnsi="Times New Roman" w:eastAsia="宋体" w:cs="Times New Roman"/>
          <w:color w:val="auto"/>
          <w:sz w:val="24"/>
          <w:u w:val="single"/>
          <w:lang w:eastAsia="zh-CN"/>
        </w:rPr>
      </w:pPr>
      <w:r>
        <w:rPr>
          <w:rFonts w:ascii="Times New Roman" w:hAnsi="Times New Roman" w:eastAsia="宋体" w:cs="Times New Roman"/>
          <w:color w:val="auto"/>
          <w:sz w:val="24"/>
        </w:rPr>
        <w:t>预付款预付办法：</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5C58A5D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预付款的支付时间：</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D6C703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安全文明施工费用的预付不受上述预付办法和支</w:t>
      </w:r>
      <w:r>
        <w:rPr>
          <w:rFonts w:ascii="Times New Roman" w:hAnsi="Times New Roman" w:eastAsia="宋体" w:cs="Times New Roman"/>
          <w:color w:val="000000"/>
          <w:sz w:val="24"/>
        </w:rPr>
        <w:t>付时间约定的制约，发包人应当在不迟于通用合同条款第11.1.1项约定的开工日期前的7天内将安全文明施工费用的预付款一次性拨付给承包人。</w:t>
      </w:r>
    </w:p>
    <w:p w14:paraId="50C92C3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发包人逾期支付合同约定的预付款，除承担通用合同条款第22.2款约定的违约责任外，还应向承包人支付按专用合同条款第17.3.3(2)目约定的标准和方法计算的逾期付款违约金。</w:t>
      </w:r>
    </w:p>
    <w:p w14:paraId="59D14F2B">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17.2.2 预付款保函</w:t>
      </w:r>
    </w:p>
    <w:p w14:paraId="7DD834A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预付款保函的金额与预付款金额相同。预付款保函的提交时间：</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FF0000"/>
          <w:sz w:val="24"/>
          <w:u w:val="single"/>
        </w:rPr>
        <w:t xml:space="preserve"> /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397548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02ED222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17.2.3 预付款的扣回与还清</w:t>
      </w:r>
    </w:p>
    <w:p w14:paraId="0A94D539">
      <w:pPr>
        <w:spacing w:line="400" w:lineRule="exact"/>
        <w:ind w:firstLine="480" w:firstLineChars="200"/>
        <w:rPr>
          <w:rFonts w:ascii="Times New Roman" w:hAnsi="Times New Roman" w:eastAsia="宋体" w:cs="Times New Roman"/>
          <w:color w:val="000000"/>
          <w:sz w:val="24"/>
        </w:rPr>
      </w:pPr>
      <w:bookmarkStart w:id="1875" w:name="_Toc152042500"/>
      <w:bookmarkStart w:id="1876" w:name="_Toc152045721"/>
      <w:bookmarkStart w:id="1877" w:name="_Toc179632739"/>
      <w:bookmarkStart w:id="1878" w:name="_Toc144974692"/>
      <w:r>
        <w:rPr>
          <w:rFonts w:ascii="Times New Roman" w:hAnsi="Times New Roman" w:eastAsia="宋体" w:cs="Times New Roman"/>
          <w:color w:val="000000"/>
          <w:sz w:val="24"/>
        </w:rPr>
        <w:t>预付款的扣回办法：</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FF0000"/>
          <w:sz w:val="24"/>
          <w:u w:val="single"/>
        </w:rPr>
        <w:t>当</w:t>
      </w:r>
      <w:r>
        <w:rPr>
          <w:rFonts w:hint="eastAsia" w:ascii="Times New Roman" w:hAnsi="Times New Roman" w:eastAsia="宋体" w:cs="Times New Roman"/>
          <w:color w:val="FF0000"/>
          <w:sz w:val="24"/>
          <w:u w:val="single"/>
        </w:rPr>
        <w:t>已完成的工程价款超过预付款后，预付款抵扣为进度款</w:t>
      </w:r>
      <w:r>
        <w:rPr>
          <w:rFonts w:ascii="Times New Roman" w:hAnsi="Times New Roman" w:eastAsia="宋体" w:cs="Times New Roman"/>
          <w:color w:val="FF0000"/>
          <w:sz w:val="24"/>
          <w:u w:val="single"/>
        </w:rPr>
        <w:t xml:space="preserve">  </w:t>
      </w:r>
      <w:r>
        <w:rPr>
          <w:rFonts w:ascii="Times New Roman" w:hAnsi="Times New Roman" w:eastAsia="宋体" w:cs="Times New Roman"/>
          <w:color w:val="FF0000"/>
          <w:sz w:val="24"/>
        </w:rPr>
        <w:t>。</w:t>
      </w:r>
      <w:r>
        <w:rPr>
          <w:rFonts w:ascii="Times New Roman" w:hAnsi="Times New Roman" w:eastAsia="宋体" w:cs="Times New Roman"/>
          <w:color w:val="000000"/>
          <w:sz w:val="24"/>
        </w:rPr>
        <w:t xml:space="preserve"> </w:t>
      </w:r>
    </w:p>
    <w:p w14:paraId="0F583DA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17.2.4 预付款保函的格式</w:t>
      </w:r>
    </w:p>
    <w:p w14:paraId="0BC227A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承包人应当按照专用合同条款第17.2.2项约定的金额和时间以及发包人在本工程招标文件中规定的或者其他经过发包人事先认可的格式向发包人递交一份无条件兑付的和不可撤销的预付款保函。</w:t>
      </w:r>
    </w:p>
    <w:p w14:paraId="6897515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17.2.5 预付款保函的有效期</w:t>
      </w:r>
    </w:p>
    <w:p w14:paraId="3E3B749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预付款保函的有效期应当自预付款支付给承包人之日起至发包人签认的进度付款证书说明预付款已完全扣清之日止。</w:t>
      </w:r>
    </w:p>
    <w:p w14:paraId="604FACC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17.2.6 发包人的通知义务</w:t>
      </w:r>
    </w:p>
    <w:p w14:paraId="2F50A8D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不管保函条款中如何约定，发包人根据担保提出索赔或兑现要求之前，均应通知承包人并说明导致此类索赔或兑现的原因，但此类通知不应理解为是在任何意义上寻求承包人的同意。</w:t>
      </w:r>
    </w:p>
    <w:p w14:paraId="2D0AD6B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17.2.7 预付款保函的退还</w:t>
      </w:r>
    </w:p>
    <w:p w14:paraId="3B7CA3E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预付款保函应在发包人签认的进度付款证书说明预付款已完全扣清之日后14天内退还给承包人。发包人不承担承包人与预付款保函有关的任何利息或其它类似的费用或者收益。</w:t>
      </w:r>
    </w:p>
    <w:p w14:paraId="7D139C0E">
      <w:pPr>
        <w:keepNext/>
        <w:keepLines/>
        <w:widowControl w:val="0"/>
        <w:autoSpaceDE w:val="0"/>
        <w:autoSpaceDN w:val="0"/>
        <w:adjustRightInd w:val="0"/>
        <w:spacing w:before="0" w:after="0" w:line="400" w:lineRule="exact"/>
        <w:jc w:val="left"/>
        <w:outlineLvl w:val="3"/>
        <w:rPr>
          <w:rFonts w:ascii="宋体" w:hAnsi="Times New Roman" w:eastAsia="宋体" w:cs="Times New Roman"/>
          <w:b w:val="0"/>
          <w:color w:val="000000"/>
          <w:kern w:val="0"/>
          <w:sz w:val="24"/>
          <w:szCs w:val="24"/>
          <w:u w:val="single"/>
          <w:lang w:val="en-US" w:eastAsia="zh-CN" w:bidi="ar-SA"/>
        </w:rPr>
      </w:pPr>
      <w:bookmarkStart w:id="1879" w:name="_Toc362252950"/>
      <w:bookmarkStart w:id="1880" w:name="_Toc342296484"/>
      <w:bookmarkStart w:id="1881" w:name="_Toc241459725"/>
      <w:r>
        <w:rPr>
          <w:rFonts w:ascii="宋体" w:hAnsi="Times New Roman" w:eastAsia="宋体" w:cs="Times New Roman"/>
          <w:b w:val="0"/>
          <w:color w:val="000000"/>
          <w:kern w:val="0"/>
          <w:sz w:val="24"/>
          <w:szCs w:val="24"/>
          <w:u w:val="single"/>
          <w:lang w:val="en-US" w:eastAsia="zh-CN" w:bidi="ar-SA"/>
        </w:rPr>
        <w:t>17.3 工程进度付款</w:t>
      </w:r>
      <w:bookmarkEnd w:id="1875"/>
      <w:bookmarkEnd w:id="1876"/>
      <w:bookmarkEnd w:id="1877"/>
      <w:bookmarkEnd w:id="1878"/>
      <w:bookmarkEnd w:id="1879"/>
      <w:bookmarkEnd w:id="1880"/>
      <w:bookmarkEnd w:id="1881"/>
    </w:p>
    <w:p w14:paraId="411B7C2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17.3.2进度付款申请单</w:t>
      </w:r>
    </w:p>
    <w:p w14:paraId="4B7C98B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进度付款申请单的份数：</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62AA6757">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进度付款申请单的内容：</w:t>
      </w:r>
      <w:r>
        <w:rPr>
          <w:rFonts w:hint="eastAsia" w:ascii="Times New Roman" w:hAnsi="Times New Roman" w:eastAsia="宋体" w:cs="Times New Roman"/>
          <w:color w:val="FF0000"/>
          <w:sz w:val="24"/>
          <w:u w:val="single"/>
        </w:rPr>
        <w:t>未经专门约定，本项目施工期间不办理进度付款。  如需，</w:t>
      </w:r>
      <w:r>
        <w:rPr>
          <w:rFonts w:hint="eastAsia" w:ascii="Times New Roman" w:hAnsi="Times New Roman" w:eastAsia="宋体" w:cs="Times New Roman"/>
          <w:sz w:val="24"/>
          <w:u w:val="single"/>
        </w:rPr>
        <w:t>申请单</w:t>
      </w:r>
      <w:r>
        <w:rPr>
          <w:rFonts w:ascii="Times New Roman" w:hAnsi="Times New Roman" w:eastAsia="宋体" w:cs="Times New Roman"/>
          <w:sz w:val="24"/>
          <w:u w:val="single"/>
        </w:rPr>
        <w:t>包括以下内容：（1）付款次数或编号；（2）截止本次付款周期末已实施工程的价款；（3）变更金额；（4）索赔金额；（5）本次应支付的预付款</w:t>
      </w:r>
      <w:r>
        <w:rPr>
          <w:rFonts w:hint="eastAsia" w:ascii="Times New Roman" w:hAnsi="Times New Roman" w:eastAsia="宋体" w:cs="Times New Roman"/>
          <w:sz w:val="24"/>
          <w:u w:val="single"/>
        </w:rPr>
        <w:t>和应扣减的返还预付款</w:t>
      </w:r>
      <w:r>
        <w:rPr>
          <w:rFonts w:ascii="Times New Roman" w:hAnsi="Times New Roman" w:eastAsia="宋体" w:cs="Times New Roman"/>
          <w:sz w:val="24"/>
          <w:u w:val="single"/>
        </w:rPr>
        <w:t>（6）</w:t>
      </w:r>
      <w:r>
        <w:rPr>
          <w:rFonts w:hint="eastAsia" w:ascii="Times New Roman" w:hAnsi="Times New Roman" w:eastAsia="宋体" w:cs="Times New Roman"/>
          <w:sz w:val="24"/>
          <w:u w:val="single"/>
        </w:rPr>
        <w:t>本次应扣减的质量保证金；（7）</w:t>
      </w:r>
      <w:r>
        <w:rPr>
          <w:rFonts w:ascii="Times New Roman" w:hAnsi="Times New Roman" w:eastAsia="宋体" w:cs="Times New Roman"/>
          <w:sz w:val="24"/>
          <w:u w:val="single"/>
        </w:rPr>
        <w:t>根据合同应增加和扣减的其他金额</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1FAF813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17.3.3进度付款证书和支付时间</w:t>
      </w:r>
    </w:p>
    <w:p w14:paraId="17FAB1F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1F3EAED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逾期付款违约金的计算标准为：</w:t>
      </w:r>
      <w:r>
        <w:rPr>
          <w:rFonts w:ascii="Times New Roman" w:hAnsi="Times New Roman" w:eastAsia="宋体" w:cs="Times New Roman"/>
          <w:sz w:val="24"/>
          <w:u w:val="single"/>
        </w:rPr>
        <w:t>按照中国人民银行发布的同期同类贷款利率计算</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9897D6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逾期付款违约金的计算方法为：</w:t>
      </w:r>
      <w:r>
        <w:rPr>
          <w:rFonts w:ascii="Times New Roman" w:hAnsi="Times New Roman" w:eastAsia="宋体" w:cs="Times New Roman"/>
          <w:sz w:val="24"/>
          <w:u w:val="single"/>
        </w:rPr>
        <w:t>按逾期付款金额每日万分之三计算</w:t>
      </w:r>
      <w:r>
        <w:rPr>
          <w:rFonts w:ascii="Times New Roman" w:hAnsi="Times New Roman" w:eastAsia="宋体" w:cs="Times New Roman"/>
          <w:color w:val="000000"/>
          <w:sz w:val="24"/>
        </w:rPr>
        <w:t>。</w:t>
      </w:r>
    </w:p>
    <w:p w14:paraId="293A9EB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（4）进度付款涉及政府性资金的支付方法：</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7AB3A468">
      <w:pPr>
        <w:spacing w:line="400" w:lineRule="exact"/>
        <w:ind w:firstLine="480" w:firstLineChars="200"/>
        <w:rPr>
          <w:rFonts w:ascii="Times New Roman" w:hAnsi="Times New Roman" w:eastAsia="宋体" w:cs="Times New Roman"/>
          <w:color w:val="000000"/>
          <w:sz w:val="24"/>
        </w:rPr>
      </w:pPr>
      <w:bookmarkStart w:id="1882" w:name="_Toc152045722"/>
      <w:bookmarkStart w:id="1883" w:name="_Toc144974693"/>
      <w:bookmarkStart w:id="1884" w:name="_Toc152042501"/>
      <w:bookmarkStart w:id="1885" w:name="_Toc179632740"/>
      <w:r>
        <w:rPr>
          <w:rFonts w:ascii="Times New Roman" w:hAnsi="Times New Roman" w:eastAsia="宋体" w:cs="Times New Roman"/>
          <w:color w:val="000000"/>
          <w:sz w:val="24"/>
        </w:rPr>
        <w:t>17.3.5 临时付款证书</w:t>
      </w:r>
    </w:p>
    <w:p w14:paraId="1056A48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6B3FD67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2176090F">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5A05A07A">
      <w:pPr>
        <w:spacing w:line="400" w:lineRule="exact"/>
        <w:rPr>
          <w:rFonts w:ascii="Times New Roman" w:hAnsi="Times New Roman" w:eastAsia="宋体" w:cs="Times New Roman"/>
          <w:color w:val="000000"/>
          <w:sz w:val="24"/>
        </w:rPr>
      </w:pPr>
      <w:bookmarkStart w:id="1886" w:name="_Toc241459726"/>
      <w:bookmarkStart w:id="1887" w:name="_Toc342296485"/>
      <w:bookmarkStart w:id="1888" w:name="_Toc362252951"/>
      <w:r>
        <w:rPr>
          <w:rFonts w:ascii="Times New Roman" w:hAnsi="Times New Roman" w:eastAsia="宋体" w:cs="Times New Roman"/>
          <w:color w:val="000000"/>
          <w:sz w:val="24"/>
        </w:rPr>
        <w:t xml:space="preserve">17.4 </w:t>
      </w:r>
      <w:bookmarkEnd w:id="1882"/>
      <w:bookmarkEnd w:id="1883"/>
      <w:bookmarkEnd w:id="1884"/>
      <w:r>
        <w:rPr>
          <w:rFonts w:ascii="Times New Roman" w:hAnsi="Times New Roman" w:eastAsia="宋体" w:cs="Times New Roman"/>
          <w:color w:val="000000"/>
          <w:sz w:val="24"/>
        </w:rPr>
        <w:t>质量保证金</w:t>
      </w:r>
      <w:bookmarkEnd w:id="1885"/>
      <w:bookmarkEnd w:id="1886"/>
      <w:bookmarkEnd w:id="1887"/>
      <w:bookmarkEnd w:id="1888"/>
    </w:p>
    <w:p w14:paraId="6B3ECE04">
      <w:pPr>
        <w:spacing w:line="400" w:lineRule="exact"/>
        <w:ind w:firstLine="480" w:firstLineChars="200"/>
        <w:rPr>
          <w:rFonts w:ascii="Times New Roman" w:hAnsi="Times New Roman" w:eastAsia="宋体" w:cs="Times New Roman"/>
          <w:color w:val="000000"/>
          <w:sz w:val="24"/>
        </w:rPr>
      </w:pPr>
      <w:bookmarkStart w:id="1889" w:name="_Toc152045723"/>
      <w:bookmarkStart w:id="1890" w:name="_Toc144974694"/>
      <w:bookmarkStart w:id="1891" w:name="_Toc179632741"/>
      <w:bookmarkStart w:id="1892" w:name="_Toc152042502"/>
      <w:r>
        <w:rPr>
          <w:rFonts w:ascii="Times New Roman" w:hAnsi="Times New Roman" w:eastAsia="宋体" w:cs="Times New Roman"/>
          <w:color w:val="000000"/>
          <w:sz w:val="24"/>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w:t>
      </w:r>
      <w:r>
        <w:rPr>
          <w:rFonts w:hint="eastAsia" w:ascii="Times New Roman" w:hAnsi="Times New Roman" w:eastAsia="宋体" w:cs="Times New Roman"/>
          <w:color w:val="000000"/>
          <w:sz w:val="24"/>
        </w:rPr>
        <w:t>三</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%）扣留，直至质量保证金累计扣留金额达到签约合同价的百分之</w:t>
      </w:r>
      <w:r>
        <w:rPr>
          <w:rFonts w:hint="eastAsia" w:ascii="Times New Roman" w:hAnsi="Times New Roman" w:eastAsia="宋体" w:cs="Times New Roman"/>
          <w:color w:val="000000"/>
          <w:sz w:val="24"/>
        </w:rPr>
        <w:t>三</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%）为止。</w:t>
      </w:r>
    </w:p>
    <w:p w14:paraId="3A7B49A6">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893" w:name="_Toc241459727"/>
      <w:bookmarkStart w:id="1894" w:name="_Toc342296486"/>
      <w:bookmarkStart w:id="1895" w:name="_Toc362252952"/>
      <w:r>
        <w:rPr>
          <w:rFonts w:ascii="宋体" w:hAnsi="Times New Roman" w:eastAsia="宋体" w:cs="Times New Roman"/>
          <w:b w:val="0"/>
          <w:color w:val="000000"/>
          <w:kern w:val="0"/>
          <w:sz w:val="24"/>
          <w:szCs w:val="24"/>
          <w:u w:val="single"/>
          <w:lang w:val="en-US" w:eastAsia="zh-CN" w:bidi="ar-SA"/>
        </w:rPr>
        <w:t>17.5 竣工结算</w:t>
      </w:r>
      <w:bookmarkEnd w:id="1889"/>
      <w:bookmarkEnd w:id="1890"/>
      <w:bookmarkEnd w:id="1891"/>
      <w:bookmarkEnd w:id="1892"/>
      <w:bookmarkEnd w:id="1893"/>
      <w:bookmarkEnd w:id="1894"/>
      <w:bookmarkEnd w:id="1895"/>
    </w:p>
    <w:p w14:paraId="0F82FD13">
      <w:pPr>
        <w:spacing w:line="400" w:lineRule="exact"/>
        <w:ind w:firstLine="480" w:firstLineChars="200"/>
        <w:rPr>
          <w:rFonts w:ascii="Times New Roman" w:hAnsi="Times New Roman" w:eastAsia="宋体" w:cs="Times New Roman"/>
          <w:color w:val="000000"/>
          <w:sz w:val="24"/>
        </w:rPr>
      </w:pPr>
      <w:bookmarkStart w:id="1896" w:name="_Toc144974695"/>
      <w:bookmarkStart w:id="1897" w:name="_Toc152042503"/>
      <w:bookmarkStart w:id="1898" w:name="_Toc152045724"/>
      <w:bookmarkStart w:id="1899" w:name="_Toc179632742"/>
      <w:r>
        <w:rPr>
          <w:rFonts w:ascii="Times New Roman" w:hAnsi="Times New Roman" w:eastAsia="宋体" w:cs="Times New Roman"/>
          <w:color w:val="000000"/>
          <w:sz w:val="24"/>
        </w:rPr>
        <w:t>17.5.1竣工付款申请单</w:t>
      </w:r>
    </w:p>
    <w:p w14:paraId="00C21D40">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承包人提交竣工付款申请单的份数：</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提交3份竣工付款申请单</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6115069">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承包人提交竣工付款申请单的期限：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FF0000"/>
          <w:sz w:val="24"/>
          <w:u w:val="single"/>
        </w:rPr>
        <w:t>在工程</w:t>
      </w:r>
      <w:r>
        <w:rPr>
          <w:rFonts w:hint="eastAsia" w:ascii="Times New Roman" w:hAnsi="Times New Roman" w:eastAsia="宋体" w:cs="Times New Roman"/>
          <w:color w:val="FF0000"/>
          <w:sz w:val="24"/>
          <w:u w:val="single"/>
        </w:rPr>
        <w:t>竣工验收合格、工程</w:t>
      </w:r>
      <w:r>
        <w:rPr>
          <w:rFonts w:ascii="Times New Roman" w:hAnsi="Times New Roman" w:eastAsia="宋体" w:cs="Times New Roman"/>
          <w:color w:val="FF0000"/>
          <w:sz w:val="24"/>
          <w:u w:val="single"/>
        </w:rPr>
        <w:t>接收证书颁发后14天内</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5EB88E93">
      <w:pPr>
        <w:spacing w:line="400" w:lineRule="exact"/>
        <w:ind w:firstLine="480" w:firstLineChars="200"/>
        <w:rPr>
          <w:rFonts w:ascii="Times New Roman" w:hAnsi="Times New Roman" w:eastAsia="宋体" w:cs="Times New Roman"/>
          <w:color w:val="FF0000"/>
          <w:sz w:val="24"/>
        </w:rPr>
      </w:pPr>
      <w:r>
        <w:rPr>
          <w:rFonts w:ascii="Times New Roman" w:hAnsi="Times New Roman" w:eastAsia="宋体" w:cs="Times New Roman"/>
          <w:color w:val="000000"/>
          <w:sz w:val="24"/>
        </w:rPr>
        <w:t>竣工付款申请单的内容：</w:t>
      </w:r>
      <w:r>
        <w:rPr>
          <w:rFonts w:ascii="Times New Roman" w:hAnsi="Times New Roman" w:eastAsia="宋体" w:cs="Times New Roman"/>
          <w:color w:val="FF0000"/>
          <w:sz w:val="24"/>
          <w:u w:val="single"/>
        </w:rPr>
        <w:t>竣工结算</w:t>
      </w:r>
      <w:r>
        <w:rPr>
          <w:rFonts w:hint="eastAsia" w:ascii="Times New Roman" w:hAnsi="Times New Roman" w:eastAsia="宋体" w:cs="Times New Roman"/>
          <w:color w:val="FF0000"/>
          <w:sz w:val="24"/>
          <w:u w:val="single"/>
        </w:rPr>
        <w:t>审定签署表</w:t>
      </w:r>
      <w:r>
        <w:rPr>
          <w:rFonts w:ascii="Times New Roman" w:hAnsi="Times New Roman" w:eastAsia="宋体" w:cs="Times New Roman"/>
          <w:color w:val="FF0000"/>
          <w:sz w:val="24"/>
          <w:u w:val="single"/>
        </w:rPr>
        <w:t>、已支付的工程价款、应扣回的预付款、应支付的竣工付款金额等</w:t>
      </w:r>
      <w:r>
        <w:rPr>
          <w:rFonts w:ascii="Times New Roman" w:hAnsi="Times New Roman" w:eastAsia="宋体" w:cs="Times New Roman"/>
          <w:color w:val="FF0000"/>
          <w:sz w:val="24"/>
        </w:rPr>
        <w:t>。</w:t>
      </w:r>
    </w:p>
    <w:p w14:paraId="3629A8D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26FA920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59C45689">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00" w:name="_Toc342296487"/>
      <w:bookmarkStart w:id="1901" w:name="_Toc241459728"/>
      <w:bookmarkStart w:id="1902" w:name="_Toc362252953"/>
      <w:r>
        <w:rPr>
          <w:rFonts w:ascii="宋体" w:hAnsi="Times New Roman" w:eastAsia="宋体" w:cs="Times New Roman"/>
          <w:b w:val="0"/>
          <w:color w:val="000000"/>
          <w:kern w:val="0"/>
          <w:sz w:val="24"/>
          <w:szCs w:val="24"/>
          <w:u w:val="single"/>
          <w:lang w:val="en-US" w:eastAsia="zh-CN" w:bidi="ar-SA"/>
        </w:rPr>
        <w:t>17.6 最终结清</w:t>
      </w:r>
      <w:bookmarkEnd w:id="1896"/>
      <w:bookmarkEnd w:id="1897"/>
      <w:bookmarkEnd w:id="1898"/>
      <w:bookmarkEnd w:id="1899"/>
      <w:bookmarkEnd w:id="1900"/>
      <w:bookmarkEnd w:id="1901"/>
      <w:bookmarkEnd w:id="1902"/>
    </w:p>
    <w:p w14:paraId="56AAFB2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17.6.1最终结清申请单</w:t>
      </w:r>
    </w:p>
    <w:p w14:paraId="61508EDC">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承包人提交最终结清申请单的份数：</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提交3份最终结清申请单</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04480B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承包人提交最终结清申请单的期限：</w:t>
      </w:r>
      <w:r>
        <w:rPr>
          <w:rFonts w:ascii="Times New Roman" w:hAnsi="Times New Roman" w:eastAsia="宋体" w:cs="Times New Roman"/>
          <w:color w:val="000000"/>
          <w:sz w:val="24"/>
          <w:u w:val="single"/>
        </w:rPr>
        <w:t xml:space="preserve">  在缺陷责任期终止证书颁发后28天内  </w:t>
      </w:r>
      <w:r>
        <w:rPr>
          <w:rFonts w:ascii="Times New Roman" w:hAnsi="Times New Roman" w:eastAsia="宋体" w:cs="Times New Roman"/>
          <w:color w:val="000000"/>
          <w:sz w:val="24"/>
        </w:rPr>
        <w:t>。</w:t>
      </w:r>
    </w:p>
    <w:p w14:paraId="1F0EC2FF">
      <w:pPr>
        <w:pStyle w:val="258"/>
        <w:spacing w:before="0"/>
        <w:outlineLvl w:val="0"/>
        <w:rPr>
          <w:rFonts w:eastAsia="宋体" w:cs="Times New Roman"/>
          <w:color w:val="000000"/>
          <w:sz w:val="24"/>
          <w:szCs w:val="24"/>
        </w:rPr>
      </w:pPr>
      <w:bookmarkStart w:id="1903" w:name="_Toc342296488"/>
      <w:bookmarkStart w:id="1904" w:name="_Toc179632743"/>
      <w:bookmarkStart w:id="1905" w:name="_Toc362252954"/>
      <w:bookmarkStart w:id="1906" w:name="_Toc152042504"/>
      <w:bookmarkStart w:id="1907" w:name="_Toc241459729"/>
      <w:bookmarkStart w:id="1908" w:name="_Toc152045725"/>
      <w:bookmarkStart w:id="1909" w:name="_Toc144974696"/>
      <w:r>
        <w:rPr>
          <w:rFonts w:eastAsia="宋体" w:cs="Times New Roman"/>
          <w:color w:val="000000"/>
          <w:sz w:val="24"/>
          <w:szCs w:val="24"/>
        </w:rPr>
        <w:t>18. 竣工验收</w:t>
      </w:r>
      <w:bookmarkEnd w:id="1903"/>
      <w:bookmarkEnd w:id="1904"/>
      <w:bookmarkEnd w:id="1905"/>
      <w:bookmarkEnd w:id="1906"/>
      <w:bookmarkEnd w:id="1907"/>
      <w:bookmarkEnd w:id="1908"/>
      <w:bookmarkEnd w:id="1909"/>
    </w:p>
    <w:p w14:paraId="7FD3055E">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10" w:name="_Toc362252955"/>
      <w:bookmarkStart w:id="1911" w:name="_Toc152042506"/>
      <w:bookmarkStart w:id="1912" w:name="_Toc241459730"/>
      <w:bookmarkStart w:id="1913" w:name="_Toc144974698"/>
      <w:bookmarkStart w:id="1914" w:name="_Toc342296489"/>
      <w:bookmarkStart w:id="1915" w:name="_Toc152045727"/>
      <w:bookmarkStart w:id="1916" w:name="_Toc179632745"/>
      <w:r>
        <w:rPr>
          <w:rFonts w:ascii="宋体" w:hAnsi="Times New Roman" w:eastAsia="宋体" w:cs="Times New Roman"/>
          <w:b w:val="0"/>
          <w:color w:val="000000"/>
          <w:kern w:val="0"/>
          <w:sz w:val="24"/>
          <w:szCs w:val="24"/>
          <w:u w:val="single"/>
          <w:lang w:val="en-US" w:eastAsia="zh-CN" w:bidi="ar-SA"/>
        </w:rPr>
        <w:t>18.2 竣工验收申请报告</w:t>
      </w:r>
      <w:bookmarkEnd w:id="1910"/>
      <w:bookmarkEnd w:id="1911"/>
      <w:bookmarkEnd w:id="1912"/>
      <w:bookmarkEnd w:id="1913"/>
      <w:bookmarkEnd w:id="1914"/>
      <w:bookmarkEnd w:id="1915"/>
      <w:bookmarkEnd w:id="1916"/>
    </w:p>
    <w:p w14:paraId="2A12F237">
      <w:pPr>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（2）承包人负责整理和提交的竣工验收资料应当符合工程所在地建设行政主管部门和（或）城市建设档案管理机构有关施工资料的要求，具体内容包括：</w:t>
      </w:r>
      <w:r>
        <w:rPr>
          <w:rFonts w:ascii="Times New Roman" w:hAnsi="Times New Roman" w:eastAsia="宋体" w:cs="Times New Roman"/>
          <w:sz w:val="24"/>
          <w:u w:val="single"/>
        </w:rPr>
        <w:t>按北京市规定</w:t>
      </w:r>
      <w:r>
        <w:rPr>
          <w:rFonts w:ascii="Times New Roman" w:hAnsi="Times New Roman" w:eastAsia="宋体" w:cs="Times New Roman"/>
          <w:color w:val="000000"/>
          <w:sz w:val="24"/>
        </w:rPr>
        <w:t>。</w:t>
      </w:r>
    </w:p>
    <w:p w14:paraId="7B82215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竣工验收资料的份数：</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4份</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1085F43A">
      <w:pPr>
        <w:spacing w:line="400" w:lineRule="exact"/>
        <w:ind w:firstLine="480" w:firstLineChars="200"/>
        <w:rPr>
          <w:rFonts w:ascii="Times New Roman" w:hAnsi="Times New Roman" w:eastAsia="宋体" w:cs="Times New Roman"/>
          <w:color w:val="000000"/>
          <w:sz w:val="24"/>
        </w:rPr>
      </w:pPr>
      <w:bookmarkStart w:id="1917" w:name="_Toc152042507"/>
      <w:bookmarkStart w:id="1918" w:name="_Toc144974699"/>
      <w:bookmarkStart w:id="1919" w:name="_Toc179632746"/>
      <w:bookmarkStart w:id="1920" w:name="_Toc152045728"/>
      <w:r>
        <w:rPr>
          <w:rFonts w:ascii="Times New Roman" w:hAnsi="Times New Roman" w:eastAsia="宋体" w:cs="Times New Roman"/>
          <w:color w:val="000000"/>
          <w:sz w:val="24"/>
        </w:rPr>
        <w:t>竣工验收资料的费用支付方式：</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承包人承担</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D5ABD5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21" w:name="_Toc362252956"/>
      <w:bookmarkStart w:id="1922" w:name="_Toc241459731"/>
      <w:bookmarkStart w:id="1923" w:name="_Toc342296490"/>
      <w:r>
        <w:rPr>
          <w:rFonts w:ascii="宋体" w:hAnsi="Times New Roman" w:eastAsia="宋体" w:cs="Times New Roman"/>
          <w:b w:val="0"/>
          <w:color w:val="000000"/>
          <w:kern w:val="0"/>
          <w:sz w:val="24"/>
          <w:szCs w:val="24"/>
          <w:u w:val="single"/>
          <w:lang w:val="en-US" w:eastAsia="zh-CN" w:bidi="ar-SA"/>
        </w:rPr>
        <w:t>18.3 验 收</w:t>
      </w:r>
      <w:bookmarkEnd w:id="1917"/>
      <w:bookmarkEnd w:id="1918"/>
      <w:bookmarkEnd w:id="1919"/>
      <w:bookmarkEnd w:id="1920"/>
      <w:bookmarkEnd w:id="1921"/>
      <w:bookmarkEnd w:id="1922"/>
      <w:bookmarkEnd w:id="1923"/>
    </w:p>
    <w:p w14:paraId="3F6471A2">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18.3.5经验收合格的工程, 实际竣工日期为承包人按照第18.2款提交竣工验收申请报告或按照本款重新提交竣工验收申请报告的日期（以两者中时间在后者为准）。</w:t>
      </w:r>
    </w:p>
    <w:p w14:paraId="0C1348B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24" w:name="_Toc362252957"/>
      <w:bookmarkStart w:id="1925" w:name="_Toc152042509"/>
      <w:bookmarkStart w:id="1926" w:name="_Toc241459732"/>
      <w:bookmarkStart w:id="1927" w:name="_Toc152045730"/>
      <w:bookmarkStart w:id="1928" w:name="_Toc179632748"/>
      <w:bookmarkStart w:id="1929" w:name="_Toc342296491"/>
      <w:bookmarkStart w:id="1930" w:name="_Toc144974701"/>
      <w:r>
        <w:rPr>
          <w:rFonts w:ascii="宋体" w:hAnsi="Times New Roman" w:eastAsia="宋体" w:cs="Times New Roman"/>
          <w:b w:val="0"/>
          <w:color w:val="000000"/>
          <w:kern w:val="0"/>
          <w:sz w:val="24"/>
          <w:szCs w:val="24"/>
          <w:u w:val="single"/>
          <w:lang w:val="en-US" w:eastAsia="zh-CN" w:bidi="ar-SA"/>
        </w:rPr>
        <w:t>18.5 施工期运行</w:t>
      </w:r>
      <w:bookmarkEnd w:id="1924"/>
      <w:bookmarkEnd w:id="1925"/>
      <w:bookmarkEnd w:id="1926"/>
      <w:bookmarkEnd w:id="1927"/>
      <w:bookmarkEnd w:id="1928"/>
      <w:bookmarkEnd w:id="1929"/>
      <w:bookmarkEnd w:id="1930"/>
    </w:p>
    <w:p w14:paraId="3A17151D">
      <w:pPr>
        <w:spacing w:line="400" w:lineRule="exact"/>
        <w:ind w:firstLine="480" w:firstLineChars="200"/>
        <w:rPr>
          <w:rFonts w:ascii="Times New Roman" w:hAnsi="Times New Roman" w:eastAsia="宋体" w:cs="Times New Roman"/>
          <w:color w:val="000000"/>
          <w:sz w:val="24"/>
          <w:u w:val="single"/>
        </w:rPr>
      </w:pPr>
      <w:bookmarkStart w:id="1931" w:name="_Toc152045731"/>
      <w:bookmarkStart w:id="1932" w:name="_Toc179632749"/>
      <w:bookmarkStart w:id="1933" w:name="_Toc144974702"/>
      <w:bookmarkStart w:id="1934" w:name="_Toc152042510"/>
      <w:r>
        <w:rPr>
          <w:rFonts w:ascii="Times New Roman" w:hAnsi="Times New Roman" w:eastAsia="宋体" w:cs="Times New Roman"/>
          <w:color w:val="000000"/>
          <w:sz w:val="24"/>
        </w:rPr>
        <w:t>18.5.1需要施工期运行的单位工程或设备安装工程：</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624275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35" w:name="_Toc241459733"/>
      <w:bookmarkStart w:id="1936" w:name="_Toc342296492"/>
      <w:bookmarkStart w:id="1937" w:name="_Toc362252958"/>
      <w:r>
        <w:rPr>
          <w:rFonts w:ascii="宋体" w:hAnsi="Times New Roman" w:eastAsia="宋体" w:cs="Times New Roman"/>
          <w:b w:val="0"/>
          <w:color w:val="000000"/>
          <w:kern w:val="0"/>
          <w:sz w:val="24"/>
          <w:szCs w:val="24"/>
          <w:u w:val="single"/>
          <w:lang w:val="en-US" w:eastAsia="zh-CN" w:bidi="ar-SA"/>
        </w:rPr>
        <w:t>18.6 试运行</w:t>
      </w:r>
      <w:bookmarkEnd w:id="1931"/>
      <w:bookmarkEnd w:id="1932"/>
      <w:bookmarkEnd w:id="1933"/>
      <w:bookmarkEnd w:id="1934"/>
      <w:bookmarkEnd w:id="1935"/>
      <w:bookmarkEnd w:id="1936"/>
      <w:bookmarkEnd w:id="1937"/>
    </w:p>
    <w:p w14:paraId="10CBF838">
      <w:pPr>
        <w:spacing w:line="400" w:lineRule="exact"/>
        <w:ind w:firstLine="480" w:firstLineChars="200"/>
        <w:rPr>
          <w:rFonts w:ascii="Times New Roman" w:hAnsi="Times New Roman" w:eastAsia="宋体" w:cs="Times New Roman"/>
          <w:color w:val="000000"/>
          <w:sz w:val="24"/>
        </w:rPr>
      </w:pPr>
      <w:bookmarkStart w:id="1938" w:name="_Toc152042511"/>
      <w:bookmarkStart w:id="1939" w:name="_Toc152045732"/>
      <w:bookmarkStart w:id="1940" w:name="_Toc179632750"/>
      <w:bookmarkStart w:id="1941" w:name="_Toc144974703"/>
      <w:r>
        <w:rPr>
          <w:rFonts w:ascii="Times New Roman" w:hAnsi="Times New Roman" w:eastAsia="宋体" w:cs="Times New Roman"/>
          <w:color w:val="000000"/>
          <w:sz w:val="24"/>
        </w:rPr>
        <w:t>18.6.1工程及工程设备试运行的组织与费用承担</w:t>
      </w:r>
    </w:p>
    <w:p w14:paraId="001347A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（1）工程设备安装具备单机无负荷试运行条件，由承包人组织试运行，费用由承包人承担。</w:t>
      </w:r>
    </w:p>
    <w:p w14:paraId="6FC3A9E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 工程设备安装具备无负荷联动试运行条件，由发包人组织试运行，费用由发包人承担。</w:t>
      </w:r>
    </w:p>
    <w:p w14:paraId="512ED14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（3）投料试运行应在工程竣工验收后由发包人负责，如发包人要求在工程竣工验收前进行或需要承包人配合时，应征得承包人同意，另行签订补充协议。</w:t>
      </w:r>
    </w:p>
    <w:p w14:paraId="0CB25C05">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42" w:name="_Toc241459734"/>
      <w:bookmarkStart w:id="1943" w:name="_Toc342296493"/>
      <w:bookmarkStart w:id="1944" w:name="_Toc362252959"/>
      <w:r>
        <w:rPr>
          <w:rFonts w:ascii="宋体" w:hAnsi="Times New Roman" w:eastAsia="宋体" w:cs="Times New Roman"/>
          <w:b w:val="0"/>
          <w:color w:val="000000"/>
          <w:kern w:val="0"/>
          <w:sz w:val="24"/>
          <w:szCs w:val="24"/>
          <w:u w:val="single"/>
          <w:lang w:val="en-US" w:eastAsia="zh-CN" w:bidi="ar-SA"/>
        </w:rPr>
        <w:t>18.7 竣工清场</w:t>
      </w:r>
      <w:bookmarkEnd w:id="1938"/>
      <w:bookmarkEnd w:id="1939"/>
      <w:bookmarkEnd w:id="1940"/>
      <w:bookmarkEnd w:id="1941"/>
      <w:bookmarkEnd w:id="1942"/>
      <w:bookmarkEnd w:id="1943"/>
      <w:bookmarkEnd w:id="1944"/>
    </w:p>
    <w:p w14:paraId="738DE90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18.7.1监理人颁发（出具）工程接收证书后，承包人负责按照通用合同条款本项约定的要求对施工场地进行清理并承担相关费用，直至监理人检验合格为止。</w:t>
      </w:r>
    </w:p>
    <w:p w14:paraId="39654FFE">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45" w:name="_Toc362252960"/>
      <w:bookmarkStart w:id="1946" w:name="_Toc179632751"/>
      <w:bookmarkStart w:id="1947" w:name="_Toc152045733"/>
      <w:bookmarkStart w:id="1948" w:name="_Toc241459735"/>
      <w:bookmarkStart w:id="1949" w:name="_Toc342296494"/>
      <w:bookmarkStart w:id="1950" w:name="_Toc144974704"/>
      <w:bookmarkStart w:id="1951" w:name="_Toc152042512"/>
      <w:r>
        <w:rPr>
          <w:rFonts w:ascii="宋体" w:hAnsi="Times New Roman" w:eastAsia="宋体" w:cs="Times New Roman"/>
          <w:b w:val="0"/>
          <w:color w:val="000000"/>
          <w:kern w:val="0"/>
          <w:sz w:val="24"/>
          <w:szCs w:val="24"/>
          <w:u w:val="single"/>
          <w:lang w:val="en-US" w:eastAsia="zh-CN" w:bidi="ar-SA"/>
        </w:rPr>
        <w:t>18.8 施工队伍的撤离</w:t>
      </w:r>
      <w:bookmarkEnd w:id="1945"/>
      <w:bookmarkEnd w:id="1946"/>
      <w:bookmarkEnd w:id="1947"/>
      <w:bookmarkEnd w:id="1948"/>
      <w:bookmarkEnd w:id="1949"/>
      <w:bookmarkEnd w:id="1950"/>
      <w:bookmarkEnd w:id="1951"/>
    </w:p>
    <w:p w14:paraId="6C35D864">
      <w:pPr>
        <w:spacing w:line="400" w:lineRule="exact"/>
        <w:ind w:firstLine="480" w:firstLineChars="200"/>
        <w:rPr>
          <w:rFonts w:ascii="Times New Roman" w:hAnsi="Times New Roman" w:eastAsia="宋体" w:cs="Times New Roman"/>
          <w:color w:val="000000"/>
          <w:sz w:val="24"/>
        </w:rPr>
      </w:pPr>
      <w:bookmarkStart w:id="1952" w:name="_Toc152045734"/>
      <w:bookmarkStart w:id="1953" w:name="_Toc144974705"/>
      <w:bookmarkStart w:id="1954" w:name="_Toc179632752"/>
      <w:bookmarkStart w:id="1955" w:name="_Toc152042513"/>
      <w:r>
        <w:rPr>
          <w:rFonts w:ascii="Times New Roman" w:hAnsi="Times New Roman" w:eastAsia="宋体" w:cs="Times New Roman"/>
          <w:color w:val="000000"/>
          <w:sz w:val="24"/>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4AAC97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缺陷责任期满时，承包人可以继续在施工场地保留的人员和施工设备以及最终撤离的期限：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缺陷责任期满后7天</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0AD25222">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56" w:name="_Toc241459736"/>
      <w:bookmarkStart w:id="1957" w:name="_Toc342296495"/>
      <w:bookmarkStart w:id="1958" w:name="_Toc362252961"/>
      <w:r>
        <w:rPr>
          <w:rFonts w:ascii="宋体" w:hAnsi="Times New Roman" w:eastAsia="宋体" w:cs="Times New Roman"/>
          <w:b w:val="0"/>
          <w:color w:val="000000"/>
          <w:kern w:val="0"/>
          <w:sz w:val="24"/>
          <w:szCs w:val="24"/>
          <w:u w:val="single"/>
          <w:lang w:val="en-US" w:eastAsia="zh-CN" w:bidi="ar-SA"/>
        </w:rPr>
        <w:t>18.9 中间验收</w:t>
      </w:r>
      <w:bookmarkEnd w:id="1956"/>
      <w:bookmarkEnd w:id="1957"/>
      <w:bookmarkEnd w:id="1958"/>
    </w:p>
    <w:p w14:paraId="3BA6D34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本工程需要进行中间验收的部位如下：</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F22D9E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进入下个施工节点</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期限内进行修改后重新验收。</w:t>
      </w:r>
    </w:p>
    <w:p w14:paraId="75E38A7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46451F1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经监理人验收后工程质量符合约定的验收标准，但验收24小时后监理人仍不在验收记录上签字的，视为监理人已经认可验收记录，承包人可继续施工。</w:t>
      </w:r>
    </w:p>
    <w:p w14:paraId="277D6802">
      <w:pPr>
        <w:pStyle w:val="258"/>
        <w:spacing w:before="0"/>
        <w:outlineLvl w:val="0"/>
        <w:rPr>
          <w:rFonts w:eastAsia="宋体" w:cs="Times New Roman"/>
          <w:color w:val="000000"/>
          <w:sz w:val="24"/>
          <w:szCs w:val="24"/>
        </w:rPr>
      </w:pPr>
      <w:bookmarkStart w:id="1959" w:name="_Toc342296496"/>
      <w:bookmarkStart w:id="1960" w:name="_Toc241459737"/>
      <w:bookmarkStart w:id="1961" w:name="_Toc362252962"/>
      <w:r>
        <w:rPr>
          <w:rFonts w:eastAsia="宋体" w:cs="Times New Roman"/>
          <w:color w:val="000000"/>
          <w:sz w:val="24"/>
          <w:szCs w:val="24"/>
        </w:rPr>
        <w:t>19. 缺陷责任与保修责任</w:t>
      </w:r>
      <w:bookmarkEnd w:id="1952"/>
      <w:bookmarkEnd w:id="1953"/>
      <w:bookmarkEnd w:id="1954"/>
      <w:bookmarkEnd w:id="1955"/>
      <w:bookmarkEnd w:id="1959"/>
      <w:bookmarkEnd w:id="1960"/>
      <w:bookmarkEnd w:id="1961"/>
    </w:p>
    <w:p w14:paraId="28E3189F">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62" w:name="_Toc342296497"/>
      <w:bookmarkStart w:id="1963" w:name="_Toc241459738"/>
      <w:bookmarkStart w:id="1964" w:name="_Toc179632759"/>
      <w:bookmarkStart w:id="1965" w:name="_Toc152042520"/>
      <w:bookmarkStart w:id="1966" w:name="_Toc144974712"/>
      <w:bookmarkStart w:id="1967" w:name="_Toc362252963"/>
      <w:bookmarkStart w:id="1968" w:name="_Toc152045741"/>
      <w:r>
        <w:rPr>
          <w:rFonts w:ascii="宋体" w:hAnsi="Times New Roman" w:eastAsia="宋体" w:cs="Times New Roman"/>
          <w:b w:val="0"/>
          <w:color w:val="000000"/>
          <w:kern w:val="0"/>
          <w:sz w:val="24"/>
          <w:szCs w:val="24"/>
          <w:u w:val="single"/>
          <w:lang w:val="en-US" w:eastAsia="zh-CN" w:bidi="ar-SA"/>
        </w:rPr>
        <w:t>19.7 保修责任</w:t>
      </w:r>
      <w:bookmarkEnd w:id="1962"/>
      <w:bookmarkEnd w:id="1963"/>
      <w:bookmarkEnd w:id="1964"/>
      <w:bookmarkEnd w:id="1965"/>
      <w:bookmarkEnd w:id="1966"/>
      <w:bookmarkEnd w:id="1967"/>
      <w:bookmarkEnd w:id="1968"/>
    </w:p>
    <w:p w14:paraId="148CEC3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（1）工程质量保修范围：</w:t>
      </w:r>
      <w:r>
        <w:rPr>
          <w:rFonts w:ascii="Times New Roman" w:hAnsi="Times New Roman" w:eastAsia="宋体" w:cs="Times New Roman"/>
          <w:sz w:val="24"/>
          <w:u w:val="single"/>
        </w:rPr>
        <w:t>施工图纸范围内的全部内容</w:t>
      </w:r>
      <w:r>
        <w:rPr>
          <w:rFonts w:ascii="Times New Roman" w:hAnsi="Times New Roman" w:eastAsia="宋体" w:cs="Times New Roman"/>
          <w:color w:val="000000"/>
          <w:sz w:val="24"/>
        </w:rPr>
        <w:t>。</w:t>
      </w:r>
    </w:p>
    <w:p w14:paraId="4BF131B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（2）工程质量保修期限：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基础设施工程、房屋建筑的地基基础工程和主体结构工程，为设计文件规定的该工程的合理使用年限；屋面防水工程、有防水要求的卫生间、房间和外墙面的防渗漏，为5年；供热与供冷系统，为2个采暖期、供冷期；电气管线、给排水管道、设备安装和装修工程，为2年；其他项目为2年</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7B0152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（3）工程质量保修责任：</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a、属于责任范围、内容的项目，承包人应当在接到保修通知之日起7天内派人保修。承包人不在约定期限内派人保修的，发包人可以委托他人修理。b、发生紧急抢修事故的，承包人在接到事故通知后，应当立即到达事故现场抢修。c、对于涉及结构安全的质量问题，应当按照《房屋建筑工程质量保修办法》的规定，立即向当地建设行政主管部门报告，采取安全防范措施；由原设计人或者具有相应资质等级的设计人提出保修方案，承包人实施保修。d、质量保修完成后，由发包人组织验收</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CD704B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0FAF042">
      <w:pPr>
        <w:pStyle w:val="258"/>
        <w:spacing w:before="0"/>
        <w:outlineLvl w:val="0"/>
        <w:rPr>
          <w:rFonts w:eastAsia="宋体" w:cs="Times New Roman"/>
          <w:color w:val="000000"/>
          <w:sz w:val="24"/>
          <w:szCs w:val="24"/>
        </w:rPr>
      </w:pPr>
      <w:bookmarkStart w:id="1969" w:name="_Toc152042521"/>
      <w:bookmarkStart w:id="1970" w:name="_Toc152045742"/>
      <w:bookmarkStart w:id="1971" w:name="_Toc179632760"/>
      <w:bookmarkStart w:id="1972" w:name="_Toc362252964"/>
      <w:bookmarkStart w:id="1973" w:name="_Toc241459739"/>
      <w:bookmarkStart w:id="1974" w:name="_Toc342296498"/>
      <w:bookmarkStart w:id="1975" w:name="_Toc144974713"/>
      <w:r>
        <w:rPr>
          <w:rFonts w:eastAsia="宋体" w:cs="Times New Roman"/>
          <w:color w:val="000000"/>
          <w:sz w:val="24"/>
          <w:szCs w:val="24"/>
        </w:rPr>
        <w:t>20. 保险</w:t>
      </w:r>
      <w:bookmarkEnd w:id="1969"/>
      <w:bookmarkEnd w:id="1970"/>
      <w:bookmarkEnd w:id="1971"/>
      <w:bookmarkEnd w:id="1972"/>
      <w:bookmarkEnd w:id="1973"/>
      <w:bookmarkEnd w:id="1974"/>
      <w:bookmarkEnd w:id="1975"/>
    </w:p>
    <w:p w14:paraId="64CBD2D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76" w:name="_Toc179632761"/>
      <w:bookmarkStart w:id="1977" w:name="_Toc152045743"/>
      <w:bookmarkStart w:id="1978" w:name="_Toc152042522"/>
      <w:bookmarkStart w:id="1979" w:name="_Toc342296499"/>
      <w:bookmarkStart w:id="1980" w:name="_Toc362252965"/>
      <w:bookmarkStart w:id="1981" w:name="_Toc241459740"/>
      <w:bookmarkStart w:id="1982" w:name="_Toc144974714"/>
      <w:r>
        <w:rPr>
          <w:rFonts w:ascii="宋体" w:hAnsi="Times New Roman" w:eastAsia="宋体" w:cs="Times New Roman"/>
          <w:b w:val="0"/>
          <w:color w:val="000000"/>
          <w:kern w:val="0"/>
          <w:sz w:val="24"/>
          <w:szCs w:val="24"/>
          <w:u w:val="single"/>
          <w:lang w:val="en-US" w:eastAsia="zh-CN" w:bidi="ar-SA"/>
        </w:rPr>
        <w:t>20.1 工程保险</w:t>
      </w:r>
      <w:bookmarkEnd w:id="1976"/>
      <w:bookmarkEnd w:id="1977"/>
      <w:bookmarkEnd w:id="1978"/>
      <w:bookmarkEnd w:id="1979"/>
      <w:bookmarkEnd w:id="1980"/>
      <w:bookmarkEnd w:id="1981"/>
      <w:bookmarkEnd w:id="1982"/>
    </w:p>
    <w:p w14:paraId="5EF8B62B">
      <w:pPr>
        <w:spacing w:line="400" w:lineRule="exact"/>
        <w:ind w:firstLine="480" w:firstLineChars="200"/>
        <w:rPr>
          <w:rFonts w:ascii="Times New Roman" w:hAnsi="Times New Roman" w:eastAsia="宋体" w:cs="Times New Roman"/>
          <w:color w:val="000000"/>
          <w:sz w:val="24"/>
        </w:rPr>
      </w:pPr>
      <w:bookmarkStart w:id="1983" w:name="_Toc152042523"/>
      <w:bookmarkStart w:id="1984" w:name="_Toc144974715"/>
      <w:bookmarkStart w:id="1985" w:name="_Toc152045744"/>
      <w:bookmarkStart w:id="1986" w:name="_Toc179632762"/>
      <w:r>
        <w:rPr>
          <w:rFonts w:ascii="Times New Roman" w:hAnsi="Times New Roman" w:eastAsia="宋体" w:cs="Times New Roman"/>
          <w:color w:val="000000"/>
          <w:sz w:val="24"/>
        </w:rPr>
        <w:t>本工程</w:t>
      </w:r>
      <w:r>
        <w:rPr>
          <w:rFonts w:ascii="Times New Roman" w:hAnsi="Times New Roman" w:eastAsia="宋体" w:cs="Times New Roman"/>
          <w:color w:val="000000"/>
          <w:sz w:val="24"/>
          <w:u w:val="single"/>
        </w:rPr>
        <w:t xml:space="preserve"> 投保 </w:t>
      </w:r>
      <w:r>
        <w:rPr>
          <w:rFonts w:ascii="Times New Roman" w:hAnsi="Times New Roman" w:eastAsia="宋体" w:cs="Times New Roman"/>
          <w:color w:val="000000"/>
          <w:sz w:val="24"/>
        </w:rPr>
        <w:t>(投保/不投保)工程保险。投保工程保险时，险种为：</w:t>
      </w:r>
      <w:r>
        <w:rPr>
          <w:rFonts w:ascii="Times New Roman" w:hAnsi="Times New Roman" w:eastAsia="宋体" w:cs="Times New Roman"/>
          <w:sz w:val="24"/>
          <w:u w:val="single"/>
        </w:rPr>
        <w:t>建筑工程一切险和安装工程一切险</w:t>
      </w:r>
      <w:r>
        <w:rPr>
          <w:rFonts w:ascii="Times New Roman" w:hAnsi="Times New Roman" w:eastAsia="宋体" w:cs="Times New Roman"/>
          <w:color w:val="000000"/>
          <w:sz w:val="24"/>
        </w:rPr>
        <w:t>，并符合以下约定。</w:t>
      </w:r>
    </w:p>
    <w:p w14:paraId="650513A4">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（1）投保人：</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11D8D60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（2）投保内容：</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施工范围内的全部工程</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382AA19">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（3）保险费率：由投保人与合同双方同意的保险人商定。</w:t>
      </w:r>
    </w:p>
    <w:p w14:paraId="1BCE7A83">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（4）保险金额：</w:t>
      </w:r>
      <w:r>
        <w:rPr>
          <w:rFonts w:ascii="Times New Roman" w:hAnsi="Times New Roman" w:eastAsia="宋体" w:cs="Times New Roman"/>
          <w:sz w:val="24"/>
          <w:u w:val="single"/>
        </w:rPr>
        <w:t>合同金额上浮10%</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7F32D05E">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（5）保险期限：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同合同施工期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bookmarkEnd w:id="1983"/>
    <w:bookmarkEnd w:id="1984"/>
    <w:bookmarkEnd w:id="1985"/>
    <w:bookmarkEnd w:id="1986"/>
    <w:p w14:paraId="4FD6B26A">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87" w:name="_Toc179632764"/>
      <w:bookmarkStart w:id="1988" w:name="_Toc144974717"/>
      <w:bookmarkStart w:id="1989" w:name="_Toc342296500"/>
      <w:bookmarkStart w:id="1990" w:name="_Toc362252966"/>
      <w:bookmarkStart w:id="1991" w:name="_Toc241459741"/>
      <w:bookmarkStart w:id="1992" w:name="_Toc152042525"/>
      <w:bookmarkStart w:id="1993" w:name="_Toc152045746"/>
      <w:r>
        <w:rPr>
          <w:rFonts w:ascii="宋体" w:hAnsi="Times New Roman" w:eastAsia="宋体" w:cs="Times New Roman"/>
          <w:b w:val="0"/>
          <w:color w:val="000000"/>
          <w:kern w:val="0"/>
          <w:sz w:val="24"/>
          <w:szCs w:val="24"/>
          <w:u w:val="single"/>
          <w:lang w:val="en-US" w:eastAsia="zh-CN" w:bidi="ar-SA"/>
        </w:rPr>
        <w:t>20.4 第三者责任险</w:t>
      </w:r>
      <w:bookmarkEnd w:id="1987"/>
      <w:bookmarkEnd w:id="1988"/>
      <w:bookmarkEnd w:id="1989"/>
      <w:bookmarkEnd w:id="1990"/>
      <w:bookmarkEnd w:id="1991"/>
      <w:bookmarkEnd w:id="1992"/>
      <w:bookmarkEnd w:id="1993"/>
    </w:p>
    <w:p w14:paraId="479B89B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20.4.2保险金额：</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，保险费率由承包人与发包人同意的保险人商定，相关保险费由</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承担。</w:t>
      </w:r>
    </w:p>
    <w:p w14:paraId="189C4010">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1994" w:name="_Toc241459742"/>
      <w:bookmarkStart w:id="1995" w:name="_Toc362252967"/>
      <w:bookmarkStart w:id="1996" w:name="_Toc144974718"/>
      <w:bookmarkStart w:id="1997" w:name="_Toc152042526"/>
      <w:bookmarkStart w:id="1998" w:name="_Toc342296501"/>
      <w:bookmarkStart w:id="1999" w:name="_Toc179632765"/>
      <w:bookmarkStart w:id="2000" w:name="_Toc152045747"/>
      <w:r>
        <w:rPr>
          <w:rFonts w:ascii="宋体" w:hAnsi="Times New Roman" w:eastAsia="宋体" w:cs="Times New Roman"/>
          <w:b w:val="0"/>
          <w:color w:val="000000"/>
          <w:kern w:val="0"/>
          <w:sz w:val="24"/>
          <w:szCs w:val="24"/>
          <w:u w:val="single"/>
          <w:lang w:val="en-US" w:eastAsia="zh-CN" w:bidi="ar-SA"/>
        </w:rPr>
        <w:t>20.5 其他保险</w:t>
      </w:r>
      <w:bookmarkEnd w:id="1994"/>
      <w:bookmarkEnd w:id="1995"/>
      <w:bookmarkEnd w:id="1996"/>
      <w:bookmarkEnd w:id="1997"/>
      <w:bookmarkEnd w:id="1998"/>
      <w:bookmarkEnd w:id="1999"/>
      <w:bookmarkEnd w:id="2000"/>
    </w:p>
    <w:p w14:paraId="4ABF716E">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承包人应为其施工设备、进场材料和工程设备等办理的保险：</w:t>
      </w:r>
      <w:r>
        <w:rPr>
          <w:rFonts w:ascii="Times New Roman" w:hAnsi="Times New Roman" w:eastAsia="宋体" w:cs="Times New Roman"/>
          <w:sz w:val="24"/>
          <w:u w:val="single"/>
        </w:rPr>
        <w:t>按规定，保险费由承包方承担</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543C5BB8">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2001" w:name="_Toc144974719"/>
      <w:bookmarkStart w:id="2002" w:name="_Toc152045748"/>
      <w:bookmarkStart w:id="2003" w:name="_Toc179632766"/>
      <w:bookmarkStart w:id="2004" w:name="_Toc152042527"/>
      <w:bookmarkStart w:id="2005" w:name="_Toc342296502"/>
      <w:bookmarkStart w:id="2006" w:name="_Toc241459743"/>
      <w:bookmarkStart w:id="2007" w:name="_Toc362252968"/>
      <w:r>
        <w:rPr>
          <w:rFonts w:ascii="宋体" w:hAnsi="Times New Roman" w:eastAsia="宋体" w:cs="Times New Roman"/>
          <w:b w:val="0"/>
          <w:color w:val="000000"/>
          <w:kern w:val="0"/>
          <w:sz w:val="24"/>
          <w:szCs w:val="24"/>
          <w:u w:val="single"/>
          <w:lang w:val="en-US" w:eastAsia="zh-CN" w:bidi="ar-SA"/>
        </w:rPr>
        <w:t>20.6 对各项保险的一般要求</w:t>
      </w:r>
      <w:bookmarkEnd w:id="2001"/>
      <w:bookmarkEnd w:id="2002"/>
      <w:bookmarkEnd w:id="2003"/>
      <w:bookmarkEnd w:id="2004"/>
      <w:bookmarkEnd w:id="2005"/>
      <w:bookmarkEnd w:id="2006"/>
      <w:bookmarkEnd w:id="2007"/>
    </w:p>
    <w:p w14:paraId="586DBD47">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20.6.1保险凭证</w:t>
      </w:r>
    </w:p>
    <w:p w14:paraId="25BEEBCA">
      <w:pPr>
        <w:spacing w:line="400" w:lineRule="exact"/>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承包人向发包人提交各项保险生效的证据和保险单副本的期限：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在合同签订后28个日历天内但不迟于开工前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3F051BE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20.6.4保险金不足的补偿</w:t>
      </w:r>
    </w:p>
    <w:p w14:paraId="7A67D37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保险金不足以补偿损失时，承包人和发包人负责补偿的责任分摊：</w:t>
      </w:r>
      <w:r>
        <w:rPr>
          <w:rFonts w:ascii="Times New Roman" w:hAnsi="Times New Roman" w:eastAsia="宋体" w:cs="Times New Roman"/>
          <w:color w:val="000000"/>
          <w:sz w:val="24"/>
          <w:u w:val="single"/>
        </w:rPr>
        <w:t xml:space="preserve">  永久工程、临时工程、施工设备和施工人员损失保险赔偿与实际损失的差额由承包人补偿  </w:t>
      </w:r>
      <w:r>
        <w:rPr>
          <w:rFonts w:ascii="Times New Roman" w:hAnsi="Times New Roman" w:eastAsia="宋体" w:cs="Times New Roman"/>
          <w:color w:val="000000"/>
          <w:sz w:val="24"/>
        </w:rPr>
        <w:t>。</w:t>
      </w:r>
    </w:p>
    <w:p w14:paraId="27C91DAF">
      <w:pPr>
        <w:pStyle w:val="258"/>
        <w:spacing w:before="0"/>
        <w:outlineLvl w:val="0"/>
        <w:rPr>
          <w:rFonts w:eastAsia="宋体" w:cs="Times New Roman"/>
          <w:color w:val="000000"/>
          <w:sz w:val="24"/>
          <w:szCs w:val="24"/>
        </w:rPr>
      </w:pPr>
      <w:bookmarkStart w:id="2008" w:name="_Toc152042528"/>
      <w:bookmarkStart w:id="2009" w:name="_Toc144974720"/>
      <w:bookmarkStart w:id="2010" w:name="_Toc152045749"/>
      <w:bookmarkStart w:id="2011" w:name="_Toc179632767"/>
      <w:bookmarkStart w:id="2012" w:name="_Toc362252969"/>
      <w:bookmarkStart w:id="2013" w:name="_Toc241459744"/>
      <w:bookmarkStart w:id="2014" w:name="_Toc342296503"/>
      <w:r>
        <w:rPr>
          <w:rFonts w:eastAsia="宋体" w:cs="Times New Roman"/>
          <w:color w:val="000000"/>
          <w:sz w:val="24"/>
          <w:szCs w:val="24"/>
        </w:rPr>
        <w:t>21. 不可抗力</w:t>
      </w:r>
      <w:bookmarkEnd w:id="2008"/>
      <w:bookmarkEnd w:id="2009"/>
      <w:bookmarkEnd w:id="2010"/>
      <w:bookmarkEnd w:id="2011"/>
      <w:bookmarkEnd w:id="2012"/>
      <w:bookmarkEnd w:id="2013"/>
      <w:bookmarkEnd w:id="2014"/>
    </w:p>
    <w:p w14:paraId="3AF50114">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2015" w:name="_Toc342296504"/>
      <w:bookmarkStart w:id="2016" w:name="_Toc362252970"/>
      <w:bookmarkStart w:id="2017" w:name="_Toc241459745"/>
      <w:bookmarkStart w:id="2018" w:name="_Toc179632768"/>
      <w:bookmarkStart w:id="2019" w:name="_Toc152042529"/>
      <w:bookmarkStart w:id="2020" w:name="_Toc152045750"/>
      <w:bookmarkStart w:id="2021" w:name="_Toc144974721"/>
      <w:r>
        <w:rPr>
          <w:rFonts w:ascii="宋体" w:hAnsi="Times New Roman" w:eastAsia="宋体" w:cs="Times New Roman"/>
          <w:b w:val="0"/>
          <w:color w:val="000000"/>
          <w:kern w:val="0"/>
          <w:sz w:val="24"/>
          <w:szCs w:val="24"/>
          <w:u w:val="single"/>
          <w:lang w:val="en-US" w:eastAsia="zh-CN" w:bidi="ar-SA"/>
        </w:rPr>
        <w:t>21.1 不可抗力的确认</w:t>
      </w:r>
      <w:bookmarkEnd w:id="2015"/>
      <w:bookmarkEnd w:id="2016"/>
      <w:bookmarkEnd w:id="2017"/>
      <w:bookmarkEnd w:id="2018"/>
      <w:bookmarkEnd w:id="2019"/>
      <w:bookmarkEnd w:id="2020"/>
      <w:bookmarkEnd w:id="2021"/>
    </w:p>
    <w:p w14:paraId="337B4461">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21.1.1通用合同条款第21.1.1项约定的不可抗力以外的其他情形：</w:t>
      </w:r>
      <w:r>
        <w:rPr>
          <w:rFonts w:ascii="Times New Roman" w:hAnsi="Times New Roman" w:eastAsia="宋体" w:cs="Times New Roman"/>
          <w:color w:val="000000"/>
          <w:sz w:val="24"/>
          <w:u w:val="single"/>
        </w:rPr>
        <w:t xml:space="preserve"> 离子辐射或放射性污染；以音速或超音速飞行的飞机或其他飞行装置产生的压力波，飞行器坠落；政府征用  </w:t>
      </w:r>
      <w:r>
        <w:rPr>
          <w:rFonts w:ascii="Times New Roman" w:hAnsi="Times New Roman" w:eastAsia="宋体" w:cs="Times New Roman"/>
          <w:color w:val="000000"/>
          <w:sz w:val="24"/>
        </w:rPr>
        <w:t>。</w:t>
      </w:r>
    </w:p>
    <w:p w14:paraId="30A4FE3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不可抗力的等级范围约定：</w:t>
      </w:r>
      <w:r>
        <w:rPr>
          <w:rFonts w:ascii="Times New Roman" w:hAnsi="Times New Roman" w:eastAsia="宋体" w:cs="Times New Roman"/>
          <w:color w:val="000000"/>
          <w:sz w:val="24"/>
          <w:u w:val="single"/>
        </w:rPr>
        <w:t xml:space="preserve">   由市级以上有关部门正式发布和认定的意外事故或自然灾害    </w:t>
      </w:r>
      <w:r>
        <w:rPr>
          <w:rFonts w:ascii="Times New Roman" w:hAnsi="Times New Roman" w:eastAsia="宋体" w:cs="Times New Roman"/>
          <w:color w:val="000000"/>
          <w:sz w:val="24"/>
        </w:rPr>
        <w:t>。</w:t>
      </w:r>
    </w:p>
    <w:p w14:paraId="5DD071A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2022" w:name="_Toc342296505"/>
      <w:bookmarkStart w:id="2023" w:name="_Toc362252971"/>
      <w:bookmarkStart w:id="2024" w:name="_Toc179632770"/>
      <w:bookmarkStart w:id="2025" w:name="_Toc241459746"/>
      <w:bookmarkStart w:id="2026" w:name="_Toc152045752"/>
      <w:bookmarkStart w:id="2027" w:name="_Toc152042531"/>
      <w:bookmarkStart w:id="2028" w:name="_Toc144974723"/>
      <w:r>
        <w:rPr>
          <w:rFonts w:ascii="宋体" w:hAnsi="Times New Roman" w:eastAsia="宋体" w:cs="Times New Roman"/>
          <w:b w:val="0"/>
          <w:color w:val="000000"/>
          <w:kern w:val="0"/>
          <w:sz w:val="24"/>
          <w:szCs w:val="24"/>
          <w:u w:val="single"/>
          <w:lang w:val="en-US" w:eastAsia="zh-CN" w:bidi="ar-SA"/>
        </w:rPr>
        <w:t>21.3 不可抗力后果及其处理</w:t>
      </w:r>
      <w:bookmarkEnd w:id="2022"/>
      <w:bookmarkEnd w:id="2023"/>
      <w:bookmarkEnd w:id="2024"/>
      <w:bookmarkEnd w:id="2025"/>
      <w:bookmarkEnd w:id="2026"/>
      <w:bookmarkEnd w:id="2027"/>
      <w:bookmarkEnd w:id="2028"/>
    </w:p>
    <w:p w14:paraId="303281DC">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21.3.1不可抗力造成损害的责任</w:t>
      </w:r>
    </w:p>
    <w:p w14:paraId="33A64976">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不可抗力导致的人员伤亡、财产损失、费用增加和（或）工期延误等后果，由合同双方按通用合同条款第21.3.1项约定的原则承担。                                                                      </w:t>
      </w:r>
    </w:p>
    <w:p w14:paraId="14E493A9">
      <w:pPr>
        <w:pStyle w:val="258"/>
        <w:spacing w:before="0"/>
        <w:outlineLvl w:val="0"/>
        <w:rPr>
          <w:rFonts w:eastAsia="宋体" w:cs="Times New Roman"/>
          <w:color w:val="000000"/>
          <w:sz w:val="24"/>
          <w:szCs w:val="24"/>
        </w:rPr>
      </w:pPr>
      <w:bookmarkStart w:id="2029" w:name="_Toc342296506"/>
      <w:bookmarkStart w:id="2030" w:name="_Toc241459747"/>
      <w:bookmarkStart w:id="2031" w:name="_Toc179632780"/>
      <w:bookmarkStart w:id="2032" w:name="_Toc152042541"/>
      <w:bookmarkStart w:id="2033" w:name="_Toc152045762"/>
      <w:bookmarkStart w:id="2034" w:name="_Toc362252972"/>
      <w:bookmarkStart w:id="2035" w:name="_Toc144974732"/>
      <w:r>
        <w:rPr>
          <w:rFonts w:eastAsia="宋体" w:cs="Times New Roman"/>
          <w:color w:val="000000"/>
          <w:sz w:val="24"/>
          <w:szCs w:val="24"/>
        </w:rPr>
        <w:t>24. 争议的解决</w:t>
      </w:r>
      <w:bookmarkEnd w:id="2029"/>
      <w:bookmarkEnd w:id="2030"/>
      <w:bookmarkEnd w:id="2031"/>
      <w:bookmarkEnd w:id="2032"/>
      <w:bookmarkEnd w:id="2033"/>
      <w:bookmarkEnd w:id="2034"/>
      <w:bookmarkEnd w:id="2035"/>
    </w:p>
    <w:p w14:paraId="453207B7">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2036" w:name="_Toc152042542"/>
      <w:bookmarkStart w:id="2037" w:name="_Toc144974733"/>
      <w:bookmarkStart w:id="2038" w:name="_Toc152045763"/>
      <w:bookmarkStart w:id="2039" w:name="_Toc241459748"/>
      <w:bookmarkStart w:id="2040" w:name="_Toc342296507"/>
      <w:bookmarkStart w:id="2041" w:name="_Toc362252973"/>
      <w:bookmarkStart w:id="2042" w:name="_Toc179632781"/>
      <w:r>
        <w:rPr>
          <w:rFonts w:ascii="宋体" w:hAnsi="Times New Roman" w:eastAsia="宋体" w:cs="Times New Roman"/>
          <w:b w:val="0"/>
          <w:color w:val="000000"/>
          <w:kern w:val="0"/>
          <w:sz w:val="24"/>
          <w:szCs w:val="24"/>
          <w:u w:val="single"/>
          <w:lang w:val="en-US" w:eastAsia="zh-CN" w:bidi="ar-SA"/>
        </w:rPr>
        <w:t>24.1 争议的解决方式</w:t>
      </w:r>
      <w:bookmarkEnd w:id="2036"/>
      <w:bookmarkEnd w:id="2037"/>
      <w:bookmarkEnd w:id="2038"/>
      <w:bookmarkEnd w:id="2039"/>
      <w:bookmarkEnd w:id="2040"/>
      <w:bookmarkEnd w:id="2041"/>
      <w:bookmarkEnd w:id="2042"/>
    </w:p>
    <w:p w14:paraId="3A65500E">
      <w:pPr>
        <w:spacing w:line="400" w:lineRule="exact"/>
        <w:ind w:firstLine="480" w:firstLineChars="200"/>
        <w:rPr>
          <w:rFonts w:ascii="Times New Roman" w:hAnsi="Times New Roman" w:eastAsia="宋体" w:cs="Times New Roman"/>
          <w:color w:val="000000"/>
          <w:sz w:val="24"/>
        </w:rPr>
      </w:pPr>
      <w:bookmarkStart w:id="2043" w:name="_Toc152045764"/>
      <w:bookmarkStart w:id="2044" w:name="_Toc144974734"/>
      <w:bookmarkStart w:id="2045" w:name="_Toc179632782"/>
      <w:bookmarkStart w:id="2046" w:name="_Toc152042543"/>
      <w:r>
        <w:rPr>
          <w:rFonts w:ascii="Times New Roman" w:hAnsi="Times New Roman" w:eastAsia="宋体" w:cs="Times New Roman"/>
          <w:color w:val="000000"/>
          <w:sz w:val="24"/>
        </w:rPr>
        <w:t>因本合同引起的或与本合同有关的任何争议，合同双方友好协商不成、不愿提请争议组评审或者不愿接受争议评审组意见的，选择下列第</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壹</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种方式解决：</w:t>
      </w:r>
    </w:p>
    <w:p w14:paraId="6DFA32F0">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u w:val="single"/>
        </w:rPr>
        <w:t>（壹）</w:t>
      </w:r>
      <w:r>
        <w:rPr>
          <w:rFonts w:ascii="Times New Roman" w:hAnsi="Times New Roman" w:eastAsia="宋体" w:cs="Times New Roman"/>
          <w:color w:val="000000"/>
          <w:sz w:val="24"/>
        </w:rPr>
        <w:t>提请</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北京市</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仲裁委员会按照该会仲裁规则进行仲裁，仲裁裁决是终局的，对合同双方均有约束力。</w:t>
      </w:r>
    </w:p>
    <w:p w14:paraId="7F076865">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u w:val="single"/>
        </w:rPr>
        <w:t>（贰）</w:t>
      </w:r>
      <w:r>
        <w:rPr>
          <w:rFonts w:ascii="Times New Roman" w:hAnsi="Times New Roman" w:eastAsia="宋体" w:cs="Times New Roman"/>
          <w:color w:val="000000"/>
          <w:sz w:val="24"/>
        </w:rPr>
        <w:t>向有管辖权的人民法院提起诉讼。</w:t>
      </w:r>
    </w:p>
    <w:bookmarkEnd w:id="2043"/>
    <w:bookmarkEnd w:id="2044"/>
    <w:bookmarkEnd w:id="2045"/>
    <w:bookmarkEnd w:id="2046"/>
    <w:p w14:paraId="44F8C243">
      <w:pPr>
        <w:keepNext/>
        <w:keepLines/>
        <w:widowControl w:val="0"/>
        <w:autoSpaceDE w:val="0"/>
        <w:autoSpaceDN w:val="0"/>
        <w:adjustRightInd w:val="0"/>
        <w:spacing w:before="0" w:after="0" w:line="400" w:lineRule="exact"/>
        <w:jc w:val="left"/>
        <w:outlineLvl w:val="0"/>
        <w:rPr>
          <w:rFonts w:ascii="宋体" w:hAnsi="Times New Roman" w:eastAsia="宋体" w:cs="Times New Roman"/>
          <w:b w:val="0"/>
          <w:color w:val="000000"/>
          <w:kern w:val="0"/>
          <w:sz w:val="24"/>
          <w:szCs w:val="24"/>
          <w:u w:val="single"/>
          <w:lang w:val="en-US" w:eastAsia="zh-CN" w:bidi="ar-SA"/>
        </w:rPr>
      </w:pPr>
      <w:bookmarkStart w:id="2047" w:name="_Toc152045765"/>
      <w:bookmarkStart w:id="2048" w:name="_Toc179632783"/>
      <w:bookmarkStart w:id="2049" w:name="_Toc342296508"/>
      <w:bookmarkStart w:id="2050" w:name="_Toc362252974"/>
      <w:bookmarkStart w:id="2051" w:name="_Toc241459749"/>
      <w:bookmarkStart w:id="2052" w:name="_Toc152042544"/>
      <w:bookmarkStart w:id="2053" w:name="_Toc144974735"/>
      <w:r>
        <w:rPr>
          <w:rFonts w:ascii="宋体" w:hAnsi="Times New Roman" w:eastAsia="宋体" w:cs="Times New Roman"/>
          <w:b w:val="0"/>
          <w:color w:val="000000"/>
          <w:kern w:val="0"/>
          <w:sz w:val="24"/>
          <w:szCs w:val="24"/>
          <w:u w:val="single"/>
          <w:lang w:val="en-US" w:eastAsia="zh-CN" w:bidi="ar-SA"/>
        </w:rPr>
        <w:t>24.3 争议评审</w:t>
      </w:r>
      <w:bookmarkEnd w:id="2047"/>
      <w:bookmarkEnd w:id="2048"/>
      <w:bookmarkEnd w:id="2049"/>
      <w:bookmarkEnd w:id="2050"/>
      <w:bookmarkEnd w:id="2051"/>
      <w:bookmarkEnd w:id="2052"/>
      <w:bookmarkEnd w:id="2053"/>
    </w:p>
    <w:p w14:paraId="64BCDB88">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24.3.4争议评审组邀请合同双方代表人和有关人员举行调查会的期限：</w:t>
      </w:r>
      <w:r>
        <w:rPr>
          <w:rFonts w:ascii="Times New Roman" w:hAnsi="Times New Roman" w:eastAsia="宋体" w:cs="Times New Roman"/>
          <w:color w:val="000000"/>
          <w:sz w:val="24"/>
          <w:u w:val="single"/>
        </w:rPr>
        <w:t xml:space="preserve">   /   </w:t>
      </w:r>
      <w:r>
        <w:rPr>
          <w:rFonts w:ascii="Times New Roman" w:hAnsi="Times New Roman" w:eastAsia="宋体" w:cs="Times New Roman"/>
          <w:color w:val="000000"/>
          <w:sz w:val="24"/>
        </w:rPr>
        <w:t>。</w:t>
      </w:r>
    </w:p>
    <w:p w14:paraId="00946EEB">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24.3.5争议评审组在调查会后作出争议评审意见的期限：</w:t>
      </w:r>
      <w:r>
        <w:rPr>
          <w:rFonts w:ascii="Times New Roman" w:hAnsi="Times New Roman" w:eastAsia="宋体" w:cs="Times New Roman"/>
          <w:color w:val="000000"/>
          <w:sz w:val="24"/>
          <w:u w:val="single"/>
        </w:rPr>
        <w:t xml:space="preserve">   </w:t>
      </w:r>
      <w:r>
        <w:rPr>
          <w:rFonts w:ascii="Times New Roman" w:hAnsi="Times New Roman" w:eastAsia="宋体" w:cs="Times New Roman"/>
          <w:sz w:val="24"/>
          <w:u w:val="single"/>
        </w:rPr>
        <w:t>/</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774C46C1">
      <w:pPr>
        <w:spacing w:line="400" w:lineRule="exact"/>
        <w:ind w:firstLine="480" w:firstLineChars="200"/>
        <w:rPr>
          <w:rFonts w:ascii="Times New Roman" w:hAnsi="Times New Roman" w:eastAsia="宋体" w:cs="Times New Roman"/>
          <w:color w:val="000000"/>
          <w:sz w:val="24"/>
        </w:rPr>
      </w:pPr>
    </w:p>
    <w:p w14:paraId="3A81B944">
      <w:pPr>
        <w:spacing w:line="400" w:lineRule="exact"/>
        <w:ind w:firstLine="480" w:firstLineChars="200"/>
        <w:rPr>
          <w:rFonts w:ascii="Times New Roman" w:hAnsi="Times New Roman" w:eastAsia="宋体" w:cs="Times New Roman"/>
          <w:color w:val="000000"/>
          <w:sz w:val="24"/>
        </w:rPr>
      </w:pPr>
    </w:p>
    <w:p w14:paraId="6833029F">
      <w:pPr>
        <w:spacing w:line="400" w:lineRule="exact"/>
        <w:ind w:firstLine="480" w:firstLineChars="200"/>
        <w:rPr>
          <w:rFonts w:ascii="Times New Roman" w:hAnsi="Times New Roman" w:eastAsia="宋体" w:cs="Times New Roman"/>
          <w:color w:val="000000"/>
          <w:sz w:val="24"/>
        </w:rPr>
      </w:pPr>
    </w:p>
    <w:p w14:paraId="0564930C">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bookmarkStart w:id="2054" w:name="_Toc405878291"/>
      <w:r>
        <w:rPr>
          <w:rFonts w:hint="eastAsia" w:ascii="宋体" w:hAnsi="Times New Roman" w:eastAsia="宋体" w:cs="Times New Roman"/>
          <w:b/>
          <w:kern w:val="44"/>
          <w:sz w:val="32"/>
          <w:szCs w:val="20"/>
          <w:lang w:val="en-US" w:eastAsia="zh-CN" w:bidi="ar-SA"/>
        </w:rPr>
        <w:br w:type="page"/>
      </w:r>
      <w:r>
        <w:rPr>
          <w:rFonts w:hint="eastAsia" w:ascii="宋体" w:hAnsi="Times New Roman" w:eastAsia="宋体" w:cs="Times New Roman"/>
          <w:b/>
          <w:kern w:val="44"/>
          <w:sz w:val="32"/>
          <w:szCs w:val="20"/>
          <w:lang w:val="en-US" w:eastAsia="zh-CN" w:bidi="ar-SA"/>
        </w:rPr>
        <w:t>四、</w:t>
      </w:r>
      <w:r>
        <w:rPr>
          <w:rFonts w:ascii="宋体" w:hAnsi="Times New Roman" w:eastAsia="宋体" w:cs="Times New Roman"/>
          <w:b/>
          <w:kern w:val="44"/>
          <w:sz w:val="32"/>
          <w:szCs w:val="20"/>
          <w:lang w:val="en-US" w:eastAsia="zh-CN" w:bidi="ar-SA"/>
        </w:rPr>
        <w:t>房屋建筑工程质量保修书</w:t>
      </w:r>
      <w:bookmarkEnd w:id="2054"/>
    </w:p>
    <w:p w14:paraId="1DA2F9DE">
      <w:pPr>
        <w:spacing w:line="360" w:lineRule="auto"/>
        <w:rPr>
          <w:rFonts w:ascii="Times New Roman" w:hAnsi="Times New Roman" w:eastAsia="宋体" w:cs="Times New Roman"/>
          <w:color w:val="000000"/>
          <w:sz w:val="24"/>
        </w:rPr>
      </w:pPr>
    </w:p>
    <w:p w14:paraId="46C0BBF0">
      <w:pPr>
        <w:spacing w:line="360" w:lineRule="auto"/>
        <w:ind w:firstLine="488"/>
        <w:rPr>
          <w:rFonts w:ascii="Times New Roman" w:hAnsi="Times New Roman" w:eastAsia="宋体" w:cs="Times New Roman"/>
          <w:color w:val="000000"/>
          <w:sz w:val="24"/>
          <w:u w:val="single"/>
        </w:rPr>
      </w:pPr>
      <w:r>
        <w:rPr>
          <w:rFonts w:ascii="Times New Roman" w:hAnsi="Times New Roman" w:eastAsia="宋体" w:cs="Times New Roman"/>
          <w:color w:val="000000"/>
          <w:sz w:val="24"/>
        </w:rPr>
        <w:t>发包人：</w:t>
      </w:r>
      <w:r>
        <w:rPr>
          <w:rFonts w:hint="eastAsia" w:ascii="Times New Roman" w:hAnsi="Times New Roman" w:eastAsia="宋体" w:cs="Times New Roman"/>
          <w:color w:val="000000"/>
          <w:sz w:val="24"/>
          <w:u w:val="single"/>
        </w:rPr>
        <w:t xml:space="preserve">    北京工业职业技术学院                 </w:t>
      </w:r>
    </w:p>
    <w:p w14:paraId="1E872680">
      <w:pPr>
        <w:spacing w:line="360" w:lineRule="auto"/>
        <w:ind w:firstLine="488"/>
        <w:rPr>
          <w:rFonts w:ascii="Times New Roman" w:hAnsi="Times New Roman" w:eastAsia="宋体" w:cs="Times New Roman"/>
          <w:color w:val="000000"/>
          <w:sz w:val="24"/>
        </w:rPr>
      </w:pPr>
      <w:r>
        <w:rPr>
          <w:rFonts w:ascii="Times New Roman" w:hAnsi="Times New Roman" w:eastAsia="宋体" w:cs="Times New Roman"/>
          <w:color w:val="000000"/>
          <w:sz w:val="24"/>
        </w:rPr>
        <w:t>承包人：</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59361174">
      <w:pPr>
        <w:spacing w:line="360" w:lineRule="auto"/>
        <w:ind w:firstLine="488"/>
        <w:rPr>
          <w:rFonts w:ascii="Times New Roman" w:hAnsi="Times New Roman" w:eastAsia="宋体" w:cs="Times New Roman"/>
          <w:color w:val="000000"/>
          <w:sz w:val="24"/>
          <w:u w:val="single"/>
        </w:rPr>
      </w:pPr>
    </w:p>
    <w:p w14:paraId="131BF425">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发包人、承包人根据《中华人民共和国建筑法》、《建设工程质量管理条例》和《房屋建筑工程质量保修办法》，经协商一致，对</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（工程名称）签订保修书。</w:t>
      </w:r>
    </w:p>
    <w:p w14:paraId="1B8F4530">
      <w:pPr>
        <w:spacing w:line="360" w:lineRule="auto"/>
        <w:ind w:firstLine="600" w:firstLineChars="250"/>
        <w:outlineLvl w:val="0"/>
        <w:rPr>
          <w:rFonts w:ascii="Times New Roman" w:hAnsi="Times New Roman" w:eastAsia="宋体" w:cs="Times New Roman"/>
          <w:color w:val="000000"/>
          <w:sz w:val="24"/>
        </w:rPr>
      </w:pPr>
      <w:bookmarkStart w:id="2055" w:name="_Toc111445498"/>
      <w:bookmarkStart w:id="2056" w:name="_Toc405878292"/>
      <w:r>
        <w:rPr>
          <w:rFonts w:ascii="Times New Roman" w:hAnsi="Times New Roman" w:eastAsia="宋体" w:cs="Times New Roman"/>
          <w:color w:val="000000"/>
          <w:sz w:val="24"/>
        </w:rPr>
        <w:t>一、工程保修范围和内容</w:t>
      </w:r>
      <w:bookmarkEnd w:id="2055"/>
      <w:bookmarkEnd w:id="2056"/>
    </w:p>
    <w:p w14:paraId="727700C1">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承包人在保修期内，按照有关法律、法规、规章的管理规定和双方约定，承担本工程保修责任。</w:t>
      </w:r>
    </w:p>
    <w:p w14:paraId="5056D84C">
      <w:pPr>
        <w:spacing w:line="360" w:lineRule="auto"/>
        <w:ind w:firstLine="490"/>
        <w:rPr>
          <w:rFonts w:ascii="Times New Roman" w:hAnsi="Times New Roman" w:eastAsia="宋体" w:cs="Times New Roman"/>
          <w:color w:val="000000"/>
          <w:sz w:val="24"/>
        </w:rPr>
      </w:pPr>
      <w:r>
        <w:rPr>
          <w:rFonts w:ascii="Times New Roman" w:hAnsi="Times New Roman" w:eastAsia="宋体" w:cs="Times New Roman"/>
          <w:color w:val="000000"/>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58EC501">
      <w:pPr>
        <w:spacing w:line="360" w:lineRule="auto"/>
        <w:rPr>
          <w:rFonts w:ascii="Times New Roman" w:hAnsi="Times New Roman" w:eastAsia="宋体" w:cs="Times New Roman"/>
          <w:color w:val="000000"/>
          <w:sz w:val="24"/>
          <w:u w:val="single"/>
        </w:rPr>
      </w:pPr>
      <w:r>
        <w:rPr>
          <w:rFonts w:ascii="Times New Roman" w:hAnsi="Times New Roman" w:eastAsia="宋体" w:cs="Times New Roman"/>
          <w:color w:val="000000"/>
          <w:sz w:val="24"/>
          <w:u w:val="single"/>
        </w:rPr>
        <w:t xml:space="preserve">                                                                            </w:t>
      </w:r>
    </w:p>
    <w:p w14:paraId="438019B9">
      <w:pPr>
        <w:spacing w:line="360" w:lineRule="auto"/>
        <w:rPr>
          <w:rFonts w:ascii="Times New Roman" w:hAnsi="Times New Roman" w:eastAsia="宋体" w:cs="Times New Roman"/>
          <w:color w:val="000000"/>
          <w:sz w:val="24"/>
          <w:u w:val="single"/>
        </w:rPr>
      </w:pPr>
      <w:r>
        <w:rPr>
          <w:rFonts w:ascii="Times New Roman" w:hAnsi="Times New Roman" w:eastAsia="宋体" w:cs="Times New Roman"/>
          <w:color w:val="000000"/>
          <w:sz w:val="24"/>
          <w:u w:val="single"/>
        </w:rPr>
        <w:t xml:space="preserve">                                                                            </w:t>
      </w:r>
    </w:p>
    <w:p w14:paraId="681DEE48">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03F9C80B">
      <w:pPr>
        <w:spacing w:line="360" w:lineRule="auto"/>
        <w:ind w:firstLine="480" w:firstLineChars="200"/>
        <w:outlineLvl w:val="0"/>
        <w:rPr>
          <w:rFonts w:ascii="Times New Roman" w:hAnsi="Times New Roman" w:eastAsia="宋体" w:cs="Times New Roman"/>
          <w:color w:val="000000"/>
          <w:sz w:val="24"/>
        </w:rPr>
      </w:pPr>
      <w:bookmarkStart w:id="2057" w:name="_Toc111445499"/>
      <w:bookmarkStart w:id="2058" w:name="_Toc405878293"/>
      <w:r>
        <w:rPr>
          <w:rFonts w:ascii="Times New Roman" w:hAnsi="Times New Roman" w:eastAsia="宋体" w:cs="Times New Roman"/>
          <w:color w:val="000000"/>
          <w:sz w:val="24"/>
        </w:rPr>
        <w:t>二、保修期</w:t>
      </w:r>
      <w:bookmarkEnd w:id="2057"/>
      <w:bookmarkEnd w:id="2058"/>
    </w:p>
    <w:p w14:paraId="07BAED1E">
      <w:pPr>
        <w:spacing w:line="360" w:lineRule="auto"/>
        <w:ind w:left="420"/>
        <w:rPr>
          <w:rFonts w:ascii="Times New Roman" w:hAnsi="Times New Roman" w:eastAsia="宋体" w:cs="Times New Roman"/>
          <w:color w:val="000000"/>
          <w:sz w:val="24"/>
        </w:rPr>
      </w:pPr>
      <w:r>
        <w:rPr>
          <w:rFonts w:ascii="Times New Roman" w:hAnsi="Times New Roman" w:eastAsia="宋体" w:cs="Times New Roman"/>
          <w:color w:val="000000"/>
          <w:sz w:val="24"/>
        </w:rPr>
        <w:t>双方根据《建设工程质量管理条例》及有关规定，约定本工程的保修期如下：</w:t>
      </w:r>
    </w:p>
    <w:p w14:paraId="069A3084">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地基基础工程和主体结构工程为设计文件规定的该工程合理使用年限；</w:t>
      </w:r>
    </w:p>
    <w:p w14:paraId="12307C46">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屋面防水工程、有防水要求的卫生间、房间和外墙面的防渗漏为</w:t>
      </w:r>
      <w:r>
        <w:rPr>
          <w:rFonts w:hint="eastAsia" w:ascii="Times New Roman" w:hAnsi="Times New Roman" w:eastAsia="宋体" w:cs="Times New Roman"/>
          <w:color w:val="000000"/>
          <w:sz w:val="24"/>
        </w:rPr>
        <w:br w:type="textWrapping"/>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p>
    <w:p w14:paraId="5C6336EC">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装修工程为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p>
    <w:p w14:paraId="7973C19B">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电气管线、给排水管道、设备安装工程为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p>
    <w:p w14:paraId="5A612DA1">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供热与供冷系统为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个采暖期、供冷期；</w:t>
      </w:r>
    </w:p>
    <w:p w14:paraId="3F3DB394">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住宅小区内的给排水设施、道路等配套工程为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年；</w:t>
      </w:r>
    </w:p>
    <w:p w14:paraId="47B51D67">
      <w:pPr>
        <w:numPr>
          <w:ilvl w:val="1"/>
          <w:numId w:val="12"/>
        </w:numPr>
        <w:tabs>
          <w:tab w:val="left" w:pos="800"/>
          <w:tab w:val="left" w:pos="1740"/>
        </w:tabs>
        <w:spacing w:line="360" w:lineRule="auto"/>
        <w:ind w:left="927" w:hanging="360"/>
        <w:rPr>
          <w:rFonts w:ascii="Times New Roman" w:hAnsi="Times New Roman" w:eastAsia="宋体" w:cs="Times New Roman"/>
          <w:color w:val="000000"/>
          <w:sz w:val="24"/>
        </w:rPr>
      </w:pPr>
      <w:r>
        <w:rPr>
          <w:rFonts w:ascii="Times New Roman" w:hAnsi="Times New Roman" w:eastAsia="宋体" w:cs="Times New Roman"/>
          <w:color w:val="000000"/>
          <w:sz w:val="24"/>
        </w:rPr>
        <w:t>其他项目保修期限约定如下：</w:t>
      </w:r>
    </w:p>
    <w:p w14:paraId="79C4932D">
      <w:pPr>
        <w:spacing w:line="360" w:lineRule="auto"/>
        <w:rPr>
          <w:rFonts w:ascii="Times New Roman" w:hAnsi="Times New Roman" w:eastAsia="宋体" w:cs="Times New Roman"/>
          <w:color w:val="000000"/>
          <w:sz w:val="24"/>
          <w:u w:val="single"/>
        </w:rPr>
      </w:pPr>
      <w:r>
        <w:rPr>
          <w:rFonts w:ascii="Times New Roman" w:hAnsi="Times New Roman" w:eastAsia="宋体" w:cs="Times New Roman"/>
          <w:color w:val="000000"/>
          <w:sz w:val="24"/>
          <w:u w:val="single"/>
        </w:rPr>
        <w:t xml:space="preserve">                                                                            </w:t>
      </w:r>
    </w:p>
    <w:p w14:paraId="5ABA6460">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52DB048D">
      <w:pPr>
        <w:spacing w:line="360" w:lineRule="auto"/>
        <w:ind w:firstLine="480" w:firstLineChars="200"/>
        <w:outlineLvl w:val="0"/>
        <w:rPr>
          <w:rFonts w:ascii="Times New Roman" w:hAnsi="Times New Roman" w:eastAsia="宋体" w:cs="Times New Roman"/>
          <w:color w:val="000000"/>
          <w:sz w:val="24"/>
        </w:rPr>
      </w:pPr>
      <w:bookmarkStart w:id="2059" w:name="_Toc405878294"/>
      <w:bookmarkStart w:id="2060" w:name="_Toc111445500"/>
      <w:r>
        <w:rPr>
          <w:rFonts w:ascii="Times New Roman" w:hAnsi="Times New Roman" w:eastAsia="宋体" w:cs="Times New Roman"/>
          <w:color w:val="000000"/>
          <w:sz w:val="24"/>
        </w:rPr>
        <w:t>三、保修责任</w:t>
      </w:r>
      <w:bookmarkEnd w:id="2059"/>
      <w:bookmarkEnd w:id="2060"/>
    </w:p>
    <w:p w14:paraId="1832AEC3">
      <w:pPr>
        <w:tabs>
          <w:tab w:val="left" w:pos="1740"/>
        </w:tabs>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1、属于责任范围、内容的项目，承包人应当在接到保修通知之日起7天内派人保修。承包人不在约定期限内派人保修的，发包人可以委托他人修理。</w:t>
      </w:r>
    </w:p>
    <w:p w14:paraId="52AA1AED">
      <w:pPr>
        <w:tabs>
          <w:tab w:val="left" w:pos="1740"/>
        </w:tabs>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2、发生紧急抢修事故的，承包人在接到事故通知后，应当立即到达事故现场抢修。</w:t>
      </w:r>
    </w:p>
    <w:p w14:paraId="52FA2DEF">
      <w:pPr>
        <w:tabs>
          <w:tab w:val="left" w:pos="1740"/>
        </w:tabs>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82E46A2">
      <w:pPr>
        <w:tabs>
          <w:tab w:val="left" w:pos="1740"/>
        </w:tabs>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4、质量保修完成后，由发包人组织验收。</w:t>
      </w:r>
    </w:p>
    <w:p w14:paraId="198481F2">
      <w:pPr>
        <w:spacing w:line="360" w:lineRule="auto"/>
        <w:ind w:firstLine="480" w:firstLineChars="200"/>
        <w:outlineLvl w:val="0"/>
        <w:rPr>
          <w:rFonts w:ascii="Times New Roman" w:hAnsi="Times New Roman" w:eastAsia="宋体" w:cs="Times New Roman"/>
          <w:color w:val="000000"/>
          <w:sz w:val="24"/>
        </w:rPr>
      </w:pPr>
      <w:bookmarkStart w:id="2061" w:name="_Toc111445501"/>
      <w:bookmarkStart w:id="2062" w:name="_Toc405878295"/>
      <w:r>
        <w:rPr>
          <w:rFonts w:ascii="Times New Roman" w:hAnsi="Times New Roman" w:eastAsia="宋体" w:cs="Times New Roman"/>
          <w:color w:val="000000"/>
          <w:sz w:val="24"/>
        </w:rPr>
        <w:t>四、保修费用</w:t>
      </w:r>
      <w:bookmarkEnd w:id="2061"/>
      <w:bookmarkEnd w:id="2062"/>
    </w:p>
    <w:p w14:paraId="49B128C7">
      <w:pPr>
        <w:spacing w:line="360" w:lineRule="auto"/>
        <w:ind w:left="420"/>
        <w:rPr>
          <w:rFonts w:ascii="Times New Roman" w:hAnsi="Times New Roman" w:eastAsia="宋体" w:cs="Times New Roman"/>
          <w:color w:val="000000"/>
          <w:sz w:val="24"/>
          <w:u w:val="single"/>
        </w:rPr>
      </w:pPr>
      <w:r>
        <w:rPr>
          <w:rFonts w:ascii="Times New Roman" w:hAnsi="Times New Roman" w:eastAsia="宋体" w:cs="Times New Roman"/>
          <w:color w:val="000000"/>
          <w:sz w:val="24"/>
        </w:rPr>
        <w:t>保修费用由造成质量缺陷的责任方承担。</w:t>
      </w:r>
    </w:p>
    <w:p w14:paraId="5A9239A6">
      <w:pPr>
        <w:spacing w:line="360" w:lineRule="auto"/>
        <w:ind w:firstLine="480" w:firstLineChars="200"/>
        <w:outlineLvl w:val="0"/>
        <w:rPr>
          <w:rFonts w:ascii="Times New Roman" w:hAnsi="Times New Roman" w:eastAsia="宋体" w:cs="Times New Roman"/>
          <w:color w:val="000000"/>
          <w:sz w:val="24"/>
        </w:rPr>
      </w:pPr>
      <w:bookmarkStart w:id="2063" w:name="_Toc405878296"/>
      <w:bookmarkStart w:id="2064" w:name="_Toc111445502"/>
      <w:r>
        <w:rPr>
          <w:rFonts w:ascii="Times New Roman" w:hAnsi="Times New Roman" w:eastAsia="宋体" w:cs="Times New Roman"/>
          <w:color w:val="000000"/>
          <w:sz w:val="24"/>
        </w:rPr>
        <w:t>五、其 他</w:t>
      </w:r>
      <w:bookmarkEnd w:id="2063"/>
      <w:bookmarkEnd w:id="2064"/>
    </w:p>
    <w:p w14:paraId="4B91D4CC">
      <w:pPr>
        <w:spacing w:line="360" w:lineRule="auto"/>
        <w:ind w:left="420"/>
        <w:rPr>
          <w:rFonts w:ascii="Times New Roman" w:hAnsi="Times New Roman" w:eastAsia="宋体" w:cs="Times New Roman"/>
          <w:color w:val="000000"/>
          <w:sz w:val="24"/>
        </w:rPr>
      </w:pPr>
      <w:r>
        <w:rPr>
          <w:rFonts w:ascii="Times New Roman" w:hAnsi="Times New Roman" w:eastAsia="宋体" w:cs="Times New Roman"/>
          <w:color w:val="000000"/>
          <w:sz w:val="24"/>
        </w:rPr>
        <w:t>双方约定的其他工程保修责任事项：</w:t>
      </w:r>
    </w:p>
    <w:p w14:paraId="5837E6FD">
      <w:pPr>
        <w:spacing w:line="360" w:lineRule="auto"/>
        <w:rPr>
          <w:rFonts w:ascii="Times New Roman" w:hAnsi="Times New Roman" w:eastAsia="宋体" w:cs="Times New Roman"/>
          <w:color w:val="000000"/>
          <w:sz w:val="24"/>
          <w:u w:val="single"/>
        </w:rPr>
      </w:pPr>
      <w:r>
        <w:rPr>
          <w:rFonts w:ascii="Times New Roman" w:hAnsi="Times New Roman" w:eastAsia="宋体" w:cs="Times New Roman"/>
          <w:color w:val="000000"/>
          <w:sz w:val="24"/>
          <w:u w:val="single"/>
        </w:rPr>
        <w:t xml:space="preserve">                                                                      </w:t>
      </w:r>
    </w:p>
    <w:p w14:paraId="6299BDA7">
      <w:pPr>
        <w:spacing w:line="360" w:lineRule="auto"/>
        <w:rPr>
          <w:rFonts w:ascii="Times New Roman" w:hAnsi="Times New Roman" w:eastAsia="宋体" w:cs="Times New Roman"/>
          <w:color w:val="000000"/>
          <w:sz w:val="24"/>
          <w:u w:val="single"/>
        </w:rPr>
      </w:pPr>
      <w:r>
        <w:rPr>
          <w:rFonts w:ascii="Times New Roman" w:hAnsi="Times New Roman" w:eastAsia="宋体" w:cs="Times New Roman"/>
          <w:color w:val="000000"/>
          <w:sz w:val="24"/>
          <w:u w:val="single"/>
        </w:rPr>
        <w:t xml:space="preserve">                                                                      </w:t>
      </w:r>
    </w:p>
    <w:p w14:paraId="475638CE">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w:t>
      </w:r>
    </w:p>
    <w:p w14:paraId="5B146BED">
      <w:pPr>
        <w:spacing w:line="360" w:lineRule="auto"/>
        <w:ind w:firstLine="420"/>
        <w:rPr>
          <w:rFonts w:ascii="Times New Roman" w:hAnsi="Times New Roman" w:eastAsia="宋体" w:cs="Times New Roman"/>
          <w:color w:val="000000"/>
          <w:sz w:val="24"/>
        </w:rPr>
      </w:pPr>
      <w:r>
        <w:rPr>
          <w:rFonts w:ascii="Times New Roman" w:hAnsi="Times New Roman" w:eastAsia="宋体" w:cs="Times New Roman"/>
          <w:color w:val="000000"/>
          <w:sz w:val="24"/>
        </w:rPr>
        <w:t>本工程保修书，由施工合同发包人、承包人双方在竣工验收前共同签署，作为施工合同附件，其有效期限至保修期满。</w:t>
      </w:r>
    </w:p>
    <w:p w14:paraId="5082A851">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发包人：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（公章）</w:t>
      </w:r>
      <w:r>
        <w:rPr>
          <w:rFonts w:ascii="Times New Roman" w:hAnsi="Times New Roman" w:eastAsia="宋体" w:cs="Times New Roman"/>
          <w:color w:val="000000"/>
          <w:sz w:val="24"/>
        </w:rPr>
        <w:tab/>
      </w:r>
      <w:r>
        <w:rPr>
          <w:rFonts w:ascii="Times New Roman" w:hAnsi="Times New Roman" w:eastAsia="宋体" w:cs="Times New Roman"/>
          <w:color w:val="000000"/>
          <w:sz w:val="24"/>
        </w:rPr>
        <w:t xml:space="preserve"> 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（公章） </w:t>
      </w:r>
    </w:p>
    <w:p w14:paraId="51E659A2">
      <w:pPr>
        <w:tabs>
          <w:tab w:val="left" w:pos="4275"/>
        </w:tabs>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法定地址：</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ab/>
      </w:r>
      <w:r>
        <w:rPr>
          <w:rFonts w:ascii="Times New Roman" w:hAnsi="Times New Roman" w:eastAsia="宋体" w:cs="Times New Roman"/>
          <w:color w:val="000000"/>
          <w:sz w:val="24"/>
        </w:rPr>
        <w:t>法定地址：</w:t>
      </w:r>
      <w:r>
        <w:rPr>
          <w:rFonts w:ascii="Times New Roman" w:hAnsi="Times New Roman" w:eastAsia="宋体" w:cs="Times New Roman"/>
          <w:color w:val="000000"/>
          <w:sz w:val="24"/>
          <w:u w:val="single"/>
        </w:rPr>
        <w:t xml:space="preserve">                </w:t>
      </w:r>
    </w:p>
    <w:p w14:paraId="480BB2EA">
      <w:pPr>
        <w:tabs>
          <w:tab w:val="left" w:pos="4275"/>
        </w:tabs>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法定代表人或其                       法定代表人或其</w:t>
      </w:r>
    </w:p>
    <w:p w14:paraId="79BED9A7">
      <w:pPr>
        <w:spacing w:afterLines="150"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委托代理人：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（签字）</w:t>
      </w:r>
      <w:r>
        <w:rPr>
          <w:rFonts w:ascii="Times New Roman" w:hAnsi="Times New Roman" w:eastAsia="宋体" w:cs="Times New Roman"/>
          <w:color w:val="000000"/>
          <w:sz w:val="24"/>
        </w:rPr>
        <w:tab/>
      </w:r>
      <w:r>
        <w:rPr>
          <w:rFonts w:ascii="Times New Roman" w:hAnsi="Times New Roman" w:eastAsia="宋体" w:cs="Times New Roman"/>
          <w:color w:val="000000"/>
          <w:sz w:val="24"/>
        </w:rPr>
        <w:t xml:space="preserve"> 委托代理人：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（签字）</w:t>
      </w:r>
      <w:bookmarkStart w:id="2065" w:name="_Toc111445503"/>
    </w:p>
    <w:p w14:paraId="4870BA14">
      <w:pPr>
        <w:spacing w:beforeLines="100" w:afterLines="100" w:line="400" w:lineRule="exact"/>
        <w:rPr>
          <w:rFonts w:ascii="Times New Roman" w:hAnsi="Times New Roman" w:eastAsia="宋体" w:cs="Times New Roman"/>
          <w:color w:val="000000"/>
          <w:szCs w:val="21"/>
        </w:rPr>
      </w:pP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日</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日</w:t>
      </w:r>
    </w:p>
    <w:p w14:paraId="42E17D63">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bookmarkStart w:id="2066" w:name="_Toc405878297"/>
      <w:r>
        <w:rPr>
          <w:rFonts w:hint="eastAsia" w:ascii="宋体" w:hAnsi="Times New Roman" w:eastAsia="宋体" w:cs="Times New Roman"/>
          <w:b/>
          <w:kern w:val="44"/>
          <w:sz w:val="32"/>
          <w:szCs w:val="20"/>
          <w:lang w:val="en-US" w:eastAsia="zh-CN" w:bidi="ar-SA"/>
        </w:rPr>
        <w:br w:type="page"/>
      </w:r>
      <w:r>
        <w:rPr>
          <w:rFonts w:hint="eastAsia" w:ascii="宋体" w:hAnsi="Times New Roman" w:eastAsia="宋体" w:cs="Times New Roman"/>
          <w:b/>
          <w:kern w:val="44"/>
          <w:sz w:val="32"/>
          <w:szCs w:val="20"/>
          <w:lang w:val="en-US" w:eastAsia="zh-CN" w:bidi="ar-SA"/>
        </w:rPr>
        <w:t>五、</w:t>
      </w:r>
      <w:r>
        <w:rPr>
          <w:rFonts w:ascii="宋体" w:hAnsi="Times New Roman" w:eastAsia="宋体" w:cs="Times New Roman"/>
          <w:b/>
          <w:kern w:val="44"/>
          <w:sz w:val="32"/>
          <w:szCs w:val="20"/>
          <w:lang w:val="en-US" w:eastAsia="zh-CN" w:bidi="ar-SA"/>
        </w:rPr>
        <w:t>建设工程廉政责任书</w:t>
      </w:r>
      <w:bookmarkEnd w:id="2065"/>
      <w:bookmarkEnd w:id="2066"/>
    </w:p>
    <w:p w14:paraId="5397C8BB">
      <w:pPr>
        <w:spacing w:line="360" w:lineRule="auto"/>
        <w:ind w:firstLine="480" w:firstLineChars="200"/>
        <w:rPr>
          <w:rFonts w:ascii="Times New Roman" w:hAnsi="Times New Roman" w:eastAsia="宋体" w:cs="Times New Roman"/>
          <w:color w:val="000000"/>
          <w:sz w:val="24"/>
          <w:u w:val="single"/>
        </w:rPr>
      </w:pPr>
      <w:r>
        <w:rPr>
          <w:rFonts w:ascii="Times New Roman" w:hAnsi="Times New Roman" w:eastAsia="宋体" w:cs="Times New Roman"/>
          <w:color w:val="000000"/>
          <w:sz w:val="24"/>
        </w:rPr>
        <w:t>发包人：</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北京工业职业技术学院</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8F8A8C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承包人：</w:t>
      </w:r>
      <w:r>
        <w:rPr>
          <w:rFonts w:ascii="Times New Roman" w:hAnsi="Times New Roman" w:eastAsia="宋体" w:cs="Times New Roman"/>
          <w:color w:val="000000"/>
          <w:sz w:val="24"/>
          <w:u w:val="single"/>
        </w:rPr>
        <w:t xml:space="preserve">                                        </w:t>
      </w:r>
    </w:p>
    <w:p w14:paraId="2C585CC2">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7F29CB5">
      <w:pPr>
        <w:spacing w:line="440" w:lineRule="exact"/>
        <w:ind w:firstLine="480" w:firstLineChars="200"/>
        <w:outlineLvl w:val="0"/>
        <w:rPr>
          <w:rFonts w:ascii="Times New Roman" w:hAnsi="Times New Roman" w:eastAsia="宋体" w:cs="Times New Roman"/>
          <w:color w:val="000000"/>
          <w:sz w:val="24"/>
        </w:rPr>
      </w:pPr>
      <w:bookmarkStart w:id="2067" w:name="_Toc111445504"/>
      <w:bookmarkStart w:id="2068" w:name="_Toc405878298"/>
      <w:r>
        <w:rPr>
          <w:rFonts w:ascii="Times New Roman" w:hAnsi="Times New Roman" w:eastAsia="宋体" w:cs="Times New Roman"/>
          <w:color w:val="000000"/>
          <w:sz w:val="24"/>
        </w:rPr>
        <w:t>一、双方的责任</w:t>
      </w:r>
      <w:bookmarkEnd w:id="2067"/>
      <w:bookmarkEnd w:id="2068"/>
    </w:p>
    <w:p w14:paraId="3E9F669A">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1.1 应严格遵守国家关于建设工程的有关法律、法规，相关政策，以及廉政建设的各项规定。</w:t>
      </w:r>
    </w:p>
    <w:p w14:paraId="14745E10">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1.2 严格执行建设工程合同文件，自觉按合同办事。</w:t>
      </w:r>
    </w:p>
    <w:p w14:paraId="609297DD">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1.3 各项活动必须坚持公开、公平、公正、诚信、透明的原则（除法律法规另有规定者外），不得为获取不正当的利益，损害国家、集体和对方利益，不得违反建设工程管理的规章制度。</w:t>
      </w:r>
    </w:p>
    <w:p w14:paraId="3C67DFF9">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1.4 发现对方在业务活动中有违规、违纪、违法行为的，应及时提醒对方，情节严重的，应向其上级主管部门或纪检监察、司法等有关机关举报。</w:t>
      </w:r>
    </w:p>
    <w:p w14:paraId="75F869F4">
      <w:pPr>
        <w:spacing w:line="440" w:lineRule="exact"/>
        <w:ind w:firstLine="480" w:firstLineChars="200"/>
        <w:outlineLvl w:val="0"/>
        <w:rPr>
          <w:rFonts w:ascii="Times New Roman" w:hAnsi="Times New Roman" w:eastAsia="宋体" w:cs="Times New Roman"/>
          <w:color w:val="000000"/>
          <w:sz w:val="24"/>
        </w:rPr>
      </w:pPr>
      <w:bookmarkStart w:id="2069" w:name="_Toc405878299"/>
      <w:bookmarkStart w:id="2070" w:name="_Toc111445505"/>
      <w:r>
        <w:rPr>
          <w:rFonts w:ascii="Times New Roman" w:hAnsi="Times New Roman" w:eastAsia="宋体" w:cs="Times New Roman"/>
          <w:color w:val="000000"/>
          <w:sz w:val="24"/>
        </w:rPr>
        <w:t>二、发包人责任</w:t>
      </w:r>
      <w:bookmarkEnd w:id="2069"/>
      <w:bookmarkEnd w:id="2070"/>
    </w:p>
    <w:p w14:paraId="6D01CBEA">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发包人的领导和从事该建设工程项目的工作人员，在工程建设的事前、事中、事后应遵守以下规定：</w:t>
      </w:r>
    </w:p>
    <w:p w14:paraId="3714A139">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2.1不得向承包人和相关单位索要或接受回扣、礼金、有价证券、贵重物品和好处费、感谢费等。</w:t>
      </w:r>
    </w:p>
    <w:p w14:paraId="6E9FC293">
      <w:pPr>
        <w:spacing w:line="440" w:lineRule="exact"/>
        <w:outlineLvl w:val="0"/>
        <w:rPr>
          <w:rFonts w:ascii="Times New Roman" w:hAnsi="Times New Roman" w:eastAsia="宋体" w:cs="Times New Roman"/>
          <w:color w:val="000000"/>
          <w:sz w:val="24"/>
        </w:rPr>
      </w:pPr>
      <w:bookmarkStart w:id="2071" w:name="_Toc405878300"/>
      <w:r>
        <w:rPr>
          <w:rFonts w:ascii="Times New Roman" w:hAnsi="Times New Roman" w:eastAsia="宋体" w:cs="Times New Roman"/>
          <w:color w:val="000000"/>
          <w:sz w:val="24"/>
        </w:rPr>
        <w:t>2.2 不得在承包人和相关单位报销任何应由发包人或个人支付的费用。</w:t>
      </w:r>
      <w:bookmarkEnd w:id="2071"/>
    </w:p>
    <w:p w14:paraId="594BFF40">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2.3 不得要求、暗示或接受承包人和相关单位为个人装修住房、婚丧嫁娶、配偶子女的工作安排以及出国（境）、旅游等提供方便。</w:t>
      </w:r>
    </w:p>
    <w:p w14:paraId="6D174D32">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2.4 不得参加有可能影响公正执行公务的承包人和相关单位的宴请、健身、娱乐等活动。</w:t>
      </w:r>
    </w:p>
    <w:p w14:paraId="42FBEB35">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2.5 不得向承包人和相关单位介绍或为配偶、子女、亲属参与同发包人工程建设管理合同有关的业务活动；不得以任何理由要求承包人和相关单位使用某种产品、材料和设备。</w:t>
      </w:r>
    </w:p>
    <w:p w14:paraId="3F6A3C79">
      <w:pPr>
        <w:spacing w:line="440" w:lineRule="exact"/>
        <w:ind w:firstLine="480" w:firstLineChars="200"/>
        <w:outlineLvl w:val="0"/>
        <w:rPr>
          <w:rFonts w:ascii="Times New Roman" w:hAnsi="Times New Roman" w:eastAsia="宋体" w:cs="Times New Roman"/>
          <w:color w:val="000000"/>
          <w:sz w:val="24"/>
        </w:rPr>
      </w:pPr>
      <w:bookmarkStart w:id="2072" w:name="_Toc405878301"/>
      <w:bookmarkStart w:id="2073" w:name="_Toc111445506"/>
      <w:r>
        <w:rPr>
          <w:rFonts w:ascii="Times New Roman" w:hAnsi="Times New Roman" w:eastAsia="宋体" w:cs="Times New Roman"/>
          <w:color w:val="000000"/>
          <w:sz w:val="24"/>
        </w:rPr>
        <w:t>三、承包人责任</w:t>
      </w:r>
      <w:bookmarkEnd w:id="2072"/>
      <w:bookmarkEnd w:id="2073"/>
    </w:p>
    <w:p w14:paraId="5AD4E270">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应与发包人保持正常的业务交往，按照有关法律法规和程序开展业务工作，严格执行工程建设的有关方针、政策，执行工程建设强制性标准，并遵守以下规定：</w:t>
      </w:r>
    </w:p>
    <w:p w14:paraId="290BDA91">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3.1 不得以任何理由向发包人及其工作人员索要、接受或赠送礼金、有价证券、贵重物品及回扣、好处费、感谢费等。</w:t>
      </w:r>
    </w:p>
    <w:p w14:paraId="0B784EB3">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3.2不得以任何理由为发包人和相关单位报销应由对方或个人支付的费用。</w:t>
      </w:r>
    </w:p>
    <w:p w14:paraId="5FD121CE">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3.3不得接受或暗示为发包人、相关单位或个人装修住房、婚丧嫁娶、配偶子女的工作安排以及出国（境）、旅游等提供方便。</w:t>
      </w:r>
    </w:p>
    <w:p w14:paraId="080BC4F9">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3.4不得以任何理由为发包人、相关单位或个人组织有可能影响公正执行公务的宴请、健身、娱乐等活动。</w:t>
      </w:r>
    </w:p>
    <w:p w14:paraId="6F5E7A13">
      <w:pPr>
        <w:spacing w:line="440" w:lineRule="exact"/>
        <w:ind w:firstLine="480" w:firstLineChars="200"/>
        <w:outlineLvl w:val="0"/>
        <w:rPr>
          <w:rFonts w:ascii="Times New Roman" w:hAnsi="Times New Roman" w:eastAsia="宋体" w:cs="Times New Roman"/>
          <w:color w:val="000000"/>
          <w:sz w:val="24"/>
        </w:rPr>
      </w:pPr>
      <w:bookmarkStart w:id="2074" w:name="_Toc111445507"/>
      <w:bookmarkStart w:id="2075" w:name="_Toc405878302"/>
      <w:r>
        <w:rPr>
          <w:rFonts w:ascii="Times New Roman" w:hAnsi="Times New Roman" w:eastAsia="宋体" w:cs="Times New Roman"/>
          <w:color w:val="000000"/>
          <w:sz w:val="24"/>
        </w:rPr>
        <w:t>四、违约责任</w:t>
      </w:r>
      <w:bookmarkEnd w:id="2074"/>
      <w:bookmarkEnd w:id="2075"/>
    </w:p>
    <w:p w14:paraId="6C00543E">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4.1发包人工作人员有违反本责任书第一、二条责任行为的，依据有关法律、法规给予处理；涉嫌犯罪的，移交司法机关追究刑事责任；给承包人单位造成经济损失的，应予以赔偿。</w:t>
      </w:r>
    </w:p>
    <w:p w14:paraId="5FE6DC8A">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4.2 承包人工作人员有违反本责任书第一、三条责任行为的，依据有关法律法规处理；涉嫌犯罪的，移交司法机关追究刑事责任；给发包人单位造成经济损失的，应予以赔偿。</w:t>
      </w:r>
    </w:p>
    <w:p w14:paraId="722F5C99">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4.3 本责任书作为建设工程合同的组成部分，与建设工程合同具有同等法律效力。经双方签署后立即生效。</w:t>
      </w:r>
    </w:p>
    <w:p w14:paraId="1F0AD0C0">
      <w:pPr>
        <w:spacing w:line="440" w:lineRule="exact"/>
        <w:ind w:firstLine="480" w:firstLineChars="200"/>
        <w:outlineLvl w:val="0"/>
        <w:rPr>
          <w:rFonts w:ascii="Times New Roman" w:hAnsi="Times New Roman" w:eastAsia="宋体" w:cs="Times New Roman"/>
          <w:color w:val="000000"/>
          <w:sz w:val="24"/>
        </w:rPr>
      </w:pPr>
      <w:bookmarkStart w:id="2076" w:name="_Toc111445508"/>
      <w:bookmarkStart w:id="2077" w:name="_Toc405878303"/>
      <w:r>
        <w:rPr>
          <w:rFonts w:ascii="Times New Roman" w:hAnsi="Times New Roman" w:eastAsia="宋体" w:cs="Times New Roman"/>
          <w:color w:val="000000"/>
          <w:sz w:val="24"/>
        </w:rPr>
        <w:t>五、责任书有效期</w:t>
      </w:r>
      <w:bookmarkEnd w:id="2076"/>
      <w:bookmarkEnd w:id="2077"/>
    </w:p>
    <w:p w14:paraId="30A5CECA">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本责任书的有效期为双方签署之日起至该工程项目竣工验收合格时止。</w:t>
      </w:r>
    </w:p>
    <w:p w14:paraId="0F08FC89">
      <w:pPr>
        <w:spacing w:line="440" w:lineRule="exact"/>
        <w:ind w:firstLine="480" w:firstLineChars="200"/>
        <w:outlineLvl w:val="0"/>
        <w:rPr>
          <w:rFonts w:ascii="Times New Roman" w:hAnsi="Times New Roman" w:eastAsia="宋体" w:cs="Times New Roman"/>
          <w:color w:val="000000"/>
          <w:sz w:val="24"/>
        </w:rPr>
      </w:pPr>
      <w:bookmarkStart w:id="2078" w:name="_Toc405878304"/>
      <w:bookmarkStart w:id="2079" w:name="_Toc111445509"/>
      <w:r>
        <w:rPr>
          <w:rFonts w:ascii="Times New Roman" w:hAnsi="Times New Roman" w:eastAsia="宋体" w:cs="Times New Roman"/>
          <w:color w:val="000000"/>
          <w:sz w:val="24"/>
        </w:rPr>
        <w:t>六、责任书份数</w:t>
      </w:r>
      <w:bookmarkEnd w:id="2078"/>
      <w:bookmarkEnd w:id="2079"/>
    </w:p>
    <w:p w14:paraId="7976ECC0">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本责任书一式二份，发包人承包人各执一份，具有同等效力。</w:t>
      </w:r>
    </w:p>
    <w:p w14:paraId="37E5A151">
      <w:pPr>
        <w:spacing w:line="440" w:lineRule="exact"/>
        <w:ind w:firstLine="480" w:firstLineChars="200"/>
        <w:rPr>
          <w:rFonts w:ascii="Times New Roman" w:hAnsi="Times New Roman" w:eastAsia="宋体" w:cs="Times New Roman"/>
          <w:color w:val="000000"/>
          <w:sz w:val="24"/>
        </w:rPr>
      </w:pPr>
    </w:p>
    <w:p w14:paraId="05CB832D">
      <w:pPr>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发包人：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（公章）</w:t>
      </w:r>
      <w:r>
        <w:rPr>
          <w:rFonts w:ascii="Times New Roman" w:hAnsi="Times New Roman" w:eastAsia="宋体" w:cs="Times New Roman"/>
          <w:color w:val="000000"/>
          <w:sz w:val="24"/>
        </w:rPr>
        <w:tab/>
      </w:r>
      <w:r>
        <w:rPr>
          <w:rFonts w:ascii="Times New Roman" w:hAnsi="Times New Roman" w:eastAsia="宋体" w:cs="Times New Roman"/>
          <w:color w:val="000000"/>
          <w:sz w:val="24"/>
        </w:rPr>
        <w:t>承包人：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（公章） </w:t>
      </w:r>
    </w:p>
    <w:p w14:paraId="57870EC8">
      <w:pPr>
        <w:tabs>
          <w:tab w:val="left" w:pos="4635"/>
        </w:tabs>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法定地址：</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ab/>
      </w:r>
      <w:r>
        <w:rPr>
          <w:rFonts w:ascii="Times New Roman" w:hAnsi="Times New Roman" w:eastAsia="宋体" w:cs="Times New Roman"/>
          <w:color w:val="000000"/>
          <w:sz w:val="24"/>
        </w:rPr>
        <w:t>法定地址：</w:t>
      </w:r>
      <w:r>
        <w:rPr>
          <w:rFonts w:ascii="Times New Roman" w:hAnsi="Times New Roman" w:eastAsia="宋体" w:cs="Times New Roman"/>
          <w:color w:val="000000"/>
          <w:sz w:val="24"/>
          <w:u w:val="single"/>
        </w:rPr>
        <w:t xml:space="preserve">                </w:t>
      </w:r>
    </w:p>
    <w:p w14:paraId="75250218">
      <w:pPr>
        <w:tabs>
          <w:tab w:val="left" w:pos="4275"/>
        </w:tabs>
        <w:spacing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法定代表人或其                    法定代表人或其</w:t>
      </w:r>
    </w:p>
    <w:p w14:paraId="7A9A0D9D">
      <w:pPr>
        <w:tabs>
          <w:tab w:val="left" w:pos="4275"/>
        </w:tabs>
        <w:spacing w:afterLines="100" w:line="44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委托代理人：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（签字）</w:t>
      </w:r>
      <w:r>
        <w:rPr>
          <w:rFonts w:ascii="Times New Roman" w:hAnsi="Times New Roman" w:eastAsia="宋体" w:cs="Times New Roman"/>
          <w:color w:val="000000"/>
          <w:sz w:val="24"/>
        </w:rPr>
        <w:tab/>
      </w:r>
      <w:r>
        <w:rPr>
          <w:rFonts w:ascii="Times New Roman" w:hAnsi="Times New Roman" w:eastAsia="宋体" w:cs="Times New Roman"/>
          <w:color w:val="000000"/>
          <w:sz w:val="24"/>
        </w:rPr>
        <w:t>委托代理人：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（签字）</w:t>
      </w:r>
    </w:p>
    <w:p w14:paraId="23675833">
      <w:pPr>
        <w:spacing w:beforeLines="100" w:afterLines="100" w:line="440" w:lineRule="exact"/>
        <w:ind w:firstLine="525" w:firstLineChars="250"/>
        <w:rPr>
          <w:rFonts w:ascii="Times New Roman" w:hAnsi="Times New Roman" w:eastAsia="宋体" w:cs="Times New Roman"/>
          <w:color w:val="000000"/>
          <w:szCs w:val="21"/>
        </w:rPr>
      </w:pP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日</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日</w:t>
      </w:r>
    </w:p>
    <w:p w14:paraId="457BBB42">
      <w:pPr>
        <w:spacing w:beforeLines="100" w:afterLines="100" w:line="440" w:lineRule="exact"/>
        <w:ind w:firstLine="525" w:firstLineChars="250"/>
        <w:rPr>
          <w:rFonts w:ascii="Times New Roman" w:hAnsi="Times New Roman" w:eastAsia="宋体" w:cs="Times New Roman"/>
          <w:color w:val="000000"/>
          <w:szCs w:val="21"/>
        </w:rPr>
      </w:pPr>
    </w:p>
    <w:p w14:paraId="1D89973A">
      <w:pPr>
        <w:keepNext/>
        <w:keepLines/>
        <w:widowControl w:val="0"/>
        <w:autoSpaceDE w:val="0"/>
        <w:autoSpaceDN w:val="0"/>
        <w:adjustRightInd w:val="0"/>
        <w:spacing w:before="240" w:after="120" w:line="300" w:lineRule="auto"/>
        <w:jc w:val="center"/>
        <w:outlineLvl w:val="0"/>
        <w:rPr>
          <w:rFonts w:ascii="宋体" w:hAnsi="Times New Roman" w:eastAsia="宋体" w:cs="Times New Roman"/>
          <w:b/>
          <w:kern w:val="44"/>
          <w:sz w:val="32"/>
          <w:szCs w:val="20"/>
          <w:lang w:val="en-US" w:eastAsia="zh-CN" w:bidi="ar-SA"/>
        </w:rPr>
      </w:pPr>
      <w:r>
        <w:rPr>
          <w:rFonts w:hint="eastAsia" w:ascii="宋体" w:hAnsi="Times New Roman" w:eastAsia="宋体" w:cs="Times New Roman"/>
          <w:b/>
          <w:kern w:val="44"/>
          <w:sz w:val="32"/>
          <w:szCs w:val="20"/>
          <w:lang w:val="en-US" w:eastAsia="zh-CN" w:bidi="ar-SA"/>
        </w:rPr>
        <w:t>六、中标通知书</w:t>
      </w:r>
    </w:p>
    <w:p w14:paraId="12B84C5B">
      <w:pPr>
        <w:spacing w:beforeLines="100" w:afterLines="100" w:line="440" w:lineRule="exact"/>
        <w:ind w:firstLine="525" w:firstLineChars="250"/>
        <w:rPr>
          <w:rFonts w:ascii="Times New Roman" w:hAnsi="Times New Roman" w:eastAsia="宋体" w:cs="Times New Roman"/>
          <w:color w:val="000000"/>
          <w:szCs w:val="21"/>
        </w:rPr>
      </w:pPr>
    </w:p>
    <w:p w14:paraId="0A828E0F">
      <w:pPr>
        <w:spacing w:beforeLines="100" w:afterLines="100" w:line="440" w:lineRule="exact"/>
        <w:ind w:firstLine="525" w:firstLineChars="250"/>
        <w:rPr>
          <w:rFonts w:ascii="Times New Roman" w:hAnsi="Times New Roman" w:eastAsia="宋体" w:cs="Times New Roman"/>
          <w:color w:val="000000"/>
          <w:szCs w:val="21"/>
        </w:rPr>
      </w:pPr>
    </w:p>
    <w:p w14:paraId="7537A1B2">
      <w:pPr>
        <w:spacing w:beforeLines="100" w:afterLines="100" w:line="440" w:lineRule="exact"/>
        <w:ind w:firstLine="525" w:firstLineChars="250"/>
        <w:rPr>
          <w:rFonts w:ascii="Times New Roman" w:hAnsi="Times New Roman" w:eastAsia="宋体" w:cs="Times New Roman"/>
          <w:color w:val="000000"/>
          <w:szCs w:val="21"/>
        </w:rPr>
      </w:pPr>
    </w:p>
    <w:p w14:paraId="39AE68B8">
      <w:pPr>
        <w:spacing w:beforeLines="100" w:afterLines="100" w:line="440" w:lineRule="exact"/>
        <w:ind w:firstLine="525" w:firstLineChars="250"/>
        <w:rPr>
          <w:rFonts w:ascii="Times New Roman" w:hAnsi="Times New Roman" w:eastAsia="宋体" w:cs="Times New Roman"/>
          <w:color w:val="000000"/>
          <w:szCs w:val="21"/>
        </w:rPr>
      </w:pPr>
    </w:p>
    <w:p w14:paraId="1D7C516E">
      <w:pPr>
        <w:spacing w:beforeLines="100" w:afterLines="100" w:line="440" w:lineRule="exact"/>
        <w:ind w:firstLine="525" w:firstLineChars="250"/>
        <w:rPr>
          <w:rFonts w:ascii="Times New Roman" w:hAnsi="Times New Roman" w:eastAsia="宋体" w:cs="Times New Roman"/>
          <w:color w:val="000000"/>
          <w:szCs w:val="21"/>
        </w:rPr>
      </w:pPr>
    </w:p>
    <w:p w14:paraId="629236A1">
      <w:pPr>
        <w:spacing w:beforeLines="100" w:afterLines="100" w:line="440" w:lineRule="exact"/>
        <w:ind w:firstLine="525" w:firstLineChars="250"/>
        <w:rPr>
          <w:rFonts w:ascii="Times New Roman" w:hAnsi="Times New Roman" w:eastAsia="宋体" w:cs="Times New Roman"/>
          <w:color w:val="000000"/>
          <w:szCs w:val="21"/>
        </w:rPr>
      </w:pPr>
    </w:p>
    <w:p w14:paraId="621AE363">
      <w:pPr>
        <w:spacing w:beforeLines="100" w:afterLines="100" w:line="440" w:lineRule="exact"/>
        <w:ind w:firstLine="525" w:firstLineChars="250"/>
        <w:rPr>
          <w:rFonts w:ascii="Times New Roman" w:hAnsi="Times New Roman" w:eastAsia="宋体" w:cs="Times New Roman"/>
          <w:color w:val="000000"/>
          <w:szCs w:val="21"/>
        </w:rPr>
      </w:pPr>
    </w:p>
    <w:p w14:paraId="26CE4459">
      <w:pPr>
        <w:spacing w:beforeLines="100" w:afterLines="100" w:line="440" w:lineRule="exact"/>
        <w:ind w:firstLine="525" w:firstLineChars="250"/>
        <w:rPr>
          <w:rFonts w:ascii="Times New Roman" w:hAnsi="Times New Roman" w:eastAsia="宋体" w:cs="Times New Roman"/>
          <w:color w:val="000000"/>
          <w:szCs w:val="21"/>
        </w:rPr>
      </w:pPr>
    </w:p>
    <w:p w14:paraId="0611099B">
      <w:pPr>
        <w:spacing w:beforeLines="100" w:afterLines="100" w:line="440" w:lineRule="exact"/>
        <w:ind w:firstLine="525" w:firstLineChars="250"/>
        <w:rPr>
          <w:rFonts w:ascii="Times New Roman" w:hAnsi="Times New Roman" w:eastAsia="宋体" w:cs="Times New Roman"/>
          <w:color w:val="000000"/>
          <w:szCs w:val="21"/>
        </w:rPr>
      </w:pPr>
    </w:p>
    <w:p w14:paraId="7550D5C3">
      <w:pPr>
        <w:spacing w:beforeLines="100" w:afterLines="100" w:line="440" w:lineRule="exact"/>
        <w:ind w:firstLine="525" w:firstLineChars="250"/>
        <w:rPr>
          <w:rFonts w:ascii="Times New Roman" w:hAnsi="Times New Roman" w:eastAsia="宋体" w:cs="Times New Roman"/>
          <w:color w:val="000000"/>
          <w:szCs w:val="21"/>
        </w:rPr>
      </w:pPr>
    </w:p>
    <w:p w14:paraId="065A8A42">
      <w:pPr>
        <w:spacing w:beforeLines="100" w:afterLines="100" w:line="440" w:lineRule="exact"/>
        <w:ind w:firstLine="525" w:firstLineChars="250"/>
        <w:rPr>
          <w:rFonts w:ascii="Times New Roman" w:hAnsi="Times New Roman" w:eastAsia="宋体" w:cs="Times New Roman"/>
          <w:color w:val="000000"/>
          <w:szCs w:val="21"/>
        </w:rPr>
      </w:pPr>
    </w:p>
    <w:p w14:paraId="6EC8998A">
      <w:pPr>
        <w:spacing w:beforeLines="100" w:afterLines="100" w:line="440" w:lineRule="exact"/>
        <w:ind w:firstLine="525" w:firstLineChars="250"/>
        <w:rPr>
          <w:rFonts w:ascii="Times New Roman" w:hAnsi="Times New Roman" w:eastAsia="宋体" w:cs="Times New Roman"/>
          <w:color w:val="000000"/>
          <w:szCs w:val="21"/>
        </w:rPr>
      </w:pPr>
    </w:p>
    <w:p w14:paraId="6F53DE85">
      <w:pPr>
        <w:spacing w:beforeLines="100" w:afterLines="100" w:line="440" w:lineRule="exact"/>
        <w:ind w:firstLine="525" w:firstLineChars="250"/>
        <w:rPr>
          <w:rFonts w:ascii="Times New Roman" w:hAnsi="Times New Roman" w:eastAsia="宋体" w:cs="Times New Roman"/>
          <w:color w:val="000000"/>
          <w:szCs w:val="21"/>
        </w:rPr>
      </w:pPr>
    </w:p>
    <w:p w14:paraId="3BB47974">
      <w:pPr>
        <w:spacing w:beforeLines="100" w:afterLines="100" w:line="440" w:lineRule="exact"/>
        <w:ind w:firstLine="525" w:firstLineChars="250"/>
        <w:rPr>
          <w:rFonts w:ascii="Times New Roman" w:hAnsi="Times New Roman" w:eastAsia="宋体" w:cs="Times New Roman"/>
          <w:color w:val="000000"/>
          <w:szCs w:val="21"/>
        </w:rPr>
      </w:pPr>
    </w:p>
    <w:p w14:paraId="6BCD1C89">
      <w:pPr>
        <w:spacing w:beforeLines="100" w:afterLines="100" w:line="440" w:lineRule="exact"/>
        <w:ind w:firstLine="525" w:firstLineChars="250"/>
        <w:rPr>
          <w:rFonts w:ascii="Times New Roman" w:hAnsi="Times New Roman" w:eastAsia="宋体" w:cs="Times New Roman"/>
          <w:color w:val="000000"/>
          <w:szCs w:val="21"/>
        </w:rPr>
      </w:pPr>
    </w:p>
    <w:p w14:paraId="157F5240">
      <w:pPr>
        <w:spacing w:beforeLines="100" w:afterLines="100" w:line="440" w:lineRule="exact"/>
        <w:ind w:firstLine="525" w:firstLineChars="250"/>
        <w:rPr>
          <w:rFonts w:ascii="Times New Roman" w:hAnsi="Times New Roman" w:eastAsia="宋体" w:cs="Times New Roman"/>
          <w:color w:val="000000"/>
          <w:szCs w:val="21"/>
        </w:rPr>
      </w:pPr>
    </w:p>
    <w:p w14:paraId="00B36DF1">
      <w:pPr>
        <w:spacing w:beforeLines="100" w:afterLines="100" w:line="440" w:lineRule="exact"/>
        <w:ind w:firstLine="525" w:firstLineChars="250"/>
        <w:rPr>
          <w:rFonts w:ascii="Times New Roman" w:hAnsi="Times New Roman" w:eastAsia="宋体" w:cs="Times New Roman"/>
          <w:color w:val="000000"/>
          <w:szCs w:val="21"/>
        </w:rPr>
      </w:pPr>
    </w:p>
    <w:p w14:paraId="7C059967">
      <w:pPr>
        <w:spacing w:line="360" w:lineRule="auto"/>
        <w:jc w:val="center"/>
        <w:rPr>
          <w:rFonts w:hint="eastAsia" w:ascii="Times New Roman" w:hAnsi="Times New Roman" w:eastAsia="仿宋_GB2312" w:cs="Times New Roman"/>
          <w:color w:val="000000"/>
          <w:sz w:val="30"/>
          <w:szCs w:val="32"/>
          <w:lang w:eastAsia="zh-CN"/>
        </w:rPr>
      </w:pPr>
      <w:r>
        <w:rPr>
          <w:rFonts w:hint="eastAsia" w:ascii="宋体" w:hAnsi="Times New Roman" w:eastAsia="宋体" w:cs="Times New Roman"/>
          <w:b/>
          <w:kern w:val="44"/>
          <w:sz w:val="32"/>
          <w:szCs w:val="20"/>
          <w:lang w:val="en-US" w:eastAsia="zh-CN" w:bidi="ar-SA"/>
        </w:rPr>
        <w:br w:type="page"/>
      </w:r>
      <w:r>
        <w:rPr>
          <w:rFonts w:hint="eastAsia" w:ascii="宋体" w:hAnsi="Times New Roman" w:eastAsia="宋体" w:cs="Times New Roman"/>
          <w:b/>
          <w:kern w:val="44"/>
          <w:sz w:val="32"/>
          <w:szCs w:val="20"/>
          <w:lang w:val="en-US" w:eastAsia="zh-CN" w:bidi="ar-SA"/>
        </w:rPr>
        <w:t>七、投标函及投标函附录</w:t>
      </w:r>
    </w:p>
    <w:p w14:paraId="4D494919">
      <w:pPr>
        <w:spacing w:line="360" w:lineRule="auto"/>
        <w:ind w:left="5280" w:hanging="5280" w:hangingChars="2200"/>
        <w:jc w:val="left"/>
        <w:rPr>
          <w:sz w:val="24"/>
          <w:szCs w:val="20"/>
        </w:rPr>
      </w:pPr>
    </w:p>
    <w:p w14:paraId="194D46AF">
      <w:pPr>
        <w:spacing w:line="360" w:lineRule="auto"/>
        <w:ind w:left="5280" w:hanging="5280" w:hangingChars="2200"/>
        <w:jc w:val="left"/>
        <w:rPr>
          <w:sz w:val="24"/>
          <w:szCs w:val="20"/>
        </w:rPr>
      </w:pPr>
    </w:p>
    <w:p w14:paraId="3F304538">
      <w:pPr>
        <w:spacing w:line="360" w:lineRule="auto"/>
        <w:jc w:val="left"/>
        <w:rPr>
          <w:sz w:val="24"/>
          <w:szCs w:val="20"/>
        </w:rPr>
      </w:pPr>
    </w:p>
    <w:p w14:paraId="464D27C2">
      <w:pPr>
        <w:jc w:val="center"/>
        <w:rPr>
          <w:rFonts w:eastAsia="黑体"/>
          <w:spacing w:val="40"/>
          <w:sz w:val="48"/>
        </w:rPr>
      </w:pPr>
    </w:p>
    <w:p w14:paraId="274ACEBA">
      <w:pPr>
        <w:sectPr>
          <w:headerReference r:id="rId9" w:type="default"/>
          <w:footerReference r:id="rId10" w:type="default"/>
          <w:type w:val="nextColumn"/>
          <w:pgSz w:w="11910" w:h="16840"/>
          <w:pgMar w:top="1417" w:right="1134" w:bottom="1417" w:left="1701" w:header="0" w:footer="1496" w:gutter="0"/>
          <w:cols w:space="720" w:num="1"/>
        </w:sectPr>
      </w:pPr>
    </w:p>
    <w:p w14:paraId="17077C9D">
      <w:pPr>
        <w:spacing w:line="360" w:lineRule="auto"/>
        <w:jc w:val="center"/>
        <w:outlineLvl w:val="0"/>
        <w:rPr>
          <w:b/>
          <w:sz w:val="36"/>
          <w:szCs w:val="36"/>
        </w:rPr>
      </w:pPr>
      <w:bookmarkStart w:id="2080" w:name="_Toc97371947"/>
    </w:p>
    <w:p w14:paraId="16E1B6BB">
      <w:pPr>
        <w:spacing w:line="360" w:lineRule="auto"/>
        <w:jc w:val="center"/>
        <w:outlineLvl w:val="0"/>
        <w:rPr>
          <w:b/>
          <w:sz w:val="36"/>
          <w:szCs w:val="36"/>
        </w:rPr>
      </w:pPr>
      <w:r>
        <w:rPr>
          <w:b/>
          <w:sz w:val="36"/>
          <w:szCs w:val="36"/>
        </w:rPr>
        <w:t>第六章   响应文件格式</w:t>
      </w:r>
      <w:bookmarkEnd w:id="2080"/>
    </w:p>
    <w:p w14:paraId="45D31C8F">
      <w:pPr>
        <w:widowControl/>
        <w:spacing w:line="360" w:lineRule="auto"/>
        <w:jc w:val="left"/>
        <w:rPr>
          <w:b/>
          <w:sz w:val="24"/>
        </w:rPr>
      </w:pPr>
    </w:p>
    <w:p w14:paraId="512986F2">
      <w:pPr>
        <w:widowControl/>
        <w:spacing w:line="360" w:lineRule="auto"/>
        <w:jc w:val="left"/>
        <w:rPr>
          <w:b/>
          <w:sz w:val="24"/>
        </w:rPr>
      </w:pPr>
    </w:p>
    <w:p w14:paraId="6C4F5BAD">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2225765">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72C8E50">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1E1722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5644B27">
      <w:pPr>
        <w:tabs>
          <w:tab w:val="left" w:pos="900"/>
          <w:tab w:val="left" w:pos="1980"/>
        </w:tabs>
        <w:snapToGrid w:val="0"/>
        <w:spacing w:line="360" w:lineRule="auto"/>
        <w:ind w:left="142"/>
        <w:rPr>
          <w:sz w:val="24"/>
        </w:rPr>
      </w:pPr>
    </w:p>
    <w:p w14:paraId="699B5C92">
      <w:pPr>
        <w:widowControl/>
        <w:jc w:val="left"/>
        <w:rPr>
          <w:sz w:val="24"/>
        </w:rPr>
      </w:pPr>
      <w:r>
        <w:rPr>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7F313975">
      <w:pPr>
        <w:rPr>
          <w:b/>
          <w:spacing w:val="20"/>
          <w:szCs w:val="21"/>
        </w:rPr>
      </w:pPr>
    </w:p>
    <w:p w14:paraId="5CCF112C">
      <w:pPr>
        <w:rPr>
          <w:b/>
          <w:sz w:val="24"/>
        </w:rPr>
      </w:pPr>
      <w:r>
        <w:rPr>
          <w:b/>
          <w:spacing w:val="20"/>
          <w:sz w:val="24"/>
        </w:rPr>
        <w:t>响应文件</w:t>
      </w:r>
      <w:r>
        <w:rPr>
          <w:b/>
          <w:sz w:val="24"/>
        </w:rPr>
        <w:t>封面（非实质性格式）</w:t>
      </w:r>
    </w:p>
    <w:p w14:paraId="3F079E9E">
      <w:pPr>
        <w:jc w:val="center"/>
        <w:rPr>
          <w:szCs w:val="21"/>
        </w:rPr>
      </w:pPr>
    </w:p>
    <w:p w14:paraId="339329BF">
      <w:pPr>
        <w:jc w:val="center"/>
        <w:rPr>
          <w:b/>
          <w:spacing w:val="60"/>
          <w:sz w:val="84"/>
          <w:szCs w:val="84"/>
        </w:rPr>
      </w:pPr>
      <w:r>
        <w:rPr>
          <w:b/>
          <w:spacing w:val="60"/>
          <w:sz w:val="84"/>
          <w:szCs w:val="84"/>
        </w:rPr>
        <w:t>响 应 文 件</w:t>
      </w:r>
    </w:p>
    <w:p w14:paraId="7CDF2B4F">
      <w:pPr>
        <w:jc w:val="center"/>
        <w:rPr>
          <w:b/>
          <w:spacing w:val="60"/>
          <w:sz w:val="52"/>
          <w:szCs w:val="52"/>
        </w:rPr>
      </w:pPr>
    </w:p>
    <w:p w14:paraId="2DC959DF">
      <w:pPr>
        <w:ind w:firstLine="542" w:firstLineChars="150"/>
        <w:rPr>
          <w:b/>
          <w:spacing w:val="20"/>
          <w:sz w:val="32"/>
          <w:szCs w:val="32"/>
        </w:rPr>
      </w:pPr>
    </w:p>
    <w:p w14:paraId="534A8C10">
      <w:pPr>
        <w:ind w:firstLine="542" w:firstLineChars="150"/>
        <w:rPr>
          <w:b/>
          <w:spacing w:val="20"/>
          <w:sz w:val="32"/>
          <w:szCs w:val="32"/>
        </w:rPr>
      </w:pPr>
    </w:p>
    <w:p w14:paraId="5A9A3FC5">
      <w:pPr>
        <w:ind w:firstLine="542" w:firstLineChars="150"/>
        <w:rPr>
          <w:b/>
          <w:spacing w:val="20"/>
          <w:sz w:val="32"/>
          <w:szCs w:val="32"/>
        </w:rPr>
      </w:pPr>
      <w:r>
        <w:rPr>
          <w:b/>
          <w:spacing w:val="20"/>
          <w:sz w:val="32"/>
          <w:szCs w:val="32"/>
        </w:rPr>
        <w:t>项目名称:</w:t>
      </w:r>
    </w:p>
    <w:p w14:paraId="59D91298">
      <w:pPr>
        <w:ind w:firstLine="542" w:firstLineChars="150"/>
        <w:rPr>
          <w:b/>
          <w:spacing w:val="20"/>
          <w:sz w:val="32"/>
          <w:szCs w:val="32"/>
        </w:rPr>
      </w:pPr>
      <w:r>
        <w:rPr>
          <w:b/>
          <w:spacing w:val="20"/>
          <w:sz w:val="32"/>
          <w:szCs w:val="32"/>
        </w:rPr>
        <w:t>项目编号/包号：</w:t>
      </w:r>
    </w:p>
    <w:p w14:paraId="27B5203C">
      <w:pPr>
        <w:ind w:firstLine="542" w:firstLineChars="150"/>
        <w:rPr>
          <w:b/>
          <w:spacing w:val="20"/>
          <w:sz w:val="32"/>
          <w:szCs w:val="32"/>
        </w:rPr>
      </w:pPr>
    </w:p>
    <w:p w14:paraId="2CF2E3CA">
      <w:pPr>
        <w:ind w:firstLine="542" w:firstLineChars="150"/>
        <w:rPr>
          <w:b/>
          <w:spacing w:val="20"/>
          <w:sz w:val="32"/>
          <w:szCs w:val="32"/>
        </w:rPr>
      </w:pPr>
    </w:p>
    <w:p w14:paraId="0839E1BC">
      <w:pPr>
        <w:jc w:val="center"/>
        <w:rPr>
          <w:b/>
          <w:sz w:val="32"/>
          <w:szCs w:val="32"/>
        </w:rPr>
      </w:pPr>
    </w:p>
    <w:p w14:paraId="6A0FF29D">
      <w:pPr>
        <w:jc w:val="center"/>
        <w:rPr>
          <w:b/>
          <w:sz w:val="32"/>
          <w:szCs w:val="32"/>
        </w:rPr>
      </w:pPr>
    </w:p>
    <w:p w14:paraId="5B7D1142">
      <w:pPr>
        <w:jc w:val="center"/>
        <w:rPr>
          <w:b/>
          <w:sz w:val="32"/>
          <w:szCs w:val="32"/>
        </w:rPr>
      </w:pPr>
    </w:p>
    <w:p w14:paraId="6349A35D">
      <w:pPr>
        <w:jc w:val="center"/>
        <w:rPr>
          <w:b/>
          <w:spacing w:val="20"/>
          <w:sz w:val="32"/>
          <w:szCs w:val="32"/>
        </w:rPr>
      </w:pPr>
    </w:p>
    <w:p w14:paraId="6D2C5D5F">
      <w:pPr>
        <w:jc w:val="center"/>
        <w:rPr>
          <w:b/>
          <w:spacing w:val="20"/>
          <w:sz w:val="32"/>
          <w:szCs w:val="32"/>
        </w:rPr>
      </w:pPr>
    </w:p>
    <w:p w14:paraId="1C8599FF">
      <w:pPr>
        <w:jc w:val="center"/>
        <w:rPr>
          <w:b/>
          <w:spacing w:val="20"/>
          <w:sz w:val="32"/>
          <w:szCs w:val="32"/>
        </w:rPr>
      </w:pPr>
    </w:p>
    <w:p w14:paraId="1A44113A">
      <w:pPr>
        <w:spacing w:line="360" w:lineRule="auto"/>
        <w:ind w:firstLine="1445" w:firstLineChars="400"/>
        <w:jc w:val="left"/>
        <w:rPr>
          <w:b/>
          <w:spacing w:val="20"/>
          <w:sz w:val="32"/>
          <w:szCs w:val="32"/>
        </w:rPr>
      </w:pPr>
      <w:r>
        <w:rPr>
          <w:b/>
          <w:spacing w:val="20"/>
          <w:sz w:val="32"/>
          <w:szCs w:val="32"/>
        </w:rPr>
        <w:t>供应商名称：</w:t>
      </w:r>
    </w:p>
    <w:p w14:paraId="4C14D069">
      <w:pPr>
        <w:jc w:val="center"/>
        <w:rPr>
          <w:b/>
          <w:sz w:val="32"/>
          <w:szCs w:val="32"/>
        </w:rPr>
      </w:pPr>
    </w:p>
    <w:p w14:paraId="1E3D69D0">
      <w:pPr>
        <w:rPr>
          <w:b/>
        </w:rPr>
      </w:pPr>
      <w:r>
        <w:rPr>
          <w:b/>
          <w:spacing w:val="20"/>
          <w:sz w:val="32"/>
          <w:szCs w:val="32"/>
        </w:rPr>
        <w:br w:type="page"/>
      </w:r>
    </w:p>
    <w:p w14:paraId="257F5D5A">
      <w:pPr>
        <w:tabs>
          <w:tab w:val="left" w:pos="360"/>
        </w:tabs>
        <w:snapToGrid w:val="0"/>
        <w:spacing w:line="360" w:lineRule="auto"/>
        <w:outlineLvl w:val="1"/>
        <w:rPr>
          <w:sz w:val="24"/>
        </w:rPr>
      </w:pPr>
      <w:r>
        <w:rPr>
          <w:sz w:val="24"/>
        </w:rPr>
        <w:t>1 满足《中华人民共和国政府采购法》第二十二条规定及法律法规的其他规定</w:t>
      </w:r>
    </w:p>
    <w:p w14:paraId="28D566FC">
      <w:pPr>
        <w:spacing w:line="360" w:lineRule="auto"/>
        <w:outlineLvl w:val="2"/>
        <w:rPr>
          <w:rFonts w:hint="eastAsia"/>
          <w:sz w:val="24"/>
        </w:rPr>
      </w:pPr>
      <w:r>
        <w:rPr>
          <w:sz w:val="24"/>
        </w:rPr>
        <w:t>1-1营业执照等证明文件</w:t>
      </w:r>
      <w:r>
        <w:rPr>
          <w:rFonts w:hint="eastAsia"/>
          <w:sz w:val="24"/>
        </w:rPr>
        <w:t>（复印件或扫描件须加盖本单位公章）</w:t>
      </w:r>
    </w:p>
    <w:p w14:paraId="079C8167">
      <w:pPr>
        <w:tabs>
          <w:tab w:val="left" w:pos="1080"/>
        </w:tabs>
        <w:snapToGrid w:val="0"/>
        <w:rPr>
          <w:sz w:val="24"/>
        </w:rPr>
      </w:pPr>
    </w:p>
    <w:p w14:paraId="14F6F4A4">
      <w:pPr>
        <w:widowControl/>
        <w:jc w:val="left"/>
        <w:rPr>
          <w:bCs/>
        </w:rPr>
      </w:pPr>
      <w:r>
        <w:rPr>
          <w:sz w:val="24"/>
        </w:rPr>
        <w:br w:type="page"/>
      </w:r>
      <w:r>
        <w:t>1-2 供应商资格声明书</w:t>
      </w:r>
    </w:p>
    <w:p w14:paraId="2DF0E4EA">
      <w:pPr>
        <w:jc w:val="center"/>
        <w:rPr>
          <w:b/>
          <w:sz w:val="36"/>
          <w:szCs w:val="36"/>
        </w:rPr>
      </w:pPr>
      <w:r>
        <w:rPr>
          <w:rFonts w:hint="eastAsia"/>
          <w:b/>
          <w:sz w:val="36"/>
          <w:szCs w:val="36"/>
        </w:rPr>
        <w:t>供应商资格声明书</w:t>
      </w:r>
    </w:p>
    <w:p w14:paraId="15EDE499">
      <w:pPr>
        <w:tabs>
          <w:tab w:val="left" w:pos="5580"/>
        </w:tabs>
        <w:spacing w:line="360" w:lineRule="auto"/>
        <w:rPr>
          <w:sz w:val="24"/>
        </w:rPr>
      </w:pPr>
    </w:p>
    <w:p w14:paraId="23B2CD1C">
      <w:pPr>
        <w:tabs>
          <w:tab w:val="left" w:pos="5580"/>
        </w:tabs>
        <w:spacing w:line="360" w:lineRule="auto"/>
        <w:rPr>
          <w:sz w:val="24"/>
        </w:rPr>
      </w:pPr>
      <w:r>
        <w:rPr>
          <w:sz w:val="24"/>
        </w:rPr>
        <w:t>致：</w:t>
      </w:r>
      <w:r>
        <w:rPr>
          <w:sz w:val="24"/>
          <w:u w:val="single"/>
        </w:rPr>
        <w:t>采购人或采购代理机构</w:t>
      </w:r>
    </w:p>
    <w:p w14:paraId="6704E08A">
      <w:pPr>
        <w:spacing w:line="360" w:lineRule="auto"/>
        <w:ind w:firstLine="480" w:firstLineChars="200"/>
        <w:rPr>
          <w:sz w:val="24"/>
        </w:rPr>
      </w:pPr>
      <w:r>
        <w:rPr>
          <w:sz w:val="24"/>
        </w:rPr>
        <w:t>在参与本次项目磋商中，我单位承诺：</w:t>
      </w:r>
    </w:p>
    <w:p w14:paraId="32D8630A">
      <w:pPr>
        <w:numPr>
          <w:ilvl w:val="0"/>
          <w:numId w:val="13"/>
        </w:numPr>
        <w:spacing w:line="360" w:lineRule="auto"/>
        <w:ind w:left="1134"/>
        <w:rPr>
          <w:sz w:val="24"/>
          <w:szCs w:val="22"/>
        </w:rPr>
      </w:pPr>
      <w:r>
        <w:rPr>
          <w:sz w:val="24"/>
          <w:szCs w:val="22"/>
        </w:rPr>
        <w:t>具有良好的商业信誉和健全的财务会计制度；</w:t>
      </w:r>
    </w:p>
    <w:p w14:paraId="77D4FFBC">
      <w:pPr>
        <w:numPr>
          <w:ilvl w:val="0"/>
          <w:numId w:val="13"/>
        </w:numPr>
        <w:spacing w:line="360" w:lineRule="auto"/>
        <w:ind w:left="1134"/>
        <w:rPr>
          <w:sz w:val="24"/>
          <w:szCs w:val="22"/>
        </w:rPr>
      </w:pPr>
      <w:r>
        <w:rPr>
          <w:sz w:val="24"/>
          <w:szCs w:val="22"/>
        </w:rPr>
        <w:t>具有履行合同所必需的设备和专业技术能力；</w:t>
      </w:r>
    </w:p>
    <w:p w14:paraId="765F2DE9">
      <w:pPr>
        <w:numPr>
          <w:ilvl w:val="0"/>
          <w:numId w:val="13"/>
        </w:numPr>
        <w:spacing w:line="360" w:lineRule="auto"/>
        <w:ind w:left="1134"/>
        <w:rPr>
          <w:sz w:val="24"/>
          <w:szCs w:val="22"/>
        </w:rPr>
      </w:pPr>
      <w:r>
        <w:rPr>
          <w:sz w:val="24"/>
          <w:szCs w:val="22"/>
        </w:rPr>
        <w:t>有依法缴纳税收和社会保障资金的良好记录；</w:t>
      </w:r>
    </w:p>
    <w:p w14:paraId="3F2C68E3">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AF706D">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5ACB40B">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2E1265">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13C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D06AD96">
            <w:pPr>
              <w:jc w:val="center"/>
              <w:rPr>
                <w:sz w:val="24"/>
              </w:rPr>
            </w:pPr>
            <w:r>
              <w:rPr>
                <w:sz w:val="24"/>
              </w:rPr>
              <w:t>序号</w:t>
            </w:r>
          </w:p>
        </w:tc>
        <w:tc>
          <w:tcPr>
            <w:tcW w:w="4574" w:type="dxa"/>
            <w:noWrap w:val="0"/>
            <w:vAlign w:val="center"/>
          </w:tcPr>
          <w:p w14:paraId="47DA5F6B">
            <w:pPr>
              <w:jc w:val="center"/>
              <w:rPr>
                <w:sz w:val="24"/>
              </w:rPr>
            </w:pPr>
            <w:r>
              <w:rPr>
                <w:sz w:val="24"/>
              </w:rPr>
              <w:t>单位名称</w:t>
            </w:r>
          </w:p>
        </w:tc>
        <w:tc>
          <w:tcPr>
            <w:tcW w:w="2976" w:type="dxa"/>
            <w:noWrap w:val="0"/>
            <w:vAlign w:val="center"/>
          </w:tcPr>
          <w:p w14:paraId="737BF64C">
            <w:pPr>
              <w:jc w:val="center"/>
              <w:rPr>
                <w:sz w:val="24"/>
              </w:rPr>
            </w:pPr>
            <w:r>
              <w:rPr>
                <w:sz w:val="24"/>
              </w:rPr>
              <w:t>相互关系</w:t>
            </w:r>
          </w:p>
        </w:tc>
      </w:tr>
      <w:tr w14:paraId="7DE3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AC9DE87">
            <w:pPr>
              <w:jc w:val="center"/>
              <w:rPr>
                <w:sz w:val="24"/>
              </w:rPr>
            </w:pPr>
            <w:r>
              <w:rPr>
                <w:sz w:val="24"/>
              </w:rPr>
              <w:t>1</w:t>
            </w:r>
          </w:p>
        </w:tc>
        <w:tc>
          <w:tcPr>
            <w:tcW w:w="4574" w:type="dxa"/>
            <w:noWrap w:val="0"/>
            <w:vAlign w:val="center"/>
          </w:tcPr>
          <w:p w14:paraId="77450100">
            <w:pPr>
              <w:jc w:val="center"/>
              <w:rPr>
                <w:sz w:val="24"/>
              </w:rPr>
            </w:pPr>
          </w:p>
        </w:tc>
        <w:tc>
          <w:tcPr>
            <w:tcW w:w="2976" w:type="dxa"/>
            <w:noWrap w:val="0"/>
            <w:vAlign w:val="center"/>
          </w:tcPr>
          <w:p w14:paraId="2349E654">
            <w:pPr>
              <w:jc w:val="center"/>
              <w:rPr>
                <w:sz w:val="24"/>
              </w:rPr>
            </w:pPr>
          </w:p>
        </w:tc>
      </w:tr>
      <w:tr w14:paraId="7BDC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40CC021">
            <w:pPr>
              <w:jc w:val="center"/>
              <w:rPr>
                <w:sz w:val="24"/>
              </w:rPr>
            </w:pPr>
            <w:r>
              <w:rPr>
                <w:sz w:val="24"/>
              </w:rPr>
              <w:t>2</w:t>
            </w:r>
          </w:p>
        </w:tc>
        <w:tc>
          <w:tcPr>
            <w:tcW w:w="4574" w:type="dxa"/>
            <w:noWrap w:val="0"/>
            <w:vAlign w:val="center"/>
          </w:tcPr>
          <w:p w14:paraId="3F6427EB">
            <w:pPr>
              <w:jc w:val="center"/>
              <w:rPr>
                <w:sz w:val="24"/>
              </w:rPr>
            </w:pPr>
          </w:p>
        </w:tc>
        <w:tc>
          <w:tcPr>
            <w:tcW w:w="2976" w:type="dxa"/>
            <w:noWrap w:val="0"/>
            <w:vAlign w:val="center"/>
          </w:tcPr>
          <w:p w14:paraId="69DCF2B2">
            <w:pPr>
              <w:jc w:val="center"/>
              <w:rPr>
                <w:sz w:val="24"/>
              </w:rPr>
            </w:pPr>
          </w:p>
        </w:tc>
      </w:tr>
      <w:tr w14:paraId="4AA0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CB6AF47">
            <w:pPr>
              <w:jc w:val="center"/>
              <w:rPr>
                <w:sz w:val="24"/>
              </w:rPr>
            </w:pPr>
            <w:r>
              <w:rPr>
                <w:sz w:val="24"/>
              </w:rPr>
              <w:t>…</w:t>
            </w:r>
          </w:p>
        </w:tc>
        <w:tc>
          <w:tcPr>
            <w:tcW w:w="4574" w:type="dxa"/>
            <w:noWrap w:val="0"/>
            <w:vAlign w:val="center"/>
          </w:tcPr>
          <w:p w14:paraId="7D8AC39C">
            <w:pPr>
              <w:jc w:val="center"/>
              <w:rPr>
                <w:sz w:val="24"/>
              </w:rPr>
            </w:pPr>
          </w:p>
        </w:tc>
        <w:tc>
          <w:tcPr>
            <w:tcW w:w="2976" w:type="dxa"/>
            <w:noWrap w:val="0"/>
            <w:vAlign w:val="center"/>
          </w:tcPr>
          <w:p w14:paraId="4B5936D6">
            <w:pPr>
              <w:jc w:val="center"/>
              <w:rPr>
                <w:sz w:val="24"/>
              </w:rPr>
            </w:pPr>
          </w:p>
        </w:tc>
      </w:tr>
    </w:tbl>
    <w:p w14:paraId="1D81A9FC"/>
    <w:p w14:paraId="62B8C2F2">
      <w:pPr>
        <w:ind w:firstLine="480" w:firstLineChars="200"/>
        <w:rPr>
          <w:sz w:val="24"/>
          <w:szCs w:val="22"/>
        </w:rPr>
      </w:pPr>
      <w:r>
        <w:rPr>
          <w:sz w:val="24"/>
        </w:rPr>
        <w:t>上述声明真实有效，否则我方负全部责任。</w:t>
      </w:r>
    </w:p>
    <w:p w14:paraId="39A77361">
      <w:pPr>
        <w:spacing w:line="360" w:lineRule="auto"/>
        <w:rPr>
          <w:sz w:val="24"/>
        </w:rPr>
      </w:pPr>
    </w:p>
    <w:p w14:paraId="6A6FDDA3">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156DDCE5">
      <w:pPr>
        <w:spacing w:line="360" w:lineRule="auto"/>
        <w:ind w:right="360" w:firstLine="480"/>
        <w:jc w:val="right"/>
        <w:rPr>
          <w:sz w:val="24"/>
        </w:rPr>
      </w:pPr>
      <w:r>
        <w:rPr>
          <w:sz w:val="24"/>
          <w:szCs w:val="20"/>
        </w:rPr>
        <w:t xml:space="preserve">日期：____年____月____日   </w:t>
      </w:r>
    </w:p>
    <w:p w14:paraId="41217500">
      <w:pPr>
        <w:spacing w:line="360" w:lineRule="auto"/>
        <w:rPr>
          <w:sz w:val="24"/>
        </w:rPr>
      </w:pPr>
      <w:r>
        <w:rPr>
          <w:rFonts w:hint="eastAsia"/>
          <w:sz w:val="24"/>
        </w:rPr>
        <w:t>说明：供应商承诺不实的，依据《政府采购法》第七十七条“提供虚假材料谋取中标、成交的”有关规定予以处理。</w:t>
      </w:r>
    </w:p>
    <w:p w14:paraId="63EF537D">
      <w:pPr>
        <w:tabs>
          <w:tab w:val="left" w:pos="5580"/>
        </w:tabs>
        <w:spacing w:line="360" w:lineRule="auto"/>
        <w:rPr>
          <w:sz w:val="24"/>
        </w:rPr>
        <w:sectPr>
          <w:headerReference r:id="rId12" w:type="first"/>
          <w:footerReference r:id="rId15" w:type="first"/>
          <w:footerReference r:id="rId13" w:type="default"/>
          <w:headerReference r:id="rId11" w:type="even"/>
          <w:footerReference r:id="rId14" w:type="even"/>
          <w:pgSz w:w="11907" w:h="16840"/>
          <w:pgMar w:top="1417" w:right="1134" w:bottom="1417" w:left="1701" w:header="851" w:footer="851" w:gutter="0"/>
          <w:cols w:space="720" w:num="1"/>
          <w:docGrid w:linePitch="462" w:charSpace="0"/>
        </w:sectPr>
      </w:pPr>
    </w:p>
    <w:p w14:paraId="5163FFE7">
      <w:pPr>
        <w:tabs>
          <w:tab w:val="left" w:pos="360"/>
        </w:tabs>
        <w:snapToGrid w:val="0"/>
        <w:spacing w:line="360" w:lineRule="auto"/>
        <w:outlineLvl w:val="1"/>
        <w:rPr>
          <w:sz w:val="24"/>
        </w:rPr>
      </w:pPr>
      <w:r>
        <w:rPr>
          <w:sz w:val="24"/>
        </w:rPr>
        <w:t>2 落实政府采购政策需满足的资格要求（如有）</w:t>
      </w:r>
    </w:p>
    <w:p w14:paraId="1A71BA3E">
      <w:pPr>
        <w:spacing w:line="360" w:lineRule="auto"/>
        <w:outlineLvl w:val="2"/>
        <w:rPr>
          <w:sz w:val="24"/>
          <w:szCs w:val="20"/>
        </w:rPr>
      </w:pPr>
      <w:r>
        <w:rPr>
          <w:sz w:val="24"/>
          <w:szCs w:val="20"/>
        </w:rPr>
        <w:t>2-1中小企业声明函</w:t>
      </w:r>
    </w:p>
    <w:p w14:paraId="539C7132">
      <w:pPr>
        <w:tabs>
          <w:tab w:val="left" w:pos="5580"/>
        </w:tabs>
        <w:spacing w:line="360" w:lineRule="auto"/>
        <w:rPr>
          <w:sz w:val="24"/>
        </w:rPr>
      </w:pPr>
    </w:p>
    <w:p w14:paraId="45C6C878">
      <w:pPr>
        <w:tabs>
          <w:tab w:val="left" w:pos="5580"/>
        </w:tabs>
        <w:spacing w:line="360" w:lineRule="auto"/>
        <w:rPr>
          <w:sz w:val="24"/>
        </w:rPr>
      </w:pPr>
      <w:r>
        <w:rPr>
          <w:sz w:val="24"/>
        </w:rPr>
        <w:t>说明：</w:t>
      </w:r>
    </w:p>
    <w:p w14:paraId="45E73767">
      <w:pPr>
        <w:tabs>
          <w:tab w:val="left" w:pos="5580"/>
        </w:tabs>
        <w:spacing w:line="360" w:lineRule="auto"/>
        <w:rPr>
          <w:sz w:val="24"/>
        </w:rPr>
      </w:pPr>
      <w:r>
        <w:rPr>
          <w:sz w:val="24"/>
        </w:rPr>
        <w:t>（1）如本项目（包）不专门面向中小企业预留采购份额，</w:t>
      </w:r>
      <w:r>
        <w:rPr>
          <w:rFonts w:hint="eastAsia"/>
          <w:sz w:val="24"/>
        </w:rPr>
        <w:t>供应商无须提供</w:t>
      </w:r>
      <w:r>
        <w:rPr>
          <w:sz w:val="24"/>
        </w:rPr>
        <w:t>《中小企业声明函》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sz w:val="24"/>
        </w:rPr>
        <w:t>否则不得享受相关中小企业扶持政策。</w:t>
      </w:r>
    </w:p>
    <w:p w14:paraId="5E30BA58">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r>
        <w:rPr>
          <w:sz w:val="24"/>
        </w:rPr>
        <w:t>。</w:t>
      </w:r>
    </w:p>
    <w:p w14:paraId="3EABDA56">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w:t>
      </w:r>
      <w:r>
        <w:rPr>
          <w:sz w:val="24"/>
        </w:rPr>
        <w:t>，</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63652E15">
      <w:pPr>
        <w:tabs>
          <w:tab w:val="left" w:pos="5580"/>
        </w:tabs>
        <w:spacing w:line="360" w:lineRule="auto"/>
        <w:rPr>
          <w:rFonts w:hint="eastAsia"/>
          <w:sz w:val="24"/>
        </w:rPr>
      </w:pPr>
      <w:r>
        <w:rPr>
          <w:sz w:val="24"/>
        </w:rPr>
        <w:t>（4）</w:t>
      </w:r>
      <w:r>
        <w:rPr>
          <w:rFonts w:hint="eastAsia"/>
          <w:sz w:val="24"/>
        </w:rPr>
        <w:t>中小企业声明函填写注意事项</w:t>
      </w:r>
    </w:p>
    <w:p w14:paraId="482B3221">
      <w:pPr>
        <w:tabs>
          <w:tab w:val="left" w:pos="5580"/>
        </w:tabs>
        <w:spacing w:line="360" w:lineRule="auto"/>
        <w:rPr>
          <w:sz w:val="24"/>
        </w:rPr>
      </w:pPr>
      <w:r>
        <w:rPr>
          <w:rFonts w:hint="eastAsia"/>
          <w:sz w:val="24"/>
        </w:rPr>
        <w:t>1）《中小企业声明函》由参加政府采购活动的供应商出具。联合体参与的，《中小企业声明函》可由牵头人出具。</w:t>
      </w:r>
    </w:p>
    <w:p w14:paraId="0139F82D">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EA74E8">
      <w:pPr>
        <w:tabs>
          <w:tab w:val="left" w:pos="5580"/>
        </w:tabs>
        <w:spacing w:line="360" w:lineRule="auto"/>
        <w:rPr>
          <w:rFonts w:hint="eastAsia"/>
          <w:sz w:val="24"/>
        </w:rPr>
      </w:pPr>
      <w:r>
        <w:rPr>
          <w:rFonts w:hint="eastAsia"/>
          <w:sz w:val="24"/>
        </w:rPr>
        <w:t>3）对于多标的采购项目，供应商应充分、准确地了解所提供货物的制造企业、提供服</w:t>
      </w:r>
    </w:p>
    <w:p w14:paraId="543FB386">
      <w:pPr>
        <w:tabs>
          <w:tab w:val="left" w:pos="5580"/>
        </w:tabs>
        <w:spacing w:line="360" w:lineRule="auto"/>
        <w:rPr>
          <w:sz w:val="24"/>
        </w:rPr>
      </w:pPr>
      <w:r>
        <w:rPr>
          <w:rFonts w:hint="eastAsia"/>
          <w:sz w:val="24"/>
        </w:rPr>
        <w:t>务的承接企业信息。对相关情况了解不清楚的，不建议填报本声明函。</w:t>
      </w:r>
    </w:p>
    <w:p w14:paraId="690EDCDE">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A47337">
      <w:pPr>
        <w:spacing w:line="360" w:lineRule="auto"/>
        <w:outlineLvl w:val="2"/>
        <w:rPr>
          <w:rFonts w:hint="eastAsia"/>
          <w:sz w:val="24"/>
          <w:szCs w:val="20"/>
        </w:rPr>
      </w:pPr>
      <w:r>
        <w:rPr>
          <w:sz w:val="24"/>
        </w:rPr>
        <w:br w:type="page"/>
      </w:r>
      <w:bookmarkStart w:id="2081" w:name="_Toc2736"/>
      <w:r>
        <w:rPr>
          <w:rFonts w:hint="eastAsia"/>
          <w:sz w:val="24"/>
          <w:szCs w:val="20"/>
        </w:rPr>
        <w:t>2-1-1 中小企业声明函及残疾人福利性单位声明函格式</w:t>
      </w:r>
      <w:bookmarkEnd w:id="2081"/>
    </w:p>
    <w:p w14:paraId="795BA64D">
      <w:pPr>
        <w:spacing w:before="240" w:beforeLines="100" w:after="240" w:afterLines="100" w:line="360" w:lineRule="auto"/>
        <w:jc w:val="center"/>
        <w:rPr>
          <w:b/>
          <w:bCs/>
          <w:sz w:val="36"/>
          <w:szCs w:val="36"/>
        </w:rPr>
      </w:pPr>
      <w:r>
        <w:rPr>
          <w:b/>
          <w:bCs/>
          <w:sz w:val="36"/>
          <w:szCs w:val="36"/>
        </w:rPr>
        <w:t>中小企业声明函（工程、服务）格式</w:t>
      </w:r>
    </w:p>
    <w:p w14:paraId="67D48F8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B7C3DD">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F8FCE8C">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00273C4">
      <w:pPr>
        <w:spacing w:line="360" w:lineRule="auto"/>
        <w:ind w:firstLine="504"/>
        <w:rPr>
          <w:spacing w:val="6"/>
          <w:sz w:val="24"/>
        </w:rPr>
      </w:pPr>
    </w:p>
    <w:p w14:paraId="66C4522C">
      <w:pPr>
        <w:spacing w:line="360" w:lineRule="auto"/>
        <w:ind w:firstLine="504"/>
        <w:rPr>
          <w:spacing w:val="6"/>
          <w:sz w:val="24"/>
        </w:rPr>
      </w:pPr>
      <w:r>
        <w:rPr>
          <w:spacing w:val="6"/>
          <w:sz w:val="24"/>
        </w:rPr>
        <w:t>……</w:t>
      </w:r>
    </w:p>
    <w:p w14:paraId="681131A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5BE829">
      <w:pPr>
        <w:spacing w:line="360" w:lineRule="auto"/>
        <w:ind w:firstLine="504"/>
        <w:rPr>
          <w:spacing w:val="6"/>
          <w:sz w:val="24"/>
        </w:rPr>
      </w:pPr>
      <w:r>
        <w:rPr>
          <w:spacing w:val="6"/>
          <w:sz w:val="24"/>
        </w:rPr>
        <w:t>本企业对上述声明内容的真实性负责。如有虚假，将依法承担相应责任。</w:t>
      </w:r>
    </w:p>
    <w:p w14:paraId="3FB7DFE4">
      <w:pPr>
        <w:spacing w:line="360" w:lineRule="auto"/>
        <w:ind w:right="360" w:firstLine="480"/>
        <w:jc w:val="right"/>
        <w:rPr>
          <w:sz w:val="24"/>
        </w:rPr>
      </w:pPr>
    </w:p>
    <w:p w14:paraId="65988F11">
      <w:pPr>
        <w:spacing w:line="360" w:lineRule="auto"/>
        <w:ind w:right="360" w:firstLine="480"/>
        <w:jc w:val="right"/>
        <w:rPr>
          <w:sz w:val="24"/>
        </w:rPr>
      </w:pPr>
      <w:r>
        <w:rPr>
          <w:sz w:val="24"/>
        </w:rPr>
        <w:t>企业名称（盖章）：______</w:t>
      </w:r>
    </w:p>
    <w:p w14:paraId="2BA13AC7">
      <w:pPr>
        <w:spacing w:line="360" w:lineRule="auto"/>
        <w:ind w:right="360" w:firstLine="480"/>
        <w:jc w:val="right"/>
        <w:rPr>
          <w:sz w:val="24"/>
        </w:rPr>
      </w:pPr>
      <w:r>
        <w:rPr>
          <w:sz w:val="24"/>
        </w:rPr>
        <w:t>日 期：______</w:t>
      </w:r>
    </w:p>
    <w:p w14:paraId="6896932B">
      <w:pPr>
        <w:adjustRightInd w:val="0"/>
        <w:snapToGrid w:val="0"/>
        <w:jc w:val="left"/>
        <w:rPr>
          <w:sz w:val="24"/>
          <w:szCs w:val="21"/>
        </w:rPr>
      </w:pPr>
    </w:p>
    <w:p w14:paraId="494E81CC">
      <w:pPr>
        <w:adjustRightInd w:val="0"/>
        <w:snapToGrid w:val="0"/>
        <w:jc w:val="left"/>
        <w:rPr>
          <w:sz w:val="24"/>
          <w:szCs w:val="21"/>
        </w:rPr>
      </w:pPr>
    </w:p>
    <w:tbl>
      <w:tblPr>
        <w:tblStyle w:val="46"/>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7104A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982ED7D">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7C6A2F0">
      <w:pPr>
        <w:adjustRightInd w:val="0"/>
        <w:snapToGrid w:val="0"/>
        <w:jc w:val="left"/>
        <w:rPr>
          <w:szCs w:val="21"/>
          <w:vertAlign w:val="superscript"/>
        </w:rPr>
      </w:pPr>
    </w:p>
    <w:p w14:paraId="3684FA5C">
      <w:pPr>
        <w:spacing w:line="360" w:lineRule="auto"/>
        <w:ind w:right="360" w:firstLine="480"/>
        <w:jc w:val="right"/>
        <w:rPr>
          <w:sz w:val="24"/>
        </w:rPr>
      </w:pPr>
    </w:p>
    <w:p w14:paraId="2E2590B4">
      <w:pPr>
        <w:spacing w:line="360" w:lineRule="auto"/>
        <w:ind w:right="360" w:firstLine="480"/>
        <w:jc w:val="right"/>
        <w:rPr>
          <w:sz w:val="24"/>
        </w:rPr>
      </w:pPr>
    </w:p>
    <w:p w14:paraId="0EC2CD7C">
      <w:pPr>
        <w:spacing w:line="360" w:lineRule="auto"/>
        <w:ind w:firstLine="480" w:firstLineChars="200"/>
        <w:rPr>
          <w:rFonts w:ascii="黑体" w:hAnsi="黑体" w:eastAsia="黑体" w:cs="宋体"/>
          <w:kern w:val="0"/>
          <w:sz w:val="32"/>
          <w:szCs w:val="32"/>
        </w:rPr>
      </w:pPr>
      <w:r>
        <w:rPr>
          <w:sz w:val="24"/>
          <w:szCs w:val="20"/>
        </w:rPr>
        <w:br w:type="page"/>
      </w:r>
      <w:r>
        <w:rPr>
          <w:rFonts w:hint="eastAsia" w:ascii="黑体" w:hAnsi="黑体" w:eastAsia="黑体" w:cs="宋体"/>
          <w:kern w:val="0"/>
          <w:sz w:val="32"/>
          <w:szCs w:val="32"/>
        </w:rPr>
        <w:t>附表（仅供参考）</w:t>
      </w:r>
    </w:p>
    <w:p w14:paraId="06E45DE8">
      <w:pPr>
        <w:widowControl/>
        <w:spacing w:line="330" w:lineRule="atLeast"/>
        <w:jc w:val="center"/>
        <w:rPr>
          <w:rFonts w:ascii="方正小标宋_GBK" w:hAnsi="宋体" w:eastAsia="方正小标宋_GBK" w:cs="宋体"/>
          <w:kern w:val="0"/>
          <w:sz w:val="36"/>
          <w:szCs w:val="32"/>
        </w:rPr>
      </w:pPr>
      <w:r>
        <w:rPr>
          <w:rFonts w:hint="eastAsia" w:ascii="方正小标宋_GBK" w:hAnsi="宋体" w:eastAsia="方正小标宋_GBK" w:cs="宋体"/>
          <w:kern w:val="0"/>
          <w:sz w:val="36"/>
          <w:szCs w:val="32"/>
        </w:rPr>
        <w:t>大中小微型企业划分标准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81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3728FB9C">
            <w:pPr>
              <w:widowControl/>
              <w:spacing w:line="24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noWrap w:val="0"/>
            <w:vAlign w:val="center"/>
          </w:tcPr>
          <w:p w14:paraId="65BA8ACB">
            <w:pPr>
              <w:widowControl/>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noWrap w:val="0"/>
            <w:vAlign w:val="center"/>
          </w:tcPr>
          <w:p w14:paraId="362927C7">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计量</w:t>
            </w:r>
          </w:p>
          <w:p w14:paraId="3969A1A3">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noWrap w:val="0"/>
            <w:vAlign w:val="center"/>
          </w:tcPr>
          <w:p w14:paraId="4482C179">
            <w:pPr>
              <w:widowControl/>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noWrap w:val="0"/>
            <w:vAlign w:val="center"/>
          </w:tcPr>
          <w:p w14:paraId="1ADEF704">
            <w:pPr>
              <w:widowControl/>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noWrap w:val="0"/>
            <w:vAlign w:val="center"/>
          </w:tcPr>
          <w:p w14:paraId="3C8D8323">
            <w:pPr>
              <w:widowControl/>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noWrap w:val="0"/>
            <w:vAlign w:val="center"/>
          </w:tcPr>
          <w:p w14:paraId="6967CB3D">
            <w:pPr>
              <w:widowControl/>
              <w:jc w:val="center"/>
              <w:rPr>
                <w:rFonts w:ascii="宋体" w:hAnsi="宋体" w:cs="宋体"/>
                <w:b/>
                <w:bCs/>
                <w:kern w:val="0"/>
                <w:sz w:val="18"/>
                <w:szCs w:val="18"/>
              </w:rPr>
            </w:pPr>
            <w:r>
              <w:rPr>
                <w:rFonts w:hint="eastAsia" w:ascii="宋体" w:hAnsi="宋体" w:cs="宋体"/>
                <w:b/>
                <w:bCs/>
                <w:kern w:val="0"/>
                <w:sz w:val="18"/>
                <w:szCs w:val="18"/>
              </w:rPr>
              <w:t>微型</w:t>
            </w:r>
          </w:p>
        </w:tc>
      </w:tr>
      <w:tr w14:paraId="14BC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CE6081C">
            <w:pPr>
              <w:widowControl/>
              <w:spacing w:line="24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14:paraId="3DF0FAC7">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8DDAB57">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DEB05EC">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5B371443">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noWrap w:val="0"/>
            <w:vAlign w:val="center"/>
          </w:tcPr>
          <w:p w14:paraId="3767F7CC">
            <w:pPr>
              <w:widowControl/>
              <w:jc w:val="center"/>
              <w:rPr>
                <w:rFonts w:ascii="宋体" w:hAnsi="宋体" w:cs="宋体"/>
                <w:kern w:val="0"/>
                <w:sz w:val="18"/>
                <w:szCs w:val="18"/>
              </w:rPr>
            </w:pPr>
            <w:r>
              <w:rPr>
                <w:rFonts w:hint="eastAsia" w:ascii="宋体" w:hAnsi="宋体" w:cs="宋体"/>
                <w:kern w:val="0"/>
                <w:sz w:val="18"/>
                <w:szCs w:val="18"/>
              </w:rPr>
              <w:t xml:space="preserve"> 50≤Y＜500</w:t>
            </w:r>
          </w:p>
        </w:tc>
        <w:tc>
          <w:tcPr>
            <w:tcW w:w="992" w:type="dxa"/>
            <w:noWrap w:val="0"/>
            <w:vAlign w:val="center"/>
          </w:tcPr>
          <w:p w14:paraId="3D9BCC29">
            <w:pPr>
              <w:widowControl/>
              <w:jc w:val="center"/>
              <w:rPr>
                <w:rFonts w:ascii="宋体" w:hAnsi="宋体" w:cs="宋体"/>
                <w:kern w:val="0"/>
                <w:sz w:val="18"/>
                <w:szCs w:val="18"/>
              </w:rPr>
            </w:pPr>
            <w:r>
              <w:rPr>
                <w:rFonts w:hint="eastAsia" w:ascii="宋体" w:hAnsi="宋体" w:cs="宋体"/>
                <w:kern w:val="0"/>
                <w:sz w:val="18"/>
                <w:szCs w:val="18"/>
              </w:rPr>
              <w:t>Y＜50</w:t>
            </w:r>
          </w:p>
        </w:tc>
      </w:tr>
      <w:tr w14:paraId="7C2D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F42DC7">
            <w:pPr>
              <w:widowControl/>
              <w:spacing w:line="24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14:paraId="56C97EA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A640498">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D39D6FF">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78B9E275">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3659D229">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noWrap w:val="0"/>
            <w:vAlign w:val="center"/>
          </w:tcPr>
          <w:p w14:paraId="58898E01">
            <w:pPr>
              <w:widowControl/>
              <w:jc w:val="center"/>
              <w:rPr>
                <w:rFonts w:ascii="宋体" w:hAnsi="宋体" w:cs="宋体"/>
                <w:kern w:val="0"/>
                <w:sz w:val="18"/>
                <w:szCs w:val="18"/>
              </w:rPr>
            </w:pPr>
            <w:r>
              <w:rPr>
                <w:rFonts w:hint="eastAsia" w:ascii="宋体" w:hAnsi="宋体" w:cs="宋体"/>
                <w:kern w:val="0"/>
                <w:sz w:val="18"/>
                <w:szCs w:val="18"/>
              </w:rPr>
              <w:t>X＜20</w:t>
            </w:r>
          </w:p>
        </w:tc>
      </w:tr>
      <w:tr w14:paraId="3F14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B102E99">
            <w:pPr>
              <w:widowControl/>
              <w:jc w:val="left"/>
              <w:rPr>
                <w:rFonts w:ascii="宋体" w:hAnsi="宋体" w:cs="宋体"/>
                <w:kern w:val="0"/>
                <w:sz w:val="18"/>
                <w:szCs w:val="18"/>
              </w:rPr>
            </w:pPr>
          </w:p>
        </w:tc>
        <w:tc>
          <w:tcPr>
            <w:tcW w:w="1369" w:type="dxa"/>
            <w:noWrap w:val="0"/>
            <w:vAlign w:val="center"/>
          </w:tcPr>
          <w:p w14:paraId="1E721317">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A534E68">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005C792">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095F66D7">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3CFE06D5">
            <w:pPr>
              <w:widowControl/>
              <w:jc w:val="center"/>
              <w:rPr>
                <w:rFonts w:ascii="宋体" w:hAnsi="宋体" w:cs="宋体"/>
                <w:kern w:val="0"/>
                <w:sz w:val="18"/>
                <w:szCs w:val="18"/>
              </w:rPr>
            </w:pPr>
            <w:r>
              <w:rPr>
                <w:rFonts w:hint="eastAsia" w:ascii="宋体" w:hAnsi="宋体" w:cs="宋体"/>
                <w:kern w:val="0"/>
                <w:sz w:val="18"/>
                <w:szCs w:val="18"/>
              </w:rPr>
              <w:t xml:space="preserve"> 300≤Y＜2000</w:t>
            </w:r>
          </w:p>
        </w:tc>
        <w:tc>
          <w:tcPr>
            <w:tcW w:w="992" w:type="dxa"/>
            <w:noWrap w:val="0"/>
            <w:vAlign w:val="center"/>
          </w:tcPr>
          <w:p w14:paraId="3055762D">
            <w:pPr>
              <w:widowControl/>
              <w:jc w:val="center"/>
              <w:rPr>
                <w:rFonts w:ascii="宋体" w:hAnsi="宋体" w:cs="宋体"/>
                <w:kern w:val="0"/>
                <w:sz w:val="18"/>
                <w:szCs w:val="18"/>
              </w:rPr>
            </w:pPr>
            <w:r>
              <w:rPr>
                <w:rFonts w:hint="eastAsia" w:ascii="宋体" w:hAnsi="宋体" w:cs="宋体"/>
                <w:kern w:val="0"/>
                <w:sz w:val="18"/>
                <w:szCs w:val="18"/>
              </w:rPr>
              <w:t>Y＜300</w:t>
            </w:r>
          </w:p>
        </w:tc>
      </w:tr>
      <w:tr w14:paraId="17D3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8EBF50">
            <w:pPr>
              <w:widowControl/>
              <w:spacing w:line="24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14:paraId="52547938">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6064949">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28B2627">
            <w:pPr>
              <w:widowControl/>
              <w:jc w:val="center"/>
              <w:rPr>
                <w:rFonts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22F9B75D">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71DD8A97">
            <w:pPr>
              <w:widowControl/>
              <w:jc w:val="center"/>
              <w:rPr>
                <w:rFonts w:ascii="宋体" w:hAnsi="宋体" w:cs="宋体"/>
                <w:kern w:val="0"/>
                <w:sz w:val="18"/>
                <w:szCs w:val="18"/>
              </w:rPr>
            </w:pPr>
            <w:r>
              <w:rPr>
                <w:rFonts w:hint="eastAsia" w:ascii="宋体" w:hAnsi="宋体" w:cs="宋体"/>
                <w:kern w:val="0"/>
                <w:sz w:val="18"/>
                <w:szCs w:val="18"/>
              </w:rPr>
              <w:t xml:space="preserve"> 300≤Y＜6000</w:t>
            </w:r>
          </w:p>
        </w:tc>
        <w:tc>
          <w:tcPr>
            <w:tcW w:w="992" w:type="dxa"/>
            <w:noWrap w:val="0"/>
            <w:vAlign w:val="center"/>
          </w:tcPr>
          <w:p w14:paraId="1A93C76D">
            <w:pPr>
              <w:widowControl/>
              <w:jc w:val="center"/>
              <w:rPr>
                <w:rFonts w:ascii="宋体" w:hAnsi="宋体" w:cs="宋体"/>
                <w:kern w:val="0"/>
                <w:sz w:val="18"/>
                <w:szCs w:val="18"/>
              </w:rPr>
            </w:pPr>
            <w:r>
              <w:rPr>
                <w:rFonts w:hint="eastAsia" w:ascii="宋体" w:hAnsi="宋体" w:cs="宋体"/>
                <w:kern w:val="0"/>
                <w:sz w:val="18"/>
                <w:szCs w:val="18"/>
              </w:rPr>
              <w:t>Y＜300</w:t>
            </w:r>
          </w:p>
        </w:tc>
      </w:tr>
      <w:tr w14:paraId="6C65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F41287">
            <w:pPr>
              <w:widowControl/>
              <w:jc w:val="left"/>
              <w:rPr>
                <w:rFonts w:ascii="宋体" w:hAnsi="宋体" w:cs="宋体"/>
                <w:kern w:val="0"/>
                <w:sz w:val="18"/>
                <w:szCs w:val="18"/>
              </w:rPr>
            </w:pPr>
          </w:p>
        </w:tc>
        <w:tc>
          <w:tcPr>
            <w:tcW w:w="1369" w:type="dxa"/>
            <w:noWrap w:val="0"/>
            <w:vAlign w:val="center"/>
          </w:tcPr>
          <w:p w14:paraId="633B4ED5">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20F0DFF4">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CDDDAEA">
            <w:pPr>
              <w:widowControl/>
              <w:jc w:val="center"/>
              <w:rPr>
                <w:rFonts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6DB62783">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69AA7352">
            <w:pPr>
              <w:widowControl/>
              <w:jc w:val="center"/>
              <w:rPr>
                <w:rFonts w:ascii="宋体" w:hAnsi="宋体" w:cs="宋体"/>
                <w:kern w:val="0"/>
                <w:sz w:val="18"/>
                <w:szCs w:val="18"/>
              </w:rPr>
            </w:pPr>
            <w:r>
              <w:rPr>
                <w:rFonts w:hint="eastAsia" w:ascii="宋体" w:hAnsi="宋体" w:cs="宋体"/>
                <w:kern w:val="0"/>
                <w:sz w:val="18"/>
                <w:szCs w:val="18"/>
              </w:rPr>
              <w:t xml:space="preserve"> 300≤Z＜5000</w:t>
            </w:r>
          </w:p>
        </w:tc>
        <w:tc>
          <w:tcPr>
            <w:tcW w:w="992" w:type="dxa"/>
            <w:noWrap w:val="0"/>
            <w:vAlign w:val="center"/>
          </w:tcPr>
          <w:p w14:paraId="3A345D5E">
            <w:pPr>
              <w:widowControl/>
              <w:jc w:val="center"/>
              <w:rPr>
                <w:rFonts w:ascii="宋体" w:hAnsi="宋体" w:cs="宋体"/>
                <w:kern w:val="0"/>
                <w:sz w:val="18"/>
                <w:szCs w:val="18"/>
              </w:rPr>
            </w:pPr>
            <w:r>
              <w:rPr>
                <w:rFonts w:hint="eastAsia" w:ascii="宋体" w:hAnsi="宋体" w:cs="宋体"/>
                <w:kern w:val="0"/>
                <w:sz w:val="18"/>
                <w:szCs w:val="18"/>
              </w:rPr>
              <w:t>Z＜300</w:t>
            </w:r>
          </w:p>
        </w:tc>
      </w:tr>
      <w:tr w14:paraId="1498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5089E8">
            <w:pPr>
              <w:widowControl/>
              <w:spacing w:line="24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14:paraId="7176BFC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488177C">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E54F6BF">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21A75BC6">
            <w:pPr>
              <w:widowControl/>
              <w:jc w:val="center"/>
              <w:rPr>
                <w:rFonts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78164FC0">
            <w:pPr>
              <w:widowControl/>
              <w:jc w:val="center"/>
              <w:rPr>
                <w:rFonts w:ascii="宋体" w:hAnsi="宋体" w:cs="宋体"/>
                <w:kern w:val="0"/>
                <w:sz w:val="18"/>
                <w:szCs w:val="18"/>
              </w:rPr>
            </w:pPr>
            <w:r>
              <w:rPr>
                <w:rFonts w:hint="eastAsia" w:ascii="宋体" w:hAnsi="宋体" w:cs="宋体"/>
                <w:kern w:val="0"/>
                <w:sz w:val="18"/>
                <w:szCs w:val="18"/>
              </w:rPr>
              <w:t xml:space="preserve"> 5≤X＜20</w:t>
            </w:r>
          </w:p>
        </w:tc>
        <w:tc>
          <w:tcPr>
            <w:tcW w:w="992" w:type="dxa"/>
            <w:noWrap w:val="0"/>
            <w:vAlign w:val="center"/>
          </w:tcPr>
          <w:p w14:paraId="1C22B910">
            <w:pPr>
              <w:widowControl/>
              <w:jc w:val="center"/>
              <w:rPr>
                <w:rFonts w:ascii="宋体" w:hAnsi="宋体" w:cs="宋体"/>
                <w:kern w:val="0"/>
                <w:sz w:val="18"/>
                <w:szCs w:val="18"/>
              </w:rPr>
            </w:pPr>
            <w:r>
              <w:rPr>
                <w:rFonts w:hint="eastAsia" w:ascii="宋体" w:hAnsi="宋体" w:cs="宋体"/>
                <w:kern w:val="0"/>
                <w:sz w:val="18"/>
                <w:szCs w:val="18"/>
              </w:rPr>
              <w:t>X＜5</w:t>
            </w:r>
          </w:p>
        </w:tc>
      </w:tr>
      <w:tr w14:paraId="0781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24C6A3E">
            <w:pPr>
              <w:widowControl/>
              <w:jc w:val="left"/>
              <w:rPr>
                <w:rFonts w:ascii="宋体" w:hAnsi="宋体" w:cs="宋体"/>
                <w:kern w:val="0"/>
                <w:sz w:val="18"/>
                <w:szCs w:val="18"/>
              </w:rPr>
            </w:pPr>
          </w:p>
        </w:tc>
        <w:tc>
          <w:tcPr>
            <w:tcW w:w="1369" w:type="dxa"/>
            <w:noWrap w:val="0"/>
            <w:vAlign w:val="center"/>
          </w:tcPr>
          <w:p w14:paraId="0B3DCCFD">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E5DE726">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BC9C6FB">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2B76E409">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550EC1E5">
            <w:pPr>
              <w:widowControl/>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6B6BF87D">
            <w:pPr>
              <w:widowControl/>
              <w:jc w:val="center"/>
              <w:rPr>
                <w:rFonts w:ascii="宋体" w:hAnsi="宋体" w:cs="宋体"/>
                <w:kern w:val="0"/>
                <w:sz w:val="18"/>
                <w:szCs w:val="18"/>
              </w:rPr>
            </w:pPr>
            <w:r>
              <w:rPr>
                <w:rFonts w:hint="eastAsia" w:ascii="宋体" w:hAnsi="宋体" w:cs="宋体"/>
                <w:kern w:val="0"/>
                <w:sz w:val="18"/>
                <w:szCs w:val="18"/>
              </w:rPr>
              <w:t>Y＜1000</w:t>
            </w:r>
          </w:p>
        </w:tc>
      </w:tr>
      <w:tr w14:paraId="7B2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3ED5A2">
            <w:pPr>
              <w:widowControl/>
              <w:spacing w:line="24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14:paraId="1A81D863">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42E48E3">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022081D">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7F97A492">
            <w:pPr>
              <w:widowControl/>
              <w:jc w:val="center"/>
              <w:rPr>
                <w:rFonts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5DD0959F">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14:paraId="27C3CEA6">
            <w:pPr>
              <w:widowControl/>
              <w:jc w:val="center"/>
              <w:rPr>
                <w:rFonts w:ascii="宋体" w:hAnsi="宋体" w:cs="宋体"/>
                <w:kern w:val="0"/>
                <w:sz w:val="18"/>
                <w:szCs w:val="18"/>
              </w:rPr>
            </w:pPr>
            <w:r>
              <w:rPr>
                <w:rFonts w:hint="eastAsia" w:ascii="宋体" w:hAnsi="宋体" w:cs="宋体"/>
                <w:kern w:val="0"/>
                <w:sz w:val="18"/>
                <w:szCs w:val="18"/>
              </w:rPr>
              <w:t>X＜10</w:t>
            </w:r>
          </w:p>
        </w:tc>
      </w:tr>
      <w:tr w14:paraId="31E2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47BE16">
            <w:pPr>
              <w:widowControl/>
              <w:jc w:val="left"/>
              <w:rPr>
                <w:rFonts w:ascii="宋体" w:hAnsi="宋体" w:cs="宋体"/>
                <w:kern w:val="0"/>
                <w:sz w:val="18"/>
                <w:szCs w:val="18"/>
              </w:rPr>
            </w:pPr>
          </w:p>
        </w:tc>
        <w:tc>
          <w:tcPr>
            <w:tcW w:w="1369" w:type="dxa"/>
            <w:noWrap w:val="0"/>
            <w:vAlign w:val="center"/>
          </w:tcPr>
          <w:p w14:paraId="246C6511">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C1AEC0D">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33F2CC9">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3E3FDB87">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noWrap w:val="0"/>
            <w:vAlign w:val="center"/>
          </w:tcPr>
          <w:p w14:paraId="2829208C">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100≤Y＜500 </w:t>
            </w:r>
          </w:p>
        </w:tc>
        <w:tc>
          <w:tcPr>
            <w:tcW w:w="992" w:type="dxa"/>
            <w:noWrap w:val="0"/>
            <w:vAlign w:val="center"/>
          </w:tcPr>
          <w:p w14:paraId="7274F7D1">
            <w:pPr>
              <w:widowControl/>
              <w:jc w:val="center"/>
              <w:rPr>
                <w:rFonts w:ascii="宋体" w:hAnsi="宋体" w:cs="宋体"/>
                <w:kern w:val="0"/>
                <w:sz w:val="18"/>
                <w:szCs w:val="18"/>
              </w:rPr>
            </w:pPr>
            <w:r>
              <w:rPr>
                <w:rFonts w:hint="eastAsia" w:ascii="宋体" w:hAnsi="宋体" w:cs="宋体"/>
                <w:kern w:val="0"/>
                <w:sz w:val="18"/>
                <w:szCs w:val="18"/>
              </w:rPr>
              <w:t>Y＜100</w:t>
            </w:r>
          </w:p>
        </w:tc>
      </w:tr>
      <w:tr w14:paraId="3E82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DA6DC2">
            <w:pPr>
              <w:widowControl/>
              <w:spacing w:line="24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14:paraId="0C813EC0">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5B1A6CC8">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B2ADA49">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2D152101">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597F5E31">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noWrap w:val="0"/>
            <w:vAlign w:val="center"/>
          </w:tcPr>
          <w:p w14:paraId="0DDCA185">
            <w:pPr>
              <w:widowControl/>
              <w:jc w:val="center"/>
              <w:rPr>
                <w:rFonts w:ascii="宋体" w:hAnsi="宋体" w:cs="宋体"/>
                <w:kern w:val="0"/>
                <w:sz w:val="18"/>
                <w:szCs w:val="18"/>
              </w:rPr>
            </w:pPr>
            <w:r>
              <w:rPr>
                <w:rFonts w:hint="eastAsia" w:ascii="宋体" w:hAnsi="宋体" w:cs="宋体"/>
                <w:kern w:val="0"/>
                <w:sz w:val="18"/>
                <w:szCs w:val="18"/>
              </w:rPr>
              <w:t>X＜20</w:t>
            </w:r>
          </w:p>
        </w:tc>
      </w:tr>
      <w:tr w14:paraId="424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26F006">
            <w:pPr>
              <w:widowControl/>
              <w:jc w:val="left"/>
              <w:rPr>
                <w:rFonts w:ascii="宋体" w:hAnsi="宋体" w:cs="宋体"/>
                <w:kern w:val="0"/>
                <w:sz w:val="18"/>
                <w:szCs w:val="18"/>
              </w:rPr>
            </w:pPr>
          </w:p>
        </w:tc>
        <w:tc>
          <w:tcPr>
            <w:tcW w:w="1369" w:type="dxa"/>
            <w:noWrap w:val="0"/>
            <w:vAlign w:val="center"/>
          </w:tcPr>
          <w:p w14:paraId="5018ED3C">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1DC8046">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D908923">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616F2FFF">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237365FD">
            <w:pPr>
              <w:widowControl/>
              <w:jc w:val="center"/>
              <w:rPr>
                <w:rFonts w:ascii="宋体" w:hAnsi="宋体" w:cs="宋体"/>
                <w:kern w:val="0"/>
                <w:sz w:val="18"/>
                <w:szCs w:val="18"/>
              </w:rPr>
            </w:pPr>
            <w:r>
              <w:rPr>
                <w:rFonts w:hint="eastAsia" w:ascii="宋体" w:hAnsi="宋体" w:cs="宋体"/>
                <w:kern w:val="0"/>
                <w:sz w:val="18"/>
                <w:szCs w:val="18"/>
              </w:rPr>
              <w:t xml:space="preserve"> 200≤Y＜3000</w:t>
            </w:r>
          </w:p>
        </w:tc>
        <w:tc>
          <w:tcPr>
            <w:tcW w:w="992" w:type="dxa"/>
            <w:noWrap w:val="0"/>
            <w:vAlign w:val="center"/>
          </w:tcPr>
          <w:p w14:paraId="5E299BF8">
            <w:pPr>
              <w:widowControl/>
              <w:jc w:val="center"/>
              <w:rPr>
                <w:rFonts w:ascii="宋体" w:hAnsi="宋体" w:cs="宋体"/>
                <w:kern w:val="0"/>
                <w:sz w:val="18"/>
                <w:szCs w:val="18"/>
              </w:rPr>
            </w:pPr>
            <w:r>
              <w:rPr>
                <w:rFonts w:hint="eastAsia" w:ascii="宋体" w:hAnsi="宋体" w:cs="宋体"/>
                <w:kern w:val="0"/>
                <w:sz w:val="18"/>
                <w:szCs w:val="18"/>
              </w:rPr>
              <w:t>Y＜200</w:t>
            </w:r>
          </w:p>
        </w:tc>
      </w:tr>
      <w:tr w14:paraId="600E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1D9D7B">
            <w:pPr>
              <w:widowControl/>
              <w:spacing w:line="24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14:paraId="02D339D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5DB2771">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D593C0A">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2DC9EF4A">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4E0E436C">
            <w:pPr>
              <w:widowControl/>
              <w:jc w:val="center"/>
              <w:rPr>
                <w:rFonts w:ascii="宋体" w:hAnsi="宋体" w:cs="宋体"/>
                <w:kern w:val="0"/>
                <w:sz w:val="18"/>
                <w:szCs w:val="18"/>
              </w:rPr>
            </w:pPr>
            <w:r>
              <w:rPr>
                <w:rFonts w:hint="eastAsia" w:ascii="宋体" w:hAnsi="宋体" w:cs="宋体"/>
                <w:kern w:val="0"/>
                <w:sz w:val="18"/>
                <w:szCs w:val="18"/>
              </w:rPr>
              <w:t xml:space="preserve"> 20≤X＜100</w:t>
            </w:r>
          </w:p>
        </w:tc>
        <w:tc>
          <w:tcPr>
            <w:tcW w:w="992" w:type="dxa"/>
            <w:noWrap w:val="0"/>
            <w:vAlign w:val="center"/>
          </w:tcPr>
          <w:p w14:paraId="0FF40D2F">
            <w:pPr>
              <w:widowControl/>
              <w:jc w:val="center"/>
              <w:rPr>
                <w:rFonts w:ascii="宋体" w:hAnsi="宋体" w:cs="宋体"/>
                <w:kern w:val="0"/>
                <w:sz w:val="18"/>
                <w:szCs w:val="18"/>
              </w:rPr>
            </w:pPr>
            <w:r>
              <w:rPr>
                <w:rFonts w:hint="eastAsia" w:ascii="宋体" w:hAnsi="宋体" w:cs="宋体"/>
                <w:kern w:val="0"/>
                <w:sz w:val="18"/>
                <w:szCs w:val="18"/>
              </w:rPr>
              <w:t>X＜20</w:t>
            </w:r>
          </w:p>
        </w:tc>
      </w:tr>
      <w:tr w14:paraId="4171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AABC4A0">
            <w:pPr>
              <w:widowControl/>
              <w:jc w:val="left"/>
              <w:rPr>
                <w:rFonts w:ascii="宋体" w:hAnsi="宋体" w:cs="宋体"/>
                <w:kern w:val="0"/>
                <w:sz w:val="18"/>
                <w:szCs w:val="18"/>
              </w:rPr>
            </w:pPr>
          </w:p>
        </w:tc>
        <w:tc>
          <w:tcPr>
            <w:tcW w:w="1369" w:type="dxa"/>
            <w:noWrap w:val="0"/>
            <w:vAlign w:val="center"/>
          </w:tcPr>
          <w:p w14:paraId="5E1992FB">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ED00E9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52F6035">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14B0E663">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154EF550">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noWrap w:val="0"/>
            <w:vAlign w:val="center"/>
          </w:tcPr>
          <w:p w14:paraId="70EF8055">
            <w:pPr>
              <w:widowControl/>
              <w:jc w:val="center"/>
              <w:rPr>
                <w:rFonts w:ascii="宋体" w:hAnsi="宋体" w:cs="宋体"/>
                <w:kern w:val="0"/>
                <w:sz w:val="18"/>
                <w:szCs w:val="18"/>
              </w:rPr>
            </w:pPr>
            <w:r>
              <w:rPr>
                <w:rFonts w:hint="eastAsia" w:ascii="宋体" w:hAnsi="宋体" w:cs="宋体"/>
                <w:kern w:val="0"/>
                <w:sz w:val="18"/>
                <w:szCs w:val="18"/>
              </w:rPr>
              <w:t>Y＜100</w:t>
            </w:r>
          </w:p>
        </w:tc>
      </w:tr>
      <w:tr w14:paraId="2C5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9F14AF">
            <w:pPr>
              <w:widowControl/>
              <w:spacing w:line="24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14:paraId="5363C5CC">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AE6E58E">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7D60EFD">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0B582931">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133D4DE8">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noWrap w:val="0"/>
            <w:vAlign w:val="center"/>
          </w:tcPr>
          <w:p w14:paraId="67CB7C4C">
            <w:pPr>
              <w:widowControl/>
              <w:jc w:val="center"/>
              <w:rPr>
                <w:rFonts w:ascii="宋体" w:hAnsi="宋体" w:cs="宋体"/>
                <w:kern w:val="0"/>
                <w:sz w:val="18"/>
                <w:szCs w:val="18"/>
              </w:rPr>
            </w:pPr>
            <w:r>
              <w:rPr>
                <w:rFonts w:hint="eastAsia" w:ascii="宋体" w:hAnsi="宋体" w:cs="宋体"/>
                <w:kern w:val="0"/>
                <w:sz w:val="18"/>
                <w:szCs w:val="18"/>
              </w:rPr>
              <w:t>X＜20</w:t>
            </w:r>
          </w:p>
        </w:tc>
      </w:tr>
      <w:tr w14:paraId="0C6F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73D28B">
            <w:pPr>
              <w:widowControl/>
              <w:jc w:val="left"/>
              <w:rPr>
                <w:rFonts w:ascii="宋体" w:hAnsi="宋体" w:cs="宋体"/>
                <w:kern w:val="0"/>
                <w:sz w:val="18"/>
                <w:szCs w:val="18"/>
              </w:rPr>
            </w:pPr>
          </w:p>
        </w:tc>
        <w:tc>
          <w:tcPr>
            <w:tcW w:w="1369" w:type="dxa"/>
            <w:noWrap w:val="0"/>
            <w:vAlign w:val="center"/>
          </w:tcPr>
          <w:p w14:paraId="5899A6CC">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EAD2E96">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21CE0A1">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0DFAFECC">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0335EF24">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noWrap w:val="0"/>
            <w:vAlign w:val="center"/>
          </w:tcPr>
          <w:p w14:paraId="34F9FE63">
            <w:pPr>
              <w:widowControl/>
              <w:jc w:val="center"/>
              <w:rPr>
                <w:rFonts w:ascii="宋体" w:hAnsi="宋体" w:cs="宋体"/>
                <w:kern w:val="0"/>
                <w:sz w:val="18"/>
                <w:szCs w:val="18"/>
              </w:rPr>
            </w:pPr>
            <w:r>
              <w:rPr>
                <w:rFonts w:hint="eastAsia" w:ascii="宋体" w:hAnsi="宋体" w:cs="宋体"/>
                <w:kern w:val="0"/>
                <w:sz w:val="18"/>
                <w:szCs w:val="18"/>
              </w:rPr>
              <w:t>Y＜100</w:t>
            </w:r>
          </w:p>
        </w:tc>
      </w:tr>
      <w:tr w14:paraId="0F2C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5DEACF">
            <w:pPr>
              <w:widowControl/>
              <w:spacing w:line="24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14:paraId="50E6182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6B05B84D">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C5654B7">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5BB91FF">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52367859">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226735D2">
            <w:pPr>
              <w:widowControl/>
              <w:jc w:val="center"/>
              <w:rPr>
                <w:rFonts w:ascii="宋体" w:hAnsi="宋体" w:cs="宋体"/>
                <w:kern w:val="0"/>
                <w:sz w:val="18"/>
                <w:szCs w:val="18"/>
              </w:rPr>
            </w:pPr>
            <w:r>
              <w:rPr>
                <w:rFonts w:hint="eastAsia" w:ascii="宋体" w:hAnsi="宋体" w:cs="宋体"/>
                <w:kern w:val="0"/>
                <w:sz w:val="18"/>
                <w:szCs w:val="18"/>
              </w:rPr>
              <w:t>X＜10</w:t>
            </w:r>
          </w:p>
        </w:tc>
      </w:tr>
      <w:tr w14:paraId="6719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B6E315">
            <w:pPr>
              <w:widowControl/>
              <w:jc w:val="left"/>
              <w:rPr>
                <w:rFonts w:ascii="宋体" w:hAnsi="宋体" w:cs="宋体"/>
                <w:kern w:val="0"/>
                <w:sz w:val="18"/>
                <w:szCs w:val="18"/>
              </w:rPr>
            </w:pPr>
          </w:p>
        </w:tc>
        <w:tc>
          <w:tcPr>
            <w:tcW w:w="1369" w:type="dxa"/>
            <w:noWrap w:val="0"/>
            <w:vAlign w:val="center"/>
          </w:tcPr>
          <w:p w14:paraId="40258543">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C34D92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1081FBE">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4F7A723">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12C2ED76">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noWrap w:val="0"/>
            <w:vAlign w:val="center"/>
          </w:tcPr>
          <w:p w14:paraId="725CE88D">
            <w:pPr>
              <w:widowControl/>
              <w:jc w:val="center"/>
              <w:rPr>
                <w:rFonts w:ascii="宋体" w:hAnsi="宋体" w:cs="宋体"/>
                <w:kern w:val="0"/>
                <w:sz w:val="18"/>
                <w:szCs w:val="18"/>
              </w:rPr>
            </w:pPr>
            <w:r>
              <w:rPr>
                <w:rFonts w:hint="eastAsia" w:ascii="宋体" w:hAnsi="宋体" w:cs="宋体"/>
                <w:kern w:val="0"/>
                <w:sz w:val="18"/>
                <w:szCs w:val="18"/>
              </w:rPr>
              <w:t>Y＜100</w:t>
            </w:r>
          </w:p>
        </w:tc>
      </w:tr>
      <w:tr w14:paraId="7141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AE8A9A">
            <w:pPr>
              <w:widowControl/>
              <w:spacing w:line="24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14:paraId="131F6AE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E9560E9">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70114D0">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5C320E23">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679F06CE">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2CA4A032">
            <w:pPr>
              <w:widowControl/>
              <w:jc w:val="center"/>
              <w:rPr>
                <w:rFonts w:ascii="宋体" w:hAnsi="宋体" w:cs="宋体"/>
                <w:kern w:val="0"/>
                <w:sz w:val="18"/>
                <w:szCs w:val="18"/>
              </w:rPr>
            </w:pPr>
            <w:r>
              <w:rPr>
                <w:rFonts w:hint="eastAsia" w:ascii="宋体" w:hAnsi="宋体" w:cs="宋体"/>
                <w:kern w:val="0"/>
                <w:sz w:val="18"/>
                <w:szCs w:val="18"/>
              </w:rPr>
              <w:t>X＜10</w:t>
            </w:r>
          </w:p>
        </w:tc>
      </w:tr>
      <w:tr w14:paraId="7ED7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5BC186B">
            <w:pPr>
              <w:widowControl/>
              <w:jc w:val="left"/>
              <w:rPr>
                <w:rFonts w:ascii="宋体" w:hAnsi="宋体" w:cs="宋体"/>
                <w:kern w:val="0"/>
                <w:sz w:val="18"/>
                <w:szCs w:val="18"/>
              </w:rPr>
            </w:pPr>
          </w:p>
        </w:tc>
        <w:tc>
          <w:tcPr>
            <w:tcW w:w="1369" w:type="dxa"/>
            <w:noWrap w:val="0"/>
            <w:vAlign w:val="center"/>
          </w:tcPr>
          <w:p w14:paraId="40D0CC05">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D561C39">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CF5DE7D">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0FDB8576">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291580B7">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noWrap w:val="0"/>
            <w:vAlign w:val="center"/>
          </w:tcPr>
          <w:p w14:paraId="7E80F565">
            <w:pPr>
              <w:widowControl/>
              <w:jc w:val="center"/>
              <w:rPr>
                <w:rFonts w:ascii="宋体" w:hAnsi="宋体" w:cs="宋体"/>
                <w:kern w:val="0"/>
                <w:sz w:val="18"/>
                <w:szCs w:val="18"/>
              </w:rPr>
            </w:pPr>
            <w:r>
              <w:rPr>
                <w:rFonts w:hint="eastAsia" w:ascii="宋体" w:hAnsi="宋体" w:cs="宋体"/>
                <w:kern w:val="0"/>
                <w:sz w:val="18"/>
                <w:szCs w:val="18"/>
              </w:rPr>
              <w:t>Y＜100</w:t>
            </w:r>
          </w:p>
        </w:tc>
      </w:tr>
      <w:tr w14:paraId="7553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585B906">
            <w:pPr>
              <w:widowControl/>
              <w:spacing w:line="24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14:paraId="0E3D3407">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B2A2ED4">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6616CCF">
            <w:pPr>
              <w:widowControl/>
              <w:jc w:val="center"/>
              <w:rPr>
                <w:rFonts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137645D3">
            <w:pPr>
              <w:widowControl/>
              <w:jc w:val="center"/>
              <w:rPr>
                <w:rFonts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470B25C5">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78B0F7B1">
            <w:pPr>
              <w:widowControl/>
              <w:jc w:val="center"/>
              <w:rPr>
                <w:rFonts w:ascii="宋体" w:hAnsi="宋体" w:cs="宋体"/>
                <w:kern w:val="0"/>
                <w:sz w:val="18"/>
                <w:szCs w:val="18"/>
              </w:rPr>
            </w:pPr>
            <w:r>
              <w:rPr>
                <w:rFonts w:hint="eastAsia" w:ascii="宋体" w:hAnsi="宋体" w:cs="宋体"/>
                <w:kern w:val="0"/>
                <w:sz w:val="18"/>
                <w:szCs w:val="18"/>
              </w:rPr>
              <w:t>X＜10</w:t>
            </w:r>
          </w:p>
        </w:tc>
      </w:tr>
      <w:tr w14:paraId="3C8B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2F5403">
            <w:pPr>
              <w:widowControl/>
              <w:jc w:val="left"/>
              <w:rPr>
                <w:rFonts w:ascii="宋体" w:hAnsi="宋体" w:cs="宋体"/>
                <w:kern w:val="0"/>
                <w:sz w:val="18"/>
                <w:szCs w:val="18"/>
              </w:rPr>
            </w:pPr>
          </w:p>
        </w:tc>
        <w:tc>
          <w:tcPr>
            <w:tcW w:w="1369" w:type="dxa"/>
            <w:noWrap w:val="0"/>
            <w:vAlign w:val="center"/>
          </w:tcPr>
          <w:p w14:paraId="0A7B083B">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3421AB5">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D559EBE">
            <w:pPr>
              <w:widowControl/>
              <w:jc w:val="center"/>
              <w:rPr>
                <w:rFonts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4F68AF24">
            <w:pPr>
              <w:widowControl/>
              <w:jc w:val="center"/>
              <w:rPr>
                <w:rFonts w:ascii="宋体" w:hAnsi="宋体" w:cs="宋体"/>
                <w:kern w:val="0"/>
                <w:sz w:val="18"/>
                <w:szCs w:val="18"/>
              </w:rPr>
            </w:pPr>
            <w:r>
              <w:rPr>
                <w:rFonts w:hint="eastAsia" w:ascii="宋体" w:hAnsi="宋体" w:cs="宋体"/>
                <w:kern w:val="0"/>
                <w:sz w:val="18"/>
                <w:szCs w:val="18"/>
              </w:rPr>
              <w:t xml:space="preserve"> 1000≤Y＜100000</w:t>
            </w:r>
          </w:p>
        </w:tc>
        <w:tc>
          <w:tcPr>
            <w:tcW w:w="1426" w:type="dxa"/>
            <w:noWrap w:val="0"/>
            <w:vAlign w:val="center"/>
          </w:tcPr>
          <w:p w14:paraId="41024C4B">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noWrap w:val="0"/>
            <w:vAlign w:val="center"/>
          </w:tcPr>
          <w:p w14:paraId="1A13F372">
            <w:pPr>
              <w:widowControl/>
              <w:jc w:val="center"/>
              <w:rPr>
                <w:rFonts w:ascii="宋体" w:hAnsi="宋体" w:cs="宋体"/>
                <w:kern w:val="0"/>
                <w:sz w:val="18"/>
                <w:szCs w:val="18"/>
              </w:rPr>
            </w:pPr>
            <w:r>
              <w:rPr>
                <w:rFonts w:hint="eastAsia" w:ascii="宋体" w:hAnsi="宋体" w:cs="宋体"/>
                <w:kern w:val="0"/>
                <w:sz w:val="18"/>
                <w:szCs w:val="18"/>
              </w:rPr>
              <w:t>Y＜100</w:t>
            </w:r>
          </w:p>
        </w:tc>
      </w:tr>
      <w:tr w14:paraId="3366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45F167B">
            <w:pPr>
              <w:widowControl/>
              <w:spacing w:line="24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14:paraId="1C38728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52039369">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A22DA61">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07432BFB">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2809D917">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250213CE">
            <w:pPr>
              <w:widowControl/>
              <w:jc w:val="center"/>
              <w:rPr>
                <w:rFonts w:ascii="宋体" w:hAnsi="宋体" w:cs="宋体"/>
                <w:kern w:val="0"/>
                <w:sz w:val="18"/>
                <w:szCs w:val="18"/>
              </w:rPr>
            </w:pPr>
            <w:r>
              <w:rPr>
                <w:rFonts w:hint="eastAsia" w:ascii="宋体" w:hAnsi="宋体" w:cs="宋体"/>
                <w:kern w:val="0"/>
                <w:sz w:val="18"/>
                <w:szCs w:val="18"/>
              </w:rPr>
              <w:t>X＜10</w:t>
            </w:r>
          </w:p>
        </w:tc>
      </w:tr>
      <w:tr w14:paraId="14CD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D820D15">
            <w:pPr>
              <w:widowControl/>
              <w:jc w:val="left"/>
              <w:rPr>
                <w:rFonts w:ascii="宋体" w:hAnsi="宋体" w:cs="宋体"/>
                <w:spacing w:val="-12"/>
                <w:kern w:val="0"/>
                <w:sz w:val="18"/>
                <w:szCs w:val="18"/>
              </w:rPr>
            </w:pPr>
          </w:p>
        </w:tc>
        <w:tc>
          <w:tcPr>
            <w:tcW w:w="1369" w:type="dxa"/>
            <w:noWrap w:val="0"/>
            <w:vAlign w:val="center"/>
          </w:tcPr>
          <w:p w14:paraId="757FE27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C7A4CD4">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90BF0CF">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2AA2CC5B">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506AFF78">
            <w:pPr>
              <w:widowControl/>
              <w:jc w:val="center"/>
              <w:rPr>
                <w:rFonts w:ascii="宋体" w:hAnsi="宋体" w:cs="宋体"/>
                <w:kern w:val="0"/>
                <w:sz w:val="18"/>
                <w:szCs w:val="18"/>
              </w:rPr>
            </w:pPr>
            <w:r>
              <w:rPr>
                <w:rFonts w:hint="eastAsia" w:ascii="宋体" w:hAnsi="宋体" w:cs="宋体"/>
                <w:kern w:val="0"/>
                <w:sz w:val="18"/>
                <w:szCs w:val="18"/>
              </w:rPr>
              <w:t xml:space="preserve">  50≤Y＜1000</w:t>
            </w:r>
          </w:p>
        </w:tc>
        <w:tc>
          <w:tcPr>
            <w:tcW w:w="992" w:type="dxa"/>
            <w:noWrap w:val="0"/>
            <w:vAlign w:val="center"/>
          </w:tcPr>
          <w:p w14:paraId="069FA96F">
            <w:pPr>
              <w:widowControl/>
              <w:jc w:val="center"/>
              <w:rPr>
                <w:rFonts w:ascii="宋体" w:hAnsi="宋体" w:cs="宋体"/>
                <w:kern w:val="0"/>
                <w:sz w:val="18"/>
                <w:szCs w:val="18"/>
              </w:rPr>
            </w:pPr>
            <w:r>
              <w:rPr>
                <w:rFonts w:hint="eastAsia" w:ascii="宋体" w:hAnsi="宋体" w:cs="宋体"/>
                <w:kern w:val="0"/>
                <w:sz w:val="18"/>
                <w:szCs w:val="18"/>
              </w:rPr>
              <w:t>Y＜50</w:t>
            </w:r>
          </w:p>
        </w:tc>
      </w:tr>
      <w:tr w14:paraId="037A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C8705B9">
            <w:pPr>
              <w:widowControl/>
              <w:spacing w:line="24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14:paraId="48D520F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8A2948B">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5B9877F">
            <w:pPr>
              <w:widowControl/>
              <w:jc w:val="center"/>
              <w:rPr>
                <w:rFonts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24D34452">
            <w:pPr>
              <w:widowControl/>
              <w:jc w:val="center"/>
              <w:rPr>
                <w:rFonts w:ascii="宋体" w:hAnsi="宋体" w:cs="宋体"/>
                <w:kern w:val="0"/>
                <w:sz w:val="18"/>
                <w:szCs w:val="18"/>
              </w:rPr>
            </w:pPr>
            <w:r>
              <w:rPr>
                <w:rFonts w:hint="eastAsia" w:ascii="宋体" w:hAnsi="宋体" w:cs="宋体"/>
                <w:kern w:val="0"/>
                <w:sz w:val="18"/>
                <w:szCs w:val="18"/>
              </w:rPr>
              <w:t xml:space="preserve"> 1000≤Y＜200000</w:t>
            </w:r>
          </w:p>
        </w:tc>
        <w:tc>
          <w:tcPr>
            <w:tcW w:w="1426" w:type="dxa"/>
            <w:noWrap w:val="0"/>
            <w:vAlign w:val="center"/>
          </w:tcPr>
          <w:p w14:paraId="402BF57F">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noWrap w:val="0"/>
            <w:vAlign w:val="center"/>
          </w:tcPr>
          <w:p w14:paraId="44299348">
            <w:pPr>
              <w:widowControl/>
              <w:jc w:val="center"/>
              <w:rPr>
                <w:rFonts w:ascii="宋体" w:hAnsi="宋体" w:cs="宋体"/>
                <w:kern w:val="0"/>
                <w:sz w:val="18"/>
                <w:szCs w:val="18"/>
              </w:rPr>
            </w:pPr>
            <w:r>
              <w:rPr>
                <w:rFonts w:hint="eastAsia" w:ascii="宋体" w:hAnsi="宋体" w:cs="宋体"/>
                <w:kern w:val="0"/>
                <w:sz w:val="18"/>
                <w:szCs w:val="18"/>
              </w:rPr>
              <w:t>Y＜100</w:t>
            </w:r>
          </w:p>
        </w:tc>
      </w:tr>
      <w:tr w14:paraId="4F09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8B3656">
            <w:pPr>
              <w:widowControl/>
              <w:jc w:val="left"/>
              <w:rPr>
                <w:rFonts w:ascii="宋体" w:hAnsi="宋体" w:cs="宋体"/>
                <w:kern w:val="0"/>
                <w:sz w:val="18"/>
                <w:szCs w:val="18"/>
              </w:rPr>
            </w:pPr>
          </w:p>
        </w:tc>
        <w:tc>
          <w:tcPr>
            <w:tcW w:w="1369" w:type="dxa"/>
            <w:noWrap w:val="0"/>
            <w:vAlign w:val="center"/>
          </w:tcPr>
          <w:p w14:paraId="12DF2E82">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42AC8730">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7E85BF6">
            <w:pPr>
              <w:widowControl/>
              <w:jc w:val="center"/>
              <w:rPr>
                <w:rFonts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39B0053D">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2FA11047">
            <w:pPr>
              <w:widowControl/>
              <w:jc w:val="center"/>
              <w:rPr>
                <w:rFonts w:ascii="宋体" w:hAnsi="宋体" w:cs="宋体"/>
                <w:kern w:val="0"/>
                <w:sz w:val="18"/>
                <w:szCs w:val="18"/>
              </w:rPr>
            </w:pPr>
            <w:r>
              <w:rPr>
                <w:rFonts w:hint="eastAsia" w:ascii="宋体" w:hAnsi="宋体" w:cs="宋体"/>
                <w:kern w:val="0"/>
                <w:sz w:val="18"/>
                <w:szCs w:val="18"/>
              </w:rPr>
              <w:t xml:space="preserve">2000≤Z＜5000   </w:t>
            </w:r>
          </w:p>
        </w:tc>
        <w:tc>
          <w:tcPr>
            <w:tcW w:w="992" w:type="dxa"/>
            <w:noWrap w:val="0"/>
            <w:vAlign w:val="center"/>
          </w:tcPr>
          <w:p w14:paraId="6504A6F8">
            <w:pPr>
              <w:widowControl/>
              <w:jc w:val="center"/>
              <w:rPr>
                <w:rFonts w:ascii="宋体" w:hAnsi="宋体" w:cs="宋体"/>
                <w:kern w:val="0"/>
                <w:sz w:val="18"/>
                <w:szCs w:val="18"/>
              </w:rPr>
            </w:pPr>
            <w:r>
              <w:rPr>
                <w:rFonts w:hint="eastAsia" w:ascii="宋体" w:hAnsi="宋体" w:cs="宋体"/>
                <w:kern w:val="0"/>
                <w:sz w:val="18"/>
                <w:szCs w:val="18"/>
              </w:rPr>
              <w:t>Z＜2000</w:t>
            </w:r>
          </w:p>
        </w:tc>
      </w:tr>
      <w:tr w14:paraId="5A48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C05BBB7">
            <w:pPr>
              <w:widowControl/>
              <w:spacing w:line="24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14:paraId="0809C95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524613D1">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DF7BDA8">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2C173CC">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7DF5703D">
            <w:pPr>
              <w:widowControl/>
              <w:jc w:val="center"/>
              <w:rPr>
                <w:rFonts w:ascii="宋体" w:hAnsi="宋体" w:cs="宋体"/>
                <w:kern w:val="0"/>
                <w:sz w:val="18"/>
                <w:szCs w:val="18"/>
              </w:rPr>
            </w:pPr>
            <w:r>
              <w:rPr>
                <w:rFonts w:hint="eastAsia" w:ascii="宋体" w:hAnsi="宋体" w:cs="宋体"/>
                <w:kern w:val="0"/>
                <w:sz w:val="18"/>
                <w:szCs w:val="18"/>
              </w:rPr>
              <w:t xml:space="preserve">100≤X＜300 </w:t>
            </w:r>
          </w:p>
        </w:tc>
        <w:tc>
          <w:tcPr>
            <w:tcW w:w="992" w:type="dxa"/>
            <w:noWrap w:val="0"/>
            <w:vAlign w:val="center"/>
          </w:tcPr>
          <w:p w14:paraId="22DF172E">
            <w:pPr>
              <w:widowControl/>
              <w:jc w:val="center"/>
              <w:rPr>
                <w:rFonts w:ascii="宋体" w:hAnsi="宋体" w:cs="宋体"/>
                <w:kern w:val="0"/>
                <w:sz w:val="18"/>
                <w:szCs w:val="18"/>
              </w:rPr>
            </w:pPr>
            <w:r>
              <w:rPr>
                <w:rFonts w:hint="eastAsia" w:ascii="宋体" w:hAnsi="宋体" w:cs="宋体"/>
                <w:kern w:val="0"/>
                <w:sz w:val="18"/>
                <w:szCs w:val="18"/>
              </w:rPr>
              <w:t>X＜100</w:t>
            </w:r>
          </w:p>
        </w:tc>
      </w:tr>
      <w:tr w14:paraId="38F8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579282">
            <w:pPr>
              <w:widowControl/>
              <w:jc w:val="left"/>
              <w:rPr>
                <w:rFonts w:ascii="宋体" w:hAnsi="宋体" w:cs="宋体"/>
                <w:kern w:val="0"/>
                <w:sz w:val="18"/>
                <w:szCs w:val="18"/>
              </w:rPr>
            </w:pPr>
          </w:p>
        </w:tc>
        <w:tc>
          <w:tcPr>
            <w:tcW w:w="1369" w:type="dxa"/>
            <w:noWrap w:val="0"/>
            <w:vAlign w:val="center"/>
          </w:tcPr>
          <w:p w14:paraId="3B38B874">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F7E0C45">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F01B7B0">
            <w:pPr>
              <w:widowControl/>
              <w:jc w:val="center"/>
              <w:rPr>
                <w:rFonts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73727963">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1000≤Y＜5000 </w:t>
            </w:r>
          </w:p>
        </w:tc>
        <w:tc>
          <w:tcPr>
            <w:tcW w:w="1426" w:type="dxa"/>
            <w:noWrap w:val="0"/>
            <w:vAlign w:val="center"/>
          </w:tcPr>
          <w:p w14:paraId="725408A0">
            <w:pPr>
              <w:widowControl/>
              <w:jc w:val="center"/>
              <w:rPr>
                <w:rFonts w:ascii="宋体" w:hAnsi="宋体" w:cs="宋体"/>
                <w:kern w:val="0"/>
                <w:sz w:val="18"/>
                <w:szCs w:val="18"/>
              </w:rPr>
            </w:pPr>
            <w:r>
              <w:rPr>
                <w:rFonts w:hint="eastAsia" w:ascii="宋体" w:hAnsi="宋体" w:cs="宋体"/>
                <w:kern w:val="0"/>
                <w:sz w:val="18"/>
                <w:szCs w:val="18"/>
              </w:rPr>
              <w:t xml:space="preserve"> 500≤Y＜1000</w:t>
            </w:r>
          </w:p>
        </w:tc>
        <w:tc>
          <w:tcPr>
            <w:tcW w:w="992" w:type="dxa"/>
            <w:noWrap w:val="0"/>
            <w:vAlign w:val="center"/>
          </w:tcPr>
          <w:p w14:paraId="11A204E8">
            <w:pPr>
              <w:widowControl/>
              <w:jc w:val="center"/>
              <w:rPr>
                <w:rFonts w:ascii="宋体" w:hAnsi="宋体" w:cs="宋体"/>
                <w:kern w:val="0"/>
                <w:sz w:val="18"/>
                <w:szCs w:val="18"/>
              </w:rPr>
            </w:pPr>
            <w:r>
              <w:rPr>
                <w:rFonts w:hint="eastAsia" w:ascii="宋体" w:hAnsi="宋体" w:cs="宋体"/>
                <w:kern w:val="0"/>
                <w:sz w:val="18"/>
                <w:szCs w:val="18"/>
              </w:rPr>
              <w:t>Y＜500</w:t>
            </w:r>
          </w:p>
        </w:tc>
      </w:tr>
      <w:tr w14:paraId="624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0ECD012">
            <w:pPr>
              <w:widowControl/>
              <w:spacing w:line="24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14:paraId="11363CF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9DD9D1E">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C7F29A6">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40FBE00B">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21F3602E">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62FB7E8D">
            <w:pPr>
              <w:widowControl/>
              <w:jc w:val="center"/>
              <w:rPr>
                <w:rFonts w:ascii="宋体" w:hAnsi="宋体" w:cs="宋体"/>
                <w:kern w:val="0"/>
                <w:sz w:val="18"/>
                <w:szCs w:val="18"/>
              </w:rPr>
            </w:pPr>
            <w:r>
              <w:rPr>
                <w:rFonts w:hint="eastAsia" w:ascii="宋体" w:hAnsi="宋体" w:cs="宋体"/>
                <w:kern w:val="0"/>
                <w:sz w:val="18"/>
                <w:szCs w:val="18"/>
              </w:rPr>
              <w:t>X＜10</w:t>
            </w:r>
          </w:p>
        </w:tc>
      </w:tr>
      <w:tr w14:paraId="6EAB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242DEB">
            <w:pPr>
              <w:widowControl/>
              <w:jc w:val="left"/>
              <w:rPr>
                <w:rFonts w:ascii="宋体" w:hAnsi="宋体" w:cs="宋体"/>
                <w:kern w:val="0"/>
                <w:sz w:val="18"/>
                <w:szCs w:val="18"/>
              </w:rPr>
            </w:pPr>
          </w:p>
        </w:tc>
        <w:tc>
          <w:tcPr>
            <w:tcW w:w="1369" w:type="dxa"/>
            <w:noWrap w:val="0"/>
            <w:vAlign w:val="center"/>
          </w:tcPr>
          <w:p w14:paraId="32FC58B2">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5F76470B">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B90BF7A">
            <w:pPr>
              <w:widowControl/>
              <w:jc w:val="center"/>
              <w:rPr>
                <w:rFonts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0FF6F678">
            <w:pPr>
              <w:widowControl/>
              <w:jc w:val="center"/>
              <w:rPr>
                <w:rFonts w:ascii="宋体" w:hAnsi="宋体" w:cs="宋体"/>
                <w:kern w:val="0"/>
                <w:sz w:val="18"/>
                <w:szCs w:val="18"/>
              </w:rPr>
            </w:pPr>
            <w:r>
              <w:rPr>
                <w:rFonts w:hint="eastAsia" w:ascii="宋体" w:hAnsi="宋体" w:cs="宋体"/>
                <w:kern w:val="0"/>
                <w:sz w:val="18"/>
                <w:szCs w:val="18"/>
              </w:rPr>
              <w:t xml:space="preserve"> 8000≤Z＜120000</w:t>
            </w:r>
          </w:p>
        </w:tc>
        <w:tc>
          <w:tcPr>
            <w:tcW w:w="1426" w:type="dxa"/>
            <w:noWrap w:val="0"/>
            <w:vAlign w:val="center"/>
          </w:tcPr>
          <w:p w14:paraId="2798AAB4">
            <w:pPr>
              <w:widowControl/>
              <w:jc w:val="center"/>
              <w:rPr>
                <w:rFonts w:ascii="宋体" w:hAnsi="宋体" w:cs="宋体"/>
                <w:kern w:val="0"/>
                <w:sz w:val="18"/>
                <w:szCs w:val="18"/>
              </w:rPr>
            </w:pPr>
            <w:r>
              <w:rPr>
                <w:rFonts w:hint="eastAsia" w:ascii="宋体" w:hAnsi="宋体" w:cs="宋体"/>
                <w:kern w:val="0"/>
                <w:sz w:val="18"/>
                <w:szCs w:val="18"/>
              </w:rPr>
              <w:t xml:space="preserve"> 100≤Z＜8000</w:t>
            </w:r>
          </w:p>
        </w:tc>
        <w:tc>
          <w:tcPr>
            <w:tcW w:w="992" w:type="dxa"/>
            <w:noWrap w:val="0"/>
            <w:vAlign w:val="center"/>
          </w:tcPr>
          <w:p w14:paraId="28CDDAD7">
            <w:pPr>
              <w:widowControl/>
              <w:jc w:val="center"/>
              <w:rPr>
                <w:rFonts w:ascii="宋体" w:hAnsi="宋体" w:cs="宋体"/>
                <w:kern w:val="0"/>
                <w:sz w:val="18"/>
                <w:szCs w:val="18"/>
              </w:rPr>
            </w:pPr>
            <w:r>
              <w:rPr>
                <w:rFonts w:hint="eastAsia" w:ascii="宋体" w:hAnsi="宋体" w:cs="宋体"/>
                <w:kern w:val="0"/>
                <w:sz w:val="18"/>
                <w:szCs w:val="18"/>
              </w:rPr>
              <w:t>Z＜100</w:t>
            </w:r>
          </w:p>
        </w:tc>
      </w:tr>
      <w:tr w14:paraId="64CA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8B90B3">
            <w:pPr>
              <w:widowControl/>
              <w:spacing w:line="24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14:paraId="7A93B39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31A9B11">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6ABE621">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1734838">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2ED0DD8B">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noWrap w:val="0"/>
            <w:vAlign w:val="center"/>
          </w:tcPr>
          <w:p w14:paraId="514F9E01">
            <w:pPr>
              <w:widowControl/>
              <w:jc w:val="center"/>
              <w:rPr>
                <w:rFonts w:ascii="宋体" w:hAnsi="宋体" w:cs="宋体"/>
                <w:kern w:val="0"/>
                <w:sz w:val="18"/>
                <w:szCs w:val="18"/>
              </w:rPr>
            </w:pPr>
            <w:r>
              <w:rPr>
                <w:rFonts w:hint="eastAsia" w:ascii="宋体" w:hAnsi="宋体" w:cs="宋体"/>
                <w:kern w:val="0"/>
                <w:sz w:val="18"/>
                <w:szCs w:val="18"/>
              </w:rPr>
              <w:t>X＜10</w:t>
            </w:r>
          </w:p>
        </w:tc>
      </w:tr>
    </w:tbl>
    <w:p w14:paraId="76695CCC">
      <w:pPr>
        <w:widowControl/>
        <w:spacing w:line="540" w:lineRule="exact"/>
        <w:jc w:val="left"/>
        <w:rPr>
          <w:rFonts w:ascii="宋体" w:hAnsi="宋体"/>
          <w:szCs w:val="21"/>
        </w:rPr>
      </w:pPr>
      <w:r>
        <w:rPr>
          <w:rFonts w:hint="eastAsia" w:ascii="宋体" w:hAnsi="宋体"/>
          <w:szCs w:val="21"/>
        </w:rPr>
        <w:t>说明：</w:t>
      </w:r>
    </w:p>
    <w:p w14:paraId="116A28BF">
      <w:pPr>
        <w:spacing w:line="540" w:lineRule="exact"/>
        <w:jc w:val="left"/>
        <w:rPr>
          <w:rFonts w:ascii="宋体" w:hAnsi="宋体"/>
          <w:szCs w:val="21"/>
        </w:rPr>
      </w:pPr>
      <w:r>
        <w:rPr>
          <w:rFonts w:hint="eastAsia" w:ascii="宋体" w:hAnsi="宋体"/>
          <w:szCs w:val="21"/>
        </w:rPr>
        <w:t>　　1.大型、中型和小型企业须同时满足所列指标的下限，否则下划一档；微型企业只须满足所列指标中的一项即可。</w:t>
      </w:r>
    </w:p>
    <w:p w14:paraId="4A3A7AC8">
      <w:pPr>
        <w:spacing w:line="540" w:lineRule="exact"/>
        <w:jc w:val="left"/>
        <w:rPr>
          <w:rFonts w:ascii="宋体" w:hAnsi="宋体"/>
          <w:szCs w:val="21"/>
        </w:rPr>
      </w:pPr>
      <w:r>
        <w:rPr>
          <w:rFonts w:hint="eastAsia" w:ascii="宋体" w:hAnsi="宋体"/>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8A47AD">
      <w:pPr>
        <w:spacing w:line="540" w:lineRule="exact"/>
        <w:ind w:firstLine="420" w:firstLineChars="200"/>
        <w:jc w:val="left"/>
        <w:rPr>
          <w:sz w:val="24"/>
          <w:szCs w:val="20"/>
        </w:rPr>
      </w:pPr>
      <w:r>
        <w:rPr>
          <w:rFonts w:hint="eastAsia" w:ascii="宋体" w:hAns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DB7628E">
      <w:pPr>
        <w:spacing w:line="360" w:lineRule="auto"/>
        <w:rPr>
          <w:sz w:val="24"/>
          <w:szCs w:val="20"/>
        </w:rPr>
      </w:pPr>
      <w:r>
        <w:rPr>
          <w:sz w:val="24"/>
          <w:szCs w:val="20"/>
        </w:rPr>
        <w:br w:type="page"/>
      </w:r>
    </w:p>
    <w:p w14:paraId="6F6D8A99">
      <w:pPr>
        <w:spacing w:before="240" w:beforeLines="100" w:after="240" w:afterLines="100" w:line="360" w:lineRule="auto"/>
        <w:jc w:val="center"/>
        <w:rPr>
          <w:b/>
          <w:sz w:val="36"/>
          <w:szCs w:val="36"/>
        </w:rPr>
      </w:pPr>
      <w:r>
        <w:rPr>
          <w:b/>
          <w:bCs/>
          <w:sz w:val="36"/>
          <w:szCs w:val="36"/>
        </w:rPr>
        <w:t>残疾人福利性单位声明函格式</w:t>
      </w:r>
    </w:p>
    <w:p w14:paraId="74AE1CC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2EA6F837">
      <w:pPr>
        <w:spacing w:line="588" w:lineRule="exact"/>
        <w:ind w:firstLine="482"/>
        <w:rPr>
          <w:b/>
          <w:spacing w:val="6"/>
          <w:sz w:val="24"/>
        </w:rPr>
      </w:pPr>
      <w:r>
        <w:rPr>
          <w:b/>
          <w:sz w:val="24"/>
        </w:rPr>
        <w:t>□</w:t>
      </w:r>
      <w:r>
        <w:rPr>
          <w:b/>
          <w:spacing w:val="6"/>
          <w:sz w:val="24"/>
        </w:rPr>
        <w:t>不属于符合条件的残疾人福利性单位。</w:t>
      </w:r>
    </w:p>
    <w:p w14:paraId="31C81AE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269E7954">
      <w:pPr>
        <w:spacing w:line="588" w:lineRule="exact"/>
        <w:ind w:firstLine="506" w:firstLineChars="200"/>
        <w:rPr>
          <w:spacing w:val="6"/>
          <w:sz w:val="24"/>
        </w:rPr>
      </w:pPr>
      <w:r>
        <w:rPr>
          <w:b/>
          <w:spacing w:val="6"/>
          <w:sz w:val="24"/>
        </w:rPr>
        <w:t>本单位对上述声明的真实性负责。如有虚假，将依法承担相应责任。</w:t>
      </w:r>
    </w:p>
    <w:p w14:paraId="5E72BD4E">
      <w:pPr>
        <w:spacing w:line="588" w:lineRule="exact"/>
        <w:ind w:firstLine="504" w:firstLineChars="200"/>
        <w:rPr>
          <w:spacing w:val="6"/>
          <w:sz w:val="24"/>
        </w:rPr>
      </w:pPr>
    </w:p>
    <w:p w14:paraId="3FA6BCD5">
      <w:pPr>
        <w:spacing w:line="588" w:lineRule="exact"/>
        <w:ind w:firstLine="504" w:firstLineChars="200"/>
        <w:rPr>
          <w:spacing w:val="6"/>
          <w:sz w:val="24"/>
        </w:rPr>
      </w:pPr>
    </w:p>
    <w:p w14:paraId="596DE6C2">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26437F83">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19DE4F1">
      <w:pPr>
        <w:widowControl/>
        <w:jc w:val="left"/>
        <w:rPr>
          <w:sz w:val="24"/>
          <w:szCs w:val="20"/>
        </w:rPr>
      </w:pPr>
      <w:r>
        <w:rPr>
          <w:sz w:val="24"/>
          <w:szCs w:val="20"/>
        </w:rPr>
        <w:br w:type="page"/>
      </w:r>
    </w:p>
    <w:p w14:paraId="07BE4C7D">
      <w:pPr>
        <w:spacing w:line="360" w:lineRule="auto"/>
        <w:outlineLvl w:val="2"/>
        <w:rPr>
          <w:sz w:val="24"/>
          <w:szCs w:val="20"/>
        </w:rPr>
      </w:pPr>
      <w:r>
        <w:rPr>
          <w:sz w:val="24"/>
          <w:szCs w:val="20"/>
        </w:rPr>
        <w:t>2-1-1拟分包情况说明及分包意向协议</w:t>
      </w:r>
    </w:p>
    <w:p w14:paraId="268EE0B1">
      <w:pPr>
        <w:pStyle w:val="19"/>
        <w:ind w:firstLine="0"/>
        <w:rPr>
          <w:rFonts w:hint="eastAsia"/>
        </w:rPr>
      </w:pPr>
      <w:r>
        <w:rPr>
          <w:rFonts w:hint="eastAsia"/>
        </w:rPr>
        <w:t>说明：</w:t>
      </w:r>
    </w:p>
    <w:p w14:paraId="4EE1B478">
      <w:pPr>
        <w:pStyle w:val="19"/>
        <w:ind w:firstLine="0"/>
        <w:rPr>
          <w:rFonts w:hint="eastAsia"/>
        </w:rPr>
      </w:pPr>
      <w:r>
        <w:rPr>
          <w:rFonts w:hint="eastAsia"/>
        </w:rPr>
        <w:t>如本项目（包）允许分包，且供应商拟进行分包时，</w:t>
      </w:r>
    </w:p>
    <w:p w14:paraId="6FF32B11">
      <w:pPr>
        <w:pStyle w:val="19"/>
        <w:ind w:firstLine="0"/>
        <w:rPr>
          <w:rFonts w:hint="eastAsia"/>
        </w:rPr>
      </w:pPr>
      <w:r>
        <w:rPr>
          <w:rFonts w:hint="eastAsia"/>
        </w:rPr>
        <w:t>（1）响应文件中须提供《拟分包情况说明》，否则</w:t>
      </w:r>
      <w:r>
        <w:rPr>
          <w:rFonts w:hint="eastAsia"/>
          <w:b/>
          <w:bCs/>
        </w:rPr>
        <w:t>响应无效</w:t>
      </w:r>
      <w:r>
        <w:rPr>
          <w:rFonts w:hint="eastAsia"/>
        </w:rPr>
        <w:t>；</w:t>
      </w:r>
    </w:p>
    <w:p w14:paraId="7FDDE9F4">
      <w:pPr>
        <w:pStyle w:val="19"/>
        <w:ind w:firstLine="0"/>
        <w:rPr>
          <w:rFonts w:hint="eastAsia"/>
        </w:rPr>
      </w:pPr>
      <w:r>
        <w:rPr>
          <w:rFonts w:hint="eastAsia"/>
        </w:rPr>
        <w:t>（2）当同时符合下列情形时，响应文件还须提供《分包意向协议》，否则</w:t>
      </w:r>
      <w:r>
        <w:rPr>
          <w:rFonts w:hint="eastAsia"/>
          <w:b/>
          <w:bCs/>
        </w:rPr>
        <w:t>响应无效</w:t>
      </w:r>
      <w:r>
        <w:rPr>
          <w:rFonts w:hint="eastAsia"/>
        </w:rPr>
        <w:t>：</w:t>
      </w:r>
    </w:p>
    <w:p w14:paraId="596E755F">
      <w:pPr>
        <w:pStyle w:val="19"/>
        <w:ind w:firstLine="0"/>
        <w:rPr>
          <w:rFonts w:hint="eastAsia"/>
        </w:rPr>
      </w:pPr>
      <w:r>
        <w:rPr>
          <w:rFonts w:hint="eastAsia"/>
        </w:rPr>
        <w:t>A. 本项目（包）预留部分采购项目预算专门面向中小企业采购，且要求获得采购合同的供应商将采购项目中的一定比例分包给一家或者多家中小企业的；</w:t>
      </w:r>
    </w:p>
    <w:p w14:paraId="2C007B84">
      <w:pPr>
        <w:pStyle w:val="19"/>
        <w:ind w:firstLine="0"/>
        <w:rPr>
          <w:rFonts w:hint="eastAsia"/>
        </w:rPr>
      </w:pPr>
      <w:r>
        <w:rPr>
          <w:rFonts w:hint="eastAsia"/>
        </w:rPr>
        <w:t>B. 供应商通过分包方式满足中小企业政策要求的。</w:t>
      </w:r>
    </w:p>
    <w:p w14:paraId="454B321A">
      <w:pPr>
        <w:pStyle w:val="19"/>
        <w:ind w:firstLine="0"/>
      </w:pPr>
      <w:r>
        <w:rPr>
          <w:rFonts w:hint="eastAsia"/>
        </w:rPr>
        <w:t>（3）不属于上述情形时，无须提供《拟分包情况说明》及《分包意向协议》。</w:t>
      </w:r>
    </w:p>
    <w:p w14:paraId="68B51F73">
      <w:pPr>
        <w:autoSpaceDE w:val="0"/>
        <w:autoSpaceDN w:val="0"/>
        <w:adjustRightInd w:val="0"/>
        <w:jc w:val="center"/>
        <w:rPr>
          <w:sz w:val="30"/>
          <w:szCs w:val="30"/>
        </w:rPr>
      </w:pPr>
    </w:p>
    <w:p w14:paraId="4DCF065F">
      <w:pPr>
        <w:autoSpaceDE w:val="0"/>
        <w:autoSpaceDN w:val="0"/>
        <w:adjustRightInd w:val="0"/>
        <w:spacing w:line="360" w:lineRule="auto"/>
        <w:jc w:val="center"/>
        <w:rPr>
          <w:b/>
          <w:sz w:val="36"/>
          <w:szCs w:val="36"/>
        </w:rPr>
      </w:pPr>
      <w:r>
        <w:rPr>
          <w:rFonts w:hint="eastAsia"/>
          <w:b/>
          <w:sz w:val="36"/>
          <w:szCs w:val="36"/>
        </w:rPr>
        <w:br w:type="page"/>
      </w:r>
      <w:r>
        <w:rPr>
          <w:rFonts w:hint="eastAsia"/>
          <w:b/>
          <w:sz w:val="36"/>
          <w:szCs w:val="36"/>
        </w:rPr>
        <w:t>拟分包情况说明</w:t>
      </w:r>
    </w:p>
    <w:p w14:paraId="6E3EFFB5">
      <w:pPr>
        <w:tabs>
          <w:tab w:val="left" w:pos="5580"/>
        </w:tabs>
        <w:spacing w:line="360" w:lineRule="auto"/>
        <w:rPr>
          <w:sz w:val="24"/>
        </w:rPr>
      </w:pPr>
      <w:r>
        <w:rPr>
          <w:sz w:val="24"/>
        </w:rPr>
        <w:t>致：</w:t>
      </w:r>
      <w:r>
        <w:rPr>
          <w:sz w:val="24"/>
          <w:u w:val="single"/>
        </w:rPr>
        <w:t>（采购人或采购代理机构）</w:t>
      </w:r>
    </w:p>
    <w:p w14:paraId="3D5D276B">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6"/>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6EF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9A522C">
            <w:pPr>
              <w:pStyle w:val="251"/>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72CA054">
            <w:pPr>
              <w:pStyle w:val="251"/>
              <w:jc w:val="center"/>
              <w:rPr>
                <w:sz w:val="24"/>
              </w:rPr>
            </w:pPr>
            <w:r>
              <w:rPr>
                <w:rFonts w:hint="eastAsia"/>
                <w:sz w:val="24"/>
              </w:rPr>
              <w:t>分包承担</w:t>
            </w:r>
          </w:p>
          <w:p w14:paraId="44A58848">
            <w:pPr>
              <w:pStyle w:val="251"/>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580CB1B">
            <w:pPr>
              <w:pStyle w:val="251"/>
              <w:jc w:val="center"/>
              <w:rPr>
                <w:sz w:val="24"/>
                <w:lang w:eastAsia="zh-CN"/>
              </w:rPr>
            </w:pPr>
            <w:r>
              <w:rPr>
                <w:rFonts w:hint="eastAsia"/>
                <w:sz w:val="24"/>
                <w:lang w:eastAsia="zh-CN"/>
              </w:rPr>
              <w:t>分包承担</w:t>
            </w:r>
          </w:p>
          <w:p w14:paraId="381682CF">
            <w:pPr>
              <w:pStyle w:val="251"/>
              <w:jc w:val="center"/>
              <w:rPr>
                <w:sz w:val="24"/>
                <w:lang w:eastAsia="zh-CN"/>
              </w:rPr>
            </w:pPr>
            <w:r>
              <w:rPr>
                <w:rFonts w:hint="eastAsia"/>
                <w:sz w:val="24"/>
                <w:lang w:eastAsia="zh-CN"/>
              </w:rPr>
              <w:t>主体类型</w:t>
            </w:r>
          </w:p>
          <w:p w14:paraId="50B5686A">
            <w:pPr>
              <w:pStyle w:val="251"/>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EF274F">
            <w:pPr>
              <w:pStyle w:val="251"/>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4B26AA9">
            <w:pPr>
              <w:pStyle w:val="251"/>
              <w:jc w:val="center"/>
              <w:rPr>
                <w:sz w:val="24"/>
              </w:rPr>
            </w:pPr>
            <w:r>
              <w:rPr>
                <w:rFonts w:hint="eastAsia"/>
                <w:sz w:val="24"/>
              </w:rPr>
              <w:t>拟分包</w:t>
            </w:r>
          </w:p>
          <w:p w14:paraId="200B26D0">
            <w:pPr>
              <w:pStyle w:val="251"/>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38D2C40">
            <w:pPr>
              <w:pStyle w:val="251"/>
              <w:jc w:val="center"/>
              <w:rPr>
                <w:sz w:val="24"/>
                <w:lang w:eastAsia="zh-CN"/>
              </w:rPr>
            </w:pPr>
            <w:r>
              <w:rPr>
                <w:rFonts w:hint="eastAsia"/>
                <w:sz w:val="24"/>
                <w:lang w:eastAsia="zh-CN"/>
              </w:rPr>
              <w:t>拟分包</w:t>
            </w:r>
          </w:p>
          <w:p w14:paraId="3085C8F4">
            <w:pPr>
              <w:pStyle w:val="251"/>
              <w:jc w:val="center"/>
              <w:rPr>
                <w:sz w:val="24"/>
                <w:lang w:eastAsia="zh-CN"/>
              </w:rPr>
            </w:pPr>
            <w:r>
              <w:rPr>
                <w:rFonts w:hint="eastAsia"/>
                <w:sz w:val="24"/>
                <w:lang w:eastAsia="zh-CN"/>
              </w:rPr>
              <w:t>合同金额</w:t>
            </w:r>
          </w:p>
          <w:p w14:paraId="408C3535">
            <w:pPr>
              <w:pStyle w:val="251"/>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1307845">
            <w:pPr>
              <w:pStyle w:val="251"/>
              <w:jc w:val="center"/>
              <w:rPr>
                <w:sz w:val="24"/>
                <w:lang w:eastAsia="zh-CN"/>
              </w:rPr>
            </w:pPr>
            <w:r>
              <w:rPr>
                <w:rFonts w:hint="eastAsia"/>
                <w:sz w:val="24"/>
                <w:lang w:eastAsia="zh-CN"/>
              </w:rPr>
              <w:t>占该采购包</w:t>
            </w:r>
          </w:p>
          <w:p w14:paraId="59402909">
            <w:pPr>
              <w:pStyle w:val="251"/>
              <w:jc w:val="center"/>
              <w:rPr>
                <w:b/>
                <w:sz w:val="24"/>
                <w:lang w:eastAsia="zh-CN"/>
              </w:rPr>
            </w:pPr>
            <w:r>
              <w:rPr>
                <w:rFonts w:hint="eastAsia"/>
                <w:b/>
                <w:sz w:val="24"/>
                <w:lang w:eastAsia="zh-CN"/>
              </w:rPr>
              <w:t>合同金额的</w:t>
            </w:r>
          </w:p>
          <w:p w14:paraId="51BF65DC">
            <w:pPr>
              <w:pStyle w:val="251"/>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4A398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268F6B">
            <w:pPr>
              <w:pStyle w:val="251"/>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230DD9B">
            <w:pPr>
              <w:pStyle w:val="251"/>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D74AB8D">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51AA209B">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A97E1C">
            <w:pPr>
              <w:pStyle w:val="2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D085E6F">
            <w:pPr>
              <w:pStyle w:val="2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B6EAD59">
            <w:pPr>
              <w:pStyle w:val="2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C5D9204">
            <w:pPr>
              <w:pStyle w:val="251"/>
              <w:jc w:val="center"/>
              <w:rPr>
                <w:rFonts w:ascii="Times New Roman"/>
                <w:sz w:val="30"/>
                <w:lang w:eastAsia="zh-CN"/>
              </w:rPr>
            </w:pPr>
          </w:p>
        </w:tc>
      </w:tr>
      <w:tr w14:paraId="5C0C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BDF3F6">
            <w:pPr>
              <w:pStyle w:val="251"/>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7D94537">
            <w:pPr>
              <w:pStyle w:val="2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635344">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6189719">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7A09F9">
            <w:pPr>
              <w:pStyle w:val="2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E091D34">
            <w:pPr>
              <w:pStyle w:val="2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239DFFC">
            <w:pPr>
              <w:pStyle w:val="2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0B9958">
            <w:pPr>
              <w:pStyle w:val="251"/>
              <w:jc w:val="center"/>
              <w:rPr>
                <w:rFonts w:ascii="Times New Roman"/>
                <w:sz w:val="30"/>
                <w:lang w:eastAsia="zh-CN"/>
              </w:rPr>
            </w:pPr>
          </w:p>
        </w:tc>
      </w:tr>
      <w:tr w14:paraId="264F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491A19">
            <w:pPr>
              <w:pStyle w:val="251"/>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3255CBB">
            <w:pPr>
              <w:pStyle w:val="2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439A1B8">
            <w:pPr>
              <w:pStyle w:val="251"/>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25195F">
            <w:pPr>
              <w:pStyle w:val="251"/>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62CFAB3">
            <w:pPr>
              <w:pStyle w:val="251"/>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0AFA70C">
            <w:pPr>
              <w:pStyle w:val="2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55A8E56">
            <w:pPr>
              <w:pStyle w:val="251"/>
              <w:jc w:val="center"/>
              <w:rPr>
                <w:rFonts w:ascii="Times New Roman"/>
                <w:sz w:val="30"/>
              </w:rPr>
            </w:pPr>
          </w:p>
        </w:tc>
      </w:tr>
      <w:tr w14:paraId="6D7B3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6E6A0F2D">
            <w:pPr>
              <w:pStyle w:val="251"/>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7454C60">
            <w:pPr>
              <w:pStyle w:val="2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F2985E8">
            <w:pPr>
              <w:pStyle w:val="251"/>
              <w:jc w:val="center"/>
              <w:rPr>
                <w:rFonts w:ascii="Times New Roman"/>
                <w:sz w:val="30"/>
              </w:rPr>
            </w:pPr>
          </w:p>
        </w:tc>
      </w:tr>
    </w:tbl>
    <w:p w14:paraId="3FE6D258">
      <w:pPr>
        <w:adjustRightInd w:val="0"/>
        <w:snapToGrid w:val="0"/>
        <w:spacing w:line="360" w:lineRule="auto"/>
        <w:jc w:val="left"/>
        <w:rPr>
          <w:sz w:val="24"/>
        </w:rPr>
      </w:pPr>
    </w:p>
    <w:p w14:paraId="294ECECF">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56177C9F">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7B585613">
      <w:pPr>
        <w:adjustRightInd w:val="0"/>
        <w:snapToGrid w:val="0"/>
        <w:spacing w:line="360" w:lineRule="auto"/>
        <w:jc w:val="left"/>
        <w:rPr>
          <w:sz w:val="24"/>
        </w:rPr>
      </w:pPr>
    </w:p>
    <w:p w14:paraId="54F779A2">
      <w:pPr>
        <w:adjustRightInd w:val="0"/>
        <w:snapToGrid w:val="0"/>
        <w:spacing w:line="360" w:lineRule="auto"/>
        <w:jc w:val="left"/>
        <w:rPr>
          <w:sz w:val="24"/>
        </w:rPr>
      </w:pPr>
      <w:r>
        <w:rPr>
          <w:sz w:val="24"/>
        </w:rPr>
        <w:t>说明：</w:t>
      </w:r>
    </w:p>
    <w:p w14:paraId="65CF3445">
      <w:pPr>
        <w:adjustRightInd w:val="0"/>
        <w:snapToGrid w:val="0"/>
        <w:spacing w:line="360" w:lineRule="auto"/>
        <w:jc w:val="left"/>
        <w:rPr>
          <w:rFonts w:hint="eastAsia"/>
          <w:sz w:val="24"/>
        </w:rPr>
      </w:pPr>
      <w:r>
        <w:rPr>
          <w:sz w:val="24"/>
        </w:rPr>
        <w:t>（1）</w:t>
      </w:r>
      <w:r>
        <w:rPr>
          <w:rFonts w:hint="eastAsia"/>
          <w:sz w:val="24"/>
        </w:rPr>
        <w:t>当供应商属于本部分说明中第（1）类情形，如未提供《拟分包情况说明》，或提供了《拟分包情况说明》但未填写分包承担主体名称、拟分包合同内容、拟分包合同金</w:t>
      </w:r>
    </w:p>
    <w:p w14:paraId="2CF7B198">
      <w:pPr>
        <w:adjustRightInd w:val="0"/>
        <w:snapToGrid w:val="0"/>
        <w:spacing w:line="360" w:lineRule="auto"/>
        <w:jc w:val="left"/>
        <w:rPr>
          <w:sz w:val="24"/>
        </w:rPr>
      </w:pPr>
      <w:r>
        <w:rPr>
          <w:rFonts w:hint="eastAsia"/>
          <w:sz w:val="24"/>
        </w:rPr>
        <w:t>额，其</w:t>
      </w:r>
      <w:r>
        <w:rPr>
          <w:rFonts w:hint="eastAsia"/>
          <w:b/>
          <w:bCs/>
          <w:sz w:val="24"/>
        </w:rPr>
        <w:t>响应无效</w:t>
      </w:r>
      <w:r>
        <w:rPr>
          <w:rFonts w:hint="eastAsia"/>
          <w:sz w:val="24"/>
        </w:rPr>
        <w:t>；</w:t>
      </w:r>
    </w:p>
    <w:p w14:paraId="42E88B59">
      <w:pPr>
        <w:adjustRightInd w:val="0"/>
        <w:snapToGrid w:val="0"/>
        <w:spacing w:line="360" w:lineRule="auto"/>
        <w:jc w:val="left"/>
        <w:rPr>
          <w:rFonts w:hint="eastAsia"/>
          <w:sz w:val="24"/>
        </w:rPr>
      </w:pPr>
      <w:r>
        <w:rPr>
          <w:sz w:val="24"/>
        </w:rPr>
        <w:t>（2）</w:t>
      </w:r>
      <w:r>
        <w:rPr>
          <w:rFonts w:hint="eastAsia"/>
          <w:sz w:val="24"/>
        </w:rPr>
        <w:t>当供应商属于本部分说明中第（2）类情形，如未提供《拟分包情况说明》，或提供了《拟分包情况说明》但未填写分包承担主体名称、分包承担主体类型、拟分包合同</w:t>
      </w:r>
    </w:p>
    <w:p w14:paraId="576D37AD">
      <w:pPr>
        <w:adjustRightInd w:val="0"/>
        <w:snapToGrid w:val="0"/>
        <w:spacing w:line="360" w:lineRule="auto"/>
        <w:jc w:val="left"/>
        <w:rPr>
          <w:sz w:val="24"/>
        </w:rPr>
      </w:pPr>
      <w:r>
        <w:rPr>
          <w:rFonts w:hint="eastAsia"/>
          <w:sz w:val="24"/>
        </w:rPr>
        <w:t>内容、拟分包合同金额，其</w:t>
      </w:r>
      <w:r>
        <w:rPr>
          <w:rFonts w:hint="eastAsia"/>
          <w:b/>
          <w:bCs/>
          <w:sz w:val="24"/>
        </w:rPr>
        <w:t>响应无效</w:t>
      </w:r>
      <w:r>
        <w:rPr>
          <w:rFonts w:hint="eastAsia"/>
          <w:sz w:val="24"/>
        </w:rPr>
        <w:t>；</w:t>
      </w:r>
    </w:p>
    <w:p w14:paraId="53688C2B">
      <w:pPr>
        <w:adjustRightInd w:val="0"/>
        <w:snapToGrid w:val="0"/>
        <w:spacing w:line="360" w:lineRule="auto"/>
        <w:jc w:val="left"/>
        <w:rPr>
          <w:rFonts w:hint="eastAsia"/>
          <w:sz w:val="24"/>
        </w:rPr>
      </w:pPr>
      <w:r>
        <w:rPr>
          <w:sz w:val="24"/>
        </w:rPr>
        <w:t>（3）</w:t>
      </w:r>
      <w:r>
        <w:rPr>
          <w:rFonts w:hint="eastAsia"/>
          <w:sz w:val="24"/>
        </w:rPr>
        <w:t>如本采购文件《供应商须知资料表》载明本项目分包承担主体应具备的相应资质</w:t>
      </w:r>
    </w:p>
    <w:p w14:paraId="6B75F1F6">
      <w:pPr>
        <w:adjustRightInd w:val="0"/>
        <w:snapToGrid w:val="0"/>
        <w:spacing w:line="360" w:lineRule="auto"/>
        <w:jc w:val="left"/>
        <w:rPr>
          <w:rFonts w:hint="eastAsia"/>
          <w:sz w:val="24"/>
        </w:rPr>
      </w:pPr>
      <w:r>
        <w:rPr>
          <w:rFonts w:hint="eastAsia"/>
          <w:sz w:val="24"/>
        </w:rPr>
        <w:t>条件，则供应商须在本表中列明分包承担主体的资质等级，并后附资质证书，否</w:t>
      </w:r>
    </w:p>
    <w:p w14:paraId="695BE297">
      <w:pPr>
        <w:adjustRightInd w:val="0"/>
        <w:snapToGrid w:val="0"/>
        <w:spacing w:line="360" w:lineRule="auto"/>
        <w:jc w:val="left"/>
        <w:rPr>
          <w:sz w:val="30"/>
          <w:szCs w:val="30"/>
        </w:rPr>
      </w:pPr>
      <w:r>
        <w:rPr>
          <w:rFonts w:hint="eastAsia"/>
          <w:sz w:val="24"/>
        </w:rPr>
        <w:t>则</w:t>
      </w:r>
      <w:r>
        <w:rPr>
          <w:rFonts w:hint="eastAsia"/>
          <w:b/>
          <w:bCs/>
          <w:sz w:val="24"/>
        </w:rPr>
        <w:t>响应无效</w:t>
      </w:r>
      <w:r>
        <w:rPr>
          <w:rFonts w:hint="eastAsia"/>
          <w:sz w:val="24"/>
        </w:rPr>
        <w:t>。</w:t>
      </w:r>
    </w:p>
    <w:p w14:paraId="211C2EB4">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6043EEF6">
      <w:pPr>
        <w:adjustRightInd w:val="0"/>
        <w:snapToGrid w:val="0"/>
        <w:spacing w:line="360" w:lineRule="auto"/>
        <w:ind w:firstLine="480" w:firstLineChars="200"/>
        <w:jc w:val="left"/>
        <w:rPr>
          <w:sz w:val="24"/>
        </w:rPr>
      </w:pPr>
      <w:r>
        <w:rPr>
          <w:sz w:val="24"/>
        </w:rPr>
        <w:t>甲方（供应商）：______</w:t>
      </w:r>
    </w:p>
    <w:p w14:paraId="7DF6FBCE">
      <w:pPr>
        <w:adjustRightInd w:val="0"/>
        <w:snapToGrid w:val="0"/>
        <w:spacing w:line="360" w:lineRule="auto"/>
        <w:ind w:firstLine="480" w:firstLineChars="200"/>
        <w:jc w:val="left"/>
        <w:rPr>
          <w:sz w:val="24"/>
        </w:rPr>
      </w:pPr>
      <w:r>
        <w:rPr>
          <w:sz w:val="24"/>
        </w:rPr>
        <w:t>乙方（拟分包单位）：______</w:t>
      </w:r>
    </w:p>
    <w:p w14:paraId="664E65C4">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DA3B4C3">
      <w:pPr>
        <w:adjustRightInd w:val="0"/>
        <w:snapToGrid w:val="0"/>
        <w:spacing w:line="360" w:lineRule="auto"/>
        <w:ind w:firstLine="480" w:firstLineChars="200"/>
        <w:jc w:val="left"/>
        <w:rPr>
          <w:sz w:val="24"/>
        </w:rPr>
      </w:pPr>
      <w:r>
        <w:rPr>
          <w:sz w:val="24"/>
        </w:rPr>
        <w:t>1.分包内容：______。</w:t>
      </w:r>
    </w:p>
    <w:p w14:paraId="14BFA049">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合同金额</w:t>
      </w:r>
      <w:r>
        <w:rPr>
          <w:sz w:val="24"/>
        </w:rPr>
        <w:t>的比例为______%。</w:t>
      </w:r>
    </w:p>
    <w:p w14:paraId="4BDE3BBF">
      <w:pPr>
        <w:adjustRightInd w:val="0"/>
        <w:snapToGrid w:val="0"/>
        <w:spacing w:line="360" w:lineRule="auto"/>
        <w:ind w:firstLine="480" w:firstLineChars="200"/>
        <w:jc w:val="left"/>
        <w:rPr>
          <w:bCs/>
          <w:sz w:val="24"/>
        </w:rPr>
      </w:pPr>
      <w:r>
        <w:rPr>
          <w:sz w:val="24"/>
        </w:rPr>
        <w:t>乙方承诺将在上述情况下与甲方签订分包合同。</w:t>
      </w:r>
    </w:p>
    <w:p w14:paraId="66A67C7F">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E345BB5">
      <w:pPr>
        <w:spacing w:line="360" w:lineRule="auto"/>
        <w:ind w:firstLine="471"/>
        <w:rPr>
          <w:b/>
          <w:sz w:val="24"/>
        </w:rPr>
      </w:pPr>
    </w:p>
    <w:p w14:paraId="170A6EEB">
      <w:pPr>
        <w:spacing w:line="360" w:lineRule="auto"/>
        <w:ind w:firstLine="471"/>
        <w:rPr>
          <w:b/>
          <w:sz w:val="24"/>
        </w:rPr>
      </w:pPr>
      <w:r>
        <w:rPr>
          <w:sz w:val="24"/>
        </w:rPr>
        <w:t>甲方（盖章）：______                     乙方（盖章）：______</w:t>
      </w:r>
    </w:p>
    <w:p w14:paraId="3B507357">
      <w:pPr>
        <w:spacing w:line="360" w:lineRule="auto"/>
        <w:ind w:left="480"/>
        <w:jc w:val="right"/>
        <w:rPr>
          <w:sz w:val="24"/>
        </w:rPr>
      </w:pPr>
    </w:p>
    <w:p w14:paraId="67D0C933">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407B61A4">
      <w:pPr>
        <w:tabs>
          <w:tab w:val="left" w:pos="8280"/>
        </w:tabs>
        <w:spacing w:line="360" w:lineRule="auto"/>
        <w:ind w:firstLine="480"/>
        <w:rPr>
          <w:sz w:val="24"/>
        </w:rPr>
      </w:pPr>
    </w:p>
    <w:p w14:paraId="4A0E64E6">
      <w:pPr>
        <w:tabs>
          <w:tab w:val="left" w:pos="8280"/>
        </w:tabs>
        <w:spacing w:line="360" w:lineRule="auto"/>
        <w:rPr>
          <w:rFonts w:hint="eastAsia"/>
          <w:sz w:val="24"/>
        </w:rPr>
      </w:pPr>
      <w:r>
        <w:rPr>
          <w:rFonts w:hint="eastAsia"/>
          <w:sz w:val="24"/>
        </w:rPr>
        <w:t>注：</w:t>
      </w:r>
    </w:p>
    <w:p w14:paraId="3ADFB9D8">
      <w:pPr>
        <w:tabs>
          <w:tab w:val="left" w:pos="8280"/>
        </w:tabs>
        <w:spacing w:line="360" w:lineRule="auto"/>
        <w:rPr>
          <w:rFonts w:hint="eastAsia"/>
          <w:sz w:val="24"/>
        </w:rPr>
      </w:pPr>
      <w:r>
        <w:rPr>
          <w:rFonts w:hint="eastAsia"/>
          <w:sz w:val="24"/>
        </w:rPr>
        <w:t>（1）当供应商属于本部分说明中第（2）类情形，必须提供，否则</w:t>
      </w:r>
      <w:r>
        <w:rPr>
          <w:rFonts w:hint="eastAsia"/>
          <w:b/>
          <w:bCs/>
          <w:sz w:val="24"/>
        </w:rPr>
        <w:t>响应无效</w:t>
      </w:r>
      <w:r>
        <w:rPr>
          <w:rFonts w:hint="eastAsia"/>
          <w:sz w:val="24"/>
        </w:rPr>
        <w:t>；其他情形</w:t>
      </w:r>
    </w:p>
    <w:p w14:paraId="68893566">
      <w:pPr>
        <w:tabs>
          <w:tab w:val="left" w:pos="8280"/>
        </w:tabs>
        <w:spacing w:line="360" w:lineRule="auto"/>
        <w:rPr>
          <w:rFonts w:hint="eastAsia"/>
          <w:sz w:val="24"/>
        </w:rPr>
      </w:pPr>
      <w:r>
        <w:rPr>
          <w:rFonts w:hint="eastAsia"/>
          <w:sz w:val="24"/>
        </w:rPr>
        <w:t>无须提供；</w:t>
      </w:r>
    </w:p>
    <w:p w14:paraId="49B4581E">
      <w:pPr>
        <w:tabs>
          <w:tab w:val="left" w:pos="8280"/>
        </w:tabs>
        <w:spacing w:line="360" w:lineRule="auto"/>
        <w:rPr>
          <w:sz w:val="24"/>
        </w:rPr>
        <w:sectPr>
          <w:headerReference r:id="rId17" w:type="first"/>
          <w:footerReference r:id="rId19" w:type="first"/>
          <w:headerReference r:id="rId16" w:type="even"/>
          <w:footerReference r:id="rId18" w:type="even"/>
          <w:pgSz w:w="11907" w:h="16840"/>
          <w:pgMar w:top="1417" w:right="1134" w:bottom="1417" w:left="1701" w:header="851" w:footer="851" w:gutter="0"/>
          <w:cols w:space="720" w:num="1"/>
          <w:docGrid w:linePitch="462" w:charSpace="0"/>
        </w:sectPr>
      </w:pPr>
      <w:r>
        <w:rPr>
          <w:rFonts w:hint="eastAsia"/>
          <w:sz w:val="24"/>
        </w:rPr>
        <w:t>（2）供应商须与所有拟分包单位分别签订《分包意向协议》，每单位签订一份，并在响应文件中提交全部协议原件，否则</w:t>
      </w:r>
      <w:r>
        <w:rPr>
          <w:rFonts w:hint="eastAsia"/>
          <w:b/>
          <w:bCs/>
          <w:sz w:val="24"/>
        </w:rPr>
        <w:t>响应无效</w:t>
      </w:r>
      <w:r>
        <w:rPr>
          <w:rFonts w:hint="eastAsia"/>
          <w:sz w:val="24"/>
        </w:rPr>
        <w:t>。</w:t>
      </w:r>
    </w:p>
    <w:p w14:paraId="0216588D">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45DA378">
      <w:pPr>
        <w:widowControl/>
        <w:jc w:val="left"/>
        <w:rPr>
          <w:sz w:val="24"/>
        </w:rPr>
      </w:pPr>
    </w:p>
    <w:p w14:paraId="10D7D41E">
      <w:pPr>
        <w:widowControl/>
        <w:jc w:val="left"/>
        <w:rPr>
          <w:sz w:val="24"/>
        </w:rPr>
      </w:pPr>
      <w:r>
        <w:rPr>
          <w:sz w:val="24"/>
        </w:rPr>
        <w:br w:type="page"/>
      </w:r>
    </w:p>
    <w:p w14:paraId="6BF08701">
      <w:pPr>
        <w:tabs>
          <w:tab w:val="left" w:pos="360"/>
        </w:tabs>
        <w:snapToGrid w:val="0"/>
        <w:spacing w:line="360" w:lineRule="auto"/>
        <w:outlineLvl w:val="1"/>
        <w:rPr>
          <w:sz w:val="24"/>
        </w:rPr>
      </w:pPr>
      <w:r>
        <w:rPr>
          <w:sz w:val="24"/>
        </w:rPr>
        <w:t>3 本项目的特定资格要求（如有）</w:t>
      </w:r>
    </w:p>
    <w:p w14:paraId="29C30C67">
      <w:pPr>
        <w:spacing w:line="360" w:lineRule="auto"/>
        <w:outlineLvl w:val="2"/>
        <w:rPr>
          <w:sz w:val="24"/>
          <w:szCs w:val="20"/>
        </w:rPr>
      </w:pPr>
      <w:r>
        <w:rPr>
          <w:sz w:val="24"/>
          <w:szCs w:val="20"/>
        </w:rPr>
        <w:t>3-1联合协议（如有）</w:t>
      </w:r>
    </w:p>
    <w:p w14:paraId="4231EB10">
      <w:pPr>
        <w:autoSpaceDE w:val="0"/>
        <w:autoSpaceDN w:val="0"/>
        <w:adjustRightInd w:val="0"/>
        <w:spacing w:line="360" w:lineRule="auto"/>
        <w:jc w:val="center"/>
        <w:rPr>
          <w:b/>
          <w:sz w:val="36"/>
          <w:szCs w:val="36"/>
        </w:rPr>
      </w:pPr>
      <w:r>
        <w:rPr>
          <w:rFonts w:hint="eastAsia"/>
          <w:b/>
          <w:sz w:val="36"/>
          <w:szCs w:val="36"/>
        </w:rPr>
        <w:t>联合协议</w:t>
      </w:r>
    </w:p>
    <w:p w14:paraId="626BA591">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18F902E5">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5C5B7F87">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25430CF0">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F690ECC">
      <w:pPr>
        <w:numPr>
          <w:ilvl w:val="0"/>
          <w:numId w:val="14"/>
        </w:numPr>
        <w:spacing w:line="360" w:lineRule="auto"/>
        <w:rPr>
          <w:bCs/>
          <w:sz w:val="24"/>
        </w:rPr>
      </w:pPr>
      <w:r>
        <w:rPr>
          <w:bCs/>
          <w:sz w:val="24"/>
        </w:rPr>
        <w:t>牵头人为项目的总负责单位；组织各参加方进行项目实施工作。</w:t>
      </w:r>
    </w:p>
    <w:p w14:paraId="0F65828D">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1C50275">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B0CCF34">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3F710C35">
      <w:pPr>
        <w:numPr>
          <w:ilvl w:val="0"/>
          <w:numId w:val="14"/>
        </w:numPr>
        <w:spacing w:line="360" w:lineRule="auto"/>
        <w:rPr>
          <w:sz w:val="24"/>
        </w:rPr>
      </w:pPr>
      <w:r>
        <w:rPr>
          <w:sz w:val="24"/>
        </w:rPr>
        <w:t>本项目联合协议合同总额为______元，联合体各成员按照如下比例分摊（按联合体成员分别列明）：</w:t>
      </w:r>
    </w:p>
    <w:p w14:paraId="1A3CF5BE">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0304DF8B">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2091BBCD">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68ACF39">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6B0B2EAA">
      <w:pPr>
        <w:numPr>
          <w:ilvl w:val="0"/>
          <w:numId w:val="14"/>
        </w:numPr>
        <w:spacing w:line="360" w:lineRule="auto"/>
        <w:rPr>
          <w:bCs/>
          <w:sz w:val="24"/>
        </w:rPr>
      </w:pPr>
      <w:r>
        <w:rPr>
          <w:bCs/>
          <w:sz w:val="24"/>
        </w:rPr>
        <w:t>其他约定（如有）：</w:t>
      </w:r>
      <w:r>
        <w:rPr>
          <w:sz w:val="24"/>
        </w:rPr>
        <w:t>______</w:t>
      </w:r>
      <w:r>
        <w:rPr>
          <w:rFonts w:hint="eastAsia"/>
          <w:sz w:val="24"/>
        </w:rPr>
        <w:t>。</w:t>
      </w:r>
    </w:p>
    <w:p w14:paraId="2942060A">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r>
        <w:rPr>
          <w:sz w:val="24"/>
        </w:rPr>
        <w:br w:type="page"/>
      </w:r>
    </w:p>
    <w:p w14:paraId="69E2F194">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269C21F4">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36A8C274">
      <w:pPr>
        <w:spacing w:line="360" w:lineRule="auto"/>
        <w:ind w:firstLine="471"/>
        <w:rPr>
          <w:sz w:val="24"/>
        </w:rPr>
      </w:pPr>
    </w:p>
    <w:p w14:paraId="57E55B73">
      <w:pPr>
        <w:spacing w:line="360" w:lineRule="auto"/>
        <w:ind w:firstLine="471"/>
        <w:rPr>
          <w:sz w:val="24"/>
        </w:rPr>
      </w:pPr>
    </w:p>
    <w:p w14:paraId="69D70A71">
      <w:pPr>
        <w:spacing w:line="360" w:lineRule="auto"/>
        <w:ind w:firstLine="471"/>
        <w:rPr>
          <w:sz w:val="24"/>
        </w:rPr>
      </w:pPr>
      <w:r>
        <w:rPr>
          <w:rFonts w:hint="eastAsia"/>
          <w:sz w:val="24"/>
        </w:rPr>
        <w:t>联合体成员名称</w:t>
      </w:r>
      <w:r>
        <w:rPr>
          <w:sz w:val="24"/>
        </w:rPr>
        <w:t>：</w:t>
      </w:r>
      <w:r>
        <w:rPr>
          <w:sz w:val="24"/>
          <w:szCs w:val="20"/>
        </w:rPr>
        <w:t>______</w:t>
      </w:r>
    </w:p>
    <w:p w14:paraId="3BEC585D">
      <w:pPr>
        <w:widowControl/>
        <w:ind w:firstLine="480" w:firstLineChars="200"/>
        <w:jc w:val="left"/>
        <w:rPr>
          <w:sz w:val="24"/>
        </w:rPr>
      </w:pPr>
      <w:r>
        <w:rPr>
          <w:sz w:val="24"/>
        </w:rPr>
        <w:t>盖章：</w:t>
      </w:r>
      <w:r>
        <w:rPr>
          <w:sz w:val="24"/>
          <w:szCs w:val="20"/>
        </w:rPr>
        <w:t>______</w:t>
      </w:r>
      <w:r>
        <w:rPr>
          <w:sz w:val="24"/>
        </w:rPr>
        <w:t xml:space="preserve">         </w:t>
      </w:r>
    </w:p>
    <w:p w14:paraId="0C83C057">
      <w:pPr>
        <w:spacing w:line="360" w:lineRule="auto"/>
        <w:ind w:left="480"/>
        <w:jc w:val="right"/>
        <w:rPr>
          <w:sz w:val="24"/>
        </w:rPr>
      </w:pPr>
    </w:p>
    <w:p w14:paraId="7FB7BAB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36B9A916">
      <w:pPr>
        <w:spacing w:line="360" w:lineRule="auto"/>
        <w:ind w:left="480"/>
        <w:jc w:val="right"/>
        <w:rPr>
          <w:b/>
          <w:sz w:val="24"/>
        </w:rPr>
      </w:pPr>
    </w:p>
    <w:p w14:paraId="2ED1F78A">
      <w:pPr>
        <w:tabs>
          <w:tab w:val="left" w:pos="8280"/>
        </w:tabs>
        <w:spacing w:line="360" w:lineRule="auto"/>
        <w:ind w:firstLine="480"/>
        <w:rPr>
          <w:sz w:val="24"/>
        </w:rPr>
      </w:pPr>
    </w:p>
    <w:p w14:paraId="6A68E49E">
      <w:pPr>
        <w:tabs>
          <w:tab w:val="left" w:pos="8280"/>
        </w:tabs>
        <w:spacing w:line="360" w:lineRule="auto"/>
        <w:ind w:firstLine="480"/>
        <w:rPr>
          <w:sz w:val="24"/>
        </w:rPr>
      </w:pPr>
    </w:p>
    <w:p w14:paraId="62B54DA0">
      <w:pPr>
        <w:spacing w:line="360" w:lineRule="auto"/>
        <w:ind w:left="719" w:leftChars="228" w:hanging="240" w:hangingChars="100"/>
        <w:rPr>
          <w:sz w:val="24"/>
        </w:rPr>
      </w:pPr>
      <w:r>
        <w:rPr>
          <w:sz w:val="24"/>
        </w:rPr>
        <w:t>注：</w:t>
      </w:r>
    </w:p>
    <w:p w14:paraId="3D532122">
      <w:pPr>
        <w:spacing w:line="360" w:lineRule="auto"/>
        <w:ind w:left="719" w:leftChars="228" w:hanging="240" w:hangingChars="100"/>
        <w:rPr>
          <w:rFonts w:hint="eastAsia"/>
          <w:sz w:val="24"/>
        </w:rPr>
      </w:pPr>
      <w:r>
        <w:rPr>
          <w:rFonts w:hint="eastAsia"/>
          <w:sz w:val="24"/>
        </w:rPr>
        <w:t>1. 如本项目（包）接受供应商以联合体形式参加采购活动，且供应商以联合体形</w:t>
      </w:r>
    </w:p>
    <w:p w14:paraId="0C1220DE">
      <w:pPr>
        <w:spacing w:line="360" w:lineRule="auto"/>
        <w:ind w:left="719" w:leftChars="228" w:hanging="240" w:hangingChars="100"/>
        <w:rPr>
          <w:rFonts w:hint="eastAsia"/>
          <w:sz w:val="24"/>
        </w:rPr>
      </w:pPr>
      <w:r>
        <w:rPr>
          <w:rFonts w:hint="eastAsia"/>
          <w:sz w:val="24"/>
        </w:rPr>
        <w:t>式参与时，须提供《联合协议》，否则</w:t>
      </w:r>
      <w:r>
        <w:rPr>
          <w:rFonts w:hint="eastAsia"/>
          <w:b/>
          <w:bCs/>
          <w:sz w:val="24"/>
        </w:rPr>
        <w:t>响应无效</w:t>
      </w:r>
      <w:r>
        <w:rPr>
          <w:rFonts w:hint="eastAsia"/>
          <w:sz w:val="24"/>
        </w:rPr>
        <w:t>。</w:t>
      </w:r>
    </w:p>
    <w:p w14:paraId="092D1C7D">
      <w:pPr>
        <w:spacing w:line="360" w:lineRule="auto"/>
        <w:ind w:left="719" w:leftChars="228" w:hanging="240" w:hangingChars="100"/>
        <w:rPr>
          <w:sz w:val="24"/>
        </w:rPr>
      </w:pPr>
      <w:r>
        <w:rPr>
          <w:rFonts w:hint="eastAsia"/>
          <w:sz w:val="24"/>
        </w:rPr>
        <w:t>2. 联合体各方成员需在本协议上共同盖章</w:t>
      </w:r>
      <w:r>
        <w:rPr>
          <w:sz w:val="24"/>
        </w:rPr>
        <w:t>。</w:t>
      </w:r>
    </w:p>
    <w:p w14:paraId="47C61E67">
      <w:pPr>
        <w:widowControl/>
        <w:jc w:val="left"/>
        <w:rPr>
          <w:sz w:val="24"/>
        </w:rPr>
      </w:pPr>
      <w:r>
        <w:rPr>
          <w:sz w:val="24"/>
        </w:rPr>
        <w:br w:type="page"/>
      </w:r>
    </w:p>
    <w:p w14:paraId="7070374E">
      <w:pPr>
        <w:spacing w:line="360" w:lineRule="auto"/>
        <w:outlineLvl w:val="2"/>
        <w:rPr>
          <w:sz w:val="24"/>
          <w:szCs w:val="20"/>
        </w:rPr>
      </w:pPr>
      <w:r>
        <w:rPr>
          <w:sz w:val="24"/>
          <w:szCs w:val="20"/>
        </w:rPr>
        <w:t>3-2其他特定资格要求</w:t>
      </w:r>
    </w:p>
    <w:p w14:paraId="4E034119">
      <w:pPr>
        <w:tabs>
          <w:tab w:val="left" w:pos="5580"/>
        </w:tabs>
        <w:spacing w:line="360" w:lineRule="auto"/>
        <w:rPr>
          <w:sz w:val="24"/>
        </w:rPr>
      </w:pPr>
    </w:p>
    <w:p w14:paraId="6D651C50">
      <w:pPr>
        <w:widowControl/>
        <w:jc w:val="left"/>
        <w:rPr>
          <w:sz w:val="24"/>
          <w:szCs w:val="20"/>
        </w:rPr>
      </w:pPr>
      <w:r>
        <w:rPr>
          <w:sz w:val="24"/>
          <w:szCs w:val="20"/>
        </w:rPr>
        <w:br w:type="page"/>
      </w:r>
    </w:p>
    <w:p w14:paraId="5F1DDFB4">
      <w:pPr>
        <w:tabs>
          <w:tab w:val="left" w:pos="360"/>
        </w:tabs>
        <w:snapToGrid w:val="0"/>
        <w:spacing w:line="360" w:lineRule="auto"/>
        <w:outlineLvl w:val="1"/>
        <w:rPr>
          <w:sz w:val="24"/>
        </w:rPr>
      </w:pPr>
      <w:r>
        <w:rPr>
          <w:sz w:val="24"/>
        </w:rPr>
        <w:t>4 磋商保证金凭证/交款单据</w:t>
      </w:r>
    </w:p>
    <w:p w14:paraId="4DA9BFFE">
      <w:pPr>
        <w:widowControl/>
        <w:jc w:val="left"/>
        <w:rPr>
          <w:sz w:val="24"/>
        </w:rPr>
      </w:pPr>
      <w:r>
        <w:rPr>
          <w:b/>
          <w:sz w:val="24"/>
        </w:rPr>
        <w:br w:type="page"/>
      </w:r>
      <w:bookmarkStart w:id="2082" w:name="_Hlt520274407"/>
      <w:bookmarkEnd w:id="2082"/>
      <w:bookmarkStart w:id="2083" w:name="_Hlt520350918"/>
      <w:bookmarkEnd w:id="2083"/>
      <w:bookmarkStart w:id="2084" w:name="_Hlt520274065"/>
      <w:bookmarkEnd w:id="2084"/>
      <w:bookmarkStart w:id="2085" w:name="_Hlt520274121"/>
      <w:bookmarkEnd w:id="2085"/>
      <w:bookmarkStart w:id="2086" w:name="_Hlt520343000"/>
      <w:bookmarkEnd w:id="2086"/>
      <w:bookmarkStart w:id="2087" w:name="_Hlt520355504"/>
      <w:bookmarkEnd w:id="2087"/>
      <w:bookmarkStart w:id="2088" w:name="_Hlt520271212"/>
      <w:bookmarkEnd w:id="2088"/>
      <w:bookmarkStart w:id="2089" w:name="_Hlt520343392"/>
      <w:bookmarkEnd w:id="2089"/>
      <w:bookmarkStart w:id="2090" w:name="_Hlt520274393"/>
      <w:bookmarkEnd w:id="2090"/>
      <w:bookmarkStart w:id="2091" w:name="_Hlt520273711"/>
      <w:bookmarkEnd w:id="2091"/>
      <w:bookmarkStart w:id="2092" w:name="_Toc480942349"/>
      <w:bookmarkStart w:id="2093" w:name="_Ref467988698"/>
      <w:bookmarkStart w:id="2094" w:name="_Toc226965746"/>
      <w:bookmarkStart w:id="2095" w:name="_Toc142311058"/>
      <w:bookmarkStart w:id="2096" w:name="_Toc150774761"/>
      <w:bookmarkStart w:id="2097" w:name="_Toc226965829"/>
      <w:bookmarkStart w:id="2098" w:name="_Toc150480794"/>
      <w:bookmarkStart w:id="2099" w:name="_Toc520356217"/>
      <w:bookmarkStart w:id="2100" w:name="_Toc226337252"/>
      <w:bookmarkStart w:id="2101" w:name="_Toc195842921"/>
      <w:bookmarkStart w:id="2102" w:name="_Toc226309800"/>
      <w:bookmarkStart w:id="2103" w:name="_Toc127151556"/>
      <w:r>
        <w:rPr>
          <w:sz w:val="24"/>
        </w:rPr>
        <w:t xml:space="preserve">5  </w:t>
      </w:r>
      <w:bookmarkEnd w:id="2092"/>
      <w:bookmarkEnd w:id="2093"/>
      <w:r>
        <w:rPr>
          <w:sz w:val="24"/>
        </w:rPr>
        <w:t>响应书</w:t>
      </w:r>
      <w:bookmarkEnd w:id="2094"/>
      <w:bookmarkEnd w:id="2095"/>
      <w:bookmarkEnd w:id="2096"/>
      <w:bookmarkEnd w:id="2097"/>
      <w:bookmarkEnd w:id="2098"/>
      <w:bookmarkEnd w:id="2099"/>
      <w:bookmarkEnd w:id="2100"/>
      <w:bookmarkEnd w:id="2101"/>
      <w:bookmarkEnd w:id="2102"/>
      <w:bookmarkEnd w:id="2103"/>
    </w:p>
    <w:p w14:paraId="28557FEE">
      <w:pPr>
        <w:tabs>
          <w:tab w:val="left" w:pos="5580"/>
        </w:tabs>
        <w:spacing w:line="360" w:lineRule="auto"/>
        <w:rPr>
          <w:sz w:val="24"/>
        </w:rPr>
      </w:pPr>
    </w:p>
    <w:p w14:paraId="6D09608B">
      <w:pPr>
        <w:spacing w:line="360" w:lineRule="auto"/>
        <w:jc w:val="center"/>
        <w:rPr>
          <w:b/>
          <w:sz w:val="36"/>
          <w:szCs w:val="36"/>
        </w:rPr>
      </w:pPr>
      <w:r>
        <w:rPr>
          <w:rFonts w:hint="eastAsia"/>
          <w:b/>
          <w:sz w:val="36"/>
          <w:szCs w:val="36"/>
        </w:rPr>
        <w:t>响应书</w:t>
      </w:r>
    </w:p>
    <w:p w14:paraId="14A7D7E0">
      <w:pPr>
        <w:tabs>
          <w:tab w:val="left" w:pos="5580"/>
        </w:tabs>
        <w:spacing w:line="360" w:lineRule="auto"/>
        <w:rPr>
          <w:sz w:val="24"/>
        </w:rPr>
      </w:pPr>
      <w:r>
        <w:rPr>
          <w:sz w:val="24"/>
        </w:rPr>
        <w:t>致：</w:t>
      </w:r>
      <w:r>
        <w:rPr>
          <w:sz w:val="24"/>
          <w:u w:val="single"/>
        </w:rPr>
        <w:t>（采购人或采购代理机构）</w:t>
      </w:r>
    </w:p>
    <w:p w14:paraId="6775AF3B">
      <w:pPr>
        <w:tabs>
          <w:tab w:val="left" w:pos="5580"/>
        </w:tabs>
        <w:spacing w:line="360" w:lineRule="auto"/>
        <w:rPr>
          <w:sz w:val="24"/>
          <w:szCs w:val="20"/>
        </w:rPr>
      </w:pPr>
    </w:p>
    <w:p w14:paraId="7F3016B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（项目名称，项目编号/包号）组织的采购活动，并对此项目进行磋商。</w:t>
      </w:r>
    </w:p>
    <w:p w14:paraId="2AD9986A">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252E926C">
      <w:pPr>
        <w:tabs>
          <w:tab w:val="left" w:pos="720"/>
          <w:tab w:val="left" w:pos="900"/>
        </w:tabs>
        <w:spacing w:line="360" w:lineRule="auto"/>
        <w:ind w:left="360" w:firstLine="72" w:firstLineChars="30"/>
        <w:rPr>
          <w:sz w:val="24"/>
          <w:szCs w:val="20"/>
        </w:rPr>
      </w:pPr>
      <w:r>
        <w:rPr>
          <w:sz w:val="24"/>
          <w:szCs w:val="20"/>
        </w:rPr>
        <w:t>（1）本响应有效期为自提交响应文件的截止之日起</w:t>
      </w:r>
      <w:r>
        <w:rPr>
          <w:sz w:val="24"/>
        </w:rPr>
        <w:t>______</w:t>
      </w:r>
      <w:r>
        <w:rPr>
          <w:sz w:val="24"/>
          <w:szCs w:val="20"/>
        </w:rPr>
        <w:t>个日历日。</w:t>
      </w:r>
    </w:p>
    <w:p w14:paraId="028488D6">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034C0A05">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90E4BD8">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29D3D585">
      <w:pPr>
        <w:spacing w:line="360" w:lineRule="auto"/>
        <w:ind w:left="420"/>
        <w:rPr>
          <w:sz w:val="24"/>
        </w:rPr>
      </w:pPr>
      <w:r>
        <w:rPr>
          <w:sz w:val="24"/>
        </w:rPr>
        <w:t>2. 其他补充条款（如有）：______。</w:t>
      </w:r>
    </w:p>
    <w:p w14:paraId="63C1A0D6">
      <w:pPr>
        <w:spacing w:line="360" w:lineRule="auto"/>
        <w:ind w:firstLine="480" w:firstLineChars="200"/>
        <w:rPr>
          <w:sz w:val="24"/>
        </w:rPr>
      </w:pPr>
      <w:r>
        <w:rPr>
          <w:sz w:val="24"/>
        </w:rPr>
        <w:t>与本磋商有关的一切正式往来信函请寄：</w:t>
      </w:r>
    </w:p>
    <w:p w14:paraId="693A8B17">
      <w:pPr>
        <w:tabs>
          <w:tab w:val="left" w:pos="5580"/>
        </w:tabs>
        <w:spacing w:line="360" w:lineRule="auto"/>
        <w:ind w:left="420"/>
        <w:rPr>
          <w:sz w:val="24"/>
          <w:szCs w:val="20"/>
        </w:rPr>
      </w:pPr>
    </w:p>
    <w:p w14:paraId="091071E9">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7626F59C">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29422522">
      <w:pPr>
        <w:tabs>
          <w:tab w:val="left" w:pos="5580"/>
        </w:tabs>
        <w:spacing w:line="360" w:lineRule="auto"/>
        <w:ind w:left="420"/>
        <w:rPr>
          <w:sz w:val="24"/>
          <w:szCs w:val="20"/>
        </w:rPr>
      </w:pPr>
    </w:p>
    <w:p w14:paraId="0350F947">
      <w:pPr>
        <w:tabs>
          <w:tab w:val="left" w:pos="5580"/>
        </w:tabs>
        <w:spacing w:line="360" w:lineRule="auto"/>
        <w:ind w:left="420"/>
        <w:rPr>
          <w:sz w:val="24"/>
          <w:szCs w:val="20"/>
        </w:rPr>
      </w:pPr>
    </w:p>
    <w:p w14:paraId="730AE53B">
      <w:pPr>
        <w:tabs>
          <w:tab w:val="left" w:pos="5580"/>
        </w:tabs>
        <w:spacing w:line="360" w:lineRule="auto"/>
        <w:ind w:left="420"/>
        <w:rPr>
          <w:sz w:val="24"/>
          <w:szCs w:val="20"/>
        </w:rPr>
      </w:pPr>
    </w:p>
    <w:p w14:paraId="779C28A3">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729090A3">
      <w:pPr>
        <w:tabs>
          <w:tab w:val="left" w:pos="5580"/>
        </w:tabs>
        <w:spacing w:line="360" w:lineRule="auto"/>
        <w:ind w:firstLine="360" w:firstLineChars="150"/>
        <w:rPr>
          <w:sz w:val="24"/>
          <w:szCs w:val="20"/>
        </w:rPr>
      </w:pPr>
      <w:r>
        <w:rPr>
          <w:sz w:val="24"/>
          <w:szCs w:val="20"/>
        </w:rPr>
        <w:t xml:space="preserve">日期：____年____月____日  </w:t>
      </w:r>
    </w:p>
    <w:p w14:paraId="7F88301F">
      <w:pPr>
        <w:tabs>
          <w:tab w:val="left" w:pos="5580"/>
        </w:tabs>
        <w:spacing w:line="360" w:lineRule="auto"/>
        <w:ind w:left="420"/>
        <w:jc w:val="left"/>
        <w:rPr>
          <w:sz w:val="24"/>
          <w:szCs w:val="20"/>
        </w:rPr>
      </w:pPr>
    </w:p>
    <w:p w14:paraId="351E51FF">
      <w:pPr>
        <w:widowControl/>
        <w:jc w:val="left"/>
        <w:rPr>
          <w:sz w:val="24"/>
        </w:rPr>
      </w:pPr>
      <w:r>
        <w:rPr>
          <w:b/>
          <w:sz w:val="24"/>
          <w:szCs w:val="20"/>
        </w:rPr>
        <w:br w:type="page"/>
      </w:r>
      <w:bookmarkStart w:id="2104" w:name="_Hlt520355938"/>
      <w:bookmarkEnd w:id="2104"/>
      <w:bookmarkStart w:id="2105" w:name="_Hlt520356243"/>
      <w:bookmarkEnd w:id="2105"/>
      <w:bookmarkStart w:id="2106" w:name="_Toc264969247"/>
      <w:bookmarkStart w:id="2107" w:name="_Toc226965830"/>
      <w:bookmarkStart w:id="2108" w:name="_Toc127151557"/>
      <w:bookmarkStart w:id="2109" w:name="_Ref467988705"/>
      <w:bookmarkStart w:id="2110" w:name="_Toc265228395"/>
      <w:bookmarkStart w:id="2111" w:name="_Toc305158899"/>
      <w:bookmarkStart w:id="2112" w:name="_Toc305158825"/>
      <w:bookmarkStart w:id="2113" w:name="_Toc150480795"/>
      <w:bookmarkStart w:id="2114" w:name="_Toc226965747"/>
      <w:bookmarkStart w:id="2115" w:name="_Toc195842922"/>
      <w:bookmarkStart w:id="2116" w:name="_Toc226337253"/>
      <w:bookmarkStart w:id="2117" w:name="_Toc480942350"/>
      <w:bookmarkStart w:id="2118" w:name="_Toc520356218"/>
      <w:bookmarkStart w:id="2119" w:name="_Toc150774762"/>
      <w:bookmarkStart w:id="2120" w:name="_Toc142311059"/>
      <w:bookmarkStart w:id="2121" w:name="_Toc226309801"/>
      <w:r>
        <w:rPr>
          <w:sz w:val="24"/>
        </w:rPr>
        <w:t>6  授权委托书</w:t>
      </w:r>
    </w:p>
    <w:p w14:paraId="48B8A24B">
      <w:pPr>
        <w:autoSpaceDE w:val="0"/>
        <w:autoSpaceDN w:val="0"/>
        <w:adjustRightInd w:val="0"/>
        <w:spacing w:line="360" w:lineRule="auto"/>
        <w:jc w:val="center"/>
        <w:rPr>
          <w:b/>
          <w:sz w:val="36"/>
          <w:szCs w:val="36"/>
        </w:rPr>
      </w:pPr>
      <w:r>
        <w:rPr>
          <w:rFonts w:hint="eastAsia"/>
          <w:b/>
          <w:sz w:val="36"/>
          <w:szCs w:val="36"/>
        </w:rPr>
        <w:t>授权委托书</w:t>
      </w:r>
    </w:p>
    <w:p w14:paraId="7029157F">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D37ACFD">
      <w:pPr>
        <w:spacing w:line="360" w:lineRule="auto"/>
        <w:ind w:firstLine="420"/>
        <w:rPr>
          <w:sz w:val="24"/>
          <w:szCs w:val="20"/>
        </w:rPr>
      </w:pPr>
      <w:r>
        <w:rPr>
          <w:sz w:val="24"/>
          <w:szCs w:val="20"/>
        </w:rPr>
        <w:t>委托期限：自本授权委托书签署之日起至响应有效期届满之日止。</w:t>
      </w:r>
    </w:p>
    <w:p w14:paraId="597874FB">
      <w:pPr>
        <w:spacing w:line="360" w:lineRule="auto"/>
        <w:ind w:firstLine="420"/>
        <w:rPr>
          <w:sz w:val="24"/>
          <w:szCs w:val="20"/>
        </w:rPr>
      </w:pPr>
      <w:r>
        <w:rPr>
          <w:sz w:val="24"/>
          <w:szCs w:val="20"/>
        </w:rPr>
        <w:t>代理人无转委托权。</w:t>
      </w:r>
      <w:r>
        <w:rPr>
          <w:sz w:val="24"/>
          <w:szCs w:val="20"/>
        </w:rPr>
        <w:cr/>
      </w:r>
    </w:p>
    <w:p w14:paraId="01E7CBC0">
      <w:pPr>
        <w:spacing w:line="360" w:lineRule="auto"/>
        <w:rPr>
          <w:sz w:val="24"/>
          <w:lang w:val="zh-CN"/>
        </w:rPr>
      </w:pPr>
      <w:r>
        <w:rPr>
          <w:sz w:val="24"/>
        </w:rPr>
        <w:t>供应商名称（加盖公章）</w:t>
      </w:r>
      <w:r>
        <w:rPr>
          <w:sz w:val="24"/>
          <w:lang w:val="zh-CN"/>
        </w:rPr>
        <w:t>：</w:t>
      </w:r>
      <w:r>
        <w:rPr>
          <w:sz w:val="24"/>
          <w:szCs w:val="20"/>
        </w:rPr>
        <w:t>______________</w:t>
      </w:r>
    </w:p>
    <w:p w14:paraId="21A517ED">
      <w:pPr>
        <w:spacing w:line="360" w:lineRule="auto"/>
        <w:rPr>
          <w:sz w:val="24"/>
          <w:szCs w:val="20"/>
        </w:rPr>
      </w:pPr>
      <w:r>
        <w:rPr>
          <w:sz w:val="24"/>
          <w:szCs w:val="20"/>
        </w:rPr>
        <w:t>法定代表人（单位负责人）（签字或</w:t>
      </w:r>
      <w:r>
        <w:rPr>
          <w:rFonts w:hint="eastAsia"/>
          <w:sz w:val="24"/>
          <w:szCs w:val="20"/>
        </w:rPr>
        <w:t>签章</w:t>
      </w:r>
      <w:r>
        <w:rPr>
          <w:sz w:val="24"/>
          <w:szCs w:val="20"/>
        </w:rPr>
        <w:t>）：______________</w:t>
      </w:r>
    </w:p>
    <w:p w14:paraId="35944CED">
      <w:pPr>
        <w:autoSpaceDE w:val="0"/>
        <w:autoSpaceDN w:val="0"/>
        <w:adjustRightInd w:val="0"/>
        <w:snapToGrid w:val="0"/>
        <w:spacing w:line="360" w:lineRule="auto"/>
        <w:rPr>
          <w:sz w:val="24"/>
          <w:lang w:val="zh-CN"/>
        </w:rPr>
      </w:pPr>
      <w:r>
        <w:rPr>
          <w:sz w:val="24"/>
        </w:rPr>
        <w:t>委托代理人（</w:t>
      </w:r>
      <w:r>
        <w:rPr>
          <w:sz w:val="24"/>
          <w:szCs w:val="20"/>
        </w:rPr>
        <w:t>签字或</w:t>
      </w:r>
      <w:r>
        <w:rPr>
          <w:rFonts w:hint="eastAsia"/>
          <w:sz w:val="24"/>
          <w:szCs w:val="20"/>
        </w:rPr>
        <w:t>签章</w:t>
      </w:r>
      <w:r>
        <w:rPr>
          <w:sz w:val="24"/>
        </w:rPr>
        <w:t>）：</w:t>
      </w:r>
      <w:r>
        <w:rPr>
          <w:sz w:val="24"/>
          <w:szCs w:val="20"/>
        </w:rPr>
        <w:t>______________</w:t>
      </w:r>
      <w:r>
        <w:rPr>
          <w:sz w:val="24"/>
          <w:lang w:val="zh-CN"/>
        </w:rPr>
        <w:t xml:space="preserve">        </w:t>
      </w:r>
    </w:p>
    <w:p w14:paraId="0B1F5ED7">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0E99B859">
      <w:pPr>
        <w:tabs>
          <w:tab w:val="left" w:pos="5580"/>
        </w:tabs>
        <w:spacing w:line="360" w:lineRule="auto"/>
        <w:ind w:firstLine="480" w:firstLineChars="200"/>
        <w:rPr>
          <w:sz w:val="24"/>
          <w:szCs w:val="20"/>
        </w:rPr>
      </w:pPr>
    </w:p>
    <w:p w14:paraId="2FD26E00">
      <w:pPr>
        <w:tabs>
          <w:tab w:val="left" w:pos="5580"/>
        </w:tabs>
        <w:spacing w:line="360" w:lineRule="auto"/>
        <w:jc w:val="left"/>
        <w:rPr>
          <w:rFonts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38A1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noWrap w:val="0"/>
            <w:vAlign w:val="top"/>
          </w:tcPr>
          <w:p w14:paraId="2A215C29">
            <w:pPr>
              <w:tabs>
                <w:tab w:val="left" w:pos="5580"/>
              </w:tabs>
              <w:spacing w:line="360" w:lineRule="auto"/>
              <w:jc w:val="left"/>
              <w:rPr>
                <w:rFonts w:ascii="宋体" w:hAnsi="宋体"/>
                <w:sz w:val="24"/>
                <w:szCs w:val="20"/>
              </w:rPr>
            </w:pPr>
          </w:p>
          <w:p w14:paraId="07EBBF01">
            <w:pPr>
              <w:tabs>
                <w:tab w:val="left" w:pos="5580"/>
              </w:tabs>
              <w:spacing w:line="360" w:lineRule="auto"/>
              <w:jc w:val="left"/>
              <w:rPr>
                <w:rFonts w:ascii="宋体" w:hAnsi="宋体"/>
                <w:sz w:val="24"/>
                <w:szCs w:val="20"/>
              </w:rPr>
            </w:pPr>
          </w:p>
        </w:tc>
      </w:tr>
    </w:tbl>
    <w:p w14:paraId="0863B185">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3904DC85">
      <w:pPr>
        <w:tabs>
          <w:tab w:val="left" w:pos="5580"/>
        </w:tabs>
        <w:spacing w:line="360" w:lineRule="auto"/>
        <w:jc w:val="left"/>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08C81C27">
      <w:pPr>
        <w:tabs>
          <w:tab w:val="left" w:pos="5580"/>
        </w:tabs>
        <w:spacing w:line="360" w:lineRule="auto"/>
        <w:jc w:val="left"/>
        <w:rPr>
          <w:rFonts w:hint="eastAsia" w:ascii="宋体" w:hAnsi="宋体"/>
          <w:sz w:val="24"/>
          <w:szCs w:val="20"/>
        </w:rPr>
      </w:pPr>
      <w:r>
        <w:rPr>
          <w:rFonts w:hint="eastAsia"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40B5ADC">
      <w:pPr>
        <w:tabs>
          <w:tab w:val="left" w:pos="5580"/>
        </w:tabs>
        <w:spacing w:line="360" w:lineRule="auto"/>
        <w:jc w:val="left"/>
        <w:outlineLvl w:val="2"/>
        <w:rPr>
          <w:rFonts w:hint="eastAsia" w:ascii="宋体" w:hAnsi="宋体"/>
          <w:sz w:val="24"/>
          <w:szCs w:val="20"/>
        </w:rPr>
      </w:pPr>
      <w:bookmarkStart w:id="2122" w:name="_Toc13477"/>
      <w:r>
        <w:rPr>
          <w:rFonts w:hint="eastAsia" w:ascii="宋体" w:hAnsi="宋体"/>
          <w:sz w:val="24"/>
          <w:szCs w:val="20"/>
        </w:rPr>
        <w:t>3.供应商为自然人的情形，可不提供本《授权委托书》。</w:t>
      </w:r>
      <w:bookmarkEnd w:id="2122"/>
    </w:p>
    <w:p w14:paraId="7BF0FA91">
      <w:pPr>
        <w:tabs>
          <w:tab w:val="left" w:pos="5580"/>
        </w:tabs>
        <w:spacing w:line="360" w:lineRule="auto"/>
        <w:jc w:val="left"/>
        <w:rPr>
          <w:sz w:val="24"/>
          <w:szCs w:val="2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sz w:val="24"/>
          <w:szCs w:val="20"/>
        </w:rPr>
        <w:t>。</w:t>
      </w:r>
    </w:p>
    <w:p w14:paraId="05B4ECEA">
      <w:pPr>
        <w:widowControl/>
        <w:jc w:val="left"/>
        <w:rPr>
          <w:sz w:val="30"/>
          <w:szCs w:val="30"/>
        </w:rPr>
      </w:pPr>
      <w:r>
        <w:rPr>
          <w:sz w:val="30"/>
          <w:szCs w:val="30"/>
        </w:rPr>
        <w:br w:type="page"/>
      </w:r>
    </w:p>
    <w:p w14:paraId="7C0C2C3E">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259757BE">
      <w:pPr>
        <w:kinsoku w:val="0"/>
        <w:overflowPunct w:val="0"/>
        <w:spacing w:line="200" w:lineRule="exact"/>
        <w:rPr>
          <w:sz w:val="20"/>
          <w:szCs w:val="20"/>
        </w:rPr>
      </w:pPr>
    </w:p>
    <w:p w14:paraId="36E20EFA">
      <w:pPr>
        <w:tabs>
          <w:tab w:val="left" w:pos="5580"/>
        </w:tabs>
        <w:spacing w:line="360" w:lineRule="auto"/>
        <w:rPr>
          <w:sz w:val="24"/>
        </w:rPr>
      </w:pPr>
      <w:r>
        <w:rPr>
          <w:sz w:val="24"/>
        </w:rPr>
        <w:t>致：</w:t>
      </w:r>
      <w:r>
        <w:rPr>
          <w:sz w:val="24"/>
          <w:szCs w:val="20"/>
        </w:rPr>
        <w:t>____</w:t>
      </w:r>
      <w:r>
        <w:rPr>
          <w:sz w:val="24"/>
        </w:rPr>
        <w:t>（采购人或采购代理机构）</w:t>
      </w:r>
    </w:p>
    <w:p w14:paraId="05D39F72">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E7C57D5">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2E3049AB">
      <w:pPr>
        <w:pStyle w:val="18"/>
        <w:tabs>
          <w:tab w:val="left" w:pos="2412"/>
          <w:tab w:val="left" w:pos="3883"/>
          <w:tab w:val="left" w:pos="5352"/>
          <w:tab w:val="left" w:pos="6821"/>
        </w:tabs>
        <w:kinsoku w:val="0"/>
        <w:overflowPunct w:val="0"/>
        <w:spacing w:line="335" w:lineRule="exact"/>
        <w:rPr>
          <w:rFonts w:ascii="Times New Roman" w:hAnsi="Times New Roman"/>
        </w:rPr>
      </w:pPr>
    </w:p>
    <w:p w14:paraId="663716DF">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38905083">
      <w:pPr>
        <w:pStyle w:val="18"/>
        <w:tabs>
          <w:tab w:val="left" w:pos="2412"/>
          <w:tab w:val="left" w:pos="3883"/>
          <w:tab w:val="left" w:pos="5352"/>
          <w:tab w:val="left" w:pos="6821"/>
        </w:tabs>
        <w:kinsoku w:val="0"/>
        <w:overflowPunct w:val="0"/>
        <w:spacing w:line="335" w:lineRule="exact"/>
        <w:rPr>
          <w:rFonts w:ascii="Times New Roman" w:hAnsi="Times New Roman"/>
        </w:rPr>
      </w:pPr>
    </w:p>
    <w:p w14:paraId="1735C844">
      <w:pPr>
        <w:pStyle w:val="18"/>
        <w:tabs>
          <w:tab w:val="left" w:pos="2412"/>
          <w:tab w:val="left" w:pos="3883"/>
          <w:tab w:val="left" w:pos="5352"/>
          <w:tab w:val="left" w:pos="6821"/>
        </w:tabs>
        <w:kinsoku w:val="0"/>
        <w:overflowPunct w:val="0"/>
        <w:spacing w:line="335" w:lineRule="exact"/>
        <w:rPr>
          <w:rFonts w:ascii="Times New Roman" w:hAnsi="Times New Roman"/>
        </w:rPr>
      </w:pPr>
    </w:p>
    <w:p w14:paraId="11A74D63">
      <w:pPr>
        <w:pStyle w:val="18"/>
        <w:tabs>
          <w:tab w:val="left" w:pos="2412"/>
          <w:tab w:val="left" w:pos="3883"/>
          <w:tab w:val="left" w:pos="5352"/>
          <w:tab w:val="left" w:pos="6821"/>
        </w:tabs>
        <w:kinsoku w:val="0"/>
        <w:overflowPunct w:val="0"/>
        <w:spacing w:line="335" w:lineRule="exact"/>
        <w:rPr>
          <w:rFonts w:ascii="Times New Roman" w:hAnsi="Times New Roman"/>
        </w:rPr>
      </w:pPr>
    </w:p>
    <w:p w14:paraId="74BDBA59">
      <w:pPr>
        <w:pStyle w:val="18"/>
        <w:kinsoku w:val="0"/>
        <w:overflowPunct w:val="0"/>
        <w:spacing w:line="583" w:lineRule="auto"/>
        <w:ind w:right="-46"/>
        <w:rPr>
          <w:rFonts w:hint="eastAsia" w:ascii="Times New Roman" w:hAnsi="Times New Roman"/>
          <w:spacing w:val="-3"/>
        </w:rPr>
      </w:pPr>
      <w:r>
        <w:rPr>
          <w:rFonts w:ascii="Times New Roman" w:hAnsi="Times New Roman"/>
        </w:rPr>
        <w:t>附：</w:t>
      </w:r>
      <w:r>
        <w:rPr>
          <w:rFonts w:hint="eastAsia" w:ascii="Times New Roman" w:hAnsi="Times New Roman"/>
        </w:rPr>
        <w:t>法定代表人（单位负责人）身份证、护照等身份证明文件：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DB2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noWrap w:val="0"/>
            <w:vAlign w:val="top"/>
          </w:tcPr>
          <w:p w14:paraId="70AC9426">
            <w:pPr>
              <w:tabs>
                <w:tab w:val="left" w:pos="5580"/>
              </w:tabs>
              <w:spacing w:line="360" w:lineRule="auto"/>
              <w:jc w:val="left"/>
              <w:rPr>
                <w:rFonts w:ascii="宋体" w:hAnsi="宋体"/>
                <w:sz w:val="24"/>
                <w:szCs w:val="20"/>
              </w:rPr>
            </w:pPr>
          </w:p>
          <w:p w14:paraId="0007805C">
            <w:pPr>
              <w:tabs>
                <w:tab w:val="left" w:pos="5580"/>
              </w:tabs>
              <w:spacing w:line="360" w:lineRule="auto"/>
              <w:jc w:val="left"/>
              <w:rPr>
                <w:rFonts w:ascii="宋体" w:hAnsi="宋体"/>
                <w:sz w:val="24"/>
                <w:szCs w:val="20"/>
              </w:rPr>
            </w:pPr>
          </w:p>
        </w:tc>
      </w:tr>
    </w:tbl>
    <w:p w14:paraId="7E9DC03C">
      <w:pPr>
        <w:pStyle w:val="18"/>
        <w:kinsoku w:val="0"/>
        <w:overflowPunct w:val="0"/>
        <w:spacing w:line="583" w:lineRule="auto"/>
        <w:ind w:right="4305"/>
        <w:rPr>
          <w:rFonts w:ascii="Times New Roman" w:hAnsi="Times New Roman"/>
          <w:spacing w:val="-3"/>
        </w:rPr>
      </w:pPr>
    </w:p>
    <w:p w14:paraId="3F521D08">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1B11A38">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hint="eastAsia" w:ascii="宋体" w:hAnsi="宋体"/>
          <w:sz w:val="24"/>
          <w:szCs w:val="20"/>
        </w:rPr>
        <w:t>或签章</w:t>
      </w:r>
      <w:r>
        <w:rPr>
          <w:spacing w:val="-3"/>
          <w:sz w:val="24"/>
        </w:rPr>
        <w:t>）：</w:t>
      </w:r>
      <w:r>
        <w:rPr>
          <w:sz w:val="24"/>
        </w:rPr>
        <w:t>______</w:t>
      </w:r>
    </w:p>
    <w:p w14:paraId="6A71EE39">
      <w:pPr>
        <w:autoSpaceDE w:val="0"/>
        <w:autoSpaceDN w:val="0"/>
        <w:adjustRightInd w:val="0"/>
        <w:snapToGrid w:val="0"/>
        <w:spacing w:line="360" w:lineRule="auto"/>
        <w:rPr>
          <w:sz w:val="24"/>
          <w:lang w:val="zh-CN"/>
        </w:rPr>
      </w:pPr>
      <w:r>
        <w:rPr>
          <w:sz w:val="24"/>
        </w:rPr>
        <w:t>日期：</w:t>
      </w:r>
      <w:r>
        <w:rPr>
          <w:sz w:val="24"/>
          <w:szCs w:val="20"/>
        </w:rPr>
        <w:t>____年____月____日</w:t>
      </w:r>
    </w:p>
    <w:p w14:paraId="2408B2B3">
      <w:pPr>
        <w:widowControl/>
        <w:jc w:val="left"/>
        <w:rPr>
          <w:i/>
          <w:sz w:val="24"/>
          <w:szCs w:val="20"/>
          <w:u w:val="single"/>
        </w:rPr>
      </w:pPr>
    </w:p>
    <w:p w14:paraId="55C317BD">
      <w:pPr>
        <w:widowControl/>
        <w:jc w:val="left"/>
        <w:rPr>
          <w:sz w:val="24"/>
        </w:rPr>
      </w:pPr>
      <w:r>
        <w:rPr>
          <w:sz w:val="24"/>
          <w:szCs w:val="20"/>
        </w:rPr>
        <w:br w:type="page"/>
      </w:r>
      <w:r>
        <w:rPr>
          <w:sz w:val="24"/>
        </w:rPr>
        <w:t>7  报价一览表</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14:paraId="5B0614DE">
      <w:pPr>
        <w:spacing w:line="360" w:lineRule="exact"/>
        <w:jc w:val="center"/>
        <w:rPr>
          <w:b/>
          <w:sz w:val="36"/>
          <w:szCs w:val="36"/>
        </w:rPr>
      </w:pPr>
      <w:bookmarkStart w:id="2123" w:name="_Toc305158826"/>
      <w:bookmarkStart w:id="2124" w:name="_Toc226337254"/>
      <w:bookmarkStart w:id="2125" w:name="_Toc305158900"/>
      <w:bookmarkStart w:id="2126" w:name="_Toc164608827"/>
      <w:bookmarkStart w:id="2127" w:name="_Toc264969248"/>
      <w:bookmarkStart w:id="2128" w:name="_Toc226965748"/>
      <w:bookmarkStart w:id="2129" w:name="_Toc226309802"/>
      <w:bookmarkStart w:id="2130" w:name="_Toc195842923"/>
      <w:bookmarkStart w:id="2131" w:name="_Toc265228396"/>
      <w:bookmarkStart w:id="2132" w:name="_Toc164608672"/>
      <w:bookmarkStart w:id="2133" w:name="_Toc226965831"/>
      <w:r>
        <w:rPr>
          <w:rFonts w:hint="eastAsia"/>
          <w:b/>
          <w:sz w:val="36"/>
          <w:szCs w:val="36"/>
        </w:rPr>
        <w:t>报价一览表</w:t>
      </w:r>
      <w:bookmarkEnd w:id="2123"/>
      <w:bookmarkEnd w:id="2124"/>
      <w:bookmarkEnd w:id="2125"/>
      <w:bookmarkEnd w:id="2126"/>
      <w:bookmarkEnd w:id="2127"/>
      <w:bookmarkEnd w:id="2128"/>
      <w:bookmarkEnd w:id="2129"/>
      <w:bookmarkEnd w:id="2130"/>
      <w:bookmarkEnd w:id="2131"/>
      <w:bookmarkEnd w:id="2132"/>
      <w:bookmarkEnd w:id="2133"/>
    </w:p>
    <w:p w14:paraId="246CD586">
      <w:pPr>
        <w:tabs>
          <w:tab w:val="left" w:pos="1800"/>
          <w:tab w:val="left" w:pos="5580"/>
        </w:tabs>
        <w:spacing w:line="360" w:lineRule="auto"/>
        <w:jc w:val="left"/>
        <w:rPr>
          <w:sz w:val="24"/>
        </w:rPr>
      </w:pPr>
    </w:p>
    <w:p w14:paraId="64DFA380">
      <w:pPr>
        <w:tabs>
          <w:tab w:val="left" w:pos="1800"/>
          <w:tab w:val="left" w:pos="5580"/>
        </w:tabs>
        <w:spacing w:line="360" w:lineRule="auto"/>
        <w:jc w:val="left"/>
        <w:rPr>
          <w:i/>
          <w:sz w:val="24"/>
        </w:rPr>
      </w:pPr>
      <w:r>
        <w:rPr>
          <w:rFonts w:hint="eastAsia"/>
          <w:i/>
          <w:sz w:val="24"/>
        </w:rPr>
        <w:t>（格式示例：适用于投报总价的项目）</w:t>
      </w:r>
    </w:p>
    <w:p w14:paraId="6D804562">
      <w:pPr>
        <w:tabs>
          <w:tab w:val="left" w:pos="1800"/>
          <w:tab w:val="left" w:pos="5580"/>
        </w:tabs>
        <w:spacing w:line="360" w:lineRule="auto"/>
        <w:ind w:firstLine="240" w:firstLineChars="100"/>
        <w:jc w:val="left"/>
        <w:rPr>
          <w:sz w:val="24"/>
          <w:u w:val="single"/>
        </w:rPr>
      </w:pPr>
      <w:r>
        <w:rPr>
          <w:sz w:val="24"/>
        </w:rPr>
        <w:t>项目编号/包号：___________     项目名称：___________</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0267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noWrap w:val="0"/>
            <w:vAlign w:val="center"/>
          </w:tcPr>
          <w:p w14:paraId="6D55DFA0">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5DC74CEA">
            <w:pPr>
              <w:tabs>
                <w:tab w:val="left" w:pos="5580"/>
              </w:tabs>
              <w:jc w:val="center"/>
              <w:rPr>
                <w:b/>
                <w:sz w:val="24"/>
              </w:rPr>
            </w:pPr>
            <w:r>
              <w:rPr>
                <w:rFonts w:hint="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noWrap w:val="0"/>
            <w:vAlign w:val="center"/>
          </w:tcPr>
          <w:p w14:paraId="1DC7FDE6">
            <w:pPr>
              <w:tabs>
                <w:tab w:val="left" w:pos="5580"/>
              </w:tabs>
              <w:jc w:val="center"/>
              <w:rPr>
                <w:b/>
                <w:sz w:val="24"/>
              </w:rPr>
            </w:pPr>
            <w:r>
              <w:rPr>
                <w:rFonts w:hint="eastAsia"/>
                <w:b/>
                <w:sz w:val="24"/>
              </w:rPr>
              <w:t>报价</w:t>
            </w:r>
          </w:p>
        </w:tc>
      </w:tr>
      <w:tr w14:paraId="729C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noWrap w:val="0"/>
            <w:vAlign w:val="center"/>
          </w:tcPr>
          <w:p w14:paraId="0BFC65CB">
            <w:pPr>
              <w:widowControl/>
              <w:jc w:val="left"/>
              <w:rPr>
                <w:b/>
                <w:sz w:val="24"/>
              </w:rPr>
            </w:pPr>
          </w:p>
        </w:tc>
        <w:tc>
          <w:tcPr>
            <w:tcW w:w="1960" w:type="pct"/>
            <w:vMerge w:val="continue"/>
            <w:tcBorders>
              <w:top w:val="single" w:color="auto" w:sz="4" w:space="0"/>
              <w:left w:val="single" w:color="auto" w:sz="4" w:space="0"/>
              <w:bottom w:val="single" w:color="auto" w:sz="4" w:space="0"/>
              <w:right w:val="single" w:color="auto" w:sz="4" w:space="0"/>
            </w:tcBorders>
            <w:noWrap w:val="0"/>
            <w:vAlign w:val="center"/>
          </w:tcPr>
          <w:p w14:paraId="71D300ED">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1F65EC4E">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75E57048">
            <w:pPr>
              <w:tabs>
                <w:tab w:val="left" w:pos="5580"/>
              </w:tabs>
              <w:jc w:val="center"/>
              <w:rPr>
                <w:b/>
                <w:sz w:val="24"/>
              </w:rPr>
            </w:pPr>
            <w:r>
              <w:rPr>
                <w:rFonts w:hint="eastAsia"/>
                <w:b/>
                <w:sz w:val="24"/>
              </w:rPr>
              <w:t>小写</w:t>
            </w:r>
          </w:p>
        </w:tc>
      </w:tr>
      <w:tr w14:paraId="4ECC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7F27897C">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62B8A505">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5E58A94D">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60277546">
            <w:pPr>
              <w:tabs>
                <w:tab w:val="left" w:pos="5580"/>
              </w:tabs>
              <w:jc w:val="center"/>
              <w:rPr>
                <w:sz w:val="24"/>
              </w:rPr>
            </w:pPr>
          </w:p>
        </w:tc>
      </w:tr>
    </w:tbl>
    <w:p w14:paraId="768CC6A9">
      <w:pPr>
        <w:autoSpaceDE w:val="0"/>
        <w:autoSpaceDN w:val="0"/>
        <w:adjustRightInd w:val="0"/>
        <w:jc w:val="left"/>
        <w:rPr>
          <w:kern w:val="0"/>
          <w:sz w:val="24"/>
        </w:rPr>
      </w:pPr>
    </w:p>
    <w:p w14:paraId="180A83F7">
      <w:pPr>
        <w:autoSpaceDE w:val="0"/>
        <w:autoSpaceDN w:val="0"/>
        <w:adjustRightInd w:val="0"/>
        <w:jc w:val="left"/>
        <w:rPr>
          <w:sz w:val="24"/>
          <w:szCs w:val="20"/>
        </w:rPr>
      </w:pPr>
      <w:r>
        <w:rPr>
          <w:kern w:val="0"/>
          <w:sz w:val="24"/>
        </w:rPr>
        <w:t>注：1</w:t>
      </w:r>
      <w:r>
        <w:rPr>
          <w:sz w:val="24"/>
          <w:szCs w:val="20"/>
        </w:rPr>
        <w:t>.此表中，每包的报价应和《分项报价表》中的总价相一致。</w:t>
      </w:r>
    </w:p>
    <w:p w14:paraId="47860D03">
      <w:pPr>
        <w:tabs>
          <w:tab w:val="left" w:pos="5580"/>
        </w:tabs>
        <w:ind w:firstLine="480" w:firstLineChars="200"/>
        <w:rPr>
          <w:sz w:val="24"/>
          <w:szCs w:val="20"/>
        </w:rPr>
      </w:pPr>
      <w:r>
        <w:rPr>
          <w:sz w:val="24"/>
          <w:szCs w:val="20"/>
        </w:rPr>
        <w:t>2.本表必须按包分别填写。</w:t>
      </w:r>
    </w:p>
    <w:p w14:paraId="229EEBA5">
      <w:pPr>
        <w:tabs>
          <w:tab w:val="left" w:pos="5580"/>
        </w:tabs>
        <w:ind w:firstLine="480" w:firstLineChars="200"/>
        <w:rPr>
          <w:sz w:val="24"/>
          <w:szCs w:val="20"/>
        </w:rPr>
      </w:pPr>
    </w:p>
    <w:p w14:paraId="3EFF986C">
      <w:pPr>
        <w:autoSpaceDE w:val="0"/>
        <w:autoSpaceDN w:val="0"/>
        <w:adjustRightInd w:val="0"/>
        <w:snapToGrid w:val="0"/>
        <w:spacing w:before="25" w:after="25" w:line="360" w:lineRule="auto"/>
        <w:rPr>
          <w:sz w:val="24"/>
          <w:lang w:val="zh-CN"/>
        </w:rPr>
      </w:pPr>
    </w:p>
    <w:p w14:paraId="4626C72A">
      <w:pPr>
        <w:autoSpaceDE w:val="0"/>
        <w:autoSpaceDN w:val="0"/>
        <w:adjustRightInd w:val="0"/>
        <w:snapToGrid w:val="0"/>
        <w:spacing w:before="25" w:after="25" w:line="360" w:lineRule="auto"/>
        <w:rPr>
          <w:sz w:val="24"/>
          <w:lang w:val="zh-CN"/>
        </w:rPr>
      </w:pPr>
      <w:r>
        <w:rPr>
          <w:sz w:val="24"/>
          <w:lang w:val="zh-CN"/>
        </w:rPr>
        <w:t xml:space="preserve">   </w:t>
      </w:r>
    </w:p>
    <w:p w14:paraId="332F63F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4CC6B4E6">
      <w:pPr>
        <w:autoSpaceDE w:val="0"/>
        <w:autoSpaceDN w:val="0"/>
        <w:adjustRightInd w:val="0"/>
        <w:snapToGrid w:val="0"/>
        <w:spacing w:line="360" w:lineRule="auto"/>
        <w:rPr>
          <w:sz w:val="24"/>
          <w:lang w:val="zh-CN"/>
        </w:rPr>
      </w:pPr>
      <w:r>
        <w:rPr>
          <w:sz w:val="24"/>
        </w:rPr>
        <w:t>日期：</w:t>
      </w:r>
      <w:r>
        <w:rPr>
          <w:sz w:val="24"/>
          <w:szCs w:val="20"/>
        </w:rPr>
        <w:t>____年____月____日</w:t>
      </w:r>
    </w:p>
    <w:p w14:paraId="737ACBBA">
      <w:pPr>
        <w:autoSpaceDE w:val="0"/>
        <w:autoSpaceDN w:val="0"/>
        <w:adjustRightInd w:val="0"/>
        <w:snapToGrid w:val="0"/>
        <w:spacing w:before="25" w:after="25" w:line="360" w:lineRule="auto"/>
        <w:rPr>
          <w:sz w:val="24"/>
          <w:lang w:val="zh-CN"/>
        </w:rPr>
      </w:pPr>
      <w:r>
        <w:rPr>
          <w:sz w:val="24"/>
          <w:szCs w:val="20"/>
        </w:rPr>
        <w:t xml:space="preserve">  </w:t>
      </w:r>
    </w:p>
    <w:p w14:paraId="445488C4">
      <w:pPr>
        <w:widowControl/>
        <w:jc w:val="left"/>
        <w:rPr>
          <w:sz w:val="24"/>
        </w:rPr>
      </w:pPr>
      <w:bookmarkStart w:id="2134" w:name="_Toc195842924"/>
      <w:bookmarkStart w:id="2135" w:name="_Toc226337255"/>
      <w:bookmarkStart w:id="2136" w:name="_Toc142311060"/>
      <w:bookmarkStart w:id="2137" w:name="_Toc226965749"/>
      <w:bookmarkStart w:id="2138" w:name="_Toc150480796"/>
      <w:bookmarkStart w:id="2139" w:name="_Toc305158901"/>
      <w:bookmarkStart w:id="2140" w:name="_Toc305158827"/>
      <w:bookmarkStart w:id="2141" w:name="_Toc127151558"/>
      <w:bookmarkStart w:id="2142" w:name="_Toc226309803"/>
      <w:bookmarkStart w:id="2143" w:name="_Toc226965832"/>
      <w:bookmarkStart w:id="2144" w:name="_Toc150774763"/>
      <w:bookmarkStart w:id="2145" w:name="_Toc264969249"/>
      <w:bookmarkStart w:id="2146" w:name="_Toc265228397"/>
      <w:r>
        <w:rPr>
          <w:sz w:val="24"/>
          <w:szCs w:val="20"/>
        </w:rPr>
        <w:br w:type="page"/>
      </w:r>
      <w:r>
        <w:rPr>
          <w:sz w:val="24"/>
        </w:rPr>
        <w:t>8  分项报价表</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7AEA554C">
      <w:pPr>
        <w:spacing w:line="360" w:lineRule="exact"/>
        <w:jc w:val="center"/>
        <w:rPr>
          <w:b/>
          <w:sz w:val="36"/>
          <w:szCs w:val="36"/>
        </w:rPr>
      </w:pPr>
      <w:r>
        <w:rPr>
          <w:rFonts w:hint="eastAsia"/>
          <w:b/>
          <w:sz w:val="36"/>
          <w:szCs w:val="36"/>
        </w:rPr>
        <w:t>分项报价表</w:t>
      </w:r>
    </w:p>
    <w:p w14:paraId="0B98EC43">
      <w:pPr>
        <w:spacing w:line="260" w:lineRule="exact"/>
        <w:jc w:val="center"/>
        <w:rPr>
          <w:sz w:val="36"/>
          <w:szCs w:val="36"/>
        </w:rPr>
      </w:pPr>
    </w:p>
    <w:p w14:paraId="5D998334">
      <w:pPr>
        <w:adjustRightInd w:val="0"/>
        <w:snapToGrid w:val="0"/>
        <w:spacing w:before="240" w:beforeLines="100" w:after="240" w:afterLines="100"/>
        <w:jc w:val="left"/>
        <w:rPr>
          <w:b/>
          <w:i/>
          <w:sz w:val="24"/>
        </w:rPr>
      </w:pPr>
      <w:r>
        <w:rPr>
          <w:b/>
          <w:i/>
          <w:sz w:val="24"/>
        </w:rPr>
        <w:t>（格式示例一，适用于设备采购）</w:t>
      </w:r>
    </w:p>
    <w:p w14:paraId="0EE39D4C">
      <w:pPr>
        <w:tabs>
          <w:tab w:val="left" w:pos="1800"/>
          <w:tab w:val="left" w:pos="5580"/>
        </w:tabs>
        <w:rPr>
          <w:sz w:val="24"/>
        </w:rPr>
      </w:pPr>
      <w:r>
        <w:rPr>
          <w:sz w:val="24"/>
        </w:rPr>
        <w:t>项目编号/包号：_________ 项目名称：_________报价单位：人民币元</w:t>
      </w:r>
    </w:p>
    <w:tbl>
      <w:tblPr>
        <w:tblStyle w:val="46"/>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17"/>
        <w:gridCol w:w="732"/>
        <w:gridCol w:w="814"/>
        <w:gridCol w:w="1154"/>
        <w:gridCol w:w="908"/>
        <w:gridCol w:w="807"/>
        <w:gridCol w:w="866"/>
        <w:gridCol w:w="939"/>
        <w:gridCol w:w="457"/>
        <w:gridCol w:w="152"/>
        <w:gridCol w:w="787"/>
        <w:gridCol w:w="109"/>
      </w:tblGrid>
      <w:tr w14:paraId="3FF9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trHeight w:val="494" w:hRule="atLeast"/>
          <w:jc w:val="center"/>
        </w:trPr>
        <w:tc>
          <w:tcPr>
            <w:tcW w:w="703" w:type="dxa"/>
            <w:noWrap w:val="0"/>
            <w:vAlign w:val="center"/>
          </w:tcPr>
          <w:p w14:paraId="11D1357B">
            <w:pPr>
              <w:jc w:val="center"/>
              <w:rPr>
                <w:b/>
                <w:sz w:val="24"/>
              </w:rPr>
            </w:pPr>
            <w:r>
              <w:rPr>
                <w:b/>
                <w:sz w:val="24"/>
              </w:rPr>
              <w:t>序号</w:t>
            </w:r>
          </w:p>
        </w:tc>
        <w:tc>
          <w:tcPr>
            <w:tcW w:w="1317" w:type="dxa"/>
            <w:noWrap w:val="0"/>
            <w:vAlign w:val="center"/>
          </w:tcPr>
          <w:p w14:paraId="78446032">
            <w:pPr>
              <w:jc w:val="center"/>
              <w:rPr>
                <w:b/>
                <w:sz w:val="24"/>
              </w:rPr>
            </w:pPr>
            <w:r>
              <w:rPr>
                <w:b/>
                <w:sz w:val="24"/>
              </w:rPr>
              <w:t>分项名称</w:t>
            </w:r>
          </w:p>
        </w:tc>
        <w:tc>
          <w:tcPr>
            <w:tcW w:w="732" w:type="dxa"/>
            <w:noWrap w:val="0"/>
            <w:vAlign w:val="center"/>
          </w:tcPr>
          <w:p w14:paraId="266935B3">
            <w:pPr>
              <w:jc w:val="center"/>
              <w:rPr>
                <w:b/>
                <w:sz w:val="24"/>
              </w:rPr>
            </w:pPr>
            <w:r>
              <w:rPr>
                <w:b/>
                <w:sz w:val="24"/>
              </w:rPr>
              <w:t>制造商</w:t>
            </w:r>
          </w:p>
        </w:tc>
        <w:tc>
          <w:tcPr>
            <w:tcW w:w="814" w:type="dxa"/>
            <w:noWrap w:val="0"/>
            <w:vAlign w:val="center"/>
          </w:tcPr>
          <w:p w14:paraId="19FC41FC">
            <w:pPr>
              <w:jc w:val="center"/>
              <w:rPr>
                <w:b/>
                <w:sz w:val="24"/>
              </w:rPr>
            </w:pPr>
            <w:r>
              <w:rPr>
                <w:b/>
                <w:sz w:val="24"/>
              </w:rPr>
              <w:t>产地</w:t>
            </w:r>
            <w:r>
              <w:rPr>
                <w:rFonts w:hint="eastAsia"/>
                <w:b/>
                <w:sz w:val="24"/>
              </w:rPr>
              <w:t>/国别</w:t>
            </w:r>
          </w:p>
        </w:tc>
        <w:tc>
          <w:tcPr>
            <w:tcW w:w="1154" w:type="dxa"/>
            <w:noWrap w:val="0"/>
            <w:vAlign w:val="center"/>
          </w:tcPr>
          <w:p w14:paraId="6D0DDEF6">
            <w:pPr>
              <w:jc w:val="center"/>
              <w:rPr>
                <w:b/>
                <w:sz w:val="24"/>
              </w:rPr>
            </w:pPr>
            <w:r>
              <w:rPr>
                <w:rFonts w:hint="eastAsia"/>
                <w:b/>
                <w:sz w:val="24"/>
              </w:rPr>
              <w:t>制造商统一信用代码</w:t>
            </w:r>
          </w:p>
        </w:tc>
        <w:tc>
          <w:tcPr>
            <w:tcW w:w="908" w:type="dxa"/>
            <w:noWrap w:val="0"/>
            <w:vAlign w:val="center"/>
          </w:tcPr>
          <w:p w14:paraId="17553005">
            <w:pPr>
              <w:jc w:val="center"/>
              <w:rPr>
                <w:b/>
                <w:sz w:val="24"/>
              </w:rPr>
            </w:pPr>
            <w:r>
              <w:rPr>
                <w:rFonts w:hint="eastAsia"/>
                <w:b/>
                <w:sz w:val="24"/>
              </w:rPr>
              <w:t>制造商规模</w:t>
            </w:r>
          </w:p>
        </w:tc>
        <w:tc>
          <w:tcPr>
            <w:tcW w:w="807" w:type="dxa"/>
            <w:noWrap w:val="0"/>
            <w:vAlign w:val="center"/>
          </w:tcPr>
          <w:p w14:paraId="77A96326">
            <w:pPr>
              <w:jc w:val="center"/>
              <w:rPr>
                <w:b/>
                <w:sz w:val="24"/>
              </w:rPr>
            </w:pPr>
            <w:r>
              <w:rPr>
                <w:rFonts w:hint="eastAsia"/>
                <w:b/>
                <w:sz w:val="24"/>
              </w:rPr>
              <w:t>品牌</w:t>
            </w:r>
          </w:p>
        </w:tc>
        <w:tc>
          <w:tcPr>
            <w:tcW w:w="866" w:type="dxa"/>
            <w:noWrap w:val="0"/>
            <w:vAlign w:val="center"/>
          </w:tcPr>
          <w:p w14:paraId="177E2451">
            <w:pPr>
              <w:jc w:val="center"/>
              <w:rPr>
                <w:b/>
                <w:sz w:val="24"/>
              </w:rPr>
            </w:pPr>
            <w:r>
              <w:rPr>
                <w:b/>
                <w:sz w:val="24"/>
              </w:rPr>
              <w:t>规格、型号</w:t>
            </w:r>
          </w:p>
        </w:tc>
        <w:tc>
          <w:tcPr>
            <w:tcW w:w="939" w:type="dxa"/>
            <w:noWrap w:val="0"/>
            <w:vAlign w:val="center"/>
          </w:tcPr>
          <w:p w14:paraId="7D84BA90">
            <w:pPr>
              <w:jc w:val="center"/>
              <w:rPr>
                <w:b/>
                <w:sz w:val="24"/>
              </w:rPr>
            </w:pPr>
            <w:r>
              <w:rPr>
                <w:b/>
                <w:sz w:val="24"/>
              </w:rPr>
              <w:t>单价（元）</w:t>
            </w:r>
          </w:p>
        </w:tc>
        <w:tc>
          <w:tcPr>
            <w:tcW w:w="457" w:type="dxa"/>
            <w:noWrap w:val="0"/>
            <w:vAlign w:val="center"/>
          </w:tcPr>
          <w:p w14:paraId="5D122306">
            <w:pPr>
              <w:jc w:val="center"/>
              <w:rPr>
                <w:b/>
                <w:sz w:val="24"/>
              </w:rPr>
            </w:pPr>
            <w:r>
              <w:rPr>
                <w:b/>
                <w:sz w:val="24"/>
              </w:rPr>
              <w:t>数量</w:t>
            </w:r>
          </w:p>
        </w:tc>
        <w:tc>
          <w:tcPr>
            <w:tcW w:w="939" w:type="dxa"/>
            <w:gridSpan w:val="2"/>
            <w:noWrap w:val="0"/>
            <w:vAlign w:val="center"/>
          </w:tcPr>
          <w:p w14:paraId="5816B2FC">
            <w:pPr>
              <w:jc w:val="center"/>
              <w:rPr>
                <w:b/>
                <w:sz w:val="24"/>
              </w:rPr>
            </w:pPr>
            <w:r>
              <w:rPr>
                <w:b/>
                <w:sz w:val="24"/>
              </w:rPr>
              <w:t>合价（元）</w:t>
            </w:r>
          </w:p>
        </w:tc>
      </w:tr>
      <w:tr w14:paraId="5ACD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6355A04D">
            <w:pPr>
              <w:adjustRightInd w:val="0"/>
              <w:snapToGrid w:val="0"/>
              <w:jc w:val="left"/>
              <w:rPr>
                <w:sz w:val="24"/>
              </w:rPr>
            </w:pPr>
            <w:r>
              <w:rPr>
                <w:sz w:val="24"/>
              </w:rPr>
              <w:t>1</w:t>
            </w:r>
          </w:p>
        </w:tc>
        <w:tc>
          <w:tcPr>
            <w:tcW w:w="676" w:type="pct"/>
            <w:noWrap w:val="0"/>
            <w:vAlign w:val="center"/>
          </w:tcPr>
          <w:p w14:paraId="0A23F1BC">
            <w:pPr>
              <w:adjustRightInd w:val="0"/>
              <w:snapToGrid w:val="0"/>
              <w:jc w:val="left"/>
              <w:rPr>
                <w:sz w:val="24"/>
              </w:rPr>
            </w:pPr>
          </w:p>
        </w:tc>
        <w:tc>
          <w:tcPr>
            <w:tcW w:w="376" w:type="pct"/>
            <w:noWrap w:val="0"/>
            <w:vAlign w:val="center"/>
          </w:tcPr>
          <w:p w14:paraId="4A12EDB7">
            <w:pPr>
              <w:adjustRightInd w:val="0"/>
              <w:snapToGrid w:val="0"/>
              <w:jc w:val="left"/>
              <w:rPr>
                <w:sz w:val="24"/>
              </w:rPr>
            </w:pPr>
          </w:p>
        </w:tc>
        <w:tc>
          <w:tcPr>
            <w:tcW w:w="418" w:type="pct"/>
            <w:noWrap w:val="0"/>
            <w:vAlign w:val="top"/>
          </w:tcPr>
          <w:p w14:paraId="17C7B3B0">
            <w:pPr>
              <w:adjustRightInd w:val="0"/>
              <w:snapToGrid w:val="0"/>
              <w:jc w:val="left"/>
              <w:rPr>
                <w:sz w:val="24"/>
              </w:rPr>
            </w:pPr>
          </w:p>
        </w:tc>
        <w:tc>
          <w:tcPr>
            <w:tcW w:w="592" w:type="pct"/>
            <w:noWrap w:val="0"/>
            <w:vAlign w:val="center"/>
          </w:tcPr>
          <w:p w14:paraId="6B2457CD">
            <w:pPr>
              <w:adjustRightInd w:val="0"/>
              <w:snapToGrid w:val="0"/>
              <w:jc w:val="left"/>
              <w:rPr>
                <w:sz w:val="24"/>
              </w:rPr>
            </w:pPr>
          </w:p>
        </w:tc>
        <w:tc>
          <w:tcPr>
            <w:tcW w:w="466" w:type="pct"/>
            <w:noWrap w:val="0"/>
            <w:vAlign w:val="center"/>
          </w:tcPr>
          <w:p w14:paraId="622983A7">
            <w:pPr>
              <w:adjustRightInd w:val="0"/>
              <w:snapToGrid w:val="0"/>
              <w:jc w:val="left"/>
              <w:rPr>
                <w:sz w:val="24"/>
              </w:rPr>
            </w:pPr>
          </w:p>
        </w:tc>
        <w:tc>
          <w:tcPr>
            <w:tcW w:w="414" w:type="pct"/>
            <w:noWrap w:val="0"/>
            <w:vAlign w:val="center"/>
          </w:tcPr>
          <w:p w14:paraId="4312FD71">
            <w:pPr>
              <w:adjustRightInd w:val="0"/>
              <w:snapToGrid w:val="0"/>
              <w:jc w:val="left"/>
              <w:rPr>
                <w:sz w:val="24"/>
              </w:rPr>
            </w:pPr>
          </w:p>
        </w:tc>
        <w:tc>
          <w:tcPr>
            <w:tcW w:w="444" w:type="pct"/>
            <w:noWrap w:val="0"/>
            <w:vAlign w:val="center"/>
          </w:tcPr>
          <w:p w14:paraId="07753D99">
            <w:pPr>
              <w:adjustRightInd w:val="0"/>
              <w:snapToGrid w:val="0"/>
              <w:jc w:val="left"/>
              <w:rPr>
                <w:sz w:val="24"/>
              </w:rPr>
            </w:pPr>
          </w:p>
        </w:tc>
        <w:tc>
          <w:tcPr>
            <w:tcW w:w="481" w:type="pct"/>
            <w:noWrap w:val="0"/>
            <w:vAlign w:val="center"/>
          </w:tcPr>
          <w:p w14:paraId="358ADDE1">
            <w:pPr>
              <w:adjustRightInd w:val="0"/>
              <w:snapToGrid w:val="0"/>
              <w:jc w:val="left"/>
              <w:rPr>
                <w:sz w:val="24"/>
              </w:rPr>
            </w:pPr>
          </w:p>
        </w:tc>
        <w:tc>
          <w:tcPr>
            <w:tcW w:w="234" w:type="pct"/>
            <w:noWrap w:val="0"/>
            <w:vAlign w:val="center"/>
          </w:tcPr>
          <w:p w14:paraId="2077A85A">
            <w:pPr>
              <w:adjustRightInd w:val="0"/>
              <w:snapToGrid w:val="0"/>
              <w:jc w:val="left"/>
              <w:rPr>
                <w:sz w:val="24"/>
              </w:rPr>
            </w:pPr>
          </w:p>
        </w:tc>
        <w:tc>
          <w:tcPr>
            <w:tcW w:w="481" w:type="pct"/>
            <w:gridSpan w:val="2"/>
            <w:noWrap w:val="0"/>
            <w:vAlign w:val="center"/>
          </w:tcPr>
          <w:p w14:paraId="751EC018">
            <w:pPr>
              <w:adjustRightInd w:val="0"/>
              <w:snapToGrid w:val="0"/>
              <w:jc w:val="left"/>
              <w:rPr>
                <w:sz w:val="24"/>
              </w:rPr>
            </w:pPr>
          </w:p>
        </w:tc>
      </w:tr>
      <w:tr w14:paraId="4F2F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5F860701">
            <w:pPr>
              <w:adjustRightInd w:val="0"/>
              <w:snapToGrid w:val="0"/>
              <w:jc w:val="left"/>
              <w:rPr>
                <w:sz w:val="24"/>
              </w:rPr>
            </w:pPr>
            <w:r>
              <w:rPr>
                <w:sz w:val="24"/>
              </w:rPr>
              <w:t>2</w:t>
            </w:r>
          </w:p>
        </w:tc>
        <w:tc>
          <w:tcPr>
            <w:tcW w:w="676" w:type="pct"/>
            <w:noWrap w:val="0"/>
            <w:vAlign w:val="center"/>
          </w:tcPr>
          <w:p w14:paraId="7AE4104E">
            <w:pPr>
              <w:adjustRightInd w:val="0"/>
              <w:snapToGrid w:val="0"/>
              <w:jc w:val="left"/>
              <w:rPr>
                <w:sz w:val="24"/>
              </w:rPr>
            </w:pPr>
          </w:p>
        </w:tc>
        <w:tc>
          <w:tcPr>
            <w:tcW w:w="376" w:type="pct"/>
            <w:noWrap w:val="0"/>
            <w:vAlign w:val="center"/>
          </w:tcPr>
          <w:p w14:paraId="219C35EA">
            <w:pPr>
              <w:adjustRightInd w:val="0"/>
              <w:snapToGrid w:val="0"/>
              <w:jc w:val="left"/>
              <w:rPr>
                <w:sz w:val="24"/>
              </w:rPr>
            </w:pPr>
          </w:p>
        </w:tc>
        <w:tc>
          <w:tcPr>
            <w:tcW w:w="418" w:type="pct"/>
            <w:noWrap w:val="0"/>
            <w:vAlign w:val="top"/>
          </w:tcPr>
          <w:p w14:paraId="11F9698B">
            <w:pPr>
              <w:adjustRightInd w:val="0"/>
              <w:snapToGrid w:val="0"/>
              <w:jc w:val="left"/>
              <w:rPr>
                <w:sz w:val="24"/>
              </w:rPr>
            </w:pPr>
          </w:p>
        </w:tc>
        <w:tc>
          <w:tcPr>
            <w:tcW w:w="592" w:type="pct"/>
            <w:noWrap w:val="0"/>
            <w:vAlign w:val="center"/>
          </w:tcPr>
          <w:p w14:paraId="73E900B3">
            <w:pPr>
              <w:adjustRightInd w:val="0"/>
              <w:snapToGrid w:val="0"/>
              <w:jc w:val="left"/>
              <w:rPr>
                <w:sz w:val="24"/>
              </w:rPr>
            </w:pPr>
          </w:p>
        </w:tc>
        <w:tc>
          <w:tcPr>
            <w:tcW w:w="466" w:type="pct"/>
            <w:noWrap w:val="0"/>
            <w:vAlign w:val="center"/>
          </w:tcPr>
          <w:p w14:paraId="5A8648D6">
            <w:pPr>
              <w:adjustRightInd w:val="0"/>
              <w:snapToGrid w:val="0"/>
              <w:jc w:val="left"/>
              <w:rPr>
                <w:sz w:val="24"/>
              </w:rPr>
            </w:pPr>
          </w:p>
        </w:tc>
        <w:tc>
          <w:tcPr>
            <w:tcW w:w="414" w:type="pct"/>
            <w:noWrap w:val="0"/>
            <w:vAlign w:val="center"/>
          </w:tcPr>
          <w:p w14:paraId="4D5F9649">
            <w:pPr>
              <w:adjustRightInd w:val="0"/>
              <w:snapToGrid w:val="0"/>
              <w:jc w:val="left"/>
              <w:rPr>
                <w:sz w:val="24"/>
              </w:rPr>
            </w:pPr>
          </w:p>
        </w:tc>
        <w:tc>
          <w:tcPr>
            <w:tcW w:w="444" w:type="pct"/>
            <w:noWrap w:val="0"/>
            <w:vAlign w:val="center"/>
          </w:tcPr>
          <w:p w14:paraId="3FD21429">
            <w:pPr>
              <w:adjustRightInd w:val="0"/>
              <w:snapToGrid w:val="0"/>
              <w:jc w:val="left"/>
              <w:rPr>
                <w:sz w:val="24"/>
              </w:rPr>
            </w:pPr>
          </w:p>
        </w:tc>
        <w:tc>
          <w:tcPr>
            <w:tcW w:w="481" w:type="pct"/>
            <w:noWrap w:val="0"/>
            <w:vAlign w:val="center"/>
          </w:tcPr>
          <w:p w14:paraId="55DA42FE">
            <w:pPr>
              <w:adjustRightInd w:val="0"/>
              <w:snapToGrid w:val="0"/>
              <w:jc w:val="left"/>
              <w:rPr>
                <w:sz w:val="24"/>
              </w:rPr>
            </w:pPr>
          </w:p>
        </w:tc>
        <w:tc>
          <w:tcPr>
            <w:tcW w:w="234" w:type="pct"/>
            <w:noWrap w:val="0"/>
            <w:vAlign w:val="center"/>
          </w:tcPr>
          <w:p w14:paraId="6669FB8B">
            <w:pPr>
              <w:adjustRightInd w:val="0"/>
              <w:snapToGrid w:val="0"/>
              <w:jc w:val="left"/>
              <w:rPr>
                <w:sz w:val="24"/>
              </w:rPr>
            </w:pPr>
          </w:p>
        </w:tc>
        <w:tc>
          <w:tcPr>
            <w:tcW w:w="481" w:type="pct"/>
            <w:gridSpan w:val="2"/>
            <w:noWrap w:val="0"/>
            <w:vAlign w:val="center"/>
          </w:tcPr>
          <w:p w14:paraId="55B028D7">
            <w:pPr>
              <w:adjustRightInd w:val="0"/>
              <w:snapToGrid w:val="0"/>
              <w:jc w:val="left"/>
              <w:rPr>
                <w:sz w:val="24"/>
              </w:rPr>
            </w:pPr>
          </w:p>
        </w:tc>
      </w:tr>
      <w:tr w14:paraId="6CF4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288A3ED8">
            <w:pPr>
              <w:adjustRightInd w:val="0"/>
              <w:snapToGrid w:val="0"/>
              <w:jc w:val="left"/>
              <w:rPr>
                <w:sz w:val="24"/>
              </w:rPr>
            </w:pPr>
            <w:r>
              <w:rPr>
                <w:sz w:val="24"/>
              </w:rPr>
              <w:t>3</w:t>
            </w:r>
          </w:p>
        </w:tc>
        <w:tc>
          <w:tcPr>
            <w:tcW w:w="676" w:type="pct"/>
            <w:noWrap w:val="0"/>
            <w:vAlign w:val="center"/>
          </w:tcPr>
          <w:p w14:paraId="77A10977">
            <w:pPr>
              <w:adjustRightInd w:val="0"/>
              <w:snapToGrid w:val="0"/>
              <w:jc w:val="left"/>
              <w:rPr>
                <w:sz w:val="24"/>
              </w:rPr>
            </w:pPr>
          </w:p>
        </w:tc>
        <w:tc>
          <w:tcPr>
            <w:tcW w:w="376" w:type="pct"/>
            <w:noWrap w:val="0"/>
            <w:vAlign w:val="center"/>
          </w:tcPr>
          <w:p w14:paraId="70285B71">
            <w:pPr>
              <w:adjustRightInd w:val="0"/>
              <w:snapToGrid w:val="0"/>
              <w:jc w:val="left"/>
              <w:rPr>
                <w:sz w:val="24"/>
              </w:rPr>
            </w:pPr>
          </w:p>
        </w:tc>
        <w:tc>
          <w:tcPr>
            <w:tcW w:w="418" w:type="pct"/>
            <w:noWrap w:val="0"/>
            <w:vAlign w:val="top"/>
          </w:tcPr>
          <w:p w14:paraId="3445DB1C">
            <w:pPr>
              <w:adjustRightInd w:val="0"/>
              <w:snapToGrid w:val="0"/>
              <w:jc w:val="left"/>
              <w:rPr>
                <w:sz w:val="24"/>
              </w:rPr>
            </w:pPr>
          </w:p>
        </w:tc>
        <w:tc>
          <w:tcPr>
            <w:tcW w:w="592" w:type="pct"/>
            <w:noWrap w:val="0"/>
            <w:vAlign w:val="center"/>
          </w:tcPr>
          <w:p w14:paraId="73F2DE79">
            <w:pPr>
              <w:adjustRightInd w:val="0"/>
              <w:snapToGrid w:val="0"/>
              <w:jc w:val="left"/>
              <w:rPr>
                <w:sz w:val="24"/>
              </w:rPr>
            </w:pPr>
          </w:p>
        </w:tc>
        <w:tc>
          <w:tcPr>
            <w:tcW w:w="466" w:type="pct"/>
            <w:noWrap w:val="0"/>
            <w:vAlign w:val="center"/>
          </w:tcPr>
          <w:p w14:paraId="0AC8664A">
            <w:pPr>
              <w:adjustRightInd w:val="0"/>
              <w:snapToGrid w:val="0"/>
              <w:jc w:val="left"/>
              <w:rPr>
                <w:sz w:val="24"/>
              </w:rPr>
            </w:pPr>
          </w:p>
        </w:tc>
        <w:tc>
          <w:tcPr>
            <w:tcW w:w="414" w:type="pct"/>
            <w:noWrap w:val="0"/>
            <w:vAlign w:val="center"/>
          </w:tcPr>
          <w:p w14:paraId="0037C6EC">
            <w:pPr>
              <w:adjustRightInd w:val="0"/>
              <w:snapToGrid w:val="0"/>
              <w:jc w:val="left"/>
              <w:rPr>
                <w:sz w:val="24"/>
              </w:rPr>
            </w:pPr>
          </w:p>
        </w:tc>
        <w:tc>
          <w:tcPr>
            <w:tcW w:w="444" w:type="pct"/>
            <w:noWrap w:val="0"/>
            <w:vAlign w:val="center"/>
          </w:tcPr>
          <w:p w14:paraId="3A239B2D">
            <w:pPr>
              <w:adjustRightInd w:val="0"/>
              <w:snapToGrid w:val="0"/>
              <w:jc w:val="left"/>
              <w:rPr>
                <w:sz w:val="24"/>
              </w:rPr>
            </w:pPr>
          </w:p>
        </w:tc>
        <w:tc>
          <w:tcPr>
            <w:tcW w:w="481" w:type="pct"/>
            <w:noWrap w:val="0"/>
            <w:vAlign w:val="center"/>
          </w:tcPr>
          <w:p w14:paraId="175D68B9">
            <w:pPr>
              <w:adjustRightInd w:val="0"/>
              <w:snapToGrid w:val="0"/>
              <w:jc w:val="left"/>
              <w:rPr>
                <w:sz w:val="24"/>
              </w:rPr>
            </w:pPr>
          </w:p>
        </w:tc>
        <w:tc>
          <w:tcPr>
            <w:tcW w:w="234" w:type="pct"/>
            <w:noWrap w:val="0"/>
            <w:vAlign w:val="center"/>
          </w:tcPr>
          <w:p w14:paraId="04B3C2D5">
            <w:pPr>
              <w:adjustRightInd w:val="0"/>
              <w:snapToGrid w:val="0"/>
              <w:jc w:val="left"/>
              <w:rPr>
                <w:sz w:val="24"/>
              </w:rPr>
            </w:pPr>
          </w:p>
        </w:tc>
        <w:tc>
          <w:tcPr>
            <w:tcW w:w="481" w:type="pct"/>
            <w:gridSpan w:val="2"/>
            <w:noWrap w:val="0"/>
            <w:vAlign w:val="center"/>
          </w:tcPr>
          <w:p w14:paraId="3A28F98B">
            <w:pPr>
              <w:adjustRightInd w:val="0"/>
              <w:snapToGrid w:val="0"/>
              <w:jc w:val="left"/>
              <w:rPr>
                <w:sz w:val="24"/>
              </w:rPr>
            </w:pPr>
          </w:p>
        </w:tc>
      </w:tr>
      <w:tr w14:paraId="5D80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1B10D7E2">
            <w:pPr>
              <w:adjustRightInd w:val="0"/>
              <w:snapToGrid w:val="0"/>
              <w:jc w:val="left"/>
              <w:rPr>
                <w:sz w:val="24"/>
              </w:rPr>
            </w:pPr>
            <w:r>
              <w:rPr>
                <w:sz w:val="24"/>
              </w:rPr>
              <w:t>4</w:t>
            </w:r>
          </w:p>
        </w:tc>
        <w:tc>
          <w:tcPr>
            <w:tcW w:w="676" w:type="pct"/>
            <w:noWrap w:val="0"/>
            <w:vAlign w:val="center"/>
          </w:tcPr>
          <w:p w14:paraId="11B2B254">
            <w:pPr>
              <w:adjustRightInd w:val="0"/>
              <w:snapToGrid w:val="0"/>
              <w:jc w:val="left"/>
              <w:rPr>
                <w:sz w:val="24"/>
              </w:rPr>
            </w:pPr>
          </w:p>
        </w:tc>
        <w:tc>
          <w:tcPr>
            <w:tcW w:w="376" w:type="pct"/>
            <w:noWrap w:val="0"/>
            <w:vAlign w:val="center"/>
          </w:tcPr>
          <w:p w14:paraId="3C5ACB9D">
            <w:pPr>
              <w:adjustRightInd w:val="0"/>
              <w:snapToGrid w:val="0"/>
              <w:jc w:val="left"/>
              <w:rPr>
                <w:sz w:val="24"/>
              </w:rPr>
            </w:pPr>
          </w:p>
        </w:tc>
        <w:tc>
          <w:tcPr>
            <w:tcW w:w="418" w:type="pct"/>
            <w:noWrap w:val="0"/>
            <w:vAlign w:val="top"/>
          </w:tcPr>
          <w:p w14:paraId="0B468566">
            <w:pPr>
              <w:adjustRightInd w:val="0"/>
              <w:snapToGrid w:val="0"/>
              <w:jc w:val="left"/>
              <w:rPr>
                <w:sz w:val="24"/>
              </w:rPr>
            </w:pPr>
          </w:p>
        </w:tc>
        <w:tc>
          <w:tcPr>
            <w:tcW w:w="592" w:type="pct"/>
            <w:noWrap w:val="0"/>
            <w:vAlign w:val="center"/>
          </w:tcPr>
          <w:p w14:paraId="2946CE59">
            <w:pPr>
              <w:adjustRightInd w:val="0"/>
              <w:snapToGrid w:val="0"/>
              <w:jc w:val="left"/>
              <w:rPr>
                <w:sz w:val="24"/>
              </w:rPr>
            </w:pPr>
          </w:p>
        </w:tc>
        <w:tc>
          <w:tcPr>
            <w:tcW w:w="466" w:type="pct"/>
            <w:noWrap w:val="0"/>
            <w:vAlign w:val="center"/>
          </w:tcPr>
          <w:p w14:paraId="60CA6637">
            <w:pPr>
              <w:adjustRightInd w:val="0"/>
              <w:snapToGrid w:val="0"/>
              <w:jc w:val="left"/>
              <w:rPr>
                <w:sz w:val="24"/>
              </w:rPr>
            </w:pPr>
          </w:p>
        </w:tc>
        <w:tc>
          <w:tcPr>
            <w:tcW w:w="414" w:type="pct"/>
            <w:noWrap w:val="0"/>
            <w:vAlign w:val="center"/>
          </w:tcPr>
          <w:p w14:paraId="3F59D26D">
            <w:pPr>
              <w:adjustRightInd w:val="0"/>
              <w:snapToGrid w:val="0"/>
              <w:jc w:val="left"/>
              <w:rPr>
                <w:sz w:val="24"/>
              </w:rPr>
            </w:pPr>
          </w:p>
        </w:tc>
        <w:tc>
          <w:tcPr>
            <w:tcW w:w="444" w:type="pct"/>
            <w:noWrap w:val="0"/>
            <w:vAlign w:val="center"/>
          </w:tcPr>
          <w:p w14:paraId="44623BD1">
            <w:pPr>
              <w:adjustRightInd w:val="0"/>
              <w:snapToGrid w:val="0"/>
              <w:jc w:val="left"/>
              <w:rPr>
                <w:sz w:val="24"/>
              </w:rPr>
            </w:pPr>
          </w:p>
        </w:tc>
        <w:tc>
          <w:tcPr>
            <w:tcW w:w="481" w:type="pct"/>
            <w:noWrap w:val="0"/>
            <w:vAlign w:val="center"/>
          </w:tcPr>
          <w:p w14:paraId="02D6B378">
            <w:pPr>
              <w:adjustRightInd w:val="0"/>
              <w:snapToGrid w:val="0"/>
              <w:jc w:val="left"/>
              <w:rPr>
                <w:sz w:val="24"/>
              </w:rPr>
            </w:pPr>
          </w:p>
        </w:tc>
        <w:tc>
          <w:tcPr>
            <w:tcW w:w="234" w:type="pct"/>
            <w:noWrap w:val="0"/>
            <w:vAlign w:val="center"/>
          </w:tcPr>
          <w:p w14:paraId="14BE8247">
            <w:pPr>
              <w:adjustRightInd w:val="0"/>
              <w:snapToGrid w:val="0"/>
              <w:jc w:val="left"/>
              <w:rPr>
                <w:sz w:val="24"/>
              </w:rPr>
            </w:pPr>
          </w:p>
        </w:tc>
        <w:tc>
          <w:tcPr>
            <w:tcW w:w="481" w:type="pct"/>
            <w:gridSpan w:val="2"/>
            <w:noWrap w:val="0"/>
            <w:vAlign w:val="center"/>
          </w:tcPr>
          <w:p w14:paraId="3ED0B607">
            <w:pPr>
              <w:adjustRightInd w:val="0"/>
              <w:snapToGrid w:val="0"/>
              <w:jc w:val="left"/>
              <w:rPr>
                <w:sz w:val="24"/>
              </w:rPr>
            </w:pPr>
          </w:p>
        </w:tc>
      </w:tr>
      <w:tr w14:paraId="1454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446F9698">
            <w:pPr>
              <w:adjustRightInd w:val="0"/>
              <w:snapToGrid w:val="0"/>
              <w:jc w:val="left"/>
              <w:rPr>
                <w:sz w:val="24"/>
              </w:rPr>
            </w:pPr>
            <w:r>
              <w:rPr>
                <w:sz w:val="24"/>
              </w:rPr>
              <w:t>…</w:t>
            </w:r>
          </w:p>
        </w:tc>
        <w:tc>
          <w:tcPr>
            <w:tcW w:w="676" w:type="pct"/>
            <w:noWrap w:val="0"/>
            <w:vAlign w:val="center"/>
          </w:tcPr>
          <w:p w14:paraId="7BF1E305">
            <w:pPr>
              <w:adjustRightInd w:val="0"/>
              <w:snapToGrid w:val="0"/>
              <w:jc w:val="left"/>
              <w:rPr>
                <w:sz w:val="24"/>
              </w:rPr>
            </w:pPr>
          </w:p>
        </w:tc>
        <w:tc>
          <w:tcPr>
            <w:tcW w:w="376" w:type="pct"/>
            <w:noWrap w:val="0"/>
            <w:vAlign w:val="center"/>
          </w:tcPr>
          <w:p w14:paraId="47FAC3E0">
            <w:pPr>
              <w:adjustRightInd w:val="0"/>
              <w:snapToGrid w:val="0"/>
              <w:jc w:val="left"/>
              <w:rPr>
                <w:sz w:val="24"/>
              </w:rPr>
            </w:pPr>
          </w:p>
        </w:tc>
        <w:tc>
          <w:tcPr>
            <w:tcW w:w="418" w:type="pct"/>
            <w:noWrap w:val="0"/>
            <w:vAlign w:val="top"/>
          </w:tcPr>
          <w:p w14:paraId="28C97169">
            <w:pPr>
              <w:adjustRightInd w:val="0"/>
              <w:snapToGrid w:val="0"/>
              <w:jc w:val="left"/>
              <w:rPr>
                <w:sz w:val="24"/>
              </w:rPr>
            </w:pPr>
          </w:p>
        </w:tc>
        <w:tc>
          <w:tcPr>
            <w:tcW w:w="592" w:type="pct"/>
            <w:noWrap w:val="0"/>
            <w:vAlign w:val="center"/>
          </w:tcPr>
          <w:p w14:paraId="7ABC4E9A">
            <w:pPr>
              <w:adjustRightInd w:val="0"/>
              <w:snapToGrid w:val="0"/>
              <w:jc w:val="left"/>
              <w:rPr>
                <w:sz w:val="24"/>
              </w:rPr>
            </w:pPr>
          </w:p>
        </w:tc>
        <w:tc>
          <w:tcPr>
            <w:tcW w:w="466" w:type="pct"/>
            <w:noWrap w:val="0"/>
            <w:vAlign w:val="center"/>
          </w:tcPr>
          <w:p w14:paraId="5F824714">
            <w:pPr>
              <w:adjustRightInd w:val="0"/>
              <w:snapToGrid w:val="0"/>
              <w:jc w:val="left"/>
              <w:rPr>
                <w:sz w:val="24"/>
              </w:rPr>
            </w:pPr>
          </w:p>
        </w:tc>
        <w:tc>
          <w:tcPr>
            <w:tcW w:w="414" w:type="pct"/>
            <w:noWrap w:val="0"/>
            <w:vAlign w:val="center"/>
          </w:tcPr>
          <w:p w14:paraId="2DE4167D">
            <w:pPr>
              <w:adjustRightInd w:val="0"/>
              <w:snapToGrid w:val="0"/>
              <w:jc w:val="left"/>
              <w:rPr>
                <w:sz w:val="24"/>
              </w:rPr>
            </w:pPr>
          </w:p>
        </w:tc>
        <w:tc>
          <w:tcPr>
            <w:tcW w:w="444" w:type="pct"/>
            <w:noWrap w:val="0"/>
            <w:vAlign w:val="center"/>
          </w:tcPr>
          <w:p w14:paraId="603B0CEF">
            <w:pPr>
              <w:adjustRightInd w:val="0"/>
              <w:snapToGrid w:val="0"/>
              <w:jc w:val="left"/>
              <w:rPr>
                <w:sz w:val="24"/>
              </w:rPr>
            </w:pPr>
          </w:p>
        </w:tc>
        <w:tc>
          <w:tcPr>
            <w:tcW w:w="481" w:type="pct"/>
            <w:noWrap w:val="0"/>
            <w:vAlign w:val="center"/>
          </w:tcPr>
          <w:p w14:paraId="297FC9D1">
            <w:pPr>
              <w:adjustRightInd w:val="0"/>
              <w:snapToGrid w:val="0"/>
              <w:jc w:val="left"/>
              <w:rPr>
                <w:sz w:val="24"/>
              </w:rPr>
            </w:pPr>
          </w:p>
        </w:tc>
        <w:tc>
          <w:tcPr>
            <w:tcW w:w="234" w:type="pct"/>
            <w:noWrap w:val="0"/>
            <w:vAlign w:val="center"/>
          </w:tcPr>
          <w:p w14:paraId="230448A9">
            <w:pPr>
              <w:adjustRightInd w:val="0"/>
              <w:snapToGrid w:val="0"/>
              <w:jc w:val="left"/>
              <w:rPr>
                <w:sz w:val="24"/>
              </w:rPr>
            </w:pPr>
          </w:p>
        </w:tc>
        <w:tc>
          <w:tcPr>
            <w:tcW w:w="481" w:type="pct"/>
            <w:gridSpan w:val="2"/>
            <w:noWrap w:val="0"/>
            <w:vAlign w:val="center"/>
          </w:tcPr>
          <w:p w14:paraId="3483CDE9">
            <w:pPr>
              <w:adjustRightInd w:val="0"/>
              <w:snapToGrid w:val="0"/>
              <w:jc w:val="left"/>
              <w:rPr>
                <w:sz w:val="24"/>
              </w:rPr>
            </w:pPr>
          </w:p>
        </w:tc>
      </w:tr>
      <w:tr w14:paraId="6AA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pct"/>
            <w:gridSpan w:val="11"/>
            <w:noWrap w:val="0"/>
            <w:vAlign w:val="top"/>
          </w:tcPr>
          <w:p w14:paraId="1649855D">
            <w:pPr>
              <w:jc w:val="right"/>
              <w:rPr>
                <w:b/>
                <w:sz w:val="24"/>
              </w:rPr>
            </w:pPr>
            <w:r>
              <w:rPr>
                <w:b/>
                <w:sz w:val="24"/>
              </w:rPr>
              <w:t>总价（元）</w:t>
            </w:r>
          </w:p>
        </w:tc>
        <w:tc>
          <w:tcPr>
            <w:tcW w:w="459" w:type="pct"/>
            <w:gridSpan w:val="2"/>
            <w:noWrap w:val="0"/>
            <w:vAlign w:val="center"/>
          </w:tcPr>
          <w:p w14:paraId="1806E21A">
            <w:pPr>
              <w:adjustRightInd w:val="0"/>
              <w:snapToGrid w:val="0"/>
              <w:jc w:val="left"/>
              <w:rPr>
                <w:sz w:val="24"/>
              </w:rPr>
            </w:pPr>
          </w:p>
        </w:tc>
      </w:tr>
    </w:tbl>
    <w:p w14:paraId="51085073">
      <w:pPr>
        <w:adjustRightInd w:val="0"/>
        <w:snapToGrid w:val="0"/>
        <w:spacing w:before="240" w:beforeLines="100" w:after="240" w:afterLines="100"/>
        <w:jc w:val="left"/>
        <w:rPr>
          <w:b/>
          <w:i/>
          <w:sz w:val="24"/>
        </w:rPr>
      </w:pPr>
      <w:r>
        <w:rPr>
          <w:b/>
          <w:i/>
          <w:sz w:val="24"/>
        </w:rPr>
        <w:br w:type="page"/>
      </w:r>
      <w:r>
        <w:rPr>
          <w:b/>
          <w:i/>
          <w:sz w:val="24"/>
        </w:rPr>
        <w:t>（格式示例</w:t>
      </w:r>
      <w:r>
        <w:rPr>
          <w:rFonts w:hint="eastAsia"/>
          <w:b/>
          <w:i/>
          <w:sz w:val="24"/>
          <w:lang w:val="en-US" w:eastAsia="zh-CN"/>
        </w:rPr>
        <w:t>二</w:t>
      </w:r>
      <w:r>
        <w:rPr>
          <w:b/>
          <w:i/>
          <w:sz w:val="24"/>
        </w:rPr>
        <w:t>，适用于服务类项目）</w:t>
      </w:r>
    </w:p>
    <w:p w14:paraId="19CBE155">
      <w:pPr>
        <w:tabs>
          <w:tab w:val="left" w:pos="1800"/>
          <w:tab w:val="left" w:pos="5580"/>
        </w:tabs>
        <w:rPr>
          <w:sz w:val="24"/>
        </w:rPr>
      </w:pPr>
      <w:r>
        <w:rPr>
          <w:sz w:val="24"/>
        </w:rPr>
        <w:t>项目编号/包号：_________ 项目名称：_________报价单位：人民币元</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45F7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373893E2">
            <w:pPr>
              <w:adjustRightInd w:val="0"/>
              <w:snapToGrid w:val="0"/>
              <w:jc w:val="left"/>
              <w:rPr>
                <w:b/>
                <w:sz w:val="24"/>
              </w:rPr>
            </w:pPr>
            <w:r>
              <w:rPr>
                <w:b/>
                <w:sz w:val="24"/>
              </w:rPr>
              <w:t>序号</w:t>
            </w:r>
          </w:p>
        </w:tc>
        <w:tc>
          <w:tcPr>
            <w:tcW w:w="1579" w:type="pct"/>
            <w:noWrap w:val="0"/>
            <w:vAlign w:val="center"/>
          </w:tcPr>
          <w:p w14:paraId="6F0BC38D">
            <w:pPr>
              <w:adjustRightInd w:val="0"/>
              <w:snapToGrid w:val="0"/>
              <w:jc w:val="left"/>
              <w:rPr>
                <w:b/>
                <w:sz w:val="24"/>
              </w:rPr>
            </w:pPr>
            <w:r>
              <w:rPr>
                <w:b/>
                <w:sz w:val="24"/>
              </w:rPr>
              <w:t>分项名称</w:t>
            </w:r>
          </w:p>
        </w:tc>
        <w:tc>
          <w:tcPr>
            <w:tcW w:w="725" w:type="pct"/>
            <w:noWrap w:val="0"/>
            <w:vAlign w:val="center"/>
          </w:tcPr>
          <w:p w14:paraId="52E990E7">
            <w:pPr>
              <w:adjustRightInd w:val="0"/>
              <w:snapToGrid w:val="0"/>
              <w:jc w:val="left"/>
              <w:rPr>
                <w:b/>
                <w:sz w:val="24"/>
              </w:rPr>
            </w:pPr>
            <w:r>
              <w:rPr>
                <w:b/>
                <w:sz w:val="24"/>
              </w:rPr>
              <w:t>单价（元）</w:t>
            </w:r>
          </w:p>
        </w:tc>
        <w:tc>
          <w:tcPr>
            <w:tcW w:w="724" w:type="pct"/>
            <w:noWrap w:val="0"/>
            <w:vAlign w:val="center"/>
          </w:tcPr>
          <w:p w14:paraId="6EA1A347">
            <w:pPr>
              <w:adjustRightInd w:val="0"/>
              <w:snapToGrid w:val="0"/>
              <w:jc w:val="center"/>
              <w:rPr>
                <w:b/>
                <w:sz w:val="24"/>
              </w:rPr>
            </w:pPr>
            <w:r>
              <w:rPr>
                <w:rFonts w:hint="eastAsia"/>
                <w:b/>
                <w:sz w:val="24"/>
              </w:rPr>
              <w:t>数量</w:t>
            </w:r>
          </w:p>
        </w:tc>
        <w:tc>
          <w:tcPr>
            <w:tcW w:w="724" w:type="pct"/>
            <w:noWrap w:val="0"/>
            <w:vAlign w:val="center"/>
          </w:tcPr>
          <w:p w14:paraId="0FAFD7C1">
            <w:pPr>
              <w:adjustRightInd w:val="0"/>
              <w:snapToGrid w:val="0"/>
              <w:jc w:val="left"/>
              <w:rPr>
                <w:b/>
                <w:sz w:val="24"/>
              </w:rPr>
            </w:pPr>
            <w:r>
              <w:rPr>
                <w:b/>
                <w:sz w:val="24"/>
              </w:rPr>
              <w:t>合价（元）</w:t>
            </w:r>
          </w:p>
        </w:tc>
        <w:tc>
          <w:tcPr>
            <w:tcW w:w="920" w:type="pct"/>
            <w:noWrap w:val="0"/>
            <w:vAlign w:val="center"/>
          </w:tcPr>
          <w:p w14:paraId="207B5C81">
            <w:pPr>
              <w:adjustRightInd w:val="0"/>
              <w:snapToGrid w:val="0"/>
              <w:jc w:val="left"/>
              <w:rPr>
                <w:b/>
                <w:sz w:val="24"/>
              </w:rPr>
            </w:pPr>
            <w:r>
              <w:rPr>
                <w:b/>
                <w:sz w:val="24"/>
              </w:rPr>
              <w:t>备注/说明</w:t>
            </w:r>
          </w:p>
        </w:tc>
      </w:tr>
      <w:tr w14:paraId="7522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3F332959">
            <w:pPr>
              <w:adjustRightInd w:val="0"/>
              <w:snapToGrid w:val="0"/>
              <w:jc w:val="center"/>
              <w:rPr>
                <w:sz w:val="24"/>
              </w:rPr>
            </w:pPr>
            <w:r>
              <w:rPr>
                <w:sz w:val="24"/>
              </w:rPr>
              <w:t>1</w:t>
            </w:r>
          </w:p>
        </w:tc>
        <w:tc>
          <w:tcPr>
            <w:tcW w:w="1579" w:type="pct"/>
            <w:noWrap w:val="0"/>
            <w:vAlign w:val="center"/>
          </w:tcPr>
          <w:p w14:paraId="248B50BE">
            <w:pPr>
              <w:adjustRightInd w:val="0"/>
              <w:snapToGrid w:val="0"/>
              <w:jc w:val="left"/>
              <w:rPr>
                <w:sz w:val="24"/>
              </w:rPr>
            </w:pPr>
          </w:p>
        </w:tc>
        <w:tc>
          <w:tcPr>
            <w:tcW w:w="725" w:type="pct"/>
            <w:noWrap w:val="0"/>
            <w:vAlign w:val="center"/>
          </w:tcPr>
          <w:p w14:paraId="5A7067B0">
            <w:pPr>
              <w:adjustRightInd w:val="0"/>
              <w:snapToGrid w:val="0"/>
              <w:jc w:val="left"/>
              <w:rPr>
                <w:sz w:val="24"/>
              </w:rPr>
            </w:pPr>
          </w:p>
        </w:tc>
        <w:tc>
          <w:tcPr>
            <w:tcW w:w="724" w:type="pct"/>
            <w:noWrap w:val="0"/>
            <w:vAlign w:val="center"/>
          </w:tcPr>
          <w:p w14:paraId="57BF4A88">
            <w:pPr>
              <w:adjustRightInd w:val="0"/>
              <w:snapToGrid w:val="0"/>
              <w:jc w:val="left"/>
              <w:rPr>
                <w:sz w:val="24"/>
              </w:rPr>
            </w:pPr>
          </w:p>
        </w:tc>
        <w:tc>
          <w:tcPr>
            <w:tcW w:w="724" w:type="pct"/>
            <w:noWrap w:val="0"/>
            <w:vAlign w:val="center"/>
          </w:tcPr>
          <w:p w14:paraId="67EA14CE">
            <w:pPr>
              <w:adjustRightInd w:val="0"/>
              <w:snapToGrid w:val="0"/>
              <w:jc w:val="left"/>
              <w:rPr>
                <w:sz w:val="24"/>
              </w:rPr>
            </w:pPr>
          </w:p>
        </w:tc>
        <w:tc>
          <w:tcPr>
            <w:tcW w:w="920" w:type="pct"/>
            <w:noWrap w:val="0"/>
            <w:vAlign w:val="center"/>
          </w:tcPr>
          <w:p w14:paraId="5887D364">
            <w:pPr>
              <w:adjustRightInd w:val="0"/>
              <w:snapToGrid w:val="0"/>
              <w:jc w:val="left"/>
              <w:rPr>
                <w:sz w:val="24"/>
              </w:rPr>
            </w:pPr>
          </w:p>
        </w:tc>
      </w:tr>
      <w:tr w14:paraId="34FD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027283E3">
            <w:pPr>
              <w:adjustRightInd w:val="0"/>
              <w:snapToGrid w:val="0"/>
              <w:jc w:val="center"/>
              <w:rPr>
                <w:sz w:val="24"/>
              </w:rPr>
            </w:pPr>
            <w:r>
              <w:rPr>
                <w:sz w:val="24"/>
              </w:rPr>
              <w:t>2</w:t>
            </w:r>
          </w:p>
        </w:tc>
        <w:tc>
          <w:tcPr>
            <w:tcW w:w="1579" w:type="pct"/>
            <w:noWrap w:val="0"/>
            <w:vAlign w:val="center"/>
          </w:tcPr>
          <w:p w14:paraId="080C9CBF">
            <w:pPr>
              <w:adjustRightInd w:val="0"/>
              <w:snapToGrid w:val="0"/>
              <w:jc w:val="left"/>
              <w:rPr>
                <w:sz w:val="24"/>
              </w:rPr>
            </w:pPr>
          </w:p>
        </w:tc>
        <w:tc>
          <w:tcPr>
            <w:tcW w:w="725" w:type="pct"/>
            <w:noWrap w:val="0"/>
            <w:vAlign w:val="center"/>
          </w:tcPr>
          <w:p w14:paraId="67D81AE3">
            <w:pPr>
              <w:adjustRightInd w:val="0"/>
              <w:snapToGrid w:val="0"/>
              <w:jc w:val="left"/>
              <w:rPr>
                <w:sz w:val="24"/>
              </w:rPr>
            </w:pPr>
          </w:p>
        </w:tc>
        <w:tc>
          <w:tcPr>
            <w:tcW w:w="724" w:type="pct"/>
            <w:noWrap w:val="0"/>
            <w:vAlign w:val="center"/>
          </w:tcPr>
          <w:p w14:paraId="2354AB12">
            <w:pPr>
              <w:adjustRightInd w:val="0"/>
              <w:snapToGrid w:val="0"/>
              <w:jc w:val="left"/>
              <w:rPr>
                <w:sz w:val="24"/>
              </w:rPr>
            </w:pPr>
          </w:p>
        </w:tc>
        <w:tc>
          <w:tcPr>
            <w:tcW w:w="724" w:type="pct"/>
            <w:noWrap w:val="0"/>
            <w:vAlign w:val="center"/>
          </w:tcPr>
          <w:p w14:paraId="79F5E2AD">
            <w:pPr>
              <w:adjustRightInd w:val="0"/>
              <w:snapToGrid w:val="0"/>
              <w:jc w:val="left"/>
              <w:rPr>
                <w:sz w:val="24"/>
              </w:rPr>
            </w:pPr>
          </w:p>
        </w:tc>
        <w:tc>
          <w:tcPr>
            <w:tcW w:w="920" w:type="pct"/>
            <w:noWrap w:val="0"/>
            <w:vAlign w:val="center"/>
          </w:tcPr>
          <w:p w14:paraId="327C81BC">
            <w:pPr>
              <w:adjustRightInd w:val="0"/>
              <w:snapToGrid w:val="0"/>
              <w:jc w:val="left"/>
              <w:rPr>
                <w:sz w:val="24"/>
              </w:rPr>
            </w:pPr>
          </w:p>
        </w:tc>
      </w:tr>
      <w:tr w14:paraId="1574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763318D3">
            <w:pPr>
              <w:adjustRightInd w:val="0"/>
              <w:snapToGrid w:val="0"/>
              <w:jc w:val="center"/>
              <w:rPr>
                <w:sz w:val="24"/>
              </w:rPr>
            </w:pPr>
            <w:r>
              <w:rPr>
                <w:sz w:val="24"/>
              </w:rPr>
              <w:t>3</w:t>
            </w:r>
          </w:p>
        </w:tc>
        <w:tc>
          <w:tcPr>
            <w:tcW w:w="1579" w:type="pct"/>
            <w:noWrap w:val="0"/>
            <w:vAlign w:val="center"/>
          </w:tcPr>
          <w:p w14:paraId="721DBB51">
            <w:pPr>
              <w:adjustRightInd w:val="0"/>
              <w:snapToGrid w:val="0"/>
              <w:jc w:val="left"/>
              <w:rPr>
                <w:sz w:val="24"/>
              </w:rPr>
            </w:pPr>
            <w:r>
              <w:rPr>
                <w:sz w:val="24"/>
              </w:rPr>
              <w:t>…</w:t>
            </w:r>
          </w:p>
        </w:tc>
        <w:tc>
          <w:tcPr>
            <w:tcW w:w="725" w:type="pct"/>
            <w:noWrap w:val="0"/>
            <w:vAlign w:val="center"/>
          </w:tcPr>
          <w:p w14:paraId="56C48BA6">
            <w:pPr>
              <w:adjustRightInd w:val="0"/>
              <w:snapToGrid w:val="0"/>
              <w:jc w:val="left"/>
              <w:rPr>
                <w:sz w:val="24"/>
              </w:rPr>
            </w:pPr>
          </w:p>
        </w:tc>
        <w:tc>
          <w:tcPr>
            <w:tcW w:w="724" w:type="pct"/>
            <w:noWrap w:val="0"/>
            <w:vAlign w:val="center"/>
          </w:tcPr>
          <w:p w14:paraId="013B1A1F">
            <w:pPr>
              <w:adjustRightInd w:val="0"/>
              <w:snapToGrid w:val="0"/>
              <w:jc w:val="left"/>
              <w:rPr>
                <w:sz w:val="24"/>
              </w:rPr>
            </w:pPr>
          </w:p>
        </w:tc>
        <w:tc>
          <w:tcPr>
            <w:tcW w:w="724" w:type="pct"/>
            <w:noWrap w:val="0"/>
            <w:vAlign w:val="center"/>
          </w:tcPr>
          <w:p w14:paraId="37F4E83F">
            <w:pPr>
              <w:adjustRightInd w:val="0"/>
              <w:snapToGrid w:val="0"/>
              <w:jc w:val="left"/>
              <w:rPr>
                <w:sz w:val="24"/>
              </w:rPr>
            </w:pPr>
          </w:p>
        </w:tc>
        <w:tc>
          <w:tcPr>
            <w:tcW w:w="920" w:type="pct"/>
            <w:noWrap w:val="0"/>
            <w:vAlign w:val="center"/>
          </w:tcPr>
          <w:p w14:paraId="17D59576">
            <w:pPr>
              <w:adjustRightInd w:val="0"/>
              <w:snapToGrid w:val="0"/>
              <w:jc w:val="left"/>
              <w:rPr>
                <w:sz w:val="24"/>
              </w:rPr>
            </w:pPr>
          </w:p>
        </w:tc>
      </w:tr>
      <w:tr w14:paraId="4EFD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3C4504FD">
            <w:pPr>
              <w:adjustRightInd w:val="0"/>
              <w:snapToGrid w:val="0"/>
              <w:jc w:val="right"/>
              <w:rPr>
                <w:sz w:val="24"/>
              </w:rPr>
            </w:pPr>
            <w:r>
              <w:rPr>
                <w:sz w:val="24"/>
              </w:rPr>
              <w:t>总价（元）</w:t>
            </w:r>
          </w:p>
        </w:tc>
        <w:tc>
          <w:tcPr>
            <w:tcW w:w="724" w:type="pct"/>
            <w:noWrap w:val="0"/>
            <w:vAlign w:val="center"/>
          </w:tcPr>
          <w:p w14:paraId="41717C0D">
            <w:pPr>
              <w:adjustRightInd w:val="0"/>
              <w:snapToGrid w:val="0"/>
              <w:jc w:val="left"/>
              <w:rPr>
                <w:sz w:val="24"/>
              </w:rPr>
            </w:pPr>
          </w:p>
        </w:tc>
        <w:tc>
          <w:tcPr>
            <w:tcW w:w="920" w:type="pct"/>
            <w:noWrap w:val="0"/>
            <w:vAlign w:val="center"/>
          </w:tcPr>
          <w:p w14:paraId="467CA7CA">
            <w:pPr>
              <w:adjustRightInd w:val="0"/>
              <w:snapToGrid w:val="0"/>
              <w:jc w:val="left"/>
              <w:rPr>
                <w:sz w:val="24"/>
              </w:rPr>
            </w:pPr>
          </w:p>
        </w:tc>
      </w:tr>
    </w:tbl>
    <w:p w14:paraId="40F70F8C">
      <w:pPr>
        <w:tabs>
          <w:tab w:val="left" w:pos="1800"/>
          <w:tab w:val="left" w:pos="5580"/>
        </w:tabs>
        <w:jc w:val="left"/>
        <w:rPr>
          <w:sz w:val="24"/>
        </w:rPr>
      </w:pPr>
    </w:p>
    <w:p w14:paraId="20BC68D5">
      <w:pPr>
        <w:tabs>
          <w:tab w:val="left" w:pos="1800"/>
          <w:tab w:val="left" w:pos="5580"/>
        </w:tabs>
        <w:jc w:val="left"/>
        <w:rPr>
          <w:sz w:val="24"/>
        </w:rPr>
      </w:pPr>
    </w:p>
    <w:p w14:paraId="5425E601">
      <w:pPr>
        <w:tabs>
          <w:tab w:val="left" w:pos="1800"/>
          <w:tab w:val="left" w:pos="5580"/>
        </w:tabs>
        <w:jc w:val="left"/>
        <w:rPr>
          <w:b/>
          <w:i/>
          <w:sz w:val="24"/>
        </w:rPr>
      </w:pPr>
      <w:r>
        <w:rPr>
          <w:rFonts w:hint="eastAsia"/>
          <w:b/>
          <w:i/>
          <w:sz w:val="24"/>
        </w:rPr>
        <w:t>（采用工程量清单计价方式的采购项目，应在本部分放置清单计价表格）</w:t>
      </w:r>
    </w:p>
    <w:p w14:paraId="2166D88C">
      <w:pPr>
        <w:tabs>
          <w:tab w:val="left" w:pos="1800"/>
          <w:tab w:val="left" w:pos="5580"/>
        </w:tabs>
        <w:jc w:val="left"/>
        <w:rPr>
          <w:sz w:val="24"/>
        </w:rPr>
      </w:pPr>
    </w:p>
    <w:p w14:paraId="6525E497">
      <w:pPr>
        <w:tabs>
          <w:tab w:val="left" w:pos="1800"/>
          <w:tab w:val="left" w:pos="5580"/>
        </w:tabs>
        <w:jc w:val="left"/>
        <w:rPr>
          <w:sz w:val="24"/>
        </w:rPr>
      </w:pPr>
    </w:p>
    <w:p w14:paraId="22294471">
      <w:pPr>
        <w:tabs>
          <w:tab w:val="left" w:pos="1800"/>
          <w:tab w:val="left" w:pos="5580"/>
        </w:tabs>
        <w:jc w:val="left"/>
        <w:rPr>
          <w:sz w:val="24"/>
        </w:rPr>
      </w:pPr>
      <w:r>
        <w:rPr>
          <w:sz w:val="24"/>
        </w:rPr>
        <w:t>注：1.本表应按包分别填写。</w:t>
      </w:r>
    </w:p>
    <w:p w14:paraId="38C7E627">
      <w:pPr>
        <w:tabs>
          <w:tab w:val="left" w:pos="1800"/>
          <w:tab w:val="left" w:pos="5580"/>
        </w:tabs>
        <w:ind w:firstLine="480" w:firstLineChars="200"/>
        <w:jc w:val="left"/>
        <w:rPr>
          <w:sz w:val="24"/>
        </w:rPr>
      </w:pPr>
      <w:r>
        <w:rPr>
          <w:sz w:val="24"/>
        </w:rPr>
        <w:t>2.</w:t>
      </w:r>
      <w:r>
        <w:rPr>
          <w:rFonts w:hint="eastAsia"/>
          <w:sz w:val="24"/>
        </w:rPr>
        <w:t>上述各项的详细规格（如有），可另页描述</w:t>
      </w:r>
      <w:r>
        <w:rPr>
          <w:sz w:val="24"/>
        </w:rPr>
        <w:t>。</w:t>
      </w:r>
    </w:p>
    <w:p w14:paraId="5A6852C8">
      <w:pPr>
        <w:tabs>
          <w:tab w:val="left" w:pos="1800"/>
          <w:tab w:val="left" w:pos="5580"/>
        </w:tabs>
        <w:ind w:firstLine="480" w:firstLineChars="200"/>
        <w:jc w:val="left"/>
        <w:rPr>
          <w:sz w:val="24"/>
        </w:rPr>
      </w:pPr>
      <w:r>
        <w:rPr>
          <w:sz w:val="24"/>
        </w:rPr>
        <w:t>3.</w:t>
      </w:r>
      <w:r>
        <w:rPr>
          <w:rFonts w:hint="eastAsia"/>
          <w:sz w:val="24"/>
        </w:rPr>
        <w:t>制造商规模列应填写“中型” 、“小型”、“微型”或</w:t>
      </w:r>
      <w:r>
        <w:rPr>
          <w:sz w:val="24"/>
        </w:rPr>
        <w:t>”</w:t>
      </w:r>
      <w:r>
        <w:rPr>
          <w:rFonts w:hint="eastAsia"/>
          <w:sz w:val="24"/>
        </w:rPr>
        <w:t>其他</w:t>
      </w:r>
      <w:r>
        <w:rPr>
          <w:sz w:val="24"/>
        </w:rPr>
        <w:t>”</w:t>
      </w:r>
      <w:r>
        <w:rPr>
          <w:rFonts w:hint="eastAsia"/>
          <w:sz w:val="24"/>
        </w:rPr>
        <w:t>，且不应与《中小企业声明函》或《拟分包情况说明》中内容矛盾</w:t>
      </w:r>
      <w:r>
        <w:rPr>
          <w:sz w:val="24"/>
        </w:rPr>
        <w:t>。</w:t>
      </w:r>
    </w:p>
    <w:p w14:paraId="4376BA3D">
      <w:pPr>
        <w:autoSpaceDE w:val="0"/>
        <w:autoSpaceDN w:val="0"/>
        <w:adjustRightInd w:val="0"/>
        <w:snapToGrid w:val="0"/>
        <w:spacing w:before="25" w:after="25" w:line="360" w:lineRule="auto"/>
        <w:rPr>
          <w:sz w:val="24"/>
        </w:rPr>
      </w:pPr>
    </w:p>
    <w:p w14:paraId="369CDA8A">
      <w:pPr>
        <w:autoSpaceDE w:val="0"/>
        <w:autoSpaceDN w:val="0"/>
        <w:adjustRightInd w:val="0"/>
        <w:snapToGrid w:val="0"/>
        <w:spacing w:before="25" w:after="25" w:line="360" w:lineRule="auto"/>
        <w:rPr>
          <w:sz w:val="24"/>
        </w:rPr>
      </w:pPr>
    </w:p>
    <w:p w14:paraId="5E167ECA">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3264B545">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303D563">
      <w:pPr>
        <w:tabs>
          <w:tab w:val="left" w:pos="360"/>
        </w:tabs>
        <w:snapToGrid w:val="0"/>
        <w:spacing w:line="360" w:lineRule="auto"/>
        <w:outlineLvl w:val="1"/>
        <w:rPr>
          <w:sz w:val="24"/>
          <w:szCs w:val="20"/>
        </w:rPr>
      </w:pPr>
      <w:bookmarkStart w:id="2147" w:name="_Toc150480798"/>
      <w:bookmarkStart w:id="2148" w:name="_Toc150774765"/>
      <w:bookmarkStart w:id="2149" w:name="_Toc226309806"/>
      <w:bookmarkStart w:id="2150" w:name="_Toc226965752"/>
      <w:bookmarkStart w:id="2151" w:name="_Toc127151562"/>
      <w:bookmarkStart w:id="2152" w:name="_Toc195842927"/>
      <w:bookmarkStart w:id="2153" w:name="_Toc305158830"/>
      <w:bookmarkStart w:id="2154" w:name="_Toc305158904"/>
      <w:bookmarkStart w:id="2155" w:name="_Toc226337258"/>
      <w:bookmarkStart w:id="2156" w:name="_Toc226965835"/>
      <w:bookmarkStart w:id="2157" w:name="_Toc264969252"/>
      <w:bookmarkStart w:id="2158" w:name="_Toc265228400"/>
      <w:bookmarkStart w:id="2159" w:name="_Toc142311062"/>
      <w:bookmarkStart w:id="2160" w:name="_Toc226309805"/>
      <w:bookmarkStart w:id="2161" w:name="_Toc265228399"/>
      <w:bookmarkStart w:id="2162" w:name="_Toc226965751"/>
      <w:bookmarkStart w:id="2163" w:name="_Toc226965834"/>
      <w:bookmarkStart w:id="2164" w:name="_Toc264969251"/>
      <w:bookmarkStart w:id="2165" w:name="_Toc150774764"/>
      <w:bookmarkStart w:id="2166" w:name="_Toc142311061"/>
      <w:bookmarkStart w:id="2167" w:name="_Toc127151561"/>
      <w:bookmarkStart w:id="2168" w:name="_Toc226337257"/>
      <w:bookmarkStart w:id="2169" w:name="_Toc305158903"/>
      <w:bookmarkStart w:id="2170" w:name="_Toc305158829"/>
      <w:bookmarkStart w:id="2171" w:name="_Toc195842926"/>
      <w:bookmarkStart w:id="2172" w:name="_Toc150480797"/>
      <w:r>
        <w:rPr>
          <w:sz w:val="24"/>
          <w:szCs w:val="20"/>
        </w:rPr>
        <w:br w:type="page"/>
      </w:r>
      <w:r>
        <w:rPr>
          <w:sz w:val="24"/>
        </w:rPr>
        <w:t>9  合同条款偏离表</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2C257716">
      <w:pPr>
        <w:spacing w:line="360" w:lineRule="auto"/>
        <w:rPr>
          <w:sz w:val="24"/>
          <w:szCs w:val="20"/>
        </w:rPr>
      </w:pPr>
    </w:p>
    <w:p w14:paraId="7F012A4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79431779">
      <w:pPr>
        <w:spacing w:line="360" w:lineRule="auto"/>
        <w:rPr>
          <w:sz w:val="24"/>
          <w:szCs w:val="20"/>
        </w:rPr>
      </w:pPr>
    </w:p>
    <w:p w14:paraId="6E71A3B6">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661"/>
        <w:gridCol w:w="2050"/>
        <w:gridCol w:w="1933"/>
        <w:gridCol w:w="2034"/>
        <w:gridCol w:w="783"/>
      </w:tblGrid>
      <w:tr w14:paraId="03E9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8DAA80B">
            <w:pPr>
              <w:adjustRightInd w:val="0"/>
              <w:snapToGrid w:val="0"/>
              <w:jc w:val="center"/>
              <w:rPr>
                <w:sz w:val="24"/>
              </w:rPr>
            </w:pPr>
            <w:r>
              <w:rPr>
                <w:sz w:val="24"/>
              </w:rPr>
              <w:t>序号</w:t>
            </w:r>
          </w:p>
        </w:tc>
        <w:tc>
          <w:tcPr>
            <w:tcW w:w="1661" w:type="dxa"/>
            <w:noWrap w:val="0"/>
            <w:vAlign w:val="center"/>
          </w:tcPr>
          <w:p w14:paraId="1FCA5397">
            <w:pPr>
              <w:adjustRightInd w:val="0"/>
              <w:snapToGrid w:val="0"/>
              <w:jc w:val="center"/>
              <w:rPr>
                <w:sz w:val="24"/>
              </w:rPr>
            </w:pPr>
            <w:r>
              <w:rPr>
                <w:sz w:val="24"/>
                <w:szCs w:val="21"/>
              </w:rPr>
              <w:t>竞争性磋商文件</w:t>
            </w:r>
            <w:r>
              <w:rPr>
                <w:sz w:val="24"/>
              </w:rPr>
              <w:t>条目号</w:t>
            </w:r>
          </w:p>
          <w:p w14:paraId="247D3903">
            <w:pPr>
              <w:adjustRightInd w:val="0"/>
              <w:snapToGrid w:val="0"/>
              <w:jc w:val="center"/>
              <w:rPr>
                <w:sz w:val="24"/>
              </w:rPr>
            </w:pPr>
            <w:r>
              <w:rPr>
                <w:sz w:val="24"/>
              </w:rPr>
              <w:t>（页码）</w:t>
            </w:r>
          </w:p>
        </w:tc>
        <w:tc>
          <w:tcPr>
            <w:tcW w:w="2050" w:type="dxa"/>
            <w:noWrap w:val="0"/>
            <w:vAlign w:val="center"/>
          </w:tcPr>
          <w:p w14:paraId="72629440">
            <w:pPr>
              <w:adjustRightInd w:val="0"/>
              <w:snapToGrid w:val="0"/>
              <w:jc w:val="center"/>
              <w:rPr>
                <w:sz w:val="24"/>
              </w:rPr>
            </w:pPr>
            <w:r>
              <w:rPr>
                <w:sz w:val="24"/>
                <w:szCs w:val="21"/>
              </w:rPr>
              <w:t>竞争性磋商文件</w:t>
            </w:r>
            <w:r>
              <w:rPr>
                <w:sz w:val="24"/>
              </w:rPr>
              <w:t>要求</w:t>
            </w:r>
          </w:p>
        </w:tc>
        <w:tc>
          <w:tcPr>
            <w:tcW w:w="1933" w:type="dxa"/>
            <w:noWrap w:val="0"/>
            <w:vAlign w:val="center"/>
          </w:tcPr>
          <w:p w14:paraId="66300A71">
            <w:pPr>
              <w:adjustRightInd w:val="0"/>
              <w:snapToGrid w:val="0"/>
              <w:jc w:val="center"/>
              <w:rPr>
                <w:sz w:val="24"/>
              </w:rPr>
            </w:pPr>
            <w:r>
              <w:rPr>
                <w:sz w:val="24"/>
              </w:rPr>
              <w:t>响应文件内容</w:t>
            </w:r>
          </w:p>
        </w:tc>
        <w:tc>
          <w:tcPr>
            <w:tcW w:w="2034" w:type="dxa"/>
            <w:noWrap w:val="0"/>
            <w:vAlign w:val="center"/>
          </w:tcPr>
          <w:p w14:paraId="4AD31A26">
            <w:pPr>
              <w:adjustRightInd w:val="0"/>
              <w:snapToGrid w:val="0"/>
              <w:jc w:val="center"/>
              <w:rPr>
                <w:sz w:val="24"/>
              </w:rPr>
            </w:pPr>
            <w:r>
              <w:rPr>
                <w:sz w:val="24"/>
              </w:rPr>
              <w:t>偏离情况</w:t>
            </w:r>
          </w:p>
        </w:tc>
        <w:tc>
          <w:tcPr>
            <w:tcW w:w="783" w:type="dxa"/>
            <w:noWrap w:val="0"/>
            <w:vAlign w:val="center"/>
          </w:tcPr>
          <w:p w14:paraId="2CA83B8C">
            <w:pPr>
              <w:adjustRightInd w:val="0"/>
              <w:snapToGrid w:val="0"/>
              <w:jc w:val="center"/>
              <w:rPr>
                <w:sz w:val="24"/>
              </w:rPr>
            </w:pPr>
            <w:r>
              <w:rPr>
                <w:sz w:val="24"/>
              </w:rPr>
              <w:t>说明</w:t>
            </w:r>
          </w:p>
        </w:tc>
      </w:tr>
      <w:tr w14:paraId="66B5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6AA19D2">
            <w:pPr>
              <w:widowControl/>
              <w:jc w:val="left"/>
            </w:pPr>
            <w:r>
              <w:rPr>
                <w:rFonts w:hint="eastAsia" w:ascii="宋体" w:hAnsi="宋体" w:cs="宋体"/>
                <w:b/>
                <w:bCs/>
                <w:color w:val="000000"/>
                <w:kern w:val="0"/>
                <w:sz w:val="24"/>
                <w:lang w:bidi="ar"/>
              </w:rPr>
              <w:t>对本项目合同条款的偏离情况</w:t>
            </w:r>
            <w:r>
              <w:rPr>
                <w:rFonts w:hint="eastAsia" w:ascii="宋体" w:hAnsi="宋体" w:cs="宋体"/>
                <w:color w:val="000000"/>
                <w:kern w:val="0"/>
                <w:sz w:val="24"/>
                <w:lang w:bidi="ar"/>
              </w:rPr>
              <w:t>（应进行选择，未选择</w:t>
            </w:r>
            <w:r>
              <w:rPr>
                <w:rFonts w:hint="eastAsia" w:ascii="宋体" w:hAnsi="宋体" w:cs="宋体"/>
                <w:b/>
                <w:bCs/>
                <w:color w:val="000000"/>
                <w:kern w:val="0"/>
                <w:sz w:val="24"/>
                <w:lang w:bidi="ar"/>
              </w:rPr>
              <w:t>响应无效</w:t>
            </w:r>
            <w:r>
              <w:rPr>
                <w:rFonts w:hint="eastAsia" w:ascii="宋体" w:hAnsi="宋体" w:cs="宋体"/>
                <w:color w:val="000000"/>
                <w:kern w:val="0"/>
                <w:sz w:val="24"/>
                <w:lang w:bidi="ar"/>
              </w:rPr>
              <w:t xml:space="preserve">）： </w:t>
            </w:r>
          </w:p>
          <w:p w14:paraId="413A7AF6">
            <w:pPr>
              <w:widowControl/>
              <w:jc w:val="left"/>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无偏离</w:t>
            </w:r>
            <w:r>
              <w:rPr>
                <w:rFonts w:hint="eastAsia" w:ascii="宋体" w:hAnsi="宋体" w:cs="宋体"/>
                <w:color w:val="000000"/>
                <w:kern w:val="0"/>
                <w:sz w:val="24"/>
                <w:lang w:bidi="ar"/>
              </w:rPr>
              <w:t xml:space="preserve">（如无偏离，仅选择无偏离即可；无偏离即为对合同条款中的所有要求，均视 </w:t>
            </w:r>
          </w:p>
          <w:p w14:paraId="464E4508">
            <w:pPr>
              <w:widowControl/>
              <w:jc w:val="left"/>
            </w:pPr>
            <w:r>
              <w:rPr>
                <w:rFonts w:hint="eastAsia" w:ascii="宋体" w:hAnsi="宋体" w:cs="宋体"/>
                <w:color w:val="000000"/>
                <w:kern w:val="0"/>
                <w:sz w:val="24"/>
                <w:lang w:bidi="ar"/>
              </w:rPr>
              <w:t xml:space="preserve">作供应商已对之理解和响应。） </w:t>
            </w:r>
          </w:p>
          <w:p w14:paraId="417AF6DB">
            <w:pPr>
              <w:widowControl/>
              <w:jc w:val="left"/>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有偏离</w:t>
            </w:r>
            <w:r>
              <w:rPr>
                <w:rFonts w:hint="eastAsia" w:ascii="宋体" w:hAnsi="宋体" w:cs="宋体"/>
                <w:color w:val="000000"/>
                <w:kern w:val="0"/>
                <w:sz w:val="24"/>
                <w:lang w:bidi="ar"/>
              </w:rPr>
              <w:t>（如有偏离，则应在本表中对偏离项逐一列明，否则</w:t>
            </w:r>
            <w:r>
              <w:rPr>
                <w:rFonts w:hint="eastAsia" w:ascii="宋体" w:hAnsi="宋体" w:cs="宋体"/>
                <w:b/>
                <w:bCs/>
                <w:color w:val="000000"/>
                <w:kern w:val="0"/>
                <w:sz w:val="24"/>
                <w:lang w:bidi="ar"/>
              </w:rPr>
              <w:t>响应无效</w:t>
            </w:r>
            <w:r>
              <w:rPr>
                <w:rFonts w:hint="eastAsia" w:ascii="宋体" w:hAnsi="宋体" w:cs="宋体"/>
                <w:color w:val="000000"/>
                <w:kern w:val="0"/>
                <w:sz w:val="24"/>
                <w:lang w:bidi="ar"/>
              </w:rPr>
              <w:t xml:space="preserve">；对合同条款中 </w:t>
            </w:r>
          </w:p>
          <w:p w14:paraId="51B765FB">
            <w:pPr>
              <w:adjustRightInd w:val="0"/>
              <w:snapToGrid w:val="0"/>
              <w:jc w:val="left"/>
              <w:rPr>
                <w:sz w:val="24"/>
              </w:rPr>
            </w:pPr>
            <w:r>
              <w:rPr>
                <w:rFonts w:hint="eastAsia" w:ascii="宋体" w:hAnsi="宋体" w:cs="宋体"/>
                <w:color w:val="000000"/>
                <w:kern w:val="0"/>
                <w:sz w:val="24"/>
                <w:lang w:bidi="ar"/>
              </w:rPr>
              <w:t>的所有要求，除本表列明的偏离外，均视作供应商已对之理解和响应。）</w:t>
            </w:r>
          </w:p>
        </w:tc>
      </w:tr>
      <w:tr w14:paraId="3F22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60007EF">
            <w:pPr>
              <w:adjustRightInd w:val="0"/>
              <w:snapToGrid w:val="0"/>
              <w:jc w:val="center"/>
              <w:rPr>
                <w:sz w:val="24"/>
              </w:rPr>
            </w:pPr>
          </w:p>
        </w:tc>
        <w:tc>
          <w:tcPr>
            <w:tcW w:w="1661" w:type="dxa"/>
            <w:noWrap w:val="0"/>
            <w:vAlign w:val="center"/>
          </w:tcPr>
          <w:p w14:paraId="09BC2692">
            <w:pPr>
              <w:adjustRightInd w:val="0"/>
              <w:snapToGrid w:val="0"/>
              <w:jc w:val="center"/>
              <w:rPr>
                <w:sz w:val="24"/>
              </w:rPr>
            </w:pPr>
          </w:p>
        </w:tc>
        <w:tc>
          <w:tcPr>
            <w:tcW w:w="2050" w:type="dxa"/>
            <w:noWrap w:val="0"/>
            <w:vAlign w:val="center"/>
          </w:tcPr>
          <w:p w14:paraId="5224143F">
            <w:pPr>
              <w:adjustRightInd w:val="0"/>
              <w:snapToGrid w:val="0"/>
              <w:jc w:val="center"/>
              <w:rPr>
                <w:sz w:val="24"/>
              </w:rPr>
            </w:pPr>
          </w:p>
        </w:tc>
        <w:tc>
          <w:tcPr>
            <w:tcW w:w="1933" w:type="dxa"/>
            <w:noWrap w:val="0"/>
            <w:vAlign w:val="center"/>
          </w:tcPr>
          <w:p w14:paraId="060D7BCF">
            <w:pPr>
              <w:adjustRightInd w:val="0"/>
              <w:snapToGrid w:val="0"/>
              <w:jc w:val="center"/>
              <w:rPr>
                <w:sz w:val="24"/>
              </w:rPr>
            </w:pPr>
          </w:p>
        </w:tc>
        <w:tc>
          <w:tcPr>
            <w:tcW w:w="2034" w:type="dxa"/>
            <w:noWrap w:val="0"/>
            <w:vAlign w:val="center"/>
          </w:tcPr>
          <w:p w14:paraId="4A17DFBB">
            <w:pPr>
              <w:adjustRightInd w:val="0"/>
              <w:snapToGrid w:val="0"/>
              <w:jc w:val="center"/>
              <w:rPr>
                <w:sz w:val="24"/>
              </w:rPr>
            </w:pPr>
          </w:p>
        </w:tc>
        <w:tc>
          <w:tcPr>
            <w:tcW w:w="783" w:type="dxa"/>
            <w:noWrap w:val="0"/>
            <w:vAlign w:val="center"/>
          </w:tcPr>
          <w:p w14:paraId="4D1B7F4F">
            <w:pPr>
              <w:adjustRightInd w:val="0"/>
              <w:snapToGrid w:val="0"/>
              <w:jc w:val="center"/>
              <w:rPr>
                <w:sz w:val="24"/>
              </w:rPr>
            </w:pPr>
          </w:p>
        </w:tc>
      </w:tr>
      <w:tr w14:paraId="50B4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05EB8D2">
            <w:pPr>
              <w:adjustRightInd w:val="0"/>
              <w:snapToGrid w:val="0"/>
              <w:jc w:val="center"/>
              <w:rPr>
                <w:sz w:val="24"/>
              </w:rPr>
            </w:pPr>
          </w:p>
        </w:tc>
        <w:tc>
          <w:tcPr>
            <w:tcW w:w="1661" w:type="dxa"/>
            <w:noWrap w:val="0"/>
            <w:vAlign w:val="center"/>
          </w:tcPr>
          <w:p w14:paraId="01D7396F">
            <w:pPr>
              <w:adjustRightInd w:val="0"/>
              <w:snapToGrid w:val="0"/>
              <w:jc w:val="center"/>
              <w:rPr>
                <w:sz w:val="24"/>
              </w:rPr>
            </w:pPr>
          </w:p>
        </w:tc>
        <w:tc>
          <w:tcPr>
            <w:tcW w:w="2050" w:type="dxa"/>
            <w:noWrap w:val="0"/>
            <w:vAlign w:val="center"/>
          </w:tcPr>
          <w:p w14:paraId="69E594B6">
            <w:pPr>
              <w:adjustRightInd w:val="0"/>
              <w:snapToGrid w:val="0"/>
              <w:jc w:val="center"/>
              <w:rPr>
                <w:sz w:val="24"/>
              </w:rPr>
            </w:pPr>
          </w:p>
        </w:tc>
        <w:tc>
          <w:tcPr>
            <w:tcW w:w="1933" w:type="dxa"/>
            <w:noWrap w:val="0"/>
            <w:vAlign w:val="center"/>
          </w:tcPr>
          <w:p w14:paraId="07B4F979">
            <w:pPr>
              <w:adjustRightInd w:val="0"/>
              <w:snapToGrid w:val="0"/>
              <w:jc w:val="center"/>
              <w:rPr>
                <w:sz w:val="24"/>
              </w:rPr>
            </w:pPr>
          </w:p>
        </w:tc>
        <w:tc>
          <w:tcPr>
            <w:tcW w:w="2034" w:type="dxa"/>
            <w:noWrap w:val="0"/>
            <w:vAlign w:val="center"/>
          </w:tcPr>
          <w:p w14:paraId="07D79556">
            <w:pPr>
              <w:adjustRightInd w:val="0"/>
              <w:snapToGrid w:val="0"/>
              <w:jc w:val="center"/>
              <w:rPr>
                <w:sz w:val="24"/>
              </w:rPr>
            </w:pPr>
          </w:p>
        </w:tc>
        <w:tc>
          <w:tcPr>
            <w:tcW w:w="783" w:type="dxa"/>
            <w:noWrap w:val="0"/>
            <w:vAlign w:val="center"/>
          </w:tcPr>
          <w:p w14:paraId="7671DD41">
            <w:pPr>
              <w:adjustRightInd w:val="0"/>
              <w:snapToGrid w:val="0"/>
              <w:jc w:val="center"/>
              <w:rPr>
                <w:sz w:val="24"/>
              </w:rPr>
            </w:pPr>
          </w:p>
        </w:tc>
      </w:tr>
      <w:tr w14:paraId="1834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E6EA356">
            <w:pPr>
              <w:adjustRightInd w:val="0"/>
              <w:snapToGrid w:val="0"/>
              <w:jc w:val="center"/>
              <w:rPr>
                <w:sz w:val="24"/>
              </w:rPr>
            </w:pPr>
          </w:p>
        </w:tc>
        <w:tc>
          <w:tcPr>
            <w:tcW w:w="1661" w:type="dxa"/>
            <w:noWrap w:val="0"/>
            <w:vAlign w:val="center"/>
          </w:tcPr>
          <w:p w14:paraId="6F962F80">
            <w:pPr>
              <w:adjustRightInd w:val="0"/>
              <w:snapToGrid w:val="0"/>
              <w:jc w:val="center"/>
              <w:rPr>
                <w:sz w:val="24"/>
              </w:rPr>
            </w:pPr>
          </w:p>
        </w:tc>
        <w:tc>
          <w:tcPr>
            <w:tcW w:w="2050" w:type="dxa"/>
            <w:noWrap w:val="0"/>
            <w:vAlign w:val="center"/>
          </w:tcPr>
          <w:p w14:paraId="0B9E9493">
            <w:pPr>
              <w:adjustRightInd w:val="0"/>
              <w:snapToGrid w:val="0"/>
              <w:jc w:val="center"/>
              <w:rPr>
                <w:sz w:val="24"/>
              </w:rPr>
            </w:pPr>
          </w:p>
        </w:tc>
        <w:tc>
          <w:tcPr>
            <w:tcW w:w="1933" w:type="dxa"/>
            <w:noWrap w:val="0"/>
            <w:vAlign w:val="center"/>
          </w:tcPr>
          <w:p w14:paraId="23AA6274">
            <w:pPr>
              <w:adjustRightInd w:val="0"/>
              <w:snapToGrid w:val="0"/>
              <w:jc w:val="center"/>
              <w:rPr>
                <w:sz w:val="24"/>
              </w:rPr>
            </w:pPr>
          </w:p>
        </w:tc>
        <w:tc>
          <w:tcPr>
            <w:tcW w:w="2034" w:type="dxa"/>
            <w:noWrap w:val="0"/>
            <w:vAlign w:val="center"/>
          </w:tcPr>
          <w:p w14:paraId="79A3A435">
            <w:pPr>
              <w:adjustRightInd w:val="0"/>
              <w:snapToGrid w:val="0"/>
              <w:jc w:val="center"/>
              <w:rPr>
                <w:sz w:val="24"/>
              </w:rPr>
            </w:pPr>
          </w:p>
        </w:tc>
        <w:tc>
          <w:tcPr>
            <w:tcW w:w="783" w:type="dxa"/>
            <w:noWrap w:val="0"/>
            <w:vAlign w:val="center"/>
          </w:tcPr>
          <w:p w14:paraId="0AE46CD0">
            <w:pPr>
              <w:adjustRightInd w:val="0"/>
              <w:snapToGrid w:val="0"/>
              <w:jc w:val="center"/>
              <w:rPr>
                <w:sz w:val="24"/>
              </w:rPr>
            </w:pPr>
          </w:p>
        </w:tc>
      </w:tr>
      <w:tr w14:paraId="34A8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B6E3EF7">
            <w:pPr>
              <w:adjustRightInd w:val="0"/>
              <w:snapToGrid w:val="0"/>
              <w:jc w:val="center"/>
              <w:rPr>
                <w:sz w:val="24"/>
              </w:rPr>
            </w:pPr>
          </w:p>
        </w:tc>
        <w:tc>
          <w:tcPr>
            <w:tcW w:w="1661" w:type="dxa"/>
            <w:noWrap w:val="0"/>
            <w:vAlign w:val="center"/>
          </w:tcPr>
          <w:p w14:paraId="42DB6D36">
            <w:pPr>
              <w:adjustRightInd w:val="0"/>
              <w:snapToGrid w:val="0"/>
              <w:jc w:val="center"/>
              <w:rPr>
                <w:sz w:val="24"/>
              </w:rPr>
            </w:pPr>
          </w:p>
        </w:tc>
        <w:tc>
          <w:tcPr>
            <w:tcW w:w="2050" w:type="dxa"/>
            <w:noWrap w:val="0"/>
            <w:vAlign w:val="center"/>
          </w:tcPr>
          <w:p w14:paraId="1392A1BF">
            <w:pPr>
              <w:adjustRightInd w:val="0"/>
              <w:snapToGrid w:val="0"/>
              <w:jc w:val="center"/>
              <w:rPr>
                <w:sz w:val="24"/>
              </w:rPr>
            </w:pPr>
          </w:p>
        </w:tc>
        <w:tc>
          <w:tcPr>
            <w:tcW w:w="1933" w:type="dxa"/>
            <w:noWrap w:val="0"/>
            <w:vAlign w:val="center"/>
          </w:tcPr>
          <w:p w14:paraId="00AC9350">
            <w:pPr>
              <w:adjustRightInd w:val="0"/>
              <w:snapToGrid w:val="0"/>
              <w:jc w:val="center"/>
              <w:rPr>
                <w:sz w:val="24"/>
              </w:rPr>
            </w:pPr>
          </w:p>
        </w:tc>
        <w:tc>
          <w:tcPr>
            <w:tcW w:w="2034" w:type="dxa"/>
            <w:noWrap w:val="0"/>
            <w:vAlign w:val="center"/>
          </w:tcPr>
          <w:p w14:paraId="61BCF634">
            <w:pPr>
              <w:adjustRightInd w:val="0"/>
              <w:snapToGrid w:val="0"/>
              <w:jc w:val="center"/>
              <w:rPr>
                <w:sz w:val="24"/>
              </w:rPr>
            </w:pPr>
          </w:p>
        </w:tc>
        <w:tc>
          <w:tcPr>
            <w:tcW w:w="783" w:type="dxa"/>
            <w:noWrap w:val="0"/>
            <w:vAlign w:val="center"/>
          </w:tcPr>
          <w:p w14:paraId="06A8C7B8">
            <w:pPr>
              <w:adjustRightInd w:val="0"/>
              <w:snapToGrid w:val="0"/>
              <w:jc w:val="center"/>
              <w:rPr>
                <w:sz w:val="24"/>
              </w:rPr>
            </w:pPr>
          </w:p>
        </w:tc>
      </w:tr>
    </w:tbl>
    <w:p w14:paraId="65B97CCD">
      <w:pPr>
        <w:tabs>
          <w:tab w:val="left" w:pos="1800"/>
          <w:tab w:val="left" w:pos="5580"/>
        </w:tabs>
        <w:jc w:val="left"/>
        <w:rPr>
          <w:sz w:val="24"/>
        </w:rPr>
      </w:pPr>
    </w:p>
    <w:p w14:paraId="187D5619">
      <w:pPr>
        <w:tabs>
          <w:tab w:val="left" w:pos="1800"/>
          <w:tab w:val="left" w:pos="5580"/>
        </w:tabs>
        <w:jc w:val="left"/>
        <w:rPr>
          <w:sz w:val="24"/>
        </w:rPr>
      </w:pPr>
      <w:r>
        <w:rPr>
          <w:rFonts w:hint="eastAsia"/>
          <w:sz w:val="24"/>
        </w:rPr>
        <w:t>注：</w:t>
      </w:r>
    </w:p>
    <w:p w14:paraId="5C91BD30">
      <w:pPr>
        <w:tabs>
          <w:tab w:val="left" w:pos="1800"/>
          <w:tab w:val="left" w:pos="5580"/>
        </w:tabs>
        <w:jc w:val="left"/>
        <w:rPr>
          <w:sz w:val="24"/>
        </w:rPr>
      </w:pPr>
      <w:r>
        <w:rPr>
          <w:sz w:val="24"/>
        </w:rPr>
        <w:t xml:space="preserve">1. </w:t>
      </w:r>
      <w:r>
        <w:rPr>
          <w:rFonts w:hint="eastAsia"/>
          <w:sz w:val="24"/>
        </w:rPr>
        <w:t>“偏离情况”列应据实填写“正偏离”或“负偏离”。</w:t>
      </w:r>
    </w:p>
    <w:p w14:paraId="5596B3A2">
      <w:pPr>
        <w:spacing w:line="360" w:lineRule="auto"/>
        <w:rPr>
          <w:sz w:val="24"/>
          <w:szCs w:val="20"/>
        </w:rPr>
      </w:pPr>
    </w:p>
    <w:p w14:paraId="570E0D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6CD8CC87">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6B12232">
      <w:pPr>
        <w:tabs>
          <w:tab w:val="left" w:pos="360"/>
        </w:tabs>
        <w:snapToGrid w:val="0"/>
        <w:spacing w:line="360" w:lineRule="auto"/>
        <w:outlineLvl w:val="1"/>
        <w:rPr>
          <w:sz w:val="24"/>
          <w:szCs w:val="20"/>
        </w:rPr>
      </w:pPr>
      <w:r>
        <w:rPr>
          <w:sz w:val="24"/>
          <w:szCs w:val="20"/>
        </w:rPr>
        <w:br w:type="page"/>
      </w:r>
      <w:r>
        <w:rPr>
          <w:sz w:val="24"/>
        </w:rPr>
        <w:t xml:space="preserve">10  </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r>
        <w:rPr>
          <w:sz w:val="24"/>
        </w:rPr>
        <w:t>采购需求偏离表</w:t>
      </w:r>
    </w:p>
    <w:p w14:paraId="09DA9477">
      <w:pPr>
        <w:autoSpaceDE w:val="0"/>
        <w:autoSpaceDN w:val="0"/>
        <w:adjustRightInd w:val="0"/>
        <w:spacing w:line="360" w:lineRule="auto"/>
        <w:jc w:val="center"/>
        <w:rPr>
          <w:b/>
          <w:sz w:val="36"/>
          <w:szCs w:val="36"/>
        </w:rPr>
      </w:pPr>
      <w:r>
        <w:rPr>
          <w:rFonts w:hint="eastAsia"/>
          <w:b/>
          <w:sz w:val="36"/>
          <w:szCs w:val="36"/>
        </w:rPr>
        <w:t>采购需求偏离表</w:t>
      </w:r>
    </w:p>
    <w:p w14:paraId="1C3CFCC3">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75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525398D">
            <w:pPr>
              <w:adjustRightInd w:val="0"/>
              <w:snapToGrid w:val="0"/>
              <w:jc w:val="center"/>
              <w:rPr>
                <w:sz w:val="24"/>
              </w:rPr>
            </w:pPr>
            <w:r>
              <w:rPr>
                <w:sz w:val="24"/>
              </w:rPr>
              <w:t>序号</w:t>
            </w:r>
          </w:p>
        </w:tc>
        <w:tc>
          <w:tcPr>
            <w:tcW w:w="1482" w:type="dxa"/>
            <w:noWrap w:val="0"/>
            <w:vAlign w:val="center"/>
          </w:tcPr>
          <w:p w14:paraId="0E503F7C">
            <w:pPr>
              <w:adjustRightInd w:val="0"/>
              <w:snapToGrid w:val="0"/>
              <w:jc w:val="center"/>
              <w:rPr>
                <w:sz w:val="24"/>
              </w:rPr>
            </w:pPr>
            <w:r>
              <w:rPr>
                <w:sz w:val="24"/>
              </w:rPr>
              <w:t>竞争性磋商文件条目号(页码)</w:t>
            </w:r>
          </w:p>
        </w:tc>
        <w:tc>
          <w:tcPr>
            <w:tcW w:w="2384" w:type="dxa"/>
            <w:noWrap w:val="0"/>
            <w:vAlign w:val="center"/>
          </w:tcPr>
          <w:p w14:paraId="32F03BF7">
            <w:pPr>
              <w:adjustRightInd w:val="0"/>
              <w:snapToGrid w:val="0"/>
              <w:jc w:val="center"/>
              <w:rPr>
                <w:sz w:val="24"/>
              </w:rPr>
            </w:pPr>
            <w:r>
              <w:rPr>
                <w:sz w:val="24"/>
              </w:rPr>
              <w:t>竞争性磋商文件要求</w:t>
            </w:r>
          </w:p>
        </w:tc>
        <w:tc>
          <w:tcPr>
            <w:tcW w:w="2126" w:type="dxa"/>
            <w:noWrap w:val="0"/>
            <w:vAlign w:val="center"/>
          </w:tcPr>
          <w:p w14:paraId="33898843">
            <w:pPr>
              <w:adjustRightInd w:val="0"/>
              <w:snapToGrid w:val="0"/>
              <w:jc w:val="center"/>
              <w:rPr>
                <w:sz w:val="24"/>
              </w:rPr>
            </w:pPr>
            <w:r>
              <w:rPr>
                <w:sz w:val="24"/>
              </w:rPr>
              <w:t>响应内容</w:t>
            </w:r>
          </w:p>
        </w:tc>
        <w:tc>
          <w:tcPr>
            <w:tcW w:w="1875" w:type="dxa"/>
            <w:noWrap w:val="0"/>
            <w:vAlign w:val="center"/>
          </w:tcPr>
          <w:p w14:paraId="24626A86">
            <w:pPr>
              <w:adjustRightInd w:val="0"/>
              <w:snapToGrid w:val="0"/>
              <w:jc w:val="center"/>
              <w:rPr>
                <w:sz w:val="24"/>
              </w:rPr>
            </w:pPr>
            <w:r>
              <w:rPr>
                <w:sz w:val="24"/>
              </w:rPr>
              <w:t>偏离情况</w:t>
            </w:r>
          </w:p>
        </w:tc>
        <w:tc>
          <w:tcPr>
            <w:tcW w:w="1009" w:type="dxa"/>
            <w:noWrap w:val="0"/>
            <w:vAlign w:val="center"/>
          </w:tcPr>
          <w:p w14:paraId="758CAEA6">
            <w:pPr>
              <w:adjustRightInd w:val="0"/>
              <w:snapToGrid w:val="0"/>
              <w:jc w:val="center"/>
              <w:rPr>
                <w:sz w:val="24"/>
              </w:rPr>
            </w:pPr>
            <w:r>
              <w:rPr>
                <w:sz w:val="24"/>
              </w:rPr>
              <w:t>说明</w:t>
            </w:r>
          </w:p>
        </w:tc>
      </w:tr>
      <w:tr w14:paraId="075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5BE1B13">
            <w:pPr>
              <w:adjustRightInd w:val="0"/>
              <w:snapToGrid w:val="0"/>
              <w:jc w:val="center"/>
              <w:rPr>
                <w:sz w:val="24"/>
              </w:rPr>
            </w:pPr>
          </w:p>
        </w:tc>
        <w:tc>
          <w:tcPr>
            <w:tcW w:w="1482" w:type="dxa"/>
            <w:noWrap w:val="0"/>
            <w:vAlign w:val="center"/>
          </w:tcPr>
          <w:p w14:paraId="0CF2BC35">
            <w:pPr>
              <w:adjustRightInd w:val="0"/>
              <w:snapToGrid w:val="0"/>
              <w:jc w:val="center"/>
              <w:rPr>
                <w:sz w:val="24"/>
              </w:rPr>
            </w:pPr>
          </w:p>
        </w:tc>
        <w:tc>
          <w:tcPr>
            <w:tcW w:w="2384" w:type="dxa"/>
            <w:noWrap w:val="0"/>
            <w:vAlign w:val="center"/>
          </w:tcPr>
          <w:p w14:paraId="7A3ADB3D">
            <w:pPr>
              <w:adjustRightInd w:val="0"/>
              <w:snapToGrid w:val="0"/>
              <w:jc w:val="center"/>
              <w:rPr>
                <w:sz w:val="24"/>
              </w:rPr>
            </w:pPr>
          </w:p>
        </w:tc>
        <w:tc>
          <w:tcPr>
            <w:tcW w:w="2126" w:type="dxa"/>
            <w:noWrap w:val="0"/>
            <w:vAlign w:val="center"/>
          </w:tcPr>
          <w:p w14:paraId="25BA7972">
            <w:pPr>
              <w:adjustRightInd w:val="0"/>
              <w:snapToGrid w:val="0"/>
              <w:jc w:val="center"/>
              <w:rPr>
                <w:sz w:val="24"/>
              </w:rPr>
            </w:pPr>
          </w:p>
        </w:tc>
        <w:tc>
          <w:tcPr>
            <w:tcW w:w="1875" w:type="dxa"/>
            <w:noWrap w:val="0"/>
            <w:vAlign w:val="center"/>
          </w:tcPr>
          <w:p w14:paraId="3BCBC511">
            <w:pPr>
              <w:adjustRightInd w:val="0"/>
              <w:snapToGrid w:val="0"/>
              <w:jc w:val="center"/>
              <w:rPr>
                <w:sz w:val="24"/>
              </w:rPr>
            </w:pPr>
          </w:p>
        </w:tc>
        <w:tc>
          <w:tcPr>
            <w:tcW w:w="1009" w:type="dxa"/>
            <w:noWrap w:val="0"/>
            <w:vAlign w:val="center"/>
          </w:tcPr>
          <w:p w14:paraId="177C7C88">
            <w:pPr>
              <w:adjustRightInd w:val="0"/>
              <w:snapToGrid w:val="0"/>
              <w:jc w:val="center"/>
              <w:rPr>
                <w:sz w:val="24"/>
              </w:rPr>
            </w:pPr>
          </w:p>
        </w:tc>
      </w:tr>
      <w:tr w14:paraId="3A1F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5C09DC9">
            <w:pPr>
              <w:adjustRightInd w:val="0"/>
              <w:snapToGrid w:val="0"/>
              <w:jc w:val="center"/>
              <w:rPr>
                <w:sz w:val="24"/>
              </w:rPr>
            </w:pPr>
          </w:p>
        </w:tc>
        <w:tc>
          <w:tcPr>
            <w:tcW w:w="1482" w:type="dxa"/>
            <w:noWrap w:val="0"/>
            <w:vAlign w:val="center"/>
          </w:tcPr>
          <w:p w14:paraId="353B5B03">
            <w:pPr>
              <w:adjustRightInd w:val="0"/>
              <w:snapToGrid w:val="0"/>
              <w:jc w:val="center"/>
              <w:rPr>
                <w:sz w:val="24"/>
              </w:rPr>
            </w:pPr>
          </w:p>
        </w:tc>
        <w:tc>
          <w:tcPr>
            <w:tcW w:w="2384" w:type="dxa"/>
            <w:noWrap w:val="0"/>
            <w:vAlign w:val="center"/>
          </w:tcPr>
          <w:p w14:paraId="56A8ACB9">
            <w:pPr>
              <w:adjustRightInd w:val="0"/>
              <w:snapToGrid w:val="0"/>
              <w:jc w:val="center"/>
              <w:rPr>
                <w:sz w:val="24"/>
              </w:rPr>
            </w:pPr>
          </w:p>
        </w:tc>
        <w:tc>
          <w:tcPr>
            <w:tcW w:w="2126" w:type="dxa"/>
            <w:noWrap w:val="0"/>
            <w:vAlign w:val="center"/>
          </w:tcPr>
          <w:p w14:paraId="14CD4392">
            <w:pPr>
              <w:adjustRightInd w:val="0"/>
              <w:snapToGrid w:val="0"/>
              <w:jc w:val="center"/>
              <w:rPr>
                <w:sz w:val="24"/>
              </w:rPr>
            </w:pPr>
          </w:p>
        </w:tc>
        <w:tc>
          <w:tcPr>
            <w:tcW w:w="1875" w:type="dxa"/>
            <w:noWrap w:val="0"/>
            <w:vAlign w:val="center"/>
          </w:tcPr>
          <w:p w14:paraId="47A0F558">
            <w:pPr>
              <w:adjustRightInd w:val="0"/>
              <w:snapToGrid w:val="0"/>
              <w:jc w:val="center"/>
              <w:rPr>
                <w:sz w:val="24"/>
              </w:rPr>
            </w:pPr>
          </w:p>
        </w:tc>
        <w:tc>
          <w:tcPr>
            <w:tcW w:w="1009" w:type="dxa"/>
            <w:noWrap w:val="0"/>
            <w:vAlign w:val="center"/>
          </w:tcPr>
          <w:p w14:paraId="1F0413E7">
            <w:pPr>
              <w:adjustRightInd w:val="0"/>
              <w:snapToGrid w:val="0"/>
              <w:jc w:val="center"/>
              <w:rPr>
                <w:sz w:val="24"/>
              </w:rPr>
            </w:pPr>
          </w:p>
        </w:tc>
      </w:tr>
      <w:tr w14:paraId="6D3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FF28D0">
            <w:pPr>
              <w:adjustRightInd w:val="0"/>
              <w:snapToGrid w:val="0"/>
              <w:jc w:val="center"/>
              <w:rPr>
                <w:sz w:val="24"/>
              </w:rPr>
            </w:pPr>
          </w:p>
        </w:tc>
        <w:tc>
          <w:tcPr>
            <w:tcW w:w="1482" w:type="dxa"/>
            <w:noWrap w:val="0"/>
            <w:vAlign w:val="center"/>
          </w:tcPr>
          <w:p w14:paraId="0F9FCAAD">
            <w:pPr>
              <w:adjustRightInd w:val="0"/>
              <w:snapToGrid w:val="0"/>
              <w:jc w:val="center"/>
              <w:rPr>
                <w:sz w:val="24"/>
              </w:rPr>
            </w:pPr>
          </w:p>
        </w:tc>
        <w:tc>
          <w:tcPr>
            <w:tcW w:w="2384" w:type="dxa"/>
            <w:noWrap w:val="0"/>
            <w:vAlign w:val="center"/>
          </w:tcPr>
          <w:p w14:paraId="4B96DADE">
            <w:pPr>
              <w:adjustRightInd w:val="0"/>
              <w:snapToGrid w:val="0"/>
              <w:jc w:val="center"/>
              <w:rPr>
                <w:sz w:val="24"/>
              </w:rPr>
            </w:pPr>
          </w:p>
        </w:tc>
        <w:tc>
          <w:tcPr>
            <w:tcW w:w="2126" w:type="dxa"/>
            <w:noWrap w:val="0"/>
            <w:vAlign w:val="center"/>
          </w:tcPr>
          <w:p w14:paraId="6D4B1C1E">
            <w:pPr>
              <w:adjustRightInd w:val="0"/>
              <w:snapToGrid w:val="0"/>
              <w:jc w:val="center"/>
              <w:rPr>
                <w:sz w:val="24"/>
              </w:rPr>
            </w:pPr>
          </w:p>
        </w:tc>
        <w:tc>
          <w:tcPr>
            <w:tcW w:w="1875" w:type="dxa"/>
            <w:noWrap w:val="0"/>
            <w:vAlign w:val="center"/>
          </w:tcPr>
          <w:p w14:paraId="370E07DF">
            <w:pPr>
              <w:adjustRightInd w:val="0"/>
              <w:snapToGrid w:val="0"/>
              <w:jc w:val="center"/>
              <w:rPr>
                <w:sz w:val="24"/>
              </w:rPr>
            </w:pPr>
          </w:p>
        </w:tc>
        <w:tc>
          <w:tcPr>
            <w:tcW w:w="1009" w:type="dxa"/>
            <w:noWrap w:val="0"/>
            <w:vAlign w:val="center"/>
          </w:tcPr>
          <w:p w14:paraId="3C24B0D1">
            <w:pPr>
              <w:adjustRightInd w:val="0"/>
              <w:snapToGrid w:val="0"/>
              <w:jc w:val="center"/>
              <w:rPr>
                <w:sz w:val="24"/>
              </w:rPr>
            </w:pPr>
          </w:p>
        </w:tc>
      </w:tr>
      <w:tr w14:paraId="33A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74AF21">
            <w:pPr>
              <w:adjustRightInd w:val="0"/>
              <w:snapToGrid w:val="0"/>
              <w:jc w:val="center"/>
              <w:rPr>
                <w:sz w:val="24"/>
              </w:rPr>
            </w:pPr>
          </w:p>
        </w:tc>
        <w:tc>
          <w:tcPr>
            <w:tcW w:w="1482" w:type="dxa"/>
            <w:noWrap w:val="0"/>
            <w:vAlign w:val="center"/>
          </w:tcPr>
          <w:p w14:paraId="6E50C26C">
            <w:pPr>
              <w:adjustRightInd w:val="0"/>
              <w:snapToGrid w:val="0"/>
              <w:jc w:val="center"/>
              <w:rPr>
                <w:sz w:val="24"/>
              </w:rPr>
            </w:pPr>
          </w:p>
        </w:tc>
        <w:tc>
          <w:tcPr>
            <w:tcW w:w="2384" w:type="dxa"/>
            <w:noWrap w:val="0"/>
            <w:vAlign w:val="center"/>
          </w:tcPr>
          <w:p w14:paraId="34083DFE">
            <w:pPr>
              <w:adjustRightInd w:val="0"/>
              <w:snapToGrid w:val="0"/>
              <w:jc w:val="center"/>
              <w:rPr>
                <w:sz w:val="24"/>
              </w:rPr>
            </w:pPr>
          </w:p>
        </w:tc>
        <w:tc>
          <w:tcPr>
            <w:tcW w:w="2126" w:type="dxa"/>
            <w:noWrap w:val="0"/>
            <w:vAlign w:val="center"/>
          </w:tcPr>
          <w:p w14:paraId="2ADD4E65">
            <w:pPr>
              <w:adjustRightInd w:val="0"/>
              <w:snapToGrid w:val="0"/>
              <w:jc w:val="center"/>
              <w:rPr>
                <w:sz w:val="24"/>
              </w:rPr>
            </w:pPr>
          </w:p>
        </w:tc>
        <w:tc>
          <w:tcPr>
            <w:tcW w:w="1875" w:type="dxa"/>
            <w:noWrap w:val="0"/>
            <w:vAlign w:val="center"/>
          </w:tcPr>
          <w:p w14:paraId="70B1DDEA">
            <w:pPr>
              <w:adjustRightInd w:val="0"/>
              <w:snapToGrid w:val="0"/>
              <w:jc w:val="center"/>
              <w:rPr>
                <w:sz w:val="24"/>
              </w:rPr>
            </w:pPr>
          </w:p>
        </w:tc>
        <w:tc>
          <w:tcPr>
            <w:tcW w:w="1009" w:type="dxa"/>
            <w:noWrap w:val="0"/>
            <w:vAlign w:val="center"/>
          </w:tcPr>
          <w:p w14:paraId="6B9B1B04">
            <w:pPr>
              <w:adjustRightInd w:val="0"/>
              <w:snapToGrid w:val="0"/>
              <w:jc w:val="center"/>
              <w:rPr>
                <w:sz w:val="24"/>
              </w:rPr>
            </w:pPr>
          </w:p>
        </w:tc>
      </w:tr>
      <w:tr w14:paraId="6D2B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20E8CEC">
            <w:pPr>
              <w:adjustRightInd w:val="0"/>
              <w:snapToGrid w:val="0"/>
              <w:jc w:val="center"/>
              <w:rPr>
                <w:sz w:val="24"/>
              </w:rPr>
            </w:pPr>
          </w:p>
        </w:tc>
        <w:tc>
          <w:tcPr>
            <w:tcW w:w="1482" w:type="dxa"/>
            <w:noWrap w:val="0"/>
            <w:vAlign w:val="center"/>
          </w:tcPr>
          <w:p w14:paraId="7C4A75DC">
            <w:pPr>
              <w:adjustRightInd w:val="0"/>
              <w:snapToGrid w:val="0"/>
              <w:jc w:val="center"/>
              <w:rPr>
                <w:sz w:val="24"/>
              </w:rPr>
            </w:pPr>
          </w:p>
        </w:tc>
        <w:tc>
          <w:tcPr>
            <w:tcW w:w="2384" w:type="dxa"/>
            <w:noWrap w:val="0"/>
            <w:vAlign w:val="center"/>
          </w:tcPr>
          <w:p w14:paraId="558A5494">
            <w:pPr>
              <w:adjustRightInd w:val="0"/>
              <w:snapToGrid w:val="0"/>
              <w:jc w:val="center"/>
              <w:rPr>
                <w:sz w:val="24"/>
              </w:rPr>
            </w:pPr>
          </w:p>
        </w:tc>
        <w:tc>
          <w:tcPr>
            <w:tcW w:w="2126" w:type="dxa"/>
            <w:noWrap w:val="0"/>
            <w:vAlign w:val="center"/>
          </w:tcPr>
          <w:p w14:paraId="3C48E764">
            <w:pPr>
              <w:adjustRightInd w:val="0"/>
              <w:snapToGrid w:val="0"/>
              <w:jc w:val="center"/>
              <w:rPr>
                <w:sz w:val="24"/>
              </w:rPr>
            </w:pPr>
          </w:p>
        </w:tc>
        <w:tc>
          <w:tcPr>
            <w:tcW w:w="1875" w:type="dxa"/>
            <w:noWrap w:val="0"/>
            <w:vAlign w:val="center"/>
          </w:tcPr>
          <w:p w14:paraId="67B31A39">
            <w:pPr>
              <w:adjustRightInd w:val="0"/>
              <w:snapToGrid w:val="0"/>
              <w:jc w:val="center"/>
              <w:rPr>
                <w:sz w:val="24"/>
              </w:rPr>
            </w:pPr>
          </w:p>
        </w:tc>
        <w:tc>
          <w:tcPr>
            <w:tcW w:w="1009" w:type="dxa"/>
            <w:noWrap w:val="0"/>
            <w:vAlign w:val="center"/>
          </w:tcPr>
          <w:p w14:paraId="3644768F">
            <w:pPr>
              <w:adjustRightInd w:val="0"/>
              <w:snapToGrid w:val="0"/>
              <w:jc w:val="center"/>
              <w:rPr>
                <w:sz w:val="24"/>
              </w:rPr>
            </w:pPr>
          </w:p>
        </w:tc>
      </w:tr>
      <w:tr w14:paraId="2740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3A2F1CA">
            <w:pPr>
              <w:adjustRightInd w:val="0"/>
              <w:snapToGrid w:val="0"/>
              <w:jc w:val="center"/>
              <w:rPr>
                <w:sz w:val="24"/>
              </w:rPr>
            </w:pPr>
          </w:p>
        </w:tc>
        <w:tc>
          <w:tcPr>
            <w:tcW w:w="1482" w:type="dxa"/>
            <w:noWrap w:val="0"/>
            <w:vAlign w:val="center"/>
          </w:tcPr>
          <w:p w14:paraId="6B18BF14">
            <w:pPr>
              <w:adjustRightInd w:val="0"/>
              <w:snapToGrid w:val="0"/>
              <w:jc w:val="center"/>
              <w:rPr>
                <w:sz w:val="24"/>
              </w:rPr>
            </w:pPr>
          </w:p>
        </w:tc>
        <w:tc>
          <w:tcPr>
            <w:tcW w:w="2384" w:type="dxa"/>
            <w:noWrap w:val="0"/>
            <w:vAlign w:val="center"/>
          </w:tcPr>
          <w:p w14:paraId="49B84E1D">
            <w:pPr>
              <w:adjustRightInd w:val="0"/>
              <w:snapToGrid w:val="0"/>
              <w:jc w:val="center"/>
              <w:rPr>
                <w:sz w:val="24"/>
              </w:rPr>
            </w:pPr>
          </w:p>
        </w:tc>
        <w:tc>
          <w:tcPr>
            <w:tcW w:w="2126" w:type="dxa"/>
            <w:noWrap w:val="0"/>
            <w:vAlign w:val="center"/>
          </w:tcPr>
          <w:p w14:paraId="2E87C583">
            <w:pPr>
              <w:adjustRightInd w:val="0"/>
              <w:snapToGrid w:val="0"/>
              <w:jc w:val="center"/>
              <w:rPr>
                <w:sz w:val="24"/>
              </w:rPr>
            </w:pPr>
          </w:p>
        </w:tc>
        <w:tc>
          <w:tcPr>
            <w:tcW w:w="1875" w:type="dxa"/>
            <w:noWrap w:val="0"/>
            <w:vAlign w:val="center"/>
          </w:tcPr>
          <w:p w14:paraId="38588D54">
            <w:pPr>
              <w:adjustRightInd w:val="0"/>
              <w:snapToGrid w:val="0"/>
              <w:jc w:val="center"/>
              <w:rPr>
                <w:sz w:val="24"/>
              </w:rPr>
            </w:pPr>
          </w:p>
        </w:tc>
        <w:tc>
          <w:tcPr>
            <w:tcW w:w="1009" w:type="dxa"/>
            <w:noWrap w:val="0"/>
            <w:vAlign w:val="center"/>
          </w:tcPr>
          <w:p w14:paraId="50EAF915">
            <w:pPr>
              <w:adjustRightInd w:val="0"/>
              <w:snapToGrid w:val="0"/>
              <w:jc w:val="center"/>
              <w:rPr>
                <w:sz w:val="24"/>
              </w:rPr>
            </w:pPr>
          </w:p>
        </w:tc>
      </w:tr>
    </w:tbl>
    <w:p w14:paraId="11C766B5">
      <w:pPr>
        <w:tabs>
          <w:tab w:val="left" w:pos="1800"/>
          <w:tab w:val="left" w:pos="5580"/>
        </w:tabs>
        <w:spacing w:line="360" w:lineRule="auto"/>
        <w:ind w:firstLine="360" w:firstLineChars="150"/>
        <w:jc w:val="left"/>
        <w:rPr>
          <w:sz w:val="24"/>
          <w:u w:val="single"/>
        </w:rPr>
      </w:pPr>
    </w:p>
    <w:p w14:paraId="3014E3DE">
      <w:pPr>
        <w:tabs>
          <w:tab w:val="left" w:pos="1800"/>
          <w:tab w:val="left" w:pos="5580"/>
        </w:tabs>
        <w:spacing w:line="360" w:lineRule="auto"/>
        <w:ind w:firstLine="360" w:firstLineChars="150"/>
        <w:jc w:val="left"/>
        <w:rPr>
          <w:sz w:val="24"/>
          <w:u w:val="single"/>
        </w:rPr>
      </w:pPr>
    </w:p>
    <w:p w14:paraId="32A410E7">
      <w:pPr>
        <w:tabs>
          <w:tab w:val="left" w:pos="1800"/>
          <w:tab w:val="left" w:pos="5580"/>
        </w:tabs>
        <w:jc w:val="left"/>
        <w:rPr>
          <w:sz w:val="24"/>
        </w:rPr>
      </w:pPr>
      <w:r>
        <w:rPr>
          <w:sz w:val="24"/>
        </w:rPr>
        <w:t>注：</w:t>
      </w:r>
    </w:p>
    <w:p w14:paraId="163F0870">
      <w:pPr>
        <w:tabs>
          <w:tab w:val="left" w:pos="1800"/>
          <w:tab w:val="left" w:pos="5580"/>
        </w:tabs>
        <w:jc w:val="left"/>
        <w:rPr>
          <w:sz w:val="24"/>
        </w:rPr>
      </w:pPr>
      <w:r>
        <w:rPr>
          <w:rFonts w:hint="eastAsia"/>
          <w:sz w:val="24"/>
        </w:rPr>
        <w:t>1</w:t>
      </w:r>
      <w:r>
        <w:rPr>
          <w:sz w:val="24"/>
        </w:rPr>
        <w:t>. 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529AA1">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1D89F2C7">
      <w:pPr>
        <w:tabs>
          <w:tab w:val="left" w:pos="1800"/>
          <w:tab w:val="left" w:pos="5580"/>
        </w:tabs>
        <w:jc w:val="left"/>
        <w:rPr>
          <w:sz w:val="24"/>
        </w:rPr>
      </w:pPr>
    </w:p>
    <w:p w14:paraId="0CAFA4D2">
      <w:pPr>
        <w:rPr>
          <w:sz w:val="24"/>
          <w:szCs w:val="20"/>
        </w:rPr>
      </w:pPr>
    </w:p>
    <w:p w14:paraId="5361D391">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42847785">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0F4FBE11">
      <w:pPr>
        <w:tabs>
          <w:tab w:val="left" w:pos="360"/>
        </w:tabs>
        <w:snapToGrid w:val="0"/>
        <w:spacing w:line="360" w:lineRule="auto"/>
        <w:outlineLvl w:val="1"/>
        <w:rPr>
          <w:sz w:val="24"/>
          <w:szCs w:val="20"/>
        </w:rPr>
      </w:pPr>
      <w:r>
        <w:rPr>
          <w:sz w:val="24"/>
          <w:szCs w:val="20"/>
        </w:rPr>
        <w:br w:type="page"/>
      </w:r>
      <w:r>
        <w:rPr>
          <w:sz w:val="24"/>
        </w:rPr>
        <w:t xml:space="preserve">11  </w:t>
      </w:r>
      <w:r>
        <w:rPr>
          <w:rFonts w:hint="eastAsia"/>
          <w:sz w:val="24"/>
        </w:rPr>
        <w:t>竞争性磋商文件要求提供或供应商认为应附的其他材料</w:t>
      </w:r>
    </w:p>
    <w:p w14:paraId="1AD555A5">
      <w:pPr>
        <w:autoSpaceDE w:val="0"/>
        <w:autoSpaceDN w:val="0"/>
        <w:adjustRightInd w:val="0"/>
        <w:jc w:val="center"/>
        <w:rPr>
          <w:sz w:val="30"/>
          <w:szCs w:val="30"/>
        </w:rPr>
      </w:pPr>
    </w:p>
    <w:p w14:paraId="795D85C3">
      <w:pPr>
        <w:spacing w:line="360" w:lineRule="auto"/>
        <w:rPr>
          <w:b/>
          <w:sz w:val="24"/>
        </w:rPr>
      </w:pPr>
    </w:p>
    <w:p w14:paraId="2D503D09">
      <w:pPr>
        <w:tabs>
          <w:tab w:val="left" w:pos="360"/>
        </w:tabs>
        <w:snapToGrid w:val="0"/>
        <w:spacing w:line="360" w:lineRule="auto"/>
        <w:outlineLvl w:val="1"/>
        <w:rPr>
          <w:sz w:val="24"/>
        </w:rPr>
      </w:pPr>
      <w:r>
        <w:rPr>
          <w:sz w:val="24"/>
          <w:szCs w:val="20"/>
        </w:rPr>
        <w:br w:type="page"/>
      </w:r>
      <w:r>
        <w:rPr>
          <w:sz w:val="24"/>
        </w:rPr>
        <w:t>1</w:t>
      </w:r>
      <w:r>
        <w:rPr>
          <w:rFonts w:hint="eastAsia"/>
          <w:sz w:val="24"/>
        </w:rPr>
        <w:t>2</w:t>
      </w:r>
      <w:r>
        <w:rPr>
          <w:sz w:val="24"/>
        </w:rPr>
        <w:t xml:space="preserve">  最后报价一览表（磋商后提交）</w:t>
      </w:r>
    </w:p>
    <w:p w14:paraId="3AEFD209">
      <w:pPr>
        <w:widowControl/>
        <w:jc w:val="left"/>
        <w:rPr>
          <w:kern w:val="0"/>
          <w:sz w:val="24"/>
          <w:szCs w:val="20"/>
        </w:rPr>
      </w:pPr>
    </w:p>
    <w:p w14:paraId="2559D333">
      <w:pPr>
        <w:spacing w:line="360" w:lineRule="exact"/>
        <w:ind w:firstLine="720"/>
        <w:jc w:val="center"/>
        <w:rPr>
          <w:b/>
          <w:sz w:val="36"/>
          <w:szCs w:val="36"/>
        </w:rPr>
      </w:pPr>
      <w:r>
        <w:rPr>
          <w:rFonts w:hint="eastAsia"/>
          <w:b/>
          <w:sz w:val="36"/>
          <w:szCs w:val="36"/>
        </w:rPr>
        <w:t>最后报价一览表</w:t>
      </w:r>
    </w:p>
    <w:p w14:paraId="0F44397E">
      <w:pPr>
        <w:tabs>
          <w:tab w:val="left" w:pos="1800"/>
          <w:tab w:val="left" w:pos="5580"/>
        </w:tabs>
        <w:spacing w:line="360" w:lineRule="auto"/>
        <w:jc w:val="left"/>
        <w:rPr>
          <w:sz w:val="24"/>
        </w:rPr>
      </w:pPr>
    </w:p>
    <w:p w14:paraId="3779A6B1">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7687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noWrap w:val="0"/>
            <w:vAlign w:val="center"/>
          </w:tcPr>
          <w:p w14:paraId="16DC73F8">
            <w:pPr>
              <w:tabs>
                <w:tab w:val="left" w:pos="5580"/>
              </w:tabs>
              <w:jc w:val="center"/>
              <w:rPr>
                <w:b/>
                <w:sz w:val="24"/>
              </w:rPr>
            </w:pPr>
            <w:r>
              <w:rPr>
                <w:b/>
                <w:sz w:val="24"/>
              </w:rPr>
              <w:t>序号</w:t>
            </w:r>
          </w:p>
        </w:tc>
        <w:tc>
          <w:tcPr>
            <w:tcW w:w="1498" w:type="pct"/>
            <w:vMerge w:val="restart"/>
            <w:noWrap w:val="0"/>
            <w:vAlign w:val="center"/>
          </w:tcPr>
          <w:p w14:paraId="54F45DD5">
            <w:pPr>
              <w:tabs>
                <w:tab w:val="left" w:pos="5580"/>
              </w:tabs>
              <w:jc w:val="center"/>
              <w:rPr>
                <w:b/>
                <w:sz w:val="24"/>
              </w:rPr>
            </w:pPr>
            <w:r>
              <w:rPr>
                <w:b/>
                <w:sz w:val="24"/>
              </w:rPr>
              <w:t>供应商名称</w:t>
            </w:r>
          </w:p>
        </w:tc>
        <w:tc>
          <w:tcPr>
            <w:tcW w:w="2106" w:type="pct"/>
            <w:gridSpan w:val="2"/>
            <w:noWrap w:val="0"/>
            <w:vAlign w:val="center"/>
          </w:tcPr>
          <w:p w14:paraId="01EB38BF">
            <w:pPr>
              <w:tabs>
                <w:tab w:val="left" w:pos="5580"/>
              </w:tabs>
              <w:jc w:val="center"/>
              <w:rPr>
                <w:b/>
                <w:sz w:val="24"/>
              </w:rPr>
            </w:pPr>
            <w:r>
              <w:rPr>
                <w:b/>
                <w:sz w:val="24"/>
              </w:rPr>
              <w:t>最后报价</w:t>
            </w:r>
          </w:p>
        </w:tc>
        <w:tc>
          <w:tcPr>
            <w:tcW w:w="948" w:type="pct"/>
            <w:vMerge w:val="restart"/>
            <w:noWrap w:val="0"/>
            <w:vAlign w:val="center"/>
          </w:tcPr>
          <w:p w14:paraId="7B39F5F3">
            <w:pPr>
              <w:tabs>
                <w:tab w:val="left" w:pos="5580"/>
              </w:tabs>
              <w:jc w:val="center"/>
              <w:rPr>
                <w:b/>
                <w:sz w:val="24"/>
              </w:rPr>
            </w:pPr>
            <w:r>
              <w:rPr>
                <w:b/>
                <w:sz w:val="24"/>
              </w:rPr>
              <w:t>其他</w:t>
            </w:r>
          </w:p>
          <w:p w14:paraId="050FE7E6">
            <w:pPr>
              <w:tabs>
                <w:tab w:val="left" w:pos="5580"/>
              </w:tabs>
              <w:jc w:val="center"/>
              <w:rPr>
                <w:b/>
                <w:sz w:val="24"/>
              </w:rPr>
            </w:pPr>
            <w:r>
              <w:rPr>
                <w:b/>
                <w:sz w:val="24"/>
              </w:rPr>
              <w:t>声明</w:t>
            </w:r>
          </w:p>
        </w:tc>
      </w:tr>
      <w:tr w14:paraId="1132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noWrap w:val="0"/>
            <w:vAlign w:val="center"/>
          </w:tcPr>
          <w:p w14:paraId="2EED2427">
            <w:pPr>
              <w:tabs>
                <w:tab w:val="left" w:pos="5580"/>
              </w:tabs>
              <w:jc w:val="center"/>
              <w:rPr>
                <w:sz w:val="24"/>
              </w:rPr>
            </w:pPr>
          </w:p>
        </w:tc>
        <w:tc>
          <w:tcPr>
            <w:tcW w:w="1498" w:type="pct"/>
            <w:vMerge w:val="continue"/>
            <w:noWrap w:val="0"/>
            <w:vAlign w:val="center"/>
          </w:tcPr>
          <w:p w14:paraId="28C885F0">
            <w:pPr>
              <w:tabs>
                <w:tab w:val="left" w:pos="5580"/>
              </w:tabs>
              <w:jc w:val="center"/>
              <w:rPr>
                <w:sz w:val="24"/>
              </w:rPr>
            </w:pPr>
          </w:p>
        </w:tc>
        <w:tc>
          <w:tcPr>
            <w:tcW w:w="1114" w:type="pct"/>
            <w:noWrap w:val="0"/>
            <w:vAlign w:val="center"/>
          </w:tcPr>
          <w:p w14:paraId="4B235EE6">
            <w:pPr>
              <w:tabs>
                <w:tab w:val="left" w:pos="5580"/>
              </w:tabs>
              <w:jc w:val="center"/>
              <w:rPr>
                <w:b/>
                <w:sz w:val="24"/>
              </w:rPr>
            </w:pPr>
            <w:r>
              <w:rPr>
                <w:b/>
                <w:sz w:val="24"/>
              </w:rPr>
              <w:t>大写</w:t>
            </w:r>
          </w:p>
        </w:tc>
        <w:tc>
          <w:tcPr>
            <w:tcW w:w="992" w:type="pct"/>
            <w:noWrap w:val="0"/>
            <w:vAlign w:val="center"/>
          </w:tcPr>
          <w:p w14:paraId="54483FAB">
            <w:pPr>
              <w:tabs>
                <w:tab w:val="left" w:pos="5580"/>
              </w:tabs>
              <w:jc w:val="center"/>
              <w:rPr>
                <w:b/>
                <w:sz w:val="24"/>
              </w:rPr>
            </w:pPr>
            <w:r>
              <w:rPr>
                <w:b/>
                <w:sz w:val="24"/>
              </w:rPr>
              <w:t>小写</w:t>
            </w:r>
          </w:p>
        </w:tc>
        <w:tc>
          <w:tcPr>
            <w:tcW w:w="948" w:type="pct"/>
            <w:vMerge w:val="continue"/>
            <w:noWrap w:val="0"/>
            <w:vAlign w:val="center"/>
          </w:tcPr>
          <w:p w14:paraId="4CABB7C8">
            <w:pPr>
              <w:tabs>
                <w:tab w:val="left" w:pos="5580"/>
              </w:tabs>
              <w:ind w:firstLine="482"/>
              <w:jc w:val="center"/>
              <w:rPr>
                <w:b/>
                <w:sz w:val="24"/>
              </w:rPr>
            </w:pPr>
          </w:p>
        </w:tc>
      </w:tr>
      <w:tr w14:paraId="2BD8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noWrap w:val="0"/>
            <w:vAlign w:val="center"/>
          </w:tcPr>
          <w:p w14:paraId="3015CC9F">
            <w:pPr>
              <w:tabs>
                <w:tab w:val="left" w:pos="5580"/>
              </w:tabs>
              <w:jc w:val="center"/>
              <w:rPr>
                <w:sz w:val="24"/>
              </w:rPr>
            </w:pPr>
          </w:p>
        </w:tc>
        <w:tc>
          <w:tcPr>
            <w:tcW w:w="1498" w:type="pct"/>
            <w:noWrap w:val="0"/>
            <w:vAlign w:val="center"/>
          </w:tcPr>
          <w:p w14:paraId="3749AA31">
            <w:pPr>
              <w:tabs>
                <w:tab w:val="left" w:pos="5580"/>
              </w:tabs>
              <w:jc w:val="center"/>
              <w:rPr>
                <w:sz w:val="24"/>
              </w:rPr>
            </w:pPr>
          </w:p>
        </w:tc>
        <w:tc>
          <w:tcPr>
            <w:tcW w:w="1114" w:type="pct"/>
            <w:noWrap w:val="0"/>
            <w:vAlign w:val="center"/>
          </w:tcPr>
          <w:p w14:paraId="284C6208">
            <w:pPr>
              <w:tabs>
                <w:tab w:val="left" w:pos="5580"/>
              </w:tabs>
              <w:jc w:val="center"/>
              <w:rPr>
                <w:sz w:val="24"/>
              </w:rPr>
            </w:pPr>
          </w:p>
        </w:tc>
        <w:tc>
          <w:tcPr>
            <w:tcW w:w="992" w:type="pct"/>
            <w:noWrap w:val="0"/>
            <w:vAlign w:val="center"/>
          </w:tcPr>
          <w:p w14:paraId="51A5B07D">
            <w:pPr>
              <w:tabs>
                <w:tab w:val="left" w:pos="5580"/>
              </w:tabs>
              <w:jc w:val="center"/>
              <w:rPr>
                <w:sz w:val="24"/>
              </w:rPr>
            </w:pPr>
          </w:p>
        </w:tc>
        <w:tc>
          <w:tcPr>
            <w:tcW w:w="948" w:type="pct"/>
            <w:noWrap w:val="0"/>
            <w:vAlign w:val="center"/>
          </w:tcPr>
          <w:p w14:paraId="1FDA2A05">
            <w:pPr>
              <w:tabs>
                <w:tab w:val="left" w:pos="5580"/>
              </w:tabs>
              <w:jc w:val="center"/>
              <w:rPr>
                <w:sz w:val="24"/>
              </w:rPr>
            </w:pPr>
          </w:p>
        </w:tc>
      </w:tr>
    </w:tbl>
    <w:p w14:paraId="49715F63">
      <w:pPr>
        <w:autoSpaceDE w:val="0"/>
        <w:autoSpaceDN w:val="0"/>
        <w:adjustRightInd w:val="0"/>
        <w:jc w:val="left"/>
        <w:rPr>
          <w:kern w:val="0"/>
          <w:sz w:val="24"/>
        </w:rPr>
      </w:pPr>
    </w:p>
    <w:p w14:paraId="69EFA41D">
      <w:pPr>
        <w:autoSpaceDE w:val="0"/>
        <w:autoSpaceDN w:val="0"/>
        <w:adjustRightInd w:val="0"/>
        <w:jc w:val="left"/>
        <w:rPr>
          <w:sz w:val="24"/>
          <w:szCs w:val="20"/>
        </w:rPr>
      </w:pPr>
      <w:r>
        <w:rPr>
          <w:kern w:val="0"/>
          <w:sz w:val="24"/>
        </w:rPr>
        <w:t>注：1</w:t>
      </w:r>
      <w:r>
        <w:rPr>
          <w:sz w:val="24"/>
          <w:szCs w:val="20"/>
        </w:rPr>
        <w:t>.此表中，每包的报价应和《最后分项报价表》中的总价相一致。</w:t>
      </w:r>
    </w:p>
    <w:p w14:paraId="153FDD55">
      <w:pPr>
        <w:tabs>
          <w:tab w:val="left" w:pos="5580"/>
        </w:tabs>
        <w:ind w:firstLine="480" w:firstLineChars="200"/>
        <w:rPr>
          <w:sz w:val="24"/>
          <w:szCs w:val="20"/>
        </w:rPr>
      </w:pPr>
      <w:r>
        <w:rPr>
          <w:sz w:val="24"/>
          <w:szCs w:val="20"/>
        </w:rPr>
        <w:t>2.本表必须按包分别填写。</w:t>
      </w:r>
    </w:p>
    <w:p w14:paraId="0FA82FFA">
      <w:pPr>
        <w:tabs>
          <w:tab w:val="left" w:pos="5580"/>
        </w:tabs>
        <w:ind w:firstLine="480" w:firstLineChars="200"/>
        <w:rPr>
          <w:sz w:val="24"/>
          <w:szCs w:val="20"/>
        </w:rPr>
      </w:pPr>
      <w:r>
        <w:rPr>
          <w:rFonts w:hint="eastAsia"/>
          <w:sz w:val="24"/>
          <w:szCs w:val="20"/>
        </w:rPr>
        <w:t>3.此表无需在响应文件中提交，磋商后供应商按磋商小组要求提交。</w:t>
      </w:r>
    </w:p>
    <w:p w14:paraId="4B9960A7">
      <w:pPr>
        <w:autoSpaceDE w:val="0"/>
        <w:autoSpaceDN w:val="0"/>
        <w:adjustRightInd w:val="0"/>
        <w:snapToGrid w:val="0"/>
        <w:spacing w:before="25" w:after="25" w:line="360" w:lineRule="auto"/>
        <w:rPr>
          <w:sz w:val="24"/>
          <w:lang w:val="zh-CN"/>
        </w:rPr>
      </w:pPr>
    </w:p>
    <w:p w14:paraId="7C903EDC">
      <w:pPr>
        <w:autoSpaceDE w:val="0"/>
        <w:autoSpaceDN w:val="0"/>
        <w:adjustRightInd w:val="0"/>
        <w:snapToGrid w:val="0"/>
        <w:spacing w:before="25" w:after="25" w:line="360" w:lineRule="auto"/>
        <w:rPr>
          <w:sz w:val="24"/>
          <w:lang w:val="zh-CN"/>
        </w:rPr>
      </w:pPr>
      <w:r>
        <w:rPr>
          <w:sz w:val="24"/>
          <w:lang w:val="zh-CN"/>
        </w:rPr>
        <w:t xml:space="preserve">      </w:t>
      </w:r>
    </w:p>
    <w:p w14:paraId="619D7342">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5D7522F5">
      <w:pPr>
        <w:widowControl/>
        <w:jc w:val="left"/>
        <w:rPr>
          <w:sz w:val="24"/>
          <w:szCs w:val="20"/>
        </w:rPr>
      </w:pPr>
      <w:r>
        <w:rPr>
          <w:sz w:val="24"/>
          <w:szCs w:val="20"/>
        </w:rPr>
        <w:t xml:space="preserve">日期：____年____月____日   </w:t>
      </w:r>
    </w:p>
    <w:p w14:paraId="29EB5658">
      <w:pPr>
        <w:widowControl/>
        <w:jc w:val="left"/>
        <w:rPr>
          <w:sz w:val="24"/>
          <w:szCs w:val="20"/>
        </w:rPr>
      </w:pPr>
      <w:r>
        <w:rPr>
          <w:sz w:val="24"/>
          <w:szCs w:val="20"/>
        </w:rPr>
        <w:br w:type="page"/>
      </w:r>
    </w:p>
    <w:p w14:paraId="6397056E">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最后分项报价表（磋商后提交）</w:t>
      </w:r>
    </w:p>
    <w:p w14:paraId="1B50468A">
      <w:pPr>
        <w:spacing w:line="360" w:lineRule="exact"/>
        <w:jc w:val="center"/>
        <w:rPr>
          <w:sz w:val="36"/>
          <w:szCs w:val="36"/>
        </w:rPr>
      </w:pPr>
      <w:r>
        <w:rPr>
          <w:sz w:val="36"/>
          <w:szCs w:val="36"/>
        </w:rPr>
        <w:t>最后分项报价表</w:t>
      </w:r>
    </w:p>
    <w:p w14:paraId="27FE2E2C">
      <w:pPr>
        <w:spacing w:line="260" w:lineRule="exact"/>
        <w:jc w:val="center"/>
        <w:rPr>
          <w:sz w:val="36"/>
          <w:szCs w:val="36"/>
        </w:rPr>
      </w:pPr>
    </w:p>
    <w:p w14:paraId="5B805A68">
      <w:pPr>
        <w:adjustRightInd w:val="0"/>
        <w:snapToGrid w:val="0"/>
        <w:spacing w:before="240" w:beforeLines="100" w:after="240" w:afterLines="100"/>
        <w:jc w:val="left"/>
        <w:rPr>
          <w:b/>
          <w:i/>
          <w:sz w:val="24"/>
        </w:rPr>
      </w:pPr>
      <w:r>
        <w:rPr>
          <w:b/>
          <w:i/>
          <w:sz w:val="24"/>
        </w:rPr>
        <w:t>（格式示例一，适用于设备采购）</w:t>
      </w:r>
    </w:p>
    <w:p w14:paraId="4E85C77E">
      <w:pPr>
        <w:tabs>
          <w:tab w:val="left" w:pos="1800"/>
          <w:tab w:val="left" w:pos="5580"/>
        </w:tabs>
        <w:rPr>
          <w:sz w:val="24"/>
        </w:rPr>
      </w:pPr>
      <w:r>
        <w:rPr>
          <w:sz w:val="24"/>
        </w:rPr>
        <w:t>项目编号/包号：_________ 项目名称：_________报价单位：人民币元</w:t>
      </w:r>
    </w:p>
    <w:tbl>
      <w:tblPr>
        <w:tblStyle w:val="46"/>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17"/>
        <w:gridCol w:w="732"/>
        <w:gridCol w:w="814"/>
        <w:gridCol w:w="1154"/>
        <w:gridCol w:w="908"/>
        <w:gridCol w:w="807"/>
        <w:gridCol w:w="866"/>
        <w:gridCol w:w="939"/>
        <w:gridCol w:w="457"/>
        <w:gridCol w:w="152"/>
        <w:gridCol w:w="787"/>
        <w:gridCol w:w="109"/>
      </w:tblGrid>
      <w:tr w14:paraId="49E4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trHeight w:val="494" w:hRule="atLeast"/>
          <w:jc w:val="center"/>
        </w:trPr>
        <w:tc>
          <w:tcPr>
            <w:tcW w:w="703" w:type="dxa"/>
            <w:noWrap w:val="0"/>
            <w:vAlign w:val="center"/>
          </w:tcPr>
          <w:p w14:paraId="58AC1774">
            <w:pPr>
              <w:jc w:val="center"/>
              <w:rPr>
                <w:b/>
                <w:sz w:val="24"/>
              </w:rPr>
            </w:pPr>
            <w:r>
              <w:rPr>
                <w:b/>
                <w:sz w:val="24"/>
              </w:rPr>
              <w:t>序号</w:t>
            </w:r>
          </w:p>
        </w:tc>
        <w:tc>
          <w:tcPr>
            <w:tcW w:w="1317" w:type="dxa"/>
            <w:noWrap w:val="0"/>
            <w:vAlign w:val="center"/>
          </w:tcPr>
          <w:p w14:paraId="464F9BD1">
            <w:pPr>
              <w:jc w:val="center"/>
              <w:rPr>
                <w:b/>
                <w:sz w:val="24"/>
              </w:rPr>
            </w:pPr>
            <w:r>
              <w:rPr>
                <w:b/>
                <w:sz w:val="24"/>
              </w:rPr>
              <w:t>分项名称</w:t>
            </w:r>
          </w:p>
        </w:tc>
        <w:tc>
          <w:tcPr>
            <w:tcW w:w="732" w:type="dxa"/>
            <w:noWrap w:val="0"/>
            <w:vAlign w:val="center"/>
          </w:tcPr>
          <w:p w14:paraId="651331EB">
            <w:pPr>
              <w:jc w:val="center"/>
              <w:rPr>
                <w:b/>
                <w:sz w:val="24"/>
              </w:rPr>
            </w:pPr>
            <w:r>
              <w:rPr>
                <w:b/>
                <w:sz w:val="24"/>
              </w:rPr>
              <w:t>制造商</w:t>
            </w:r>
          </w:p>
        </w:tc>
        <w:tc>
          <w:tcPr>
            <w:tcW w:w="814" w:type="dxa"/>
            <w:noWrap w:val="0"/>
            <w:vAlign w:val="center"/>
          </w:tcPr>
          <w:p w14:paraId="22834D9C">
            <w:pPr>
              <w:jc w:val="center"/>
              <w:rPr>
                <w:b/>
                <w:sz w:val="24"/>
              </w:rPr>
            </w:pPr>
            <w:r>
              <w:rPr>
                <w:b/>
                <w:sz w:val="24"/>
              </w:rPr>
              <w:t>产地</w:t>
            </w:r>
            <w:r>
              <w:rPr>
                <w:rFonts w:hint="eastAsia"/>
                <w:b/>
                <w:sz w:val="24"/>
              </w:rPr>
              <w:t>/国别</w:t>
            </w:r>
          </w:p>
        </w:tc>
        <w:tc>
          <w:tcPr>
            <w:tcW w:w="1154" w:type="dxa"/>
            <w:noWrap w:val="0"/>
            <w:vAlign w:val="center"/>
          </w:tcPr>
          <w:p w14:paraId="36D96586">
            <w:pPr>
              <w:jc w:val="center"/>
              <w:rPr>
                <w:b/>
                <w:sz w:val="24"/>
              </w:rPr>
            </w:pPr>
            <w:r>
              <w:rPr>
                <w:rFonts w:hint="eastAsia"/>
                <w:b/>
                <w:sz w:val="24"/>
              </w:rPr>
              <w:t>制造商统一信用代码</w:t>
            </w:r>
          </w:p>
        </w:tc>
        <w:tc>
          <w:tcPr>
            <w:tcW w:w="908" w:type="dxa"/>
            <w:noWrap w:val="0"/>
            <w:vAlign w:val="center"/>
          </w:tcPr>
          <w:p w14:paraId="27D469B4">
            <w:pPr>
              <w:jc w:val="center"/>
              <w:rPr>
                <w:b/>
                <w:sz w:val="24"/>
              </w:rPr>
            </w:pPr>
            <w:r>
              <w:rPr>
                <w:rFonts w:hint="eastAsia"/>
                <w:b/>
                <w:sz w:val="24"/>
              </w:rPr>
              <w:t>制造商规模</w:t>
            </w:r>
          </w:p>
        </w:tc>
        <w:tc>
          <w:tcPr>
            <w:tcW w:w="807" w:type="dxa"/>
            <w:noWrap w:val="0"/>
            <w:vAlign w:val="center"/>
          </w:tcPr>
          <w:p w14:paraId="763FC197">
            <w:pPr>
              <w:jc w:val="center"/>
              <w:rPr>
                <w:b/>
                <w:sz w:val="24"/>
              </w:rPr>
            </w:pPr>
            <w:r>
              <w:rPr>
                <w:rFonts w:hint="eastAsia"/>
                <w:b/>
                <w:sz w:val="24"/>
              </w:rPr>
              <w:t>品牌</w:t>
            </w:r>
          </w:p>
        </w:tc>
        <w:tc>
          <w:tcPr>
            <w:tcW w:w="866" w:type="dxa"/>
            <w:noWrap w:val="0"/>
            <w:vAlign w:val="center"/>
          </w:tcPr>
          <w:p w14:paraId="375DAC80">
            <w:pPr>
              <w:jc w:val="center"/>
              <w:rPr>
                <w:b/>
                <w:sz w:val="24"/>
              </w:rPr>
            </w:pPr>
            <w:r>
              <w:rPr>
                <w:b/>
                <w:sz w:val="24"/>
              </w:rPr>
              <w:t>规格、型号</w:t>
            </w:r>
          </w:p>
        </w:tc>
        <w:tc>
          <w:tcPr>
            <w:tcW w:w="939" w:type="dxa"/>
            <w:noWrap w:val="0"/>
            <w:vAlign w:val="center"/>
          </w:tcPr>
          <w:p w14:paraId="4BD23638">
            <w:pPr>
              <w:jc w:val="center"/>
              <w:rPr>
                <w:b/>
                <w:sz w:val="24"/>
              </w:rPr>
            </w:pPr>
            <w:r>
              <w:rPr>
                <w:b/>
                <w:sz w:val="24"/>
              </w:rPr>
              <w:t>单价（元）</w:t>
            </w:r>
          </w:p>
        </w:tc>
        <w:tc>
          <w:tcPr>
            <w:tcW w:w="457" w:type="dxa"/>
            <w:noWrap w:val="0"/>
            <w:vAlign w:val="center"/>
          </w:tcPr>
          <w:p w14:paraId="3374F218">
            <w:pPr>
              <w:jc w:val="center"/>
              <w:rPr>
                <w:b/>
                <w:sz w:val="24"/>
              </w:rPr>
            </w:pPr>
            <w:r>
              <w:rPr>
                <w:b/>
                <w:sz w:val="24"/>
              </w:rPr>
              <w:t>数量</w:t>
            </w:r>
          </w:p>
        </w:tc>
        <w:tc>
          <w:tcPr>
            <w:tcW w:w="939" w:type="dxa"/>
            <w:gridSpan w:val="2"/>
            <w:noWrap w:val="0"/>
            <w:vAlign w:val="center"/>
          </w:tcPr>
          <w:p w14:paraId="49A4360C">
            <w:pPr>
              <w:jc w:val="center"/>
              <w:rPr>
                <w:b/>
                <w:sz w:val="24"/>
              </w:rPr>
            </w:pPr>
            <w:r>
              <w:rPr>
                <w:b/>
                <w:sz w:val="24"/>
              </w:rPr>
              <w:t>合价（元）</w:t>
            </w:r>
          </w:p>
        </w:tc>
      </w:tr>
      <w:tr w14:paraId="273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0AAC0BE5">
            <w:pPr>
              <w:adjustRightInd w:val="0"/>
              <w:snapToGrid w:val="0"/>
              <w:jc w:val="center"/>
              <w:rPr>
                <w:sz w:val="24"/>
              </w:rPr>
            </w:pPr>
            <w:r>
              <w:rPr>
                <w:sz w:val="24"/>
              </w:rPr>
              <w:t>1</w:t>
            </w:r>
          </w:p>
        </w:tc>
        <w:tc>
          <w:tcPr>
            <w:tcW w:w="676" w:type="pct"/>
            <w:noWrap w:val="0"/>
            <w:vAlign w:val="center"/>
          </w:tcPr>
          <w:p w14:paraId="58F31FAE">
            <w:pPr>
              <w:adjustRightInd w:val="0"/>
              <w:snapToGrid w:val="0"/>
              <w:jc w:val="left"/>
              <w:rPr>
                <w:sz w:val="24"/>
              </w:rPr>
            </w:pPr>
          </w:p>
        </w:tc>
        <w:tc>
          <w:tcPr>
            <w:tcW w:w="376" w:type="pct"/>
            <w:noWrap w:val="0"/>
            <w:vAlign w:val="center"/>
          </w:tcPr>
          <w:p w14:paraId="0281AB45">
            <w:pPr>
              <w:adjustRightInd w:val="0"/>
              <w:snapToGrid w:val="0"/>
              <w:jc w:val="left"/>
              <w:rPr>
                <w:sz w:val="24"/>
              </w:rPr>
            </w:pPr>
          </w:p>
        </w:tc>
        <w:tc>
          <w:tcPr>
            <w:tcW w:w="418" w:type="pct"/>
            <w:noWrap w:val="0"/>
            <w:vAlign w:val="top"/>
          </w:tcPr>
          <w:p w14:paraId="7EBBC7AD">
            <w:pPr>
              <w:adjustRightInd w:val="0"/>
              <w:snapToGrid w:val="0"/>
              <w:jc w:val="left"/>
              <w:rPr>
                <w:sz w:val="24"/>
              </w:rPr>
            </w:pPr>
          </w:p>
        </w:tc>
        <w:tc>
          <w:tcPr>
            <w:tcW w:w="592" w:type="pct"/>
            <w:noWrap w:val="0"/>
            <w:vAlign w:val="center"/>
          </w:tcPr>
          <w:p w14:paraId="045D9826">
            <w:pPr>
              <w:adjustRightInd w:val="0"/>
              <w:snapToGrid w:val="0"/>
              <w:jc w:val="left"/>
              <w:rPr>
                <w:sz w:val="24"/>
              </w:rPr>
            </w:pPr>
          </w:p>
        </w:tc>
        <w:tc>
          <w:tcPr>
            <w:tcW w:w="466" w:type="pct"/>
            <w:noWrap w:val="0"/>
            <w:vAlign w:val="center"/>
          </w:tcPr>
          <w:p w14:paraId="79BE64B7">
            <w:pPr>
              <w:adjustRightInd w:val="0"/>
              <w:snapToGrid w:val="0"/>
              <w:jc w:val="left"/>
              <w:rPr>
                <w:sz w:val="24"/>
              </w:rPr>
            </w:pPr>
          </w:p>
        </w:tc>
        <w:tc>
          <w:tcPr>
            <w:tcW w:w="414" w:type="pct"/>
            <w:noWrap w:val="0"/>
            <w:vAlign w:val="center"/>
          </w:tcPr>
          <w:p w14:paraId="03ED2785">
            <w:pPr>
              <w:adjustRightInd w:val="0"/>
              <w:snapToGrid w:val="0"/>
              <w:jc w:val="left"/>
              <w:rPr>
                <w:sz w:val="24"/>
              </w:rPr>
            </w:pPr>
          </w:p>
        </w:tc>
        <w:tc>
          <w:tcPr>
            <w:tcW w:w="444" w:type="pct"/>
            <w:noWrap w:val="0"/>
            <w:vAlign w:val="center"/>
          </w:tcPr>
          <w:p w14:paraId="6A9195EE">
            <w:pPr>
              <w:adjustRightInd w:val="0"/>
              <w:snapToGrid w:val="0"/>
              <w:jc w:val="left"/>
              <w:rPr>
                <w:sz w:val="24"/>
              </w:rPr>
            </w:pPr>
          </w:p>
        </w:tc>
        <w:tc>
          <w:tcPr>
            <w:tcW w:w="481" w:type="pct"/>
            <w:noWrap w:val="0"/>
            <w:vAlign w:val="center"/>
          </w:tcPr>
          <w:p w14:paraId="0C8CA03D">
            <w:pPr>
              <w:adjustRightInd w:val="0"/>
              <w:snapToGrid w:val="0"/>
              <w:jc w:val="left"/>
              <w:rPr>
                <w:sz w:val="24"/>
              </w:rPr>
            </w:pPr>
          </w:p>
        </w:tc>
        <w:tc>
          <w:tcPr>
            <w:tcW w:w="234" w:type="pct"/>
            <w:noWrap w:val="0"/>
            <w:vAlign w:val="center"/>
          </w:tcPr>
          <w:p w14:paraId="2B84F65F">
            <w:pPr>
              <w:adjustRightInd w:val="0"/>
              <w:snapToGrid w:val="0"/>
              <w:jc w:val="left"/>
              <w:rPr>
                <w:sz w:val="24"/>
              </w:rPr>
            </w:pPr>
          </w:p>
        </w:tc>
        <w:tc>
          <w:tcPr>
            <w:tcW w:w="481" w:type="pct"/>
            <w:gridSpan w:val="2"/>
            <w:noWrap w:val="0"/>
            <w:vAlign w:val="center"/>
          </w:tcPr>
          <w:p w14:paraId="4FD360AB">
            <w:pPr>
              <w:adjustRightInd w:val="0"/>
              <w:snapToGrid w:val="0"/>
              <w:jc w:val="left"/>
              <w:rPr>
                <w:sz w:val="24"/>
              </w:rPr>
            </w:pPr>
          </w:p>
        </w:tc>
      </w:tr>
      <w:tr w14:paraId="2AE5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1BBBA733">
            <w:pPr>
              <w:adjustRightInd w:val="0"/>
              <w:snapToGrid w:val="0"/>
              <w:jc w:val="center"/>
              <w:rPr>
                <w:sz w:val="24"/>
              </w:rPr>
            </w:pPr>
            <w:r>
              <w:rPr>
                <w:sz w:val="24"/>
              </w:rPr>
              <w:t>2</w:t>
            </w:r>
          </w:p>
        </w:tc>
        <w:tc>
          <w:tcPr>
            <w:tcW w:w="676" w:type="pct"/>
            <w:noWrap w:val="0"/>
            <w:vAlign w:val="center"/>
          </w:tcPr>
          <w:p w14:paraId="34D31EC0">
            <w:pPr>
              <w:adjustRightInd w:val="0"/>
              <w:snapToGrid w:val="0"/>
              <w:jc w:val="left"/>
              <w:rPr>
                <w:sz w:val="24"/>
              </w:rPr>
            </w:pPr>
          </w:p>
        </w:tc>
        <w:tc>
          <w:tcPr>
            <w:tcW w:w="376" w:type="pct"/>
            <w:noWrap w:val="0"/>
            <w:vAlign w:val="center"/>
          </w:tcPr>
          <w:p w14:paraId="2CC9D00E">
            <w:pPr>
              <w:adjustRightInd w:val="0"/>
              <w:snapToGrid w:val="0"/>
              <w:jc w:val="left"/>
              <w:rPr>
                <w:sz w:val="24"/>
              </w:rPr>
            </w:pPr>
          </w:p>
        </w:tc>
        <w:tc>
          <w:tcPr>
            <w:tcW w:w="418" w:type="pct"/>
            <w:noWrap w:val="0"/>
            <w:vAlign w:val="top"/>
          </w:tcPr>
          <w:p w14:paraId="1EE19E37">
            <w:pPr>
              <w:adjustRightInd w:val="0"/>
              <w:snapToGrid w:val="0"/>
              <w:jc w:val="left"/>
              <w:rPr>
                <w:sz w:val="24"/>
              </w:rPr>
            </w:pPr>
          </w:p>
        </w:tc>
        <w:tc>
          <w:tcPr>
            <w:tcW w:w="592" w:type="pct"/>
            <w:noWrap w:val="0"/>
            <w:vAlign w:val="center"/>
          </w:tcPr>
          <w:p w14:paraId="6C70E167">
            <w:pPr>
              <w:adjustRightInd w:val="0"/>
              <w:snapToGrid w:val="0"/>
              <w:jc w:val="left"/>
              <w:rPr>
                <w:sz w:val="24"/>
              </w:rPr>
            </w:pPr>
          </w:p>
        </w:tc>
        <w:tc>
          <w:tcPr>
            <w:tcW w:w="466" w:type="pct"/>
            <w:noWrap w:val="0"/>
            <w:vAlign w:val="center"/>
          </w:tcPr>
          <w:p w14:paraId="579A3EC9">
            <w:pPr>
              <w:adjustRightInd w:val="0"/>
              <w:snapToGrid w:val="0"/>
              <w:jc w:val="left"/>
              <w:rPr>
                <w:sz w:val="24"/>
              </w:rPr>
            </w:pPr>
          </w:p>
        </w:tc>
        <w:tc>
          <w:tcPr>
            <w:tcW w:w="414" w:type="pct"/>
            <w:noWrap w:val="0"/>
            <w:vAlign w:val="center"/>
          </w:tcPr>
          <w:p w14:paraId="032830CA">
            <w:pPr>
              <w:adjustRightInd w:val="0"/>
              <w:snapToGrid w:val="0"/>
              <w:jc w:val="left"/>
              <w:rPr>
                <w:sz w:val="24"/>
              </w:rPr>
            </w:pPr>
          </w:p>
        </w:tc>
        <w:tc>
          <w:tcPr>
            <w:tcW w:w="444" w:type="pct"/>
            <w:noWrap w:val="0"/>
            <w:vAlign w:val="center"/>
          </w:tcPr>
          <w:p w14:paraId="576E66C2">
            <w:pPr>
              <w:adjustRightInd w:val="0"/>
              <w:snapToGrid w:val="0"/>
              <w:jc w:val="left"/>
              <w:rPr>
                <w:sz w:val="24"/>
              </w:rPr>
            </w:pPr>
          </w:p>
        </w:tc>
        <w:tc>
          <w:tcPr>
            <w:tcW w:w="481" w:type="pct"/>
            <w:noWrap w:val="0"/>
            <w:vAlign w:val="center"/>
          </w:tcPr>
          <w:p w14:paraId="3AB2DC77">
            <w:pPr>
              <w:adjustRightInd w:val="0"/>
              <w:snapToGrid w:val="0"/>
              <w:jc w:val="left"/>
              <w:rPr>
                <w:sz w:val="24"/>
              </w:rPr>
            </w:pPr>
          </w:p>
        </w:tc>
        <w:tc>
          <w:tcPr>
            <w:tcW w:w="234" w:type="pct"/>
            <w:noWrap w:val="0"/>
            <w:vAlign w:val="center"/>
          </w:tcPr>
          <w:p w14:paraId="1E858B41">
            <w:pPr>
              <w:adjustRightInd w:val="0"/>
              <w:snapToGrid w:val="0"/>
              <w:jc w:val="left"/>
              <w:rPr>
                <w:sz w:val="24"/>
              </w:rPr>
            </w:pPr>
          </w:p>
        </w:tc>
        <w:tc>
          <w:tcPr>
            <w:tcW w:w="481" w:type="pct"/>
            <w:gridSpan w:val="2"/>
            <w:noWrap w:val="0"/>
            <w:vAlign w:val="center"/>
          </w:tcPr>
          <w:p w14:paraId="48694157">
            <w:pPr>
              <w:adjustRightInd w:val="0"/>
              <w:snapToGrid w:val="0"/>
              <w:jc w:val="left"/>
              <w:rPr>
                <w:sz w:val="24"/>
              </w:rPr>
            </w:pPr>
          </w:p>
        </w:tc>
      </w:tr>
      <w:tr w14:paraId="4181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6E9E50C6">
            <w:pPr>
              <w:adjustRightInd w:val="0"/>
              <w:snapToGrid w:val="0"/>
              <w:jc w:val="center"/>
              <w:rPr>
                <w:sz w:val="24"/>
              </w:rPr>
            </w:pPr>
            <w:r>
              <w:rPr>
                <w:sz w:val="24"/>
              </w:rPr>
              <w:t>3</w:t>
            </w:r>
          </w:p>
        </w:tc>
        <w:tc>
          <w:tcPr>
            <w:tcW w:w="676" w:type="pct"/>
            <w:noWrap w:val="0"/>
            <w:vAlign w:val="center"/>
          </w:tcPr>
          <w:p w14:paraId="76C5B9A8">
            <w:pPr>
              <w:adjustRightInd w:val="0"/>
              <w:snapToGrid w:val="0"/>
              <w:jc w:val="left"/>
              <w:rPr>
                <w:sz w:val="24"/>
              </w:rPr>
            </w:pPr>
          </w:p>
        </w:tc>
        <w:tc>
          <w:tcPr>
            <w:tcW w:w="376" w:type="pct"/>
            <w:noWrap w:val="0"/>
            <w:vAlign w:val="center"/>
          </w:tcPr>
          <w:p w14:paraId="7DB40FF6">
            <w:pPr>
              <w:adjustRightInd w:val="0"/>
              <w:snapToGrid w:val="0"/>
              <w:jc w:val="left"/>
              <w:rPr>
                <w:sz w:val="24"/>
              </w:rPr>
            </w:pPr>
          </w:p>
        </w:tc>
        <w:tc>
          <w:tcPr>
            <w:tcW w:w="418" w:type="pct"/>
            <w:noWrap w:val="0"/>
            <w:vAlign w:val="top"/>
          </w:tcPr>
          <w:p w14:paraId="06345FF0">
            <w:pPr>
              <w:adjustRightInd w:val="0"/>
              <w:snapToGrid w:val="0"/>
              <w:jc w:val="left"/>
              <w:rPr>
                <w:sz w:val="24"/>
              </w:rPr>
            </w:pPr>
          </w:p>
        </w:tc>
        <w:tc>
          <w:tcPr>
            <w:tcW w:w="592" w:type="pct"/>
            <w:noWrap w:val="0"/>
            <w:vAlign w:val="center"/>
          </w:tcPr>
          <w:p w14:paraId="57BC3CF1">
            <w:pPr>
              <w:adjustRightInd w:val="0"/>
              <w:snapToGrid w:val="0"/>
              <w:jc w:val="left"/>
              <w:rPr>
                <w:sz w:val="24"/>
              </w:rPr>
            </w:pPr>
          </w:p>
        </w:tc>
        <w:tc>
          <w:tcPr>
            <w:tcW w:w="466" w:type="pct"/>
            <w:noWrap w:val="0"/>
            <w:vAlign w:val="center"/>
          </w:tcPr>
          <w:p w14:paraId="18CD5E60">
            <w:pPr>
              <w:adjustRightInd w:val="0"/>
              <w:snapToGrid w:val="0"/>
              <w:jc w:val="left"/>
              <w:rPr>
                <w:sz w:val="24"/>
              </w:rPr>
            </w:pPr>
          </w:p>
        </w:tc>
        <w:tc>
          <w:tcPr>
            <w:tcW w:w="414" w:type="pct"/>
            <w:noWrap w:val="0"/>
            <w:vAlign w:val="center"/>
          </w:tcPr>
          <w:p w14:paraId="172CF923">
            <w:pPr>
              <w:adjustRightInd w:val="0"/>
              <w:snapToGrid w:val="0"/>
              <w:jc w:val="left"/>
              <w:rPr>
                <w:sz w:val="24"/>
              </w:rPr>
            </w:pPr>
          </w:p>
        </w:tc>
        <w:tc>
          <w:tcPr>
            <w:tcW w:w="444" w:type="pct"/>
            <w:noWrap w:val="0"/>
            <w:vAlign w:val="center"/>
          </w:tcPr>
          <w:p w14:paraId="0350E304">
            <w:pPr>
              <w:adjustRightInd w:val="0"/>
              <w:snapToGrid w:val="0"/>
              <w:jc w:val="left"/>
              <w:rPr>
                <w:sz w:val="24"/>
              </w:rPr>
            </w:pPr>
          </w:p>
        </w:tc>
        <w:tc>
          <w:tcPr>
            <w:tcW w:w="481" w:type="pct"/>
            <w:noWrap w:val="0"/>
            <w:vAlign w:val="center"/>
          </w:tcPr>
          <w:p w14:paraId="310A8FE2">
            <w:pPr>
              <w:adjustRightInd w:val="0"/>
              <w:snapToGrid w:val="0"/>
              <w:jc w:val="left"/>
              <w:rPr>
                <w:sz w:val="24"/>
              </w:rPr>
            </w:pPr>
          </w:p>
        </w:tc>
        <w:tc>
          <w:tcPr>
            <w:tcW w:w="234" w:type="pct"/>
            <w:noWrap w:val="0"/>
            <w:vAlign w:val="center"/>
          </w:tcPr>
          <w:p w14:paraId="23883BDF">
            <w:pPr>
              <w:adjustRightInd w:val="0"/>
              <w:snapToGrid w:val="0"/>
              <w:jc w:val="left"/>
              <w:rPr>
                <w:sz w:val="24"/>
              </w:rPr>
            </w:pPr>
          </w:p>
        </w:tc>
        <w:tc>
          <w:tcPr>
            <w:tcW w:w="481" w:type="pct"/>
            <w:gridSpan w:val="2"/>
            <w:noWrap w:val="0"/>
            <w:vAlign w:val="center"/>
          </w:tcPr>
          <w:p w14:paraId="5414C8E6">
            <w:pPr>
              <w:adjustRightInd w:val="0"/>
              <w:snapToGrid w:val="0"/>
              <w:jc w:val="left"/>
              <w:rPr>
                <w:sz w:val="24"/>
              </w:rPr>
            </w:pPr>
          </w:p>
        </w:tc>
      </w:tr>
      <w:tr w14:paraId="6A66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71E5A6B0">
            <w:pPr>
              <w:adjustRightInd w:val="0"/>
              <w:snapToGrid w:val="0"/>
              <w:jc w:val="center"/>
              <w:rPr>
                <w:sz w:val="24"/>
              </w:rPr>
            </w:pPr>
            <w:r>
              <w:rPr>
                <w:sz w:val="24"/>
              </w:rPr>
              <w:t>4</w:t>
            </w:r>
          </w:p>
        </w:tc>
        <w:tc>
          <w:tcPr>
            <w:tcW w:w="676" w:type="pct"/>
            <w:noWrap w:val="0"/>
            <w:vAlign w:val="center"/>
          </w:tcPr>
          <w:p w14:paraId="210FC0DA">
            <w:pPr>
              <w:adjustRightInd w:val="0"/>
              <w:snapToGrid w:val="0"/>
              <w:jc w:val="left"/>
              <w:rPr>
                <w:sz w:val="24"/>
              </w:rPr>
            </w:pPr>
          </w:p>
        </w:tc>
        <w:tc>
          <w:tcPr>
            <w:tcW w:w="376" w:type="pct"/>
            <w:noWrap w:val="0"/>
            <w:vAlign w:val="center"/>
          </w:tcPr>
          <w:p w14:paraId="079AD8D4">
            <w:pPr>
              <w:adjustRightInd w:val="0"/>
              <w:snapToGrid w:val="0"/>
              <w:jc w:val="left"/>
              <w:rPr>
                <w:sz w:val="24"/>
              </w:rPr>
            </w:pPr>
          </w:p>
        </w:tc>
        <w:tc>
          <w:tcPr>
            <w:tcW w:w="418" w:type="pct"/>
            <w:noWrap w:val="0"/>
            <w:vAlign w:val="top"/>
          </w:tcPr>
          <w:p w14:paraId="67C50DE2">
            <w:pPr>
              <w:adjustRightInd w:val="0"/>
              <w:snapToGrid w:val="0"/>
              <w:jc w:val="left"/>
              <w:rPr>
                <w:sz w:val="24"/>
              </w:rPr>
            </w:pPr>
          </w:p>
        </w:tc>
        <w:tc>
          <w:tcPr>
            <w:tcW w:w="592" w:type="pct"/>
            <w:noWrap w:val="0"/>
            <w:vAlign w:val="center"/>
          </w:tcPr>
          <w:p w14:paraId="2693DD5F">
            <w:pPr>
              <w:adjustRightInd w:val="0"/>
              <w:snapToGrid w:val="0"/>
              <w:jc w:val="left"/>
              <w:rPr>
                <w:sz w:val="24"/>
              </w:rPr>
            </w:pPr>
          </w:p>
        </w:tc>
        <w:tc>
          <w:tcPr>
            <w:tcW w:w="466" w:type="pct"/>
            <w:noWrap w:val="0"/>
            <w:vAlign w:val="center"/>
          </w:tcPr>
          <w:p w14:paraId="3666BB8D">
            <w:pPr>
              <w:adjustRightInd w:val="0"/>
              <w:snapToGrid w:val="0"/>
              <w:jc w:val="left"/>
              <w:rPr>
                <w:sz w:val="24"/>
              </w:rPr>
            </w:pPr>
          </w:p>
        </w:tc>
        <w:tc>
          <w:tcPr>
            <w:tcW w:w="414" w:type="pct"/>
            <w:noWrap w:val="0"/>
            <w:vAlign w:val="center"/>
          </w:tcPr>
          <w:p w14:paraId="6395B56C">
            <w:pPr>
              <w:adjustRightInd w:val="0"/>
              <w:snapToGrid w:val="0"/>
              <w:jc w:val="left"/>
              <w:rPr>
                <w:sz w:val="24"/>
              </w:rPr>
            </w:pPr>
          </w:p>
        </w:tc>
        <w:tc>
          <w:tcPr>
            <w:tcW w:w="444" w:type="pct"/>
            <w:noWrap w:val="0"/>
            <w:vAlign w:val="center"/>
          </w:tcPr>
          <w:p w14:paraId="69F7101C">
            <w:pPr>
              <w:adjustRightInd w:val="0"/>
              <w:snapToGrid w:val="0"/>
              <w:jc w:val="left"/>
              <w:rPr>
                <w:sz w:val="24"/>
              </w:rPr>
            </w:pPr>
          </w:p>
        </w:tc>
        <w:tc>
          <w:tcPr>
            <w:tcW w:w="481" w:type="pct"/>
            <w:noWrap w:val="0"/>
            <w:vAlign w:val="center"/>
          </w:tcPr>
          <w:p w14:paraId="65D35720">
            <w:pPr>
              <w:adjustRightInd w:val="0"/>
              <w:snapToGrid w:val="0"/>
              <w:jc w:val="left"/>
              <w:rPr>
                <w:sz w:val="24"/>
              </w:rPr>
            </w:pPr>
          </w:p>
        </w:tc>
        <w:tc>
          <w:tcPr>
            <w:tcW w:w="234" w:type="pct"/>
            <w:noWrap w:val="0"/>
            <w:vAlign w:val="center"/>
          </w:tcPr>
          <w:p w14:paraId="3BA3A3D6">
            <w:pPr>
              <w:adjustRightInd w:val="0"/>
              <w:snapToGrid w:val="0"/>
              <w:jc w:val="left"/>
              <w:rPr>
                <w:sz w:val="24"/>
              </w:rPr>
            </w:pPr>
          </w:p>
        </w:tc>
        <w:tc>
          <w:tcPr>
            <w:tcW w:w="481" w:type="pct"/>
            <w:gridSpan w:val="2"/>
            <w:noWrap w:val="0"/>
            <w:vAlign w:val="center"/>
          </w:tcPr>
          <w:p w14:paraId="1BA1F323">
            <w:pPr>
              <w:adjustRightInd w:val="0"/>
              <w:snapToGrid w:val="0"/>
              <w:jc w:val="left"/>
              <w:rPr>
                <w:sz w:val="24"/>
              </w:rPr>
            </w:pPr>
          </w:p>
        </w:tc>
      </w:tr>
      <w:tr w14:paraId="7885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pct"/>
          <w:jc w:val="center"/>
        </w:trPr>
        <w:tc>
          <w:tcPr>
            <w:tcW w:w="361" w:type="pct"/>
            <w:noWrap w:val="0"/>
            <w:vAlign w:val="center"/>
          </w:tcPr>
          <w:p w14:paraId="08438813">
            <w:pPr>
              <w:adjustRightInd w:val="0"/>
              <w:snapToGrid w:val="0"/>
              <w:jc w:val="left"/>
              <w:rPr>
                <w:sz w:val="24"/>
              </w:rPr>
            </w:pPr>
            <w:r>
              <w:rPr>
                <w:sz w:val="24"/>
              </w:rPr>
              <w:t>…</w:t>
            </w:r>
          </w:p>
        </w:tc>
        <w:tc>
          <w:tcPr>
            <w:tcW w:w="676" w:type="pct"/>
            <w:noWrap w:val="0"/>
            <w:vAlign w:val="center"/>
          </w:tcPr>
          <w:p w14:paraId="597E4697">
            <w:pPr>
              <w:adjustRightInd w:val="0"/>
              <w:snapToGrid w:val="0"/>
              <w:jc w:val="left"/>
              <w:rPr>
                <w:sz w:val="24"/>
              </w:rPr>
            </w:pPr>
          </w:p>
        </w:tc>
        <w:tc>
          <w:tcPr>
            <w:tcW w:w="376" w:type="pct"/>
            <w:noWrap w:val="0"/>
            <w:vAlign w:val="center"/>
          </w:tcPr>
          <w:p w14:paraId="3A64EB95">
            <w:pPr>
              <w:adjustRightInd w:val="0"/>
              <w:snapToGrid w:val="0"/>
              <w:jc w:val="left"/>
              <w:rPr>
                <w:sz w:val="24"/>
              </w:rPr>
            </w:pPr>
          </w:p>
        </w:tc>
        <w:tc>
          <w:tcPr>
            <w:tcW w:w="418" w:type="pct"/>
            <w:noWrap w:val="0"/>
            <w:vAlign w:val="top"/>
          </w:tcPr>
          <w:p w14:paraId="6F827224">
            <w:pPr>
              <w:adjustRightInd w:val="0"/>
              <w:snapToGrid w:val="0"/>
              <w:jc w:val="left"/>
              <w:rPr>
                <w:sz w:val="24"/>
              </w:rPr>
            </w:pPr>
          </w:p>
        </w:tc>
        <w:tc>
          <w:tcPr>
            <w:tcW w:w="592" w:type="pct"/>
            <w:noWrap w:val="0"/>
            <w:vAlign w:val="center"/>
          </w:tcPr>
          <w:p w14:paraId="0FC06709">
            <w:pPr>
              <w:adjustRightInd w:val="0"/>
              <w:snapToGrid w:val="0"/>
              <w:jc w:val="left"/>
              <w:rPr>
                <w:sz w:val="24"/>
              </w:rPr>
            </w:pPr>
          </w:p>
        </w:tc>
        <w:tc>
          <w:tcPr>
            <w:tcW w:w="466" w:type="pct"/>
            <w:noWrap w:val="0"/>
            <w:vAlign w:val="center"/>
          </w:tcPr>
          <w:p w14:paraId="02B77E4A">
            <w:pPr>
              <w:adjustRightInd w:val="0"/>
              <w:snapToGrid w:val="0"/>
              <w:jc w:val="left"/>
              <w:rPr>
                <w:sz w:val="24"/>
              </w:rPr>
            </w:pPr>
          </w:p>
        </w:tc>
        <w:tc>
          <w:tcPr>
            <w:tcW w:w="414" w:type="pct"/>
            <w:noWrap w:val="0"/>
            <w:vAlign w:val="center"/>
          </w:tcPr>
          <w:p w14:paraId="01C56658">
            <w:pPr>
              <w:adjustRightInd w:val="0"/>
              <w:snapToGrid w:val="0"/>
              <w:jc w:val="left"/>
              <w:rPr>
                <w:sz w:val="24"/>
              </w:rPr>
            </w:pPr>
          </w:p>
        </w:tc>
        <w:tc>
          <w:tcPr>
            <w:tcW w:w="444" w:type="pct"/>
            <w:noWrap w:val="0"/>
            <w:vAlign w:val="center"/>
          </w:tcPr>
          <w:p w14:paraId="371F8991">
            <w:pPr>
              <w:adjustRightInd w:val="0"/>
              <w:snapToGrid w:val="0"/>
              <w:jc w:val="left"/>
              <w:rPr>
                <w:sz w:val="24"/>
              </w:rPr>
            </w:pPr>
          </w:p>
        </w:tc>
        <w:tc>
          <w:tcPr>
            <w:tcW w:w="481" w:type="pct"/>
            <w:noWrap w:val="0"/>
            <w:vAlign w:val="center"/>
          </w:tcPr>
          <w:p w14:paraId="62FFC6CD">
            <w:pPr>
              <w:adjustRightInd w:val="0"/>
              <w:snapToGrid w:val="0"/>
              <w:jc w:val="left"/>
              <w:rPr>
                <w:sz w:val="24"/>
              </w:rPr>
            </w:pPr>
          </w:p>
        </w:tc>
        <w:tc>
          <w:tcPr>
            <w:tcW w:w="234" w:type="pct"/>
            <w:noWrap w:val="0"/>
            <w:vAlign w:val="center"/>
          </w:tcPr>
          <w:p w14:paraId="2C642AFF">
            <w:pPr>
              <w:adjustRightInd w:val="0"/>
              <w:snapToGrid w:val="0"/>
              <w:jc w:val="left"/>
              <w:rPr>
                <w:sz w:val="24"/>
              </w:rPr>
            </w:pPr>
          </w:p>
        </w:tc>
        <w:tc>
          <w:tcPr>
            <w:tcW w:w="481" w:type="pct"/>
            <w:gridSpan w:val="2"/>
            <w:noWrap w:val="0"/>
            <w:vAlign w:val="center"/>
          </w:tcPr>
          <w:p w14:paraId="01A7E4F6">
            <w:pPr>
              <w:adjustRightInd w:val="0"/>
              <w:snapToGrid w:val="0"/>
              <w:jc w:val="left"/>
              <w:rPr>
                <w:sz w:val="24"/>
              </w:rPr>
            </w:pPr>
          </w:p>
        </w:tc>
      </w:tr>
      <w:tr w14:paraId="162D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pct"/>
            <w:gridSpan w:val="11"/>
            <w:noWrap w:val="0"/>
            <w:vAlign w:val="top"/>
          </w:tcPr>
          <w:p w14:paraId="435BBE1F">
            <w:pPr>
              <w:jc w:val="right"/>
              <w:rPr>
                <w:b/>
                <w:sz w:val="24"/>
              </w:rPr>
            </w:pPr>
            <w:r>
              <w:rPr>
                <w:b/>
                <w:sz w:val="24"/>
              </w:rPr>
              <w:t>总价（元）</w:t>
            </w:r>
          </w:p>
        </w:tc>
        <w:tc>
          <w:tcPr>
            <w:tcW w:w="459" w:type="pct"/>
            <w:gridSpan w:val="2"/>
            <w:noWrap w:val="0"/>
            <w:vAlign w:val="center"/>
          </w:tcPr>
          <w:p w14:paraId="2AD4B1B4">
            <w:pPr>
              <w:adjustRightInd w:val="0"/>
              <w:snapToGrid w:val="0"/>
              <w:jc w:val="left"/>
              <w:rPr>
                <w:sz w:val="24"/>
              </w:rPr>
            </w:pPr>
          </w:p>
        </w:tc>
      </w:tr>
    </w:tbl>
    <w:p w14:paraId="00301D32">
      <w:pPr>
        <w:adjustRightInd w:val="0"/>
        <w:snapToGrid w:val="0"/>
        <w:spacing w:before="240" w:beforeLines="100" w:after="240" w:afterLines="100"/>
        <w:jc w:val="left"/>
        <w:rPr>
          <w:b/>
          <w:i/>
          <w:sz w:val="24"/>
        </w:rPr>
      </w:pPr>
      <w:r>
        <w:rPr>
          <w:b/>
          <w:i/>
          <w:sz w:val="24"/>
        </w:rPr>
        <w:br w:type="page"/>
      </w:r>
      <w:r>
        <w:rPr>
          <w:b/>
          <w:i/>
          <w:sz w:val="24"/>
        </w:rPr>
        <w:t>（格式示例</w:t>
      </w:r>
      <w:r>
        <w:rPr>
          <w:rFonts w:hint="eastAsia"/>
          <w:b/>
          <w:i/>
          <w:sz w:val="24"/>
          <w:lang w:val="en-US" w:eastAsia="zh-CN"/>
        </w:rPr>
        <w:t>二</w:t>
      </w:r>
      <w:r>
        <w:rPr>
          <w:b/>
          <w:i/>
          <w:sz w:val="24"/>
        </w:rPr>
        <w:t>，适用于服务类项目）</w:t>
      </w:r>
    </w:p>
    <w:p w14:paraId="1A538B4B">
      <w:pPr>
        <w:tabs>
          <w:tab w:val="left" w:pos="1800"/>
          <w:tab w:val="left" w:pos="5580"/>
        </w:tabs>
        <w:rPr>
          <w:sz w:val="24"/>
        </w:rPr>
      </w:pPr>
      <w:r>
        <w:rPr>
          <w:sz w:val="24"/>
        </w:rPr>
        <w:t>项目编号/包号：_________ 项目名称：_________报价单位：人民币元</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2BD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70B6CC53">
            <w:pPr>
              <w:adjustRightInd w:val="0"/>
              <w:snapToGrid w:val="0"/>
              <w:jc w:val="left"/>
              <w:rPr>
                <w:b/>
                <w:sz w:val="24"/>
              </w:rPr>
            </w:pPr>
            <w:r>
              <w:rPr>
                <w:b/>
                <w:sz w:val="24"/>
              </w:rPr>
              <w:t>序号</w:t>
            </w:r>
          </w:p>
        </w:tc>
        <w:tc>
          <w:tcPr>
            <w:tcW w:w="1579" w:type="pct"/>
            <w:noWrap w:val="0"/>
            <w:vAlign w:val="center"/>
          </w:tcPr>
          <w:p w14:paraId="14A81B78">
            <w:pPr>
              <w:adjustRightInd w:val="0"/>
              <w:snapToGrid w:val="0"/>
              <w:jc w:val="left"/>
              <w:rPr>
                <w:b/>
                <w:sz w:val="24"/>
              </w:rPr>
            </w:pPr>
            <w:r>
              <w:rPr>
                <w:b/>
                <w:sz w:val="24"/>
              </w:rPr>
              <w:t>分项名称</w:t>
            </w:r>
          </w:p>
        </w:tc>
        <w:tc>
          <w:tcPr>
            <w:tcW w:w="725" w:type="pct"/>
            <w:noWrap w:val="0"/>
            <w:vAlign w:val="center"/>
          </w:tcPr>
          <w:p w14:paraId="301DAC14">
            <w:pPr>
              <w:adjustRightInd w:val="0"/>
              <w:snapToGrid w:val="0"/>
              <w:jc w:val="left"/>
              <w:rPr>
                <w:b/>
                <w:sz w:val="24"/>
              </w:rPr>
            </w:pPr>
            <w:r>
              <w:rPr>
                <w:b/>
                <w:sz w:val="24"/>
              </w:rPr>
              <w:t>单价（元）</w:t>
            </w:r>
          </w:p>
        </w:tc>
        <w:tc>
          <w:tcPr>
            <w:tcW w:w="724" w:type="pct"/>
            <w:noWrap w:val="0"/>
            <w:vAlign w:val="center"/>
          </w:tcPr>
          <w:p w14:paraId="3F7947FF">
            <w:pPr>
              <w:adjustRightInd w:val="0"/>
              <w:snapToGrid w:val="0"/>
              <w:jc w:val="center"/>
              <w:rPr>
                <w:b/>
                <w:sz w:val="24"/>
              </w:rPr>
            </w:pPr>
            <w:r>
              <w:rPr>
                <w:rFonts w:hint="eastAsia"/>
                <w:b/>
                <w:sz w:val="24"/>
              </w:rPr>
              <w:t>数量</w:t>
            </w:r>
          </w:p>
        </w:tc>
        <w:tc>
          <w:tcPr>
            <w:tcW w:w="724" w:type="pct"/>
            <w:noWrap w:val="0"/>
            <w:vAlign w:val="center"/>
          </w:tcPr>
          <w:p w14:paraId="208A500A">
            <w:pPr>
              <w:adjustRightInd w:val="0"/>
              <w:snapToGrid w:val="0"/>
              <w:jc w:val="left"/>
              <w:rPr>
                <w:b/>
                <w:sz w:val="24"/>
              </w:rPr>
            </w:pPr>
            <w:r>
              <w:rPr>
                <w:b/>
                <w:sz w:val="24"/>
              </w:rPr>
              <w:t>合价（元）</w:t>
            </w:r>
          </w:p>
        </w:tc>
        <w:tc>
          <w:tcPr>
            <w:tcW w:w="920" w:type="pct"/>
            <w:noWrap w:val="0"/>
            <w:vAlign w:val="center"/>
          </w:tcPr>
          <w:p w14:paraId="39473609">
            <w:pPr>
              <w:adjustRightInd w:val="0"/>
              <w:snapToGrid w:val="0"/>
              <w:jc w:val="left"/>
              <w:rPr>
                <w:b/>
                <w:sz w:val="24"/>
              </w:rPr>
            </w:pPr>
            <w:r>
              <w:rPr>
                <w:b/>
                <w:sz w:val="24"/>
              </w:rPr>
              <w:t>备注/说明</w:t>
            </w:r>
          </w:p>
        </w:tc>
      </w:tr>
      <w:tr w14:paraId="1BC5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27203C5A">
            <w:pPr>
              <w:adjustRightInd w:val="0"/>
              <w:snapToGrid w:val="0"/>
              <w:jc w:val="center"/>
              <w:rPr>
                <w:sz w:val="24"/>
              </w:rPr>
            </w:pPr>
            <w:r>
              <w:rPr>
                <w:sz w:val="24"/>
              </w:rPr>
              <w:t>1</w:t>
            </w:r>
          </w:p>
        </w:tc>
        <w:tc>
          <w:tcPr>
            <w:tcW w:w="1579" w:type="pct"/>
            <w:noWrap w:val="0"/>
            <w:vAlign w:val="center"/>
          </w:tcPr>
          <w:p w14:paraId="7E8C40C9">
            <w:pPr>
              <w:adjustRightInd w:val="0"/>
              <w:snapToGrid w:val="0"/>
              <w:jc w:val="left"/>
              <w:rPr>
                <w:sz w:val="24"/>
              </w:rPr>
            </w:pPr>
          </w:p>
        </w:tc>
        <w:tc>
          <w:tcPr>
            <w:tcW w:w="725" w:type="pct"/>
            <w:noWrap w:val="0"/>
            <w:vAlign w:val="center"/>
          </w:tcPr>
          <w:p w14:paraId="126275F1">
            <w:pPr>
              <w:adjustRightInd w:val="0"/>
              <w:snapToGrid w:val="0"/>
              <w:jc w:val="left"/>
              <w:rPr>
                <w:sz w:val="24"/>
              </w:rPr>
            </w:pPr>
          </w:p>
        </w:tc>
        <w:tc>
          <w:tcPr>
            <w:tcW w:w="724" w:type="pct"/>
            <w:noWrap w:val="0"/>
            <w:vAlign w:val="center"/>
          </w:tcPr>
          <w:p w14:paraId="0FB4956C">
            <w:pPr>
              <w:adjustRightInd w:val="0"/>
              <w:snapToGrid w:val="0"/>
              <w:jc w:val="left"/>
              <w:rPr>
                <w:sz w:val="24"/>
              </w:rPr>
            </w:pPr>
          </w:p>
        </w:tc>
        <w:tc>
          <w:tcPr>
            <w:tcW w:w="724" w:type="pct"/>
            <w:noWrap w:val="0"/>
            <w:vAlign w:val="center"/>
          </w:tcPr>
          <w:p w14:paraId="6963309A">
            <w:pPr>
              <w:adjustRightInd w:val="0"/>
              <w:snapToGrid w:val="0"/>
              <w:jc w:val="left"/>
              <w:rPr>
                <w:sz w:val="24"/>
              </w:rPr>
            </w:pPr>
          </w:p>
        </w:tc>
        <w:tc>
          <w:tcPr>
            <w:tcW w:w="920" w:type="pct"/>
            <w:noWrap w:val="0"/>
            <w:vAlign w:val="center"/>
          </w:tcPr>
          <w:p w14:paraId="46DEBD9D">
            <w:pPr>
              <w:adjustRightInd w:val="0"/>
              <w:snapToGrid w:val="0"/>
              <w:jc w:val="left"/>
              <w:rPr>
                <w:sz w:val="24"/>
              </w:rPr>
            </w:pPr>
          </w:p>
        </w:tc>
      </w:tr>
      <w:tr w14:paraId="0E20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024375BE">
            <w:pPr>
              <w:adjustRightInd w:val="0"/>
              <w:snapToGrid w:val="0"/>
              <w:jc w:val="center"/>
              <w:rPr>
                <w:sz w:val="24"/>
              </w:rPr>
            </w:pPr>
            <w:r>
              <w:rPr>
                <w:sz w:val="24"/>
              </w:rPr>
              <w:t>2</w:t>
            </w:r>
          </w:p>
        </w:tc>
        <w:tc>
          <w:tcPr>
            <w:tcW w:w="1579" w:type="pct"/>
            <w:noWrap w:val="0"/>
            <w:vAlign w:val="center"/>
          </w:tcPr>
          <w:p w14:paraId="19BAB588">
            <w:pPr>
              <w:adjustRightInd w:val="0"/>
              <w:snapToGrid w:val="0"/>
              <w:jc w:val="left"/>
              <w:rPr>
                <w:sz w:val="24"/>
              </w:rPr>
            </w:pPr>
          </w:p>
        </w:tc>
        <w:tc>
          <w:tcPr>
            <w:tcW w:w="725" w:type="pct"/>
            <w:noWrap w:val="0"/>
            <w:vAlign w:val="center"/>
          </w:tcPr>
          <w:p w14:paraId="3C9840D4">
            <w:pPr>
              <w:adjustRightInd w:val="0"/>
              <w:snapToGrid w:val="0"/>
              <w:jc w:val="left"/>
              <w:rPr>
                <w:sz w:val="24"/>
              </w:rPr>
            </w:pPr>
          </w:p>
        </w:tc>
        <w:tc>
          <w:tcPr>
            <w:tcW w:w="724" w:type="pct"/>
            <w:noWrap w:val="0"/>
            <w:vAlign w:val="center"/>
          </w:tcPr>
          <w:p w14:paraId="0042FA8A">
            <w:pPr>
              <w:adjustRightInd w:val="0"/>
              <w:snapToGrid w:val="0"/>
              <w:jc w:val="left"/>
              <w:rPr>
                <w:sz w:val="24"/>
              </w:rPr>
            </w:pPr>
          </w:p>
        </w:tc>
        <w:tc>
          <w:tcPr>
            <w:tcW w:w="724" w:type="pct"/>
            <w:noWrap w:val="0"/>
            <w:vAlign w:val="center"/>
          </w:tcPr>
          <w:p w14:paraId="322F2271">
            <w:pPr>
              <w:adjustRightInd w:val="0"/>
              <w:snapToGrid w:val="0"/>
              <w:jc w:val="left"/>
              <w:rPr>
                <w:sz w:val="24"/>
              </w:rPr>
            </w:pPr>
          </w:p>
        </w:tc>
        <w:tc>
          <w:tcPr>
            <w:tcW w:w="920" w:type="pct"/>
            <w:noWrap w:val="0"/>
            <w:vAlign w:val="center"/>
          </w:tcPr>
          <w:p w14:paraId="37C83895">
            <w:pPr>
              <w:adjustRightInd w:val="0"/>
              <w:snapToGrid w:val="0"/>
              <w:jc w:val="left"/>
              <w:rPr>
                <w:sz w:val="24"/>
              </w:rPr>
            </w:pPr>
          </w:p>
        </w:tc>
      </w:tr>
      <w:tr w14:paraId="48AE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05A7C440">
            <w:pPr>
              <w:adjustRightInd w:val="0"/>
              <w:snapToGrid w:val="0"/>
              <w:jc w:val="center"/>
              <w:rPr>
                <w:sz w:val="24"/>
              </w:rPr>
            </w:pPr>
            <w:r>
              <w:rPr>
                <w:sz w:val="24"/>
              </w:rPr>
              <w:t>3</w:t>
            </w:r>
          </w:p>
        </w:tc>
        <w:tc>
          <w:tcPr>
            <w:tcW w:w="1579" w:type="pct"/>
            <w:noWrap w:val="0"/>
            <w:vAlign w:val="center"/>
          </w:tcPr>
          <w:p w14:paraId="522A6E86">
            <w:pPr>
              <w:adjustRightInd w:val="0"/>
              <w:snapToGrid w:val="0"/>
              <w:jc w:val="left"/>
              <w:rPr>
                <w:sz w:val="24"/>
              </w:rPr>
            </w:pPr>
            <w:r>
              <w:rPr>
                <w:sz w:val="24"/>
              </w:rPr>
              <w:t>…</w:t>
            </w:r>
          </w:p>
        </w:tc>
        <w:tc>
          <w:tcPr>
            <w:tcW w:w="725" w:type="pct"/>
            <w:noWrap w:val="0"/>
            <w:vAlign w:val="center"/>
          </w:tcPr>
          <w:p w14:paraId="1B7484DB">
            <w:pPr>
              <w:adjustRightInd w:val="0"/>
              <w:snapToGrid w:val="0"/>
              <w:jc w:val="left"/>
              <w:rPr>
                <w:sz w:val="24"/>
              </w:rPr>
            </w:pPr>
          </w:p>
        </w:tc>
        <w:tc>
          <w:tcPr>
            <w:tcW w:w="724" w:type="pct"/>
            <w:noWrap w:val="0"/>
            <w:vAlign w:val="center"/>
          </w:tcPr>
          <w:p w14:paraId="6FCBF16B">
            <w:pPr>
              <w:adjustRightInd w:val="0"/>
              <w:snapToGrid w:val="0"/>
              <w:jc w:val="left"/>
              <w:rPr>
                <w:sz w:val="24"/>
              </w:rPr>
            </w:pPr>
          </w:p>
        </w:tc>
        <w:tc>
          <w:tcPr>
            <w:tcW w:w="724" w:type="pct"/>
            <w:noWrap w:val="0"/>
            <w:vAlign w:val="center"/>
          </w:tcPr>
          <w:p w14:paraId="6E7A3B0B">
            <w:pPr>
              <w:adjustRightInd w:val="0"/>
              <w:snapToGrid w:val="0"/>
              <w:jc w:val="left"/>
              <w:rPr>
                <w:sz w:val="24"/>
              </w:rPr>
            </w:pPr>
          </w:p>
        </w:tc>
        <w:tc>
          <w:tcPr>
            <w:tcW w:w="920" w:type="pct"/>
            <w:noWrap w:val="0"/>
            <w:vAlign w:val="center"/>
          </w:tcPr>
          <w:p w14:paraId="5CA53F41">
            <w:pPr>
              <w:adjustRightInd w:val="0"/>
              <w:snapToGrid w:val="0"/>
              <w:jc w:val="left"/>
              <w:rPr>
                <w:sz w:val="24"/>
              </w:rPr>
            </w:pPr>
          </w:p>
        </w:tc>
      </w:tr>
      <w:tr w14:paraId="3F67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052B1A22">
            <w:pPr>
              <w:adjustRightInd w:val="0"/>
              <w:snapToGrid w:val="0"/>
              <w:jc w:val="right"/>
              <w:rPr>
                <w:sz w:val="24"/>
              </w:rPr>
            </w:pPr>
            <w:r>
              <w:rPr>
                <w:sz w:val="24"/>
              </w:rPr>
              <w:t>总价（元）</w:t>
            </w:r>
          </w:p>
        </w:tc>
        <w:tc>
          <w:tcPr>
            <w:tcW w:w="724" w:type="pct"/>
            <w:noWrap w:val="0"/>
            <w:vAlign w:val="center"/>
          </w:tcPr>
          <w:p w14:paraId="562C35F2">
            <w:pPr>
              <w:adjustRightInd w:val="0"/>
              <w:snapToGrid w:val="0"/>
              <w:jc w:val="left"/>
              <w:rPr>
                <w:sz w:val="24"/>
              </w:rPr>
            </w:pPr>
          </w:p>
        </w:tc>
        <w:tc>
          <w:tcPr>
            <w:tcW w:w="920" w:type="pct"/>
            <w:noWrap w:val="0"/>
            <w:vAlign w:val="center"/>
          </w:tcPr>
          <w:p w14:paraId="05A9CE24">
            <w:pPr>
              <w:adjustRightInd w:val="0"/>
              <w:snapToGrid w:val="0"/>
              <w:jc w:val="left"/>
              <w:rPr>
                <w:sz w:val="24"/>
              </w:rPr>
            </w:pPr>
          </w:p>
        </w:tc>
      </w:tr>
    </w:tbl>
    <w:p w14:paraId="371C5002">
      <w:pPr>
        <w:tabs>
          <w:tab w:val="left" w:pos="1800"/>
          <w:tab w:val="left" w:pos="5580"/>
        </w:tabs>
        <w:jc w:val="left"/>
        <w:rPr>
          <w:sz w:val="24"/>
        </w:rPr>
      </w:pPr>
    </w:p>
    <w:p w14:paraId="4C4B7A9B">
      <w:pPr>
        <w:adjustRightInd w:val="0"/>
        <w:snapToGrid w:val="0"/>
        <w:spacing w:before="240" w:beforeLines="100" w:after="240" w:afterLines="100"/>
        <w:jc w:val="left"/>
        <w:rPr>
          <w:b/>
          <w:i/>
          <w:sz w:val="24"/>
        </w:rPr>
      </w:pPr>
      <w:r>
        <w:rPr>
          <w:rFonts w:hint="eastAsia"/>
          <w:b/>
          <w:i/>
          <w:sz w:val="24"/>
        </w:rPr>
        <w:t>（格式示例</w:t>
      </w:r>
      <w:r>
        <w:rPr>
          <w:rFonts w:hint="eastAsia"/>
          <w:b/>
          <w:i/>
          <w:sz w:val="24"/>
          <w:lang w:val="en-US" w:eastAsia="zh-CN"/>
        </w:rPr>
        <w:t>三</w:t>
      </w:r>
      <w:r>
        <w:rPr>
          <w:rFonts w:hint="eastAsia"/>
          <w:b/>
          <w:i/>
          <w:sz w:val="24"/>
        </w:rPr>
        <w:t>，适用于工程类项目，且现场难以重新按工程量清单提供报价的）</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5387"/>
        <w:gridCol w:w="1275"/>
        <w:gridCol w:w="1221"/>
      </w:tblGrid>
      <w:tr w14:paraId="5887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6137C6FB">
            <w:pPr>
              <w:adjustRightInd w:val="0"/>
              <w:snapToGrid w:val="0"/>
              <w:jc w:val="center"/>
              <w:rPr>
                <w:rFonts w:hint="eastAsia"/>
                <w:b/>
                <w:sz w:val="24"/>
              </w:rPr>
            </w:pPr>
            <w:r>
              <w:rPr>
                <w:rFonts w:hint="eastAsia"/>
                <w:b/>
                <w:sz w:val="24"/>
              </w:rPr>
              <w:t>序号</w:t>
            </w:r>
          </w:p>
        </w:tc>
        <w:tc>
          <w:tcPr>
            <w:tcW w:w="5387" w:type="dxa"/>
            <w:noWrap w:val="0"/>
            <w:vAlign w:val="center"/>
          </w:tcPr>
          <w:p w14:paraId="2F0F5261">
            <w:pPr>
              <w:adjustRightInd w:val="0"/>
              <w:snapToGrid w:val="0"/>
              <w:jc w:val="center"/>
              <w:rPr>
                <w:b/>
                <w:sz w:val="24"/>
              </w:rPr>
            </w:pPr>
            <w:r>
              <w:rPr>
                <w:rFonts w:hint="eastAsia"/>
                <w:b/>
                <w:sz w:val="24"/>
              </w:rPr>
              <w:t>最后报价计算过程或说明（可以填写按第一次报价下浮/上浮比例，也可以填写相对第一次报价某部分价格变化情况）</w:t>
            </w:r>
          </w:p>
        </w:tc>
        <w:tc>
          <w:tcPr>
            <w:tcW w:w="1275" w:type="dxa"/>
            <w:noWrap w:val="0"/>
            <w:vAlign w:val="center"/>
          </w:tcPr>
          <w:p w14:paraId="62A6D279">
            <w:pPr>
              <w:adjustRightInd w:val="0"/>
              <w:snapToGrid w:val="0"/>
              <w:jc w:val="center"/>
              <w:rPr>
                <w:b/>
                <w:sz w:val="24"/>
              </w:rPr>
            </w:pPr>
            <w:r>
              <w:rPr>
                <w:rFonts w:hint="eastAsia"/>
                <w:b/>
                <w:sz w:val="24"/>
              </w:rPr>
              <w:t>总价（元）</w:t>
            </w:r>
          </w:p>
        </w:tc>
        <w:tc>
          <w:tcPr>
            <w:tcW w:w="1221" w:type="dxa"/>
            <w:noWrap w:val="0"/>
            <w:vAlign w:val="center"/>
          </w:tcPr>
          <w:p w14:paraId="573C0A43">
            <w:pPr>
              <w:adjustRightInd w:val="0"/>
              <w:snapToGrid w:val="0"/>
              <w:jc w:val="center"/>
              <w:rPr>
                <w:b/>
                <w:sz w:val="24"/>
              </w:rPr>
            </w:pPr>
            <w:r>
              <w:rPr>
                <w:b/>
                <w:sz w:val="24"/>
              </w:rPr>
              <w:t>备注</w:t>
            </w:r>
          </w:p>
        </w:tc>
      </w:tr>
      <w:tr w14:paraId="7B5E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05" w:type="dxa"/>
            <w:noWrap w:val="0"/>
            <w:vAlign w:val="center"/>
          </w:tcPr>
          <w:p w14:paraId="3EC82163">
            <w:pPr>
              <w:tabs>
                <w:tab w:val="left" w:pos="1800"/>
                <w:tab w:val="left" w:pos="5580"/>
              </w:tabs>
              <w:jc w:val="center"/>
              <w:rPr>
                <w:rFonts w:hint="eastAsia"/>
                <w:sz w:val="24"/>
              </w:rPr>
            </w:pPr>
            <w:r>
              <w:rPr>
                <w:rFonts w:hint="eastAsia"/>
                <w:sz w:val="24"/>
              </w:rPr>
              <w:t>1</w:t>
            </w:r>
          </w:p>
        </w:tc>
        <w:tc>
          <w:tcPr>
            <w:tcW w:w="5387" w:type="dxa"/>
            <w:noWrap w:val="0"/>
            <w:vAlign w:val="center"/>
          </w:tcPr>
          <w:p w14:paraId="6A2D797C">
            <w:pPr>
              <w:tabs>
                <w:tab w:val="left" w:pos="1800"/>
                <w:tab w:val="left" w:pos="5580"/>
              </w:tabs>
              <w:jc w:val="center"/>
              <w:rPr>
                <w:sz w:val="24"/>
              </w:rPr>
            </w:pPr>
          </w:p>
        </w:tc>
        <w:tc>
          <w:tcPr>
            <w:tcW w:w="1275" w:type="dxa"/>
            <w:noWrap w:val="0"/>
            <w:vAlign w:val="center"/>
          </w:tcPr>
          <w:p w14:paraId="643AA273">
            <w:pPr>
              <w:tabs>
                <w:tab w:val="left" w:pos="1800"/>
                <w:tab w:val="left" w:pos="5580"/>
              </w:tabs>
              <w:jc w:val="center"/>
              <w:rPr>
                <w:sz w:val="24"/>
              </w:rPr>
            </w:pPr>
          </w:p>
        </w:tc>
        <w:tc>
          <w:tcPr>
            <w:tcW w:w="1221" w:type="dxa"/>
            <w:noWrap w:val="0"/>
            <w:vAlign w:val="center"/>
          </w:tcPr>
          <w:p w14:paraId="152779DD">
            <w:pPr>
              <w:tabs>
                <w:tab w:val="left" w:pos="1800"/>
                <w:tab w:val="left" w:pos="5580"/>
              </w:tabs>
              <w:jc w:val="center"/>
              <w:rPr>
                <w:sz w:val="24"/>
              </w:rPr>
            </w:pPr>
          </w:p>
        </w:tc>
      </w:tr>
      <w:tr w14:paraId="6BD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792" w:type="dxa"/>
            <w:gridSpan w:val="2"/>
            <w:noWrap w:val="0"/>
            <w:vAlign w:val="center"/>
          </w:tcPr>
          <w:p w14:paraId="16B43440">
            <w:pPr>
              <w:tabs>
                <w:tab w:val="left" w:pos="1800"/>
                <w:tab w:val="left" w:pos="5580"/>
              </w:tabs>
              <w:jc w:val="center"/>
              <w:rPr>
                <w:sz w:val="24"/>
              </w:rPr>
            </w:pPr>
            <w:r>
              <w:rPr>
                <w:sz w:val="24"/>
              </w:rPr>
              <w:t>总价（元）</w:t>
            </w:r>
          </w:p>
        </w:tc>
        <w:tc>
          <w:tcPr>
            <w:tcW w:w="1275" w:type="dxa"/>
            <w:noWrap w:val="0"/>
            <w:vAlign w:val="center"/>
          </w:tcPr>
          <w:p w14:paraId="206EF472">
            <w:pPr>
              <w:tabs>
                <w:tab w:val="left" w:pos="1800"/>
                <w:tab w:val="left" w:pos="5580"/>
              </w:tabs>
              <w:jc w:val="center"/>
              <w:rPr>
                <w:sz w:val="24"/>
              </w:rPr>
            </w:pPr>
          </w:p>
        </w:tc>
        <w:tc>
          <w:tcPr>
            <w:tcW w:w="1221" w:type="dxa"/>
            <w:noWrap w:val="0"/>
            <w:vAlign w:val="center"/>
          </w:tcPr>
          <w:p w14:paraId="173A59E7">
            <w:pPr>
              <w:tabs>
                <w:tab w:val="left" w:pos="1800"/>
                <w:tab w:val="left" w:pos="5580"/>
              </w:tabs>
              <w:jc w:val="center"/>
              <w:rPr>
                <w:sz w:val="24"/>
              </w:rPr>
            </w:pPr>
          </w:p>
        </w:tc>
      </w:tr>
    </w:tbl>
    <w:p w14:paraId="5FD80931">
      <w:pPr>
        <w:tabs>
          <w:tab w:val="left" w:pos="1800"/>
          <w:tab w:val="left" w:pos="5580"/>
        </w:tabs>
        <w:jc w:val="left"/>
        <w:rPr>
          <w:sz w:val="24"/>
        </w:rPr>
      </w:pPr>
    </w:p>
    <w:p w14:paraId="2FBCFDD7">
      <w:pPr>
        <w:tabs>
          <w:tab w:val="left" w:pos="1800"/>
          <w:tab w:val="left" w:pos="5580"/>
        </w:tabs>
        <w:jc w:val="left"/>
        <w:rPr>
          <w:sz w:val="24"/>
        </w:rPr>
      </w:pPr>
    </w:p>
    <w:p w14:paraId="204CFEC5">
      <w:pPr>
        <w:tabs>
          <w:tab w:val="left" w:pos="1800"/>
          <w:tab w:val="left" w:pos="5580"/>
        </w:tabs>
        <w:jc w:val="left"/>
        <w:rPr>
          <w:sz w:val="24"/>
        </w:rPr>
      </w:pPr>
      <w:r>
        <w:rPr>
          <w:sz w:val="24"/>
        </w:rPr>
        <w:t>注：1.本表应按包分别填写。</w:t>
      </w:r>
    </w:p>
    <w:p w14:paraId="45152403">
      <w:pPr>
        <w:tabs>
          <w:tab w:val="left" w:pos="1800"/>
          <w:tab w:val="left" w:pos="5580"/>
        </w:tabs>
        <w:ind w:firstLine="480" w:firstLineChars="200"/>
        <w:jc w:val="left"/>
        <w:rPr>
          <w:sz w:val="24"/>
        </w:rPr>
      </w:pPr>
      <w:r>
        <w:rPr>
          <w:sz w:val="24"/>
        </w:rPr>
        <w:t>2.</w:t>
      </w:r>
      <w:r>
        <w:rPr>
          <w:rFonts w:hint="eastAsia"/>
          <w:sz w:val="24"/>
        </w:rPr>
        <w:t>上述各项的详细规格（如有），可另页描述</w:t>
      </w:r>
      <w:r>
        <w:rPr>
          <w:sz w:val="24"/>
        </w:rPr>
        <w:t>。</w:t>
      </w:r>
    </w:p>
    <w:p w14:paraId="54F53276">
      <w:pPr>
        <w:tabs>
          <w:tab w:val="left" w:pos="1800"/>
          <w:tab w:val="left" w:pos="5580"/>
        </w:tabs>
        <w:ind w:firstLine="480" w:firstLineChars="200"/>
        <w:jc w:val="left"/>
        <w:rPr>
          <w:sz w:val="24"/>
        </w:rPr>
      </w:pPr>
      <w:r>
        <w:rPr>
          <w:sz w:val="24"/>
        </w:rPr>
        <w:t>3.</w:t>
      </w:r>
      <w:r>
        <w:rPr>
          <w:rFonts w:hint="eastAsia"/>
          <w:sz w:val="24"/>
        </w:rPr>
        <w:t>此表无需在响应文件中提交，磋商后供应商按磋商小组要求提交</w:t>
      </w:r>
      <w:r>
        <w:rPr>
          <w:sz w:val="24"/>
        </w:rPr>
        <w:t>。</w:t>
      </w:r>
    </w:p>
    <w:p w14:paraId="4B089F66">
      <w:pPr>
        <w:tabs>
          <w:tab w:val="left" w:pos="1800"/>
          <w:tab w:val="left" w:pos="5580"/>
        </w:tabs>
        <w:ind w:firstLine="480" w:firstLineChars="200"/>
        <w:jc w:val="left"/>
        <w:rPr>
          <w:sz w:val="24"/>
        </w:rPr>
      </w:pPr>
      <w:r>
        <w:rPr>
          <w:rFonts w:hint="eastAsia"/>
          <w:sz w:val="24"/>
        </w:rPr>
        <w:t>4.制造商规模列应填写“大型”、“中型”、“小微”或“其他”，且不应与《中小企业声明函》或《拟分包情况说明》中内容矛盾。</w:t>
      </w:r>
    </w:p>
    <w:p w14:paraId="20460D68">
      <w:pPr>
        <w:autoSpaceDE w:val="0"/>
        <w:autoSpaceDN w:val="0"/>
        <w:adjustRightInd w:val="0"/>
        <w:snapToGrid w:val="0"/>
        <w:spacing w:before="25" w:after="25" w:line="360" w:lineRule="auto"/>
        <w:rPr>
          <w:sz w:val="24"/>
          <w:lang w:val="zh-CN"/>
        </w:rPr>
      </w:pPr>
    </w:p>
    <w:p w14:paraId="53ABD570">
      <w:pPr>
        <w:autoSpaceDE w:val="0"/>
        <w:autoSpaceDN w:val="0"/>
        <w:adjustRightInd w:val="0"/>
        <w:snapToGrid w:val="0"/>
        <w:spacing w:before="25" w:after="25" w:line="360" w:lineRule="auto"/>
        <w:rPr>
          <w:sz w:val="24"/>
          <w:lang w:val="zh-CN"/>
        </w:rPr>
      </w:pPr>
    </w:p>
    <w:p w14:paraId="58F9A943">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357E6360">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9022415">
      <w:pPr>
        <w:tabs>
          <w:tab w:val="left" w:pos="360"/>
        </w:tabs>
        <w:snapToGrid w:val="0"/>
        <w:spacing w:line="360" w:lineRule="auto"/>
        <w:outlineLvl w:val="1"/>
        <w:rPr>
          <w:sz w:val="24"/>
        </w:rPr>
      </w:pPr>
      <w:r>
        <w:rPr>
          <w:b/>
          <w:sz w:val="36"/>
          <w:szCs w:val="36"/>
        </w:rPr>
        <w:br w:type="page"/>
      </w:r>
      <w:r>
        <w:rPr>
          <w:sz w:val="24"/>
        </w:rPr>
        <w:t>1</w:t>
      </w:r>
      <w:r>
        <w:rPr>
          <w:rFonts w:hint="eastAsia"/>
          <w:sz w:val="24"/>
        </w:rPr>
        <w:t>4</w:t>
      </w:r>
      <w:r>
        <w:rPr>
          <w:sz w:val="24"/>
        </w:rPr>
        <w:t xml:space="preserve">  最后报价</w:t>
      </w:r>
      <w:r>
        <w:rPr>
          <w:rFonts w:hint="eastAsia"/>
          <w:sz w:val="24"/>
        </w:rPr>
        <w:t>构成</w:t>
      </w:r>
      <w:r>
        <w:rPr>
          <w:sz w:val="24"/>
        </w:rPr>
        <w:t>表（</w:t>
      </w:r>
      <w:r>
        <w:rPr>
          <w:rFonts w:hint="eastAsia"/>
          <w:sz w:val="24"/>
        </w:rPr>
        <w:t>如有，</w:t>
      </w:r>
      <w:r>
        <w:rPr>
          <w:sz w:val="24"/>
        </w:rPr>
        <w:t>磋商后提交）</w:t>
      </w:r>
    </w:p>
    <w:p w14:paraId="05FB27FF">
      <w:pPr>
        <w:pStyle w:val="19"/>
        <w:ind w:firstLine="0"/>
      </w:pPr>
      <w:r>
        <w:rPr>
          <w:rFonts w:hint="eastAsia"/>
        </w:rPr>
        <w:t>14-1 最终报价中分包情况说明</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2A7D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184AD817">
            <w:pPr>
              <w:adjustRightInd w:val="0"/>
              <w:snapToGrid w:val="0"/>
              <w:jc w:val="center"/>
              <w:rPr>
                <w:rFonts w:hint="eastAsia"/>
                <w:b/>
                <w:sz w:val="24"/>
              </w:rPr>
            </w:pPr>
            <w:r>
              <w:rPr>
                <w:rFonts w:hint="eastAsia"/>
                <w:b/>
                <w:sz w:val="24"/>
              </w:rPr>
              <w:t>序号</w:t>
            </w:r>
          </w:p>
        </w:tc>
        <w:tc>
          <w:tcPr>
            <w:tcW w:w="3200" w:type="dxa"/>
            <w:noWrap w:val="0"/>
            <w:vAlign w:val="center"/>
          </w:tcPr>
          <w:p w14:paraId="6162C789">
            <w:pPr>
              <w:adjustRightInd w:val="0"/>
              <w:snapToGrid w:val="0"/>
              <w:jc w:val="center"/>
              <w:rPr>
                <w:b/>
                <w:sz w:val="24"/>
              </w:rPr>
            </w:pPr>
            <w:r>
              <w:rPr>
                <w:rFonts w:hint="eastAsia"/>
                <w:b/>
                <w:sz w:val="24"/>
              </w:rPr>
              <w:t>分包承担主体名称</w:t>
            </w:r>
          </w:p>
        </w:tc>
        <w:tc>
          <w:tcPr>
            <w:tcW w:w="2837" w:type="dxa"/>
            <w:noWrap w:val="0"/>
            <w:vAlign w:val="center"/>
          </w:tcPr>
          <w:p w14:paraId="2D21DD10">
            <w:pPr>
              <w:adjustRightInd w:val="0"/>
              <w:snapToGrid w:val="0"/>
              <w:jc w:val="center"/>
              <w:rPr>
                <w:b/>
                <w:sz w:val="24"/>
              </w:rPr>
            </w:pPr>
            <w:r>
              <w:rPr>
                <w:b/>
                <w:sz w:val="24"/>
              </w:rPr>
              <w:t>分包承担主体类型</w:t>
            </w:r>
          </w:p>
          <w:p w14:paraId="0B49EF85">
            <w:pPr>
              <w:adjustRightInd w:val="0"/>
              <w:snapToGrid w:val="0"/>
              <w:jc w:val="center"/>
              <w:rPr>
                <w:b/>
                <w:sz w:val="24"/>
              </w:rPr>
            </w:pPr>
            <w:r>
              <w:rPr>
                <w:b/>
                <w:sz w:val="24"/>
              </w:rPr>
              <w:t>（选择）</w:t>
            </w:r>
          </w:p>
        </w:tc>
        <w:tc>
          <w:tcPr>
            <w:tcW w:w="2421" w:type="dxa"/>
            <w:noWrap w:val="0"/>
            <w:vAlign w:val="center"/>
          </w:tcPr>
          <w:p w14:paraId="1C93BBF0">
            <w:pPr>
              <w:adjustRightInd w:val="0"/>
              <w:snapToGrid w:val="0"/>
              <w:jc w:val="center"/>
              <w:rPr>
                <w:rFonts w:hint="eastAsia"/>
                <w:b/>
                <w:sz w:val="24"/>
              </w:rPr>
            </w:pPr>
            <w:r>
              <w:rPr>
                <w:rFonts w:hint="eastAsia"/>
                <w:b/>
                <w:sz w:val="24"/>
              </w:rPr>
              <w:t>拟分包合同金额</w:t>
            </w:r>
          </w:p>
          <w:p w14:paraId="5297C27A">
            <w:pPr>
              <w:adjustRightInd w:val="0"/>
              <w:snapToGrid w:val="0"/>
              <w:jc w:val="center"/>
              <w:rPr>
                <w:b/>
                <w:sz w:val="24"/>
              </w:rPr>
            </w:pPr>
            <w:r>
              <w:rPr>
                <w:rFonts w:hint="eastAsia"/>
                <w:b/>
                <w:sz w:val="24"/>
              </w:rPr>
              <w:t>（人民币元）</w:t>
            </w:r>
          </w:p>
        </w:tc>
      </w:tr>
      <w:tr w14:paraId="2ADE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noWrap w:val="0"/>
            <w:vAlign w:val="center"/>
          </w:tcPr>
          <w:p w14:paraId="00C62F20">
            <w:pPr>
              <w:tabs>
                <w:tab w:val="left" w:pos="1800"/>
                <w:tab w:val="left" w:pos="5580"/>
              </w:tabs>
              <w:jc w:val="center"/>
              <w:rPr>
                <w:rFonts w:hint="eastAsia"/>
                <w:sz w:val="24"/>
              </w:rPr>
            </w:pPr>
            <w:r>
              <w:rPr>
                <w:rFonts w:hint="eastAsia"/>
                <w:sz w:val="24"/>
              </w:rPr>
              <w:t>1</w:t>
            </w:r>
          </w:p>
        </w:tc>
        <w:tc>
          <w:tcPr>
            <w:tcW w:w="3200" w:type="dxa"/>
            <w:noWrap w:val="0"/>
            <w:vAlign w:val="center"/>
          </w:tcPr>
          <w:p w14:paraId="2E834322">
            <w:pPr>
              <w:tabs>
                <w:tab w:val="left" w:pos="1800"/>
                <w:tab w:val="left" w:pos="5580"/>
              </w:tabs>
              <w:jc w:val="center"/>
              <w:rPr>
                <w:sz w:val="24"/>
              </w:rPr>
            </w:pPr>
          </w:p>
        </w:tc>
        <w:tc>
          <w:tcPr>
            <w:tcW w:w="2837" w:type="dxa"/>
            <w:noWrap w:val="0"/>
            <w:vAlign w:val="center"/>
          </w:tcPr>
          <w:p w14:paraId="37728842">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中型企业 </w:t>
            </w:r>
          </w:p>
          <w:p w14:paraId="596151FC">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小微企业 </w:t>
            </w:r>
          </w:p>
          <w:p w14:paraId="7321738C">
            <w:pPr>
              <w:widowControl/>
              <w:jc w:val="left"/>
              <w:rPr>
                <w:sz w:val="24"/>
              </w:rPr>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其他 </w:t>
            </w:r>
          </w:p>
        </w:tc>
        <w:tc>
          <w:tcPr>
            <w:tcW w:w="2421" w:type="dxa"/>
            <w:noWrap w:val="0"/>
            <w:vAlign w:val="center"/>
          </w:tcPr>
          <w:p w14:paraId="27C44708">
            <w:pPr>
              <w:tabs>
                <w:tab w:val="left" w:pos="1800"/>
                <w:tab w:val="left" w:pos="5580"/>
              </w:tabs>
              <w:jc w:val="center"/>
              <w:rPr>
                <w:sz w:val="24"/>
              </w:rPr>
            </w:pPr>
          </w:p>
        </w:tc>
      </w:tr>
      <w:tr w14:paraId="056B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noWrap w:val="0"/>
            <w:vAlign w:val="center"/>
          </w:tcPr>
          <w:p w14:paraId="7DEABB5F">
            <w:pPr>
              <w:tabs>
                <w:tab w:val="left" w:pos="1800"/>
                <w:tab w:val="left" w:pos="5580"/>
              </w:tabs>
              <w:jc w:val="center"/>
              <w:rPr>
                <w:sz w:val="24"/>
              </w:rPr>
            </w:pPr>
            <w:r>
              <w:rPr>
                <w:rFonts w:hint="eastAsia"/>
                <w:sz w:val="24"/>
              </w:rPr>
              <w:t>2</w:t>
            </w:r>
          </w:p>
        </w:tc>
        <w:tc>
          <w:tcPr>
            <w:tcW w:w="3200" w:type="dxa"/>
            <w:noWrap w:val="0"/>
            <w:vAlign w:val="center"/>
          </w:tcPr>
          <w:p w14:paraId="6157ED71">
            <w:pPr>
              <w:tabs>
                <w:tab w:val="left" w:pos="1800"/>
                <w:tab w:val="left" w:pos="5580"/>
              </w:tabs>
              <w:jc w:val="center"/>
              <w:rPr>
                <w:sz w:val="24"/>
              </w:rPr>
            </w:pPr>
          </w:p>
        </w:tc>
        <w:tc>
          <w:tcPr>
            <w:tcW w:w="2837" w:type="dxa"/>
            <w:noWrap w:val="0"/>
            <w:vAlign w:val="center"/>
          </w:tcPr>
          <w:p w14:paraId="448B8231">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中型企业 </w:t>
            </w:r>
          </w:p>
          <w:p w14:paraId="55B9F596">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小微企业 </w:t>
            </w:r>
          </w:p>
          <w:p w14:paraId="128029CC">
            <w:pPr>
              <w:widowControl/>
              <w:jc w:val="left"/>
              <w:rPr>
                <w:sz w:val="24"/>
              </w:rPr>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其他 </w:t>
            </w:r>
          </w:p>
        </w:tc>
        <w:tc>
          <w:tcPr>
            <w:tcW w:w="2421" w:type="dxa"/>
            <w:noWrap w:val="0"/>
            <w:vAlign w:val="center"/>
          </w:tcPr>
          <w:p w14:paraId="68A5E106">
            <w:pPr>
              <w:tabs>
                <w:tab w:val="left" w:pos="1800"/>
                <w:tab w:val="left" w:pos="5580"/>
              </w:tabs>
              <w:jc w:val="center"/>
              <w:rPr>
                <w:sz w:val="24"/>
              </w:rPr>
            </w:pPr>
          </w:p>
        </w:tc>
      </w:tr>
      <w:tr w14:paraId="4EF4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0" w:type="dxa"/>
            <w:noWrap w:val="0"/>
            <w:vAlign w:val="center"/>
          </w:tcPr>
          <w:p w14:paraId="6D5515E0">
            <w:pPr>
              <w:tabs>
                <w:tab w:val="left" w:pos="1800"/>
                <w:tab w:val="left" w:pos="5580"/>
              </w:tabs>
              <w:jc w:val="center"/>
              <w:rPr>
                <w:sz w:val="24"/>
              </w:rPr>
            </w:pPr>
            <w:r>
              <w:rPr>
                <w:rFonts w:hint="eastAsia"/>
                <w:sz w:val="24"/>
              </w:rPr>
              <w:t>...</w:t>
            </w:r>
          </w:p>
        </w:tc>
        <w:tc>
          <w:tcPr>
            <w:tcW w:w="3200" w:type="dxa"/>
            <w:noWrap w:val="0"/>
            <w:vAlign w:val="center"/>
          </w:tcPr>
          <w:p w14:paraId="1FE90284">
            <w:pPr>
              <w:tabs>
                <w:tab w:val="left" w:pos="1800"/>
                <w:tab w:val="left" w:pos="5580"/>
              </w:tabs>
              <w:jc w:val="center"/>
              <w:rPr>
                <w:sz w:val="24"/>
              </w:rPr>
            </w:pPr>
          </w:p>
        </w:tc>
        <w:tc>
          <w:tcPr>
            <w:tcW w:w="2837" w:type="dxa"/>
            <w:noWrap w:val="0"/>
            <w:vAlign w:val="center"/>
          </w:tcPr>
          <w:p w14:paraId="0FC27B9E">
            <w:pPr>
              <w:tabs>
                <w:tab w:val="left" w:pos="1800"/>
                <w:tab w:val="left" w:pos="5580"/>
              </w:tabs>
              <w:jc w:val="center"/>
              <w:rPr>
                <w:sz w:val="24"/>
              </w:rPr>
            </w:pPr>
          </w:p>
        </w:tc>
        <w:tc>
          <w:tcPr>
            <w:tcW w:w="2421" w:type="dxa"/>
            <w:noWrap w:val="0"/>
            <w:vAlign w:val="center"/>
          </w:tcPr>
          <w:p w14:paraId="6CF8D7EE">
            <w:pPr>
              <w:tabs>
                <w:tab w:val="left" w:pos="1800"/>
                <w:tab w:val="left" w:pos="5580"/>
              </w:tabs>
              <w:jc w:val="center"/>
              <w:rPr>
                <w:sz w:val="24"/>
              </w:rPr>
            </w:pPr>
          </w:p>
        </w:tc>
      </w:tr>
      <w:tr w14:paraId="61D2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67" w:type="dxa"/>
            <w:gridSpan w:val="3"/>
            <w:noWrap w:val="0"/>
            <w:vAlign w:val="center"/>
          </w:tcPr>
          <w:p w14:paraId="186BD9DC">
            <w:pPr>
              <w:tabs>
                <w:tab w:val="left" w:pos="1800"/>
                <w:tab w:val="left" w:pos="5580"/>
              </w:tabs>
              <w:jc w:val="center"/>
              <w:rPr>
                <w:sz w:val="24"/>
              </w:rPr>
            </w:pPr>
            <w:r>
              <w:rPr>
                <w:rFonts w:hint="eastAsia"/>
                <w:sz w:val="24"/>
              </w:rPr>
              <w:t>合计</w:t>
            </w:r>
          </w:p>
        </w:tc>
        <w:tc>
          <w:tcPr>
            <w:tcW w:w="2421" w:type="dxa"/>
            <w:noWrap w:val="0"/>
            <w:vAlign w:val="center"/>
          </w:tcPr>
          <w:p w14:paraId="5E5BCD76">
            <w:pPr>
              <w:tabs>
                <w:tab w:val="left" w:pos="1800"/>
                <w:tab w:val="left" w:pos="5580"/>
              </w:tabs>
              <w:jc w:val="center"/>
              <w:rPr>
                <w:sz w:val="24"/>
              </w:rPr>
            </w:pPr>
          </w:p>
        </w:tc>
      </w:tr>
    </w:tbl>
    <w:p w14:paraId="5D808A76">
      <w:pPr>
        <w:pStyle w:val="19"/>
        <w:ind w:firstLine="0"/>
      </w:pPr>
      <w:r>
        <w:rPr>
          <w:rFonts w:hint="eastAsia"/>
        </w:rPr>
        <w:t>14-2 联合体最终报价情况说明</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3A1B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4D683144">
            <w:pPr>
              <w:adjustRightInd w:val="0"/>
              <w:snapToGrid w:val="0"/>
              <w:jc w:val="center"/>
              <w:rPr>
                <w:rFonts w:hint="eastAsia"/>
                <w:b/>
                <w:sz w:val="24"/>
              </w:rPr>
            </w:pPr>
            <w:r>
              <w:rPr>
                <w:rFonts w:hint="eastAsia"/>
                <w:b/>
                <w:sz w:val="24"/>
              </w:rPr>
              <w:t>序号</w:t>
            </w:r>
          </w:p>
        </w:tc>
        <w:tc>
          <w:tcPr>
            <w:tcW w:w="3200" w:type="dxa"/>
            <w:noWrap w:val="0"/>
            <w:vAlign w:val="center"/>
          </w:tcPr>
          <w:p w14:paraId="42E7C336">
            <w:pPr>
              <w:adjustRightInd w:val="0"/>
              <w:snapToGrid w:val="0"/>
              <w:jc w:val="center"/>
              <w:rPr>
                <w:b/>
                <w:sz w:val="24"/>
              </w:rPr>
            </w:pPr>
            <w:r>
              <w:rPr>
                <w:rFonts w:hint="eastAsia"/>
                <w:b/>
                <w:sz w:val="24"/>
              </w:rPr>
              <w:t>联合体成员名称</w:t>
            </w:r>
          </w:p>
        </w:tc>
        <w:tc>
          <w:tcPr>
            <w:tcW w:w="2837" w:type="dxa"/>
            <w:noWrap w:val="0"/>
            <w:vAlign w:val="center"/>
          </w:tcPr>
          <w:p w14:paraId="2993438C">
            <w:pPr>
              <w:adjustRightInd w:val="0"/>
              <w:snapToGrid w:val="0"/>
              <w:jc w:val="center"/>
              <w:rPr>
                <w:b/>
                <w:sz w:val="24"/>
              </w:rPr>
            </w:pPr>
            <w:r>
              <w:rPr>
                <w:b/>
                <w:sz w:val="24"/>
              </w:rPr>
              <w:t>联合体成员类型</w:t>
            </w:r>
          </w:p>
          <w:p w14:paraId="060D1D55">
            <w:pPr>
              <w:adjustRightInd w:val="0"/>
              <w:snapToGrid w:val="0"/>
              <w:jc w:val="center"/>
              <w:rPr>
                <w:b/>
                <w:sz w:val="24"/>
              </w:rPr>
            </w:pPr>
            <w:r>
              <w:rPr>
                <w:b/>
                <w:sz w:val="24"/>
              </w:rPr>
              <w:t>（选择）</w:t>
            </w:r>
          </w:p>
        </w:tc>
        <w:tc>
          <w:tcPr>
            <w:tcW w:w="2421" w:type="dxa"/>
            <w:noWrap w:val="0"/>
            <w:vAlign w:val="center"/>
          </w:tcPr>
          <w:p w14:paraId="64B46CC2">
            <w:pPr>
              <w:adjustRightInd w:val="0"/>
              <w:snapToGrid w:val="0"/>
              <w:jc w:val="center"/>
              <w:rPr>
                <w:rFonts w:hint="eastAsia"/>
                <w:b/>
                <w:sz w:val="24"/>
              </w:rPr>
            </w:pPr>
            <w:r>
              <w:rPr>
                <w:rFonts w:hint="eastAsia"/>
                <w:b/>
                <w:sz w:val="24"/>
              </w:rPr>
              <w:t>合同金额</w:t>
            </w:r>
          </w:p>
          <w:p w14:paraId="4971088C">
            <w:pPr>
              <w:adjustRightInd w:val="0"/>
              <w:snapToGrid w:val="0"/>
              <w:jc w:val="center"/>
              <w:rPr>
                <w:b/>
                <w:sz w:val="24"/>
              </w:rPr>
            </w:pPr>
            <w:r>
              <w:rPr>
                <w:rFonts w:hint="eastAsia"/>
                <w:b/>
                <w:sz w:val="24"/>
              </w:rPr>
              <w:t>（人民币元）</w:t>
            </w:r>
          </w:p>
        </w:tc>
      </w:tr>
      <w:tr w14:paraId="6D0F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noWrap w:val="0"/>
            <w:vAlign w:val="center"/>
          </w:tcPr>
          <w:p w14:paraId="3656807E">
            <w:pPr>
              <w:tabs>
                <w:tab w:val="left" w:pos="1800"/>
                <w:tab w:val="left" w:pos="5580"/>
              </w:tabs>
              <w:jc w:val="center"/>
              <w:rPr>
                <w:rFonts w:hint="eastAsia"/>
                <w:sz w:val="24"/>
              </w:rPr>
            </w:pPr>
            <w:r>
              <w:rPr>
                <w:rFonts w:hint="eastAsia"/>
                <w:sz w:val="24"/>
              </w:rPr>
              <w:t>1</w:t>
            </w:r>
          </w:p>
        </w:tc>
        <w:tc>
          <w:tcPr>
            <w:tcW w:w="3200" w:type="dxa"/>
            <w:noWrap w:val="0"/>
            <w:vAlign w:val="center"/>
          </w:tcPr>
          <w:p w14:paraId="09AB7C27">
            <w:pPr>
              <w:tabs>
                <w:tab w:val="left" w:pos="1800"/>
                <w:tab w:val="left" w:pos="5580"/>
              </w:tabs>
              <w:jc w:val="center"/>
              <w:rPr>
                <w:sz w:val="24"/>
              </w:rPr>
            </w:pPr>
          </w:p>
        </w:tc>
        <w:tc>
          <w:tcPr>
            <w:tcW w:w="2837" w:type="dxa"/>
            <w:noWrap w:val="0"/>
            <w:vAlign w:val="center"/>
          </w:tcPr>
          <w:p w14:paraId="2392FD16">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中型企业 </w:t>
            </w:r>
          </w:p>
          <w:p w14:paraId="3B290581">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小微企业 </w:t>
            </w:r>
          </w:p>
          <w:p w14:paraId="13B5E33C">
            <w:pPr>
              <w:widowControl/>
              <w:jc w:val="left"/>
              <w:rPr>
                <w:sz w:val="24"/>
              </w:rPr>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其他 </w:t>
            </w:r>
          </w:p>
        </w:tc>
        <w:tc>
          <w:tcPr>
            <w:tcW w:w="2421" w:type="dxa"/>
            <w:noWrap w:val="0"/>
            <w:vAlign w:val="center"/>
          </w:tcPr>
          <w:p w14:paraId="550E40EC">
            <w:pPr>
              <w:tabs>
                <w:tab w:val="left" w:pos="1800"/>
                <w:tab w:val="left" w:pos="5580"/>
              </w:tabs>
              <w:jc w:val="center"/>
              <w:rPr>
                <w:sz w:val="24"/>
              </w:rPr>
            </w:pPr>
          </w:p>
        </w:tc>
      </w:tr>
      <w:tr w14:paraId="60C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noWrap w:val="0"/>
            <w:vAlign w:val="center"/>
          </w:tcPr>
          <w:p w14:paraId="71AE3E89">
            <w:pPr>
              <w:tabs>
                <w:tab w:val="left" w:pos="1800"/>
                <w:tab w:val="left" w:pos="5580"/>
              </w:tabs>
              <w:jc w:val="center"/>
              <w:rPr>
                <w:sz w:val="24"/>
              </w:rPr>
            </w:pPr>
            <w:r>
              <w:rPr>
                <w:rFonts w:hint="eastAsia"/>
                <w:sz w:val="24"/>
              </w:rPr>
              <w:t>2</w:t>
            </w:r>
          </w:p>
        </w:tc>
        <w:tc>
          <w:tcPr>
            <w:tcW w:w="3200" w:type="dxa"/>
            <w:noWrap w:val="0"/>
            <w:vAlign w:val="center"/>
          </w:tcPr>
          <w:p w14:paraId="434B7ECC">
            <w:pPr>
              <w:tabs>
                <w:tab w:val="left" w:pos="1800"/>
                <w:tab w:val="left" w:pos="5580"/>
              </w:tabs>
              <w:jc w:val="center"/>
              <w:rPr>
                <w:sz w:val="24"/>
              </w:rPr>
            </w:pPr>
          </w:p>
        </w:tc>
        <w:tc>
          <w:tcPr>
            <w:tcW w:w="2837" w:type="dxa"/>
            <w:noWrap w:val="0"/>
            <w:vAlign w:val="center"/>
          </w:tcPr>
          <w:p w14:paraId="48801AEB">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中型企业 </w:t>
            </w:r>
          </w:p>
          <w:p w14:paraId="5B70D707">
            <w:pPr>
              <w:widowControl/>
              <w:jc w:val="left"/>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小微企业 </w:t>
            </w:r>
          </w:p>
          <w:p w14:paraId="7F59511D">
            <w:pPr>
              <w:widowControl/>
              <w:jc w:val="left"/>
              <w:rPr>
                <w:sz w:val="24"/>
              </w:rPr>
            </w:pPr>
            <w:r>
              <w:rPr>
                <w:rFonts w:ascii="DejaVuSans" w:hAnsi="DejaVuSans" w:eastAsia="DejaVuSans" w:cs="DejaVuSans"/>
                <w:color w:val="000000"/>
                <w:kern w:val="0"/>
                <w:sz w:val="24"/>
                <w:lang w:bidi="ar"/>
              </w:rPr>
              <w:t>□</w:t>
            </w:r>
            <w:r>
              <w:rPr>
                <w:rFonts w:hint="eastAsia" w:ascii="宋体" w:hAnsi="宋体" w:cs="宋体"/>
                <w:color w:val="000000"/>
                <w:kern w:val="0"/>
                <w:sz w:val="24"/>
                <w:lang w:bidi="ar"/>
              </w:rPr>
              <w:t xml:space="preserve">其他 </w:t>
            </w:r>
          </w:p>
        </w:tc>
        <w:tc>
          <w:tcPr>
            <w:tcW w:w="2421" w:type="dxa"/>
            <w:noWrap w:val="0"/>
            <w:vAlign w:val="center"/>
          </w:tcPr>
          <w:p w14:paraId="6EA60974">
            <w:pPr>
              <w:tabs>
                <w:tab w:val="left" w:pos="1800"/>
                <w:tab w:val="left" w:pos="5580"/>
              </w:tabs>
              <w:jc w:val="center"/>
              <w:rPr>
                <w:sz w:val="24"/>
              </w:rPr>
            </w:pPr>
          </w:p>
        </w:tc>
      </w:tr>
      <w:tr w14:paraId="789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30" w:type="dxa"/>
            <w:noWrap w:val="0"/>
            <w:vAlign w:val="center"/>
          </w:tcPr>
          <w:p w14:paraId="70FEACC2">
            <w:pPr>
              <w:tabs>
                <w:tab w:val="left" w:pos="1800"/>
                <w:tab w:val="left" w:pos="5580"/>
              </w:tabs>
              <w:jc w:val="center"/>
              <w:rPr>
                <w:sz w:val="24"/>
              </w:rPr>
            </w:pPr>
            <w:r>
              <w:rPr>
                <w:rFonts w:hint="eastAsia"/>
                <w:sz w:val="24"/>
              </w:rPr>
              <w:t>...</w:t>
            </w:r>
          </w:p>
        </w:tc>
        <w:tc>
          <w:tcPr>
            <w:tcW w:w="3200" w:type="dxa"/>
            <w:noWrap w:val="0"/>
            <w:vAlign w:val="center"/>
          </w:tcPr>
          <w:p w14:paraId="4CBE0FB1">
            <w:pPr>
              <w:tabs>
                <w:tab w:val="left" w:pos="1800"/>
                <w:tab w:val="left" w:pos="5580"/>
              </w:tabs>
              <w:jc w:val="center"/>
              <w:rPr>
                <w:sz w:val="24"/>
              </w:rPr>
            </w:pPr>
          </w:p>
        </w:tc>
        <w:tc>
          <w:tcPr>
            <w:tcW w:w="2837" w:type="dxa"/>
            <w:noWrap w:val="0"/>
            <w:vAlign w:val="center"/>
          </w:tcPr>
          <w:p w14:paraId="7D20D68A">
            <w:pPr>
              <w:tabs>
                <w:tab w:val="left" w:pos="1800"/>
                <w:tab w:val="left" w:pos="5580"/>
              </w:tabs>
              <w:jc w:val="center"/>
              <w:rPr>
                <w:sz w:val="24"/>
              </w:rPr>
            </w:pPr>
          </w:p>
        </w:tc>
        <w:tc>
          <w:tcPr>
            <w:tcW w:w="2421" w:type="dxa"/>
            <w:noWrap w:val="0"/>
            <w:vAlign w:val="center"/>
          </w:tcPr>
          <w:p w14:paraId="2857BF69">
            <w:pPr>
              <w:tabs>
                <w:tab w:val="left" w:pos="1800"/>
                <w:tab w:val="left" w:pos="5580"/>
              </w:tabs>
              <w:jc w:val="center"/>
              <w:rPr>
                <w:sz w:val="24"/>
              </w:rPr>
            </w:pPr>
          </w:p>
        </w:tc>
      </w:tr>
      <w:tr w14:paraId="56A5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67" w:type="dxa"/>
            <w:gridSpan w:val="3"/>
            <w:noWrap w:val="0"/>
            <w:vAlign w:val="center"/>
          </w:tcPr>
          <w:p w14:paraId="437FDB9E">
            <w:pPr>
              <w:tabs>
                <w:tab w:val="left" w:pos="1800"/>
                <w:tab w:val="left" w:pos="5580"/>
              </w:tabs>
              <w:jc w:val="center"/>
              <w:rPr>
                <w:sz w:val="24"/>
              </w:rPr>
            </w:pPr>
            <w:r>
              <w:rPr>
                <w:rFonts w:hint="eastAsia"/>
                <w:sz w:val="24"/>
              </w:rPr>
              <w:t>合计</w:t>
            </w:r>
          </w:p>
        </w:tc>
        <w:tc>
          <w:tcPr>
            <w:tcW w:w="2421" w:type="dxa"/>
            <w:noWrap w:val="0"/>
            <w:vAlign w:val="center"/>
          </w:tcPr>
          <w:p w14:paraId="327A0906">
            <w:pPr>
              <w:tabs>
                <w:tab w:val="left" w:pos="1800"/>
                <w:tab w:val="left" w:pos="5580"/>
              </w:tabs>
              <w:jc w:val="center"/>
              <w:rPr>
                <w:sz w:val="24"/>
              </w:rPr>
            </w:pPr>
          </w:p>
        </w:tc>
      </w:tr>
    </w:tbl>
    <w:p w14:paraId="58B108B6">
      <w:pPr>
        <w:tabs>
          <w:tab w:val="left" w:pos="1800"/>
          <w:tab w:val="left" w:pos="5580"/>
        </w:tabs>
        <w:jc w:val="left"/>
        <w:rPr>
          <w:rFonts w:hint="eastAsia"/>
          <w:sz w:val="24"/>
        </w:rPr>
      </w:pPr>
    </w:p>
    <w:p w14:paraId="23EE8A03">
      <w:pPr>
        <w:tabs>
          <w:tab w:val="left" w:pos="1800"/>
          <w:tab w:val="left" w:pos="5580"/>
        </w:tabs>
        <w:jc w:val="left"/>
        <w:rPr>
          <w:rFonts w:hint="eastAsia"/>
          <w:sz w:val="24"/>
        </w:rPr>
      </w:pPr>
      <w:r>
        <w:rPr>
          <w:rFonts w:hint="eastAsia"/>
          <w:sz w:val="24"/>
        </w:rPr>
        <w:t xml:space="preserve">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 </w:t>
      </w:r>
    </w:p>
    <w:p w14:paraId="7070E38C">
      <w:pPr>
        <w:tabs>
          <w:tab w:val="left" w:pos="1800"/>
          <w:tab w:val="left" w:pos="5580"/>
        </w:tabs>
        <w:ind w:firstLine="480" w:firstLineChars="200"/>
        <w:jc w:val="left"/>
        <w:rPr>
          <w:rFonts w:hint="eastAsia"/>
          <w:sz w:val="24"/>
        </w:rPr>
      </w:pPr>
      <w:r>
        <w:rPr>
          <w:sz w:val="24"/>
        </w:rPr>
        <w:t>2.</w:t>
      </w:r>
      <w:r>
        <w:rPr>
          <w:rFonts w:hint="eastAsia"/>
          <w:sz w:val="24"/>
        </w:rPr>
        <w:t xml:space="preserve">供应商可根据自身响应实际情况，选择一种表格填报提交即可。 </w:t>
      </w:r>
    </w:p>
    <w:p w14:paraId="6330F38F">
      <w:pPr>
        <w:tabs>
          <w:tab w:val="left" w:pos="1800"/>
          <w:tab w:val="left" w:pos="5580"/>
        </w:tabs>
        <w:ind w:firstLine="480" w:firstLineChars="200"/>
        <w:jc w:val="left"/>
        <w:rPr>
          <w:rFonts w:hint="eastAsia"/>
          <w:sz w:val="24"/>
        </w:rPr>
      </w:pPr>
      <w:r>
        <w:rPr>
          <w:sz w:val="24"/>
        </w:rPr>
        <w:t>3.</w:t>
      </w:r>
      <w:r>
        <w:rPr>
          <w:rFonts w:hint="eastAsia"/>
          <w:sz w:val="24"/>
        </w:rPr>
        <w:t xml:space="preserve">本表应按包分别填写。 </w:t>
      </w:r>
    </w:p>
    <w:p w14:paraId="33096FC0">
      <w:pPr>
        <w:tabs>
          <w:tab w:val="left" w:pos="1800"/>
          <w:tab w:val="left" w:pos="5580"/>
        </w:tabs>
        <w:ind w:firstLine="480" w:firstLineChars="200"/>
        <w:jc w:val="left"/>
        <w:rPr>
          <w:rFonts w:hint="eastAsia"/>
          <w:sz w:val="24"/>
        </w:rPr>
      </w:pPr>
      <w:r>
        <w:rPr>
          <w:sz w:val="24"/>
        </w:rPr>
        <w:t>4.</w:t>
      </w:r>
      <w:r>
        <w:rPr>
          <w:rFonts w:hint="eastAsia"/>
          <w:sz w:val="24"/>
        </w:rPr>
        <w:t xml:space="preserve">此表无需在响应文件中提交，磋商后供应商按磋商小组要求提交。 </w:t>
      </w:r>
    </w:p>
    <w:p w14:paraId="40F63E0A">
      <w:pPr>
        <w:autoSpaceDE w:val="0"/>
        <w:autoSpaceDN w:val="0"/>
        <w:adjustRightInd w:val="0"/>
        <w:snapToGrid w:val="0"/>
        <w:spacing w:before="25" w:after="25" w:line="360" w:lineRule="auto"/>
        <w:rPr>
          <w:kern w:val="0"/>
          <w:sz w:val="24"/>
        </w:rPr>
      </w:pPr>
    </w:p>
    <w:p w14:paraId="123E0087">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4DC6B37A">
      <w:pPr>
        <w:autoSpaceDE w:val="0"/>
        <w:autoSpaceDN w:val="0"/>
        <w:adjustRightInd w:val="0"/>
        <w:snapToGrid w:val="0"/>
        <w:spacing w:before="25" w:after="25" w:line="360" w:lineRule="auto"/>
        <w:rPr>
          <w:rFonts w:hint="eastAsia"/>
          <w:sz w:val="24"/>
          <w:szCs w:val="20"/>
        </w:rPr>
      </w:pPr>
      <w:r>
        <w:rPr>
          <w:sz w:val="24"/>
          <w:szCs w:val="20"/>
        </w:rPr>
        <w:t xml:space="preserve">日期：____年____月____日 </w:t>
      </w:r>
      <w:r>
        <w:rPr>
          <w:b/>
          <w:sz w:val="36"/>
          <w:szCs w:val="36"/>
        </w:rPr>
        <w:br w:type="page"/>
      </w:r>
      <w:r>
        <w:rPr>
          <w:sz w:val="24"/>
        </w:rPr>
        <w:t>1</w:t>
      </w:r>
      <w:r>
        <w:rPr>
          <w:rFonts w:hint="eastAsia"/>
          <w:sz w:val="24"/>
        </w:rPr>
        <w:t xml:space="preserve">5 </w:t>
      </w:r>
      <w:r>
        <w:rPr>
          <w:rFonts w:hint="eastAsia"/>
          <w:b/>
          <w:sz w:val="24"/>
          <w:szCs w:val="20"/>
        </w:rPr>
        <w:t>成交服务费承诺书（格式）</w:t>
      </w:r>
    </w:p>
    <w:p w14:paraId="6EBA7D28">
      <w:pPr>
        <w:spacing w:line="480" w:lineRule="exact"/>
        <w:rPr>
          <w:rFonts w:ascii="宋体" w:hAnsi="宋体"/>
          <w:sz w:val="24"/>
          <w:u w:val="single"/>
        </w:rPr>
      </w:pPr>
      <w:r>
        <w:rPr>
          <w:rFonts w:hint="eastAsia" w:ascii="宋体" w:hAnsi="宋体"/>
          <w:sz w:val="24"/>
        </w:rPr>
        <w:t>致：北京宏信天诚国际招标有限公司</w:t>
      </w:r>
    </w:p>
    <w:p w14:paraId="40D1BB72">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13CD5CED">
      <w:pPr>
        <w:widowControl/>
        <w:spacing w:line="480" w:lineRule="exact"/>
        <w:ind w:firstLine="482" w:firstLineChars="200"/>
        <w:jc w:val="left"/>
        <w:rPr>
          <w:rFonts w:ascii="宋体" w:hAnsi="宋体" w:cs="宋体"/>
          <w:kern w:val="0"/>
          <w:sz w:val="24"/>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r>
        <w:rPr>
          <w:rFonts w:hint="eastAsia" w:ascii="宋体" w:hAnsi="宋体"/>
          <w:sz w:val="24"/>
        </w:rPr>
        <w:t>。</w:t>
      </w:r>
    </w:p>
    <w:p w14:paraId="59B7F383">
      <w:pPr>
        <w:spacing w:line="480" w:lineRule="exact"/>
        <w:ind w:firstLine="566" w:firstLineChars="236"/>
        <w:rPr>
          <w:rFonts w:ascii="宋体" w:hAnsi="宋体"/>
          <w:sz w:val="24"/>
        </w:rPr>
      </w:pPr>
    </w:p>
    <w:p w14:paraId="6E9DF8C7">
      <w:pPr>
        <w:spacing w:line="480" w:lineRule="exact"/>
        <w:rPr>
          <w:rFonts w:ascii="宋体" w:hAnsi="宋体"/>
          <w:sz w:val="24"/>
        </w:rPr>
      </w:pPr>
    </w:p>
    <w:p w14:paraId="7FDA89B0">
      <w:pPr>
        <w:spacing w:line="480" w:lineRule="exact"/>
        <w:rPr>
          <w:rFonts w:ascii="宋体" w:hAnsi="宋体"/>
          <w:sz w:val="24"/>
        </w:rPr>
      </w:pPr>
    </w:p>
    <w:p w14:paraId="60538750">
      <w:pPr>
        <w:spacing w:line="480" w:lineRule="exact"/>
        <w:ind w:firstLine="480" w:firstLineChars="200"/>
        <w:rPr>
          <w:rFonts w:ascii="宋体" w:hAnsi="宋体"/>
          <w:sz w:val="24"/>
        </w:rPr>
      </w:pPr>
      <w:r>
        <w:rPr>
          <w:rFonts w:hint="eastAsia" w:ascii="宋体" w:hAnsi="宋体"/>
          <w:sz w:val="24"/>
        </w:rPr>
        <w:t>特此承诺</w:t>
      </w:r>
    </w:p>
    <w:p w14:paraId="1048B94E">
      <w:pPr>
        <w:spacing w:line="480" w:lineRule="exact"/>
        <w:rPr>
          <w:rFonts w:ascii="宋体" w:hAnsi="宋体"/>
          <w:sz w:val="24"/>
        </w:rPr>
      </w:pPr>
    </w:p>
    <w:p w14:paraId="6D16262F">
      <w:pPr>
        <w:spacing w:line="480" w:lineRule="exact"/>
        <w:rPr>
          <w:rFonts w:ascii="宋体" w:hAnsi="宋体"/>
          <w:sz w:val="24"/>
        </w:rPr>
      </w:pPr>
    </w:p>
    <w:p w14:paraId="57F4029B">
      <w:pPr>
        <w:spacing w:line="480" w:lineRule="exact"/>
        <w:rPr>
          <w:rFonts w:ascii="宋体" w:hAnsi="宋体"/>
          <w:sz w:val="24"/>
        </w:rPr>
      </w:pPr>
    </w:p>
    <w:p w14:paraId="12262A95">
      <w:pPr>
        <w:spacing w:line="480" w:lineRule="exact"/>
        <w:rPr>
          <w:rFonts w:ascii="宋体" w:hAnsi="宋体"/>
          <w:sz w:val="24"/>
        </w:rPr>
      </w:pPr>
      <w:r>
        <w:rPr>
          <w:rFonts w:hint="eastAsia" w:ascii="宋体" w:hAnsi="宋体"/>
          <w:sz w:val="24"/>
        </w:rPr>
        <w:tab/>
      </w:r>
      <w:r>
        <w:rPr>
          <w:rFonts w:hint="eastAsia" w:ascii="宋体" w:hAnsi="宋体"/>
          <w:sz w:val="24"/>
        </w:rPr>
        <w:t>承诺方名称：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5BBCC407">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EEB1AE7">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871532F">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00756695">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14:paraId="4B1C2C87">
      <w:pPr>
        <w:spacing w:line="480" w:lineRule="exact"/>
        <w:rPr>
          <w:rFonts w:ascii="宋体" w:hAnsi="宋体"/>
          <w:sz w:val="24"/>
          <w:u w:val="single"/>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5C7397FE">
      <w:pPr>
        <w:spacing w:line="360" w:lineRule="auto"/>
        <w:rPr>
          <w:rFonts w:hint="eastAsia"/>
          <w:sz w:val="24"/>
          <w:szCs w:val="20"/>
        </w:rPr>
      </w:pPr>
    </w:p>
    <w:p w14:paraId="58AF1B5D">
      <w:pPr>
        <w:widowControl/>
        <w:jc w:val="left"/>
        <w:rPr>
          <w:b/>
          <w:sz w:val="36"/>
          <w:szCs w:val="36"/>
        </w:rPr>
      </w:pPr>
    </w:p>
    <w:p w14:paraId="01F5D1B7">
      <w:pPr>
        <w:autoSpaceDE w:val="0"/>
        <w:autoSpaceDN w:val="0"/>
        <w:adjustRightInd w:val="0"/>
        <w:snapToGrid w:val="0"/>
        <w:spacing w:before="25" w:after="25" w:line="360" w:lineRule="auto"/>
        <w:rPr>
          <w:rFonts w:hint="eastAsia"/>
          <w:sz w:val="24"/>
          <w:lang w:val="zh-CN"/>
        </w:rPr>
      </w:pPr>
    </w:p>
    <w:sectPr>
      <w:headerReference r:id="rId21" w:type="first"/>
      <w:footerReference r:id="rId23" w:type="first"/>
      <w:headerReference r:id="rId20" w:type="even"/>
      <w:footerReference r:id="rId22" w:type="even"/>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0000000000000000000"/>
    <w:charset w:val="86"/>
    <w:family w:val="script"/>
    <w:pitch w:val="default"/>
    <w:sig w:usb0="00000000" w:usb1="00000000" w:usb2="00082016" w:usb3="00000000" w:csb0="00040001" w:csb1="00000000"/>
  </w:font>
  <w:font w:name="DejaVuSans-Bold">
    <w:altName w:val="Segoe Print"/>
    <w:panose1 w:val="00000000000000000000"/>
    <w:charset w:val="00"/>
    <w:family w:val="auto"/>
    <w:pitch w:val="default"/>
    <w:sig w:usb0="00000000" w:usb1="00000000" w:usb2="00000000" w:usb3="00000000" w:csb0="00040001" w:csb1="00000000"/>
  </w:font>
  <w:font w:name="DejaVuSans">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EF0A">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91F0">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357B">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1045907C">
    <w:pPr>
      <w:pStyle w:val="29"/>
      <w:ind w:right="360"/>
    </w:pPr>
  </w:p>
  <w:p w14:paraId="609C958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ACA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FCA0">
    <w:pPr>
      <w:pStyle w:val="2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2E83">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zh-CN" w:eastAsia="zh-CN" w:bidi="ar-SA"/>
      </w:rPr>
      <w:t>62</w:t>
    </w:r>
    <w:r>
      <w:rPr>
        <w:rFonts w:ascii="宋体" w:hAnsi="Times New Roman" w:eastAsia="宋体" w:cs="Times New Roman"/>
        <w:kern w:val="0"/>
        <w:sz w:val="18"/>
        <w:szCs w:val="20"/>
        <w:lang w:val="zh-CN" w:eastAsia="zh-CN" w:bidi="ar-SA"/>
      </w:rPr>
      <w:fldChar w:fldCharType="end"/>
    </w:r>
  </w:p>
  <w:p w14:paraId="2CAEA44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29FB1">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zh-CN" w:eastAsia="zh-CN" w:bidi="ar-SA"/>
      </w:rPr>
      <w:t>62</w:t>
    </w:r>
    <w:r>
      <w:rPr>
        <w:rFonts w:ascii="宋体" w:hAnsi="Times New Roman" w:eastAsia="宋体" w:cs="Times New Roman"/>
        <w:kern w:val="0"/>
        <w:sz w:val="18"/>
        <w:szCs w:val="20"/>
        <w:lang w:val="zh-CN" w:eastAsia="zh-CN" w:bidi="ar-SA"/>
      </w:rPr>
      <w:fldChar w:fldCharType="end"/>
    </w:r>
  </w:p>
  <w:p w14:paraId="59F7AD4B">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BFA4">
    <w:pPr>
      <w:pStyle w:val="29"/>
      <w:jc w:val="center"/>
    </w:pPr>
    <w:r>
      <w:fldChar w:fldCharType="begin"/>
    </w:r>
    <w:r>
      <w:instrText xml:space="preserve">PAGE   \* MERGEFORMAT</w:instrText>
    </w:r>
    <w:r>
      <w:fldChar w:fldCharType="separate"/>
    </w:r>
    <w:r>
      <w:rPr>
        <w:lang w:val="zh-CN"/>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60F1">
    <w:pPr>
      <w:pStyle w:val="29"/>
      <w:tabs>
        <w:tab w:val="center" w:pos="4365"/>
        <w:tab w:val="clear" w:pos="4153"/>
      </w:tabs>
      <w:rPr>
        <w:rFonts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951A83">
                          <w:pPr>
                            <w:pStyle w:val="29"/>
                          </w:pPr>
                          <w:r>
                            <w:fldChar w:fldCharType="begin"/>
                          </w:r>
                          <w:r>
                            <w:instrText xml:space="preserve"> PAGE  \* MERGEFORMAT </w:instrText>
                          </w:r>
                          <w:r>
                            <w:fldChar w:fldCharType="separate"/>
                          </w:r>
                          <w:r>
                            <w:rPr>
                              <w:lang/>
                            </w:rPr>
                            <w:t>79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76951A83">
                    <w:pPr>
                      <w:pStyle w:val="29"/>
                    </w:pPr>
                    <w:r>
                      <w:fldChar w:fldCharType="begin"/>
                    </w:r>
                    <w:r>
                      <w:instrText xml:space="preserve"> PAGE  \* MERGEFORMAT </w:instrText>
                    </w:r>
                    <w:r>
                      <w:fldChar w:fldCharType="separate"/>
                    </w:r>
                    <w:r>
                      <w:rPr>
                        <w:lang/>
                      </w:rPr>
                      <w:t>79</w:t>
                    </w:r>
                    <w:r>
                      <w:fldChar w:fldCharType="end"/>
                    </w:r>
                  </w:p>
                </w:txbxContent>
              </v:textbox>
            </v:shape>
          </w:pict>
        </mc:Fallback>
      </mc:AlternateContent>
    </w:r>
    <w:r>
      <w:rPr>
        <w:rFonts w:hint="eastAsia" w:hAnsi="宋体"/>
        <w:sz w:val="21"/>
        <w:szCs w:val="21"/>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A97F">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0FA060AC">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4B3D">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45DB9">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12F43234">
    <w:pPr>
      <w:pStyle w:val="29"/>
      <w:ind w:right="360"/>
    </w:pPr>
  </w:p>
  <w:p w14:paraId="41407A9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2481">
    <w:pPr>
      <w:pStyle w:val="31"/>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36C2">
    <w:pPr>
      <w:pStyle w:val="31"/>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3DE3">
    <w:pPr>
      <w:pStyle w:val="31"/>
      <w:pBdr>
        <w:bottom w:val="none" w:color="auto" w:sz="0" w:space="1"/>
      </w:pBdr>
      <w:tabs>
        <w:tab w:val="center" w:pos="4140"/>
        <w:tab w:val="right" w:pos="8300"/>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97C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28D5">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EA95">
    <w:pPr>
      <w:pStyle w:val="31"/>
    </w:pPr>
  </w:p>
  <w:p w14:paraId="78347D6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A075">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EB4E">
    <w:pPr>
      <w:pStyle w:val="31"/>
    </w:pPr>
  </w:p>
  <w:p w14:paraId="46C62F7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BE9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5E281B"/>
    <w:multiLevelType w:val="multilevel"/>
    <w:tmpl w:val="135E281B"/>
    <w:lvl w:ilvl="0" w:tentative="0">
      <w:start w:val="1"/>
      <w:numFmt w:val="japaneseCounting"/>
      <w:lvlText w:val="%1、"/>
      <w:lvlJc w:val="left"/>
      <w:pPr>
        <w:tabs>
          <w:tab w:val="left" w:pos="1333"/>
        </w:tabs>
        <w:ind w:left="1333" w:hanging="480"/>
      </w:pPr>
      <w:rPr>
        <w:rFonts w:hint="eastAsia"/>
      </w:rPr>
    </w:lvl>
    <w:lvl w:ilvl="1" w:tentative="0">
      <w:start w:val="1"/>
      <w:numFmt w:val="decimal"/>
      <w:lvlText w:val="%2、"/>
      <w:lvlJc w:val="left"/>
      <w:pPr>
        <w:tabs>
          <w:tab w:val="left" w:pos="927"/>
        </w:tabs>
        <w:ind w:left="927" w:hanging="360"/>
      </w:pPr>
      <w:rPr>
        <w:rFonts w:hint="eastAsia"/>
      </w:rPr>
    </w:lvl>
    <w:lvl w:ilvl="2" w:tentative="0">
      <w:start w:val="1"/>
      <w:numFmt w:val="lowerRoman"/>
      <w:lvlText w:val="%3."/>
      <w:lvlJc w:val="right"/>
      <w:pPr>
        <w:tabs>
          <w:tab w:val="left" w:pos="2113"/>
        </w:tabs>
        <w:ind w:left="2113" w:hanging="420"/>
      </w:pPr>
    </w:lvl>
    <w:lvl w:ilvl="3" w:tentative="0">
      <w:start w:val="1"/>
      <w:numFmt w:val="decimal"/>
      <w:lvlText w:val="%4."/>
      <w:lvlJc w:val="left"/>
      <w:pPr>
        <w:tabs>
          <w:tab w:val="left" w:pos="2533"/>
        </w:tabs>
        <w:ind w:left="2533" w:hanging="420"/>
      </w:pPr>
    </w:lvl>
    <w:lvl w:ilvl="4" w:tentative="0">
      <w:start w:val="1"/>
      <w:numFmt w:val="lowerLetter"/>
      <w:lvlText w:val="%5)"/>
      <w:lvlJc w:val="left"/>
      <w:pPr>
        <w:tabs>
          <w:tab w:val="left" w:pos="2953"/>
        </w:tabs>
        <w:ind w:left="2953" w:hanging="420"/>
      </w:pPr>
    </w:lvl>
    <w:lvl w:ilvl="5" w:tentative="0">
      <w:start w:val="1"/>
      <w:numFmt w:val="lowerRoman"/>
      <w:lvlText w:val="%6."/>
      <w:lvlJc w:val="right"/>
      <w:pPr>
        <w:tabs>
          <w:tab w:val="left" w:pos="3373"/>
        </w:tabs>
        <w:ind w:left="3373" w:hanging="420"/>
      </w:pPr>
    </w:lvl>
    <w:lvl w:ilvl="6" w:tentative="0">
      <w:start w:val="1"/>
      <w:numFmt w:val="decimal"/>
      <w:lvlText w:val="%7."/>
      <w:lvlJc w:val="left"/>
      <w:pPr>
        <w:tabs>
          <w:tab w:val="left" w:pos="3793"/>
        </w:tabs>
        <w:ind w:left="3793" w:hanging="420"/>
      </w:pPr>
    </w:lvl>
    <w:lvl w:ilvl="7" w:tentative="0">
      <w:start w:val="1"/>
      <w:numFmt w:val="lowerLetter"/>
      <w:lvlText w:val="%8)"/>
      <w:lvlJc w:val="left"/>
      <w:pPr>
        <w:tabs>
          <w:tab w:val="left" w:pos="4213"/>
        </w:tabs>
        <w:ind w:left="4213" w:hanging="420"/>
      </w:pPr>
    </w:lvl>
    <w:lvl w:ilvl="8" w:tentative="0">
      <w:start w:val="1"/>
      <w:numFmt w:val="lowerRoman"/>
      <w:lvlText w:val="%9."/>
      <w:lvlJc w:val="right"/>
      <w:pPr>
        <w:tabs>
          <w:tab w:val="left" w:pos="4633"/>
        </w:tabs>
        <w:ind w:left="4633" w:hanging="420"/>
      </w:p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518"/>
    <w:rsid w:val="000026F7"/>
    <w:rsid w:val="0000279B"/>
    <w:rsid w:val="000027EB"/>
    <w:rsid w:val="00002944"/>
    <w:rsid w:val="00002B1B"/>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75"/>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DA0"/>
    <w:rsid w:val="000241D9"/>
    <w:rsid w:val="00024343"/>
    <w:rsid w:val="00024427"/>
    <w:rsid w:val="00024446"/>
    <w:rsid w:val="0002455F"/>
    <w:rsid w:val="000246FD"/>
    <w:rsid w:val="000249B1"/>
    <w:rsid w:val="000249FA"/>
    <w:rsid w:val="00024B4F"/>
    <w:rsid w:val="00024BB5"/>
    <w:rsid w:val="00024D02"/>
    <w:rsid w:val="00024D50"/>
    <w:rsid w:val="00024D59"/>
    <w:rsid w:val="00024FD8"/>
    <w:rsid w:val="00025050"/>
    <w:rsid w:val="00025279"/>
    <w:rsid w:val="00025414"/>
    <w:rsid w:val="00025543"/>
    <w:rsid w:val="00025545"/>
    <w:rsid w:val="0002559A"/>
    <w:rsid w:val="00025BF3"/>
    <w:rsid w:val="00025DA9"/>
    <w:rsid w:val="00026353"/>
    <w:rsid w:val="000265E5"/>
    <w:rsid w:val="0002665C"/>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15"/>
    <w:rsid w:val="000313A2"/>
    <w:rsid w:val="000313C2"/>
    <w:rsid w:val="00031442"/>
    <w:rsid w:val="0003161A"/>
    <w:rsid w:val="00031704"/>
    <w:rsid w:val="00031733"/>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486"/>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4C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43"/>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02"/>
    <w:rsid w:val="00042AC7"/>
    <w:rsid w:val="00042BAD"/>
    <w:rsid w:val="00042C3E"/>
    <w:rsid w:val="00042FD2"/>
    <w:rsid w:val="0004311D"/>
    <w:rsid w:val="000431B4"/>
    <w:rsid w:val="0004336D"/>
    <w:rsid w:val="00043A61"/>
    <w:rsid w:val="00043B1C"/>
    <w:rsid w:val="00043C68"/>
    <w:rsid w:val="00043D59"/>
    <w:rsid w:val="00043E75"/>
    <w:rsid w:val="00043F3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1D"/>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38B"/>
    <w:rsid w:val="000605F1"/>
    <w:rsid w:val="00060615"/>
    <w:rsid w:val="00060784"/>
    <w:rsid w:val="00060C6B"/>
    <w:rsid w:val="00060D4C"/>
    <w:rsid w:val="00060D82"/>
    <w:rsid w:val="00060E85"/>
    <w:rsid w:val="00060F78"/>
    <w:rsid w:val="00060FB3"/>
    <w:rsid w:val="00061003"/>
    <w:rsid w:val="0006108C"/>
    <w:rsid w:val="0006142A"/>
    <w:rsid w:val="00061819"/>
    <w:rsid w:val="00061DD1"/>
    <w:rsid w:val="00061EF5"/>
    <w:rsid w:val="00061F68"/>
    <w:rsid w:val="000620CE"/>
    <w:rsid w:val="0006234D"/>
    <w:rsid w:val="00062474"/>
    <w:rsid w:val="0006280B"/>
    <w:rsid w:val="00062854"/>
    <w:rsid w:val="00062C6B"/>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663"/>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4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9E3"/>
    <w:rsid w:val="00074BDF"/>
    <w:rsid w:val="00074C28"/>
    <w:rsid w:val="00074FC7"/>
    <w:rsid w:val="000752FF"/>
    <w:rsid w:val="000756AC"/>
    <w:rsid w:val="00075879"/>
    <w:rsid w:val="00075941"/>
    <w:rsid w:val="00075AFF"/>
    <w:rsid w:val="00075BC6"/>
    <w:rsid w:val="00075C77"/>
    <w:rsid w:val="00076259"/>
    <w:rsid w:val="0007662D"/>
    <w:rsid w:val="000768C5"/>
    <w:rsid w:val="00076AB3"/>
    <w:rsid w:val="00076D3D"/>
    <w:rsid w:val="00076E3C"/>
    <w:rsid w:val="00076E8A"/>
    <w:rsid w:val="00076EFF"/>
    <w:rsid w:val="00076F9C"/>
    <w:rsid w:val="00076FDA"/>
    <w:rsid w:val="00077079"/>
    <w:rsid w:val="000770B3"/>
    <w:rsid w:val="00077705"/>
    <w:rsid w:val="000778B7"/>
    <w:rsid w:val="00077A02"/>
    <w:rsid w:val="00077C79"/>
    <w:rsid w:val="00077D3D"/>
    <w:rsid w:val="00077D6F"/>
    <w:rsid w:val="00077FE5"/>
    <w:rsid w:val="000801CC"/>
    <w:rsid w:val="00080289"/>
    <w:rsid w:val="00080443"/>
    <w:rsid w:val="000805BC"/>
    <w:rsid w:val="00080608"/>
    <w:rsid w:val="00080982"/>
    <w:rsid w:val="000809DF"/>
    <w:rsid w:val="00080A37"/>
    <w:rsid w:val="00080C51"/>
    <w:rsid w:val="00080D09"/>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626"/>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DDB"/>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0F"/>
    <w:rsid w:val="00096012"/>
    <w:rsid w:val="00096244"/>
    <w:rsid w:val="00096251"/>
    <w:rsid w:val="0009672F"/>
    <w:rsid w:val="000967EC"/>
    <w:rsid w:val="00096822"/>
    <w:rsid w:val="00096835"/>
    <w:rsid w:val="00096BFF"/>
    <w:rsid w:val="00096C99"/>
    <w:rsid w:val="00096CA2"/>
    <w:rsid w:val="00096CBB"/>
    <w:rsid w:val="00096CE7"/>
    <w:rsid w:val="00096F57"/>
    <w:rsid w:val="00096FBA"/>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21C"/>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462"/>
    <w:rsid w:val="000A76D5"/>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B8F"/>
    <w:rsid w:val="000B2E06"/>
    <w:rsid w:val="000B2E78"/>
    <w:rsid w:val="000B2F43"/>
    <w:rsid w:val="000B330A"/>
    <w:rsid w:val="000B3874"/>
    <w:rsid w:val="000B394D"/>
    <w:rsid w:val="000B3B3B"/>
    <w:rsid w:val="000B3FFC"/>
    <w:rsid w:val="000B3FFE"/>
    <w:rsid w:val="000B40E1"/>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0"/>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AEE"/>
    <w:rsid w:val="000C003D"/>
    <w:rsid w:val="000C074E"/>
    <w:rsid w:val="000C0D9E"/>
    <w:rsid w:val="000C0F67"/>
    <w:rsid w:val="000C1275"/>
    <w:rsid w:val="000C15B8"/>
    <w:rsid w:val="000C1698"/>
    <w:rsid w:val="000C1890"/>
    <w:rsid w:val="000C196B"/>
    <w:rsid w:val="000C1990"/>
    <w:rsid w:val="000C1B49"/>
    <w:rsid w:val="000C1CC6"/>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E51"/>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291"/>
    <w:rsid w:val="000E3359"/>
    <w:rsid w:val="000E371C"/>
    <w:rsid w:val="000E37B4"/>
    <w:rsid w:val="000E3A1B"/>
    <w:rsid w:val="000E3C86"/>
    <w:rsid w:val="000E3D59"/>
    <w:rsid w:val="000E3DAC"/>
    <w:rsid w:val="000E3FC3"/>
    <w:rsid w:val="000E401D"/>
    <w:rsid w:val="000E41A7"/>
    <w:rsid w:val="000E4215"/>
    <w:rsid w:val="000E439E"/>
    <w:rsid w:val="000E4476"/>
    <w:rsid w:val="000E4703"/>
    <w:rsid w:val="000E478F"/>
    <w:rsid w:val="000E48E2"/>
    <w:rsid w:val="000E48F7"/>
    <w:rsid w:val="000E4CBB"/>
    <w:rsid w:val="000E4DCA"/>
    <w:rsid w:val="000E4F64"/>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609"/>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1E6"/>
    <w:rsid w:val="000F229F"/>
    <w:rsid w:val="000F2348"/>
    <w:rsid w:val="000F2381"/>
    <w:rsid w:val="000F240D"/>
    <w:rsid w:val="000F2592"/>
    <w:rsid w:val="000F37A3"/>
    <w:rsid w:val="000F3843"/>
    <w:rsid w:val="000F385E"/>
    <w:rsid w:val="000F3C91"/>
    <w:rsid w:val="000F3D72"/>
    <w:rsid w:val="000F4054"/>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BA7"/>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9FB"/>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87F"/>
    <w:rsid w:val="00105D20"/>
    <w:rsid w:val="00106027"/>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8C"/>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B9B"/>
    <w:rsid w:val="00114D97"/>
    <w:rsid w:val="00114E11"/>
    <w:rsid w:val="00114FDE"/>
    <w:rsid w:val="001151F2"/>
    <w:rsid w:val="00115203"/>
    <w:rsid w:val="0011527A"/>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A1"/>
    <w:rsid w:val="001207FD"/>
    <w:rsid w:val="00120A54"/>
    <w:rsid w:val="00120AFC"/>
    <w:rsid w:val="00120C39"/>
    <w:rsid w:val="00120C60"/>
    <w:rsid w:val="00120CD9"/>
    <w:rsid w:val="0012135A"/>
    <w:rsid w:val="00121418"/>
    <w:rsid w:val="0012165E"/>
    <w:rsid w:val="001216C8"/>
    <w:rsid w:val="0012175A"/>
    <w:rsid w:val="00121778"/>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D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4F"/>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B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EE"/>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3F69"/>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4FD"/>
    <w:rsid w:val="0014257F"/>
    <w:rsid w:val="001426BC"/>
    <w:rsid w:val="00142714"/>
    <w:rsid w:val="00142776"/>
    <w:rsid w:val="00142876"/>
    <w:rsid w:val="00142EA5"/>
    <w:rsid w:val="00142F2B"/>
    <w:rsid w:val="00143045"/>
    <w:rsid w:val="001430EE"/>
    <w:rsid w:val="001436C2"/>
    <w:rsid w:val="001436DC"/>
    <w:rsid w:val="00143844"/>
    <w:rsid w:val="00143A06"/>
    <w:rsid w:val="00143A90"/>
    <w:rsid w:val="00143E6D"/>
    <w:rsid w:val="00144073"/>
    <w:rsid w:val="001446A4"/>
    <w:rsid w:val="00144744"/>
    <w:rsid w:val="00144904"/>
    <w:rsid w:val="00144DFB"/>
    <w:rsid w:val="00145102"/>
    <w:rsid w:val="00145206"/>
    <w:rsid w:val="001452BA"/>
    <w:rsid w:val="0014531D"/>
    <w:rsid w:val="001453CC"/>
    <w:rsid w:val="00145496"/>
    <w:rsid w:val="001454C9"/>
    <w:rsid w:val="001455F5"/>
    <w:rsid w:val="00145642"/>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423"/>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C6"/>
    <w:rsid w:val="001516F0"/>
    <w:rsid w:val="00151747"/>
    <w:rsid w:val="001518CA"/>
    <w:rsid w:val="001519E7"/>
    <w:rsid w:val="00151D76"/>
    <w:rsid w:val="00151DC4"/>
    <w:rsid w:val="00151E5B"/>
    <w:rsid w:val="00151E6E"/>
    <w:rsid w:val="00152016"/>
    <w:rsid w:val="001520F6"/>
    <w:rsid w:val="00152108"/>
    <w:rsid w:val="001523EE"/>
    <w:rsid w:val="00152731"/>
    <w:rsid w:val="00152850"/>
    <w:rsid w:val="0015290E"/>
    <w:rsid w:val="00152991"/>
    <w:rsid w:val="00152ABC"/>
    <w:rsid w:val="00152D1B"/>
    <w:rsid w:val="00152FE4"/>
    <w:rsid w:val="001532A4"/>
    <w:rsid w:val="00153390"/>
    <w:rsid w:val="001537A4"/>
    <w:rsid w:val="001537D0"/>
    <w:rsid w:val="00153B7D"/>
    <w:rsid w:val="00153BC8"/>
    <w:rsid w:val="00153F15"/>
    <w:rsid w:val="00154401"/>
    <w:rsid w:val="001545AD"/>
    <w:rsid w:val="00154682"/>
    <w:rsid w:val="00154758"/>
    <w:rsid w:val="001547EA"/>
    <w:rsid w:val="001547F6"/>
    <w:rsid w:val="00154E2A"/>
    <w:rsid w:val="00154E60"/>
    <w:rsid w:val="00154EC6"/>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57BAC"/>
    <w:rsid w:val="001602B3"/>
    <w:rsid w:val="0016040C"/>
    <w:rsid w:val="0016050D"/>
    <w:rsid w:val="0016079C"/>
    <w:rsid w:val="0016086E"/>
    <w:rsid w:val="001609D0"/>
    <w:rsid w:val="00160A0C"/>
    <w:rsid w:val="00160C89"/>
    <w:rsid w:val="0016104C"/>
    <w:rsid w:val="0016143E"/>
    <w:rsid w:val="00161555"/>
    <w:rsid w:val="00161574"/>
    <w:rsid w:val="001615D5"/>
    <w:rsid w:val="001618BC"/>
    <w:rsid w:val="001618DB"/>
    <w:rsid w:val="00161A84"/>
    <w:rsid w:val="00161AF3"/>
    <w:rsid w:val="0016201B"/>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B8B"/>
    <w:rsid w:val="00163DD7"/>
    <w:rsid w:val="00163DF8"/>
    <w:rsid w:val="0016414D"/>
    <w:rsid w:val="001643D1"/>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4AD"/>
    <w:rsid w:val="001675EF"/>
    <w:rsid w:val="0016770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5C"/>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FB"/>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1A"/>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5DB"/>
    <w:rsid w:val="00191935"/>
    <w:rsid w:val="00191ABB"/>
    <w:rsid w:val="00191D08"/>
    <w:rsid w:val="00191F11"/>
    <w:rsid w:val="00191FD1"/>
    <w:rsid w:val="00192450"/>
    <w:rsid w:val="001924F5"/>
    <w:rsid w:val="00192607"/>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BDF"/>
    <w:rsid w:val="00197DB5"/>
    <w:rsid w:val="00197F02"/>
    <w:rsid w:val="00197F40"/>
    <w:rsid w:val="001A0090"/>
    <w:rsid w:val="001A022D"/>
    <w:rsid w:val="001A0286"/>
    <w:rsid w:val="001A0373"/>
    <w:rsid w:val="001A04AA"/>
    <w:rsid w:val="001A06F8"/>
    <w:rsid w:val="001A0A32"/>
    <w:rsid w:val="001A0B7A"/>
    <w:rsid w:val="001A0FE8"/>
    <w:rsid w:val="001A106A"/>
    <w:rsid w:val="001A1180"/>
    <w:rsid w:val="001A1224"/>
    <w:rsid w:val="001A13A8"/>
    <w:rsid w:val="001A1606"/>
    <w:rsid w:val="001A168B"/>
    <w:rsid w:val="001A187F"/>
    <w:rsid w:val="001A1914"/>
    <w:rsid w:val="001A19C5"/>
    <w:rsid w:val="001A1ABE"/>
    <w:rsid w:val="001A1B50"/>
    <w:rsid w:val="001A1B54"/>
    <w:rsid w:val="001A1B78"/>
    <w:rsid w:val="001A1BA3"/>
    <w:rsid w:val="001A1CEC"/>
    <w:rsid w:val="001A1F0B"/>
    <w:rsid w:val="001A1F70"/>
    <w:rsid w:val="001A2113"/>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4F99"/>
    <w:rsid w:val="001A51FD"/>
    <w:rsid w:val="001A52A6"/>
    <w:rsid w:val="001A5496"/>
    <w:rsid w:val="001A5595"/>
    <w:rsid w:val="001A55F7"/>
    <w:rsid w:val="001A570C"/>
    <w:rsid w:val="001A57B9"/>
    <w:rsid w:val="001A5FC1"/>
    <w:rsid w:val="001A5FF0"/>
    <w:rsid w:val="001A62AF"/>
    <w:rsid w:val="001A63B1"/>
    <w:rsid w:val="001A667B"/>
    <w:rsid w:val="001A6701"/>
    <w:rsid w:val="001A6762"/>
    <w:rsid w:val="001A6862"/>
    <w:rsid w:val="001A68CC"/>
    <w:rsid w:val="001A6996"/>
    <w:rsid w:val="001A6A13"/>
    <w:rsid w:val="001A6BD3"/>
    <w:rsid w:val="001A6D7F"/>
    <w:rsid w:val="001A6F08"/>
    <w:rsid w:val="001A7040"/>
    <w:rsid w:val="001A70FF"/>
    <w:rsid w:val="001A72EC"/>
    <w:rsid w:val="001A7361"/>
    <w:rsid w:val="001A738E"/>
    <w:rsid w:val="001A76B1"/>
    <w:rsid w:val="001A79C1"/>
    <w:rsid w:val="001A79FF"/>
    <w:rsid w:val="001A7ACB"/>
    <w:rsid w:val="001A7AE0"/>
    <w:rsid w:val="001A7CDD"/>
    <w:rsid w:val="001A7E86"/>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1FD2"/>
    <w:rsid w:val="001B2015"/>
    <w:rsid w:val="001B2049"/>
    <w:rsid w:val="001B2067"/>
    <w:rsid w:val="001B2322"/>
    <w:rsid w:val="001B28F9"/>
    <w:rsid w:val="001B2A06"/>
    <w:rsid w:val="001B2CF6"/>
    <w:rsid w:val="001B2D3E"/>
    <w:rsid w:val="001B2EB9"/>
    <w:rsid w:val="001B2FD0"/>
    <w:rsid w:val="001B302C"/>
    <w:rsid w:val="001B308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110"/>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346"/>
    <w:rsid w:val="001C255E"/>
    <w:rsid w:val="001C2695"/>
    <w:rsid w:val="001C29BE"/>
    <w:rsid w:val="001C2DCD"/>
    <w:rsid w:val="001C2E41"/>
    <w:rsid w:val="001C2ED2"/>
    <w:rsid w:val="001C2F65"/>
    <w:rsid w:val="001C326E"/>
    <w:rsid w:val="001C33D5"/>
    <w:rsid w:val="001C34AE"/>
    <w:rsid w:val="001C34EC"/>
    <w:rsid w:val="001C36CF"/>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44"/>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079"/>
    <w:rsid w:val="001D25E3"/>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BD7"/>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48"/>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1A5"/>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0FF"/>
    <w:rsid w:val="00201195"/>
    <w:rsid w:val="002013FB"/>
    <w:rsid w:val="0020150D"/>
    <w:rsid w:val="00201870"/>
    <w:rsid w:val="0020194F"/>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B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2E0"/>
    <w:rsid w:val="00214368"/>
    <w:rsid w:val="00214B2B"/>
    <w:rsid w:val="00214D0B"/>
    <w:rsid w:val="00214F86"/>
    <w:rsid w:val="00214FA6"/>
    <w:rsid w:val="0021509C"/>
    <w:rsid w:val="002152AD"/>
    <w:rsid w:val="00215476"/>
    <w:rsid w:val="0021554A"/>
    <w:rsid w:val="00215F2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502"/>
    <w:rsid w:val="00227515"/>
    <w:rsid w:val="00227530"/>
    <w:rsid w:val="0022765F"/>
    <w:rsid w:val="00227679"/>
    <w:rsid w:val="002278C1"/>
    <w:rsid w:val="00227B21"/>
    <w:rsid w:val="002308CA"/>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95"/>
    <w:rsid w:val="00233DA6"/>
    <w:rsid w:val="00233DD0"/>
    <w:rsid w:val="00234295"/>
    <w:rsid w:val="002346DD"/>
    <w:rsid w:val="00234AA6"/>
    <w:rsid w:val="00234AED"/>
    <w:rsid w:val="00234B77"/>
    <w:rsid w:val="00234BF1"/>
    <w:rsid w:val="002351F1"/>
    <w:rsid w:val="00235450"/>
    <w:rsid w:val="002355E5"/>
    <w:rsid w:val="00235640"/>
    <w:rsid w:val="00235BD9"/>
    <w:rsid w:val="00235BDF"/>
    <w:rsid w:val="00235BEE"/>
    <w:rsid w:val="00235DA2"/>
    <w:rsid w:val="00235FCF"/>
    <w:rsid w:val="00236425"/>
    <w:rsid w:val="00236642"/>
    <w:rsid w:val="00236765"/>
    <w:rsid w:val="0023686D"/>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1F9"/>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EB2"/>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F"/>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47F14"/>
    <w:rsid w:val="00250042"/>
    <w:rsid w:val="00250065"/>
    <w:rsid w:val="00250104"/>
    <w:rsid w:val="00250150"/>
    <w:rsid w:val="00250499"/>
    <w:rsid w:val="002504BF"/>
    <w:rsid w:val="00250604"/>
    <w:rsid w:val="0025066C"/>
    <w:rsid w:val="0025071D"/>
    <w:rsid w:val="00250861"/>
    <w:rsid w:val="002509A9"/>
    <w:rsid w:val="0025129E"/>
    <w:rsid w:val="00251429"/>
    <w:rsid w:val="0025147E"/>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4F57"/>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33"/>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49"/>
    <w:rsid w:val="002642DE"/>
    <w:rsid w:val="002643A5"/>
    <w:rsid w:val="002644E1"/>
    <w:rsid w:val="00264548"/>
    <w:rsid w:val="002645A8"/>
    <w:rsid w:val="00264704"/>
    <w:rsid w:val="00264782"/>
    <w:rsid w:val="002648E6"/>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99E"/>
    <w:rsid w:val="00271B76"/>
    <w:rsid w:val="00271DC6"/>
    <w:rsid w:val="00271E9A"/>
    <w:rsid w:val="002720D3"/>
    <w:rsid w:val="0027225F"/>
    <w:rsid w:val="00272537"/>
    <w:rsid w:val="00272769"/>
    <w:rsid w:val="0027292B"/>
    <w:rsid w:val="00272E7F"/>
    <w:rsid w:val="00273108"/>
    <w:rsid w:val="002731C8"/>
    <w:rsid w:val="0027386E"/>
    <w:rsid w:val="002739CA"/>
    <w:rsid w:val="002739ED"/>
    <w:rsid w:val="00273A94"/>
    <w:rsid w:val="00273E7D"/>
    <w:rsid w:val="00273F27"/>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7A5"/>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1F"/>
    <w:rsid w:val="00282F4A"/>
    <w:rsid w:val="00283031"/>
    <w:rsid w:val="002832A6"/>
    <w:rsid w:val="002834E4"/>
    <w:rsid w:val="002837B1"/>
    <w:rsid w:val="00283AA1"/>
    <w:rsid w:val="00283C48"/>
    <w:rsid w:val="00283D5E"/>
    <w:rsid w:val="00283E2E"/>
    <w:rsid w:val="00283ED2"/>
    <w:rsid w:val="00283FC0"/>
    <w:rsid w:val="002846A1"/>
    <w:rsid w:val="00284859"/>
    <w:rsid w:val="002848BE"/>
    <w:rsid w:val="00284905"/>
    <w:rsid w:val="00284C10"/>
    <w:rsid w:val="00284F69"/>
    <w:rsid w:val="00285306"/>
    <w:rsid w:val="00285314"/>
    <w:rsid w:val="002856BE"/>
    <w:rsid w:val="00285712"/>
    <w:rsid w:val="0028577F"/>
    <w:rsid w:val="0028584C"/>
    <w:rsid w:val="0028596A"/>
    <w:rsid w:val="00285A13"/>
    <w:rsid w:val="00285C35"/>
    <w:rsid w:val="002860C3"/>
    <w:rsid w:val="002860FB"/>
    <w:rsid w:val="002864B2"/>
    <w:rsid w:val="0028658C"/>
    <w:rsid w:val="002865ED"/>
    <w:rsid w:val="00286725"/>
    <w:rsid w:val="0028686B"/>
    <w:rsid w:val="00287093"/>
    <w:rsid w:val="002870D0"/>
    <w:rsid w:val="002870F7"/>
    <w:rsid w:val="00287166"/>
    <w:rsid w:val="002871FD"/>
    <w:rsid w:val="0028724C"/>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BF9"/>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0FF"/>
    <w:rsid w:val="00292359"/>
    <w:rsid w:val="002923D5"/>
    <w:rsid w:val="002928BA"/>
    <w:rsid w:val="00292ACA"/>
    <w:rsid w:val="00292B32"/>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45"/>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A8"/>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7"/>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EB8"/>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E5E"/>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1E"/>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D01"/>
    <w:rsid w:val="002E0044"/>
    <w:rsid w:val="002E00FB"/>
    <w:rsid w:val="002E078D"/>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1A"/>
    <w:rsid w:val="002E297F"/>
    <w:rsid w:val="002E2B06"/>
    <w:rsid w:val="002E2CE9"/>
    <w:rsid w:val="002E3430"/>
    <w:rsid w:val="002E397A"/>
    <w:rsid w:val="002E3C7B"/>
    <w:rsid w:val="002E3DDA"/>
    <w:rsid w:val="002E3EE1"/>
    <w:rsid w:val="002E421F"/>
    <w:rsid w:val="002E4257"/>
    <w:rsid w:val="002E4721"/>
    <w:rsid w:val="002E4723"/>
    <w:rsid w:val="002E4ADF"/>
    <w:rsid w:val="002E4E06"/>
    <w:rsid w:val="002E4F75"/>
    <w:rsid w:val="002E51A3"/>
    <w:rsid w:val="002E54A1"/>
    <w:rsid w:val="002E5586"/>
    <w:rsid w:val="002E5875"/>
    <w:rsid w:val="002E58BE"/>
    <w:rsid w:val="002E59B7"/>
    <w:rsid w:val="002E5E31"/>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92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08C"/>
    <w:rsid w:val="002F736A"/>
    <w:rsid w:val="002F736E"/>
    <w:rsid w:val="002F75A3"/>
    <w:rsid w:val="002F7639"/>
    <w:rsid w:val="002F764A"/>
    <w:rsid w:val="002F7664"/>
    <w:rsid w:val="002F77EC"/>
    <w:rsid w:val="002F7B45"/>
    <w:rsid w:val="002F7E6C"/>
    <w:rsid w:val="002F7EEB"/>
    <w:rsid w:val="002F7F33"/>
    <w:rsid w:val="002F7F95"/>
    <w:rsid w:val="00300164"/>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3E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8A6"/>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8F2"/>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7A"/>
    <w:rsid w:val="00325E88"/>
    <w:rsid w:val="00325FA6"/>
    <w:rsid w:val="0032601E"/>
    <w:rsid w:val="00326139"/>
    <w:rsid w:val="00326435"/>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1AC"/>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49"/>
    <w:rsid w:val="003330B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2F8"/>
    <w:rsid w:val="0034060B"/>
    <w:rsid w:val="0034065D"/>
    <w:rsid w:val="00340718"/>
    <w:rsid w:val="00340888"/>
    <w:rsid w:val="00340B47"/>
    <w:rsid w:val="00340BDC"/>
    <w:rsid w:val="00340F1F"/>
    <w:rsid w:val="00341185"/>
    <w:rsid w:val="0034179B"/>
    <w:rsid w:val="003417D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BCE"/>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2F"/>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6C"/>
    <w:rsid w:val="003555A7"/>
    <w:rsid w:val="003557A6"/>
    <w:rsid w:val="003557E3"/>
    <w:rsid w:val="003558D7"/>
    <w:rsid w:val="00355968"/>
    <w:rsid w:val="003561DF"/>
    <w:rsid w:val="0035651B"/>
    <w:rsid w:val="00356734"/>
    <w:rsid w:val="00356C97"/>
    <w:rsid w:val="00357351"/>
    <w:rsid w:val="00357A03"/>
    <w:rsid w:val="00357AD9"/>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11B"/>
    <w:rsid w:val="0036320F"/>
    <w:rsid w:val="00363307"/>
    <w:rsid w:val="0036371D"/>
    <w:rsid w:val="0036372A"/>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F7"/>
    <w:rsid w:val="00371680"/>
    <w:rsid w:val="00371825"/>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0DB"/>
    <w:rsid w:val="00382135"/>
    <w:rsid w:val="003822BF"/>
    <w:rsid w:val="003823AA"/>
    <w:rsid w:val="0038240E"/>
    <w:rsid w:val="00382746"/>
    <w:rsid w:val="003827DA"/>
    <w:rsid w:val="0038296E"/>
    <w:rsid w:val="003829B4"/>
    <w:rsid w:val="00382B44"/>
    <w:rsid w:val="00382C3E"/>
    <w:rsid w:val="00382C85"/>
    <w:rsid w:val="00382DA6"/>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557"/>
    <w:rsid w:val="0038560D"/>
    <w:rsid w:val="00385718"/>
    <w:rsid w:val="00385720"/>
    <w:rsid w:val="00385BE1"/>
    <w:rsid w:val="00385C05"/>
    <w:rsid w:val="00385E0E"/>
    <w:rsid w:val="00385F94"/>
    <w:rsid w:val="0038613F"/>
    <w:rsid w:val="00386197"/>
    <w:rsid w:val="00386444"/>
    <w:rsid w:val="003865C2"/>
    <w:rsid w:val="0038679C"/>
    <w:rsid w:val="003867A9"/>
    <w:rsid w:val="00386B1B"/>
    <w:rsid w:val="00386B70"/>
    <w:rsid w:val="00386F4D"/>
    <w:rsid w:val="003871C9"/>
    <w:rsid w:val="003872CF"/>
    <w:rsid w:val="00387682"/>
    <w:rsid w:val="00387694"/>
    <w:rsid w:val="00387775"/>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234"/>
    <w:rsid w:val="0039653A"/>
    <w:rsid w:val="00396ADA"/>
    <w:rsid w:val="00396EB5"/>
    <w:rsid w:val="003970A7"/>
    <w:rsid w:val="0039735D"/>
    <w:rsid w:val="00397502"/>
    <w:rsid w:val="00397515"/>
    <w:rsid w:val="00397608"/>
    <w:rsid w:val="003978D4"/>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4AD"/>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5A"/>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3EF"/>
    <w:rsid w:val="003B66CD"/>
    <w:rsid w:val="003B6C76"/>
    <w:rsid w:val="003B6E88"/>
    <w:rsid w:val="003B6F92"/>
    <w:rsid w:val="003B7140"/>
    <w:rsid w:val="003B73D7"/>
    <w:rsid w:val="003B7620"/>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F3"/>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52"/>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DC"/>
    <w:rsid w:val="003D6899"/>
    <w:rsid w:val="003D6B8C"/>
    <w:rsid w:val="003D6C7D"/>
    <w:rsid w:val="003D7278"/>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1"/>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8C2"/>
    <w:rsid w:val="003E49A0"/>
    <w:rsid w:val="003E4AE1"/>
    <w:rsid w:val="003E4BE9"/>
    <w:rsid w:val="003E50C8"/>
    <w:rsid w:val="003E518E"/>
    <w:rsid w:val="003E54F6"/>
    <w:rsid w:val="003E5628"/>
    <w:rsid w:val="003E56E1"/>
    <w:rsid w:val="003E5A69"/>
    <w:rsid w:val="003E5C42"/>
    <w:rsid w:val="003E5E13"/>
    <w:rsid w:val="003E5E2A"/>
    <w:rsid w:val="003E63C1"/>
    <w:rsid w:val="003E6569"/>
    <w:rsid w:val="003E6589"/>
    <w:rsid w:val="003E6BE1"/>
    <w:rsid w:val="003E6F39"/>
    <w:rsid w:val="003E703A"/>
    <w:rsid w:val="003E7118"/>
    <w:rsid w:val="003E723A"/>
    <w:rsid w:val="003E738E"/>
    <w:rsid w:val="003E744C"/>
    <w:rsid w:val="003E778B"/>
    <w:rsid w:val="003E77E1"/>
    <w:rsid w:val="003E792A"/>
    <w:rsid w:val="003E7BD4"/>
    <w:rsid w:val="003E7DFC"/>
    <w:rsid w:val="003F0228"/>
    <w:rsid w:val="003F022F"/>
    <w:rsid w:val="003F0265"/>
    <w:rsid w:val="003F0461"/>
    <w:rsid w:val="003F0781"/>
    <w:rsid w:val="003F07E2"/>
    <w:rsid w:val="003F0A92"/>
    <w:rsid w:val="003F0C88"/>
    <w:rsid w:val="003F0D04"/>
    <w:rsid w:val="003F0F52"/>
    <w:rsid w:val="003F10D9"/>
    <w:rsid w:val="003F122D"/>
    <w:rsid w:val="003F14D8"/>
    <w:rsid w:val="003F1532"/>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2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DD"/>
    <w:rsid w:val="003F73F7"/>
    <w:rsid w:val="003F7435"/>
    <w:rsid w:val="003F7536"/>
    <w:rsid w:val="003F78D1"/>
    <w:rsid w:val="003F7AB6"/>
    <w:rsid w:val="003F7D52"/>
    <w:rsid w:val="003F7EAC"/>
    <w:rsid w:val="003F7F50"/>
    <w:rsid w:val="00400012"/>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AB"/>
    <w:rsid w:val="004037EE"/>
    <w:rsid w:val="00403820"/>
    <w:rsid w:val="00403C92"/>
    <w:rsid w:val="00403D62"/>
    <w:rsid w:val="00403EDA"/>
    <w:rsid w:val="004040A9"/>
    <w:rsid w:val="00404198"/>
    <w:rsid w:val="004041B3"/>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24"/>
    <w:rsid w:val="00406C82"/>
    <w:rsid w:val="00406D6D"/>
    <w:rsid w:val="00406DB3"/>
    <w:rsid w:val="004072D4"/>
    <w:rsid w:val="0040762C"/>
    <w:rsid w:val="004076C9"/>
    <w:rsid w:val="00407728"/>
    <w:rsid w:val="00407796"/>
    <w:rsid w:val="00407A48"/>
    <w:rsid w:val="00407B86"/>
    <w:rsid w:val="004100CC"/>
    <w:rsid w:val="004100F9"/>
    <w:rsid w:val="00410544"/>
    <w:rsid w:val="004107C4"/>
    <w:rsid w:val="0041090A"/>
    <w:rsid w:val="00410B05"/>
    <w:rsid w:val="00410C20"/>
    <w:rsid w:val="00410CEE"/>
    <w:rsid w:val="00410E28"/>
    <w:rsid w:val="004110F3"/>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9B"/>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88"/>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E3"/>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87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0F"/>
    <w:rsid w:val="004305CC"/>
    <w:rsid w:val="004306C8"/>
    <w:rsid w:val="004306F8"/>
    <w:rsid w:val="00430815"/>
    <w:rsid w:val="00430A3E"/>
    <w:rsid w:val="00430BC1"/>
    <w:rsid w:val="00430BDB"/>
    <w:rsid w:val="00430DE2"/>
    <w:rsid w:val="004310ED"/>
    <w:rsid w:val="00431249"/>
    <w:rsid w:val="004313E7"/>
    <w:rsid w:val="0043176C"/>
    <w:rsid w:val="00431A06"/>
    <w:rsid w:val="00431E85"/>
    <w:rsid w:val="00431EB8"/>
    <w:rsid w:val="00431FE3"/>
    <w:rsid w:val="00432295"/>
    <w:rsid w:val="004322D9"/>
    <w:rsid w:val="004323E2"/>
    <w:rsid w:val="0043266A"/>
    <w:rsid w:val="00432B79"/>
    <w:rsid w:val="00432BDB"/>
    <w:rsid w:val="00432C5E"/>
    <w:rsid w:val="00432D0A"/>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42C"/>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3BDB"/>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84A"/>
    <w:rsid w:val="00447D56"/>
    <w:rsid w:val="00447E53"/>
    <w:rsid w:val="00447EB6"/>
    <w:rsid w:val="00447F16"/>
    <w:rsid w:val="004504F0"/>
    <w:rsid w:val="004504FE"/>
    <w:rsid w:val="004505BB"/>
    <w:rsid w:val="00450D50"/>
    <w:rsid w:val="0045100C"/>
    <w:rsid w:val="00451076"/>
    <w:rsid w:val="004510BF"/>
    <w:rsid w:val="004511CD"/>
    <w:rsid w:val="0045139D"/>
    <w:rsid w:val="004513B1"/>
    <w:rsid w:val="004514CB"/>
    <w:rsid w:val="00451A0E"/>
    <w:rsid w:val="00451A83"/>
    <w:rsid w:val="00451DAF"/>
    <w:rsid w:val="00452160"/>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19F"/>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94"/>
    <w:rsid w:val="00464CE2"/>
    <w:rsid w:val="00464FA8"/>
    <w:rsid w:val="00465122"/>
    <w:rsid w:val="004651AF"/>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56"/>
    <w:rsid w:val="004672B1"/>
    <w:rsid w:val="004672EF"/>
    <w:rsid w:val="0046732E"/>
    <w:rsid w:val="004676B7"/>
    <w:rsid w:val="004679C4"/>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48"/>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42"/>
    <w:rsid w:val="0047647F"/>
    <w:rsid w:val="00476816"/>
    <w:rsid w:val="00476822"/>
    <w:rsid w:val="004768A1"/>
    <w:rsid w:val="00476962"/>
    <w:rsid w:val="004769D3"/>
    <w:rsid w:val="004769D5"/>
    <w:rsid w:val="00477938"/>
    <w:rsid w:val="00477B54"/>
    <w:rsid w:val="00477B57"/>
    <w:rsid w:val="00480096"/>
    <w:rsid w:val="004802F4"/>
    <w:rsid w:val="004807A8"/>
    <w:rsid w:val="0048093B"/>
    <w:rsid w:val="004809A3"/>
    <w:rsid w:val="00480B81"/>
    <w:rsid w:val="00480F1D"/>
    <w:rsid w:val="00480F9E"/>
    <w:rsid w:val="0048102F"/>
    <w:rsid w:val="00481091"/>
    <w:rsid w:val="0048109C"/>
    <w:rsid w:val="004813CF"/>
    <w:rsid w:val="0048165B"/>
    <w:rsid w:val="004816DB"/>
    <w:rsid w:val="00481743"/>
    <w:rsid w:val="004818F2"/>
    <w:rsid w:val="00481907"/>
    <w:rsid w:val="0048195F"/>
    <w:rsid w:val="00481A6E"/>
    <w:rsid w:val="00481AD3"/>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2FA"/>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0A"/>
    <w:rsid w:val="0048714A"/>
    <w:rsid w:val="00487276"/>
    <w:rsid w:val="004877DB"/>
    <w:rsid w:val="00487893"/>
    <w:rsid w:val="004879A9"/>
    <w:rsid w:val="00487BE6"/>
    <w:rsid w:val="004900F7"/>
    <w:rsid w:val="00490150"/>
    <w:rsid w:val="004901C5"/>
    <w:rsid w:val="004901EC"/>
    <w:rsid w:val="00490487"/>
    <w:rsid w:val="004905E8"/>
    <w:rsid w:val="00490705"/>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A12"/>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10B"/>
    <w:rsid w:val="004A039F"/>
    <w:rsid w:val="004A04B0"/>
    <w:rsid w:val="004A053C"/>
    <w:rsid w:val="004A06C1"/>
    <w:rsid w:val="004A0B5A"/>
    <w:rsid w:val="004A0B66"/>
    <w:rsid w:val="004A0FC8"/>
    <w:rsid w:val="004A1240"/>
    <w:rsid w:val="004A1346"/>
    <w:rsid w:val="004A1636"/>
    <w:rsid w:val="004A197A"/>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D2C"/>
    <w:rsid w:val="004A4F52"/>
    <w:rsid w:val="004A4F88"/>
    <w:rsid w:val="004A4FB8"/>
    <w:rsid w:val="004A5161"/>
    <w:rsid w:val="004A54BD"/>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B4B"/>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CD"/>
    <w:rsid w:val="004B1D68"/>
    <w:rsid w:val="004B1FD7"/>
    <w:rsid w:val="004B2764"/>
    <w:rsid w:val="004B2C16"/>
    <w:rsid w:val="004B2C7A"/>
    <w:rsid w:val="004B2EF7"/>
    <w:rsid w:val="004B2FC6"/>
    <w:rsid w:val="004B350E"/>
    <w:rsid w:val="004B3630"/>
    <w:rsid w:val="004B39DB"/>
    <w:rsid w:val="004B3B99"/>
    <w:rsid w:val="004B3D4F"/>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43"/>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970"/>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2F96"/>
    <w:rsid w:val="004C306D"/>
    <w:rsid w:val="004C3202"/>
    <w:rsid w:val="004C325D"/>
    <w:rsid w:val="004C3317"/>
    <w:rsid w:val="004C36AD"/>
    <w:rsid w:val="004C36B4"/>
    <w:rsid w:val="004C372B"/>
    <w:rsid w:val="004C3976"/>
    <w:rsid w:val="004C39EC"/>
    <w:rsid w:val="004C3AC3"/>
    <w:rsid w:val="004C3D8B"/>
    <w:rsid w:val="004C3DB9"/>
    <w:rsid w:val="004C3DC6"/>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B66"/>
    <w:rsid w:val="004C7D3A"/>
    <w:rsid w:val="004D03CC"/>
    <w:rsid w:val="004D053C"/>
    <w:rsid w:val="004D05FF"/>
    <w:rsid w:val="004D074C"/>
    <w:rsid w:val="004D0872"/>
    <w:rsid w:val="004D0C2E"/>
    <w:rsid w:val="004D0CF5"/>
    <w:rsid w:val="004D0E23"/>
    <w:rsid w:val="004D0FEC"/>
    <w:rsid w:val="004D10AC"/>
    <w:rsid w:val="004D10FD"/>
    <w:rsid w:val="004D1154"/>
    <w:rsid w:val="004D115B"/>
    <w:rsid w:val="004D1191"/>
    <w:rsid w:val="004D1656"/>
    <w:rsid w:val="004D1757"/>
    <w:rsid w:val="004D1811"/>
    <w:rsid w:val="004D1A6D"/>
    <w:rsid w:val="004D1B15"/>
    <w:rsid w:val="004D209E"/>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1AF"/>
    <w:rsid w:val="004D45AA"/>
    <w:rsid w:val="004D46C5"/>
    <w:rsid w:val="004D49B1"/>
    <w:rsid w:val="004D4C89"/>
    <w:rsid w:val="004D4E42"/>
    <w:rsid w:val="004D4F45"/>
    <w:rsid w:val="004D4FBF"/>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C43"/>
    <w:rsid w:val="004D6FC1"/>
    <w:rsid w:val="004D7442"/>
    <w:rsid w:val="004D7568"/>
    <w:rsid w:val="004D75A7"/>
    <w:rsid w:val="004D765C"/>
    <w:rsid w:val="004D78AA"/>
    <w:rsid w:val="004D79C6"/>
    <w:rsid w:val="004D7DEA"/>
    <w:rsid w:val="004D7EDE"/>
    <w:rsid w:val="004D7FA6"/>
    <w:rsid w:val="004E00B0"/>
    <w:rsid w:val="004E034A"/>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02D"/>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CE0"/>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12C"/>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52A"/>
    <w:rsid w:val="004F4752"/>
    <w:rsid w:val="004F4870"/>
    <w:rsid w:val="004F4990"/>
    <w:rsid w:val="004F4D17"/>
    <w:rsid w:val="004F4E8A"/>
    <w:rsid w:val="004F4FDD"/>
    <w:rsid w:val="004F50AD"/>
    <w:rsid w:val="004F535D"/>
    <w:rsid w:val="004F54BD"/>
    <w:rsid w:val="004F55EA"/>
    <w:rsid w:val="004F599C"/>
    <w:rsid w:val="004F5F87"/>
    <w:rsid w:val="004F6066"/>
    <w:rsid w:val="004F61E3"/>
    <w:rsid w:val="004F6349"/>
    <w:rsid w:val="004F639C"/>
    <w:rsid w:val="004F6435"/>
    <w:rsid w:val="004F66C8"/>
    <w:rsid w:val="004F670B"/>
    <w:rsid w:val="004F68E3"/>
    <w:rsid w:val="004F6B36"/>
    <w:rsid w:val="004F6DC6"/>
    <w:rsid w:val="004F6E67"/>
    <w:rsid w:val="004F70B5"/>
    <w:rsid w:val="004F7178"/>
    <w:rsid w:val="004F75F7"/>
    <w:rsid w:val="004F7691"/>
    <w:rsid w:val="004F78C8"/>
    <w:rsid w:val="004F7A5D"/>
    <w:rsid w:val="004F7B83"/>
    <w:rsid w:val="004F7D30"/>
    <w:rsid w:val="004F7DAE"/>
    <w:rsid w:val="004F7E5D"/>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9C"/>
    <w:rsid w:val="005120CB"/>
    <w:rsid w:val="0051218D"/>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57"/>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AAA"/>
    <w:rsid w:val="00527B13"/>
    <w:rsid w:val="00527DF6"/>
    <w:rsid w:val="00530095"/>
    <w:rsid w:val="00530183"/>
    <w:rsid w:val="00530578"/>
    <w:rsid w:val="00530842"/>
    <w:rsid w:val="00530940"/>
    <w:rsid w:val="005309FA"/>
    <w:rsid w:val="00530F7F"/>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10"/>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D2"/>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6A8"/>
    <w:rsid w:val="00541AD3"/>
    <w:rsid w:val="00541B36"/>
    <w:rsid w:val="00541CD1"/>
    <w:rsid w:val="00541DC9"/>
    <w:rsid w:val="00541E06"/>
    <w:rsid w:val="00541FCC"/>
    <w:rsid w:val="00542053"/>
    <w:rsid w:val="0054209A"/>
    <w:rsid w:val="005420E4"/>
    <w:rsid w:val="005421B1"/>
    <w:rsid w:val="005421CB"/>
    <w:rsid w:val="00542212"/>
    <w:rsid w:val="005423A5"/>
    <w:rsid w:val="0054284A"/>
    <w:rsid w:val="005429E1"/>
    <w:rsid w:val="00542B25"/>
    <w:rsid w:val="005433E9"/>
    <w:rsid w:val="00543555"/>
    <w:rsid w:val="0054384C"/>
    <w:rsid w:val="00543983"/>
    <w:rsid w:val="00543AC9"/>
    <w:rsid w:val="00543AE6"/>
    <w:rsid w:val="00543B25"/>
    <w:rsid w:val="00543BCD"/>
    <w:rsid w:val="00543DD7"/>
    <w:rsid w:val="00543DE6"/>
    <w:rsid w:val="00543DF4"/>
    <w:rsid w:val="00543F80"/>
    <w:rsid w:val="0054402D"/>
    <w:rsid w:val="0054419E"/>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EC"/>
    <w:rsid w:val="00551F80"/>
    <w:rsid w:val="00551FF2"/>
    <w:rsid w:val="005520ED"/>
    <w:rsid w:val="005522D2"/>
    <w:rsid w:val="005525B7"/>
    <w:rsid w:val="005526FA"/>
    <w:rsid w:val="00552768"/>
    <w:rsid w:val="00552896"/>
    <w:rsid w:val="005528D9"/>
    <w:rsid w:val="0055293A"/>
    <w:rsid w:val="00552CB0"/>
    <w:rsid w:val="005530A1"/>
    <w:rsid w:val="00553207"/>
    <w:rsid w:val="00553475"/>
    <w:rsid w:val="00553679"/>
    <w:rsid w:val="0055370A"/>
    <w:rsid w:val="0055396A"/>
    <w:rsid w:val="00553AE7"/>
    <w:rsid w:val="00553D99"/>
    <w:rsid w:val="00553E7F"/>
    <w:rsid w:val="00553E92"/>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16"/>
    <w:rsid w:val="0055642A"/>
    <w:rsid w:val="0055679D"/>
    <w:rsid w:val="005567E2"/>
    <w:rsid w:val="00556862"/>
    <w:rsid w:val="00556A67"/>
    <w:rsid w:val="00556DB7"/>
    <w:rsid w:val="00556E9E"/>
    <w:rsid w:val="005571A1"/>
    <w:rsid w:val="00557648"/>
    <w:rsid w:val="005577C4"/>
    <w:rsid w:val="00557D30"/>
    <w:rsid w:val="0056023B"/>
    <w:rsid w:val="00560344"/>
    <w:rsid w:val="005603D9"/>
    <w:rsid w:val="00560420"/>
    <w:rsid w:val="0056044E"/>
    <w:rsid w:val="0056055F"/>
    <w:rsid w:val="005606EB"/>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816"/>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B66"/>
    <w:rsid w:val="00563D54"/>
    <w:rsid w:val="00563FCF"/>
    <w:rsid w:val="005640FA"/>
    <w:rsid w:val="00564116"/>
    <w:rsid w:val="005645FC"/>
    <w:rsid w:val="005648DA"/>
    <w:rsid w:val="00564A39"/>
    <w:rsid w:val="00564A67"/>
    <w:rsid w:val="00564A93"/>
    <w:rsid w:val="00564ACB"/>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852"/>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81F"/>
    <w:rsid w:val="005808C7"/>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166"/>
    <w:rsid w:val="00584267"/>
    <w:rsid w:val="00584368"/>
    <w:rsid w:val="005845B8"/>
    <w:rsid w:val="005845EF"/>
    <w:rsid w:val="00584865"/>
    <w:rsid w:val="00584D9D"/>
    <w:rsid w:val="00584EAC"/>
    <w:rsid w:val="00585427"/>
    <w:rsid w:val="0058555E"/>
    <w:rsid w:val="0058561C"/>
    <w:rsid w:val="00585846"/>
    <w:rsid w:val="00585A59"/>
    <w:rsid w:val="00585CE1"/>
    <w:rsid w:val="00585D4C"/>
    <w:rsid w:val="00585D87"/>
    <w:rsid w:val="00585DE7"/>
    <w:rsid w:val="00585ECD"/>
    <w:rsid w:val="00585FD4"/>
    <w:rsid w:val="00586006"/>
    <w:rsid w:val="005863A7"/>
    <w:rsid w:val="005864DF"/>
    <w:rsid w:val="00586571"/>
    <w:rsid w:val="005865DE"/>
    <w:rsid w:val="005865EA"/>
    <w:rsid w:val="005866D5"/>
    <w:rsid w:val="00586D23"/>
    <w:rsid w:val="00586D58"/>
    <w:rsid w:val="00586D72"/>
    <w:rsid w:val="00586F1B"/>
    <w:rsid w:val="00587048"/>
    <w:rsid w:val="0058716D"/>
    <w:rsid w:val="0058773E"/>
    <w:rsid w:val="00587A6C"/>
    <w:rsid w:val="005900BF"/>
    <w:rsid w:val="005902D0"/>
    <w:rsid w:val="005907FE"/>
    <w:rsid w:val="00590CA6"/>
    <w:rsid w:val="00590CB2"/>
    <w:rsid w:val="00590CFA"/>
    <w:rsid w:val="00590F63"/>
    <w:rsid w:val="005915BE"/>
    <w:rsid w:val="005917C0"/>
    <w:rsid w:val="0059195C"/>
    <w:rsid w:val="005919D6"/>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A8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C2"/>
    <w:rsid w:val="005A28BE"/>
    <w:rsid w:val="005A29F7"/>
    <w:rsid w:val="005A2F44"/>
    <w:rsid w:val="005A2F45"/>
    <w:rsid w:val="005A2F85"/>
    <w:rsid w:val="005A307E"/>
    <w:rsid w:val="005A30B5"/>
    <w:rsid w:val="005A338F"/>
    <w:rsid w:val="005A36BC"/>
    <w:rsid w:val="005A37E5"/>
    <w:rsid w:val="005A3933"/>
    <w:rsid w:val="005A3B89"/>
    <w:rsid w:val="005A3DBA"/>
    <w:rsid w:val="005A3EAD"/>
    <w:rsid w:val="005A3EC6"/>
    <w:rsid w:val="005A44AE"/>
    <w:rsid w:val="005A44D3"/>
    <w:rsid w:val="005A490A"/>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ED"/>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5A7"/>
    <w:rsid w:val="005B3761"/>
    <w:rsid w:val="005B3823"/>
    <w:rsid w:val="005B39E2"/>
    <w:rsid w:val="005B3AC6"/>
    <w:rsid w:val="005B3C99"/>
    <w:rsid w:val="005B3E7B"/>
    <w:rsid w:val="005B3EFF"/>
    <w:rsid w:val="005B404D"/>
    <w:rsid w:val="005B40C9"/>
    <w:rsid w:val="005B4888"/>
    <w:rsid w:val="005B49B4"/>
    <w:rsid w:val="005B4B45"/>
    <w:rsid w:val="005B4B6C"/>
    <w:rsid w:val="005B4CB8"/>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0BD"/>
    <w:rsid w:val="005C21A6"/>
    <w:rsid w:val="005C2210"/>
    <w:rsid w:val="005C239D"/>
    <w:rsid w:val="005C2594"/>
    <w:rsid w:val="005C25B6"/>
    <w:rsid w:val="005C29AA"/>
    <w:rsid w:val="005C2B1E"/>
    <w:rsid w:val="005C2E53"/>
    <w:rsid w:val="005C3002"/>
    <w:rsid w:val="005C307B"/>
    <w:rsid w:val="005C342F"/>
    <w:rsid w:val="005C37D9"/>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6C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75A"/>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1BD"/>
    <w:rsid w:val="005E6402"/>
    <w:rsid w:val="005E6430"/>
    <w:rsid w:val="005E6457"/>
    <w:rsid w:val="005E64C2"/>
    <w:rsid w:val="005E68E9"/>
    <w:rsid w:val="005E6E35"/>
    <w:rsid w:val="005E6EB7"/>
    <w:rsid w:val="005E72AA"/>
    <w:rsid w:val="005E733F"/>
    <w:rsid w:val="005E73CA"/>
    <w:rsid w:val="005E74F8"/>
    <w:rsid w:val="005E76B5"/>
    <w:rsid w:val="005E792F"/>
    <w:rsid w:val="005E7E29"/>
    <w:rsid w:val="005F035F"/>
    <w:rsid w:val="005F0396"/>
    <w:rsid w:val="005F03BF"/>
    <w:rsid w:val="005F048D"/>
    <w:rsid w:val="005F049F"/>
    <w:rsid w:val="005F0553"/>
    <w:rsid w:val="005F0580"/>
    <w:rsid w:val="005F0801"/>
    <w:rsid w:val="005F0890"/>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2B9"/>
    <w:rsid w:val="005F52BB"/>
    <w:rsid w:val="005F579A"/>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FA"/>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27"/>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AA5"/>
    <w:rsid w:val="00615B17"/>
    <w:rsid w:val="00615E7C"/>
    <w:rsid w:val="00615FA2"/>
    <w:rsid w:val="00616057"/>
    <w:rsid w:val="0061636D"/>
    <w:rsid w:val="00616373"/>
    <w:rsid w:val="006167B1"/>
    <w:rsid w:val="006168DF"/>
    <w:rsid w:val="0061698F"/>
    <w:rsid w:val="00616A4C"/>
    <w:rsid w:val="00616B70"/>
    <w:rsid w:val="006174C4"/>
    <w:rsid w:val="00617613"/>
    <w:rsid w:val="0061776F"/>
    <w:rsid w:val="00617B36"/>
    <w:rsid w:val="00617F80"/>
    <w:rsid w:val="00620093"/>
    <w:rsid w:val="006202D7"/>
    <w:rsid w:val="006203E2"/>
    <w:rsid w:val="00620414"/>
    <w:rsid w:val="0062047E"/>
    <w:rsid w:val="0062051B"/>
    <w:rsid w:val="006206D0"/>
    <w:rsid w:val="006207AE"/>
    <w:rsid w:val="00620976"/>
    <w:rsid w:val="00620AAA"/>
    <w:rsid w:val="00620CF8"/>
    <w:rsid w:val="00620D10"/>
    <w:rsid w:val="00620E82"/>
    <w:rsid w:val="00620EC4"/>
    <w:rsid w:val="0062105C"/>
    <w:rsid w:val="00621521"/>
    <w:rsid w:val="00621625"/>
    <w:rsid w:val="0062166E"/>
    <w:rsid w:val="0062174B"/>
    <w:rsid w:val="006217B5"/>
    <w:rsid w:val="00621899"/>
    <w:rsid w:val="00621B0B"/>
    <w:rsid w:val="00621E23"/>
    <w:rsid w:val="00621F7F"/>
    <w:rsid w:val="0062200A"/>
    <w:rsid w:val="00622120"/>
    <w:rsid w:val="006222AE"/>
    <w:rsid w:val="00622343"/>
    <w:rsid w:val="0062264A"/>
    <w:rsid w:val="006229EB"/>
    <w:rsid w:val="00622B52"/>
    <w:rsid w:val="00622BC5"/>
    <w:rsid w:val="00622F60"/>
    <w:rsid w:val="00623114"/>
    <w:rsid w:val="00623180"/>
    <w:rsid w:val="0062330E"/>
    <w:rsid w:val="00623327"/>
    <w:rsid w:val="0062335C"/>
    <w:rsid w:val="006234BB"/>
    <w:rsid w:val="006236F1"/>
    <w:rsid w:val="0062380F"/>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339"/>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2BE"/>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60A"/>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05"/>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6E"/>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06"/>
    <w:rsid w:val="006527C8"/>
    <w:rsid w:val="006528E9"/>
    <w:rsid w:val="00652BB4"/>
    <w:rsid w:val="00652FC4"/>
    <w:rsid w:val="006530A5"/>
    <w:rsid w:val="00653144"/>
    <w:rsid w:val="0065319F"/>
    <w:rsid w:val="00653437"/>
    <w:rsid w:val="006534F4"/>
    <w:rsid w:val="006536C4"/>
    <w:rsid w:val="0065372C"/>
    <w:rsid w:val="00653901"/>
    <w:rsid w:val="00653C98"/>
    <w:rsid w:val="00653D89"/>
    <w:rsid w:val="00654077"/>
    <w:rsid w:val="006540F9"/>
    <w:rsid w:val="0065420C"/>
    <w:rsid w:val="006545F9"/>
    <w:rsid w:val="0065468F"/>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32"/>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04"/>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2DA"/>
    <w:rsid w:val="006723AC"/>
    <w:rsid w:val="006724BA"/>
    <w:rsid w:val="00672639"/>
    <w:rsid w:val="0067267B"/>
    <w:rsid w:val="0067288A"/>
    <w:rsid w:val="00672D2B"/>
    <w:rsid w:val="00672D84"/>
    <w:rsid w:val="00673024"/>
    <w:rsid w:val="00673288"/>
    <w:rsid w:val="00673289"/>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85"/>
    <w:rsid w:val="00676C29"/>
    <w:rsid w:val="00676E97"/>
    <w:rsid w:val="00676EA2"/>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DF4"/>
    <w:rsid w:val="00680FF0"/>
    <w:rsid w:val="0068106E"/>
    <w:rsid w:val="0068117C"/>
    <w:rsid w:val="00681216"/>
    <w:rsid w:val="006812F1"/>
    <w:rsid w:val="00681476"/>
    <w:rsid w:val="006814A7"/>
    <w:rsid w:val="006814B2"/>
    <w:rsid w:val="0068161A"/>
    <w:rsid w:val="00681630"/>
    <w:rsid w:val="006819A9"/>
    <w:rsid w:val="006819FC"/>
    <w:rsid w:val="00681C86"/>
    <w:rsid w:val="00681E57"/>
    <w:rsid w:val="0068228A"/>
    <w:rsid w:val="0068237F"/>
    <w:rsid w:val="0068240B"/>
    <w:rsid w:val="00682C75"/>
    <w:rsid w:val="00683044"/>
    <w:rsid w:val="00683238"/>
    <w:rsid w:val="0068325D"/>
    <w:rsid w:val="00683471"/>
    <w:rsid w:val="006834FA"/>
    <w:rsid w:val="00683510"/>
    <w:rsid w:val="006835A5"/>
    <w:rsid w:val="0068374C"/>
    <w:rsid w:val="006839F5"/>
    <w:rsid w:val="00683C9D"/>
    <w:rsid w:val="0068454A"/>
    <w:rsid w:val="00684A5B"/>
    <w:rsid w:val="00684ACD"/>
    <w:rsid w:val="00684B8F"/>
    <w:rsid w:val="00684FE4"/>
    <w:rsid w:val="006852EC"/>
    <w:rsid w:val="006853DA"/>
    <w:rsid w:val="00685632"/>
    <w:rsid w:val="006857C3"/>
    <w:rsid w:val="00685A09"/>
    <w:rsid w:val="00685DB2"/>
    <w:rsid w:val="00685E50"/>
    <w:rsid w:val="00685EE4"/>
    <w:rsid w:val="00685F1A"/>
    <w:rsid w:val="00685F3C"/>
    <w:rsid w:val="00685F5D"/>
    <w:rsid w:val="006862E8"/>
    <w:rsid w:val="00686668"/>
    <w:rsid w:val="0068670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A69"/>
    <w:rsid w:val="00690C47"/>
    <w:rsid w:val="00690D91"/>
    <w:rsid w:val="006910D9"/>
    <w:rsid w:val="006912C6"/>
    <w:rsid w:val="00691377"/>
    <w:rsid w:val="00691490"/>
    <w:rsid w:val="0069155C"/>
    <w:rsid w:val="006917AE"/>
    <w:rsid w:val="00691B47"/>
    <w:rsid w:val="00691B6D"/>
    <w:rsid w:val="00691C82"/>
    <w:rsid w:val="00691DEA"/>
    <w:rsid w:val="00691F17"/>
    <w:rsid w:val="0069212B"/>
    <w:rsid w:val="006922E1"/>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6DAE"/>
    <w:rsid w:val="0069714B"/>
    <w:rsid w:val="0069729C"/>
    <w:rsid w:val="00697517"/>
    <w:rsid w:val="0069769A"/>
    <w:rsid w:val="006977F0"/>
    <w:rsid w:val="006979DB"/>
    <w:rsid w:val="00697E29"/>
    <w:rsid w:val="00697F7C"/>
    <w:rsid w:val="006A007C"/>
    <w:rsid w:val="006A015B"/>
    <w:rsid w:val="006A01B6"/>
    <w:rsid w:val="006A0217"/>
    <w:rsid w:val="006A0343"/>
    <w:rsid w:val="006A0563"/>
    <w:rsid w:val="006A05C5"/>
    <w:rsid w:val="006A05E1"/>
    <w:rsid w:val="006A06F9"/>
    <w:rsid w:val="006A0713"/>
    <w:rsid w:val="006A0896"/>
    <w:rsid w:val="006A0D1A"/>
    <w:rsid w:val="006A121A"/>
    <w:rsid w:val="006A13C9"/>
    <w:rsid w:val="006A15AB"/>
    <w:rsid w:val="006A1BDA"/>
    <w:rsid w:val="006A1D19"/>
    <w:rsid w:val="006A1F50"/>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1D"/>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6DC0"/>
    <w:rsid w:val="006B728E"/>
    <w:rsid w:val="006B7548"/>
    <w:rsid w:val="006B7AB6"/>
    <w:rsid w:val="006B7B20"/>
    <w:rsid w:val="006B7CB2"/>
    <w:rsid w:val="006B7DFB"/>
    <w:rsid w:val="006B7FA1"/>
    <w:rsid w:val="006C0012"/>
    <w:rsid w:val="006C0046"/>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A6"/>
    <w:rsid w:val="006C42C2"/>
    <w:rsid w:val="006C44AB"/>
    <w:rsid w:val="006C44F0"/>
    <w:rsid w:val="006C453E"/>
    <w:rsid w:val="006C4872"/>
    <w:rsid w:val="006C4895"/>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107"/>
    <w:rsid w:val="006E0388"/>
    <w:rsid w:val="006E03F6"/>
    <w:rsid w:val="006E0413"/>
    <w:rsid w:val="006E056A"/>
    <w:rsid w:val="006E05F2"/>
    <w:rsid w:val="006E080B"/>
    <w:rsid w:val="006E0A1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EDE"/>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356"/>
    <w:rsid w:val="006F6549"/>
    <w:rsid w:val="006F679E"/>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85"/>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4A4"/>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67C"/>
    <w:rsid w:val="007049F8"/>
    <w:rsid w:val="00704A5A"/>
    <w:rsid w:val="00704D75"/>
    <w:rsid w:val="00704DAD"/>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6EC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EE1"/>
    <w:rsid w:val="00712139"/>
    <w:rsid w:val="007123E6"/>
    <w:rsid w:val="00712485"/>
    <w:rsid w:val="00712646"/>
    <w:rsid w:val="0071286D"/>
    <w:rsid w:val="00712958"/>
    <w:rsid w:val="00712B26"/>
    <w:rsid w:val="00712C92"/>
    <w:rsid w:val="00712CAC"/>
    <w:rsid w:val="00712D21"/>
    <w:rsid w:val="00712E96"/>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5F06"/>
    <w:rsid w:val="007160C7"/>
    <w:rsid w:val="007163C0"/>
    <w:rsid w:val="0071645E"/>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C7B"/>
    <w:rsid w:val="00724DC4"/>
    <w:rsid w:val="00724EFD"/>
    <w:rsid w:val="00725050"/>
    <w:rsid w:val="007252FC"/>
    <w:rsid w:val="007253BD"/>
    <w:rsid w:val="00725452"/>
    <w:rsid w:val="00725531"/>
    <w:rsid w:val="00725820"/>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2E1"/>
    <w:rsid w:val="00727480"/>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82"/>
    <w:rsid w:val="007315B1"/>
    <w:rsid w:val="00731615"/>
    <w:rsid w:val="007316A1"/>
    <w:rsid w:val="00731A45"/>
    <w:rsid w:val="00731A7C"/>
    <w:rsid w:val="00731C3C"/>
    <w:rsid w:val="00731D06"/>
    <w:rsid w:val="00731D9B"/>
    <w:rsid w:val="00731EF3"/>
    <w:rsid w:val="00732414"/>
    <w:rsid w:val="007325A8"/>
    <w:rsid w:val="007327A2"/>
    <w:rsid w:val="00732C13"/>
    <w:rsid w:val="00732C22"/>
    <w:rsid w:val="00732C39"/>
    <w:rsid w:val="00732DFF"/>
    <w:rsid w:val="00732E65"/>
    <w:rsid w:val="00732FE9"/>
    <w:rsid w:val="00733064"/>
    <w:rsid w:val="007330A1"/>
    <w:rsid w:val="00733669"/>
    <w:rsid w:val="00733947"/>
    <w:rsid w:val="00733B74"/>
    <w:rsid w:val="00733CA9"/>
    <w:rsid w:val="00733D1D"/>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89C"/>
    <w:rsid w:val="00735A94"/>
    <w:rsid w:val="00735E0B"/>
    <w:rsid w:val="00735EA0"/>
    <w:rsid w:val="00735F71"/>
    <w:rsid w:val="0073627D"/>
    <w:rsid w:val="00736331"/>
    <w:rsid w:val="00736661"/>
    <w:rsid w:val="00736790"/>
    <w:rsid w:val="007367D4"/>
    <w:rsid w:val="00736826"/>
    <w:rsid w:val="00736AD8"/>
    <w:rsid w:val="00736AEB"/>
    <w:rsid w:val="00736B5D"/>
    <w:rsid w:val="00736C50"/>
    <w:rsid w:val="00736F40"/>
    <w:rsid w:val="00736FFC"/>
    <w:rsid w:val="007370C5"/>
    <w:rsid w:val="007370CD"/>
    <w:rsid w:val="00737278"/>
    <w:rsid w:val="007372F9"/>
    <w:rsid w:val="00737565"/>
    <w:rsid w:val="0073768A"/>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5B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49"/>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69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DB"/>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DFD"/>
    <w:rsid w:val="00770F07"/>
    <w:rsid w:val="00770FA9"/>
    <w:rsid w:val="007712FD"/>
    <w:rsid w:val="00771A53"/>
    <w:rsid w:val="00771AAB"/>
    <w:rsid w:val="00771CDE"/>
    <w:rsid w:val="00772046"/>
    <w:rsid w:val="007723D6"/>
    <w:rsid w:val="0077248E"/>
    <w:rsid w:val="007728B1"/>
    <w:rsid w:val="007729C5"/>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79E"/>
    <w:rsid w:val="0077684E"/>
    <w:rsid w:val="00776A7F"/>
    <w:rsid w:val="00776F56"/>
    <w:rsid w:val="00777025"/>
    <w:rsid w:val="0077709D"/>
    <w:rsid w:val="007772F6"/>
    <w:rsid w:val="00777313"/>
    <w:rsid w:val="00777521"/>
    <w:rsid w:val="00777532"/>
    <w:rsid w:val="00777A7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230"/>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95"/>
    <w:rsid w:val="007867C5"/>
    <w:rsid w:val="00786805"/>
    <w:rsid w:val="007869C7"/>
    <w:rsid w:val="00786D45"/>
    <w:rsid w:val="00786F79"/>
    <w:rsid w:val="007872AA"/>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E3"/>
    <w:rsid w:val="0079092E"/>
    <w:rsid w:val="0079098E"/>
    <w:rsid w:val="00790A77"/>
    <w:rsid w:val="00790AE0"/>
    <w:rsid w:val="00790CC5"/>
    <w:rsid w:val="00790CEA"/>
    <w:rsid w:val="00790E54"/>
    <w:rsid w:val="00790EDE"/>
    <w:rsid w:val="00790FCA"/>
    <w:rsid w:val="00791162"/>
    <w:rsid w:val="00791637"/>
    <w:rsid w:val="007917BA"/>
    <w:rsid w:val="00791B18"/>
    <w:rsid w:val="00791C41"/>
    <w:rsid w:val="00791CCB"/>
    <w:rsid w:val="00791D9E"/>
    <w:rsid w:val="00791E00"/>
    <w:rsid w:val="0079278D"/>
    <w:rsid w:val="00793436"/>
    <w:rsid w:val="00793493"/>
    <w:rsid w:val="0079367E"/>
    <w:rsid w:val="0079376A"/>
    <w:rsid w:val="007939D8"/>
    <w:rsid w:val="00793BCF"/>
    <w:rsid w:val="00793CAB"/>
    <w:rsid w:val="00793CD1"/>
    <w:rsid w:val="00793CE3"/>
    <w:rsid w:val="00793F4C"/>
    <w:rsid w:val="00794010"/>
    <w:rsid w:val="0079405E"/>
    <w:rsid w:val="00794785"/>
    <w:rsid w:val="007948BF"/>
    <w:rsid w:val="00794928"/>
    <w:rsid w:val="007949E2"/>
    <w:rsid w:val="00794A06"/>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08"/>
    <w:rsid w:val="007961C9"/>
    <w:rsid w:val="00796337"/>
    <w:rsid w:val="00796383"/>
    <w:rsid w:val="007964B2"/>
    <w:rsid w:val="007964DB"/>
    <w:rsid w:val="007966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19"/>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7"/>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E0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55"/>
    <w:rsid w:val="007B1F40"/>
    <w:rsid w:val="007B1F4D"/>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2"/>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4F5"/>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49"/>
    <w:rsid w:val="007C3FBD"/>
    <w:rsid w:val="007C4052"/>
    <w:rsid w:val="007C40FE"/>
    <w:rsid w:val="007C41F3"/>
    <w:rsid w:val="007C4266"/>
    <w:rsid w:val="007C4308"/>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D8"/>
    <w:rsid w:val="007D67D4"/>
    <w:rsid w:val="007D67D5"/>
    <w:rsid w:val="007D6A25"/>
    <w:rsid w:val="007D6ADF"/>
    <w:rsid w:val="007D6EB6"/>
    <w:rsid w:val="007D7001"/>
    <w:rsid w:val="007D76B6"/>
    <w:rsid w:val="007D7717"/>
    <w:rsid w:val="007D7A89"/>
    <w:rsid w:val="007D7B16"/>
    <w:rsid w:val="007D7C51"/>
    <w:rsid w:val="007D7CCE"/>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CD"/>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EC"/>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751"/>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58E"/>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6"/>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04"/>
    <w:rsid w:val="00805D99"/>
    <w:rsid w:val="0080611C"/>
    <w:rsid w:val="008061FF"/>
    <w:rsid w:val="00806318"/>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1EF"/>
    <w:rsid w:val="0081276C"/>
    <w:rsid w:val="008127FA"/>
    <w:rsid w:val="00812CCF"/>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8E5"/>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924"/>
    <w:rsid w:val="00820AB3"/>
    <w:rsid w:val="00821209"/>
    <w:rsid w:val="00821281"/>
    <w:rsid w:val="00821348"/>
    <w:rsid w:val="00821370"/>
    <w:rsid w:val="008214FC"/>
    <w:rsid w:val="0082174C"/>
    <w:rsid w:val="00821753"/>
    <w:rsid w:val="008218B4"/>
    <w:rsid w:val="008218F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4E9"/>
    <w:rsid w:val="008247AE"/>
    <w:rsid w:val="008247BC"/>
    <w:rsid w:val="008247F4"/>
    <w:rsid w:val="00824892"/>
    <w:rsid w:val="00824C43"/>
    <w:rsid w:val="00824CC9"/>
    <w:rsid w:val="00824F74"/>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6FEC"/>
    <w:rsid w:val="0082700E"/>
    <w:rsid w:val="008270A9"/>
    <w:rsid w:val="00827320"/>
    <w:rsid w:val="00827366"/>
    <w:rsid w:val="008273DE"/>
    <w:rsid w:val="008274CC"/>
    <w:rsid w:val="008276BE"/>
    <w:rsid w:val="00827F5D"/>
    <w:rsid w:val="008300DC"/>
    <w:rsid w:val="00830300"/>
    <w:rsid w:val="00830397"/>
    <w:rsid w:val="00830623"/>
    <w:rsid w:val="0083090B"/>
    <w:rsid w:val="00830A8F"/>
    <w:rsid w:val="00830C2B"/>
    <w:rsid w:val="0083123C"/>
    <w:rsid w:val="008312B0"/>
    <w:rsid w:val="008313E5"/>
    <w:rsid w:val="00831400"/>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AFA"/>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0C2"/>
    <w:rsid w:val="0084226B"/>
    <w:rsid w:val="00842291"/>
    <w:rsid w:val="008424D2"/>
    <w:rsid w:val="0084260F"/>
    <w:rsid w:val="00842611"/>
    <w:rsid w:val="00842842"/>
    <w:rsid w:val="00842988"/>
    <w:rsid w:val="00842EB4"/>
    <w:rsid w:val="00843072"/>
    <w:rsid w:val="00843248"/>
    <w:rsid w:val="008433FD"/>
    <w:rsid w:val="008434E0"/>
    <w:rsid w:val="00843564"/>
    <w:rsid w:val="008436DB"/>
    <w:rsid w:val="00843C1B"/>
    <w:rsid w:val="00843FB9"/>
    <w:rsid w:val="0084415C"/>
    <w:rsid w:val="00844428"/>
    <w:rsid w:val="00844542"/>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D3"/>
    <w:rsid w:val="008471E4"/>
    <w:rsid w:val="0084720A"/>
    <w:rsid w:val="008472A7"/>
    <w:rsid w:val="0084749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7D1"/>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1C5"/>
    <w:rsid w:val="008622FF"/>
    <w:rsid w:val="0086238D"/>
    <w:rsid w:val="00862479"/>
    <w:rsid w:val="008625A1"/>
    <w:rsid w:val="008625B6"/>
    <w:rsid w:val="008626CC"/>
    <w:rsid w:val="008627F4"/>
    <w:rsid w:val="008628E9"/>
    <w:rsid w:val="00862AC5"/>
    <w:rsid w:val="00862B0F"/>
    <w:rsid w:val="00862B1B"/>
    <w:rsid w:val="00862C8A"/>
    <w:rsid w:val="00862CB3"/>
    <w:rsid w:val="00862F19"/>
    <w:rsid w:val="008632F5"/>
    <w:rsid w:val="008633A2"/>
    <w:rsid w:val="008634F7"/>
    <w:rsid w:val="008638CC"/>
    <w:rsid w:val="00863B37"/>
    <w:rsid w:val="00863BBD"/>
    <w:rsid w:val="00863C9D"/>
    <w:rsid w:val="008645B9"/>
    <w:rsid w:val="00864762"/>
    <w:rsid w:val="008647B1"/>
    <w:rsid w:val="00864C3E"/>
    <w:rsid w:val="00864D1E"/>
    <w:rsid w:val="00864E70"/>
    <w:rsid w:val="00865414"/>
    <w:rsid w:val="008654E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88"/>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149"/>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4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353"/>
    <w:rsid w:val="00877441"/>
    <w:rsid w:val="00877604"/>
    <w:rsid w:val="00877672"/>
    <w:rsid w:val="00877694"/>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448"/>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00"/>
    <w:rsid w:val="00885D46"/>
    <w:rsid w:val="00885D73"/>
    <w:rsid w:val="00885EB7"/>
    <w:rsid w:val="00885F02"/>
    <w:rsid w:val="00885F8D"/>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C1"/>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3CB"/>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347"/>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20"/>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71B"/>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2F74"/>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83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E8"/>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895"/>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3C"/>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921"/>
    <w:rsid w:val="008D2A8B"/>
    <w:rsid w:val="008D2CC8"/>
    <w:rsid w:val="008D2E4C"/>
    <w:rsid w:val="008D2F10"/>
    <w:rsid w:val="008D33F2"/>
    <w:rsid w:val="008D3421"/>
    <w:rsid w:val="008D365B"/>
    <w:rsid w:val="008D373D"/>
    <w:rsid w:val="008D3761"/>
    <w:rsid w:val="008D37EB"/>
    <w:rsid w:val="008D3907"/>
    <w:rsid w:val="008D3A00"/>
    <w:rsid w:val="008D3E2A"/>
    <w:rsid w:val="008D4060"/>
    <w:rsid w:val="008D41A9"/>
    <w:rsid w:val="008D41EF"/>
    <w:rsid w:val="008D431C"/>
    <w:rsid w:val="008D434C"/>
    <w:rsid w:val="008D45B9"/>
    <w:rsid w:val="008D45DB"/>
    <w:rsid w:val="008D4972"/>
    <w:rsid w:val="008D4C14"/>
    <w:rsid w:val="008D4C2C"/>
    <w:rsid w:val="008D4D0E"/>
    <w:rsid w:val="008D4EE8"/>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3DA2"/>
    <w:rsid w:val="008E4046"/>
    <w:rsid w:val="008E4154"/>
    <w:rsid w:val="008E41CA"/>
    <w:rsid w:val="008E4234"/>
    <w:rsid w:val="008E4366"/>
    <w:rsid w:val="008E43BE"/>
    <w:rsid w:val="008E4482"/>
    <w:rsid w:val="008E4484"/>
    <w:rsid w:val="008E44B7"/>
    <w:rsid w:val="008E4606"/>
    <w:rsid w:val="008E46E1"/>
    <w:rsid w:val="008E4DFB"/>
    <w:rsid w:val="008E5011"/>
    <w:rsid w:val="008E512B"/>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5E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E4"/>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99A"/>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8"/>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18"/>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1B7"/>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BFB"/>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894"/>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16B"/>
    <w:rsid w:val="0093422D"/>
    <w:rsid w:val="00934323"/>
    <w:rsid w:val="009348F4"/>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48"/>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A1"/>
    <w:rsid w:val="00940AEC"/>
    <w:rsid w:val="00940B98"/>
    <w:rsid w:val="00940BB6"/>
    <w:rsid w:val="00940BF4"/>
    <w:rsid w:val="00940C98"/>
    <w:rsid w:val="00940E8E"/>
    <w:rsid w:val="00941040"/>
    <w:rsid w:val="0094119E"/>
    <w:rsid w:val="009414F8"/>
    <w:rsid w:val="00941540"/>
    <w:rsid w:val="00941581"/>
    <w:rsid w:val="00941795"/>
    <w:rsid w:val="00941904"/>
    <w:rsid w:val="00941BB2"/>
    <w:rsid w:val="00942284"/>
    <w:rsid w:val="009425D3"/>
    <w:rsid w:val="009426FB"/>
    <w:rsid w:val="009427D6"/>
    <w:rsid w:val="00942892"/>
    <w:rsid w:val="00942A0D"/>
    <w:rsid w:val="00943170"/>
    <w:rsid w:val="009431E8"/>
    <w:rsid w:val="00943325"/>
    <w:rsid w:val="009436D4"/>
    <w:rsid w:val="0094371D"/>
    <w:rsid w:val="00943A66"/>
    <w:rsid w:val="00943C2C"/>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32"/>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D9C"/>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95B"/>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41"/>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C"/>
    <w:rsid w:val="00966A2D"/>
    <w:rsid w:val="00966AA7"/>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E78"/>
    <w:rsid w:val="009745EE"/>
    <w:rsid w:val="00974744"/>
    <w:rsid w:val="0097476F"/>
    <w:rsid w:val="0097481B"/>
    <w:rsid w:val="009748BF"/>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3D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4A2"/>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592"/>
    <w:rsid w:val="009846CB"/>
    <w:rsid w:val="00984798"/>
    <w:rsid w:val="00984B72"/>
    <w:rsid w:val="00984D78"/>
    <w:rsid w:val="00984DB4"/>
    <w:rsid w:val="0098566D"/>
    <w:rsid w:val="00985747"/>
    <w:rsid w:val="00985935"/>
    <w:rsid w:val="009859F8"/>
    <w:rsid w:val="00985CDA"/>
    <w:rsid w:val="00986219"/>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4F"/>
    <w:rsid w:val="00994FD4"/>
    <w:rsid w:val="00995304"/>
    <w:rsid w:val="00995431"/>
    <w:rsid w:val="009955C8"/>
    <w:rsid w:val="00995606"/>
    <w:rsid w:val="009956B6"/>
    <w:rsid w:val="0099573D"/>
    <w:rsid w:val="009958F2"/>
    <w:rsid w:val="0099592B"/>
    <w:rsid w:val="00995CA2"/>
    <w:rsid w:val="00995D76"/>
    <w:rsid w:val="00995DA0"/>
    <w:rsid w:val="00995E4A"/>
    <w:rsid w:val="00995E7B"/>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A6F"/>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99"/>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967"/>
    <w:rsid w:val="009A7D7B"/>
    <w:rsid w:val="009A7E4A"/>
    <w:rsid w:val="009A7E5E"/>
    <w:rsid w:val="009B0014"/>
    <w:rsid w:val="009B0059"/>
    <w:rsid w:val="009B017F"/>
    <w:rsid w:val="009B03C2"/>
    <w:rsid w:val="009B04AB"/>
    <w:rsid w:val="009B084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CDA"/>
    <w:rsid w:val="009C1D81"/>
    <w:rsid w:val="009C1D8C"/>
    <w:rsid w:val="009C1FBB"/>
    <w:rsid w:val="009C1FCE"/>
    <w:rsid w:val="009C2579"/>
    <w:rsid w:val="009C25D7"/>
    <w:rsid w:val="009C2819"/>
    <w:rsid w:val="009C2AD3"/>
    <w:rsid w:val="009C2D39"/>
    <w:rsid w:val="009C2E42"/>
    <w:rsid w:val="009C3097"/>
    <w:rsid w:val="009C328F"/>
    <w:rsid w:val="009C32A3"/>
    <w:rsid w:val="009C339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D98"/>
    <w:rsid w:val="009C504B"/>
    <w:rsid w:val="009C512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C7D1E"/>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1D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194"/>
    <w:rsid w:val="009E0197"/>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25"/>
    <w:rsid w:val="009E568E"/>
    <w:rsid w:val="009E56FE"/>
    <w:rsid w:val="009E5C9C"/>
    <w:rsid w:val="009E5DAC"/>
    <w:rsid w:val="009E5E80"/>
    <w:rsid w:val="009E5E96"/>
    <w:rsid w:val="009E5EDD"/>
    <w:rsid w:val="009E5FEB"/>
    <w:rsid w:val="009E6181"/>
    <w:rsid w:val="009E6204"/>
    <w:rsid w:val="009E634C"/>
    <w:rsid w:val="009E63CD"/>
    <w:rsid w:val="009E640D"/>
    <w:rsid w:val="009E6783"/>
    <w:rsid w:val="009E688E"/>
    <w:rsid w:val="009E6919"/>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097"/>
    <w:rsid w:val="009F423F"/>
    <w:rsid w:val="009F4244"/>
    <w:rsid w:val="009F4260"/>
    <w:rsid w:val="009F4304"/>
    <w:rsid w:val="009F445E"/>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0E8"/>
    <w:rsid w:val="009F6157"/>
    <w:rsid w:val="009F62E7"/>
    <w:rsid w:val="009F6691"/>
    <w:rsid w:val="009F6825"/>
    <w:rsid w:val="009F6847"/>
    <w:rsid w:val="009F6931"/>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C0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26"/>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AC"/>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9B6"/>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A85"/>
    <w:rsid w:val="00A24C6C"/>
    <w:rsid w:val="00A24E28"/>
    <w:rsid w:val="00A24F20"/>
    <w:rsid w:val="00A24FE5"/>
    <w:rsid w:val="00A25135"/>
    <w:rsid w:val="00A25204"/>
    <w:rsid w:val="00A25242"/>
    <w:rsid w:val="00A252ED"/>
    <w:rsid w:val="00A256F5"/>
    <w:rsid w:val="00A2590B"/>
    <w:rsid w:val="00A25C40"/>
    <w:rsid w:val="00A25DAE"/>
    <w:rsid w:val="00A25F08"/>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4EB"/>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D3D"/>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92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023"/>
    <w:rsid w:val="00A41273"/>
    <w:rsid w:val="00A415E6"/>
    <w:rsid w:val="00A41676"/>
    <w:rsid w:val="00A4189F"/>
    <w:rsid w:val="00A41AB4"/>
    <w:rsid w:val="00A41D6D"/>
    <w:rsid w:val="00A41EFA"/>
    <w:rsid w:val="00A423A2"/>
    <w:rsid w:val="00A4243C"/>
    <w:rsid w:val="00A42485"/>
    <w:rsid w:val="00A42623"/>
    <w:rsid w:val="00A429E7"/>
    <w:rsid w:val="00A42A55"/>
    <w:rsid w:val="00A42F86"/>
    <w:rsid w:val="00A430CA"/>
    <w:rsid w:val="00A430F4"/>
    <w:rsid w:val="00A431DF"/>
    <w:rsid w:val="00A43234"/>
    <w:rsid w:val="00A43333"/>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BE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4F"/>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44D"/>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E0"/>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7"/>
    <w:rsid w:val="00A7414D"/>
    <w:rsid w:val="00A74165"/>
    <w:rsid w:val="00A744AA"/>
    <w:rsid w:val="00A7452B"/>
    <w:rsid w:val="00A74567"/>
    <w:rsid w:val="00A746CD"/>
    <w:rsid w:val="00A746E1"/>
    <w:rsid w:val="00A74BB8"/>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36"/>
    <w:rsid w:val="00A77993"/>
    <w:rsid w:val="00A80272"/>
    <w:rsid w:val="00A804D4"/>
    <w:rsid w:val="00A805DE"/>
    <w:rsid w:val="00A807C4"/>
    <w:rsid w:val="00A80976"/>
    <w:rsid w:val="00A809FD"/>
    <w:rsid w:val="00A80D5E"/>
    <w:rsid w:val="00A80D6F"/>
    <w:rsid w:val="00A81355"/>
    <w:rsid w:val="00A8147F"/>
    <w:rsid w:val="00A81590"/>
    <w:rsid w:val="00A81693"/>
    <w:rsid w:val="00A81825"/>
    <w:rsid w:val="00A819B1"/>
    <w:rsid w:val="00A81B0F"/>
    <w:rsid w:val="00A81C5F"/>
    <w:rsid w:val="00A81CA7"/>
    <w:rsid w:val="00A81D0F"/>
    <w:rsid w:val="00A8209D"/>
    <w:rsid w:val="00A8219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09"/>
    <w:rsid w:val="00A83CF5"/>
    <w:rsid w:val="00A83E61"/>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697"/>
    <w:rsid w:val="00A9174A"/>
    <w:rsid w:val="00A91A1C"/>
    <w:rsid w:val="00A91ACD"/>
    <w:rsid w:val="00A91EDF"/>
    <w:rsid w:val="00A91FF9"/>
    <w:rsid w:val="00A92347"/>
    <w:rsid w:val="00A92407"/>
    <w:rsid w:val="00A9253B"/>
    <w:rsid w:val="00A925F3"/>
    <w:rsid w:val="00A926CB"/>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EB5"/>
    <w:rsid w:val="00A96F1A"/>
    <w:rsid w:val="00A97116"/>
    <w:rsid w:val="00A9715D"/>
    <w:rsid w:val="00A97182"/>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0FB"/>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3B"/>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D0E"/>
    <w:rsid w:val="00AB2E6E"/>
    <w:rsid w:val="00AB2EC7"/>
    <w:rsid w:val="00AB2FA7"/>
    <w:rsid w:val="00AB303F"/>
    <w:rsid w:val="00AB3097"/>
    <w:rsid w:val="00AB3197"/>
    <w:rsid w:val="00AB31EB"/>
    <w:rsid w:val="00AB32D3"/>
    <w:rsid w:val="00AB338F"/>
    <w:rsid w:val="00AB348C"/>
    <w:rsid w:val="00AB34BD"/>
    <w:rsid w:val="00AB3566"/>
    <w:rsid w:val="00AB38F7"/>
    <w:rsid w:val="00AB393B"/>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6C"/>
    <w:rsid w:val="00AB69CE"/>
    <w:rsid w:val="00AB6B08"/>
    <w:rsid w:val="00AB6B2B"/>
    <w:rsid w:val="00AB72AD"/>
    <w:rsid w:val="00AB76E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9A"/>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3C4"/>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E56"/>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4D"/>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4B"/>
    <w:rsid w:val="00AE2C2B"/>
    <w:rsid w:val="00AE3058"/>
    <w:rsid w:val="00AE3310"/>
    <w:rsid w:val="00AE354F"/>
    <w:rsid w:val="00AE37A1"/>
    <w:rsid w:val="00AE3956"/>
    <w:rsid w:val="00AE3A4F"/>
    <w:rsid w:val="00AE3D5E"/>
    <w:rsid w:val="00AE3D85"/>
    <w:rsid w:val="00AE41EF"/>
    <w:rsid w:val="00AE4703"/>
    <w:rsid w:val="00AE47E0"/>
    <w:rsid w:val="00AE4BF3"/>
    <w:rsid w:val="00AE4C0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E6"/>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B4"/>
    <w:rsid w:val="00AE7BC9"/>
    <w:rsid w:val="00AE7D10"/>
    <w:rsid w:val="00AE7EB8"/>
    <w:rsid w:val="00AE7EF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21C"/>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3E05"/>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918"/>
    <w:rsid w:val="00B02BFB"/>
    <w:rsid w:val="00B030F8"/>
    <w:rsid w:val="00B03106"/>
    <w:rsid w:val="00B03253"/>
    <w:rsid w:val="00B0332F"/>
    <w:rsid w:val="00B03895"/>
    <w:rsid w:val="00B03904"/>
    <w:rsid w:val="00B03A5D"/>
    <w:rsid w:val="00B03AC9"/>
    <w:rsid w:val="00B03B4C"/>
    <w:rsid w:val="00B03B56"/>
    <w:rsid w:val="00B03B9A"/>
    <w:rsid w:val="00B03FE9"/>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9F7"/>
    <w:rsid w:val="00B05CA0"/>
    <w:rsid w:val="00B05CE8"/>
    <w:rsid w:val="00B0601D"/>
    <w:rsid w:val="00B061B2"/>
    <w:rsid w:val="00B063D3"/>
    <w:rsid w:val="00B06C7B"/>
    <w:rsid w:val="00B06D28"/>
    <w:rsid w:val="00B06D9A"/>
    <w:rsid w:val="00B06DB4"/>
    <w:rsid w:val="00B06EB7"/>
    <w:rsid w:val="00B070B0"/>
    <w:rsid w:val="00B070CE"/>
    <w:rsid w:val="00B073F0"/>
    <w:rsid w:val="00B07756"/>
    <w:rsid w:val="00B07799"/>
    <w:rsid w:val="00B07D77"/>
    <w:rsid w:val="00B1041B"/>
    <w:rsid w:val="00B10616"/>
    <w:rsid w:val="00B10629"/>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B93"/>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DF2"/>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2B3"/>
    <w:rsid w:val="00B27349"/>
    <w:rsid w:val="00B27586"/>
    <w:rsid w:val="00B2775D"/>
    <w:rsid w:val="00B279A8"/>
    <w:rsid w:val="00B27C91"/>
    <w:rsid w:val="00B27E12"/>
    <w:rsid w:val="00B30180"/>
    <w:rsid w:val="00B30817"/>
    <w:rsid w:val="00B3086D"/>
    <w:rsid w:val="00B308F0"/>
    <w:rsid w:val="00B30920"/>
    <w:rsid w:val="00B30972"/>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ACD"/>
    <w:rsid w:val="00B32BB0"/>
    <w:rsid w:val="00B33185"/>
    <w:rsid w:val="00B33196"/>
    <w:rsid w:val="00B331B4"/>
    <w:rsid w:val="00B33270"/>
    <w:rsid w:val="00B3334F"/>
    <w:rsid w:val="00B33388"/>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4D"/>
    <w:rsid w:val="00B4319D"/>
    <w:rsid w:val="00B43E2F"/>
    <w:rsid w:val="00B44310"/>
    <w:rsid w:val="00B443C7"/>
    <w:rsid w:val="00B44697"/>
    <w:rsid w:val="00B446B0"/>
    <w:rsid w:val="00B446CA"/>
    <w:rsid w:val="00B447CE"/>
    <w:rsid w:val="00B447D6"/>
    <w:rsid w:val="00B4488D"/>
    <w:rsid w:val="00B449E8"/>
    <w:rsid w:val="00B44A00"/>
    <w:rsid w:val="00B44A4E"/>
    <w:rsid w:val="00B44AAD"/>
    <w:rsid w:val="00B44D2A"/>
    <w:rsid w:val="00B44F0C"/>
    <w:rsid w:val="00B45037"/>
    <w:rsid w:val="00B4536F"/>
    <w:rsid w:val="00B453FF"/>
    <w:rsid w:val="00B45BB7"/>
    <w:rsid w:val="00B45F88"/>
    <w:rsid w:val="00B4604D"/>
    <w:rsid w:val="00B46080"/>
    <w:rsid w:val="00B461B6"/>
    <w:rsid w:val="00B463FF"/>
    <w:rsid w:val="00B46483"/>
    <w:rsid w:val="00B464EF"/>
    <w:rsid w:val="00B4662E"/>
    <w:rsid w:val="00B466E4"/>
    <w:rsid w:val="00B4682D"/>
    <w:rsid w:val="00B46989"/>
    <w:rsid w:val="00B46CAE"/>
    <w:rsid w:val="00B46D87"/>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2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90A"/>
    <w:rsid w:val="00B57A5C"/>
    <w:rsid w:val="00B57DA4"/>
    <w:rsid w:val="00B57DFA"/>
    <w:rsid w:val="00B60168"/>
    <w:rsid w:val="00B60531"/>
    <w:rsid w:val="00B605F5"/>
    <w:rsid w:val="00B606D8"/>
    <w:rsid w:val="00B60720"/>
    <w:rsid w:val="00B60884"/>
    <w:rsid w:val="00B609CF"/>
    <w:rsid w:val="00B60B94"/>
    <w:rsid w:val="00B60D77"/>
    <w:rsid w:val="00B60E39"/>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83"/>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AE0"/>
    <w:rsid w:val="00B66C15"/>
    <w:rsid w:val="00B66F68"/>
    <w:rsid w:val="00B67187"/>
    <w:rsid w:val="00B6733A"/>
    <w:rsid w:val="00B6766B"/>
    <w:rsid w:val="00B67681"/>
    <w:rsid w:val="00B67741"/>
    <w:rsid w:val="00B6789A"/>
    <w:rsid w:val="00B67A47"/>
    <w:rsid w:val="00B67B72"/>
    <w:rsid w:val="00B67D2D"/>
    <w:rsid w:val="00B67FAD"/>
    <w:rsid w:val="00B7022A"/>
    <w:rsid w:val="00B7048E"/>
    <w:rsid w:val="00B705FC"/>
    <w:rsid w:val="00B70771"/>
    <w:rsid w:val="00B709B3"/>
    <w:rsid w:val="00B7108D"/>
    <w:rsid w:val="00B71188"/>
    <w:rsid w:val="00B71267"/>
    <w:rsid w:val="00B714AC"/>
    <w:rsid w:val="00B7153E"/>
    <w:rsid w:val="00B71628"/>
    <w:rsid w:val="00B716A9"/>
    <w:rsid w:val="00B71770"/>
    <w:rsid w:val="00B71881"/>
    <w:rsid w:val="00B71BFD"/>
    <w:rsid w:val="00B7217B"/>
    <w:rsid w:val="00B721D9"/>
    <w:rsid w:val="00B7226F"/>
    <w:rsid w:val="00B72295"/>
    <w:rsid w:val="00B725C9"/>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930"/>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09"/>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CFD"/>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CA"/>
    <w:rsid w:val="00B94CD2"/>
    <w:rsid w:val="00B95341"/>
    <w:rsid w:val="00B9536A"/>
    <w:rsid w:val="00B953FA"/>
    <w:rsid w:val="00B9553F"/>
    <w:rsid w:val="00B95AB0"/>
    <w:rsid w:val="00B95C70"/>
    <w:rsid w:val="00B95D79"/>
    <w:rsid w:val="00B95DBF"/>
    <w:rsid w:val="00B95E24"/>
    <w:rsid w:val="00B95F75"/>
    <w:rsid w:val="00B96224"/>
    <w:rsid w:val="00B9626C"/>
    <w:rsid w:val="00B962F3"/>
    <w:rsid w:val="00B96418"/>
    <w:rsid w:val="00B9649D"/>
    <w:rsid w:val="00B96C70"/>
    <w:rsid w:val="00B96D23"/>
    <w:rsid w:val="00B96D4F"/>
    <w:rsid w:val="00B96D54"/>
    <w:rsid w:val="00B96ED9"/>
    <w:rsid w:val="00B97104"/>
    <w:rsid w:val="00B977B6"/>
    <w:rsid w:val="00B977E1"/>
    <w:rsid w:val="00B97934"/>
    <w:rsid w:val="00B97A1F"/>
    <w:rsid w:val="00B97A26"/>
    <w:rsid w:val="00B97A7A"/>
    <w:rsid w:val="00B97D6A"/>
    <w:rsid w:val="00B97D76"/>
    <w:rsid w:val="00B97E31"/>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CF7"/>
    <w:rsid w:val="00BA1DA0"/>
    <w:rsid w:val="00BA1DF1"/>
    <w:rsid w:val="00BA1F19"/>
    <w:rsid w:val="00BA1FBE"/>
    <w:rsid w:val="00BA20CC"/>
    <w:rsid w:val="00BA23F6"/>
    <w:rsid w:val="00BA242D"/>
    <w:rsid w:val="00BA246A"/>
    <w:rsid w:val="00BA27FC"/>
    <w:rsid w:val="00BA2AB7"/>
    <w:rsid w:val="00BA2E5B"/>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78E"/>
    <w:rsid w:val="00BA6B0A"/>
    <w:rsid w:val="00BA6C68"/>
    <w:rsid w:val="00BA7008"/>
    <w:rsid w:val="00BA7068"/>
    <w:rsid w:val="00BA71B4"/>
    <w:rsid w:val="00BA7218"/>
    <w:rsid w:val="00BA72BD"/>
    <w:rsid w:val="00BA72F6"/>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E2F"/>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9E"/>
    <w:rsid w:val="00BD4CC2"/>
    <w:rsid w:val="00BD4CED"/>
    <w:rsid w:val="00BD4EE8"/>
    <w:rsid w:val="00BD4F99"/>
    <w:rsid w:val="00BD5101"/>
    <w:rsid w:val="00BD51F2"/>
    <w:rsid w:val="00BD5375"/>
    <w:rsid w:val="00BD5397"/>
    <w:rsid w:val="00BD53A6"/>
    <w:rsid w:val="00BD5C3F"/>
    <w:rsid w:val="00BD5CEA"/>
    <w:rsid w:val="00BD5E45"/>
    <w:rsid w:val="00BD5FDF"/>
    <w:rsid w:val="00BD624B"/>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16F"/>
    <w:rsid w:val="00BE3451"/>
    <w:rsid w:val="00BE3506"/>
    <w:rsid w:val="00BE3990"/>
    <w:rsid w:val="00BE3AE6"/>
    <w:rsid w:val="00BE3CA2"/>
    <w:rsid w:val="00BE3E18"/>
    <w:rsid w:val="00BE3FAB"/>
    <w:rsid w:val="00BE4795"/>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BA9"/>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D9D"/>
    <w:rsid w:val="00BE7E45"/>
    <w:rsid w:val="00BE7F2B"/>
    <w:rsid w:val="00BF0048"/>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856"/>
    <w:rsid w:val="00BF3914"/>
    <w:rsid w:val="00BF3A01"/>
    <w:rsid w:val="00BF3BF6"/>
    <w:rsid w:val="00BF3EC6"/>
    <w:rsid w:val="00BF437F"/>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A85"/>
    <w:rsid w:val="00BF5EF0"/>
    <w:rsid w:val="00BF607A"/>
    <w:rsid w:val="00BF63C4"/>
    <w:rsid w:val="00BF659C"/>
    <w:rsid w:val="00BF660A"/>
    <w:rsid w:val="00BF67EF"/>
    <w:rsid w:val="00BF68A0"/>
    <w:rsid w:val="00BF68D9"/>
    <w:rsid w:val="00BF6AB5"/>
    <w:rsid w:val="00BF6B12"/>
    <w:rsid w:val="00BF6B85"/>
    <w:rsid w:val="00BF721B"/>
    <w:rsid w:val="00BF727A"/>
    <w:rsid w:val="00BF73C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CA3"/>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56"/>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787"/>
    <w:rsid w:val="00C06CFA"/>
    <w:rsid w:val="00C06F4D"/>
    <w:rsid w:val="00C0719D"/>
    <w:rsid w:val="00C074E0"/>
    <w:rsid w:val="00C076D3"/>
    <w:rsid w:val="00C0792A"/>
    <w:rsid w:val="00C07B21"/>
    <w:rsid w:val="00C07C03"/>
    <w:rsid w:val="00C07C0E"/>
    <w:rsid w:val="00C07DD9"/>
    <w:rsid w:val="00C07F1C"/>
    <w:rsid w:val="00C1008D"/>
    <w:rsid w:val="00C10109"/>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AC"/>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5F9E"/>
    <w:rsid w:val="00C16276"/>
    <w:rsid w:val="00C1649C"/>
    <w:rsid w:val="00C16745"/>
    <w:rsid w:val="00C16A2E"/>
    <w:rsid w:val="00C16AAA"/>
    <w:rsid w:val="00C16CBF"/>
    <w:rsid w:val="00C172BD"/>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55"/>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A85"/>
    <w:rsid w:val="00C24FF6"/>
    <w:rsid w:val="00C250CC"/>
    <w:rsid w:val="00C253D2"/>
    <w:rsid w:val="00C254CA"/>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5"/>
    <w:rsid w:val="00C325BB"/>
    <w:rsid w:val="00C3278C"/>
    <w:rsid w:val="00C3295F"/>
    <w:rsid w:val="00C32B4B"/>
    <w:rsid w:val="00C32D32"/>
    <w:rsid w:val="00C32D73"/>
    <w:rsid w:val="00C32E4D"/>
    <w:rsid w:val="00C32EBE"/>
    <w:rsid w:val="00C330BF"/>
    <w:rsid w:val="00C330E2"/>
    <w:rsid w:val="00C33C65"/>
    <w:rsid w:val="00C33CAC"/>
    <w:rsid w:val="00C33D2E"/>
    <w:rsid w:val="00C33E78"/>
    <w:rsid w:val="00C34157"/>
    <w:rsid w:val="00C34406"/>
    <w:rsid w:val="00C34540"/>
    <w:rsid w:val="00C3457D"/>
    <w:rsid w:val="00C3459C"/>
    <w:rsid w:val="00C3494C"/>
    <w:rsid w:val="00C34ADF"/>
    <w:rsid w:val="00C34B1A"/>
    <w:rsid w:val="00C34B49"/>
    <w:rsid w:val="00C34BC4"/>
    <w:rsid w:val="00C34DAC"/>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60B"/>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427"/>
    <w:rsid w:val="00C445BE"/>
    <w:rsid w:val="00C44609"/>
    <w:rsid w:val="00C446B6"/>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00"/>
    <w:rsid w:val="00C46D4F"/>
    <w:rsid w:val="00C470B9"/>
    <w:rsid w:val="00C47118"/>
    <w:rsid w:val="00C473FF"/>
    <w:rsid w:val="00C47432"/>
    <w:rsid w:val="00C4764A"/>
    <w:rsid w:val="00C477C9"/>
    <w:rsid w:val="00C47885"/>
    <w:rsid w:val="00C47A6F"/>
    <w:rsid w:val="00C47D7C"/>
    <w:rsid w:val="00C47F39"/>
    <w:rsid w:val="00C502B4"/>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BCC"/>
    <w:rsid w:val="00C60E2E"/>
    <w:rsid w:val="00C610D2"/>
    <w:rsid w:val="00C61270"/>
    <w:rsid w:val="00C6144E"/>
    <w:rsid w:val="00C618C7"/>
    <w:rsid w:val="00C61CD2"/>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500"/>
    <w:rsid w:val="00C665C7"/>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33B"/>
    <w:rsid w:val="00C73443"/>
    <w:rsid w:val="00C7349A"/>
    <w:rsid w:val="00C73553"/>
    <w:rsid w:val="00C73633"/>
    <w:rsid w:val="00C736EA"/>
    <w:rsid w:val="00C73803"/>
    <w:rsid w:val="00C73918"/>
    <w:rsid w:val="00C73965"/>
    <w:rsid w:val="00C739FE"/>
    <w:rsid w:val="00C73CEC"/>
    <w:rsid w:val="00C73DCD"/>
    <w:rsid w:val="00C73EA6"/>
    <w:rsid w:val="00C74012"/>
    <w:rsid w:val="00C745C6"/>
    <w:rsid w:val="00C74CEC"/>
    <w:rsid w:val="00C74EBE"/>
    <w:rsid w:val="00C751DF"/>
    <w:rsid w:val="00C753CF"/>
    <w:rsid w:val="00C75657"/>
    <w:rsid w:val="00C75782"/>
    <w:rsid w:val="00C759F3"/>
    <w:rsid w:val="00C75A9D"/>
    <w:rsid w:val="00C75AA9"/>
    <w:rsid w:val="00C75CE8"/>
    <w:rsid w:val="00C75E13"/>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5EE"/>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E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19C"/>
    <w:rsid w:val="00CA1363"/>
    <w:rsid w:val="00CA13E0"/>
    <w:rsid w:val="00CA1414"/>
    <w:rsid w:val="00CA1505"/>
    <w:rsid w:val="00CA16B4"/>
    <w:rsid w:val="00CA17E9"/>
    <w:rsid w:val="00CA1851"/>
    <w:rsid w:val="00CA189C"/>
    <w:rsid w:val="00CA18D7"/>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0C"/>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C73"/>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C41"/>
    <w:rsid w:val="00CB3EB0"/>
    <w:rsid w:val="00CB41B7"/>
    <w:rsid w:val="00CB42FC"/>
    <w:rsid w:val="00CB43D6"/>
    <w:rsid w:val="00CB4435"/>
    <w:rsid w:val="00CB4473"/>
    <w:rsid w:val="00CB45A5"/>
    <w:rsid w:val="00CB45FC"/>
    <w:rsid w:val="00CB4653"/>
    <w:rsid w:val="00CB470B"/>
    <w:rsid w:val="00CB4741"/>
    <w:rsid w:val="00CB47FD"/>
    <w:rsid w:val="00CB4897"/>
    <w:rsid w:val="00CB48B6"/>
    <w:rsid w:val="00CB48B8"/>
    <w:rsid w:val="00CB4939"/>
    <w:rsid w:val="00CB4F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39"/>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B05"/>
    <w:rsid w:val="00CD0F55"/>
    <w:rsid w:val="00CD1082"/>
    <w:rsid w:val="00CD10A8"/>
    <w:rsid w:val="00CD12CC"/>
    <w:rsid w:val="00CD12DC"/>
    <w:rsid w:val="00CD15FC"/>
    <w:rsid w:val="00CD173C"/>
    <w:rsid w:val="00CD1B9A"/>
    <w:rsid w:val="00CD1E7D"/>
    <w:rsid w:val="00CD20B6"/>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76"/>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B12"/>
    <w:rsid w:val="00CD7F16"/>
    <w:rsid w:val="00CE0296"/>
    <w:rsid w:val="00CE0318"/>
    <w:rsid w:val="00CE03FE"/>
    <w:rsid w:val="00CE099E"/>
    <w:rsid w:val="00CE0B02"/>
    <w:rsid w:val="00CE0C3C"/>
    <w:rsid w:val="00CE0DED"/>
    <w:rsid w:val="00CE0FA8"/>
    <w:rsid w:val="00CE1767"/>
    <w:rsid w:val="00CE1B9A"/>
    <w:rsid w:val="00CE1D2D"/>
    <w:rsid w:val="00CE1D53"/>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B6B"/>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10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7F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2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7C"/>
    <w:rsid w:val="00D10632"/>
    <w:rsid w:val="00D106A0"/>
    <w:rsid w:val="00D10784"/>
    <w:rsid w:val="00D10D36"/>
    <w:rsid w:val="00D10D3B"/>
    <w:rsid w:val="00D10DD2"/>
    <w:rsid w:val="00D10EEB"/>
    <w:rsid w:val="00D10FBC"/>
    <w:rsid w:val="00D111D2"/>
    <w:rsid w:val="00D1143B"/>
    <w:rsid w:val="00D11B4C"/>
    <w:rsid w:val="00D11BA8"/>
    <w:rsid w:val="00D11D3E"/>
    <w:rsid w:val="00D11EA1"/>
    <w:rsid w:val="00D11F1D"/>
    <w:rsid w:val="00D11F7B"/>
    <w:rsid w:val="00D11FA9"/>
    <w:rsid w:val="00D1217D"/>
    <w:rsid w:val="00D1223A"/>
    <w:rsid w:val="00D1226C"/>
    <w:rsid w:val="00D12293"/>
    <w:rsid w:val="00D123EE"/>
    <w:rsid w:val="00D12403"/>
    <w:rsid w:val="00D1250A"/>
    <w:rsid w:val="00D125E1"/>
    <w:rsid w:val="00D1262D"/>
    <w:rsid w:val="00D1276C"/>
    <w:rsid w:val="00D127D3"/>
    <w:rsid w:val="00D128F0"/>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6D"/>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93C"/>
    <w:rsid w:val="00D23C54"/>
    <w:rsid w:val="00D23CF1"/>
    <w:rsid w:val="00D23F9C"/>
    <w:rsid w:val="00D24196"/>
    <w:rsid w:val="00D241E2"/>
    <w:rsid w:val="00D24784"/>
    <w:rsid w:val="00D248A2"/>
    <w:rsid w:val="00D248DB"/>
    <w:rsid w:val="00D24B79"/>
    <w:rsid w:val="00D24BAD"/>
    <w:rsid w:val="00D24BD6"/>
    <w:rsid w:val="00D24CF9"/>
    <w:rsid w:val="00D24D0A"/>
    <w:rsid w:val="00D24E26"/>
    <w:rsid w:val="00D24EB2"/>
    <w:rsid w:val="00D24EFC"/>
    <w:rsid w:val="00D24FC2"/>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55"/>
    <w:rsid w:val="00D328D7"/>
    <w:rsid w:val="00D330DB"/>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5F35"/>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1F0D"/>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1E"/>
    <w:rsid w:val="00D60CBF"/>
    <w:rsid w:val="00D60CD3"/>
    <w:rsid w:val="00D60DAE"/>
    <w:rsid w:val="00D610E5"/>
    <w:rsid w:val="00D610E6"/>
    <w:rsid w:val="00D61134"/>
    <w:rsid w:val="00D6153A"/>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6"/>
    <w:rsid w:val="00D735DF"/>
    <w:rsid w:val="00D7389C"/>
    <w:rsid w:val="00D73912"/>
    <w:rsid w:val="00D73A25"/>
    <w:rsid w:val="00D73CB6"/>
    <w:rsid w:val="00D74331"/>
    <w:rsid w:val="00D743C3"/>
    <w:rsid w:val="00D743DC"/>
    <w:rsid w:val="00D74528"/>
    <w:rsid w:val="00D7464A"/>
    <w:rsid w:val="00D74719"/>
    <w:rsid w:val="00D74780"/>
    <w:rsid w:val="00D7495F"/>
    <w:rsid w:val="00D74A0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0C"/>
    <w:rsid w:val="00D83660"/>
    <w:rsid w:val="00D836EF"/>
    <w:rsid w:val="00D8389F"/>
    <w:rsid w:val="00D8398B"/>
    <w:rsid w:val="00D839EE"/>
    <w:rsid w:val="00D83DB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1"/>
    <w:rsid w:val="00D87BB6"/>
    <w:rsid w:val="00D87CC8"/>
    <w:rsid w:val="00D87CCC"/>
    <w:rsid w:val="00D87DEA"/>
    <w:rsid w:val="00D87F46"/>
    <w:rsid w:val="00D900B9"/>
    <w:rsid w:val="00D901A8"/>
    <w:rsid w:val="00D902C3"/>
    <w:rsid w:val="00D902D3"/>
    <w:rsid w:val="00D903FE"/>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AFB"/>
    <w:rsid w:val="00D95B05"/>
    <w:rsid w:val="00D95C5C"/>
    <w:rsid w:val="00D95CDE"/>
    <w:rsid w:val="00D95DC6"/>
    <w:rsid w:val="00D95E0F"/>
    <w:rsid w:val="00D96075"/>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C35"/>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15"/>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2E"/>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F7"/>
    <w:rsid w:val="00DB21EB"/>
    <w:rsid w:val="00DB2247"/>
    <w:rsid w:val="00DB243C"/>
    <w:rsid w:val="00DB25A7"/>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9A"/>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097"/>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0D5"/>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02"/>
    <w:rsid w:val="00DD47EE"/>
    <w:rsid w:val="00DD4815"/>
    <w:rsid w:val="00DD489B"/>
    <w:rsid w:val="00DD49AB"/>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66"/>
    <w:rsid w:val="00DE23FF"/>
    <w:rsid w:val="00DE249D"/>
    <w:rsid w:val="00DE2804"/>
    <w:rsid w:val="00DE2AC1"/>
    <w:rsid w:val="00DE2CEF"/>
    <w:rsid w:val="00DE2D73"/>
    <w:rsid w:val="00DE2DD7"/>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49"/>
    <w:rsid w:val="00DF05C8"/>
    <w:rsid w:val="00DF0768"/>
    <w:rsid w:val="00DF0C29"/>
    <w:rsid w:val="00DF0C96"/>
    <w:rsid w:val="00DF0FD9"/>
    <w:rsid w:val="00DF15B0"/>
    <w:rsid w:val="00DF1795"/>
    <w:rsid w:val="00DF1A59"/>
    <w:rsid w:val="00DF1AED"/>
    <w:rsid w:val="00DF1CEE"/>
    <w:rsid w:val="00DF1EBE"/>
    <w:rsid w:val="00DF208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63"/>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6D9"/>
    <w:rsid w:val="00DF781F"/>
    <w:rsid w:val="00DF798D"/>
    <w:rsid w:val="00DF7ACD"/>
    <w:rsid w:val="00DF7D3A"/>
    <w:rsid w:val="00E000F4"/>
    <w:rsid w:val="00E001E5"/>
    <w:rsid w:val="00E0084F"/>
    <w:rsid w:val="00E009FB"/>
    <w:rsid w:val="00E00A8A"/>
    <w:rsid w:val="00E00ACA"/>
    <w:rsid w:val="00E00D0C"/>
    <w:rsid w:val="00E012CA"/>
    <w:rsid w:val="00E0154E"/>
    <w:rsid w:val="00E0159F"/>
    <w:rsid w:val="00E017A1"/>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C5B"/>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C4"/>
    <w:rsid w:val="00E135F8"/>
    <w:rsid w:val="00E138D8"/>
    <w:rsid w:val="00E13A86"/>
    <w:rsid w:val="00E13C9E"/>
    <w:rsid w:val="00E13DFD"/>
    <w:rsid w:val="00E13E06"/>
    <w:rsid w:val="00E140C2"/>
    <w:rsid w:val="00E14237"/>
    <w:rsid w:val="00E1428C"/>
    <w:rsid w:val="00E14756"/>
    <w:rsid w:val="00E14C91"/>
    <w:rsid w:val="00E14F41"/>
    <w:rsid w:val="00E15127"/>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17FFE"/>
    <w:rsid w:val="00E20089"/>
    <w:rsid w:val="00E20238"/>
    <w:rsid w:val="00E20394"/>
    <w:rsid w:val="00E20439"/>
    <w:rsid w:val="00E2048E"/>
    <w:rsid w:val="00E20650"/>
    <w:rsid w:val="00E206C6"/>
    <w:rsid w:val="00E20D0A"/>
    <w:rsid w:val="00E210A3"/>
    <w:rsid w:val="00E211FB"/>
    <w:rsid w:val="00E21249"/>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5DB"/>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9E"/>
    <w:rsid w:val="00E258B3"/>
    <w:rsid w:val="00E2597F"/>
    <w:rsid w:val="00E25B2A"/>
    <w:rsid w:val="00E25CF9"/>
    <w:rsid w:val="00E25E67"/>
    <w:rsid w:val="00E26530"/>
    <w:rsid w:val="00E26562"/>
    <w:rsid w:val="00E265CF"/>
    <w:rsid w:val="00E266AB"/>
    <w:rsid w:val="00E266F2"/>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5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D0"/>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2F1"/>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E4D"/>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5A1"/>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C3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ECE"/>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1F39"/>
    <w:rsid w:val="00E821B9"/>
    <w:rsid w:val="00E8232B"/>
    <w:rsid w:val="00E823BD"/>
    <w:rsid w:val="00E82453"/>
    <w:rsid w:val="00E8246D"/>
    <w:rsid w:val="00E824E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3"/>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1EA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34"/>
    <w:rsid w:val="00EA2A3E"/>
    <w:rsid w:val="00EA2B7F"/>
    <w:rsid w:val="00EA2F8C"/>
    <w:rsid w:val="00EA300A"/>
    <w:rsid w:val="00EA3110"/>
    <w:rsid w:val="00EA32C4"/>
    <w:rsid w:val="00EA342F"/>
    <w:rsid w:val="00EA3CA8"/>
    <w:rsid w:val="00EA3D1F"/>
    <w:rsid w:val="00EA40E5"/>
    <w:rsid w:val="00EA45BC"/>
    <w:rsid w:val="00EA4706"/>
    <w:rsid w:val="00EA485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6FB2"/>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224"/>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4E"/>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63A"/>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02"/>
    <w:rsid w:val="00ED05A7"/>
    <w:rsid w:val="00ED0B8A"/>
    <w:rsid w:val="00ED0D0D"/>
    <w:rsid w:val="00ED0DB7"/>
    <w:rsid w:val="00ED0E59"/>
    <w:rsid w:val="00ED0F72"/>
    <w:rsid w:val="00ED1050"/>
    <w:rsid w:val="00ED10F0"/>
    <w:rsid w:val="00ED11FD"/>
    <w:rsid w:val="00ED12FF"/>
    <w:rsid w:val="00ED140F"/>
    <w:rsid w:val="00ED15F6"/>
    <w:rsid w:val="00ED1687"/>
    <w:rsid w:val="00ED16CF"/>
    <w:rsid w:val="00ED187E"/>
    <w:rsid w:val="00ED19A1"/>
    <w:rsid w:val="00ED1A1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3D"/>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2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A95"/>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1CBB"/>
    <w:rsid w:val="00EF23E9"/>
    <w:rsid w:val="00EF2956"/>
    <w:rsid w:val="00EF2B4A"/>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1F"/>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AC2"/>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46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F"/>
    <w:rsid w:val="00F14B2E"/>
    <w:rsid w:val="00F14B4F"/>
    <w:rsid w:val="00F14FEB"/>
    <w:rsid w:val="00F151EF"/>
    <w:rsid w:val="00F15316"/>
    <w:rsid w:val="00F1533D"/>
    <w:rsid w:val="00F154A2"/>
    <w:rsid w:val="00F1558F"/>
    <w:rsid w:val="00F1573F"/>
    <w:rsid w:val="00F15786"/>
    <w:rsid w:val="00F15861"/>
    <w:rsid w:val="00F15A1D"/>
    <w:rsid w:val="00F15B02"/>
    <w:rsid w:val="00F15B7E"/>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13"/>
    <w:rsid w:val="00F176A5"/>
    <w:rsid w:val="00F17AB4"/>
    <w:rsid w:val="00F17DD5"/>
    <w:rsid w:val="00F17DD9"/>
    <w:rsid w:val="00F20577"/>
    <w:rsid w:val="00F205EC"/>
    <w:rsid w:val="00F20B8E"/>
    <w:rsid w:val="00F20D0A"/>
    <w:rsid w:val="00F20E19"/>
    <w:rsid w:val="00F213A2"/>
    <w:rsid w:val="00F214D2"/>
    <w:rsid w:val="00F218CD"/>
    <w:rsid w:val="00F218CE"/>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E2B"/>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5"/>
    <w:rsid w:val="00F30378"/>
    <w:rsid w:val="00F307F2"/>
    <w:rsid w:val="00F308EE"/>
    <w:rsid w:val="00F30BC5"/>
    <w:rsid w:val="00F30BEF"/>
    <w:rsid w:val="00F310B4"/>
    <w:rsid w:val="00F31185"/>
    <w:rsid w:val="00F3124C"/>
    <w:rsid w:val="00F31511"/>
    <w:rsid w:val="00F317F5"/>
    <w:rsid w:val="00F31B00"/>
    <w:rsid w:val="00F31B12"/>
    <w:rsid w:val="00F31BA5"/>
    <w:rsid w:val="00F31C65"/>
    <w:rsid w:val="00F31CE6"/>
    <w:rsid w:val="00F31EE4"/>
    <w:rsid w:val="00F32644"/>
    <w:rsid w:val="00F328B7"/>
    <w:rsid w:val="00F328ED"/>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26"/>
    <w:rsid w:val="00F500DE"/>
    <w:rsid w:val="00F50264"/>
    <w:rsid w:val="00F50293"/>
    <w:rsid w:val="00F504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AC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A0B"/>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49"/>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4DE"/>
    <w:rsid w:val="00F66A45"/>
    <w:rsid w:val="00F66ED4"/>
    <w:rsid w:val="00F66FB8"/>
    <w:rsid w:val="00F67256"/>
    <w:rsid w:val="00F674DB"/>
    <w:rsid w:val="00F67590"/>
    <w:rsid w:val="00F6772B"/>
    <w:rsid w:val="00F67A31"/>
    <w:rsid w:val="00F67B13"/>
    <w:rsid w:val="00F67D86"/>
    <w:rsid w:val="00F67E1F"/>
    <w:rsid w:val="00F67EDB"/>
    <w:rsid w:val="00F702E8"/>
    <w:rsid w:val="00F7090E"/>
    <w:rsid w:val="00F70B97"/>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0"/>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D72"/>
    <w:rsid w:val="00F74EFA"/>
    <w:rsid w:val="00F74FD2"/>
    <w:rsid w:val="00F754A0"/>
    <w:rsid w:val="00F755EA"/>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0D7"/>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EC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07F"/>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F5"/>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53F"/>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6F99"/>
    <w:rsid w:val="00FA7247"/>
    <w:rsid w:val="00FA738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A46"/>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CC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EFF"/>
    <w:rsid w:val="00FC619D"/>
    <w:rsid w:val="00FC61C8"/>
    <w:rsid w:val="00FC6416"/>
    <w:rsid w:val="00FC644A"/>
    <w:rsid w:val="00FC6461"/>
    <w:rsid w:val="00FC670F"/>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1FF"/>
    <w:rsid w:val="00FD22E2"/>
    <w:rsid w:val="00FD236F"/>
    <w:rsid w:val="00FD294E"/>
    <w:rsid w:val="00FD2AB0"/>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AE4"/>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0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D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11"/>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4FDC"/>
    <w:rsid w:val="00FF5225"/>
    <w:rsid w:val="00FF5450"/>
    <w:rsid w:val="00FF547C"/>
    <w:rsid w:val="00FF5C14"/>
    <w:rsid w:val="00FF5FA3"/>
    <w:rsid w:val="00FF5FF1"/>
    <w:rsid w:val="00FF6005"/>
    <w:rsid w:val="00FF613D"/>
    <w:rsid w:val="00FF6189"/>
    <w:rsid w:val="00FF63CE"/>
    <w:rsid w:val="00FF677B"/>
    <w:rsid w:val="00FF6916"/>
    <w:rsid w:val="00FF6982"/>
    <w:rsid w:val="00FF6A2B"/>
    <w:rsid w:val="00FF6C1C"/>
    <w:rsid w:val="00FF6C35"/>
    <w:rsid w:val="00FF6F85"/>
    <w:rsid w:val="00FF7060"/>
    <w:rsid w:val="00FF7636"/>
    <w:rsid w:val="00FF765F"/>
    <w:rsid w:val="00FF7989"/>
    <w:rsid w:val="00FF7D03"/>
    <w:rsid w:val="010D6029"/>
    <w:rsid w:val="012B4701"/>
    <w:rsid w:val="014557C2"/>
    <w:rsid w:val="01505F15"/>
    <w:rsid w:val="016320EC"/>
    <w:rsid w:val="0167398B"/>
    <w:rsid w:val="0176597C"/>
    <w:rsid w:val="0179546C"/>
    <w:rsid w:val="017A1112"/>
    <w:rsid w:val="017E1FF4"/>
    <w:rsid w:val="01903269"/>
    <w:rsid w:val="01B91FB4"/>
    <w:rsid w:val="01D54B64"/>
    <w:rsid w:val="01DE1773"/>
    <w:rsid w:val="01E4322D"/>
    <w:rsid w:val="01F62F61"/>
    <w:rsid w:val="020B07BA"/>
    <w:rsid w:val="020E2058"/>
    <w:rsid w:val="02300221"/>
    <w:rsid w:val="0252253A"/>
    <w:rsid w:val="027619AC"/>
    <w:rsid w:val="02867E41"/>
    <w:rsid w:val="028E4F47"/>
    <w:rsid w:val="02A1111E"/>
    <w:rsid w:val="02A66735"/>
    <w:rsid w:val="02B03A5A"/>
    <w:rsid w:val="02CB3234"/>
    <w:rsid w:val="02E334E5"/>
    <w:rsid w:val="02E45BCC"/>
    <w:rsid w:val="02F92D08"/>
    <w:rsid w:val="02F96864"/>
    <w:rsid w:val="02FE20CD"/>
    <w:rsid w:val="030A6CC4"/>
    <w:rsid w:val="03127926"/>
    <w:rsid w:val="031E276F"/>
    <w:rsid w:val="034B4BE6"/>
    <w:rsid w:val="036C34DA"/>
    <w:rsid w:val="039E1B8C"/>
    <w:rsid w:val="03A569EC"/>
    <w:rsid w:val="03A8028B"/>
    <w:rsid w:val="03B31109"/>
    <w:rsid w:val="03C2759E"/>
    <w:rsid w:val="03D41080"/>
    <w:rsid w:val="03D53D87"/>
    <w:rsid w:val="03DE3CAC"/>
    <w:rsid w:val="03F434D0"/>
    <w:rsid w:val="04247911"/>
    <w:rsid w:val="04335DA6"/>
    <w:rsid w:val="043B0A93"/>
    <w:rsid w:val="0479335F"/>
    <w:rsid w:val="0479743D"/>
    <w:rsid w:val="048E3F31"/>
    <w:rsid w:val="048F480F"/>
    <w:rsid w:val="04A942BA"/>
    <w:rsid w:val="04E0612E"/>
    <w:rsid w:val="04E672BC"/>
    <w:rsid w:val="04E85F2E"/>
    <w:rsid w:val="04EE6171"/>
    <w:rsid w:val="04F512AE"/>
    <w:rsid w:val="04FD0162"/>
    <w:rsid w:val="0506170D"/>
    <w:rsid w:val="051861B9"/>
    <w:rsid w:val="052676B9"/>
    <w:rsid w:val="05373674"/>
    <w:rsid w:val="056B77C2"/>
    <w:rsid w:val="05793C8D"/>
    <w:rsid w:val="05832D5D"/>
    <w:rsid w:val="058D6A20"/>
    <w:rsid w:val="05900FD6"/>
    <w:rsid w:val="05AC4062"/>
    <w:rsid w:val="05BB6053"/>
    <w:rsid w:val="05DE7F94"/>
    <w:rsid w:val="05DF0E99"/>
    <w:rsid w:val="05ED01D7"/>
    <w:rsid w:val="0616772D"/>
    <w:rsid w:val="062C75AD"/>
    <w:rsid w:val="062E2CC9"/>
    <w:rsid w:val="06467EC4"/>
    <w:rsid w:val="065B3C1F"/>
    <w:rsid w:val="0694448D"/>
    <w:rsid w:val="06A93A70"/>
    <w:rsid w:val="06AC0685"/>
    <w:rsid w:val="06BC6527"/>
    <w:rsid w:val="06BD2A2B"/>
    <w:rsid w:val="06C74ECC"/>
    <w:rsid w:val="06D51397"/>
    <w:rsid w:val="06E2716F"/>
    <w:rsid w:val="06E635A4"/>
    <w:rsid w:val="06F061D0"/>
    <w:rsid w:val="06F95794"/>
    <w:rsid w:val="06FA704F"/>
    <w:rsid w:val="070457D8"/>
    <w:rsid w:val="07091040"/>
    <w:rsid w:val="07106873"/>
    <w:rsid w:val="07300CC3"/>
    <w:rsid w:val="073E518E"/>
    <w:rsid w:val="075A189C"/>
    <w:rsid w:val="075D0BFA"/>
    <w:rsid w:val="075D7DCE"/>
    <w:rsid w:val="07632E46"/>
    <w:rsid w:val="076B1CFB"/>
    <w:rsid w:val="077741FC"/>
    <w:rsid w:val="077F3AB3"/>
    <w:rsid w:val="078E0C06"/>
    <w:rsid w:val="078F59E9"/>
    <w:rsid w:val="07A82607"/>
    <w:rsid w:val="07A92999"/>
    <w:rsid w:val="07AE21E1"/>
    <w:rsid w:val="07C708A7"/>
    <w:rsid w:val="07C97778"/>
    <w:rsid w:val="07DB49A4"/>
    <w:rsid w:val="07E51AAD"/>
    <w:rsid w:val="07F41CF0"/>
    <w:rsid w:val="080F6B2A"/>
    <w:rsid w:val="082F2355"/>
    <w:rsid w:val="08367CC1"/>
    <w:rsid w:val="0846765B"/>
    <w:rsid w:val="084A5DB4"/>
    <w:rsid w:val="084C38DA"/>
    <w:rsid w:val="085B3B1D"/>
    <w:rsid w:val="085C0AA3"/>
    <w:rsid w:val="086F1377"/>
    <w:rsid w:val="087370B9"/>
    <w:rsid w:val="08A07782"/>
    <w:rsid w:val="08C6543B"/>
    <w:rsid w:val="08D66EA5"/>
    <w:rsid w:val="08E104C7"/>
    <w:rsid w:val="08E12275"/>
    <w:rsid w:val="08E50B53"/>
    <w:rsid w:val="08F57ACE"/>
    <w:rsid w:val="09016473"/>
    <w:rsid w:val="092B34F0"/>
    <w:rsid w:val="092C1016"/>
    <w:rsid w:val="093A7BD7"/>
    <w:rsid w:val="094C3466"/>
    <w:rsid w:val="0978425B"/>
    <w:rsid w:val="098E1A6C"/>
    <w:rsid w:val="0993046C"/>
    <w:rsid w:val="09AB63DF"/>
    <w:rsid w:val="09AC5238"/>
    <w:rsid w:val="09E35B78"/>
    <w:rsid w:val="09F45FD8"/>
    <w:rsid w:val="09FB7366"/>
    <w:rsid w:val="09FD1E6C"/>
    <w:rsid w:val="0A200B7B"/>
    <w:rsid w:val="0A40121D"/>
    <w:rsid w:val="0A5B52EA"/>
    <w:rsid w:val="0A746EA3"/>
    <w:rsid w:val="0A7669ED"/>
    <w:rsid w:val="0A9357F1"/>
    <w:rsid w:val="0A9B6453"/>
    <w:rsid w:val="0AAE09EF"/>
    <w:rsid w:val="0AB80DB3"/>
    <w:rsid w:val="0ABD0ABF"/>
    <w:rsid w:val="0AF142C5"/>
    <w:rsid w:val="0AF85654"/>
    <w:rsid w:val="0AFD0EBC"/>
    <w:rsid w:val="0AFD62FB"/>
    <w:rsid w:val="0B022976"/>
    <w:rsid w:val="0B09160F"/>
    <w:rsid w:val="0B0C04BB"/>
    <w:rsid w:val="0B224DC6"/>
    <w:rsid w:val="0B350656"/>
    <w:rsid w:val="0B4357EB"/>
    <w:rsid w:val="0B4D44B6"/>
    <w:rsid w:val="0B5D7BAD"/>
    <w:rsid w:val="0B61769D"/>
    <w:rsid w:val="0B660C1A"/>
    <w:rsid w:val="0B8B64C8"/>
    <w:rsid w:val="0B8D0492"/>
    <w:rsid w:val="0B901D30"/>
    <w:rsid w:val="0B996E37"/>
    <w:rsid w:val="0B9A670B"/>
    <w:rsid w:val="0B9F6417"/>
    <w:rsid w:val="0BA63302"/>
    <w:rsid w:val="0BB27EF8"/>
    <w:rsid w:val="0BBE689D"/>
    <w:rsid w:val="0BC65752"/>
    <w:rsid w:val="0BCD6AE0"/>
    <w:rsid w:val="0BE300B2"/>
    <w:rsid w:val="0BE43E2A"/>
    <w:rsid w:val="0BF9788E"/>
    <w:rsid w:val="0C0E75ED"/>
    <w:rsid w:val="0C1F4E62"/>
    <w:rsid w:val="0C300E1D"/>
    <w:rsid w:val="0C504748"/>
    <w:rsid w:val="0C5965C6"/>
    <w:rsid w:val="0C61547A"/>
    <w:rsid w:val="0C632FA1"/>
    <w:rsid w:val="0C6758B7"/>
    <w:rsid w:val="0C754295"/>
    <w:rsid w:val="0C825B1D"/>
    <w:rsid w:val="0CB06EE6"/>
    <w:rsid w:val="0CD33710"/>
    <w:rsid w:val="0CFB142B"/>
    <w:rsid w:val="0D1D3396"/>
    <w:rsid w:val="0D1F336B"/>
    <w:rsid w:val="0D4622F1"/>
    <w:rsid w:val="0D564F20"/>
    <w:rsid w:val="0D6945E7"/>
    <w:rsid w:val="0D6E7E4F"/>
    <w:rsid w:val="0D703BC7"/>
    <w:rsid w:val="0D865199"/>
    <w:rsid w:val="0D8B0A01"/>
    <w:rsid w:val="0DA43871"/>
    <w:rsid w:val="0DB25F8E"/>
    <w:rsid w:val="0DDF6F9F"/>
    <w:rsid w:val="0DE07FC2"/>
    <w:rsid w:val="0DE10621"/>
    <w:rsid w:val="0DF30354"/>
    <w:rsid w:val="0DFC36AD"/>
    <w:rsid w:val="0E06277D"/>
    <w:rsid w:val="0E277BF1"/>
    <w:rsid w:val="0E4709CC"/>
    <w:rsid w:val="0E4E740F"/>
    <w:rsid w:val="0E4F6609"/>
    <w:rsid w:val="0E7D2A40"/>
    <w:rsid w:val="0E833DCE"/>
    <w:rsid w:val="0E963B01"/>
    <w:rsid w:val="0E9658AF"/>
    <w:rsid w:val="0EA37FCC"/>
    <w:rsid w:val="0EAC08FD"/>
    <w:rsid w:val="0EBB70C4"/>
    <w:rsid w:val="0F096081"/>
    <w:rsid w:val="0F0E18EA"/>
    <w:rsid w:val="0F1F3AF7"/>
    <w:rsid w:val="0F3155D8"/>
    <w:rsid w:val="0F5C01ED"/>
    <w:rsid w:val="0FD50659"/>
    <w:rsid w:val="0FD91EF8"/>
    <w:rsid w:val="0FF30ADF"/>
    <w:rsid w:val="10066A65"/>
    <w:rsid w:val="10234F21"/>
    <w:rsid w:val="102869DB"/>
    <w:rsid w:val="102F6C66"/>
    <w:rsid w:val="10527855"/>
    <w:rsid w:val="10593038"/>
    <w:rsid w:val="10973AD9"/>
    <w:rsid w:val="1097590F"/>
    <w:rsid w:val="109D1177"/>
    <w:rsid w:val="10A342B4"/>
    <w:rsid w:val="10A4638E"/>
    <w:rsid w:val="10B169D0"/>
    <w:rsid w:val="10B97633"/>
    <w:rsid w:val="10C1473A"/>
    <w:rsid w:val="10D75D0B"/>
    <w:rsid w:val="10DB1C9F"/>
    <w:rsid w:val="10E5667A"/>
    <w:rsid w:val="10EF74F9"/>
    <w:rsid w:val="10F70AF5"/>
    <w:rsid w:val="1102720C"/>
    <w:rsid w:val="111034C9"/>
    <w:rsid w:val="111927C8"/>
    <w:rsid w:val="11254E1B"/>
    <w:rsid w:val="112A6783"/>
    <w:rsid w:val="115630D4"/>
    <w:rsid w:val="115A1A13"/>
    <w:rsid w:val="115B4DE3"/>
    <w:rsid w:val="116A4DD1"/>
    <w:rsid w:val="117D68B3"/>
    <w:rsid w:val="118E286E"/>
    <w:rsid w:val="11943BFC"/>
    <w:rsid w:val="11E42DD6"/>
    <w:rsid w:val="11EB4164"/>
    <w:rsid w:val="11FF7C6D"/>
    <w:rsid w:val="120174E4"/>
    <w:rsid w:val="120A6475"/>
    <w:rsid w:val="12301B77"/>
    <w:rsid w:val="12374163"/>
    <w:rsid w:val="12380A2C"/>
    <w:rsid w:val="12411FD6"/>
    <w:rsid w:val="12485112"/>
    <w:rsid w:val="12695089"/>
    <w:rsid w:val="126D2DCB"/>
    <w:rsid w:val="12BD66DE"/>
    <w:rsid w:val="13280AA0"/>
    <w:rsid w:val="133E02C4"/>
    <w:rsid w:val="13622204"/>
    <w:rsid w:val="13645F7C"/>
    <w:rsid w:val="13855EF2"/>
    <w:rsid w:val="13CB7DA9"/>
    <w:rsid w:val="13DA2F6E"/>
    <w:rsid w:val="13F015BE"/>
    <w:rsid w:val="14156DE5"/>
    <w:rsid w:val="141D25CF"/>
    <w:rsid w:val="141F00F5"/>
    <w:rsid w:val="14382F65"/>
    <w:rsid w:val="143F60A1"/>
    <w:rsid w:val="14432035"/>
    <w:rsid w:val="14496F20"/>
    <w:rsid w:val="14531B4D"/>
    <w:rsid w:val="14681A9C"/>
    <w:rsid w:val="14771CDF"/>
    <w:rsid w:val="147C10A3"/>
    <w:rsid w:val="148368D6"/>
    <w:rsid w:val="14951E1C"/>
    <w:rsid w:val="14983A03"/>
    <w:rsid w:val="149A59CD"/>
    <w:rsid w:val="14A10B0A"/>
    <w:rsid w:val="14A34312"/>
    <w:rsid w:val="14B051E8"/>
    <w:rsid w:val="14D61ED0"/>
    <w:rsid w:val="14E54E9B"/>
    <w:rsid w:val="15033573"/>
    <w:rsid w:val="15113EE2"/>
    <w:rsid w:val="15115C90"/>
    <w:rsid w:val="15205ED3"/>
    <w:rsid w:val="153D704D"/>
    <w:rsid w:val="15432254"/>
    <w:rsid w:val="155B33AF"/>
    <w:rsid w:val="15877D00"/>
    <w:rsid w:val="15897F1C"/>
    <w:rsid w:val="15B61CF7"/>
    <w:rsid w:val="16094BB9"/>
    <w:rsid w:val="160C28FB"/>
    <w:rsid w:val="163D20FF"/>
    <w:rsid w:val="164246D6"/>
    <w:rsid w:val="16465E0D"/>
    <w:rsid w:val="165D4F05"/>
    <w:rsid w:val="166938A9"/>
    <w:rsid w:val="168129A1"/>
    <w:rsid w:val="16846935"/>
    <w:rsid w:val="16930926"/>
    <w:rsid w:val="16D76A65"/>
    <w:rsid w:val="16FE0496"/>
    <w:rsid w:val="17215F32"/>
    <w:rsid w:val="172A3039"/>
    <w:rsid w:val="172B374F"/>
    <w:rsid w:val="173043C7"/>
    <w:rsid w:val="174F2A9F"/>
    <w:rsid w:val="17824C23"/>
    <w:rsid w:val="1796247C"/>
    <w:rsid w:val="17BD20FF"/>
    <w:rsid w:val="17E21B65"/>
    <w:rsid w:val="17F93E0B"/>
    <w:rsid w:val="18147845"/>
    <w:rsid w:val="181546BD"/>
    <w:rsid w:val="181810E3"/>
    <w:rsid w:val="18277578"/>
    <w:rsid w:val="183A72AB"/>
    <w:rsid w:val="18471311"/>
    <w:rsid w:val="187615C5"/>
    <w:rsid w:val="18827918"/>
    <w:rsid w:val="18860E6A"/>
    <w:rsid w:val="18B0756E"/>
    <w:rsid w:val="18B51028"/>
    <w:rsid w:val="18BE1E07"/>
    <w:rsid w:val="18D47700"/>
    <w:rsid w:val="18D62136"/>
    <w:rsid w:val="18E11E1D"/>
    <w:rsid w:val="18E45469"/>
    <w:rsid w:val="190E557B"/>
    <w:rsid w:val="19212219"/>
    <w:rsid w:val="19265A82"/>
    <w:rsid w:val="192F4936"/>
    <w:rsid w:val="19306900"/>
    <w:rsid w:val="195F08E7"/>
    <w:rsid w:val="196F1F20"/>
    <w:rsid w:val="197C38F4"/>
    <w:rsid w:val="19805192"/>
    <w:rsid w:val="19A223C6"/>
    <w:rsid w:val="19A40D8D"/>
    <w:rsid w:val="19A90B8D"/>
    <w:rsid w:val="19CB2347"/>
    <w:rsid w:val="19E27BFB"/>
    <w:rsid w:val="19FE255B"/>
    <w:rsid w:val="1A02029D"/>
    <w:rsid w:val="1A1104E0"/>
    <w:rsid w:val="1A1B4EBB"/>
    <w:rsid w:val="1A2B77F4"/>
    <w:rsid w:val="1A3146DE"/>
    <w:rsid w:val="1A332204"/>
    <w:rsid w:val="1A657DBE"/>
    <w:rsid w:val="1A82318C"/>
    <w:rsid w:val="1A8707A2"/>
    <w:rsid w:val="1A8C5DB8"/>
    <w:rsid w:val="1AA74781"/>
    <w:rsid w:val="1AB71087"/>
    <w:rsid w:val="1AD0039B"/>
    <w:rsid w:val="1AE45BF4"/>
    <w:rsid w:val="1AE600F4"/>
    <w:rsid w:val="1AE6196C"/>
    <w:rsid w:val="1AF23E6D"/>
    <w:rsid w:val="1AFC1190"/>
    <w:rsid w:val="1B0034A2"/>
    <w:rsid w:val="1B1E1106"/>
    <w:rsid w:val="1B1F6C2C"/>
    <w:rsid w:val="1B4F159B"/>
    <w:rsid w:val="1B6B7632"/>
    <w:rsid w:val="1B6F3710"/>
    <w:rsid w:val="1B740D26"/>
    <w:rsid w:val="1B7A3E63"/>
    <w:rsid w:val="1B866CAC"/>
    <w:rsid w:val="1BA3785E"/>
    <w:rsid w:val="1BBC061B"/>
    <w:rsid w:val="1BC83FED"/>
    <w:rsid w:val="1BCB46BE"/>
    <w:rsid w:val="1BE87F84"/>
    <w:rsid w:val="1BFE2DFC"/>
    <w:rsid w:val="1BFE7F27"/>
    <w:rsid w:val="1C18753B"/>
    <w:rsid w:val="1C252021"/>
    <w:rsid w:val="1C26713F"/>
    <w:rsid w:val="1C31325D"/>
    <w:rsid w:val="1C33298F"/>
    <w:rsid w:val="1C4306F9"/>
    <w:rsid w:val="1C455CA5"/>
    <w:rsid w:val="1C821221"/>
    <w:rsid w:val="1CD55EFB"/>
    <w:rsid w:val="1CEC0D90"/>
    <w:rsid w:val="1D0D3DA4"/>
    <w:rsid w:val="1D100F23"/>
    <w:rsid w:val="1D16439E"/>
    <w:rsid w:val="1D1722B1"/>
    <w:rsid w:val="1D230C56"/>
    <w:rsid w:val="1D235D75"/>
    <w:rsid w:val="1D2B1C22"/>
    <w:rsid w:val="1D2C69D2"/>
    <w:rsid w:val="1D3C3AC6"/>
    <w:rsid w:val="1D3E53D5"/>
    <w:rsid w:val="1D4B5AB7"/>
    <w:rsid w:val="1D5852ED"/>
    <w:rsid w:val="1D594678"/>
    <w:rsid w:val="1D7A45EE"/>
    <w:rsid w:val="1D7B2840"/>
    <w:rsid w:val="1D882867"/>
    <w:rsid w:val="1D9A77EE"/>
    <w:rsid w:val="1D9B6A3E"/>
    <w:rsid w:val="1DA578BD"/>
    <w:rsid w:val="1DA82F09"/>
    <w:rsid w:val="1DAC0C4B"/>
    <w:rsid w:val="1DEA7E9E"/>
    <w:rsid w:val="1DFB572F"/>
    <w:rsid w:val="1DFC3B45"/>
    <w:rsid w:val="1E072487"/>
    <w:rsid w:val="1E4153A1"/>
    <w:rsid w:val="1E432C32"/>
    <w:rsid w:val="1E485497"/>
    <w:rsid w:val="1E716D5B"/>
    <w:rsid w:val="1ED657D3"/>
    <w:rsid w:val="1EE77A61"/>
    <w:rsid w:val="1F0B3750"/>
    <w:rsid w:val="1F1D250F"/>
    <w:rsid w:val="1F227FC8"/>
    <w:rsid w:val="1F3D58D3"/>
    <w:rsid w:val="1F5C044F"/>
    <w:rsid w:val="1F6410B2"/>
    <w:rsid w:val="1FCE1A4B"/>
    <w:rsid w:val="1FD2426D"/>
    <w:rsid w:val="1FDB4A0F"/>
    <w:rsid w:val="1FE30229"/>
    <w:rsid w:val="1FF0469F"/>
    <w:rsid w:val="20075B68"/>
    <w:rsid w:val="202F346E"/>
    <w:rsid w:val="207812B9"/>
    <w:rsid w:val="207D242B"/>
    <w:rsid w:val="208C6B12"/>
    <w:rsid w:val="20A37AFC"/>
    <w:rsid w:val="20A52531"/>
    <w:rsid w:val="20C91B14"/>
    <w:rsid w:val="20F63F8C"/>
    <w:rsid w:val="20FB77F4"/>
    <w:rsid w:val="21091F11"/>
    <w:rsid w:val="211014F1"/>
    <w:rsid w:val="212163FE"/>
    <w:rsid w:val="21244F9D"/>
    <w:rsid w:val="212B00D9"/>
    <w:rsid w:val="216058A9"/>
    <w:rsid w:val="2164183D"/>
    <w:rsid w:val="21676C37"/>
    <w:rsid w:val="21701F90"/>
    <w:rsid w:val="21837F15"/>
    <w:rsid w:val="21A67760"/>
    <w:rsid w:val="21B856E5"/>
    <w:rsid w:val="21C67E02"/>
    <w:rsid w:val="21D10A3B"/>
    <w:rsid w:val="21EB29AE"/>
    <w:rsid w:val="21EB5ABA"/>
    <w:rsid w:val="21F04E7F"/>
    <w:rsid w:val="22055993"/>
    <w:rsid w:val="222F3BF9"/>
    <w:rsid w:val="22387195"/>
    <w:rsid w:val="226A69DF"/>
    <w:rsid w:val="226B1B8E"/>
    <w:rsid w:val="22883309"/>
    <w:rsid w:val="229E2B2D"/>
    <w:rsid w:val="22A5210D"/>
    <w:rsid w:val="22AC349C"/>
    <w:rsid w:val="22B8599C"/>
    <w:rsid w:val="22CA1009"/>
    <w:rsid w:val="22DF561F"/>
    <w:rsid w:val="22EE5862"/>
    <w:rsid w:val="23164DB9"/>
    <w:rsid w:val="231A0405"/>
    <w:rsid w:val="234378C3"/>
    <w:rsid w:val="2351194D"/>
    <w:rsid w:val="235F22BC"/>
    <w:rsid w:val="236B5698"/>
    <w:rsid w:val="23745791"/>
    <w:rsid w:val="238A3C26"/>
    <w:rsid w:val="238B1303"/>
    <w:rsid w:val="239E00B4"/>
    <w:rsid w:val="23B819CC"/>
    <w:rsid w:val="23CE5CAC"/>
    <w:rsid w:val="23DD1433"/>
    <w:rsid w:val="240864B0"/>
    <w:rsid w:val="24150BCD"/>
    <w:rsid w:val="24376D95"/>
    <w:rsid w:val="2446522A"/>
    <w:rsid w:val="244A4D1A"/>
    <w:rsid w:val="244F40DF"/>
    <w:rsid w:val="24523BCF"/>
    <w:rsid w:val="24612064"/>
    <w:rsid w:val="246758CC"/>
    <w:rsid w:val="247022A7"/>
    <w:rsid w:val="247973AD"/>
    <w:rsid w:val="24E0567E"/>
    <w:rsid w:val="24E0742D"/>
    <w:rsid w:val="24F20F0E"/>
    <w:rsid w:val="250364AF"/>
    <w:rsid w:val="251E74A4"/>
    <w:rsid w:val="25440C67"/>
    <w:rsid w:val="255045B2"/>
    <w:rsid w:val="2556149D"/>
    <w:rsid w:val="255E0351"/>
    <w:rsid w:val="25697422"/>
    <w:rsid w:val="25761B3F"/>
    <w:rsid w:val="258D1703"/>
    <w:rsid w:val="25CD79B1"/>
    <w:rsid w:val="25E1345C"/>
    <w:rsid w:val="26404FD5"/>
    <w:rsid w:val="26461511"/>
    <w:rsid w:val="26494738"/>
    <w:rsid w:val="266876DA"/>
    <w:rsid w:val="267B565F"/>
    <w:rsid w:val="268F3407"/>
    <w:rsid w:val="26920BFA"/>
    <w:rsid w:val="26A34BB6"/>
    <w:rsid w:val="26AE2FAD"/>
    <w:rsid w:val="26BC05C1"/>
    <w:rsid w:val="26D11723"/>
    <w:rsid w:val="26EC1E6F"/>
    <w:rsid w:val="26ED01E5"/>
    <w:rsid w:val="26F23447"/>
    <w:rsid w:val="27054F28"/>
    <w:rsid w:val="27223D2C"/>
    <w:rsid w:val="274A6239"/>
    <w:rsid w:val="276F4A98"/>
    <w:rsid w:val="27843CE5"/>
    <w:rsid w:val="27965C2C"/>
    <w:rsid w:val="27A2744F"/>
    <w:rsid w:val="27C2106B"/>
    <w:rsid w:val="27EE1E60"/>
    <w:rsid w:val="27FC0CF9"/>
    <w:rsid w:val="28066DA1"/>
    <w:rsid w:val="28125B4F"/>
    <w:rsid w:val="281713B7"/>
    <w:rsid w:val="284B574E"/>
    <w:rsid w:val="285919D0"/>
    <w:rsid w:val="28722A91"/>
    <w:rsid w:val="287700A8"/>
    <w:rsid w:val="2890116A"/>
    <w:rsid w:val="28924EE2"/>
    <w:rsid w:val="28B05368"/>
    <w:rsid w:val="28B210E0"/>
    <w:rsid w:val="28C80903"/>
    <w:rsid w:val="28D472A8"/>
    <w:rsid w:val="28D669D0"/>
    <w:rsid w:val="28EC2844"/>
    <w:rsid w:val="29030EDA"/>
    <w:rsid w:val="292860AC"/>
    <w:rsid w:val="292E22DB"/>
    <w:rsid w:val="295B3290"/>
    <w:rsid w:val="296879F1"/>
    <w:rsid w:val="299A404E"/>
    <w:rsid w:val="29B50FF4"/>
    <w:rsid w:val="29BD3F19"/>
    <w:rsid w:val="29F37C02"/>
    <w:rsid w:val="29F86FC6"/>
    <w:rsid w:val="2A151926"/>
    <w:rsid w:val="2A4E6BE6"/>
    <w:rsid w:val="2A4F329C"/>
    <w:rsid w:val="2A503CE6"/>
    <w:rsid w:val="2A5612A2"/>
    <w:rsid w:val="2A61691A"/>
    <w:rsid w:val="2A6E7289"/>
    <w:rsid w:val="2A740A53"/>
    <w:rsid w:val="2A8B2C4B"/>
    <w:rsid w:val="2A8D1AFD"/>
    <w:rsid w:val="2A8D5961"/>
    <w:rsid w:val="2A9F7442"/>
    <w:rsid w:val="2AA50EFC"/>
    <w:rsid w:val="2AAD7DB1"/>
    <w:rsid w:val="2AB63109"/>
    <w:rsid w:val="2ABC6246"/>
    <w:rsid w:val="2AD64914"/>
    <w:rsid w:val="2ADE440E"/>
    <w:rsid w:val="2ADE61BC"/>
    <w:rsid w:val="2AF23A16"/>
    <w:rsid w:val="2B0A5203"/>
    <w:rsid w:val="2B0F45C8"/>
    <w:rsid w:val="2B1F5162"/>
    <w:rsid w:val="2B54647E"/>
    <w:rsid w:val="2B5E72FD"/>
    <w:rsid w:val="2B612949"/>
    <w:rsid w:val="2B66245D"/>
    <w:rsid w:val="2B747456"/>
    <w:rsid w:val="2B793E3B"/>
    <w:rsid w:val="2B870602"/>
    <w:rsid w:val="2B88437A"/>
    <w:rsid w:val="2B8C3E6A"/>
    <w:rsid w:val="2B8F74B6"/>
    <w:rsid w:val="2BA07916"/>
    <w:rsid w:val="2BC52E78"/>
    <w:rsid w:val="2BE47802"/>
    <w:rsid w:val="2BE772F2"/>
    <w:rsid w:val="2BE85D8D"/>
    <w:rsid w:val="2BEA293F"/>
    <w:rsid w:val="2BF043F9"/>
    <w:rsid w:val="2BF66346"/>
    <w:rsid w:val="2BFC0FF0"/>
    <w:rsid w:val="2C0E2AD1"/>
    <w:rsid w:val="2C2E3173"/>
    <w:rsid w:val="2C646B95"/>
    <w:rsid w:val="2C736DD8"/>
    <w:rsid w:val="2C7843EE"/>
    <w:rsid w:val="2C884632"/>
    <w:rsid w:val="2CBE44F7"/>
    <w:rsid w:val="2CC17B44"/>
    <w:rsid w:val="2CFC0B7C"/>
    <w:rsid w:val="2D3305D4"/>
    <w:rsid w:val="2D5C5ABE"/>
    <w:rsid w:val="2D872B3B"/>
    <w:rsid w:val="2D8950BC"/>
    <w:rsid w:val="2D8A43D9"/>
    <w:rsid w:val="2D910FF0"/>
    <w:rsid w:val="2D937732"/>
    <w:rsid w:val="2D945258"/>
    <w:rsid w:val="2DAF14C1"/>
    <w:rsid w:val="2DBC2418"/>
    <w:rsid w:val="2DBF0527"/>
    <w:rsid w:val="2DC72F38"/>
    <w:rsid w:val="2DE25FC3"/>
    <w:rsid w:val="2DE41D3C"/>
    <w:rsid w:val="2DED194A"/>
    <w:rsid w:val="2DEE0B8D"/>
    <w:rsid w:val="2E2F6D2F"/>
    <w:rsid w:val="2E3D769E"/>
    <w:rsid w:val="2E400F3C"/>
    <w:rsid w:val="2E6B420B"/>
    <w:rsid w:val="2E6C5F79"/>
    <w:rsid w:val="2E742A02"/>
    <w:rsid w:val="2E7C6F77"/>
    <w:rsid w:val="2EB37960"/>
    <w:rsid w:val="2EC57342"/>
    <w:rsid w:val="2ED753FC"/>
    <w:rsid w:val="2EE815EF"/>
    <w:rsid w:val="2EFA61C6"/>
    <w:rsid w:val="2F067A90"/>
    <w:rsid w:val="2F195A15"/>
    <w:rsid w:val="2F324D29"/>
    <w:rsid w:val="2F48454C"/>
    <w:rsid w:val="2F4D1B62"/>
    <w:rsid w:val="2F546A4D"/>
    <w:rsid w:val="2F5F42E6"/>
    <w:rsid w:val="2F854E58"/>
    <w:rsid w:val="2F9C03F4"/>
    <w:rsid w:val="2FF70277"/>
    <w:rsid w:val="301F52AD"/>
    <w:rsid w:val="303845C1"/>
    <w:rsid w:val="3049057C"/>
    <w:rsid w:val="304940D8"/>
    <w:rsid w:val="304C7364"/>
    <w:rsid w:val="305F38FB"/>
    <w:rsid w:val="30937A49"/>
    <w:rsid w:val="30987E5B"/>
    <w:rsid w:val="30A27C8C"/>
    <w:rsid w:val="30A47560"/>
    <w:rsid w:val="30A77050"/>
    <w:rsid w:val="30DF4A3C"/>
    <w:rsid w:val="30F73B34"/>
    <w:rsid w:val="310F6C24"/>
    <w:rsid w:val="31197F4E"/>
    <w:rsid w:val="312C264D"/>
    <w:rsid w:val="314F3970"/>
    <w:rsid w:val="31745184"/>
    <w:rsid w:val="317B29B7"/>
    <w:rsid w:val="31A97892"/>
    <w:rsid w:val="31AE6678"/>
    <w:rsid w:val="31FD161E"/>
    <w:rsid w:val="32002EBC"/>
    <w:rsid w:val="32017127"/>
    <w:rsid w:val="320209E2"/>
    <w:rsid w:val="320D154F"/>
    <w:rsid w:val="32221084"/>
    <w:rsid w:val="324059AE"/>
    <w:rsid w:val="324F79A0"/>
    <w:rsid w:val="32520F19"/>
    <w:rsid w:val="325D3E6B"/>
    <w:rsid w:val="32780143"/>
    <w:rsid w:val="32B6615F"/>
    <w:rsid w:val="32C97752"/>
    <w:rsid w:val="32D14858"/>
    <w:rsid w:val="32D43FFF"/>
    <w:rsid w:val="32D83E39"/>
    <w:rsid w:val="32EB653A"/>
    <w:rsid w:val="331429F5"/>
    <w:rsid w:val="33154745"/>
    <w:rsid w:val="333252F7"/>
    <w:rsid w:val="33370B5F"/>
    <w:rsid w:val="33517E72"/>
    <w:rsid w:val="33532934"/>
    <w:rsid w:val="33753436"/>
    <w:rsid w:val="33863895"/>
    <w:rsid w:val="33983602"/>
    <w:rsid w:val="33AA7583"/>
    <w:rsid w:val="33B57CD6"/>
    <w:rsid w:val="33CE7DDD"/>
    <w:rsid w:val="33EA5BD2"/>
    <w:rsid w:val="33F52B8E"/>
    <w:rsid w:val="341E587B"/>
    <w:rsid w:val="34390907"/>
    <w:rsid w:val="343C3F54"/>
    <w:rsid w:val="345B087E"/>
    <w:rsid w:val="345E211C"/>
    <w:rsid w:val="34621C0C"/>
    <w:rsid w:val="34767465"/>
    <w:rsid w:val="34853B4C"/>
    <w:rsid w:val="34871673"/>
    <w:rsid w:val="3489363D"/>
    <w:rsid w:val="349E4011"/>
    <w:rsid w:val="34A73AC3"/>
    <w:rsid w:val="34AE6BFF"/>
    <w:rsid w:val="34B41D3C"/>
    <w:rsid w:val="34D33E92"/>
    <w:rsid w:val="34D643A8"/>
    <w:rsid w:val="34DF500B"/>
    <w:rsid w:val="34EC3EA5"/>
    <w:rsid w:val="351132A0"/>
    <w:rsid w:val="351C625F"/>
    <w:rsid w:val="351F5D4F"/>
    <w:rsid w:val="3554618D"/>
    <w:rsid w:val="357339A5"/>
    <w:rsid w:val="35885AF5"/>
    <w:rsid w:val="35B5220F"/>
    <w:rsid w:val="35BC17F0"/>
    <w:rsid w:val="35C91817"/>
    <w:rsid w:val="35E52AF5"/>
    <w:rsid w:val="35FB4470"/>
    <w:rsid w:val="36115B96"/>
    <w:rsid w:val="36150687"/>
    <w:rsid w:val="36257395"/>
    <w:rsid w:val="363C34A7"/>
    <w:rsid w:val="36432D79"/>
    <w:rsid w:val="36484E32"/>
    <w:rsid w:val="364A0BAA"/>
    <w:rsid w:val="36683C1F"/>
    <w:rsid w:val="367B0D63"/>
    <w:rsid w:val="367E6AA5"/>
    <w:rsid w:val="368619EC"/>
    <w:rsid w:val="36A500E2"/>
    <w:rsid w:val="36A91D74"/>
    <w:rsid w:val="36BD5820"/>
    <w:rsid w:val="36D93CDC"/>
    <w:rsid w:val="36F9612C"/>
    <w:rsid w:val="370445C3"/>
    <w:rsid w:val="370B658B"/>
    <w:rsid w:val="370E7E29"/>
    <w:rsid w:val="37124BF8"/>
    <w:rsid w:val="37130DE6"/>
    <w:rsid w:val="375A6BCB"/>
    <w:rsid w:val="376E5A1F"/>
    <w:rsid w:val="37A10C9D"/>
    <w:rsid w:val="37DC7F27"/>
    <w:rsid w:val="37E666B0"/>
    <w:rsid w:val="37ED7A3F"/>
    <w:rsid w:val="37F0752F"/>
    <w:rsid w:val="37F74639"/>
    <w:rsid w:val="37F94635"/>
    <w:rsid w:val="37FA5E67"/>
    <w:rsid w:val="37FE7E9E"/>
    <w:rsid w:val="381476C1"/>
    <w:rsid w:val="381E23B5"/>
    <w:rsid w:val="3825367C"/>
    <w:rsid w:val="3834566E"/>
    <w:rsid w:val="384D672F"/>
    <w:rsid w:val="38507FCD"/>
    <w:rsid w:val="38675A43"/>
    <w:rsid w:val="387463B2"/>
    <w:rsid w:val="388A1731"/>
    <w:rsid w:val="388D2FD0"/>
    <w:rsid w:val="38C033A5"/>
    <w:rsid w:val="38D232C1"/>
    <w:rsid w:val="38D36F49"/>
    <w:rsid w:val="38D54ACA"/>
    <w:rsid w:val="38F11738"/>
    <w:rsid w:val="38FE5C7B"/>
    <w:rsid w:val="390019F4"/>
    <w:rsid w:val="392D2312"/>
    <w:rsid w:val="39534219"/>
    <w:rsid w:val="396C5956"/>
    <w:rsid w:val="397615D9"/>
    <w:rsid w:val="397B107A"/>
    <w:rsid w:val="399A59A4"/>
    <w:rsid w:val="39BC591B"/>
    <w:rsid w:val="39C72511"/>
    <w:rsid w:val="39D2513E"/>
    <w:rsid w:val="39E46138"/>
    <w:rsid w:val="39EA716E"/>
    <w:rsid w:val="39F01A68"/>
    <w:rsid w:val="3A086DB2"/>
    <w:rsid w:val="3A0D261A"/>
    <w:rsid w:val="3A306505"/>
    <w:rsid w:val="3A3C6A5B"/>
    <w:rsid w:val="3A5E4C24"/>
    <w:rsid w:val="3A791A5E"/>
    <w:rsid w:val="3A9B5E78"/>
    <w:rsid w:val="3AA074D5"/>
    <w:rsid w:val="3AAF21A5"/>
    <w:rsid w:val="3AB962FE"/>
    <w:rsid w:val="3ACC7DDF"/>
    <w:rsid w:val="3AF61300"/>
    <w:rsid w:val="3B082DE1"/>
    <w:rsid w:val="3B084B8F"/>
    <w:rsid w:val="3B0D21A6"/>
    <w:rsid w:val="3B2174CA"/>
    <w:rsid w:val="3B2C087E"/>
    <w:rsid w:val="3B4262F3"/>
    <w:rsid w:val="3B7346FF"/>
    <w:rsid w:val="3B822B94"/>
    <w:rsid w:val="3B9F3746"/>
    <w:rsid w:val="3BB371F1"/>
    <w:rsid w:val="3BC27434"/>
    <w:rsid w:val="3BCB6780"/>
    <w:rsid w:val="3BCE6B49"/>
    <w:rsid w:val="3BD76EF8"/>
    <w:rsid w:val="3BF55114"/>
    <w:rsid w:val="3C0812EB"/>
    <w:rsid w:val="3C08753D"/>
    <w:rsid w:val="3C101F4E"/>
    <w:rsid w:val="3C1C08F2"/>
    <w:rsid w:val="3C363AD7"/>
    <w:rsid w:val="3C4B567C"/>
    <w:rsid w:val="3C5E53AF"/>
    <w:rsid w:val="3C6978B0"/>
    <w:rsid w:val="3CAB1C76"/>
    <w:rsid w:val="3CE820FA"/>
    <w:rsid w:val="3CF60FF7"/>
    <w:rsid w:val="3CFE624A"/>
    <w:rsid w:val="3D3659E4"/>
    <w:rsid w:val="3D3D6D72"/>
    <w:rsid w:val="3D4E0F7F"/>
    <w:rsid w:val="3D4F3E78"/>
    <w:rsid w:val="3D52414F"/>
    <w:rsid w:val="3D55642B"/>
    <w:rsid w:val="3D597924"/>
    <w:rsid w:val="3D762284"/>
    <w:rsid w:val="3D87623F"/>
    <w:rsid w:val="3D9918A0"/>
    <w:rsid w:val="3DB159B2"/>
    <w:rsid w:val="3DDC2A2F"/>
    <w:rsid w:val="3DDC47DD"/>
    <w:rsid w:val="3DE32A0E"/>
    <w:rsid w:val="3DE9090D"/>
    <w:rsid w:val="3DF322CD"/>
    <w:rsid w:val="3DFF0210"/>
    <w:rsid w:val="3E043D34"/>
    <w:rsid w:val="3E1D4DF6"/>
    <w:rsid w:val="3E23065E"/>
    <w:rsid w:val="3E2972F7"/>
    <w:rsid w:val="3E344619"/>
    <w:rsid w:val="3E374E7B"/>
    <w:rsid w:val="3E3E7ACE"/>
    <w:rsid w:val="3E4E4FAF"/>
    <w:rsid w:val="3E6A30FB"/>
    <w:rsid w:val="3E815385"/>
    <w:rsid w:val="3E860BED"/>
    <w:rsid w:val="3E946E66"/>
    <w:rsid w:val="3EA66B99"/>
    <w:rsid w:val="3EBB0897"/>
    <w:rsid w:val="3EC92E65"/>
    <w:rsid w:val="3ECA0ADA"/>
    <w:rsid w:val="3ECC2941"/>
    <w:rsid w:val="3ED25BE0"/>
    <w:rsid w:val="3EDC5C73"/>
    <w:rsid w:val="3EE15E23"/>
    <w:rsid w:val="3EF75647"/>
    <w:rsid w:val="3F125FDD"/>
    <w:rsid w:val="3F2D2E17"/>
    <w:rsid w:val="3F2F3033"/>
    <w:rsid w:val="3F406FEE"/>
    <w:rsid w:val="3F4D25D9"/>
    <w:rsid w:val="3FCE45FA"/>
    <w:rsid w:val="3FF5F3AE"/>
    <w:rsid w:val="400E2C48"/>
    <w:rsid w:val="40112738"/>
    <w:rsid w:val="4021297B"/>
    <w:rsid w:val="402611B6"/>
    <w:rsid w:val="40307062"/>
    <w:rsid w:val="404B5937"/>
    <w:rsid w:val="405849A0"/>
    <w:rsid w:val="40662A84"/>
    <w:rsid w:val="4084115C"/>
    <w:rsid w:val="40864ED4"/>
    <w:rsid w:val="4090485C"/>
    <w:rsid w:val="40A4535A"/>
    <w:rsid w:val="40C44FE1"/>
    <w:rsid w:val="40D479EE"/>
    <w:rsid w:val="40D914A8"/>
    <w:rsid w:val="40D93256"/>
    <w:rsid w:val="40DC68A2"/>
    <w:rsid w:val="40E1035D"/>
    <w:rsid w:val="410F6C78"/>
    <w:rsid w:val="414D154E"/>
    <w:rsid w:val="41775923"/>
    <w:rsid w:val="417B437E"/>
    <w:rsid w:val="41BD2B78"/>
    <w:rsid w:val="41C23074"/>
    <w:rsid w:val="41D34149"/>
    <w:rsid w:val="42165DE4"/>
    <w:rsid w:val="421A3B26"/>
    <w:rsid w:val="421F2EEA"/>
    <w:rsid w:val="42277FF1"/>
    <w:rsid w:val="422E137F"/>
    <w:rsid w:val="423611DC"/>
    <w:rsid w:val="42442951"/>
    <w:rsid w:val="425226B2"/>
    <w:rsid w:val="425863FC"/>
    <w:rsid w:val="42796D1A"/>
    <w:rsid w:val="427B20EB"/>
    <w:rsid w:val="428471F1"/>
    <w:rsid w:val="428E2B11"/>
    <w:rsid w:val="42925DB2"/>
    <w:rsid w:val="42C43F3A"/>
    <w:rsid w:val="42CD0A98"/>
    <w:rsid w:val="42CF2B62"/>
    <w:rsid w:val="43095949"/>
    <w:rsid w:val="43140575"/>
    <w:rsid w:val="431829B0"/>
    <w:rsid w:val="431A0C09"/>
    <w:rsid w:val="432C1C27"/>
    <w:rsid w:val="4355293C"/>
    <w:rsid w:val="436332AB"/>
    <w:rsid w:val="438374A9"/>
    <w:rsid w:val="438D5BAC"/>
    <w:rsid w:val="43A77473"/>
    <w:rsid w:val="43AA712C"/>
    <w:rsid w:val="43B92ECB"/>
    <w:rsid w:val="43BD0C0D"/>
    <w:rsid w:val="43CB7A41"/>
    <w:rsid w:val="43DD305D"/>
    <w:rsid w:val="44250560"/>
    <w:rsid w:val="44290050"/>
    <w:rsid w:val="44307631"/>
    <w:rsid w:val="446C618F"/>
    <w:rsid w:val="447D31D0"/>
    <w:rsid w:val="448B0D0B"/>
    <w:rsid w:val="449877CE"/>
    <w:rsid w:val="449B1E09"/>
    <w:rsid w:val="449F6565"/>
    <w:rsid w:val="44A616A1"/>
    <w:rsid w:val="44AE7B61"/>
    <w:rsid w:val="44BF6C07"/>
    <w:rsid w:val="44C164DB"/>
    <w:rsid w:val="44DE52DF"/>
    <w:rsid w:val="44E73A68"/>
    <w:rsid w:val="44EC107E"/>
    <w:rsid w:val="44EE3048"/>
    <w:rsid w:val="44EF214B"/>
    <w:rsid w:val="44FA379B"/>
    <w:rsid w:val="44FA7C3F"/>
    <w:rsid w:val="44FF14B2"/>
    <w:rsid w:val="45045743"/>
    <w:rsid w:val="45126D36"/>
    <w:rsid w:val="4527163D"/>
    <w:rsid w:val="45336CAD"/>
    <w:rsid w:val="453C6991"/>
    <w:rsid w:val="455273CF"/>
    <w:rsid w:val="45723C79"/>
    <w:rsid w:val="457479F1"/>
    <w:rsid w:val="457E261E"/>
    <w:rsid w:val="45BB73CE"/>
    <w:rsid w:val="45BD3146"/>
    <w:rsid w:val="45BE0C6C"/>
    <w:rsid w:val="46144D30"/>
    <w:rsid w:val="466435C2"/>
    <w:rsid w:val="467001B9"/>
    <w:rsid w:val="467852BF"/>
    <w:rsid w:val="467F03FC"/>
    <w:rsid w:val="469D0882"/>
    <w:rsid w:val="46A61E2C"/>
    <w:rsid w:val="46A62AF8"/>
    <w:rsid w:val="46BC0A08"/>
    <w:rsid w:val="46C91677"/>
    <w:rsid w:val="46E464B1"/>
    <w:rsid w:val="46E93AC7"/>
    <w:rsid w:val="46ED1809"/>
    <w:rsid w:val="46F54B62"/>
    <w:rsid w:val="46FF32EA"/>
    <w:rsid w:val="47044DA5"/>
    <w:rsid w:val="471728F8"/>
    <w:rsid w:val="4736312B"/>
    <w:rsid w:val="475950F1"/>
    <w:rsid w:val="476475F1"/>
    <w:rsid w:val="476A2E5A"/>
    <w:rsid w:val="477737C9"/>
    <w:rsid w:val="477B5067"/>
    <w:rsid w:val="47875E2B"/>
    <w:rsid w:val="4791488A"/>
    <w:rsid w:val="47946129"/>
    <w:rsid w:val="47952AA8"/>
    <w:rsid w:val="47B02837"/>
    <w:rsid w:val="4800556C"/>
    <w:rsid w:val="480E2158"/>
    <w:rsid w:val="48117779"/>
    <w:rsid w:val="48166B3E"/>
    <w:rsid w:val="481B05F8"/>
    <w:rsid w:val="483E5A6A"/>
    <w:rsid w:val="484C692D"/>
    <w:rsid w:val="484E35A1"/>
    <w:rsid w:val="4851401A"/>
    <w:rsid w:val="486C2C02"/>
    <w:rsid w:val="48757D08"/>
    <w:rsid w:val="4876582E"/>
    <w:rsid w:val="487D096B"/>
    <w:rsid w:val="48837E5F"/>
    <w:rsid w:val="489108BA"/>
    <w:rsid w:val="48A241EC"/>
    <w:rsid w:val="48AB372A"/>
    <w:rsid w:val="48C7608A"/>
    <w:rsid w:val="48E1539E"/>
    <w:rsid w:val="48F549A5"/>
    <w:rsid w:val="48F814B6"/>
    <w:rsid w:val="49090450"/>
    <w:rsid w:val="492F7F5B"/>
    <w:rsid w:val="4944592C"/>
    <w:rsid w:val="494E2307"/>
    <w:rsid w:val="495F2766"/>
    <w:rsid w:val="4961203A"/>
    <w:rsid w:val="49690EEF"/>
    <w:rsid w:val="497955D6"/>
    <w:rsid w:val="499E2A2A"/>
    <w:rsid w:val="49AD34D2"/>
    <w:rsid w:val="49D00F6E"/>
    <w:rsid w:val="49D40A5E"/>
    <w:rsid w:val="49E8450A"/>
    <w:rsid w:val="49FF53F4"/>
    <w:rsid w:val="4A0C644A"/>
    <w:rsid w:val="4A275032"/>
    <w:rsid w:val="4A2C1887"/>
    <w:rsid w:val="4A370FED"/>
    <w:rsid w:val="4A3E412A"/>
    <w:rsid w:val="4A607445"/>
    <w:rsid w:val="4A6718D3"/>
    <w:rsid w:val="4A7D2EA4"/>
    <w:rsid w:val="4A82495E"/>
    <w:rsid w:val="4AD55B10"/>
    <w:rsid w:val="4AEE78FE"/>
    <w:rsid w:val="4AF76568"/>
    <w:rsid w:val="4B103D18"/>
    <w:rsid w:val="4B4C3E25"/>
    <w:rsid w:val="4B6202EC"/>
    <w:rsid w:val="4B65373A"/>
    <w:rsid w:val="4B977BD2"/>
    <w:rsid w:val="4BA001D7"/>
    <w:rsid w:val="4BB66F25"/>
    <w:rsid w:val="4BBA0D7E"/>
    <w:rsid w:val="4BDB2578"/>
    <w:rsid w:val="4BE35428"/>
    <w:rsid w:val="4BE60F1D"/>
    <w:rsid w:val="4BE93AEC"/>
    <w:rsid w:val="4BED22AB"/>
    <w:rsid w:val="4BED4669"/>
    <w:rsid w:val="4BFE1DC3"/>
    <w:rsid w:val="4C1B5E00"/>
    <w:rsid w:val="4C26756B"/>
    <w:rsid w:val="4C2757BD"/>
    <w:rsid w:val="4C567E51"/>
    <w:rsid w:val="4C59349D"/>
    <w:rsid w:val="4C726D60"/>
    <w:rsid w:val="4C7812D0"/>
    <w:rsid w:val="4C991AEB"/>
    <w:rsid w:val="4C994A2C"/>
    <w:rsid w:val="4CB86415"/>
    <w:rsid w:val="4CCF375F"/>
    <w:rsid w:val="4CD46FC7"/>
    <w:rsid w:val="4CE5372E"/>
    <w:rsid w:val="4CE95494"/>
    <w:rsid w:val="4CF90F82"/>
    <w:rsid w:val="4CFB6302"/>
    <w:rsid w:val="4CFD1DDD"/>
    <w:rsid w:val="4D00163A"/>
    <w:rsid w:val="4D0072CE"/>
    <w:rsid w:val="4D115B26"/>
    <w:rsid w:val="4D3B0DF4"/>
    <w:rsid w:val="4D4E7696"/>
    <w:rsid w:val="4D510618"/>
    <w:rsid w:val="4D5B4FF3"/>
    <w:rsid w:val="4D6150D8"/>
    <w:rsid w:val="4D6B792C"/>
    <w:rsid w:val="4D6D5452"/>
    <w:rsid w:val="4D902EEE"/>
    <w:rsid w:val="4D917D7D"/>
    <w:rsid w:val="4D926C66"/>
    <w:rsid w:val="4D990842"/>
    <w:rsid w:val="4DAD1CF2"/>
    <w:rsid w:val="4DB210B7"/>
    <w:rsid w:val="4DBB3B00"/>
    <w:rsid w:val="4DD80905"/>
    <w:rsid w:val="4E015B9A"/>
    <w:rsid w:val="4E0D2384"/>
    <w:rsid w:val="4E10402F"/>
    <w:rsid w:val="4E38634E"/>
    <w:rsid w:val="4E386F08"/>
    <w:rsid w:val="4E3F66C2"/>
    <w:rsid w:val="4E4B5067"/>
    <w:rsid w:val="4E577EB0"/>
    <w:rsid w:val="4E7D64B2"/>
    <w:rsid w:val="4E8A5B90"/>
    <w:rsid w:val="4EA2112B"/>
    <w:rsid w:val="4EC36941"/>
    <w:rsid w:val="4ECC585B"/>
    <w:rsid w:val="4EF86F9D"/>
    <w:rsid w:val="4F0F5BE3"/>
    <w:rsid w:val="4F1D6A04"/>
    <w:rsid w:val="4F2E0C11"/>
    <w:rsid w:val="4F3501F1"/>
    <w:rsid w:val="4F4A531F"/>
    <w:rsid w:val="4F4C1097"/>
    <w:rsid w:val="4F552641"/>
    <w:rsid w:val="4F5543EF"/>
    <w:rsid w:val="4F74239C"/>
    <w:rsid w:val="4F7F321A"/>
    <w:rsid w:val="4FA15887"/>
    <w:rsid w:val="4FB758F2"/>
    <w:rsid w:val="4FB76E58"/>
    <w:rsid w:val="4FB93F1E"/>
    <w:rsid w:val="4FCD042A"/>
    <w:rsid w:val="4FD221F1"/>
    <w:rsid w:val="4FDC68BF"/>
    <w:rsid w:val="4FDE2637"/>
    <w:rsid w:val="4FE319FB"/>
    <w:rsid w:val="4FE614EB"/>
    <w:rsid w:val="501C6CBB"/>
    <w:rsid w:val="503C735D"/>
    <w:rsid w:val="504A1A7A"/>
    <w:rsid w:val="504D3319"/>
    <w:rsid w:val="50593A6B"/>
    <w:rsid w:val="50615016"/>
    <w:rsid w:val="5064435A"/>
    <w:rsid w:val="50962F12"/>
    <w:rsid w:val="509B0528"/>
    <w:rsid w:val="50A8054F"/>
    <w:rsid w:val="50AC44E3"/>
    <w:rsid w:val="50B769E4"/>
    <w:rsid w:val="50B909AE"/>
    <w:rsid w:val="50B9287D"/>
    <w:rsid w:val="511E4CB5"/>
    <w:rsid w:val="513D7B66"/>
    <w:rsid w:val="515801C7"/>
    <w:rsid w:val="516A3A56"/>
    <w:rsid w:val="517B2107"/>
    <w:rsid w:val="518C1C1F"/>
    <w:rsid w:val="51932FAD"/>
    <w:rsid w:val="51AA02F7"/>
    <w:rsid w:val="51D7275F"/>
    <w:rsid w:val="51E269DA"/>
    <w:rsid w:val="51E66B85"/>
    <w:rsid w:val="51E97071"/>
    <w:rsid w:val="51EB4B97"/>
    <w:rsid w:val="521265C8"/>
    <w:rsid w:val="522037C5"/>
    <w:rsid w:val="522C3116"/>
    <w:rsid w:val="52397B4D"/>
    <w:rsid w:val="52422029"/>
    <w:rsid w:val="5251742F"/>
    <w:rsid w:val="527903F5"/>
    <w:rsid w:val="528374C6"/>
    <w:rsid w:val="52870A26"/>
    <w:rsid w:val="52A66D10"/>
    <w:rsid w:val="52B92EE7"/>
    <w:rsid w:val="52C553E8"/>
    <w:rsid w:val="52E635B0"/>
    <w:rsid w:val="52EB2107"/>
    <w:rsid w:val="52F91536"/>
    <w:rsid w:val="53185E60"/>
    <w:rsid w:val="5325232B"/>
    <w:rsid w:val="532C5467"/>
    <w:rsid w:val="53301F7C"/>
    <w:rsid w:val="5359168B"/>
    <w:rsid w:val="535D45AB"/>
    <w:rsid w:val="536A41E2"/>
    <w:rsid w:val="53755DED"/>
    <w:rsid w:val="538C5F06"/>
    <w:rsid w:val="539E42B0"/>
    <w:rsid w:val="53A5346C"/>
    <w:rsid w:val="53AC65A8"/>
    <w:rsid w:val="53BE1EF3"/>
    <w:rsid w:val="53CB7D68"/>
    <w:rsid w:val="53F86BF3"/>
    <w:rsid w:val="54183C3E"/>
    <w:rsid w:val="54271911"/>
    <w:rsid w:val="54413194"/>
    <w:rsid w:val="544B3DCF"/>
    <w:rsid w:val="5455279C"/>
    <w:rsid w:val="547846DC"/>
    <w:rsid w:val="54972DB4"/>
    <w:rsid w:val="54A77A85"/>
    <w:rsid w:val="54AE00FE"/>
    <w:rsid w:val="54CD4A28"/>
    <w:rsid w:val="54FE4BE1"/>
    <w:rsid w:val="54FE72D7"/>
    <w:rsid w:val="55040901"/>
    <w:rsid w:val="550D12C8"/>
    <w:rsid w:val="550F5041"/>
    <w:rsid w:val="551B5793"/>
    <w:rsid w:val="553363EE"/>
    <w:rsid w:val="554E4208"/>
    <w:rsid w:val="556A2277"/>
    <w:rsid w:val="557E5189"/>
    <w:rsid w:val="558A46C7"/>
    <w:rsid w:val="559A0800"/>
    <w:rsid w:val="55A439DB"/>
    <w:rsid w:val="55A57753"/>
    <w:rsid w:val="561D19DF"/>
    <w:rsid w:val="56505911"/>
    <w:rsid w:val="56553C8D"/>
    <w:rsid w:val="56707D61"/>
    <w:rsid w:val="568D0913"/>
    <w:rsid w:val="56A46336"/>
    <w:rsid w:val="56A63783"/>
    <w:rsid w:val="56D26326"/>
    <w:rsid w:val="56D91D6D"/>
    <w:rsid w:val="56DF05DE"/>
    <w:rsid w:val="570606C5"/>
    <w:rsid w:val="571E77BD"/>
    <w:rsid w:val="573B211D"/>
    <w:rsid w:val="57435475"/>
    <w:rsid w:val="575E5615"/>
    <w:rsid w:val="57631674"/>
    <w:rsid w:val="576C0528"/>
    <w:rsid w:val="57790E97"/>
    <w:rsid w:val="5790539F"/>
    <w:rsid w:val="579932E7"/>
    <w:rsid w:val="57C4203E"/>
    <w:rsid w:val="57FC6189"/>
    <w:rsid w:val="580478E4"/>
    <w:rsid w:val="58064575"/>
    <w:rsid w:val="581A61D6"/>
    <w:rsid w:val="582A6174"/>
    <w:rsid w:val="582B2191"/>
    <w:rsid w:val="58313520"/>
    <w:rsid w:val="58337298"/>
    <w:rsid w:val="583C439E"/>
    <w:rsid w:val="5857298D"/>
    <w:rsid w:val="58675193"/>
    <w:rsid w:val="586B07E0"/>
    <w:rsid w:val="587F428B"/>
    <w:rsid w:val="58977827"/>
    <w:rsid w:val="58A837E2"/>
    <w:rsid w:val="58B2640F"/>
    <w:rsid w:val="58C6010C"/>
    <w:rsid w:val="58CD4FF7"/>
    <w:rsid w:val="58D8399B"/>
    <w:rsid w:val="58DF11CE"/>
    <w:rsid w:val="58F72073"/>
    <w:rsid w:val="59184C1C"/>
    <w:rsid w:val="59205A6E"/>
    <w:rsid w:val="593C017D"/>
    <w:rsid w:val="594B0611"/>
    <w:rsid w:val="5991071A"/>
    <w:rsid w:val="599C2C1B"/>
    <w:rsid w:val="59A33FA9"/>
    <w:rsid w:val="59AC0D97"/>
    <w:rsid w:val="59C4289D"/>
    <w:rsid w:val="59DB1995"/>
    <w:rsid w:val="5A00764E"/>
    <w:rsid w:val="5A0507C0"/>
    <w:rsid w:val="5A0E1D6B"/>
    <w:rsid w:val="5A15432B"/>
    <w:rsid w:val="5A2734CC"/>
    <w:rsid w:val="5A4412E8"/>
    <w:rsid w:val="5A44578C"/>
    <w:rsid w:val="5A4A650E"/>
    <w:rsid w:val="5A5659FA"/>
    <w:rsid w:val="5A566598"/>
    <w:rsid w:val="5A5F3055"/>
    <w:rsid w:val="5A612DA8"/>
    <w:rsid w:val="5A666103"/>
    <w:rsid w:val="5AA601F5"/>
    <w:rsid w:val="5AB94AC0"/>
    <w:rsid w:val="5AD85ED5"/>
    <w:rsid w:val="5AE76118"/>
    <w:rsid w:val="5AF727FF"/>
    <w:rsid w:val="5B172EA1"/>
    <w:rsid w:val="5B1F3B03"/>
    <w:rsid w:val="5B303D3E"/>
    <w:rsid w:val="5B323837"/>
    <w:rsid w:val="5B4041A6"/>
    <w:rsid w:val="5B4B66A7"/>
    <w:rsid w:val="5B7E4CCE"/>
    <w:rsid w:val="5B835E40"/>
    <w:rsid w:val="5BB46942"/>
    <w:rsid w:val="5BBD57F6"/>
    <w:rsid w:val="5BC958AC"/>
    <w:rsid w:val="5BD62414"/>
    <w:rsid w:val="5BDB3ECE"/>
    <w:rsid w:val="5BE74621"/>
    <w:rsid w:val="5BFA5BAB"/>
    <w:rsid w:val="5C0A0310"/>
    <w:rsid w:val="5C0D4977"/>
    <w:rsid w:val="5C133668"/>
    <w:rsid w:val="5C142F3C"/>
    <w:rsid w:val="5C4F17B9"/>
    <w:rsid w:val="5C581579"/>
    <w:rsid w:val="5C6043D4"/>
    <w:rsid w:val="5C6953BD"/>
    <w:rsid w:val="5C7B745F"/>
    <w:rsid w:val="5C8A31FF"/>
    <w:rsid w:val="5C8B76A2"/>
    <w:rsid w:val="5C8C51C9"/>
    <w:rsid w:val="5C904CB9"/>
    <w:rsid w:val="5C976331"/>
    <w:rsid w:val="5C987BA0"/>
    <w:rsid w:val="5CC22998"/>
    <w:rsid w:val="5CCA2D81"/>
    <w:rsid w:val="5CEB0141"/>
    <w:rsid w:val="5CF62304"/>
    <w:rsid w:val="5CF81C6E"/>
    <w:rsid w:val="5D211DB5"/>
    <w:rsid w:val="5D221689"/>
    <w:rsid w:val="5D3A4C25"/>
    <w:rsid w:val="5D3C099D"/>
    <w:rsid w:val="5D3F223B"/>
    <w:rsid w:val="5D3F47CB"/>
    <w:rsid w:val="5D504448"/>
    <w:rsid w:val="5D535CE6"/>
    <w:rsid w:val="5D647DF3"/>
    <w:rsid w:val="5D7843A7"/>
    <w:rsid w:val="5D9302F4"/>
    <w:rsid w:val="5D9C768D"/>
    <w:rsid w:val="5DB06C95"/>
    <w:rsid w:val="5DD21301"/>
    <w:rsid w:val="5DF23751"/>
    <w:rsid w:val="5E0170BB"/>
    <w:rsid w:val="5E057D63"/>
    <w:rsid w:val="5E0A2849"/>
    <w:rsid w:val="5E1E4546"/>
    <w:rsid w:val="5E203E1A"/>
    <w:rsid w:val="5E5F0DE7"/>
    <w:rsid w:val="5E653F23"/>
    <w:rsid w:val="5E873FB8"/>
    <w:rsid w:val="5E8D0CFD"/>
    <w:rsid w:val="5E8D407E"/>
    <w:rsid w:val="5EA22A81"/>
    <w:rsid w:val="5ED54C05"/>
    <w:rsid w:val="5EF579AE"/>
    <w:rsid w:val="5EF944CD"/>
    <w:rsid w:val="5F073306"/>
    <w:rsid w:val="5F0E0117"/>
    <w:rsid w:val="5F373350"/>
    <w:rsid w:val="5F530220"/>
    <w:rsid w:val="5F55367B"/>
    <w:rsid w:val="5F5F73B9"/>
    <w:rsid w:val="5F8F74AA"/>
    <w:rsid w:val="5F93061C"/>
    <w:rsid w:val="5F9745B0"/>
    <w:rsid w:val="5F993E84"/>
    <w:rsid w:val="5F9E76ED"/>
    <w:rsid w:val="5FA62A45"/>
    <w:rsid w:val="5FEB0458"/>
    <w:rsid w:val="5FFE29B9"/>
    <w:rsid w:val="60032F94"/>
    <w:rsid w:val="60067FDB"/>
    <w:rsid w:val="600B4656"/>
    <w:rsid w:val="6017749F"/>
    <w:rsid w:val="601E082E"/>
    <w:rsid w:val="602F47E9"/>
    <w:rsid w:val="60377F79"/>
    <w:rsid w:val="603D527B"/>
    <w:rsid w:val="60400411"/>
    <w:rsid w:val="605D3104"/>
    <w:rsid w:val="606049A2"/>
    <w:rsid w:val="60640573"/>
    <w:rsid w:val="607940A4"/>
    <w:rsid w:val="609B1E7E"/>
    <w:rsid w:val="609E371C"/>
    <w:rsid w:val="60A056E7"/>
    <w:rsid w:val="60B22A95"/>
    <w:rsid w:val="60D96503"/>
    <w:rsid w:val="60E03D35"/>
    <w:rsid w:val="60E94998"/>
    <w:rsid w:val="60F90953"/>
    <w:rsid w:val="610861F0"/>
    <w:rsid w:val="610A4290"/>
    <w:rsid w:val="610D03E6"/>
    <w:rsid w:val="6116747B"/>
    <w:rsid w:val="611D0AE5"/>
    <w:rsid w:val="61572249"/>
    <w:rsid w:val="61706974"/>
    <w:rsid w:val="617768C8"/>
    <w:rsid w:val="61AE5BE1"/>
    <w:rsid w:val="61C55405"/>
    <w:rsid w:val="61E11B13"/>
    <w:rsid w:val="61F530F2"/>
    <w:rsid w:val="621243C2"/>
    <w:rsid w:val="62255EA3"/>
    <w:rsid w:val="622C5484"/>
    <w:rsid w:val="624125B1"/>
    <w:rsid w:val="62487DE4"/>
    <w:rsid w:val="62682234"/>
    <w:rsid w:val="626A5FAC"/>
    <w:rsid w:val="626C3AD2"/>
    <w:rsid w:val="62742987"/>
    <w:rsid w:val="627E7362"/>
    <w:rsid w:val="62A97B60"/>
    <w:rsid w:val="62BD60DC"/>
    <w:rsid w:val="62F37D50"/>
    <w:rsid w:val="62F60B69"/>
    <w:rsid w:val="62FE04A2"/>
    <w:rsid w:val="632919C3"/>
    <w:rsid w:val="633F4D43"/>
    <w:rsid w:val="63416D0D"/>
    <w:rsid w:val="6362133B"/>
    <w:rsid w:val="636C74CC"/>
    <w:rsid w:val="63786AEF"/>
    <w:rsid w:val="639808F7"/>
    <w:rsid w:val="63985913"/>
    <w:rsid w:val="63C27722"/>
    <w:rsid w:val="63C60FC0"/>
    <w:rsid w:val="63C65464"/>
    <w:rsid w:val="63C76EA4"/>
    <w:rsid w:val="63D27965"/>
    <w:rsid w:val="63E45722"/>
    <w:rsid w:val="63F55D49"/>
    <w:rsid w:val="63FE6114"/>
    <w:rsid w:val="6401024A"/>
    <w:rsid w:val="64095351"/>
    <w:rsid w:val="640B2E77"/>
    <w:rsid w:val="6416019A"/>
    <w:rsid w:val="64656A2B"/>
    <w:rsid w:val="647B624F"/>
    <w:rsid w:val="647C3D75"/>
    <w:rsid w:val="648330E7"/>
    <w:rsid w:val="64836EB1"/>
    <w:rsid w:val="648F5856"/>
    <w:rsid w:val="64947310"/>
    <w:rsid w:val="64964E36"/>
    <w:rsid w:val="64B654D9"/>
    <w:rsid w:val="64C23E7D"/>
    <w:rsid w:val="650C6EA7"/>
    <w:rsid w:val="651C3BF4"/>
    <w:rsid w:val="652D13E4"/>
    <w:rsid w:val="65385EEE"/>
    <w:rsid w:val="653D52B2"/>
    <w:rsid w:val="65621F08"/>
    <w:rsid w:val="657809E0"/>
    <w:rsid w:val="657A5AE9"/>
    <w:rsid w:val="658E1FB1"/>
    <w:rsid w:val="659770B8"/>
    <w:rsid w:val="65A74E21"/>
    <w:rsid w:val="65BF216B"/>
    <w:rsid w:val="65C854C3"/>
    <w:rsid w:val="65C9123C"/>
    <w:rsid w:val="65F8567D"/>
    <w:rsid w:val="663B7663"/>
    <w:rsid w:val="665C7CE7"/>
    <w:rsid w:val="66612AFE"/>
    <w:rsid w:val="666351EC"/>
    <w:rsid w:val="666B22F3"/>
    <w:rsid w:val="666F593F"/>
    <w:rsid w:val="6679056C"/>
    <w:rsid w:val="66911D59"/>
    <w:rsid w:val="66AA03AC"/>
    <w:rsid w:val="66AB0941"/>
    <w:rsid w:val="66B617C0"/>
    <w:rsid w:val="66B772E6"/>
    <w:rsid w:val="66C979B7"/>
    <w:rsid w:val="66E6069B"/>
    <w:rsid w:val="66E63727"/>
    <w:rsid w:val="66FE3167"/>
    <w:rsid w:val="671309C0"/>
    <w:rsid w:val="67144738"/>
    <w:rsid w:val="671E1113"/>
    <w:rsid w:val="67316672"/>
    <w:rsid w:val="673F17B5"/>
    <w:rsid w:val="6744501E"/>
    <w:rsid w:val="67535261"/>
    <w:rsid w:val="675608AD"/>
    <w:rsid w:val="67695573"/>
    <w:rsid w:val="676E524A"/>
    <w:rsid w:val="67717495"/>
    <w:rsid w:val="677D5E3A"/>
    <w:rsid w:val="678F3DBF"/>
    <w:rsid w:val="67A21D44"/>
    <w:rsid w:val="67A3717C"/>
    <w:rsid w:val="67A56412"/>
    <w:rsid w:val="67A71109"/>
    <w:rsid w:val="67AE693B"/>
    <w:rsid w:val="67F02AB0"/>
    <w:rsid w:val="67F325A0"/>
    <w:rsid w:val="67FD341E"/>
    <w:rsid w:val="68030A35"/>
    <w:rsid w:val="680E2F36"/>
    <w:rsid w:val="68122C4A"/>
    <w:rsid w:val="68182006"/>
    <w:rsid w:val="681F29BA"/>
    <w:rsid w:val="68273FF7"/>
    <w:rsid w:val="68380A22"/>
    <w:rsid w:val="6838144E"/>
    <w:rsid w:val="68451CF9"/>
    <w:rsid w:val="685A617B"/>
    <w:rsid w:val="689773CF"/>
    <w:rsid w:val="68AA7398"/>
    <w:rsid w:val="68CF6B8B"/>
    <w:rsid w:val="68D75A1D"/>
    <w:rsid w:val="68E0239E"/>
    <w:rsid w:val="68EA74FF"/>
    <w:rsid w:val="68F3344C"/>
    <w:rsid w:val="691A6383"/>
    <w:rsid w:val="69216C99"/>
    <w:rsid w:val="69392234"/>
    <w:rsid w:val="693D7F76"/>
    <w:rsid w:val="69487ABD"/>
    <w:rsid w:val="694D5CE0"/>
    <w:rsid w:val="696C085C"/>
    <w:rsid w:val="697E40EB"/>
    <w:rsid w:val="699D6C67"/>
    <w:rsid w:val="69E46644"/>
    <w:rsid w:val="69EA30F4"/>
    <w:rsid w:val="69F36887"/>
    <w:rsid w:val="6A2C5734"/>
    <w:rsid w:val="6A902328"/>
    <w:rsid w:val="6A9A31A7"/>
    <w:rsid w:val="6AA60986"/>
    <w:rsid w:val="6AA61BD5"/>
    <w:rsid w:val="6AAE1E65"/>
    <w:rsid w:val="6AB01E44"/>
    <w:rsid w:val="6AB5312D"/>
    <w:rsid w:val="6AC65D4A"/>
    <w:rsid w:val="6AC67AF8"/>
    <w:rsid w:val="6ACD532A"/>
    <w:rsid w:val="6AD93CCF"/>
    <w:rsid w:val="6AE12FA4"/>
    <w:rsid w:val="6AF64881"/>
    <w:rsid w:val="6B1D005F"/>
    <w:rsid w:val="6B3F724F"/>
    <w:rsid w:val="6B4C44A1"/>
    <w:rsid w:val="6B5648A0"/>
    <w:rsid w:val="6B87372B"/>
    <w:rsid w:val="6BAA7419"/>
    <w:rsid w:val="6BBB3287"/>
    <w:rsid w:val="6BBC08AA"/>
    <w:rsid w:val="6BCC7390"/>
    <w:rsid w:val="6BE7241B"/>
    <w:rsid w:val="6BEA3CBA"/>
    <w:rsid w:val="6BF40694"/>
    <w:rsid w:val="6C2119D4"/>
    <w:rsid w:val="6C384A25"/>
    <w:rsid w:val="6C3C4515"/>
    <w:rsid w:val="6C423ACA"/>
    <w:rsid w:val="6C5628F4"/>
    <w:rsid w:val="6C71592A"/>
    <w:rsid w:val="6CA468E0"/>
    <w:rsid w:val="6CC16DF8"/>
    <w:rsid w:val="6CFD3965"/>
    <w:rsid w:val="6D344EC4"/>
    <w:rsid w:val="6D392803"/>
    <w:rsid w:val="6D4A4A10"/>
    <w:rsid w:val="6D4E4D63"/>
    <w:rsid w:val="6D5E670D"/>
    <w:rsid w:val="6D633425"/>
    <w:rsid w:val="6D741A8D"/>
    <w:rsid w:val="6D756A1A"/>
    <w:rsid w:val="6D8C09C0"/>
    <w:rsid w:val="6D8C327A"/>
    <w:rsid w:val="6DAA3DA2"/>
    <w:rsid w:val="6DD8201C"/>
    <w:rsid w:val="6DE17F47"/>
    <w:rsid w:val="6DEC57A2"/>
    <w:rsid w:val="6E2A4841"/>
    <w:rsid w:val="6E3B07FD"/>
    <w:rsid w:val="6E480585"/>
    <w:rsid w:val="6E4B2E0A"/>
    <w:rsid w:val="6E55366C"/>
    <w:rsid w:val="6E661D1D"/>
    <w:rsid w:val="6E755ABD"/>
    <w:rsid w:val="6E8C2E06"/>
    <w:rsid w:val="6E8F6F80"/>
    <w:rsid w:val="6E922B12"/>
    <w:rsid w:val="6EAB3BD4"/>
    <w:rsid w:val="6EB760D5"/>
    <w:rsid w:val="6EC16F54"/>
    <w:rsid w:val="6ECB392F"/>
    <w:rsid w:val="6EED5F9B"/>
    <w:rsid w:val="6EF914F5"/>
    <w:rsid w:val="6EFA06B8"/>
    <w:rsid w:val="6EFF182A"/>
    <w:rsid w:val="6F036CBE"/>
    <w:rsid w:val="6F0B34B0"/>
    <w:rsid w:val="6F2B261F"/>
    <w:rsid w:val="6F316A46"/>
    <w:rsid w:val="6F567B23"/>
    <w:rsid w:val="6F5928E7"/>
    <w:rsid w:val="6F7641EE"/>
    <w:rsid w:val="6F8B4A66"/>
    <w:rsid w:val="6F952E82"/>
    <w:rsid w:val="6F96218E"/>
    <w:rsid w:val="6F9C0E28"/>
    <w:rsid w:val="6FA220C9"/>
    <w:rsid w:val="6FA56875"/>
    <w:rsid w:val="6FBB39A3"/>
    <w:rsid w:val="6FD64C81"/>
    <w:rsid w:val="6FDA5069"/>
    <w:rsid w:val="6FF11ABB"/>
    <w:rsid w:val="700370F8"/>
    <w:rsid w:val="701032DE"/>
    <w:rsid w:val="70335C2F"/>
    <w:rsid w:val="70587B4A"/>
    <w:rsid w:val="706F478E"/>
    <w:rsid w:val="707149AA"/>
    <w:rsid w:val="70891CF3"/>
    <w:rsid w:val="708F73B2"/>
    <w:rsid w:val="709D4601"/>
    <w:rsid w:val="70A42689"/>
    <w:rsid w:val="70C84E87"/>
    <w:rsid w:val="70C851BD"/>
    <w:rsid w:val="70CB230C"/>
    <w:rsid w:val="70E92792"/>
    <w:rsid w:val="70F96E79"/>
    <w:rsid w:val="7128150C"/>
    <w:rsid w:val="712A5284"/>
    <w:rsid w:val="712B4B58"/>
    <w:rsid w:val="712F1694"/>
    <w:rsid w:val="71343ED5"/>
    <w:rsid w:val="713F0604"/>
    <w:rsid w:val="71553073"/>
    <w:rsid w:val="7163442E"/>
    <w:rsid w:val="717669D3"/>
    <w:rsid w:val="717958C4"/>
    <w:rsid w:val="718A5D23"/>
    <w:rsid w:val="718D75C1"/>
    <w:rsid w:val="719E7958"/>
    <w:rsid w:val="71D84CE0"/>
    <w:rsid w:val="71EC42E8"/>
    <w:rsid w:val="71F25676"/>
    <w:rsid w:val="72225F5B"/>
    <w:rsid w:val="7238752D"/>
    <w:rsid w:val="723932A5"/>
    <w:rsid w:val="723F4C6C"/>
    <w:rsid w:val="72607187"/>
    <w:rsid w:val="727D297F"/>
    <w:rsid w:val="727F0905"/>
    <w:rsid w:val="72874010"/>
    <w:rsid w:val="72965F01"/>
    <w:rsid w:val="729E0259"/>
    <w:rsid w:val="72B166CF"/>
    <w:rsid w:val="72B229EC"/>
    <w:rsid w:val="72D62BD5"/>
    <w:rsid w:val="730613D9"/>
    <w:rsid w:val="731E36F9"/>
    <w:rsid w:val="733046A8"/>
    <w:rsid w:val="73497518"/>
    <w:rsid w:val="73AB1F81"/>
    <w:rsid w:val="73BF36C6"/>
    <w:rsid w:val="73C31078"/>
    <w:rsid w:val="73D414D7"/>
    <w:rsid w:val="73D94D40"/>
    <w:rsid w:val="73DB579E"/>
    <w:rsid w:val="73F6144E"/>
    <w:rsid w:val="74100036"/>
    <w:rsid w:val="74147B26"/>
    <w:rsid w:val="74185C08"/>
    <w:rsid w:val="741B5358"/>
    <w:rsid w:val="742835D1"/>
    <w:rsid w:val="742B77FD"/>
    <w:rsid w:val="742C597A"/>
    <w:rsid w:val="744D3038"/>
    <w:rsid w:val="745054B7"/>
    <w:rsid w:val="745C1886"/>
    <w:rsid w:val="746565D3"/>
    <w:rsid w:val="746F7452"/>
    <w:rsid w:val="749B0247"/>
    <w:rsid w:val="749B3DA3"/>
    <w:rsid w:val="749D7B1B"/>
    <w:rsid w:val="74BB4445"/>
    <w:rsid w:val="74CA4688"/>
    <w:rsid w:val="74DA2B1D"/>
    <w:rsid w:val="74FD4A5E"/>
    <w:rsid w:val="75151DA7"/>
    <w:rsid w:val="75377F70"/>
    <w:rsid w:val="7544268D"/>
    <w:rsid w:val="75596A9F"/>
    <w:rsid w:val="755B7815"/>
    <w:rsid w:val="755D72AA"/>
    <w:rsid w:val="75703482"/>
    <w:rsid w:val="75734D20"/>
    <w:rsid w:val="75765B5E"/>
    <w:rsid w:val="757840E4"/>
    <w:rsid w:val="757B6DFF"/>
    <w:rsid w:val="757D16FB"/>
    <w:rsid w:val="758F74DF"/>
    <w:rsid w:val="75AD3F44"/>
    <w:rsid w:val="75B96BD7"/>
    <w:rsid w:val="75D457BF"/>
    <w:rsid w:val="75E672A0"/>
    <w:rsid w:val="75EB2B08"/>
    <w:rsid w:val="76097931"/>
    <w:rsid w:val="760D0CD1"/>
    <w:rsid w:val="76191423"/>
    <w:rsid w:val="76283D5C"/>
    <w:rsid w:val="762F6E99"/>
    <w:rsid w:val="763B5477"/>
    <w:rsid w:val="7649595A"/>
    <w:rsid w:val="76500BBD"/>
    <w:rsid w:val="766A24B2"/>
    <w:rsid w:val="76816FC9"/>
    <w:rsid w:val="768A2321"/>
    <w:rsid w:val="768F5B89"/>
    <w:rsid w:val="76B455F0"/>
    <w:rsid w:val="76B63116"/>
    <w:rsid w:val="76CE0EBB"/>
    <w:rsid w:val="76D04511"/>
    <w:rsid w:val="76D67314"/>
    <w:rsid w:val="76E77774"/>
    <w:rsid w:val="76F61765"/>
    <w:rsid w:val="76F854DD"/>
    <w:rsid w:val="77132317"/>
    <w:rsid w:val="773A3D47"/>
    <w:rsid w:val="773A5AF5"/>
    <w:rsid w:val="773F310C"/>
    <w:rsid w:val="77404A94"/>
    <w:rsid w:val="77444BC6"/>
    <w:rsid w:val="77477CC6"/>
    <w:rsid w:val="775C3CBE"/>
    <w:rsid w:val="775E5C88"/>
    <w:rsid w:val="775F37AE"/>
    <w:rsid w:val="777D59E2"/>
    <w:rsid w:val="779276DF"/>
    <w:rsid w:val="77C655DB"/>
    <w:rsid w:val="77D02192"/>
    <w:rsid w:val="77D50D8B"/>
    <w:rsid w:val="77E65C7D"/>
    <w:rsid w:val="77ED4572"/>
    <w:rsid w:val="780A5F0F"/>
    <w:rsid w:val="7810461F"/>
    <w:rsid w:val="781520BE"/>
    <w:rsid w:val="782567A5"/>
    <w:rsid w:val="7842045C"/>
    <w:rsid w:val="784A7FBA"/>
    <w:rsid w:val="785030F6"/>
    <w:rsid w:val="78520C1D"/>
    <w:rsid w:val="7855070D"/>
    <w:rsid w:val="787A3224"/>
    <w:rsid w:val="78852DA0"/>
    <w:rsid w:val="78896E24"/>
    <w:rsid w:val="788B039C"/>
    <w:rsid w:val="788F2E8E"/>
    <w:rsid w:val="789254BD"/>
    <w:rsid w:val="78C25DA2"/>
    <w:rsid w:val="78C37D6C"/>
    <w:rsid w:val="78E024B9"/>
    <w:rsid w:val="78E24696"/>
    <w:rsid w:val="78F36363"/>
    <w:rsid w:val="78FC5F85"/>
    <w:rsid w:val="79022643"/>
    <w:rsid w:val="790463BB"/>
    <w:rsid w:val="79183C14"/>
    <w:rsid w:val="79312F28"/>
    <w:rsid w:val="795A422D"/>
    <w:rsid w:val="795D3D1D"/>
    <w:rsid w:val="797846B3"/>
    <w:rsid w:val="797A667D"/>
    <w:rsid w:val="797D2716"/>
    <w:rsid w:val="79894B12"/>
    <w:rsid w:val="79907C4E"/>
    <w:rsid w:val="79935991"/>
    <w:rsid w:val="799F60E4"/>
    <w:rsid w:val="79CB0C87"/>
    <w:rsid w:val="79D313F3"/>
    <w:rsid w:val="7A146AD1"/>
    <w:rsid w:val="7A351FAE"/>
    <w:rsid w:val="7A8C2B0C"/>
    <w:rsid w:val="7A97325F"/>
    <w:rsid w:val="7AAD7D84"/>
    <w:rsid w:val="7AB43E11"/>
    <w:rsid w:val="7ABF72FD"/>
    <w:rsid w:val="7ACE224D"/>
    <w:rsid w:val="7ADB75EF"/>
    <w:rsid w:val="7AE74AB5"/>
    <w:rsid w:val="7AF24EBB"/>
    <w:rsid w:val="7AF91823"/>
    <w:rsid w:val="7AFD7566"/>
    <w:rsid w:val="7B0B76CA"/>
    <w:rsid w:val="7B15565D"/>
    <w:rsid w:val="7B2745E3"/>
    <w:rsid w:val="7B2F3497"/>
    <w:rsid w:val="7B407452"/>
    <w:rsid w:val="7B476A33"/>
    <w:rsid w:val="7B542EFE"/>
    <w:rsid w:val="7B564D14"/>
    <w:rsid w:val="7B5B603A"/>
    <w:rsid w:val="7B6A2721"/>
    <w:rsid w:val="7B870D39"/>
    <w:rsid w:val="7BAC5B0E"/>
    <w:rsid w:val="7BAD0F8C"/>
    <w:rsid w:val="7BC462D5"/>
    <w:rsid w:val="7BC83BA6"/>
    <w:rsid w:val="7BC96777"/>
    <w:rsid w:val="7BF81544"/>
    <w:rsid w:val="7C09018C"/>
    <w:rsid w:val="7C3D3992"/>
    <w:rsid w:val="7C3F662D"/>
    <w:rsid w:val="7C48391F"/>
    <w:rsid w:val="7C7A4BE6"/>
    <w:rsid w:val="7C8D3BF7"/>
    <w:rsid w:val="7C977546"/>
    <w:rsid w:val="7C9C690A"/>
    <w:rsid w:val="7CD10256"/>
    <w:rsid w:val="7D060228"/>
    <w:rsid w:val="7D0E5A5A"/>
    <w:rsid w:val="7D0F532E"/>
    <w:rsid w:val="7D2012E9"/>
    <w:rsid w:val="7D256900"/>
    <w:rsid w:val="7D382AD7"/>
    <w:rsid w:val="7D4C20DE"/>
    <w:rsid w:val="7D67516A"/>
    <w:rsid w:val="7D6A07B6"/>
    <w:rsid w:val="7D7C62F5"/>
    <w:rsid w:val="7D99673D"/>
    <w:rsid w:val="7DBD122E"/>
    <w:rsid w:val="7DC97BD3"/>
    <w:rsid w:val="7DCD72DE"/>
    <w:rsid w:val="7DCE51E9"/>
    <w:rsid w:val="7DF422F6"/>
    <w:rsid w:val="7E186464"/>
    <w:rsid w:val="7E327526"/>
    <w:rsid w:val="7E491E00"/>
    <w:rsid w:val="7E582D05"/>
    <w:rsid w:val="7E71193F"/>
    <w:rsid w:val="7E741677"/>
    <w:rsid w:val="7E7B6F9F"/>
    <w:rsid w:val="7E885FEC"/>
    <w:rsid w:val="7E8E6727"/>
    <w:rsid w:val="7EC54522"/>
    <w:rsid w:val="7ECB34D7"/>
    <w:rsid w:val="7EF667A6"/>
    <w:rsid w:val="7F2069CC"/>
    <w:rsid w:val="7F231565"/>
    <w:rsid w:val="7F3C6183"/>
    <w:rsid w:val="7F4D213E"/>
    <w:rsid w:val="7F547970"/>
    <w:rsid w:val="7F630F33"/>
    <w:rsid w:val="7F631961"/>
    <w:rsid w:val="7F7A15D3"/>
    <w:rsid w:val="7F954211"/>
    <w:rsid w:val="7FA06540"/>
    <w:rsid w:val="7FB81CAD"/>
    <w:rsid w:val="7FC20D7E"/>
    <w:rsid w:val="7FC70142"/>
    <w:rsid w:val="7FE40B6B"/>
    <w:rsid w:val="7FEA7AC1"/>
    <w:rsid w:val="7FF01447"/>
    <w:rsid w:val="7FFC182C"/>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Style w:val="46"/>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6"/>
    <w:qFormat/>
    <w:uiPriority w:val="99"/>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8"/>
    <w:qFormat/>
    <w:uiPriority w:val="99"/>
    <w:pPr>
      <w:jc w:val="left"/>
    </w:pPr>
  </w:style>
  <w:style w:type="paragraph" w:styleId="17">
    <w:name w:val="Body Text 3"/>
    <w:basedOn w:val="1"/>
    <w:link w:val="69"/>
    <w:qFormat/>
    <w:uiPriority w:val="0"/>
    <w:pPr>
      <w:spacing w:after="120"/>
    </w:pPr>
    <w:rPr>
      <w:sz w:val="16"/>
      <w:szCs w:val="16"/>
    </w:rPr>
  </w:style>
  <w:style w:type="paragraph" w:styleId="18">
    <w:name w:val="Body Text"/>
    <w:basedOn w:val="1"/>
    <w:link w:val="70"/>
    <w:qFormat/>
    <w:uiPriority w:val="0"/>
    <w:pPr>
      <w:tabs>
        <w:tab w:val="left" w:pos="567"/>
      </w:tabs>
      <w:spacing w:before="120" w:line="22" w:lineRule="atLeast"/>
    </w:pPr>
    <w:rPr>
      <w:rFonts w:ascii="宋体" w:hAnsi="宋体"/>
      <w:sz w:val="24"/>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uiPriority w:val="99"/>
    <w:pPr>
      <w:ind w:left="200" w:leftChars="200" w:hanging="200" w:hangingChars="200"/>
    </w:p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w:basedOn w:val="18"/>
    <w:unhideWhenUsed/>
    <w:qFormat/>
    <w:uiPriority w:val="0"/>
    <w:pPr>
      <w:spacing w:before="0" w:after="120" w:line="240" w:lineRule="auto"/>
      <w:ind w:firstLine="420" w:firstLineChars="100"/>
    </w:pPr>
    <w:rPr>
      <w:rFonts w:ascii="Calibri" w:hAnsi="Calibri"/>
      <w:sz w:val="21"/>
    </w:rPr>
  </w:style>
  <w:style w:type="paragraph" w:styleId="45">
    <w:name w:val="Body Text First Indent 2"/>
    <w:basedOn w:val="19"/>
    <w:link w:val="82"/>
    <w:qFormat/>
    <w:uiPriority w:val="0"/>
    <w:pPr>
      <w:spacing w:after="120" w:line="480" w:lineRule="exact"/>
      <w:ind w:left="420" w:leftChars="200" w:firstLine="420" w:firstLineChars="200"/>
    </w:pPr>
    <w:rPr>
      <w:szCs w:val="20"/>
    </w:rPr>
  </w:style>
  <w:style w:type="table" w:styleId="47">
    <w:name w:val="Table Grid"/>
    <w:basedOn w:val="46"/>
    <w:qFormat/>
    <w:uiPriority w:val="39"/>
    <w:tblPr>
      <w:tblStyle w:val="4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Style w:val="46"/>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6"/>
      </w:tblPr>
    </w:tblStylePr>
    <w:tblStylePr w:type="lastRow">
      <w:rPr>
        <w:b/>
        <w:bCs/>
      </w:rPr>
      <w:tblPr>
        <w:tblStyle w:val="46"/>
      </w:tblPr>
      <w:tcPr>
        <w:tcBorders>
          <w:top w:val="single" w:color="CF7B79" w:sz="18" w:space="0"/>
          <w:left w:val="nil"/>
          <w:bottom w:val="nil"/>
          <w:right w:val="nil"/>
          <w:insideH w:val="nil"/>
          <w:insideV w:val="nil"/>
          <w:tl2br w:val="nil"/>
          <w:tr2bl w:val="nil"/>
        </w:tcBorders>
      </w:tcPr>
    </w:tblStylePr>
    <w:tblStylePr w:type="firstCol">
      <w:rPr>
        <w:b/>
        <w:bCs/>
      </w:rPr>
      <w:tblPr>
        <w:tblStyle w:val="46"/>
      </w:tblPr>
    </w:tblStylePr>
    <w:tblStylePr w:type="lastCol">
      <w:rPr>
        <w:b/>
        <w:bCs/>
      </w:rPr>
      <w:tblPr>
        <w:tblStyle w:val="46"/>
      </w:tblPr>
    </w:tblStylePr>
    <w:tblStylePr w:type="band1Vert">
      <w:tblPr>
        <w:tblStyle w:val="46"/>
      </w:tblPr>
      <w:tcPr>
        <w:shd w:val="clear" w:color="auto" w:fill="DFA7A6"/>
      </w:tcPr>
    </w:tblStylePr>
    <w:tblStylePr w:type="band1Horz">
      <w:tblPr>
        <w:tblStyle w:val="46"/>
      </w:tblPr>
      <w:tcPr>
        <w:shd w:val="clear" w:color="auto" w:fill="DFA7A6"/>
      </w:tcPr>
    </w:tblStyle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1 Char"/>
    <w:basedOn w:val="49"/>
    <w:link w:val="2"/>
    <w:qFormat/>
    <w:uiPriority w:val="9"/>
    <w:rPr>
      <w:rFonts w:ascii="Times New Roman" w:hAnsi="Times New Roman" w:eastAsia="宋体" w:cs="Times New Roman"/>
      <w:b/>
      <w:bCs/>
      <w:kern w:val="44"/>
      <w:sz w:val="44"/>
      <w:szCs w:val="44"/>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4"/>
    <w:qFormat/>
    <w:uiPriority w:val="0"/>
    <w:rPr>
      <w:rFonts w:ascii="宋体" w:eastAsia="宋体"/>
      <w:b/>
      <w:sz w:val="24"/>
      <w:u w:val="single"/>
      <w:lang w:val="en-US" w:eastAsia="zh-CN" w:bidi="ar-SA"/>
    </w:rPr>
  </w:style>
  <w:style w:type="character" w:customStyle="1" w:styleId="60">
    <w:name w:val="标题 4 字符"/>
    <w:link w:val="5"/>
    <w:qFormat/>
    <w:uiPriority w:val="0"/>
    <w:rPr>
      <w:rFonts w:ascii="Arial" w:hAnsi="Arial" w:eastAsia="黑体"/>
      <w:b/>
      <w:sz w:val="28"/>
    </w:rPr>
  </w:style>
  <w:style w:type="character" w:customStyle="1" w:styleId="61">
    <w:name w:val="标题 5 字符"/>
    <w:link w:val="6"/>
    <w:qFormat/>
    <w:uiPriority w:val="0"/>
    <w:rPr>
      <w:b/>
      <w:sz w:val="28"/>
    </w:rPr>
  </w:style>
  <w:style w:type="character" w:customStyle="1" w:styleId="62">
    <w:name w:val="标题 6 字符"/>
    <w:link w:val="7"/>
    <w:qFormat/>
    <w:uiPriority w:val="0"/>
    <w:rPr>
      <w:rFonts w:ascii="Arial" w:hAnsi="Arial" w:eastAsia="黑体"/>
      <w:b/>
      <w:sz w:val="24"/>
    </w:rPr>
  </w:style>
  <w:style w:type="character" w:customStyle="1" w:styleId="63">
    <w:name w:val="标题 7 字符"/>
    <w:link w:val="8"/>
    <w:qFormat/>
    <w:uiPriority w:val="0"/>
    <w:rPr>
      <w:b/>
      <w:sz w:val="24"/>
    </w:rPr>
  </w:style>
  <w:style w:type="character" w:customStyle="1" w:styleId="64">
    <w:name w:val="标题 8 字符"/>
    <w:link w:val="9"/>
    <w:qFormat/>
    <w:uiPriority w:val="0"/>
    <w:rPr>
      <w:rFonts w:ascii="Arial" w:hAnsi="Arial" w:eastAsia="黑体"/>
      <w:sz w:val="24"/>
    </w:rPr>
  </w:style>
  <w:style w:type="character" w:customStyle="1" w:styleId="65">
    <w:name w:val="标题 9 字符"/>
    <w:link w:val="10"/>
    <w:qFormat/>
    <w:uiPriority w:val="0"/>
    <w:rPr>
      <w:rFonts w:ascii="Arial" w:hAnsi="Arial" w:eastAsia="黑体"/>
      <w:sz w:val="21"/>
    </w:rPr>
  </w:style>
  <w:style w:type="character" w:customStyle="1" w:styleId="66">
    <w:name w:val="正文缩进 字符"/>
    <w:link w:val="12"/>
    <w:qFormat/>
    <w:uiPriority w:val="0"/>
    <w:rPr>
      <w:rFonts w:ascii="宋体" w:eastAsia="宋体"/>
      <w:kern w:val="2"/>
      <w:sz w:val="24"/>
      <w:szCs w:val="24"/>
      <w:lang w:val="en-US" w:eastAsia="zh-CN" w:bidi="ar-SA"/>
    </w:rPr>
  </w:style>
  <w:style w:type="character" w:customStyle="1" w:styleId="67">
    <w:name w:val="文档结构图 字符"/>
    <w:link w:val="14"/>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 字符"/>
    <w:link w:val="18"/>
    <w:qFormat/>
    <w:uiPriority w:val="0"/>
    <w:rPr>
      <w:rFonts w:ascii="宋体" w:hAnsi="宋体"/>
      <w:kern w:val="2"/>
      <w:sz w:val="24"/>
      <w:szCs w:val="24"/>
    </w:rPr>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纯文本 字符2"/>
    <w:link w:val="24"/>
    <w:qFormat/>
    <w:uiPriority w:val="0"/>
    <w:rPr>
      <w:rFonts w:hint="eastAsia" w:ascii="宋体" w:hAnsi="Courier New" w:eastAsia="宋体" w:cs="宋体"/>
      <w:kern w:val="2"/>
      <w:sz w:val="21"/>
    </w:rPr>
  </w:style>
  <w:style w:type="character" w:customStyle="1" w:styleId="73">
    <w:name w:val="日期 字符"/>
    <w:link w:val="26"/>
    <w:qFormat/>
    <w:uiPriority w:val="0"/>
    <w:rPr>
      <w:rFonts w:ascii="仿宋_GB2312" w:hAnsi="宋体" w:eastAsia="仿宋_GB2312"/>
      <w:color w:val="000000"/>
      <w:kern w:val="2"/>
      <w:sz w:val="24"/>
      <w:szCs w:val="24"/>
    </w:rPr>
  </w:style>
  <w:style w:type="character" w:customStyle="1" w:styleId="74">
    <w:name w:val="正文文本缩进 2 字符"/>
    <w:link w:val="27"/>
    <w:qFormat/>
    <w:uiPriority w:val="0"/>
    <w:rPr>
      <w:rFonts w:ascii="仿宋_GB2312" w:eastAsia="仿宋_GB2312"/>
      <w:kern w:val="2"/>
      <w:sz w:val="24"/>
      <w:szCs w:val="24"/>
    </w:rPr>
  </w:style>
  <w:style w:type="character" w:customStyle="1" w:styleId="75">
    <w:name w:val="批注框文本 字符"/>
    <w:link w:val="28"/>
    <w:qFormat/>
    <w:uiPriority w:val="0"/>
    <w:rPr>
      <w:kern w:val="2"/>
      <w:sz w:val="18"/>
      <w:szCs w:val="18"/>
    </w:rPr>
  </w:style>
  <w:style w:type="character" w:customStyle="1" w:styleId="76">
    <w:name w:val="页脚 字符"/>
    <w:link w:val="29"/>
    <w:qFormat/>
    <w:uiPriority w:val="99"/>
    <w:rPr>
      <w:rFonts w:ascii="宋体" w:eastAsia="宋体"/>
      <w:sz w:val="18"/>
      <w:lang w:val="en-US" w:eastAsia="zh-CN" w:bidi="ar-SA"/>
    </w:rPr>
  </w:style>
  <w:style w:type="character" w:customStyle="1" w:styleId="77">
    <w:name w:val="页眉 字符"/>
    <w:link w:val="31"/>
    <w:qFormat/>
    <w:uiPriority w:val="99"/>
    <w:rPr>
      <w:rFonts w:eastAsia="宋体"/>
      <w:kern w:val="2"/>
      <w:sz w:val="18"/>
      <w:szCs w:val="18"/>
      <w:lang w:val="en-US" w:eastAsia="zh-CN" w:bidi="ar-SA"/>
    </w:rPr>
  </w:style>
  <w:style w:type="character" w:customStyle="1" w:styleId="78">
    <w:name w:val="正文文本缩进 3 字符"/>
    <w:link w:val="35"/>
    <w:qFormat/>
    <w:uiPriority w:val="0"/>
    <w:rPr>
      <w:rFonts w:ascii="宋体"/>
      <w:sz w:val="24"/>
    </w:rPr>
  </w:style>
  <w:style w:type="character" w:customStyle="1" w:styleId="79">
    <w:name w:val="HTML 预设格式 字符"/>
    <w:link w:val="39"/>
    <w:qFormat/>
    <w:uiPriority w:val="0"/>
    <w:rPr>
      <w:rFonts w:ascii="宋体" w:hAnsi="宋体" w:cs="宋体"/>
      <w:sz w:val="24"/>
      <w:szCs w:val="24"/>
    </w:rPr>
  </w:style>
  <w:style w:type="character" w:customStyle="1" w:styleId="80">
    <w:name w:val="标题 字符"/>
    <w:link w:val="42"/>
    <w:qFormat/>
    <w:uiPriority w:val="0"/>
    <w:rPr>
      <w:b/>
      <w:kern w:val="2"/>
      <w:sz w:val="32"/>
    </w:rPr>
  </w:style>
  <w:style w:type="character" w:customStyle="1" w:styleId="81">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字符"/>
    <w:link w:val="45"/>
    <w:qFormat/>
    <w:uiPriority w:val="0"/>
    <w:rPr>
      <w:rFonts w:eastAsia="宋体"/>
      <w:kern w:val="2"/>
      <w:sz w:val="24"/>
      <w:szCs w:val="24"/>
      <w:lang w:val="en-US" w:eastAsia="zh-CN" w:bidi="ar-SA"/>
    </w:rPr>
  </w:style>
  <w:style w:type="character" w:customStyle="1" w:styleId="83">
    <w:name w:val="标题 1 字符"/>
    <w:link w:val="2"/>
    <w:qFormat/>
    <w:uiPriority w:val="0"/>
    <w:rPr>
      <w:rFonts w:ascii="宋体"/>
      <w:b/>
      <w:kern w:val="44"/>
      <w:sz w:val="32"/>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12"/>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12"/>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Revision"/>
    <w:qFormat/>
    <w:uiPriority w:val="0"/>
    <w:rPr>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val="en-US" w:eastAsia="en-US" w:bidi="ar-SA"/>
    </w:rPr>
    <w:tblPr>
      <w:tblStyle w:val="46"/>
      <w:tblCellMar>
        <w:top w:w="0" w:type="dxa"/>
        <w:left w:w="0" w:type="dxa"/>
        <w:bottom w:w="0" w:type="dxa"/>
        <w:right w:w="0" w:type="dxa"/>
      </w:tblCellMar>
    </w:tblPr>
  </w:style>
  <w:style w:type="paragraph" w:styleId="253">
    <w:name w:val=""/>
    <w:unhideWhenUsed/>
    <w:uiPriority w:val="99"/>
    <w:rPr>
      <w:kern w:val="2"/>
      <w:sz w:val="21"/>
      <w:szCs w:val="24"/>
      <w:lang w:val="en-US" w:eastAsia="zh-CN" w:bidi="ar-SA"/>
    </w:rPr>
  </w:style>
  <w:style w:type="character" w:customStyle="1" w:styleId="254">
    <w:name w:val="fontstyle01"/>
    <w:uiPriority w:val="0"/>
    <w:rPr>
      <w:rFonts w:hint="eastAsia" w:ascii="宋体" w:hAnsi="宋体" w:eastAsia="宋体"/>
      <w:color w:val="000000"/>
      <w:sz w:val="24"/>
      <w:szCs w:val="24"/>
    </w:rPr>
  </w:style>
  <w:style w:type="character" w:customStyle="1" w:styleId="255">
    <w:name w:val="fontstyle21"/>
    <w:uiPriority w:val="0"/>
    <w:rPr>
      <w:rFonts w:hint="eastAsia" w:ascii="宋体" w:hAnsi="宋体" w:eastAsia="宋体"/>
      <w:color w:val="000000"/>
      <w:sz w:val="24"/>
      <w:szCs w:val="24"/>
    </w:rPr>
  </w:style>
  <w:style w:type="paragraph" w:customStyle="1" w:styleId="256">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57">
    <w:name w:val="样式 标题 3 + (中文) 黑体 小四 非加粗 段前: 7.8 磅 段后: 0 磅 行距: 固定值 20 磅"/>
    <w:basedOn w:val="4"/>
    <w:qFormat/>
    <w:uiPriority w:val="0"/>
    <w:pPr>
      <w:spacing w:before="0" w:after="0" w:line="400" w:lineRule="exact"/>
    </w:pPr>
    <w:rPr>
      <w:rFonts w:eastAsia="黑体"/>
      <w:b w:val="0"/>
      <w:sz w:val="24"/>
      <w:szCs w:val="20"/>
    </w:rPr>
  </w:style>
  <w:style w:type="paragraph" w:customStyle="1" w:styleId="25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wmf"/><Relationship Id="rId26" Type="http://schemas.openxmlformats.org/officeDocument/2006/relationships/oleObject" Target="embeddings/oleObject1.bin"/><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131</Pages>
  <Words>8403</Words>
  <Characters>9002</Characters>
  <Lines>302</Lines>
  <Paragraphs>85</Paragraphs>
  <TotalTime>0</TotalTime>
  <ScaleCrop>false</ScaleCrop>
  <LinksUpToDate>false</LinksUpToDate>
  <CharactersWithSpaces>9183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2024-04-16T03:40:00Z</dcterms:created>
  <dc:creator>Yin Hao</dc:creator>
  <cp:lastModifiedBy> 莹 莹 </cp:lastModifiedBy>
  <cp:lastPrinted>2020-04-02T03:13:00Z</cp:lastPrinted>
  <dcterms:modified xsi:type="dcterms:W3CDTF">2025-11-06T03:49:34Z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D70444F393794E41AEC1EEBF9CD68066_13</vt:lpwstr>
  </property>
  <property fmtid="{D5CDD505-2E9C-101B-9397-08002B2CF9AE}" pid="4" name="KSOTemplateDocerSaveRecord">
    <vt:lpwstr>eyJoZGlkIjoiNjhmZTM3MmUxNjNlM2RiZjE3ZDlhYjdhODJiNGM2YmQiLCJ1c2VySWQiOiIzMTkxNjEyMjMifQ==</vt:lpwstr>
  </property>
</Properties>
</file>