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</w:t>
      </w:r>
      <w:r>
        <w:rPr>
          <w:rFonts w:hint="eastAsia" w:ascii="宋体" w:hAnsi="宋体"/>
          <w:b/>
          <w:bCs/>
          <w:color w:val="auto"/>
          <w:sz w:val="24"/>
        </w:rPr>
        <w:t>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11000025210200151107-XM001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市属高校分类发展-智慧学习驱动的纺织服装数字化教育创新平台建设-材料院专用设备采购项目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038FB9E0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ascii="宋体" w:hAnsi="宋体"/>
          <w:color w:val="auto"/>
          <w:sz w:val="24"/>
        </w:rPr>
        <w:t>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北京中聚高科科技有限公司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北京市海淀区紫雀路33号院3号楼1层3106</w:t>
      </w:r>
    </w:p>
    <w:p w14:paraId="5EA0CCC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644800.00</w:t>
      </w:r>
      <w:r>
        <w:rPr>
          <w:rFonts w:hint="eastAsia" w:ascii="宋体" w:hAnsi="宋体"/>
          <w:color w:val="auto"/>
          <w:sz w:val="24"/>
        </w:rPr>
        <w:t>元</w:t>
      </w:r>
    </w:p>
    <w:p w14:paraId="6EA6AFDB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</w:t>
      </w:r>
    </w:p>
    <w:p w14:paraId="0DCC39E9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浙江凌迪数字科技有限公司</w:t>
      </w:r>
    </w:p>
    <w:p w14:paraId="6C89D9AD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浙江省杭州市上城区钱江路639号1958室</w:t>
      </w:r>
    </w:p>
    <w:p w14:paraId="63620023">
      <w:pPr>
        <w:spacing w:line="360" w:lineRule="auto"/>
        <w:ind w:firstLine="480" w:firstLineChars="200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320000.00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2DD3381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01包：</w:t>
      </w:r>
    </w:p>
    <w:tbl>
      <w:tblPr>
        <w:tblStyle w:val="14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725"/>
        <w:gridCol w:w="1802"/>
        <w:gridCol w:w="1560"/>
        <w:gridCol w:w="1418"/>
        <w:gridCol w:w="713"/>
      </w:tblGrid>
      <w:tr w14:paraId="4D10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5" w:type="dxa"/>
            <w:vAlign w:val="center"/>
          </w:tcPr>
          <w:p w14:paraId="0BA63478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2725" w:type="dxa"/>
            <w:vAlign w:val="center"/>
          </w:tcPr>
          <w:p w14:paraId="0237A967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分项名称</w:t>
            </w:r>
          </w:p>
        </w:tc>
        <w:tc>
          <w:tcPr>
            <w:tcW w:w="1802" w:type="dxa"/>
            <w:vAlign w:val="center"/>
          </w:tcPr>
          <w:p w14:paraId="6D035D3F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560" w:type="dxa"/>
            <w:vAlign w:val="center"/>
          </w:tcPr>
          <w:p w14:paraId="351D2EC7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规格、型号</w:t>
            </w:r>
          </w:p>
        </w:tc>
        <w:tc>
          <w:tcPr>
            <w:tcW w:w="1418" w:type="dxa"/>
            <w:vAlign w:val="center"/>
          </w:tcPr>
          <w:p w14:paraId="3B98498E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单价（元）</w:t>
            </w:r>
          </w:p>
        </w:tc>
        <w:tc>
          <w:tcPr>
            <w:tcW w:w="713" w:type="dxa"/>
            <w:vAlign w:val="center"/>
          </w:tcPr>
          <w:p w14:paraId="5C4AAE71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数量</w:t>
            </w:r>
          </w:p>
        </w:tc>
      </w:tr>
      <w:tr w14:paraId="3DD5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5" w:type="dxa"/>
            <w:vAlign w:val="center"/>
          </w:tcPr>
          <w:p w14:paraId="1E64296D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725" w:type="dxa"/>
            <w:vAlign w:val="center"/>
          </w:tcPr>
          <w:p w14:paraId="03960D2C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电学分析系统</w:t>
            </w:r>
          </w:p>
        </w:tc>
        <w:tc>
          <w:tcPr>
            <w:tcW w:w="1802" w:type="dxa"/>
            <w:vAlign w:val="center"/>
          </w:tcPr>
          <w:p w14:paraId="2E57212A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Sino Aggtech</w:t>
            </w:r>
          </w:p>
        </w:tc>
        <w:tc>
          <w:tcPr>
            <w:tcW w:w="1560" w:type="dxa"/>
            <w:vAlign w:val="center"/>
          </w:tcPr>
          <w:p w14:paraId="5FA01AC1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SA3102</w:t>
            </w:r>
          </w:p>
        </w:tc>
        <w:tc>
          <w:tcPr>
            <w:tcW w:w="1418" w:type="dxa"/>
            <w:vAlign w:val="center"/>
          </w:tcPr>
          <w:p w14:paraId="1C2F376E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68000.00</w:t>
            </w:r>
          </w:p>
        </w:tc>
        <w:tc>
          <w:tcPr>
            <w:tcW w:w="713" w:type="dxa"/>
            <w:vAlign w:val="center"/>
          </w:tcPr>
          <w:p w14:paraId="5A6E3E37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1个</w:t>
            </w:r>
          </w:p>
        </w:tc>
      </w:tr>
      <w:tr w14:paraId="2778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5" w:type="dxa"/>
            <w:vAlign w:val="center"/>
          </w:tcPr>
          <w:p w14:paraId="4C7E4551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725" w:type="dxa"/>
            <w:vAlign w:val="center"/>
          </w:tcPr>
          <w:p w14:paraId="23361D8D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原位电学冷热台</w:t>
            </w:r>
          </w:p>
        </w:tc>
        <w:tc>
          <w:tcPr>
            <w:tcW w:w="1802" w:type="dxa"/>
            <w:vAlign w:val="center"/>
          </w:tcPr>
          <w:p w14:paraId="48E4F8AA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Sino Aggtech</w:t>
            </w:r>
          </w:p>
        </w:tc>
        <w:tc>
          <w:tcPr>
            <w:tcW w:w="1560" w:type="dxa"/>
            <w:vAlign w:val="center"/>
          </w:tcPr>
          <w:p w14:paraId="13247EDB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IST-500E</w:t>
            </w:r>
          </w:p>
        </w:tc>
        <w:tc>
          <w:tcPr>
            <w:tcW w:w="1418" w:type="dxa"/>
            <w:vAlign w:val="center"/>
          </w:tcPr>
          <w:p w14:paraId="7A235D04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78000.00</w:t>
            </w:r>
          </w:p>
        </w:tc>
        <w:tc>
          <w:tcPr>
            <w:tcW w:w="713" w:type="dxa"/>
            <w:vAlign w:val="center"/>
          </w:tcPr>
          <w:p w14:paraId="39B44AE7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1个</w:t>
            </w:r>
          </w:p>
        </w:tc>
      </w:tr>
      <w:tr w14:paraId="7441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5" w:type="dxa"/>
            <w:vAlign w:val="center"/>
          </w:tcPr>
          <w:p w14:paraId="5B4BEC62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725" w:type="dxa"/>
            <w:vAlign w:val="center"/>
          </w:tcPr>
          <w:p w14:paraId="0AB8624B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控温模块</w:t>
            </w:r>
          </w:p>
        </w:tc>
        <w:tc>
          <w:tcPr>
            <w:tcW w:w="1802" w:type="dxa"/>
            <w:vAlign w:val="center"/>
          </w:tcPr>
          <w:p w14:paraId="4C91ADF1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Sino Aggtech</w:t>
            </w:r>
          </w:p>
        </w:tc>
        <w:tc>
          <w:tcPr>
            <w:tcW w:w="1560" w:type="dxa"/>
            <w:vAlign w:val="center"/>
          </w:tcPr>
          <w:p w14:paraId="0BCACA8D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CGS-MTD</w:t>
            </w:r>
          </w:p>
        </w:tc>
        <w:tc>
          <w:tcPr>
            <w:tcW w:w="1418" w:type="dxa"/>
            <w:vAlign w:val="center"/>
          </w:tcPr>
          <w:p w14:paraId="7DC92815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32000.00</w:t>
            </w:r>
          </w:p>
        </w:tc>
        <w:tc>
          <w:tcPr>
            <w:tcW w:w="713" w:type="dxa"/>
            <w:vAlign w:val="center"/>
          </w:tcPr>
          <w:p w14:paraId="2913BBEB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1个</w:t>
            </w:r>
          </w:p>
        </w:tc>
      </w:tr>
      <w:tr w14:paraId="1D6A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5" w:type="dxa"/>
            <w:vAlign w:val="center"/>
          </w:tcPr>
          <w:p w14:paraId="203E58EC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14:paraId="12E625FC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静态配气模块</w:t>
            </w:r>
          </w:p>
        </w:tc>
        <w:tc>
          <w:tcPr>
            <w:tcW w:w="1802" w:type="dxa"/>
            <w:vAlign w:val="center"/>
          </w:tcPr>
          <w:p w14:paraId="2A706533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Sino Aggtech</w:t>
            </w:r>
          </w:p>
        </w:tc>
        <w:tc>
          <w:tcPr>
            <w:tcW w:w="1560" w:type="dxa"/>
            <w:vAlign w:val="center"/>
          </w:tcPr>
          <w:p w14:paraId="34E721F5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CGS-MTD</w:t>
            </w:r>
          </w:p>
        </w:tc>
        <w:tc>
          <w:tcPr>
            <w:tcW w:w="1418" w:type="dxa"/>
            <w:vAlign w:val="center"/>
          </w:tcPr>
          <w:p w14:paraId="220E71F9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26000.00</w:t>
            </w:r>
          </w:p>
        </w:tc>
        <w:tc>
          <w:tcPr>
            <w:tcW w:w="713" w:type="dxa"/>
            <w:vAlign w:val="center"/>
          </w:tcPr>
          <w:p w14:paraId="1F371941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1个</w:t>
            </w:r>
          </w:p>
        </w:tc>
      </w:tr>
      <w:tr w14:paraId="6CFA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5" w:type="dxa"/>
            <w:vAlign w:val="center"/>
          </w:tcPr>
          <w:p w14:paraId="0E8F0EC7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725" w:type="dxa"/>
            <w:vAlign w:val="center"/>
          </w:tcPr>
          <w:p w14:paraId="2136ACC8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电学分析系统软件</w:t>
            </w:r>
          </w:p>
        </w:tc>
        <w:tc>
          <w:tcPr>
            <w:tcW w:w="1802" w:type="dxa"/>
            <w:vAlign w:val="center"/>
          </w:tcPr>
          <w:p w14:paraId="6BE3151C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Sino Aggtech</w:t>
            </w:r>
          </w:p>
        </w:tc>
        <w:tc>
          <w:tcPr>
            <w:tcW w:w="1560" w:type="dxa"/>
            <w:vAlign w:val="center"/>
          </w:tcPr>
          <w:p w14:paraId="01ADB76E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SA3102</w:t>
            </w:r>
          </w:p>
        </w:tc>
        <w:tc>
          <w:tcPr>
            <w:tcW w:w="1418" w:type="dxa"/>
            <w:vAlign w:val="center"/>
          </w:tcPr>
          <w:p w14:paraId="0062ABF0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30000.00</w:t>
            </w:r>
          </w:p>
        </w:tc>
        <w:tc>
          <w:tcPr>
            <w:tcW w:w="713" w:type="dxa"/>
            <w:vAlign w:val="center"/>
          </w:tcPr>
          <w:p w14:paraId="646AD9C6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1个</w:t>
            </w:r>
          </w:p>
        </w:tc>
      </w:tr>
      <w:tr w14:paraId="18A0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5" w:type="dxa"/>
            <w:vAlign w:val="center"/>
          </w:tcPr>
          <w:p w14:paraId="55FC32A1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725" w:type="dxa"/>
            <w:vAlign w:val="center"/>
          </w:tcPr>
          <w:p w14:paraId="6326A762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802" w:type="dxa"/>
            <w:vAlign w:val="center"/>
          </w:tcPr>
          <w:p w14:paraId="288640D7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560" w:type="dxa"/>
            <w:vAlign w:val="center"/>
          </w:tcPr>
          <w:p w14:paraId="6DDA2AC5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18" w:type="dxa"/>
            <w:vAlign w:val="center"/>
          </w:tcPr>
          <w:p w14:paraId="44203904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713" w:type="dxa"/>
            <w:vAlign w:val="center"/>
          </w:tcPr>
          <w:p w14:paraId="4A23ED3A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</w:tr>
    </w:tbl>
    <w:p w14:paraId="10B109BF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lang w:eastAsia="zh-CN"/>
        </w:rPr>
        <w:t>0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lang w:eastAsia="zh-CN"/>
        </w:rPr>
        <w:t>包：</w:t>
      </w:r>
    </w:p>
    <w:tbl>
      <w:tblPr>
        <w:tblStyle w:val="14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787"/>
        <w:gridCol w:w="1088"/>
        <w:gridCol w:w="1541"/>
        <w:gridCol w:w="1936"/>
        <w:gridCol w:w="797"/>
      </w:tblGrid>
      <w:tr w14:paraId="6C3D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6" w:type="dxa"/>
            <w:vAlign w:val="center"/>
          </w:tcPr>
          <w:p w14:paraId="63DDB4BC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2787" w:type="dxa"/>
            <w:vAlign w:val="center"/>
          </w:tcPr>
          <w:p w14:paraId="7500F88C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1088" w:type="dxa"/>
            <w:vAlign w:val="center"/>
          </w:tcPr>
          <w:p w14:paraId="3EE6FB61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541" w:type="dxa"/>
            <w:vAlign w:val="center"/>
          </w:tcPr>
          <w:p w14:paraId="58EE116F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规格、型号</w:t>
            </w:r>
          </w:p>
        </w:tc>
        <w:tc>
          <w:tcPr>
            <w:tcW w:w="1936" w:type="dxa"/>
            <w:vAlign w:val="center"/>
          </w:tcPr>
          <w:p w14:paraId="0DECECFA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单价（元）</w:t>
            </w:r>
          </w:p>
        </w:tc>
        <w:tc>
          <w:tcPr>
            <w:tcW w:w="797" w:type="dxa"/>
            <w:vAlign w:val="center"/>
          </w:tcPr>
          <w:p w14:paraId="3A00501D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数量</w:t>
            </w:r>
          </w:p>
        </w:tc>
      </w:tr>
      <w:tr w14:paraId="39EA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vAlign w:val="center"/>
          </w:tcPr>
          <w:p w14:paraId="6359E086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1</w:t>
            </w:r>
          </w:p>
        </w:tc>
        <w:tc>
          <w:tcPr>
            <w:tcW w:w="2787" w:type="dxa"/>
            <w:vAlign w:val="center"/>
          </w:tcPr>
          <w:p w14:paraId="24F49BE5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面料拉伸度自动化测试</w:t>
            </w:r>
          </w:p>
        </w:tc>
        <w:tc>
          <w:tcPr>
            <w:tcW w:w="1088" w:type="dxa"/>
            <w:vAlign w:val="center"/>
          </w:tcPr>
          <w:p w14:paraId="3A0D492A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Style3D</w:t>
            </w:r>
          </w:p>
        </w:tc>
        <w:tc>
          <w:tcPr>
            <w:tcW w:w="1541" w:type="dxa"/>
            <w:vAlign w:val="center"/>
          </w:tcPr>
          <w:p w14:paraId="39A2B36D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SST1000</w:t>
            </w:r>
          </w:p>
        </w:tc>
        <w:tc>
          <w:tcPr>
            <w:tcW w:w="1936" w:type="dxa"/>
            <w:vAlign w:val="center"/>
          </w:tcPr>
          <w:p w14:paraId="2CB7A555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34000.00</w:t>
            </w:r>
          </w:p>
        </w:tc>
        <w:tc>
          <w:tcPr>
            <w:tcW w:w="797" w:type="dxa"/>
            <w:vAlign w:val="center"/>
          </w:tcPr>
          <w:p w14:paraId="47A96CDF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2</w:t>
            </w:r>
          </w:p>
        </w:tc>
      </w:tr>
      <w:tr w14:paraId="593C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vAlign w:val="center"/>
          </w:tcPr>
          <w:p w14:paraId="64D05E41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2</w:t>
            </w:r>
          </w:p>
        </w:tc>
        <w:tc>
          <w:tcPr>
            <w:tcW w:w="2787" w:type="dxa"/>
            <w:vAlign w:val="center"/>
          </w:tcPr>
          <w:p w14:paraId="3B5BF045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面料弯曲度自动化测试</w:t>
            </w:r>
          </w:p>
        </w:tc>
        <w:tc>
          <w:tcPr>
            <w:tcW w:w="1088" w:type="dxa"/>
            <w:vAlign w:val="center"/>
          </w:tcPr>
          <w:p w14:paraId="5D5B2490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Style3D</w:t>
            </w:r>
          </w:p>
        </w:tc>
        <w:tc>
          <w:tcPr>
            <w:tcW w:w="1541" w:type="dxa"/>
            <w:vAlign w:val="center"/>
          </w:tcPr>
          <w:p w14:paraId="210037EF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SBE1000</w:t>
            </w:r>
          </w:p>
        </w:tc>
        <w:tc>
          <w:tcPr>
            <w:tcW w:w="1936" w:type="dxa"/>
            <w:vAlign w:val="center"/>
          </w:tcPr>
          <w:p w14:paraId="50A4F852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34000.00</w:t>
            </w:r>
          </w:p>
        </w:tc>
        <w:tc>
          <w:tcPr>
            <w:tcW w:w="797" w:type="dxa"/>
            <w:vAlign w:val="center"/>
          </w:tcPr>
          <w:p w14:paraId="5F624741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2</w:t>
            </w:r>
          </w:p>
        </w:tc>
      </w:tr>
      <w:tr w14:paraId="7763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vAlign w:val="center"/>
          </w:tcPr>
          <w:p w14:paraId="4DA36462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3</w:t>
            </w:r>
          </w:p>
        </w:tc>
        <w:tc>
          <w:tcPr>
            <w:tcW w:w="2787" w:type="dxa"/>
            <w:vAlign w:val="center"/>
          </w:tcPr>
          <w:p w14:paraId="141B620C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面料扫描系统</w:t>
            </w:r>
          </w:p>
        </w:tc>
        <w:tc>
          <w:tcPr>
            <w:tcW w:w="1088" w:type="dxa"/>
            <w:vAlign w:val="center"/>
          </w:tcPr>
          <w:p w14:paraId="114CD94A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Style3D</w:t>
            </w:r>
          </w:p>
        </w:tc>
        <w:tc>
          <w:tcPr>
            <w:tcW w:w="1541" w:type="dxa"/>
            <w:vAlign w:val="center"/>
          </w:tcPr>
          <w:p w14:paraId="7DE333A7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SSC1000</w:t>
            </w:r>
          </w:p>
        </w:tc>
        <w:tc>
          <w:tcPr>
            <w:tcW w:w="1936" w:type="dxa"/>
            <w:vAlign w:val="center"/>
          </w:tcPr>
          <w:p w14:paraId="1B2A6401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82000.00</w:t>
            </w:r>
          </w:p>
        </w:tc>
        <w:tc>
          <w:tcPr>
            <w:tcW w:w="797" w:type="dxa"/>
            <w:vAlign w:val="center"/>
          </w:tcPr>
          <w:p w14:paraId="3F21D980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2</w:t>
            </w:r>
          </w:p>
        </w:tc>
      </w:tr>
      <w:tr w14:paraId="5B05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vAlign w:val="center"/>
          </w:tcPr>
          <w:p w14:paraId="6C3AFC33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4</w:t>
            </w:r>
          </w:p>
        </w:tc>
        <w:tc>
          <w:tcPr>
            <w:tcW w:w="2787" w:type="dxa"/>
            <w:vAlign w:val="center"/>
          </w:tcPr>
          <w:p w14:paraId="79CDDB8E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面料数字化软件系统</w:t>
            </w:r>
          </w:p>
        </w:tc>
        <w:tc>
          <w:tcPr>
            <w:tcW w:w="1088" w:type="dxa"/>
            <w:vAlign w:val="center"/>
          </w:tcPr>
          <w:p w14:paraId="7F2F5961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Style3D</w:t>
            </w:r>
          </w:p>
        </w:tc>
        <w:tc>
          <w:tcPr>
            <w:tcW w:w="1541" w:type="dxa"/>
            <w:vAlign w:val="center"/>
          </w:tcPr>
          <w:p w14:paraId="2A3128DB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V9.0</w:t>
            </w:r>
          </w:p>
        </w:tc>
        <w:tc>
          <w:tcPr>
            <w:tcW w:w="1936" w:type="dxa"/>
            <w:vAlign w:val="center"/>
          </w:tcPr>
          <w:p w14:paraId="5A256154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10000.00</w:t>
            </w:r>
          </w:p>
        </w:tc>
        <w:tc>
          <w:tcPr>
            <w:tcW w:w="797" w:type="dxa"/>
            <w:vAlign w:val="center"/>
          </w:tcPr>
          <w:p w14:paraId="44DF0715">
            <w:pPr>
              <w:bidi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2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</w:t>
      </w:r>
      <w:r>
        <w:rPr>
          <w:rFonts w:hint="eastAsia" w:ascii="宋体" w:hAnsi="宋体"/>
          <w:b/>
          <w:bCs/>
          <w:color w:val="auto"/>
          <w:sz w:val="24"/>
        </w:rPr>
        <w:t>专家名单：</w:t>
      </w:r>
      <w:r>
        <w:rPr>
          <w:rFonts w:hint="eastAsia" w:ascii="宋体" w:hAnsi="宋体"/>
          <w:color w:val="auto"/>
          <w:sz w:val="24"/>
          <w:lang w:val="en-US" w:eastAsia="zh-CN"/>
        </w:rPr>
        <w:t>孙振奇、万缨、杜艳、杨帆、姜延</w:t>
      </w:r>
      <w:r>
        <w:rPr>
          <w:rFonts w:hint="eastAsia" w:ascii="宋体" w:hAnsi="宋体"/>
          <w:color w:val="auto"/>
          <w:sz w:val="24"/>
        </w:rPr>
        <w:t>（采购</w:t>
      </w:r>
      <w:r>
        <w:rPr>
          <w:rFonts w:hint="eastAsia" w:ascii="宋体" w:hAnsi="宋体"/>
          <w:color w:val="auto"/>
          <w:sz w:val="24"/>
        </w:rPr>
        <w:t>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</w:t>
      </w:r>
      <w:r>
        <w:rPr>
          <w:rFonts w:hint="eastAsia" w:ascii="宋体" w:hAnsi="宋体"/>
          <w:b/>
          <w:bCs/>
          <w:color w:val="auto"/>
          <w:sz w:val="24"/>
        </w:rPr>
        <w:t>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详见招标文件。01包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0.77376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02包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0.384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总</w:t>
      </w:r>
      <w:r>
        <w:rPr>
          <w:rFonts w:hint="eastAsia" w:ascii="宋体" w:hAnsi="宋体"/>
          <w:color w:val="auto"/>
          <w:sz w:val="24"/>
          <w:lang w:eastAsia="zh-CN"/>
        </w:rPr>
        <w:t>服务费金额为：人民币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1.15776</w:t>
      </w:r>
      <w:r>
        <w:rPr>
          <w:rFonts w:hint="eastAsia" w:ascii="宋体" w:hAnsi="宋体"/>
          <w:color w:val="auto"/>
          <w:sz w:val="24"/>
          <w:lang w:eastAsia="zh-CN"/>
        </w:rPr>
        <w:t>万元</w:t>
      </w:r>
      <w:r>
        <w:rPr>
          <w:rFonts w:hint="eastAsia" w:ascii="宋体" w:hAnsi="宋体"/>
          <w:color w:val="auto"/>
          <w:sz w:val="24"/>
        </w:rPr>
        <w:t>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</w:t>
      </w: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color w:val="auto"/>
          <w:sz w:val="24"/>
        </w:rPr>
      </w:pPr>
      <w:r>
        <w:rPr>
          <w:rFonts w:hint="eastAsia" w:ascii="宋体" w:hAnsi="宋体" w:cs="仿宋"/>
          <w:b/>
          <w:bCs/>
          <w:color w:val="auto"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2025年10月31日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01包</w:t>
      </w:r>
      <w:r>
        <w:rPr>
          <w:rFonts w:hint="eastAsia" w:ascii="宋体" w:hAnsi="宋体" w:cs="宋体"/>
          <w:color w:val="auto"/>
          <w:kern w:val="0"/>
          <w:sz w:val="24"/>
        </w:rPr>
        <w:t>中标人评审总得分（总平均分）：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93.00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包中标人评审总得分（总平均分）：95.70分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.本项</w:t>
      </w:r>
      <w:r>
        <w:rPr>
          <w:rFonts w:hint="eastAsia" w:ascii="宋体" w:hAnsi="宋体" w:cs="宋体"/>
          <w:color w:val="auto"/>
          <w:kern w:val="0"/>
          <w:sz w:val="24"/>
        </w:rPr>
        <w:t>目招标编号为：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BMCC-ZC25-1428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35393810"/>
      <w:bookmarkStart w:id="1" w:name="_Toc35393641"/>
      <w:bookmarkStart w:id="2" w:name="_Toc28359100"/>
      <w:bookmarkStart w:id="3" w:name="_Toc28359023"/>
      <w:r>
        <w:rPr>
          <w:rFonts w:hint="eastAsia" w:ascii="宋体" w:hAnsi="宋体"/>
          <w:color w:val="auto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35393642"/>
      <w:bookmarkStart w:id="5" w:name="_Toc28359101"/>
      <w:bookmarkStart w:id="6" w:name="_Toc28359024"/>
      <w:bookmarkStart w:id="7" w:name="_Toc3539381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bookmarkStart w:id="12" w:name="_GoBack"/>
      <w:bookmarkEnd w:id="12"/>
      <w:r>
        <w:rPr>
          <w:rFonts w:hint="eastAsia" w:ascii="宋体" w:hAnsi="宋体"/>
          <w:color w:val="auto"/>
          <w:sz w:val="24"/>
        </w:rPr>
        <w:t>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</w:t>
      </w:r>
      <w:r>
        <w:rPr>
          <w:rFonts w:ascii="宋体" w:hAnsi="宋体"/>
          <w:color w:val="auto"/>
          <w:sz w:val="24"/>
        </w:rPr>
        <w:t>B</w:t>
      </w:r>
      <w:r>
        <w:rPr>
          <w:rFonts w:hint="eastAsia" w:ascii="宋体" w:hAnsi="宋体"/>
          <w:color w:val="auto"/>
          <w:sz w:val="24"/>
        </w:rPr>
        <w:t>座1</w:t>
      </w:r>
      <w:r>
        <w:rPr>
          <w:rFonts w:ascii="宋体" w:hAnsi="宋体"/>
          <w:color w:val="auto"/>
          <w:sz w:val="24"/>
        </w:rPr>
        <w:t>709</w:t>
      </w:r>
      <w:r>
        <w:rPr>
          <w:rFonts w:hint="eastAsia" w:ascii="宋体" w:hAnsi="宋体"/>
          <w:color w:val="auto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102"/>
      <w:bookmarkStart w:id="9" w:name="_Toc35393643"/>
      <w:bookmarkStart w:id="10" w:name="_Toc28359025"/>
      <w:bookmarkStart w:id="11" w:name="_Toc35393812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</w:t>
      </w:r>
      <w:r>
        <w:rPr>
          <w:rFonts w:hint="eastAsia" w:ascii="宋体" w:hAnsi="宋体"/>
          <w:color w:val="auto"/>
          <w:sz w:val="24"/>
        </w:rPr>
        <w:t>系人：杨梦雪、王蕾蕾、杨欢、周洁琼、吕绍山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56300C8"/>
    <w:rsid w:val="15E769F0"/>
    <w:rsid w:val="15F555B1"/>
    <w:rsid w:val="16426A34"/>
    <w:rsid w:val="186443F3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1F705A93"/>
    <w:rsid w:val="20DA7628"/>
    <w:rsid w:val="21AC55DB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6B59EA"/>
    <w:rsid w:val="2C9F5E1F"/>
    <w:rsid w:val="2D9C3200"/>
    <w:rsid w:val="2DA77EE1"/>
    <w:rsid w:val="2DF5384F"/>
    <w:rsid w:val="30535A16"/>
    <w:rsid w:val="318E3F92"/>
    <w:rsid w:val="32537490"/>
    <w:rsid w:val="3262701D"/>
    <w:rsid w:val="32DB1233"/>
    <w:rsid w:val="3321758E"/>
    <w:rsid w:val="33630779"/>
    <w:rsid w:val="33EB36F8"/>
    <w:rsid w:val="349D2AB1"/>
    <w:rsid w:val="34C03E01"/>
    <w:rsid w:val="354B6B44"/>
    <w:rsid w:val="38A24CCD"/>
    <w:rsid w:val="390F1C37"/>
    <w:rsid w:val="399046AB"/>
    <w:rsid w:val="3A830B2E"/>
    <w:rsid w:val="3C247322"/>
    <w:rsid w:val="3C4F2579"/>
    <w:rsid w:val="3C955BB2"/>
    <w:rsid w:val="3C9816AA"/>
    <w:rsid w:val="3CAC2C97"/>
    <w:rsid w:val="3D2A34E3"/>
    <w:rsid w:val="3DA26A2C"/>
    <w:rsid w:val="3FBB0422"/>
    <w:rsid w:val="401D6DC2"/>
    <w:rsid w:val="40F634C5"/>
    <w:rsid w:val="41035EA1"/>
    <w:rsid w:val="422B40FE"/>
    <w:rsid w:val="42F03465"/>
    <w:rsid w:val="43D71955"/>
    <w:rsid w:val="46432EF6"/>
    <w:rsid w:val="46720BD5"/>
    <w:rsid w:val="47B651E6"/>
    <w:rsid w:val="485A560E"/>
    <w:rsid w:val="499733D1"/>
    <w:rsid w:val="4A1F74F3"/>
    <w:rsid w:val="4A275388"/>
    <w:rsid w:val="4B9B270F"/>
    <w:rsid w:val="4BDA1F5B"/>
    <w:rsid w:val="4C936E06"/>
    <w:rsid w:val="4F3A3E2F"/>
    <w:rsid w:val="4FD202EF"/>
    <w:rsid w:val="5099030C"/>
    <w:rsid w:val="50F25C6E"/>
    <w:rsid w:val="535B05E6"/>
    <w:rsid w:val="54D74DB9"/>
    <w:rsid w:val="59C52592"/>
    <w:rsid w:val="5A6C083F"/>
    <w:rsid w:val="5A8D3BC2"/>
    <w:rsid w:val="5C31513A"/>
    <w:rsid w:val="5C4B2EE9"/>
    <w:rsid w:val="5F043842"/>
    <w:rsid w:val="5FD666CA"/>
    <w:rsid w:val="60D51D35"/>
    <w:rsid w:val="6121793A"/>
    <w:rsid w:val="61BC4C6D"/>
    <w:rsid w:val="62FE04A2"/>
    <w:rsid w:val="63E5375F"/>
    <w:rsid w:val="64EC4A56"/>
    <w:rsid w:val="65413B16"/>
    <w:rsid w:val="657D399B"/>
    <w:rsid w:val="659D0447"/>
    <w:rsid w:val="662104DE"/>
    <w:rsid w:val="66502EF2"/>
    <w:rsid w:val="67F32D38"/>
    <w:rsid w:val="68092422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6F32680E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A6D02E7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726</Words>
  <Characters>1047</Characters>
  <Lines>4</Lines>
  <Paragraphs>1</Paragraphs>
  <TotalTime>4</TotalTime>
  <ScaleCrop>false</ScaleCrop>
  <LinksUpToDate>false</LinksUpToDate>
  <CharactersWithSpaces>1074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2025-11-26T06:20:45Z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