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jc w:val="center"/>
        <w:rPr>
          <w:b/>
          <w:bCs/>
          <w:sz w:val="60"/>
          <w:szCs w:val="60"/>
        </w:rPr>
      </w:pPr>
      <w:r>
        <w:rPr>
          <w:b/>
          <w:bCs/>
          <w:sz w:val="60"/>
          <w:szCs w:val="60"/>
        </w:rPr>
        <w:t>北京市政府采购项目</w:t>
      </w:r>
    </w:p>
    <w:p>
      <w:pPr>
        <w:jc w:val="center"/>
        <w:rPr>
          <w:b/>
          <w:bCs/>
          <w:sz w:val="60"/>
          <w:szCs w:val="60"/>
        </w:rPr>
      </w:pPr>
      <w:r>
        <w:rPr>
          <w:b/>
          <w:bCs/>
          <w:sz w:val="60"/>
          <w:szCs w:val="60"/>
        </w:rPr>
        <w:t>竞争性磋商文件</w:t>
      </w:r>
    </w:p>
    <w:p>
      <w:pPr>
        <w:jc w:val="center"/>
        <w:rPr>
          <w:b/>
          <w:bCs/>
          <w:sz w:val="60"/>
          <w:szCs w:val="60"/>
        </w:rPr>
      </w:pPr>
    </w:p>
    <w:p>
      <w:pPr>
        <w:spacing w:line="360" w:lineRule="auto"/>
        <w:jc w:val="center"/>
        <w:rPr>
          <w:b/>
          <w:bCs/>
          <w:sz w:val="60"/>
          <w:szCs w:val="60"/>
        </w:rPr>
      </w:pPr>
    </w:p>
    <w:p>
      <w:pPr>
        <w:spacing w:line="360" w:lineRule="auto"/>
        <w:jc w:val="center"/>
        <w:rPr>
          <w:b/>
          <w:bCs/>
          <w:sz w:val="60"/>
          <w:szCs w:val="60"/>
        </w:rPr>
      </w:pPr>
    </w:p>
    <w:p>
      <w:pPr>
        <w:tabs>
          <w:tab w:val="left" w:pos="5609"/>
        </w:tabs>
        <w:spacing w:line="360" w:lineRule="auto"/>
        <w:ind w:left="2832" w:leftChars="444" w:hanging="1900" w:hangingChars="528"/>
        <w:jc w:val="left"/>
        <w:rPr>
          <w:bCs/>
          <w:sz w:val="36"/>
          <w:szCs w:val="36"/>
        </w:rPr>
      </w:pPr>
      <w:r>
        <w:rPr>
          <w:bCs/>
          <w:sz w:val="36"/>
          <w:szCs w:val="36"/>
        </w:rPr>
        <w:t>项目名称：</w:t>
      </w:r>
      <w:r>
        <w:rPr>
          <w:bCs/>
          <w:sz w:val="36"/>
          <w:szCs w:val="36"/>
        </w:rPr>
        <w:tab/>
      </w:r>
      <w:r>
        <w:rPr>
          <w:rFonts w:hint="eastAsia"/>
          <w:bCs/>
          <w:sz w:val="36"/>
          <w:szCs w:val="36"/>
        </w:rPr>
        <w:t>行政办公区桌面互联网接入服务采购项目（2026年度）</w:t>
      </w:r>
      <w:r>
        <w:rPr>
          <w:bCs/>
          <w:sz w:val="36"/>
          <w:szCs w:val="36"/>
        </w:rPr>
        <w:tab/>
      </w:r>
    </w:p>
    <w:p>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rFonts w:hint="eastAsia"/>
          <w:bCs/>
          <w:sz w:val="36"/>
          <w:szCs w:val="36"/>
        </w:rPr>
        <w:t>采购编号</w:t>
      </w:r>
      <w:r>
        <w:rPr>
          <w:bCs/>
          <w:sz w:val="36"/>
          <w:szCs w:val="36"/>
        </w:rPr>
        <w:t>：</w:t>
      </w:r>
      <w:r>
        <w:rPr>
          <w:rFonts w:hint="eastAsia"/>
          <w:bCs/>
          <w:sz w:val="36"/>
          <w:szCs w:val="36"/>
        </w:rPr>
        <w:t>BGPC-C252</w:t>
      </w:r>
      <w:r>
        <w:rPr>
          <w:rFonts w:hint="eastAsia"/>
          <w:bCs/>
          <w:sz w:val="36"/>
          <w:szCs w:val="36"/>
          <w:lang w:val="en-US" w:eastAsia="zh-CN"/>
        </w:rPr>
        <w:t>8</w:t>
      </w:r>
      <w:r>
        <w:rPr>
          <w:rFonts w:hint="eastAsia"/>
          <w:bCs/>
          <w:sz w:val="36"/>
          <w:szCs w:val="36"/>
          <w:lang w:val="en-US" w:eastAsia="zh-CN"/>
        </w:rPr>
        <w:t>2</w:t>
      </w:r>
    </w:p>
    <w:p>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中共北京市委机要局</w:t>
      </w:r>
    </w:p>
    <w:p>
      <w:pPr>
        <w:tabs>
          <w:tab w:val="left" w:pos="3240"/>
          <w:tab w:val="left" w:pos="3420"/>
        </w:tabs>
        <w:spacing w:line="360" w:lineRule="auto"/>
        <w:ind w:left="3452" w:leftChars="444" w:hanging="2520" w:hangingChars="700"/>
        <w:jc w:val="left"/>
        <w:rPr>
          <w:rFonts w:hint="eastAsia"/>
          <w:bCs/>
          <w:sz w:val="36"/>
          <w:szCs w:val="36"/>
        </w:rPr>
      </w:pPr>
      <w:r>
        <w:rPr>
          <w:bCs/>
          <w:sz w:val="36"/>
          <w:szCs w:val="36"/>
        </w:rPr>
        <w:t>采购代理机构：</w:t>
      </w:r>
      <w:r>
        <w:rPr>
          <w:rFonts w:hint="eastAsia"/>
          <w:bCs/>
          <w:sz w:val="36"/>
          <w:szCs w:val="36"/>
        </w:rPr>
        <w:t>北京市公共资源交易中心</w:t>
      </w:r>
    </w:p>
    <w:p>
      <w:pPr>
        <w:tabs>
          <w:tab w:val="left" w:pos="3240"/>
          <w:tab w:val="left" w:pos="3420"/>
        </w:tabs>
        <w:spacing w:line="360" w:lineRule="auto"/>
        <w:ind w:left="4931" w:leftChars="1648" w:hanging="1470"/>
        <w:jc w:val="left"/>
        <w:rPr>
          <w:rFonts w:hint="eastAsia"/>
          <w:bCs/>
          <w:sz w:val="36"/>
          <w:szCs w:val="36"/>
        </w:rPr>
      </w:pPr>
      <w:r>
        <w:rPr>
          <w:rFonts w:hint="eastAsia"/>
          <w:bCs/>
          <w:sz w:val="36"/>
          <w:szCs w:val="36"/>
        </w:rPr>
        <w:t>（北京市政府采购中心）</w:t>
      </w:r>
    </w:p>
    <w:p>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pPr>
        <w:widowControl/>
        <w:rPr>
          <w:b/>
          <w:sz w:val="36"/>
          <w:szCs w:val="36"/>
        </w:rPr>
      </w:pPr>
      <w:r>
        <w:rPr>
          <w:b/>
          <w:bCs/>
          <w:sz w:val="44"/>
        </w:rPr>
        <w:br w:type="page"/>
      </w:r>
      <w:bookmarkStart w:id="0" w:name="_Toc74227630"/>
    </w:p>
    <w:bookmarkEnd w:id="0"/>
    <w:p>
      <w:pPr>
        <w:pStyle w:val="174"/>
        <w:spacing w:line="360" w:lineRule="auto"/>
        <w:ind w:firstLine="480" w:firstLineChars="200"/>
        <w:rPr>
          <w:rFonts w:ascii="Times New Roman" w:hAnsi="Times New Roman" w:cs="Times New Roman"/>
        </w:rPr>
      </w:pPr>
    </w:p>
    <w:p>
      <w:pPr>
        <w:spacing w:line="360" w:lineRule="auto"/>
        <w:jc w:val="center"/>
        <w:outlineLvl w:val="0"/>
        <w:rPr>
          <w:b/>
          <w:sz w:val="36"/>
          <w:szCs w:val="36"/>
        </w:rPr>
      </w:pPr>
      <w:r>
        <w:rPr>
          <w:b/>
          <w:sz w:val="36"/>
          <w:szCs w:val="36"/>
        </w:rPr>
        <w:t>目      录</w:t>
      </w:r>
    </w:p>
    <w:p/>
    <w:p/>
    <w:p/>
    <w:p/>
    <w:p>
      <w:pPr>
        <w:pStyle w:val="30"/>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50"/>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50"/>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50"/>
          <w:rFonts w:ascii="Times New Roman" w:hAnsi="Times New Roman"/>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50"/>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50"/>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Style w:val="50"/>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62</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b w:val="0"/>
        </w:rPr>
      </w:pPr>
      <w:r>
        <w:rPr>
          <w:rFonts w:ascii="Times New Roman" w:hAnsi="Times New Roman"/>
          <w:b w:val="0"/>
        </w:rPr>
        <w:fldChar w:fldCharType="end"/>
      </w:r>
    </w:p>
    <w:p/>
    <w:p>
      <w:pPr>
        <w:spacing w:line="360" w:lineRule="auto"/>
        <w:rPr>
          <w:sz w:val="24"/>
        </w:rPr>
      </w:pPr>
      <w:r>
        <w:rPr>
          <w:rFonts w:hint="eastAsia"/>
          <w:sz w:val="24"/>
        </w:rPr>
        <w:t>注：采购文件条款中以</w:t>
      </w:r>
      <w:r>
        <w:rPr>
          <w:sz w:val="24"/>
        </w:rPr>
        <w:t xml:space="preserve"> “</w:t>
      </w:r>
      <w:r>
        <w:rPr>
          <w:rFonts w:hint="eastAsia"/>
        </w:rPr>
        <w:t>☑</w:t>
      </w:r>
      <w:r>
        <w:rPr>
          <w:sz w:val="24"/>
        </w:rPr>
        <w:t>”</w:t>
      </w:r>
      <w:r>
        <w:rPr>
          <w:rFonts w:hint="eastAsia"/>
          <w:sz w:val="24"/>
        </w:rPr>
        <w:t>形式标记的内容适用于本项目，以</w:t>
      </w:r>
      <w:r>
        <w:rPr>
          <w:sz w:val="24"/>
        </w:rPr>
        <w:t>“□”</w:t>
      </w:r>
      <w:r>
        <w:rPr>
          <w:rFonts w:hint="eastAsia"/>
          <w:sz w:val="24"/>
        </w:rPr>
        <w:t>形式标记的内容不适用于本项目。</w:t>
      </w:r>
    </w:p>
    <w:p>
      <w:pPr>
        <w:pStyle w:val="30"/>
        <w:spacing w:line="360" w:lineRule="auto"/>
        <w:rPr>
          <w:rFonts w:ascii="Times New Roman" w:hAnsi="Times New Roman"/>
          <w:b w:val="0"/>
        </w:rPr>
      </w:pPr>
    </w:p>
    <w:p>
      <w:pPr>
        <w:pStyle w:val="30"/>
        <w:spacing w:line="360" w:lineRule="auto"/>
        <w:rPr>
          <w:rFonts w:ascii="Times New Roman" w:hAnsi="Times New Roman"/>
          <w:b w:val="0"/>
          <w:sz w:val="36"/>
          <w:szCs w:val="36"/>
        </w:rPr>
      </w:pPr>
      <w:bookmarkStart w:id="1" w:name="_Toc97371941"/>
    </w:p>
    <w:p>
      <w:pPr>
        <w:spacing w:line="360" w:lineRule="auto"/>
        <w:jc w:val="center"/>
        <w:outlineLvl w:val="0"/>
        <w:rPr>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rPr>
      </w:pPr>
      <w:r>
        <w:rPr>
          <w:b/>
          <w:sz w:val="36"/>
          <w:szCs w:val="36"/>
        </w:rPr>
        <w:t>第一章   采购邀请</w:t>
      </w:r>
      <w:bookmarkEnd w:id="1"/>
      <w:bookmarkStart w:id="2" w:name="_Toc35393621"/>
      <w:bookmarkStart w:id="3" w:name="_Toc28359079"/>
      <w:bookmarkStart w:id="4" w:name="_Toc28359002"/>
      <w:bookmarkStart w:id="5" w:name="_Toc35393790"/>
      <w:bookmarkStart w:id="6" w:name="_Hlk24379207"/>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p>
      <w:pPr>
        <w:spacing w:line="360" w:lineRule="auto"/>
        <w:ind w:firstLine="480" w:firstLineChars="200"/>
        <w:rPr>
          <w:rFonts w:hint="default" w:eastAsia="宋体"/>
          <w:sz w:val="24"/>
          <w:lang w:val="en-US" w:eastAsia="zh-CN"/>
        </w:rPr>
      </w:pPr>
      <w:r>
        <w:rPr>
          <w:sz w:val="24"/>
        </w:rPr>
        <w:t>1.</w:t>
      </w:r>
      <w:r>
        <w:rPr>
          <w:rFonts w:hint="eastAsia"/>
          <w:sz w:val="24"/>
        </w:rPr>
        <w:t>采购编号</w:t>
      </w:r>
      <w:r>
        <w:rPr>
          <w:sz w:val="24"/>
        </w:rPr>
        <w:t>：</w:t>
      </w:r>
      <w:r>
        <w:rPr>
          <w:rFonts w:hint="eastAsia"/>
          <w:sz w:val="24"/>
        </w:rPr>
        <w:t>BGPC-C252</w:t>
      </w:r>
      <w:r>
        <w:rPr>
          <w:rFonts w:hint="eastAsia"/>
          <w:sz w:val="24"/>
          <w:lang w:val="en-US" w:eastAsia="zh-CN"/>
        </w:rPr>
        <w:t>82</w:t>
      </w:r>
    </w:p>
    <w:p>
      <w:pPr>
        <w:spacing w:line="360" w:lineRule="auto"/>
        <w:ind w:firstLine="480" w:firstLineChars="200"/>
        <w:rPr>
          <w:sz w:val="24"/>
        </w:rPr>
      </w:pPr>
      <w:r>
        <w:rPr>
          <w:sz w:val="24"/>
        </w:rPr>
        <w:t>2.项目名称：</w:t>
      </w:r>
      <w:r>
        <w:rPr>
          <w:rFonts w:hint="eastAsia"/>
          <w:sz w:val="24"/>
        </w:rPr>
        <w:t>行政办公区桌面互联网接入服务采购项目（2026年度）</w:t>
      </w:r>
    </w:p>
    <w:p>
      <w:pPr>
        <w:spacing w:line="360" w:lineRule="auto"/>
        <w:ind w:firstLine="480" w:firstLineChars="200"/>
        <w:rPr>
          <w:sz w:val="24"/>
        </w:rPr>
      </w:pPr>
      <w:r>
        <w:rPr>
          <w:sz w:val="24"/>
        </w:rPr>
        <w:t>3.采购方式：竞争性磋商</w:t>
      </w:r>
    </w:p>
    <w:bookmarkEnd w:id="6"/>
    <w:p>
      <w:pPr>
        <w:spacing w:line="360" w:lineRule="auto"/>
        <w:ind w:firstLine="480" w:firstLineChars="200"/>
        <w:rPr>
          <w:sz w:val="24"/>
        </w:rPr>
      </w:pPr>
      <w:r>
        <w:rPr>
          <w:sz w:val="24"/>
        </w:rPr>
        <w:t>4.项目预算金额：</w:t>
      </w:r>
      <w:r>
        <w:rPr>
          <w:rFonts w:hint="eastAsia"/>
          <w:sz w:val="24"/>
        </w:rPr>
        <w:t>2</w:t>
      </w:r>
      <w:r>
        <w:rPr>
          <w:rFonts w:hint="eastAsia"/>
          <w:sz w:val="24"/>
          <w:lang w:val="en-US" w:eastAsia="zh-CN"/>
        </w:rPr>
        <w:t>2</w:t>
      </w:r>
      <w:r>
        <w:rPr>
          <w:rFonts w:hint="eastAsia"/>
          <w:sz w:val="24"/>
        </w:rPr>
        <w:t>0</w:t>
      </w:r>
      <w:r>
        <w:rPr>
          <w:sz w:val="24"/>
        </w:rPr>
        <w:t>万元</w:t>
      </w:r>
    </w:p>
    <w:p>
      <w:pPr>
        <w:spacing w:line="360" w:lineRule="auto"/>
        <w:ind w:firstLine="480" w:firstLineChars="200"/>
        <w:rPr>
          <w:sz w:val="24"/>
        </w:rPr>
      </w:pPr>
      <w:r>
        <w:rPr>
          <w:sz w:val="24"/>
        </w:rPr>
        <w:t>5.采购需求：</w:t>
      </w:r>
    </w:p>
    <w:tbl>
      <w:tblPr>
        <w:tblStyle w:val="42"/>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8" w:type="dxa"/>
            <w:noWrap w:val="0"/>
            <w:vAlign w:val="center"/>
          </w:tcPr>
          <w:p>
            <w:pPr>
              <w:jc w:val="center"/>
              <w:rPr>
                <w:bCs/>
                <w:szCs w:val="21"/>
              </w:rPr>
            </w:pPr>
            <w:r>
              <w:rPr>
                <w:bCs/>
                <w:szCs w:val="21"/>
              </w:rPr>
              <w:t>包号</w:t>
            </w:r>
          </w:p>
        </w:tc>
        <w:tc>
          <w:tcPr>
            <w:tcW w:w="1520" w:type="dxa"/>
            <w:noWrap w:val="0"/>
            <w:vAlign w:val="center"/>
          </w:tcPr>
          <w:p>
            <w:pPr>
              <w:jc w:val="center"/>
              <w:rPr>
                <w:bCs/>
                <w:szCs w:val="21"/>
              </w:rPr>
            </w:pPr>
            <w:r>
              <w:rPr>
                <w:bCs/>
                <w:szCs w:val="21"/>
              </w:rPr>
              <w:t>标的名称</w:t>
            </w:r>
          </w:p>
        </w:tc>
        <w:tc>
          <w:tcPr>
            <w:tcW w:w="1660" w:type="dxa"/>
            <w:noWrap w:val="0"/>
            <w:vAlign w:val="center"/>
          </w:tcPr>
          <w:p>
            <w:pPr>
              <w:jc w:val="center"/>
              <w:rPr>
                <w:bCs/>
                <w:szCs w:val="21"/>
              </w:rPr>
            </w:pPr>
            <w:r>
              <w:rPr>
                <w:bCs/>
                <w:szCs w:val="21"/>
              </w:rPr>
              <w:t>采购包预算金额</w:t>
            </w:r>
          </w:p>
          <w:p>
            <w:pPr>
              <w:jc w:val="center"/>
              <w:rPr>
                <w:bCs/>
                <w:szCs w:val="21"/>
              </w:rPr>
            </w:pPr>
            <w:r>
              <w:rPr>
                <w:bCs/>
                <w:szCs w:val="21"/>
              </w:rPr>
              <w:t>（万元）</w:t>
            </w:r>
          </w:p>
        </w:tc>
        <w:tc>
          <w:tcPr>
            <w:tcW w:w="973" w:type="dxa"/>
            <w:noWrap w:val="0"/>
            <w:vAlign w:val="center"/>
          </w:tcPr>
          <w:p>
            <w:pPr>
              <w:jc w:val="center"/>
              <w:rPr>
                <w:bCs/>
                <w:szCs w:val="21"/>
              </w:rPr>
            </w:pPr>
            <w:r>
              <w:rPr>
                <w:bCs/>
                <w:szCs w:val="21"/>
              </w:rPr>
              <w:t>数量</w:t>
            </w:r>
          </w:p>
        </w:tc>
        <w:tc>
          <w:tcPr>
            <w:tcW w:w="4170" w:type="dxa"/>
            <w:noWrap w:val="0"/>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8" w:type="dxa"/>
            <w:noWrap w:val="0"/>
            <w:vAlign w:val="center"/>
          </w:tcPr>
          <w:p>
            <w:pPr>
              <w:jc w:val="center"/>
              <w:rPr>
                <w:rFonts w:hint="eastAsia"/>
                <w:kern w:val="0"/>
                <w:szCs w:val="21"/>
              </w:rPr>
            </w:pPr>
            <w:r>
              <w:rPr>
                <w:rFonts w:hint="eastAsia"/>
                <w:kern w:val="0"/>
                <w:szCs w:val="21"/>
              </w:rPr>
              <w:t>1</w:t>
            </w:r>
          </w:p>
        </w:tc>
        <w:tc>
          <w:tcPr>
            <w:tcW w:w="1520" w:type="dxa"/>
            <w:noWrap w:val="0"/>
            <w:vAlign w:val="center"/>
          </w:tcPr>
          <w:p>
            <w:pPr>
              <w:jc w:val="center"/>
              <w:rPr>
                <w:rFonts w:hint="default" w:eastAsia="宋体"/>
                <w:kern w:val="0"/>
                <w:szCs w:val="21"/>
                <w:lang w:val="en-US" w:eastAsia="zh-CN"/>
              </w:rPr>
            </w:pPr>
            <w:r>
              <w:rPr>
                <w:rFonts w:hint="eastAsia"/>
                <w:kern w:val="0"/>
                <w:szCs w:val="21"/>
              </w:rPr>
              <w:t>行政办公区桌面互联网接入服务采购项目（2026年度）</w:t>
            </w:r>
            <w:r>
              <w:rPr>
                <w:rFonts w:hint="eastAsia"/>
                <w:kern w:val="0"/>
                <w:szCs w:val="21"/>
                <w:lang w:val="en-US" w:eastAsia="zh-CN"/>
              </w:rPr>
              <w:t>-第一包</w:t>
            </w:r>
          </w:p>
        </w:tc>
        <w:tc>
          <w:tcPr>
            <w:tcW w:w="1660" w:type="dxa"/>
            <w:noWrap w:val="0"/>
            <w:vAlign w:val="center"/>
          </w:tcPr>
          <w:p>
            <w:pPr>
              <w:jc w:val="center"/>
              <w:rPr>
                <w:kern w:val="0"/>
                <w:szCs w:val="21"/>
              </w:rPr>
            </w:pPr>
            <w:r>
              <w:rPr>
                <w:rFonts w:hint="eastAsia"/>
                <w:kern w:val="0"/>
                <w:szCs w:val="21"/>
                <w:lang w:val="en-US" w:eastAsia="zh-CN"/>
              </w:rPr>
              <w:t>11</w:t>
            </w:r>
            <w:r>
              <w:rPr>
                <w:rFonts w:hint="eastAsia"/>
                <w:kern w:val="0"/>
                <w:szCs w:val="21"/>
              </w:rPr>
              <w:t>0</w:t>
            </w:r>
          </w:p>
        </w:tc>
        <w:tc>
          <w:tcPr>
            <w:tcW w:w="973" w:type="dxa"/>
            <w:noWrap w:val="0"/>
            <w:vAlign w:val="center"/>
          </w:tcPr>
          <w:p>
            <w:pPr>
              <w:jc w:val="center"/>
              <w:rPr>
                <w:kern w:val="0"/>
                <w:szCs w:val="21"/>
              </w:rPr>
            </w:pPr>
            <w:r>
              <w:rPr>
                <w:rFonts w:hint="eastAsia"/>
                <w:kern w:val="0"/>
                <w:szCs w:val="21"/>
              </w:rPr>
              <w:t>1</w:t>
            </w:r>
          </w:p>
        </w:tc>
        <w:tc>
          <w:tcPr>
            <w:tcW w:w="4170" w:type="dxa"/>
            <w:vMerge w:val="restart"/>
            <w:noWrap w:val="0"/>
            <w:vAlign w:val="center"/>
          </w:tcPr>
          <w:p>
            <w:pPr>
              <w:jc w:val="center"/>
              <w:rPr>
                <w:rFonts w:hint="eastAsia"/>
                <w:kern w:val="0"/>
                <w:szCs w:val="21"/>
              </w:rPr>
            </w:pPr>
            <w:r>
              <w:rPr>
                <w:rFonts w:hint="eastAsia"/>
                <w:kern w:val="0"/>
                <w:szCs w:val="21"/>
              </w:rPr>
              <w:t>详见第</w:t>
            </w:r>
            <w:r>
              <w:rPr>
                <w:rFonts w:hint="eastAsia"/>
                <w:kern w:val="0"/>
                <w:szCs w:val="21"/>
                <w:lang w:eastAsia="zh-CN"/>
              </w:rPr>
              <w:t>四</w:t>
            </w:r>
            <w:r>
              <w:rPr>
                <w:rFonts w:hint="eastAsia"/>
                <w:kern w:val="0"/>
                <w:szCs w:val="21"/>
              </w:rPr>
              <w:t>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8" w:type="dxa"/>
            <w:noWrap w:val="0"/>
            <w:vAlign w:val="center"/>
          </w:tcPr>
          <w:p>
            <w:pPr>
              <w:jc w:val="center"/>
              <w:rPr>
                <w:rFonts w:hint="eastAsia" w:eastAsia="宋体"/>
                <w:kern w:val="0"/>
                <w:szCs w:val="21"/>
                <w:lang w:val="en-US" w:eastAsia="zh-CN"/>
              </w:rPr>
            </w:pPr>
            <w:r>
              <w:rPr>
                <w:rFonts w:hint="eastAsia"/>
                <w:kern w:val="0"/>
                <w:szCs w:val="21"/>
                <w:lang w:val="en-US" w:eastAsia="zh-CN"/>
              </w:rPr>
              <w:t>2</w:t>
            </w:r>
          </w:p>
        </w:tc>
        <w:tc>
          <w:tcPr>
            <w:tcW w:w="1520" w:type="dxa"/>
            <w:noWrap w:val="0"/>
            <w:vAlign w:val="center"/>
          </w:tcPr>
          <w:p>
            <w:pPr>
              <w:jc w:val="center"/>
              <w:rPr>
                <w:rFonts w:hint="eastAsia"/>
                <w:kern w:val="0"/>
                <w:szCs w:val="21"/>
              </w:rPr>
            </w:pPr>
            <w:r>
              <w:rPr>
                <w:rFonts w:hint="eastAsia"/>
                <w:kern w:val="0"/>
                <w:szCs w:val="21"/>
              </w:rPr>
              <w:t>行政办公区桌面互联网接入服务采购项目（2026年度）</w:t>
            </w:r>
            <w:r>
              <w:rPr>
                <w:rFonts w:hint="eastAsia"/>
                <w:kern w:val="0"/>
                <w:szCs w:val="21"/>
                <w:lang w:val="en-US" w:eastAsia="zh-CN"/>
              </w:rPr>
              <w:t>-第二包</w:t>
            </w:r>
          </w:p>
        </w:tc>
        <w:tc>
          <w:tcPr>
            <w:tcW w:w="1660" w:type="dxa"/>
            <w:noWrap w:val="0"/>
            <w:vAlign w:val="center"/>
          </w:tcPr>
          <w:p>
            <w:pPr>
              <w:jc w:val="center"/>
              <w:rPr>
                <w:rFonts w:hint="default" w:eastAsia="宋体"/>
                <w:kern w:val="0"/>
                <w:szCs w:val="21"/>
                <w:lang w:val="en-US" w:eastAsia="zh-CN"/>
              </w:rPr>
            </w:pPr>
            <w:r>
              <w:rPr>
                <w:rFonts w:hint="eastAsia"/>
                <w:kern w:val="0"/>
                <w:szCs w:val="21"/>
                <w:lang w:val="en-US" w:eastAsia="zh-CN"/>
              </w:rPr>
              <w:t>110</w:t>
            </w:r>
          </w:p>
        </w:tc>
        <w:tc>
          <w:tcPr>
            <w:tcW w:w="973" w:type="dxa"/>
            <w:noWrap w:val="0"/>
            <w:vAlign w:val="center"/>
          </w:tcPr>
          <w:p>
            <w:pPr>
              <w:jc w:val="center"/>
              <w:rPr>
                <w:rFonts w:hint="eastAsia" w:eastAsia="宋体"/>
                <w:kern w:val="0"/>
                <w:szCs w:val="21"/>
                <w:lang w:val="en-US" w:eastAsia="zh-CN"/>
              </w:rPr>
            </w:pPr>
            <w:r>
              <w:rPr>
                <w:rFonts w:hint="eastAsia"/>
                <w:kern w:val="0"/>
                <w:szCs w:val="21"/>
                <w:lang w:val="en-US" w:eastAsia="zh-CN"/>
              </w:rPr>
              <w:t>1</w:t>
            </w:r>
          </w:p>
        </w:tc>
        <w:tc>
          <w:tcPr>
            <w:tcW w:w="4170" w:type="dxa"/>
            <w:vMerge w:val="continue"/>
            <w:noWrap w:val="0"/>
            <w:vAlign w:val="center"/>
          </w:tcPr>
          <w:p>
            <w:pPr>
              <w:jc w:val="center"/>
              <w:rPr>
                <w:rFonts w:hint="eastAsia"/>
                <w:kern w:val="0"/>
                <w:szCs w:val="21"/>
              </w:rPr>
            </w:pPr>
          </w:p>
        </w:tc>
      </w:tr>
    </w:tbl>
    <w:p>
      <w:pPr>
        <w:spacing w:line="360" w:lineRule="auto"/>
        <w:ind w:firstLine="480" w:firstLineChars="200"/>
        <w:rPr>
          <w:sz w:val="24"/>
        </w:rPr>
      </w:pPr>
    </w:p>
    <w:p>
      <w:pPr>
        <w:spacing w:line="360" w:lineRule="auto"/>
        <w:ind w:firstLine="480" w:firstLineChars="200"/>
        <w:rPr>
          <w:sz w:val="24"/>
          <w:u w:val="single"/>
        </w:rPr>
      </w:pPr>
      <w:r>
        <w:rPr>
          <w:sz w:val="24"/>
        </w:rPr>
        <w:t>6.合同履行期限：</w:t>
      </w:r>
      <w:r>
        <w:rPr>
          <w:rFonts w:hint="eastAsia"/>
          <w:sz w:val="24"/>
        </w:rPr>
        <w:t>2026年1月1日至2026年 12月31日。</w:t>
      </w:r>
      <w:r>
        <w:rPr>
          <w:sz w:val="24"/>
        </w:rPr>
        <w:t xml:space="preserve">  </w:t>
      </w:r>
    </w:p>
    <w:p>
      <w:pPr>
        <w:spacing w:line="360" w:lineRule="auto"/>
        <w:ind w:firstLine="480" w:firstLineChars="200"/>
        <w:rPr>
          <w:sz w:val="24"/>
        </w:rPr>
      </w:pPr>
      <w:r>
        <w:rPr>
          <w:sz w:val="24"/>
        </w:rPr>
        <w:t>7.本项目是否接受联合体：</w:t>
      </w:r>
      <w:r>
        <w:t>□</w:t>
      </w:r>
      <w:r>
        <w:rPr>
          <w:sz w:val="24"/>
        </w:rPr>
        <w:t xml:space="preserve">是  </w:t>
      </w:r>
      <w:r>
        <w:rPr>
          <w:rFonts w:hint="eastAsia"/>
        </w:rPr>
        <w:t>☑</w:t>
      </w:r>
      <w:r>
        <w:rPr>
          <w:sz w:val="24"/>
        </w:rPr>
        <w:t>否。</w:t>
      </w:r>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7" w:name="_Toc35393791"/>
      <w:bookmarkStart w:id="8" w:name="_Toc28359080"/>
      <w:bookmarkStart w:id="9" w:name="_Toc28359003"/>
      <w:bookmarkStart w:id="10" w:name="_Toc35393622"/>
      <w:r>
        <w:rPr>
          <w:rFonts w:ascii="Times New Roman" w:hAnsi="Times New Roman" w:eastAsia="宋体"/>
          <w:sz w:val="24"/>
          <w:szCs w:val="24"/>
        </w:rPr>
        <w:t>二、申请人的资格要求（须同时满足）</w:t>
      </w:r>
      <w:bookmarkEnd w:id="7"/>
      <w:bookmarkEnd w:id="8"/>
      <w:bookmarkEnd w:id="9"/>
      <w:bookmarkEnd w:id="10"/>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1" w:name="_Toc28359081"/>
      <w:bookmarkStart w:id="12"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20" w:firstLineChars="200"/>
        <w:rPr>
          <w:sz w:val="24"/>
        </w:rPr>
      </w:pPr>
      <w:r>
        <w:rPr>
          <w:rFonts w:hint="eastAsia"/>
        </w:rPr>
        <w:t>☑</w:t>
      </w:r>
      <w:r>
        <w:rPr>
          <w:sz w:val="24"/>
        </w:rPr>
        <w:t>本项目不专门面向中小企业预留采购份额。</w:t>
      </w:r>
    </w:p>
    <w:p>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允许分包的项目，分包承担主体应当同时满足本款对应的中小/小微企业要求）。其中，专门面向中小企业且需预留小微企业份额的（如有），预留份额通过以下措施进行：________/____________。</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□本项目预留部分采购项目预算专门面向中小企业采购。对于预留份额，提供的货物由符合政策要求的中小企业制造、服务由符合政策要求的中小企业承接。预留份额通过以下措施进行：_________/__________。</w:t>
      </w:r>
    </w:p>
    <w:p>
      <w:pPr>
        <w:spacing w:line="360" w:lineRule="auto"/>
        <w:ind w:firstLine="480" w:firstLineChars="200"/>
        <w:rPr>
          <w:sz w:val="24"/>
        </w:rPr>
      </w:pPr>
      <w:r>
        <w:rPr>
          <w:sz w:val="24"/>
        </w:rPr>
        <w:t>2.2 其它落实政府采购政策的资格要求（如有）：______</w:t>
      </w:r>
      <w:r>
        <w:rPr>
          <w:rFonts w:hint="eastAsia"/>
          <w:sz w:val="24"/>
        </w:rPr>
        <w:t>/</w:t>
      </w:r>
      <w:r>
        <w:rPr>
          <w:sz w:val="24"/>
        </w:rPr>
        <w:t>_____。</w:t>
      </w:r>
    </w:p>
    <w:p>
      <w:pPr>
        <w:spacing w:line="360" w:lineRule="auto"/>
        <w:ind w:firstLine="480" w:firstLineChars="200"/>
        <w:rPr>
          <w:sz w:val="24"/>
        </w:rPr>
      </w:pPr>
      <w:r>
        <w:rPr>
          <w:sz w:val="24"/>
        </w:rPr>
        <w:t>3.本项目的特定资格要求：</w:t>
      </w:r>
    </w:p>
    <w:p>
      <w:pPr>
        <w:tabs>
          <w:tab w:val="left" w:pos="900"/>
          <w:tab w:val="left" w:pos="1134"/>
          <w:tab w:val="left" w:pos="1589"/>
          <w:tab w:val="left" w:pos="5521"/>
        </w:tabs>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hint="eastAsia"/>
        </w:rPr>
        <w:t>☑</w:t>
      </w:r>
      <w:r>
        <w:rPr>
          <w:sz w:val="24"/>
        </w:rPr>
        <w:t>是，公益一类事业单位、使用事业编制且由财政拨款保障的群团组织，不得作为承接主体；</w:t>
      </w:r>
    </w:p>
    <w:p>
      <w:pPr>
        <w:tabs>
          <w:tab w:val="left" w:pos="900"/>
          <w:tab w:val="left" w:pos="1134"/>
          <w:tab w:val="left" w:pos="1589"/>
          <w:tab w:val="left" w:pos="5521"/>
        </w:tabs>
        <w:snapToGrid/>
        <w:spacing w:line="360" w:lineRule="auto"/>
        <w:ind w:firstLine="480" w:firstLineChars="200"/>
        <w:rPr>
          <w:rFonts w:hint="eastAsia"/>
          <w:sz w:val="24"/>
        </w:rPr>
      </w:pPr>
      <w:r>
        <w:rPr>
          <w:sz w:val="24"/>
        </w:rPr>
        <w:t>3.2其他特定资格要求：</w:t>
      </w:r>
      <w:r>
        <w:rPr>
          <w:rFonts w:hint="eastAsia"/>
          <w:sz w:val="24"/>
        </w:rPr>
        <w:t>互联网接入相关证明文件:</w:t>
      </w:r>
    </w:p>
    <w:p>
      <w:pPr>
        <w:tabs>
          <w:tab w:val="left" w:pos="900"/>
          <w:tab w:val="left" w:pos="1134"/>
          <w:tab w:val="left" w:pos="1589"/>
          <w:tab w:val="left" w:pos="5521"/>
        </w:tabs>
        <w:snapToGrid/>
        <w:spacing w:line="360" w:lineRule="auto"/>
        <w:ind w:firstLine="480" w:firstLineChars="200"/>
        <w:rPr>
          <w:rFonts w:hint="eastAsia"/>
          <w:sz w:val="24"/>
        </w:rPr>
      </w:pPr>
      <w:r>
        <w:rPr>
          <w:rFonts w:hint="eastAsia"/>
          <w:sz w:val="24"/>
        </w:rPr>
        <w:t>报价人须提供有效的《中华人民共和国增值电信业务经营许可证》复印件：</w:t>
      </w:r>
    </w:p>
    <w:p>
      <w:pPr>
        <w:tabs>
          <w:tab w:val="left" w:pos="900"/>
          <w:tab w:val="left" w:pos="1134"/>
          <w:tab w:val="left" w:pos="1589"/>
          <w:tab w:val="left" w:pos="5521"/>
        </w:tabs>
        <w:snapToGrid/>
        <w:spacing w:line="360" w:lineRule="auto"/>
        <w:ind w:firstLine="480" w:firstLineChars="200"/>
        <w:rPr>
          <w:sz w:val="24"/>
          <w:u w:val="none"/>
        </w:rPr>
      </w:pPr>
      <w:r>
        <w:rPr>
          <w:rFonts w:hint="eastAsia"/>
          <w:sz w:val="24"/>
        </w:rPr>
        <w:t>该许可证中的“业务种类（服务项目）及覆盖范围”中，须包含增值电信业务中的“互联网接入服务业务”，覆盖范围须包含“北京”。</w:t>
      </w:r>
    </w:p>
    <w:p>
      <w:pPr>
        <w:spacing w:line="360" w:lineRule="auto"/>
        <w:ind w:firstLine="480" w:firstLineChars="200"/>
        <w:rPr>
          <w:i/>
          <w:iCs/>
          <w:sz w:val="24"/>
          <w:u w:val="single"/>
        </w:rPr>
      </w:pPr>
    </w:p>
    <w:bookmarkEnd w:id="11"/>
    <w:bookmarkEnd w:id="12"/>
    <w:p>
      <w:pPr>
        <w:pStyle w:val="4"/>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三、获取采购文件</w:t>
      </w:r>
      <w:bookmarkEnd w:id="13"/>
      <w:bookmarkEnd w:id="14"/>
    </w:p>
    <w:p>
      <w:pPr>
        <w:pStyle w:val="2"/>
        <w:ind w:firstLine="0"/>
        <w:rPr>
          <w:highlight w:val="none"/>
        </w:rPr>
      </w:pPr>
      <w:r>
        <w:rPr>
          <w:rFonts w:hint="eastAsia"/>
          <w:highlight w:val="none"/>
          <w:lang w:eastAsia="zh-CN"/>
        </w:rPr>
        <w:sym w:font="Wingdings 2" w:char="0052"/>
      </w:r>
      <w:r>
        <w:rPr>
          <w:rFonts w:hint="eastAsia" w:ascii="Times New Roman"/>
          <w:highlight w:val="none"/>
        </w:rPr>
        <w:t>采用发布公告方式邀请供应商的项目：</w:t>
      </w:r>
    </w:p>
    <w:p>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2025</w:t>
      </w:r>
      <w:r>
        <w:rPr>
          <w:sz w:val="24"/>
          <w:highlight w:val="none"/>
          <w:lang w:bidi="ar"/>
        </w:rPr>
        <w:t>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27</w:t>
      </w:r>
      <w:r>
        <w:rPr>
          <w:sz w:val="24"/>
          <w:highlight w:val="none"/>
          <w:lang w:bidi="ar"/>
        </w:rPr>
        <w:t>日至</w:t>
      </w:r>
      <w:r>
        <w:rPr>
          <w:rFonts w:hint="eastAsia"/>
          <w:sz w:val="24"/>
          <w:highlight w:val="none"/>
        </w:rPr>
        <w:t>2025</w:t>
      </w:r>
      <w:r>
        <w:rPr>
          <w:sz w:val="24"/>
          <w:highlight w:val="none"/>
          <w:lang w:bidi="ar"/>
        </w:rPr>
        <w:t>年</w:t>
      </w:r>
      <w:r>
        <w:rPr>
          <w:rFonts w:hint="eastAsia"/>
          <w:sz w:val="24"/>
          <w:highlight w:val="none"/>
          <w:lang w:val="en-US" w:eastAsia="zh-CN" w:bidi="ar"/>
        </w:rPr>
        <w:t>11</w:t>
      </w:r>
      <w:r>
        <w:rPr>
          <w:sz w:val="24"/>
          <w:highlight w:val="none"/>
          <w:lang w:bidi="ar"/>
        </w:rPr>
        <w:t>月</w:t>
      </w:r>
      <w:r>
        <w:rPr>
          <w:rFonts w:hint="eastAsia"/>
          <w:sz w:val="24"/>
          <w:highlight w:val="none"/>
          <w:lang w:val="en-US" w:eastAsia="zh-CN" w:bidi="ar"/>
        </w:rPr>
        <w:t>3</w:t>
      </w:r>
      <w:r>
        <w:rPr>
          <w:sz w:val="24"/>
          <w:highlight w:val="none"/>
          <w:lang w:bidi="ar"/>
        </w:rPr>
        <w:t>日，每天上午</w:t>
      </w:r>
      <w:r>
        <w:rPr>
          <w:rFonts w:hint="eastAsia"/>
          <w:sz w:val="24"/>
          <w:highlight w:val="none"/>
          <w:lang w:bidi="ar"/>
        </w:rPr>
        <w:t>00:00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24:00</w:t>
      </w:r>
      <w:r>
        <w:rPr>
          <w:sz w:val="24"/>
          <w:highlight w:val="none"/>
          <w:lang w:bidi="ar"/>
        </w:rPr>
        <w:t>（北京时间，法定节假日除外）。</w:t>
      </w:r>
    </w:p>
    <w:p>
      <w:pPr>
        <w:adjustRightInd w:val="0"/>
        <w:snapToGrid w:val="0"/>
        <w:spacing w:line="360" w:lineRule="auto"/>
        <w:ind w:firstLine="480" w:firstLineChars="200"/>
        <w:rPr>
          <w:rFonts w:hint="eastAsia"/>
          <w:sz w:val="24"/>
          <w:highlight w:val="none"/>
        </w:rPr>
      </w:pPr>
      <w:r>
        <w:rPr>
          <w:sz w:val="24"/>
          <w:highlight w:val="none"/>
          <w:lang w:bidi="ar"/>
        </w:rPr>
        <w:t>2.地点：</w:t>
      </w:r>
      <w:r>
        <w:rPr>
          <w:rFonts w:hint="eastAsia"/>
          <w:sz w:val="24"/>
          <w:highlight w:val="none"/>
          <w:lang w:bidi="ar"/>
        </w:rPr>
        <w:t>北京市公共资源交易中心政府采购全流程电子化招投标系统</w:t>
      </w:r>
    </w:p>
    <w:p>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3.方式：供应商使用CA数字证书登录</w:t>
      </w:r>
      <w:r>
        <w:rPr>
          <w:rFonts w:hint="eastAsia"/>
          <w:sz w:val="24"/>
          <w:highlight w:val="none"/>
          <w:lang w:bidi="ar"/>
        </w:rPr>
        <w:t>北京市公共资源交易中心政府采购全流程电子化招投标系统</w:t>
      </w:r>
      <w:r>
        <w:rPr>
          <w:sz w:val="24"/>
          <w:highlight w:val="none"/>
          <w:lang w:bidi="ar"/>
        </w:rPr>
        <w:t>（</w:t>
      </w:r>
      <w:r>
        <w:rPr>
          <w:rFonts w:hint="eastAsia"/>
          <w:sz w:val="24"/>
          <w:highlight w:val="none"/>
          <w:lang w:bidi="ar"/>
        </w:rPr>
        <w:t>https://dzztb.bgpc.bcactc.com</w:t>
      </w:r>
      <w:r>
        <w:rPr>
          <w:sz w:val="24"/>
          <w:highlight w:val="none"/>
          <w:lang w:bidi="ar"/>
        </w:rPr>
        <w:t>）获取电子版竞争性磋商文件。</w:t>
      </w:r>
    </w:p>
    <w:p>
      <w:pPr>
        <w:widowControl/>
        <w:adjustRightInd w:val="0"/>
        <w:snapToGrid w:val="0"/>
        <w:spacing w:line="360" w:lineRule="auto"/>
        <w:ind w:firstLine="480" w:firstLineChars="200"/>
        <w:jc w:val="left"/>
        <w:rPr>
          <w:sz w:val="24"/>
          <w:highlight w:val="none"/>
          <w:lang w:bidi="ar"/>
        </w:rPr>
      </w:pPr>
      <w:r>
        <w:rPr>
          <w:sz w:val="24"/>
          <w:highlight w:val="none"/>
          <w:lang w:bidi="ar"/>
        </w:rPr>
        <w:t>4.售价：0元。</w:t>
      </w:r>
    </w:p>
    <w:p>
      <w:pPr>
        <w:pStyle w:val="2"/>
        <w:ind w:firstLine="0"/>
        <w:rPr>
          <w:highlight w:val="none"/>
        </w:rPr>
      </w:pPr>
      <w:r>
        <w:rPr>
          <w:highlight w:val="none"/>
        </w:rPr>
        <w:t>□</w:t>
      </w:r>
      <w:r>
        <w:rPr>
          <w:rFonts w:hint="eastAsia"/>
          <w:highlight w:val="none"/>
        </w:rPr>
        <w:t>采用书面推荐方式邀请供应商</w:t>
      </w:r>
      <w:r>
        <w:rPr>
          <w:rFonts w:hint="eastAsia" w:ascii="Times New Roman"/>
          <w:highlight w:val="none"/>
        </w:rPr>
        <w:t>的项目：</w:t>
      </w:r>
    </w:p>
    <w:p>
      <w:pPr>
        <w:adjustRightInd w:val="0"/>
        <w:snapToGrid w:val="0"/>
        <w:spacing w:line="360" w:lineRule="auto"/>
        <w:ind w:firstLine="480" w:firstLineChars="200"/>
        <w:rPr>
          <w:sz w:val="24"/>
          <w:highlight w:val="none"/>
          <w:lang w:bidi="ar"/>
        </w:rPr>
      </w:pPr>
      <w:r>
        <w:rPr>
          <w:sz w:val="24"/>
          <w:highlight w:val="none"/>
          <w:lang w:bidi="ar"/>
        </w:rPr>
        <w:t>1.时间：</w:t>
      </w:r>
      <w:r>
        <w:rPr>
          <w:sz w:val="24"/>
          <w:highlight w:val="none"/>
        </w:rPr>
        <w:t>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日至</w:t>
      </w:r>
      <w:r>
        <w:rPr>
          <w:sz w:val="24"/>
          <w:highlight w:val="none"/>
        </w:rPr>
        <w:t>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日，每天上午</w:t>
      </w:r>
      <w:r>
        <w:rPr>
          <w:rFonts w:hint="eastAsia"/>
          <w:sz w:val="24"/>
          <w:highlight w:val="none"/>
          <w:lang w:bidi="ar"/>
        </w:rPr>
        <w:t>00:00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12:00</w:t>
      </w:r>
      <w:r>
        <w:rPr>
          <w:sz w:val="24"/>
          <w:highlight w:val="none"/>
          <w:lang w:bidi="ar"/>
        </w:rPr>
        <w:t>至</w:t>
      </w:r>
      <w:r>
        <w:rPr>
          <w:rFonts w:hint="eastAsia"/>
          <w:sz w:val="24"/>
          <w:highlight w:val="none"/>
          <w:lang w:bidi="ar"/>
        </w:rPr>
        <w:t>24:00</w:t>
      </w:r>
      <w:r>
        <w:rPr>
          <w:sz w:val="24"/>
          <w:highlight w:val="none"/>
          <w:lang w:bidi="ar"/>
        </w:rPr>
        <w:t>（北京时间，法定节假日除外）。</w:t>
      </w:r>
    </w:p>
    <w:p>
      <w:pPr>
        <w:adjustRightInd w:val="0"/>
        <w:snapToGrid w:val="0"/>
        <w:spacing w:line="360" w:lineRule="auto"/>
        <w:ind w:firstLine="480" w:firstLineChars="200"/>
        <w:rPr>
          <w:rFonts w:hint="eastAsia"/>
          <w:sz w:val="24"/>
        </w:rPr>
      </w:pPr>
      <w:r>
        <w:rPr>
          <w:sz w:val="24"/>
          <w:highlight w:val="none"/>
          <w:lang w:bidi="ar"/>
        </w:rPr>
        <w:t>2.地点：</w:t>
      </w:r>
      <w:r>
        <w:rPr>
          <w:rFonts w:hint="eastAsia"/>
          <w:sz w:val="24"/>
          <w:highlight w:val="none"/>
          <w:lang w:bidi="ar"/>
        </w:rPr>
        <w:t>北京市公共资源交易中心政府采购</w:t>
      </w:r>
      <w:r>
        <w:rPr>
          <w:rFonts w:hint="eastAsia"/>
          <w:sz w:val="24"/>
          <w:lang w:bidi="ar"/>
        </w:rPr>
        <w:t>全流程电子化招投标系统</w:t>
      </w:r>
    </w:p>
    <w:p>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bidi="ar"/>
        </w:rPr>
        <w:t>供应商登录北京市公共资源交易中心政府采购全流程电子化招投标系统</w:t>
      </w:r>
      <w:r>
        <w:rPr>
          <w:sz w:val="24"/>
          <w:lang w:bidi="ar"/>
        </w:rPr>
        <w:t>（</w:t>
      </w:r>
      <w:r>
        <w:rPr>
          <w:rFonts w:hint="eastAsia"/>
          <w:sz w:val="24"/>
          <w:lang w:bidi="ar"/>
        </w:rPr>
        <w:t>https://dzztb.bgpc.bcactc.com</w:t>
      </w:r>
      <w:r>
        <w:rPr>
          <w:sz w:val="24"/>
          <w:lang w:bidi="ar"/>
        </w:rPr>
        <w:t>）</w:t>
      </w:r>
      <w:r>
        <w:rPr>
          <w:rFonts w:hint="eastAsia"/>
          <w:sz w:val="24"/>
          <w:lang w:bidi="ar"/>
        </w:rPr>
        <w:t>，点击交易执行 →应标 →投标邀请函 →接受邀请 →返回上级页面 →项目信息 →获取采购文件。</w:t>
      </w:r>
    </w:p>
    <w:p>
      <w:pPr>
        <w:widowControl/>
        <w:adjustRightInd w:val="0"/>
        <w:snapToGrid w:val="0"/>
        <w:spacing w:line="360" w:lineRule="auto"/>
        <w:ind w:firstLine="480" w:firstLineChars="200"/>
        <w:jc w:val="left"/>
        <w:rPr>
          <w:sz w:val="24"/>
          <w:lang w:bidi="ar"/>
        </w:rPr>
      </w:pPr>
      <w:r>
        <w:rPr>
          <w:sz w:val="24"/>
          <w:lang w:bidi="ar"/>
        </w:rPr>
        <w:t>4.售价：0元。</w:t>
      </w:r>
    </w:p>
    <w:p>
      <w:pPr>
        <w:tabs>
          <w:tab w:val="left" w:pos="900"/>
          <w:tab w:val="left" w:pos="1980"/>
        </w:tabs>
        <w:snapToGrid w:val="0"/>
        <w:spacing w:line="360" w:lineRule="auto"/>
        <w:ind w:left="840"/>
        <w:rPr>
          <w:sz w:val="24"/>
        </w:rPr>
      </w:pPr>
    </w:p>
    <w:p>
      <w:pPr>
        <w:pStyle w:val="4"/>
        <w:widowControl/>
        <w:spacing w:before="0" w:line="360" w:lineRule="auto"/>
        <w:jc w:val="left"/>
        <w:rPr>
          <w:rFonts w:ascii="Times New Roman" w:hAnsi="Times New Roman" w:eastAsia="宋体"/>
          <w:sz w:val="24"/>
          <w:szCs w:val="24"/>
          <w:highlight w:val="none"/>
        </w:rPr>
      </w:pPr>
      <w:bookmarkStart w:id="15" w:name="_Toc28359005"/>
      <w:bookmarkStart w:id="16" w:name="_Toc35393624"/>
      <w:bookmarkStart w:id="17" w:name="_Toc35393793"/>
      <w:bookmarkStart w:id="18" w:name="_Toc28359082"/>
      <w:r>
        <w:rPr>
          <w:rFonts w:ascii="Times New Roman" w:hAnsi="Times New Roman" w:eastAsia="宋体"/>
          <w:sz w:val="24"/>
          <w:szCs w:val="24"/>
          <w:highlight w:val="none"/>
        </w:rPr>
        <w:t>四、</w:t>
      </w:r>
      <w:bookmarkEnd w:id="15"/>
      <w:bookmarkEnd w:id="16"/>
      <w:bookmarkEnd w:id="17"/>
      <w:bookmarkEnd w:id="18"/>
      <w:r>
        <w:rPr>
          <w:rFonts w:ascii="Times New Roman" w:hAnsi="Times New Roman" w:eastAsia="宋体"/>
          <w:sz w:val="24"/>
          <w:szCs w:val="24"/>
          <w:highlight w:val="none"/>
        </w:rPr>
        <w:t>响应文件提交</w:t>
      </w:r>
    </w:p>
    <w:p>
      <w:pPr>
        <w:spacing w:line="360" w:lineRule="auto"/>
        <w:ind w:firstLine="480" w:firstLineChars="200"/>
        <w:rPr>
          <w:bCs/>
          <w:sz w:val="24"/>
          <w:highlight w:val="none"/>
          <w:u w:val="single"/>
        </w:rPr>
      </w:pPr>
      <w:r>
        <w:rPr>
          <w:sz w:val="24"/>
          <w:highlight w:val="none"/>
        </w:rPr>
        <w:t>提交</w:t>
      </w:r>
      <w:r>
        <w:rPr>
          <w:rFonts w:hint="eastAsia"/>
          <w:sz w:val="24"/>
          <w:highlight w:val="none"/>
        </w:rPr>
        <w:t>响应</w:t>
      </w:r>
      <w:r>
        <w:rPr>
          <w:sz w:val="24"/>
          <w:highlight w:val="none"/>
        </w:rPr>
        <w:t>文件截止时间</w:t>
      </w:r>
      <w:r>
        <w:rPr>
          <w:sz w:val="24"/>
          <w:highlight w:val="none"/>
          <w:lang w:bidi="ar"/>
        </w:rPr>
        <w:t>：</w:t>
      </w:r>
      <w:r>
        <w:rPr>
          <w:rFonts w:hint="eastAsia"/>
          <w:sz w:val="24"/>
          <w:highlight w:val="none"/>
          <w:lang w:bidi="ar"/>
        </w:rPr>
        <w:t>2025</w:t>
      </w:r>
      <w:r>
        <w:rPr>
          <w:sz w:val="24"/>
          <w:highlight w:val="none"/>
          <w:lang w:bidi="ar"/>
        </w:rPr>
        <w:t>年</w:t>
      </w:r>
      <w:r>
        <w:rPr>
          <w:rFonts w:hint="eastAsia"/>
          <w:sz w:val="24"/>
          <w:highlight w:val="none"/>
          <w:lang w:val="en-US" w:eastAsia="zh-CN" w:bidi="ar"/>
        </w:rPr>
        <w:t>11</w:t>
      </w:r>
      <w:r>
        <w:rPr>
          <w:sz w:val="24"/>
          <w:highlight w:val="none"/>
          <w:lang w:bidi="ar"/>
        </w:rPr>
        <w:t>月</w:t>
      </w:r>
      <w:r>
        <w:rPr>
          <w:rFonts w:hint="eastAsia"/>
          <w:sz w:val="24"/>
          <w:highlight w:val="none"/>
          <w:lang w:val="en-US" w:eastAsia="zh-CN" w:bidi="ar"/>
        </w:rPr>
        <w:t>7</w:t>
      </w:r>
      <w:r>
        <w:rPr>
          <w:sz w:val="24"/>
          <w:highlight w:val="none"/>
          <w:lang w:bidi="ar"/>
        </w:rPr>
        <w:t>日</w:t>
      </w:r>
      <w:r>
        <w:rPr>
          <w:rFonts w:hint="eastAsia"/>
          <w:sz w:val="24"/>
          <w:highlight w:val="none"/>
          <w:lang w:bidi="ar"/>
        </w:rPr>
        <w:t>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pPr>
        <w:wordWrap w:val="0"/>
        <w:spacing w:line="360" w:lineRule="auto"/>
        <w:ind w:firstLine="480" w:firstLineChars="200"/>
        <w:rPr>
          <w:sz w:val="24"/>
          <w:lang w:val="zh-TW" w:bidi="ar"/>
        </w:rPr>
      </w:pPr>
      <w:r>
        <w:rPr>
          <w:sz w:val="24"/>
          <w:highlight w:val="none"/>
          <w:lang w:bidi="ar"/>
        </w:rPr>
        <w:t>地点：</w:t>
      </w:r>
      <w:r>
        <w:rPr>
          <w:rFonts w:hint="eastAsia"/>
          <w:sz w:val="24"/>
          <w:highlight w:val="none"/>
          <w:lang w:bidi="ar"/>
        </w:rPr>
        <w:t>北京市公共资源交易中心政府采购全流程电子化招投标系统</w:t>
      </w:r>
      <w:r>
        <w:rPr>
          <w:sz w:val="24"/>
          <w:highlight w:val="none"/>
          <w:lang w:bidi="ar"/>
        </w:rPr>
        <w:t>（</w:t>
      </w:r>
      <w:r>
        <w:rPr>
          <w:rFonts w:hint="eastAsia"/>
          <w:sz w:val="24"/>
          <w:highlight w:val="none"/>
          <w:lang w:bidi="ar"/>
        </w:rPr>
        <w:t>h</w:t>
      </w:r>
      <w:r>
        <w:rPr>
          <w:rFonts w:hint="eastAsia"/>
          <w:sz w:val="24"/>
          <w:lang w:bidi="ar"/>
        </w:rPr>
        <w:t>ttps://dzztb.bgpc.bcactc.com</w:t>
      </w:r>
      <w:r>
        <w:rPr>
          <w:sz w:val="24"/>
          <w:lang w:bidi="ar"/>
        </w:rPr>
        <w:t>）</w:t>
      </w:r>
      <w:r>
        <w:rPr>
          <w:sz w:val="24"/>
          <w:lang w:val="zh-TW"/>
        </w:rPr>
        <w:t>。</w:t>
      </w:r>
    </w:p>
    <w:p>
      <w:pPr>
        <w:spacing w:line="360" w:lineRule="auto"/>
        <w:ind w:firstLine="480" w:firstLineChars="200"/>
        <w:rPr>
          <w:bCs/>
          <w:sz w:val="24"/>
          <w:u w:val="single"/>
        </w:rPr>
      </w:pPr>
      <w:r>
        <w:rPr>
          <w:rFonts w:hint="eastAsia"/>
          <w:sz w:val="24"/>
        </w:rPr>
        <w:t>注意事项：为保证解密顺利进行，请供应商务必远程参加并保持联系人电话畅通，同时确保使用制作上传本项目电子响应文件的计算机设备及自身CA数字证书登录</w:t>
      </w:r>
      <w:r>
        <w:rPr>
          <w:rFonts w:hint="eastAsia"/>
          <w:sz w:val="24"/>
          <w:lang w:bidi="ar"/>
        </w:rPr>
        <w:t>北京市公共资源交易中心政府采购全流程电子化招投标系统</w:t>
      </w:r>
      <w:r>
        <w:rPr>
          <w:rFonts w:hint="eastAsia"/>
          <w:sz w:val="24"/>
        </w:rPr>
        <w:t>自行进行解密操作。</w:t>
      </w:r>
    </w:p>
    <w:p>
      <w:pPr>
        <w:pStyle w:val="2"/>
      </w:pPr>
    </w:p>
    <w:p>
      <w:pPr>
        <w:pStyle w:val="4"/>
        <w:spacing w:before="0" w:line="360" w:lineRule="auto"/>
        <w:jc w:val="left"/>
        <w:rPr>
          <w:rFonts w:ascii="Times New Roman" w:hAnsi="Times New Roman" w:eastAsia="宋体"/>
          <w:sz w:val="24"/>
          <w:szCs w:val="24"/>
        </w:rPr>
      </w:pPr>
      <w:bookmarkStart w:id="19" w:name="_Toc28359084"/>
      <w:bookmarkStart w:id="20" w:name="_Toc28359007"/>
      <w:bookmarkStart w:id="21" w:name="_Toc35393625"/>
      <w:bookmarkStart w:id="22" w:name="_Toc35393794"/>
      <w:r>
        <w:rPr>
          <w:rFonts w:hint="eastAsia" w:ascii="Times New Roman" w:hAnsi="Times New Roman" w:eastAsia="宋体"/>
          <w:sz w:val="24"/>
          <w:szCs w:val="24"/>
        </w:rPr>
        <w:t>五</w:t>
      </w:r>
      <w:r>
        <w:rPr>
          <w:rFonts w:ascii="Times New Roman" w:hAnsi="Times New Roman" w:eastAsia="宋体"/>
          <w:sz w:val="24"/>
          <w:szCs w:val="24"/>
        </w:rPr>
        <w:t>、公告期限</w:t>
      </w:r>
      <w:bookmarkEnd w:id="19"/>
      <w:bookmarkEnd w:id="20"/>
      <w:bookmarkEnd w:id="21"/>
      <w:bookmarkEnd w:id="22"/>
      <w:r>
        <w:rPr>
          <w:rFonts w:hint="eastAsia" w:ascii="Times New Roman" w:hAnsi="Times New Roman" w:eastAsia="宋体"/>
          <w:sz w:val="24"/>
          <w:szCs w:val="24"/>
        </w:rPr>
        <w:t>（采用发布公告方式邀请供应商方式的项目）</w:t>
      </w:r>
    </w:p>
    <w:p>
      <w:pPr>
        <w:spacing w:line="360" w:lineRule="auto"/>
        <w:ind w:firstLine="480" w:firstLineChars="200"/>
        <w:rPr>
          <w:kern w:val="0"/>
          <w:sz w:val="24"/>
        </w:rPr>
      </w:pPr>
      <w:r>
        <w:rPr>
          <w:kern w:val="0"/>
          <w:sz w:val="24"/>
        </w:rPr>
        <w:t>自本公告发布之日起3个工作日。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23" w:name="_Toc35393795"/>
      <w:bookmarkStart w:id="24" w:name="_Toc35393626"/>
      <w:r>
        <w:rPr>
          <w:rFonts w:hint="eastAsia" w:ascii="Times New Roman" w:hAnsi="Times New Roman" w:eastAsia="宋体"/>
          <w:sz w:val="24"/>
          <w:szCs w:val="24"/>
        </w:rPr>
        <w:t>六</w:t>
      </w:r>
      <w:r>
        <w:rPr>
          <w:rFonts w:ascii="Times New Roman" w:hAnsi="Times New Roman" w:eastAsia="宋体"/>
          <w:sz w:val="24"/>
          <w:szCs w:val="24"/>
        </w:rPr>
        <w:t>、其他补充事宜</w:t>
      </w:r>
      <w:bookmarkEnd w:id="23"/>
      <w:bookmarkEnd w:id="24"/>
    </w:p>
    <w:p>
      <w:pPr>
        <w:spacing w:line="360" w:lineRule="auto"/>
        <w:ind w:firstLine="480" w:firstLineChars="200"/>
        <w:rPr>
          <w:sz w:val="24"/>
        </w:rPr>
      </w:pPr>
      <w:r>
        <w:rPr>
          <w:sz w:val="24"/>
        </w:rPr>
        <w:t>1.本项目需要落实的政府采购政策：</w:t>
      </w:r>
      <w:r>
        <w:rPr>
          <w:rFonts w:hint="eastAsia"/>
          <w:sz w:val="24"/>
        </w:rPr>
        <w:t>如涉及的详见磋商文件各章对应条款要求。</w:t>
      </w:r>
      <w:r>
        <w:rPr>
          <w:sz w:val="24"/>
          <w:lang w:bidi="ar"/>
        </w:rPr>
        <w:t>。</w:t>
      </w:r>
    </w:p>
    <w:p>
      <w:pPr>
        <w:widowControl/>
        <w:spacing w:line="360" w:lineRule="auto"/>
        <w:ind w:firstLine="480" w:firstLineChars="200"/>
        <w:rPr>
          <w:rFonts w:ascii="宋体" w:hAnsi="宋体" w:cs="宋体"/>
          <w:sz w:val="24"/>
        </w:rPr>
      </w:pPr>
      <w:r>
        <w:rPr>
          <w:rFonts w:hint="eastAsia"/>
          <w:sz w:val="24"/>
          <w:lang w:bidi="ar"/>
        </w:rPr>
        <w:t>2</w:t>
      </w:r>
      <w:r>
        <w:rPr>
          <w:sz w:val="24"/>
          <w:lang w:bidi="ar"/>
        </w:rPr>
        <w:t>.</w:t>
      </w:r>
      <w:r>
        <w:rPr>
          <w:rFonts w:hint="eastAsia" w:ascii="宋体" w:hAnsi="宋体" w:cs="宋体"/>
          <w:sz w:val="24"/>
        </w:rPr>
        <w:t>本项目采用全流程电子化采购方式，请供应商认真学习北京市公共资源交易中心政府采购全流程电子化招投标系统（https://dzztb.bgpc.bcactc.com）发布的相关操作手册、视频（供应商可在电子化招投标系统点击“交易执行 →附件资料 →资料下载”获取相关手册），办理CA数字证书、进行电子化招投标系统注册，并认真核实CA数字证书情况确认是否符合本项目电子化采购流程要求。</w:t>
      </w:r>
    </w:p>
    <w:p>
      <w:pPr>
        <w:widowControl/>
        <w:spacing w:line="360" w:lineRule="auto"/>
        <w:ind w:firstLine="480" w:firstLineChars="200"/>
        <w:rPr>
          <w:rFonts w:ascii="宋体" w:hAnsi="宋体" w:cs="宋体"/>
          <w:sz w:val="24"/>
        </w:rPr>
      </w:pPr>
      <w:r>
        <w:rPr>
          <w:rFonts w:hint="eastAsia" w:ascii="宋体" w:hAnsi="宋体" w:cs="宋体"/>
          <w:sz w:val="24"/>
        </w:rPr>
        <w:t>北京市公共资源交易中心政府采购全流程电子化招投标系统技术支持服务热线：010-83916633</w:t>
      </w:r>
    </w:p>
    <w:p>
      <w:pPr>
        <w:widowControl/>
        <w:spacing w:line="360" w:lineRule="auto"/>
        <w:ind w:firstLine="480" w:firstLineChars="200"/>
        <w:rPr>
          <w:rFonts w:hint="eastAsia" w:ascii="宋体" w:hAnsi="宋体" w:cs="宋体"/>
          <w:sz w:val="24"/>
        </w:rPr>
      </w:pPr>
      <w:r>
        <w:rPr>
          <w:rFonts w:hint="eastAsia" w:ascii="宋体" w:hAnsi="宋体" w:cs="宋体"/>
          <w:sz w:val="24"/>
        </w:rPr>
        <w:t>2.1适配使用和办理CA数字证书</w:t>
      </w:r>
    </w:p>
    <w:p>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具体要求详见北京市公共资源交易服务平台《关于北京市公共资源交易中心政府采购全流程电子化招投标系统CA电子印章驱动程序升级的通知》（https://ggzyfw.beijing.gov.cn/tzgg/20240109/4294480.html）</w:t>
      </w:r>
    </w:p>
    <w:p>
      <w:pPr>
        <w:pStyle w:val="148"/>
        <w:widowControl/>
        <w:spacing w:line="360" w:lineRule="auto"/>
        <w:ind w:left="420" w:firstLine="0" w:firstLineChars="0"/>
        <w:rPr>
          <w:rFonts w:ascii="宋体" w:hAnsi="宋体" w:cs="宋体"/>
          <w:sz w:val="24"/>
          <w:szCs w:val="24"/>
        </w:rPr>
      </w:pPr>
      <w:r>
        <w:rPr>
          <w:rFonts w:hint="eastAsia" w:ascii="宋体" w:hAnsi="宋体" w:cs="宋体"/>
          <w:sz w:val="24"/>
          <w:szCs w:val="24"/>
        </w:rPr>
        <w:t>2.2注册：</w:t>
      </w:r>
    </w:p>
    <w:p>
      <w:pPr>
        <w:widowControl/>
        <w:spacing w:line="360" w:lineRule="auto"/>
        <w:ind w:firstLine="480" w:firstLineChars="200"/>
        <w:rPr>
          <w:rFonts w:ascii="宋体" w:hAnsi="宋体" w:cs="宋体"/>
          <w:sz w:val="24"/>
        </w:rPr>
      </w:pPr>
      <w:r>
        <w:rPr>
          <w:rFonts w:hint="eastAsia" w:ascii="宋体" w:hAnsi="宋体" w:cs="宋体"/>
          <w:sz w:val="24"/>
        </w:rPr>
        <w:t>供应商登录北京市公共资源交易中心政府采购全流程电子化招投标系统注册页面（https://dzztb.bgpc.bcactc.com/gp-auth-center/register）填写相关信息进行注册。</w:t>
      </w:r>
    </w:p>
    <w:p>
      <w:pPr>
        <w:pStyle w:val="148"/>
        <w:widowControl/>
        <w:spacing w:line="360" w:lineRule="auto"/>
        <w:ind w:left="420" w:firstLine="0" w:firstLineChars="0"/>
        <w:rPr>
          <w:rFonts w:ascii="宋体" w:hAnsi="宋体" w:cs="宋体"/>
          <w:sz w:val="24"/>
          <w:szCs w:val="24"/>
        </w:rPr>
      </w:pPr>
      <w:r>
        <w:rPr>
          <w:rFonts w:hint="eastAsia" w:ascii="宋体" w:hAnsi="宋体" w:cs="宋体"/>
          <w:sz w:val="24"/>
          <w:szCs w:val="24"/>
        </w:rPr>
        <w:t>2.3驱动、客户端下载</w:t>
      </w:r>
    </w:p>
    <w:p>
      <w:pPr>
        <w:widowControl/>
        <w:spacing w:line="360" w:lineRule="auto"/>
        <w:ind w:firstLine="480" w:firstLineChars="200"/>
        <w:rPr>
          <w:rFonts w:ascii="宋体" w:hAnsi="宋体" w:cs="宋体"/>
          <w:sz w:val="24"/>
        </w:rPr>
      </w:pPr>
      <w:r>
        <w:rPr>
          <w:rFonts w:hint="eastAsia" w:ascii="宋体" w:hAnsi="宋体" w:cs="宋体"/>
          <w:sz w:val="24"/>
        </w:rPr>
        <w:t>供应商登录北京市公共资源交易中心政府采购全流程电子化招投标系统,点击“交易执行 →附件资料 →资料下载”，下载相关驱动和客户端。</w:t>
      </w:r>
    </w:p>
    <w:p>
      <w:pPr>
        <w:pStyle w:val="148"/>
        <w:widowControl/>
        <w:spacing w:line="360" w:lineRule="auto"/>
        <w:ind w:left="420" w:firstLine="0" w:firstLineChars="0"/>
        <w:rPr>
          <w:rFonts w:ascii="宋体" w:hAnsi="宋体" w:cs="宋体"/>
          <w:sz w:val="24"/>
          <w:szCs w:val="24"/>
        </w:rPr>
      </w:pPr>
      <w:r>
        <w:rPr>
          <w:rFonts w:hint="eastAsia" w:ascii="宋体" w:hAnsi="宋体" w:cs="宋体"/>
          <w:sz w:val="24"/>
          <w:szCs w:val="24"/>
        </w:rPr>
        <w:t>2.4获取电子磋商文件：</w:t>
      </w:r>
    </w:p>
    <w:p>
      <w:pPr>
        <w:widowControl/>
        <w:spacing w:line="360" w:lineRule="auto"/>
        <w:ind w:firstLine="480" w:firstLineChars="200"/>
        <w:rPr>
          <w:rFonts w:ascii="宋体" w:hAnsi="宋体" w:cs="宋体"/>
          <w:sz w:val="24"/>
        </w:rPr>
      </w:pPr>
      <w:r>
        <w:rPr>
          <w:rFonts w:hint="eastAsia" w:ascii="宋体" w:hAnsi="宋体" w:cs="宋体"/>
          <w:sz w:val="24"/>
        </w:rPr>
        <w:t>采用发布公告方式的：供应商登录北京市公共资源交易中心政府采购全流程电子化招投标系统，点击交易执行 → 应标 → 项目投标 →未获取 →选择要参与的项目 → 填写相关信息→ 确认参与 → 获取采购文件。</w:t>
      </w:r>
    </w:p>
    <w:p>
      <w:pPr>
        <w:widowControl/>
        <w:spacing w:line="360" w:lineRule="auto"/>
        <w:ind w:firstLine="480" w:firstLineChars="200"/>
        <w:rPr>
          <w:rFonts w:ascii="宋体" w:hAnsi="宋体" w:cs="宋体"/>
          <w:sz w:val="24"/>
        </w:rPr>
      </w:pPr>
      <w:r>
        <w:rPr>
          <w:rFonts w:hint="eastAsia" w:ascii="宋体" w:hAnsi="宋体" w:cs="宋体"/>
          <w:sz w:val="24"/>
        </w:rPr>
        <w:t>采用邀请供应商方式的：供应商登录北京市公共资源交易中心政府采购全流程电子化招投标系统，点击交易执行 →应标 →投标邀请函 →接受邀请 →返回上级页面 →项目信息 →获取采购文件。</w:t>
      </w:r>
    </w:p>
    <w:p>
      <w:pPr>
        <w:pStyle w:val="148"/>
        <w:widowControl/>
        <w:spacing w:line="360" w:lineRule="auto"/>
        <w:ind w:left="420" w:firstLine="0" w:firstLineChars="0"/>
        <w:rPr>
          <w:rFonts w:ascii="宋体" w:hAnsi="宋体" w:cs="宋体"/>
          <w:sz w:val="24"/>
          <w:szCs w:val="24"/>
        </w:rPr>
      </w:pPr>
      <w:r>
        <w:rPr>
          <w:rFonts w:hint="eastAsia" w:ascii="宋体" w:hAnsi="宋体" w:cs="宋体"/>
          <w:sz w:val="24"/>
          <w:szCs w:val="24"/>
        </w:rPr>
        <w:t>2.5编制电子响应文件</w:t>
      </w:r>
    </w:p>
    <w:p>
      <w:pPr>
        <w:widowControl/>
        <w:spacing w:line="360" w:lineRule="auto"/>
        <w:ind w:firstLine="480" w:firstLineChars="200"/>
        <w:rPr>
          <w:rFonts w:ascii="宋体" w:hAnsi="宋体" w:cs="宋体"/>
          <w:sz w:val="24"/>
        </w:rPr>
      </w:pPr>
      <w:r>
        <w:rPr>
          <w:rFonts w:hint="eastAsia" w:ascii="宋体" w:hAnsi="宋体" w:cs="宋体"/>
          <w:sz w:val="24"/>
        </w:rPr>
        <w:t>供应商应使用电子投标客户端编制电子响应文件并进行线上提交，供应商电子响应文件需要加密并加盖电子签章，如无法按照要求在电子响应文件中加盖电子签章和加密，请及时通过技术支持服务热线联系技术人员。</w:t>
      </w:r>
    </w:p>
    <w:p>
      <w:pPr>
        <w:pStyle w:val="148"/>
        <w:widowControl/>
        <w:spacing w:line="360" w:lineRule="auto"/>
        <w:ind w:left="420" w:firstLine="0" w:firstLineChars="0"/>
        <w:rPr>
          <w:rFonts w:ascii="宋体" w:hAnsi="宋体" w:cs="宋体"/>
          <w:sz w:val="24"/>
          <w:szCs w:val="24"/>
        </w:rPr>
      </w:pPr>
      <w:r>
        <w:rPr>
          <w:rFonts w:hint="eastAsia" w:ascii="宋体" w:hAnsi="宋体" w:cs="宋体"/>
          <w:sz w:val="24"/>
          <w:szCs w:val="24"/>
        </w:rPr>
        <w:t>2.6提交电子响应文件</w:t>
      </w:r>
    </w:p>
    <w:p>
      <w:pPr>
        <w:widowControl/>
        <w:spacing w:line="360" w:lineRule="auto"/>
        <w:ind w:firstLine="480" w:firstLineChars="200"/>
        <w:rPr>
          <w:rFonts w:ascii="宋体" w:hAnsi="宋体" w:cs="宋体"/>
          <w:sz w:val="24"/>
        </w:rPr>
      </w:pPr>
      <w:r>
        <w:rPr>
          <w:rFonts w:hint="eastAsia" w:ascii="宋体" w:hAnsi="宋体" w:cs="宋体"/>
          <w:sz w:val="24"/>
        </w:rPr>
        <w:t>供应商应于提交电子响应文件截止时间前登录北京市公共资源交易中心政府采购全流程电子化招投标系统，</w:t>
      </w:r>
      <w:r>
        <w:rPr>
          <w:rFonts w:hint="eastAsia" w:ascii="宋体" w:hAnsi="宋体" w:cs="微软雅黑"/>
          <w:sz w:val="24"/>
        </w:rPr>
        <w:t>点击</w:t>
      </w:r>
      <w:r>
        <w:rPr>
          <w:rFonts w:hint="eastAsia" w:ascii="宋体" w:hAnsi="宋体"/>
          <w:sz w:val="24"/>
        </w:rPr>
        <w:t>交易执行 →应标 →项目投标 →已参与项目 →电子响应文件管理</w:t>
      </w:r>
      <w:r>
        <w:rPr>
          <w:rFonts w:hint="eastAsia" w:ascii="宋体" w:hAnsi="宋体" w:cs="微软雅黑"/>
          <w:sz w:val="24"/>
        </w:rPr>
        <w:t>上传电子响应文件</w:t>
      </w:r>
      <w:r>
        <w:rPr>
          <w:rFonts w:hint="eastAsia" w:ascii="宋体" w:hAnsi="宋体" w:cs="宋体"/>
          <w:sz w:val="24"/>
        </w:rPr>
        <w:t>，上传电子响应文件过程中请保持与互联网的连接畅通。</w:t>
      </w:r>
    </w:p>
    <w:p>
      <w:pPr>
        <w:widowControl/>
        <w:spacing w:line="360" w:lineRule="auto"/>
        <w:ind w:firstLine="480" w:firstLineChars="200"/>
        <w:rPr>
          <w:rFonts w:ascii="宋体" w:hAnsi="宋体" w:cs="宋体"/>
          <w:sz w:val="24"/>
        </w:rPr>
      </w:pPr>
      <w:r>
        <w:rPr>
          <w:rFonts w:hint="eastAsia" w:ascii="宋体" w:hAnsi="宋体" w:cs="宋体"/>
          <w:sz w:val="24"/>
        </w:rPr>
        <w:t>2.7电子响应文件解密</w:t>
      </w:r>
    </w:p>
    <w:p>
      <w:pPr>
        <w:widowControl/>
        <w:spacing w:line="360" w:lineRule="auto"/>
        <w:ind w:firstLine="480" w:firstLineChars="200"/>
        <w:rPr>
          <w:rFonts w:hint="eastAsia" w:ascii="宋体" w:hAnsi="宋体" w:cs="宋体"/>
          <w:sz w:val="24"/>
        </w:rPr>
      </w:pPr>
      <w:r>
        <w:rPr>
          <w:rFonts w:hint="eastAsia" w:ascii="宋体" w:hAnsi="宋体" w:cs="宋体"/>
          <w:sz w:val="24"/>
        </w:rPr>
        <w:t>供应商使用CA数字证书登录北京市公共资源交易中心政府采购全流程电子化招投标系统，点击“开标 →供应商远程开标 →今日开标”，选择参与项目进行操作。</w:t>
      </w:r>
    </w:p>
    <w:p>
      <w:pPr>
        <w:widowControl/>
        <w:spacing w:line="360" w:lineRule="auto"/>
        <w:ind w:firstLine="480" w:firstLineChars="200"/>
        <w:rPr>
          <w:rFonts w:ascii="宋体" w:hAnsi="宋体" w:cs="宋体"/>
          <w:sz w:val="24"/>
        </w:rPr>
      </w:pPr>
      <w:r>
        <w:rPr>
          <w:rFonts w:hint="eastAsia" w:ascii="宋体" w:hAnsi="宋体" w:cs="宋体"/>
          <w:sz w:val="24"/>
        </w:rPr>
        <w:t>2.8参加远程磋商</w:t>
      </w:r>
    </w:p>
    <w:p>
      <w:pPr>
        <w:widowControl/>
        <w:spacing w:line="360" w:lineRule="auto"/>
        <w:ind w:firstLine="480" w:firstLineChars="200"/>
        <w:rPr>
          <w:rFonts w:ascii="宋体" w:hAnsi="宋体" w:cs="宋体"/>
          <w:sz w:val="24"/>
        </w:rPr>
      </w:pPr>
      <w:r>
        <w:rPr>
          <w:rFonts w:hint="eastAsia" w:ascii="宋体" w:hAnsi="宋体" w:cs="宋体"/>
          <w:sz w:val="24"/>
        </w:rPr>
        <w:t>解密完成后，供应商点击“交易执行 →磋商/谈判 →评审中 →等候大厅”等待磋商小组发起线上远程视频磋商，并参加远程磋商。</w:t>
      </w:r>
    </w:p>
    <w:p>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特别提示：</w:t>
      </w:r>
    </w:p>
    <w:p>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1、请供应商在制作电子响应文件、加密、加盖电子签章、上传电子响应文件、解密等全程应使用同一把CA数字证书，且在操作上述程序同时不要插入其它数字证书。</w:t>
      </w:r>
    </w:p>
    <w:p>
      <w:pPr>
        <w:widowControl/>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2、建议使用笔记本电脑操作，且需具备摄像头和麦克风功能（可线下使用腾讯会议软件进行测试）；推荐使用谷歌或者火狐浏览器登录电子招投标系统进行线上磋商。</w:t>
      </w:r>
    </w:p>
    <w:p>
      <w:pPr>
        <w:spacing w:line="360" w:lineRule="auto"/>
        <w:rPr>
          <w:sz w:val="24"/>
        </w:rPr>
      </w:pPr>
    </w:p>
    <w:p>
      <w:pPr>
        <w:pStyle w:val="4"/>
        <w:spacing w:before="0" w:line="360" w:lineRule="auto"/>
        <w:jc w:val="left"/>
        <w:rPr>
          <w:rFonts w:ascii="Times New Roman" w:hAnsi="Times New Roman" w:eastAsia="宋体"/>
          <w:sz w:val="24"/>
          <w:szCs w:val="24"/>
        </w:rPr>
      </w:pPr>
      <w:r>
        <w:rPr>
          <w:rFonts w:hint="eastAsia" w:ascii="Times New Roman" w:hAnsi="Times New Roman" w:eastAsia="宋体"/>
          <w:sz w:val="24"/>
          <w:szCs w:val="24"/>
        </w:rPr>
        <w:t>七</w:t>
      </w:r>
      <w:r>
        <w:rPr>
          <w:rFonts w:ascii="Times New Roman" w:hAnsi="Times New Roman" w:eastAsia="宋体"/>
          <w:sz w:val="24"/>
          <w:szCs w:val="24"/>
        </w:rPr>
        <w:t>、对本次采购提出询问</w:t>
      </w:r>
      <w:r>
        <w:rPr>
          <w:rFonts w:hint="eastAsia" w:ascii="Times New Roman" w:hAnsi="Times New Roman" w:eastAsia="宋体"/>
          <w:sz w:val="24"/>
          <w:szCs w:val="24"/>
        </w:rPr>
        <w:t>和质疑</w:t>
      </w:r>
      <w:r>
        <w:rPr>
          <w:rFonts w:ascii="Times New Roman" w:hAnsi="Times New Roman" w:eastAsia="宋体"/>
          <w:sz w:val="24"/>
          <w:szCs w:val="24"/>
        </w:rPr>
        <w:t>，请按以下方式联系。</w:t>
      </w:r>
    </w:p>
    <w:p>
      <w:pPr>
        <w:spacing w:line="360" w:lineRule="auto"/>
        <w:ind w:left="1080" w:leftChars="371" w:hanging="301" w:hangingChars="125"/>
        <w:jc w:val="left"/>
        <w:rPr>
          <w:b/>
          <w:sz w:val="24"/>
        </w:rPr>
      </w:pPr>
      <w:r>
        <w:rPr>
          <w:b/>
          <w:sz w:val="24"/>
        </w:rPr>
        <w:t>1.采购人信息</w:t>
      </w:r>
    </w:p>
    <w:p>
      <w:pPr>
        <w:spacing w:line="360" w:lineRule="auto"/>
        <w:ind w:left="1079" w:leftChars="371" w:hanging="300" w:hangingChars="125"/>
        <w:jc w:val="left"/>
        <w:rPr>
          <w:sz w:val="24"/>
        </w:rPr>
      </w:pPr>
      <w:r>
        <w:rPr>
          <w:sz w:val="24"/>
        </w:rPr>
        <w:t>名    称：</w:t>
      </w:r>
      <w:r>
        <w:rPr>
          <w:rFonts w:hint="eastAsia"/>
          <w:sz w:val="24"/>
        </w:rPr>
        <w:t>中共北京市委机要局</w:t>
      </w:r>
    </w:p>
    <w:p>
      <w:pPr>
        <w:spacing w:line="360" w:lineRule="auto"/>
        <w:ind w:left="1079" w:leftChars="371" w:hanging="300" w:hangingChars="125"/>
        <w:jc w:val="left"/>
        <w:rPr>
          <w:sz w:val="24"/>
        </w:rPr>
      </w:pPr>
      <w:r>
        <w:rPr>
          <w:sz w:val="24"/>
        </w:rPr>
        <w:t>地    址：</w:t>
      </w:r>
      <w:r>
        <w:rPr>
          <w:rFonts w:hint="eastAsia" w:ascii="宋体" w:hAnsi="宋体" w:cs="宋体"/>
          <w:kern w:val="0"/>
          <w:sz w:val="24"/>
          <w:lang w:eastAsia="zh-CN"/>
        </w:rPr>
        <w:t>北京市通州区运河东大街</w:t>
      </w:r>
      <w:r>
        <w:rPr>
          <w:rFonts w:hint="eastAsia" w:ascii="宋体" w:hAnsi="宋体" w:cs="宋体"/>
          <w:kern w:val="0"/>
          <w:sz w:val="24"/>
          <w:lang w:val="en-US" w:eastAsia="zh-CN"/>
        </w:rPr>
        <w:t>56号院</w:t>
      </w:r>
    </w:p>
    <w:p>
      <w:pPr>
        <w:spacing w:line="360" w:lineRule="auto"/>
        <w:ind w:left="1079" w:leftChars="371" w:hanging="300" w:hangingChars="125"/>
        <w:jc w:val="left"/>
        <w:rPr>
          <w:rFonts w:hint="eastAsia"/>
          <w:sz w:val="24"/>
        </w:rPr>
      </w:pPr>
      <w:r>
        <w:rPr>
          <w:rFonts w:hint="eastAsia"/>
          <w:sz w:val="24"/>
        </w:rPr>
        <w:t>询问和质疑</w:t>
      </w:r>
      <w:r>
        <w:rPr>
          <w:sz w:val="24"/>
        </w:rPr>
        <w:t>联系人：</w:t>
      </w:r>
      <w:r>
        <w:rPr>
          <w:rFonts w:hint="eastAsia"/>
          <w:sz w:val="24"/>
          <w:lang w:val="en-US" w:eastAsia="zh-CN"/>
        </w:rPr>
        <w:t>赵</w:t>
      </w:r>
      <w:r>
        <w:rPr>
          <w:rFonts w:hint="eastAsia"/>
          <w:sz w:val="24"/>
        </w:rPr>
        <w:t>老师</w:t>
      </w:r>
    </w:p>
    <w:p>
      <w:pPr>
        <w:spacing w:line="360" w:lineRule="auto"/>
        <w:ind w:left="1079" w:leftChars="371" w:hanging="300" w:hangingChars="125"/>
        <w:jc w:val="left"/>
        <w:rPr>
          <w:sz w:val="24"/>
          <w:u w:val="single"/>
        </w:rPr>
      </w:pPr>
      <w:r>
        <w:rPr>
          <w:sz w:val="24"/>
        </w:rPr>
        <w:t>联系方式：</w:t>
      </w:r>
      <w:r>
        <w:rPr>
          <w:rFonts w:hint="eastAsia"/>
          <w:sz w:val="24"/>
        </w:rPr>
        <w:t>010-55565051</w:t>
      </w:r>
    </w:p>
    <w:p>
      <w:pPr>
        <w:spacing w:line="360" w:lineRule="auto"/>
        <w:ind w:left="1080" w:leftChars="371" w:hanging="301" w:hangingChars="125"/>
        <w:jc w:val="left"/>
        <w:rPr>
          <w:b/>
          <w:sz w:val="24"/>
        </w:rPr>
      </w:pPr>
      <w:r>
        <w:rPr>
          <w:b/>
          <w:sz w:val="24"/>
        </w:rPr>
        <w:t>2.采购代理机构信息</w:t>
      </w:r>
    </w:p>
    <w:p>
      <w:pPr>
        <w:spacing w:line="360" w:lineRule="auto"/>
        <w:ind w:left="1079" w:leftChars="371" w:hanging="300" w:hangingChars="125"/>
        <w:jc w:val="left"/>
        <w:rPr>
          <w:sz w:val="24"/>
        </w:rPr>
      </w:pPr>
      <w:r>
        <w:rPr>
          <w:sz w:val="24"/>
        </w:rPr>
        <w:t>名    称：</w:t>
      </w:r>
      <w:r>
        <w:rPr>
          <w:rFonts w:hint="eastAsia"/>
          <w:sz w:val="24"/>
          <w:lang w:bidi="ar"/>
        </w:rPr>
        <w:t>北京市公共资源交易中心</w:t>
      </w:r>
    </w:p>
    <w:p>
      <w:pPr>
        <w:spacing w:line="360" w:lineRule="auto"/>
        <w:ind w:left="1079" w:leftChars="371" w:hanging="300" w:hangingChars="125"/>
        <w:jc w:val="left"/>
        <w:rPr>
          <w:sz w:val="24"/>
          <w:lang w:bidi="ar"/>
        </w:rPr>
      </w:pPr>
      <w:r>
        <w:rPr>
          <w:rFonts w:hint="eastAsia"/>
          <w:sz w:val="24"/>
          <w:lang w:bidi="ar"/>
        </w:rPr>
        <w:t>询问联系人：</w:t>
      </w:r>
      <w:r>
        <w:rPr>
          <w:rFonts w:hint="eastAsia"/>
          <w:sz w:val="24"/>
        </w:rPr>
        <w:t>赵老师</w:t>
      </w:r>
    </w:p>
    <w:p>
      <w:pPr>
        <w:spacing w:line="360" w:lineRule="auto"/>
        <w:ind w:left="1079" w:leftChars="371" w:hanging="300" w:hangingChars="125"/>
        <w:jc w:val="left"/>
        <w:rPr>
          <w:sz w:val="24"/>
        </w:rPr>
      </w:pPr>
      <w:r>
        <w:rPr>
          <w:sz w:val="24"/>
        </w:rPr>
        <w:t>联系方式：</w:t>
      </w:r>
      <w:r>
        <w:rPr>
          <w:rFonts w:hint="eastAsia"/>
          <w:sz w:val="24"/>
        </w:rPr>
        <w:t>010-83916706</w:t>
      </w:r>
    </w:p>
    <w:p>
      <w:pPr>
        <w:spacing w:line="360" w:lineRule="auto"/>
        <w:ind w:left="1079" w:leftChars="371" w:hanging="300" w:hangingChars="125"/>
        <w:jc w:val="left"/>
        <w:rPr>
          <w:sz w:val="24"/>
        </w:rPr>
      </w:pPr>
      <w:r>
        <w:rPr>
          <w:sz w:val="24"/>
        </w:rPr>
        <w:t>地    址：</w:t>
      </w:r>
      <w:r>
        <w:rPr>
          <w:rFonts w:hint="eastAsia"/>
          <w:sz w:val="24"/>
          <w:lang w:bidi="ar"/>
        </w:rPr>
        <w:t>北京市丰台区玉林里45号腾飞大厦</w:t>
      </w:r>
    </w:p>
    <w:p>
      <w:pPr>
        <w:spacing w:line="360" w:lineRule="auto"/>
        <w:ind w:left="1079" w:leftChars="371" w:hanging="300" w:hangingChars="125"/>
        <w:jc w:val="left"/>
        <w:rPr>
          <w:rFonts w:hint="eastAsia"/>
          <w:sz w:val="24"/>
          <w:lang w:bidi="ar"/>
        </w:rPr>
      </w:pPr>
      <w:r>
        <w:rPr>
          <w:rFonts w:hint="eastAsia"/>
          <w:sz w:val="24"/>
          <w:lang w:bidi="ar"/>
        </w:rPr>
        <w:t>质疑联系人：魏老师</w:t>
      </w:r>
    </w:p>
    <w:p>
      <w:pPr>
        <w:spacing w:line="360" w:lineRule="auto"/>
        <w:ind w:left="1079" w:leftChars="371" w:hanging="300" w:hangingChars="125"/>
        <w:jc w:val="left"/>
        <w:rPr>
          <w:sz w:val="24"/>
        </w:rPr>
      </w:pPr>
      <w:r>
        <w:rPr>
          <w:sz w:val="24"/>
        </w:rPr>
        <w:t>联系方式：010-</w:t>
      </w:r>
      <w:r>
        <w:rPr>
          <w:kern w:val="0"/>
          <w:sz w:val="24"/>
        </w:rPr>
        <w:t>83537377</w:t>
      </w:r>
    </w:p>
    <w:p>
      <w:pPr>
        <w:spacing w:line="360" w:lineRule="auto"/>
        <w:ind w:left="1079" w:leftChars="371" w:hanging="300" w:hangingChars="125"/>
        <w:jc w:val="left"/>
        <w:rPr>
          <w:sz w:val="24"/>
        </w:rPr>
      </w:pPr>
      <w:r>
        <w:rPr>
          <w:rFonts w:hint="eastAsia"/>
          <w:sz w:val="24"/>
        </w:rPr>
        <w:t>地    址：北京市西城区广安门南街甲68号407室（邮编：100054）</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25" w:name="_Toc264969275"/>
      <w:bookmarkStart w:id="26" w:name="_Toc265228423"/>
      <w:bookmarkStart w:id="27" w:name="_Toc305158928"/>
      <w:bookmarkStart w:id="28" w:name="_Toc226965856"/>
      <w:bookmarkStart w:id="29" w:name="_Toc97371942"/>
      <w:bookmarkStart w:id="30" w:name="_Toc150774783"/>
      <w:bookmarkStart w:id="31" w:name="_Toc512937850"/>
      <w:bookmarkStart w:id="32" w:name="_Toc195842950"/>
      <w:bookmarkStart w:id="33" w:name="_Toc127161488"/>
      <w:bookmarkStart w:id="34" w:name="_Toc127151777"/>
      <w:bookmarkStart w:id="35" w:name="_Toc353825548"/>
      <w:bookmarkStart w:id="36" w:name="_Toc353873938"/>
      <w:bookmarkStart w:id="37" w:name="_Toc305158854"/>
      <w:r>
        <w:rPr>
          <w:b/>
          <w:sz w:val="36"/>
          <w:szCs w:val="36"/>
        </w:rPr>
        <w:t>第二章   供应商须知</w:t>
      </w:r>
      <w:bookmarkEnd w:id="25"/>
      <w:bookmarkEnd w:id="26"/>
      <w:bookmarkEnd w:id="27"/>
      <w:bookmarkEnd w:id="28"/>
      <w:bookmarkEnd w:id="29"/>
      <w:bookmarkEnd w:id="30"/>
      <w:bookmarkEnd w:id="31"/>
      <w:bookmarkEnd w:id="32"/>
      <w:bookmarkEnd w:id="33"/>
      <w:bookmarkEnd w:id="34"/>
      <w:bookmarkEnd w:id="35"/>
      <w:bookmarkEnd w:id="36"/>
      <w:bookmarkEnd w:id="37"/>
    </w:p>
    <w:p>
      <w:pPr>
        <w:pStyle w:val="4"/>
        <w:tabs>
          <w:tab w:val="center" w:pos="4592"/>
          <w:tab w:val="left" w:pos="7860"/>
        </w:tabs>
        <w:spacing w:before="0" w:line="360" w:lineRule="auto"/>
        <w:rPr>
          <w:rFonts w:ascii="Times New Roman" w:hAnsi="Times New Roman" w:eastAsia="宋体"/>
          <w:b w:val="0"/>
          <w:sz w:val="28"/>
        </w:rPr>
      </w:pPr>
      <w:bookmarkStart w:id="38" w:name="_Toc151193761"/>
      <w:bookmarkStart w:id="39" w:name="_Toc127161433"/>
      <w:bookmarkStart w:id="40" w:name="_Toc150774619"/>
      <w:bookmarkStart w:id="41" w:name="_Toc164229360"/>
      <w:bookmarkStart w:id="42" w:name="_Toc226309763"/>
      <w:bookmarkStart w:id="43" w:name="_Toc226965792"/>
      <w:bookmarkStart w:id="44" w:name="_Toc151193833"/>
      <w:bookmarkStart w:id="45" w:name="_Toc164608633"/>
      <w:bookmarkStart w:id="46" w:name="_Toc151193689"/>
      <w:bookmarkStart w:id="47" w:name="_Toc226337215"/>
      <w:bookmarkStart w:id="48" w:name="_Toc149720812"/>
      <w:bookmarkStart w:id="49" w:name="_Toc164608788"/>
      <w:bookmarkStart w:id="50" w:name="_Toc164229214"/>
      <w:bookmarkStart w:id="51" w:name="_Toc142311021"/>
      <w:bookmarkStart w:id="52" w:name="_Toc127151720"/>
      <w:bookmarkStart w:id="53" w:name="_Toc226965709"/>
      <w:bookmarkStart w:id="54" w:name="_Toc127151519"/>
      <w:bookmarkStart w:id="55" w:name="_Toc520356144"/>
      <w:bookmarkStart w:id="56" w:name="_Toc150774724"/>
      <w:bookmarkStart w:id="57" w:name="_Toc150480757"/>
      <w:bookmarkStart w:id="58" w:name="_Toc151193907"/>
      <w:bookmarkStart w:id="59" w:name="_Toc195842884"/>
      <w:bookmarkStart w:id="60" w:name="_Toc151193617"/>
      <w:bookmarkStart w:id="61" w:name="_Toc150509270"/>
      <w:bookmarkStart w:id="62" w:name="_Toc164351613"/>
      <w:bookmarkStart w:id="63" w:name="_Toc151190146"/>
      <w:r>
        <w:rPr>
          <w:rFonts w:ascii="Times New Roman" w:hAnsi="Times New Roman" w:eastAsia="宋体"/>
          <w:sz w:val="28"/>
        </w:rPr>
        <w:t>供应商须知资料表</w:t>
      </w:r>
    </w:p>
    <w:p>
      <w:pPr>
        <w:jc w:val="center"/>
        <w:rPr>
          <w:b/>
          <w:sz w:val="28"/>
          <w:szCs w:val="28"/>
        </w:rPr>
      </w:pPr>
    </w:p>
    <w:p>
      <w:pPr>
        <w:spacing w:line="360" w:lineRule="auto"/>
        <w:ind w:firstLine="480"/>
        <w:rPr>
          <w:sz w:val="24"/>
        </w:rPr>
      </w:pPr>
      <w:r>
        <w:rPr>
          <w:sz w:val="24"/>
        </w:rPr>
        <w:t>本表是对供应商须知的具体补充和修改，如有矛盾，均以本资料表为准。</w:t>
      </w:r>
    </w:p>
    <w:tbl>
      <w:tblPr>
        <w:tblStyle w:val="42"/>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noWrap w:val="0"/>
            <w:vAlign w:val="center"/>
          </w:tcPr>
          <w:p>
            <w:pPr>
              <w:jc w:val="center"/>
              <w:rPr>
                <w:b/>
                <w:bCs/>
                <w:sz w:val="24"/>
              </w:rPr>
            </w:pPr>
            <w:r>
              <w:rPr>
                <w:b/>
                <w:sz w:val="24"/>
              </w:rPr>
              <w:t>条款号</w:t>
            </w:r>
          </w:p>
        </w:tc>
        <w:tc>
          <w:tcPr>
            <w:tcW w:w="1701" w:type="dxa"/>
            <w:noWrap w:val="0"/>
            <w:vAlign w:val="center"/>
          </w:tcPr>
          <w:p>
            <w:pPr>
              <w:jc w:val="center"/>
              <w:rPr>
                <w:b/>
                <w:bCs/>
                <w:sz w:val="24"/>
              </w:rPr>
            </w:pPr>
            <w:r>
              <w:rPr>
                <w:b/>
                <w:bCs/>
                <w:sz w:val="24"/>
              </w:rPr>
              <w:t>条目</w:t>
            </w:r>
          </w:p>
        </w:tc>
        <w:tc>
          <w:tcPr>
            <w:tcW w:w="7253" w:type="dxa"/>
            <w:noWrap w:val="0"/>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pPr>
              <w:jc w:val="center"/>
              <w:rPr>
                <w:sz w:val="24"/>
              </w:rPr>
            </w:pPr>
            <w:r>
              <w:rPr>
                <w:sz w:val="24"/>
              </w:rPr>
              <w:t>项目属性</w:t>
            </w:r>
          </w:p>
        </w:tc>
        <w:tc>
          <w:tcPr>
            <w:tcW w:w="7253" w:type="dxa"/>
            <w:noWrap w:val="0"/>
            <w:vAlign w:val="center"/>
          </w:tcPr>
          <w:p>
            <w:pPr>
              <w:jc w:val="left"/>
              <w:rPr>
                <w:sz w:val="24"/>
              </w:rPr>
            </w:pPr>
            <w:r>
              <w:rPr>
                <w:sz w:val="24"/>
              </w:rPr>
              <w:t>项目属性：</w:t>
            </w:r>
          </w:p>
          <w:p>
            <w:pPr>
              <w:jc w:val="left"/>
              <w:rPr>
                <w:sz w:val="24"/>
              </w:rPr>
            </w:pPr>
            <w:r>
              <w:rPr>
                <w:rFonts w:hint="eastAsia"/>
              </w:rPr>
              <w:t>☑</w:t>
            </w:r>
            <w:r>
              <w:rPr>
                <w:sz w:val="24"/>
              </w:rPr>
              <w:t>服务</w:t>
            </w:r>
          </w:p>
          <w:p>
            <w:pPr>
              <w:jc w:val="left"/>
              <w:rPr>
                <w:sz w:val="24"/>
              </w:rPr>
            </w:pPr>
            <w:r>
              <w:t>□</w:t>
            </w:r>
            <w:r>
              <w:rPr>
                <w:sz w:val="24"/>
              </w:rPr>
              <w:t>货物</w:t>
            </w:r>
          </w:p>
          <w:p>
            <w:pPr>
              <w:jc w:val="left"/>
              <w:rPr>
                <w:sz w:val="24"/>
              </w:rPr>
            </w:pPr>
            <w:r>
              <w:rPr>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pPr>
              <w:jc w:val="center"/>
              <w:rPr>
                <w:sz w:val="24"/>
              </w:rPr>
            </w:pPr>
            <w:r>
              <w:rPr>
                <w:sz w:val="24"/>
              </w:rPr>
              <w:t>科研仪器设备</w:t>
            </w:r>
          </w:p>
        </w:tc>
        <w:tc>
          <w:tcPr>
            <w:tcW w:w="7253" w:type="dxa"/>
            <w:noWrap w:val="0"/>
            <w:vAlign w:val="center"/>
          </w:tcPr>
          <w:p>
            <w:pPr>
              <w:jc w:val="left"/>
              <w:rPr>
                <w:sz w:val="24"/>
              </w:rPr>
            </w:pPr>
            <w:r>
              <w:rPr>
                <w:sz w:val="24"/>
              </w:rPr>
              <w:t>是否属于科研仪器设备采购项目：</w:t>
            </w:r>
          </w:p>
          <w:p>
            <w:pPr>
              <w:jc w:val="left"/>
              <w:rPr>
                <w:sz w:val="24"/>
              </w:rPr>
            </w:pPr>
            <w:r>
              <w:t>□</w:t>
            </w:r>
            <w:r>
              <w:rPr>
                <w:sz w:val="24"/>
              </w:rPr>
              <w:t>是</w:t>
            </w:r>
          </w:p>
          <w:p>
            <w:pPr>
              <w:jc w:val="left"/>
              <w:rPr>
                <w:sz w:val="24"/>
              </w:rPr>
            </w:pPr>
            <w:r>
              <w:rPr>
                <w:rFonts w:hint="eastAsia"/>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restart"/>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pPr>
              <w:jc w:val="center"/>
              <w:rPr>
                <w:sz w:val="24"/>
              </w:rPr>
            </w:pPr>
            <w:r>
              <w:rPr>
                <w:sz w:val="24"/>
              </w:rPr>
              <w:t>现场考察</w:t>
            </w:r>
          </w:p>
        </w:tc>
        <w:tc>
          <w:tcPr>
            <w:tcW w:w="7253" w:type="dxa"/>
            <w:noWrap w:val="0"/>
            <w:vAlign w:val="center"/>
          </w:tcPr>
          <w:p>
            <w:pPr>
              <w:jc w:val="left"/>
              <w:rPr>
                <w:sz w:val="24"/>
              </w:rPr>
            </w:pPr>
            <w:r>
              <w:rPr>
                <w:rFonts w:hint="eastAsia"/>
              </w:rPr>
              <w:t>☑</w:t>
            </w:r>
            <w:r>
              <w:rPr>
                <w:sz w:val="24"/>
              </w:rPr>
              <w:t>不组织</w:t>
            </w:r>
          </w:p>
          <w:p>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pPr>
              <w:pStyle w:val="23"/>
              <w:adjustRightInd w:val="0"/>
              <w:snapToGrid w:val="0"/>
              <w:rPr>
                <w:rFonts w:hint="default" w:ascii="Times New Roman" w:hAnsi="Times New Roman"/>
                <w:sz w:val="24"/>
              </w:rPr>
            </w:pPr>
            <w:r>
              <w:rPr>
                <w:rFonts w:hint="default" w:ascii="Times New Roman" w:hAnsi="Times New Roman"/>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noWrap w:val="0"/>
            <w:vAlign w:val="center"/>
          </w:tcPr>
          <w:p>
            <w:pPr>
              <w:pStyle w:val="23"/>
              <w:adjustRightInd w:val="0"/>
              <w:snapToGrid w:val="0"/>
              <w:jc w:val="center"/>
              <w:rPr>
                <w:rFonts w:hint="default" w:ascii="Times New Roman" w:hAnsi="Times New Roman"/>
                <w:sz w:val="24"/>
                <w:szCs w:val="24"/>
              </w:rPr>
            </w:pPr>
          </w:p>
        </w:tc>
        <w:tc>
          <w:tcPr>
            <w:tcW w:w="1701" w:type="dxa"/>
            <w:noWrap w:val="0"/>
            <w:vAlign w:val="center"/>
          </w:tcPr>
          <w:p>
            <w:pPr>
              <w:jc w:val="center"/>
              <w:rPr>
                <w:sz w:val="24"/>
              </w:rPr>
            </w:pPr>
            <w:r>
              <w:rPr>
                <w:sz w:val="24"/>
              </w:rPr>
              <w:t>磋商前答疑会</w:t>
            </w:r>
          </w:p>
        </w:tc>
        <w:tc>
          <w:tcPr>
            <w:tcW w:w="7253" w:type="dxa"/>
            <w:noWrap w:val="0"/>
            <w:vAlign w:val="center"/>
          </w:tcPr>
          <w:p>
            <w:pPr>
              <w:jc w:val="left"/>
              <w:rPr>
                <w:sz w:val="24"/>
              </w:rPr>
            </w:pPr>
            <w:r>
              <w:rPr>
                <w:rFonts w:hint="eastAsia"/>
              </w:rPr>
              <w:t>☑</w:t>
            </w:r>
            <w:r>
              <w:rPr>
                <w:sz w:val="24"/>
              </w:rPr>
              <w:t>不召开</w:t>
            </w:r>
          </w:p>
          <w:p>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pPr>
              <w:jc w:val="left"/>
              <w:rPr>
                <w:sz w:val="24"/>
              </w:rPr>
            </w:pPr>
            <w:r>
              <w:rPr>
                <w:sz w:val="24"/>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noWrap w:val="0"/>
            <w:vAlign w:val="center"/>
          </w:tcPr>
          <w:p>
            <w:pPr>
              <w:jc w:val="center"/>
              <w:rPr>
                <w:sz w:val="24"/>
              </w:rPr>
            </w:pPr>
            <w:r>
              <w:rPr>
                <w:sz w:val="24"/>
              </w:rPr>
              <w:t>标的所属行业</w:t>
            </w:r>
          </w:p>
        </w:tc>
        <w:tc>
          <w:tcPr>
            <w:tcW w:w="7253" w:type="dxa"/>
            <w:noWrap w:val="0"/>
            <w:vAlign w:val="center"/>
          </w:tcPr>
          <w:p>
            <w:pPr>
              <w:jc w:val="left"/>
              <w:rPr>
                <w:sz w:val="24"/>
              </w:rPr>
            </w:pPr>
            <w:r>
              <w:rPr>
                <w:sz w:val="24"/>
              </w:rPr>
              <w:t>本项目采购标的对应的中小企业划分标准所属行业：</w:t>
            </w:r>
          </w:p>
          <w:tbl>
            <w:tblPr>
              <w:tblStyle w:val="42"/>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bCs/>
                      <w:sz w:val="24"/>
                    </w:rPr>
                  </w:pPr>
                  <w:r>
                    <w:rPr>
                      <w:bCs/>
                      <w:sz w:val="24"/>
                    </w:rPr>
                    <w:t>包号</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jc w:val="center"/>
                    <w:rPr>
                      <w:bCs/>
                      <w:sz w:val="24"/>
                    </w:rPr>
                  </w:pPr>
                  <w:r>
                    <w:rPr>
                      <w:bCs/>
                      <w:sz w:val="24"/>
                    </w:rPr>
                    <w:t>标的名称</w:t>
                  </w:r>
                </w:p>
              </w:tc>
              <w:tc>
                <w:tcPr>
                  <w:tcW w:w="3112"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z w:val="24"/>
                    </w:rPr>
                  </w:pPr>
                  <w:r>
                    <w:rPr>
                      <w:rFonts w:hint="eastAsia"/>
                      <w:bCs/>
                      <w:sz w:val="24"/>
                    </w:rPr>
                    <w:t>1</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bCs/>
                      <w:sz w:val="24"/>
                      <w:lang w:val="en-US" w:eastAsia="zh-CN"/>
                    </w:rPr>
                  </w:pPr>
                  <w:r>
                    <w:rPr>
                      <w:rFonts w:hint="eastAsia"/>
                      <w:kern w:val="0"/>
                      <w:szCs w:val="21"/>
                    </w:rPr>
                    <w:t>行政办公区桌面互联网接入服务采购项目（2026年度）</w:t>
                  </w:r>
                  <w:r>
                    <w:rPr>
                      <w:rFonts w:hint="eastAsia"/>
                      <w:kern w:val="0"/>
                      <w:szCs w:val="21"/>
                      <w:lang w:val="en-US" w:eastAsia="zh-CN"/>
                    </w:rPr>
                    <w:t>-第一包</w:t>
                  </w:r>
                </w:p>
              </w:tc>
              <w:tc>
                <w:tcPr>
                  <w:tcW w:w="3112" w:type="dxa"/>
                  <w:vMerge w:val="restart"/>
                  <w:tcBorders>
                    <w:top w:val="single" w:color="auto" w:sz="4" w:space="0"/>
                    <w:left w:val="single" w:color="auto" w:sz="4" w:space="0"/>
                    <w:right w:val="single" w:color="auto" w:sz="4" w:space="0"/>
                  </w:tcBorders>
                  <w:noWrap w:val="0"/>
                  <w:vAlign w:val="center"/>
                </w:tcPr>
                <w:p>
                  <w:pPr>
                    <w:jc w:val="center"/>
                    <w:rPr>
                      <w:kern w:val="0"/>
                      <w:sz w:val="24"/>
                    </w:rPr>
                  </w:pPr>
                  <w:r>
                    <w:rPr>
                      <w:rFonts w:hint="eastAsia"/>
                      <w:kern w:val="0"/>
                      <w:sz w:val="24"/>
                    </w:rPr>
                    <w:t>信息传输业划型标准：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bCs/>
                      <w:sz w:val="24"/>
                      <w:lang w:val="en-US" w:eastAsia="zh-CN"/>
                    </w:rPr>
                  </w:pPr>
                  <w:r>
                    <w:rPr>
                      <w:rFonts w:hint="eastAsia"/>
                      <w:bCs/>
                      <w:sz w:val="24"/>
                      <w:lang w:val="en-US" w:eastAsia="zh-CN"/>
                    </w:rPr>
                    <w:t>2</w:t>
                  </w:r>
                </w:p>
              </w:tc>
              <w:tc>
                <w:tcPr>
                  <w:tcW w:w="26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z w:val="24"/>
                    </w:rPr>
                  </w:pPr>
                  <w:r>
                    <w:rPr>
                      <w:rFonts w:hint="eastAsia"/>
                      <w:kern w:val="0"/>
                      <w:szCs w:val="21"/>
                    </w:rPr>
                    <w:t>行政办公区桌面互联网接入服务采购项目（2026年度）</w:t>
                  </w:r>
                  <w:r>
                    <w:rPr>
                      <w:rFonts w:hint="eastAsia"/>
                      <w:kern w:val="0"/>
                      <w:szCs w:val="21"/>
                      <w:lang w:val="en-US" w:eastAsia="zh-CN"/>
                    </w:rPr>
                    <w:t>-第二包</w:t>
                  </w:r>
                </w:p>
              </w:tc>
              <w:tc>
                <w:tcPr>
                  <w:tcW w:w="3112"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s="宋体"/>
                      <w:b/>
                      <w:bCs/>
                      <w:sz w:val="24"/>
                      <w:highlight w:val="yellow"/>
                    </w:rPr>
                  </w:pP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noWrap w:val="0"/>
            <w:vAlign w:val="center"/>
          </w:tcPr>
          <w:p>
            <w:pPr>
              <w:jc w:val="center"/>
              <w:rPr>
                <w:sz w:val="24"/>
              </w:rPr>
            </w:pPr>
            <w:r>
              <w:rPr>
                <w:sz w:val="24"/>
              </w:rPr>
              <w:t>报价</w:t>
            </w:r>
          </w:p>
        </w:tc>
        <w:tc>
          <w:tcPr>
            <w:tcW w:w="7253" w:type="dxa"/>
            <w:noWrap w:val="0"/>
            <w:vAlign w:val="center"/>
          </w:tcPr>
          <w:p>
            <w:pPr>
              <w:jc w:val="left"/>
              <w:rPr>
                <w:sz w:val="24"/>
              </w:rPr>
            </w:pPr>
            <w:r>
              <w:rPr>
                <w:sz w:val="24"/>
              </w:rPr>
              <w:t>报价的特殊规定：</w:t>
            </w:r>
          </w:p>
          <w:p>
            <w:pPr>
              <w:jc w:val="left"/>
              <w:rPr>
                <w:sz w:val="24"/>
              </w:rPr>
            </w:pPr>
            <w:r>
              <w:rPr>
                <w:rFonts w:hint="eastAsia"/>
              </w:rPr>
              <w:t>☑</w:t>
            </w:r>
            <w:r>
              <w:rPr>
                <w:sz w:val="24"/>
              </w:rPr>
              <w:t>无</w:t>
            </w:r>
          </w:p>
          <w:p>
            <w:pPr>
              <w:jc w:val="left"/>
              <w:rPr>
                <w:sz w:val="24"/>
              </w:rPr>
            </w:pPr>
            <w:r>
              <w:t>□</w:t>
            </w:r>
            <w:r>
              <w:rPr>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noWrap w:val="0"/>
            <w:vAlign w:val="center"/>
          </w:tcPr>
          <w:p>
            <w:pPr>
              <w:jc w:val="center"/>
              <w:rPr>
                <w:sz w:val="24"/>
              </w:rPr>
            </w:pPr>
            <w:r>
              <w:rPr>
                <w:sz w:val="24"/>
              </w:rPr>
              <w:t>磋商保证金</w:t>
            </w:r>
          </w:p>
        </w:tc>
        <w:tc>
          <w:tcPr>
            <w:tcW w:w="7253" w:type="dxa"/>
            <w:noWrap w:val="0"/>
            <w:vAlign w:val="center"/>
          </w:tcPr>
          <w:p>
            <w:pPr>
              <w:jc w:val="left"/>
              <w:rPr>
                <w:sz w:val="24"/>
              </w:rPr>
            </w:pPr>
            <w:r>
              <w:rPr>
                <w:sz w:val="24"/>
              </w:rPr>
              <w:t>磋商保证金金额：无须提交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noWrap w:val="0"/>
            <w:vAlign w:val="center"/>
          </w:tcPr>
          <w:p>
            <w:pPr>
              <w:jc w:val="center"/>
              <w:rPr>
                <w:sz w:val="24"/>
              </w:rPr>
            </w:pPr>
            <w:r>
              <w:rPr>
                <w:sz w:val="24"/>
              </w:rPr>
              <w:t>响应有效期</w:t>
            </w:r>
          </w:p>
        </w:tc>
        <w:tc>
          <w:tcPr>
            <w:tcW w:w="7253" w:type="dxa"/>
            <w:noWrap w:val="0"/>
            <w:vAlign w:val="center"/>
          </w:tcPr>
          <w:p>
            <w:pPr>
              <w:jc w:val="left"/>
              <w:rPr>
                <w:sz w:val="24"/>
              </w:rPr>
            </w:pPr>
            <w:r>
              <w:rPr>
                <w:sz w:val="24"/>
              </w:rPr>
              <w:t>自响应文件提交截止之日起算</w:t>
            </w:r>
            <w:r>
              <w:rPr>
                <w:rFonts w:hint="eastAsia"/>
                <w:sz w:val="24"/>
              </w:rPr>
              <w:t>180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17.2</w:t>
            </w:r>
          </w:p>
        </w:tc>
        <w:tc>
          <w:tcPr>
            <w:tcW w:w="1701" w:type="dxa"/>
            <w:noWrap w:val="0"/>
            <w:vAlign w:val="center"/>
          </w:tcPr>
          <w:p>
            <w:pPr>
              <w:jc w:val="center"/>
              <w:rPr>
                <w:sz w:val="24"/>
              </w:rPr>
            </w:pPr>
            <w:r>
              <w:rPr>
                <w:rFonts w:hint="eastAsia"/>
                <w:sz w:val="24"/>
              </w:rPr>
              <w:t>解密时间</w:t>
            </w:r>
          </w:p>
        </w:tc>
        <w:tc>
          <w:tcPr>
            <w:tcW w:w="7253" w:type="dxa"/>
            <w:noWrap w:val="0"/>
            <w:vAlign w:val="center"/>
          </w:tcPr>
          <w:p>
            <w:pPr>
              <w:jc w:val="left"/>
              <w:rPr>
                <w:sz w:val="24"/>
              </w:rPr>
            </w:pPr>
            <w:r>
              <w:rPr>
                <w:rFonts w:hint="eastAsia" w:ascii="宋体" w:hAnsi="宋体"/>
                <w:sz w:val="24"/>
              </w:rPr>
              <w:t>解密时间：</w:t>
            </w:r>
            <w:r>
              <w:rPr>
                <w:rFonts w:hint="eastAsia" w:ascii="宋体" w:hAnsi="宋体"/>
                <w:sz w:val="24"/>
                <w:u w:val="single"/>
              </w:rPr>
              <w:t>120</w:t>
            </w:r>
            <w:r>
              <w:rPr>
                <w:rFonts w:hint="eastAsia" w:ascii="宋体" w:hAnsi="宋体"/>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noWrap w:val="0"/>
            <w:vAlign w:val="center"/>
          </w:tcPr>
          <w:p>
            <w:pPr>
              <w:jc w:val="center"/>
              <w:rPr>
                <w:sz w:val="24"/>
              </w:rPr>
            </w:pPr>
            <w:r>
              <w:rPr>
                <w:sz w:val="24"/>
              </w:rPr>
              <w:t>确定成交供应商</w:t>
            </w:r>
          </w:p>
        </w:tc>
        <w:tc>
          <w:tcPr>
            <w:tcW w:w="7253" w:type="dxa"/>
            <w:noWrap w:val="0"/>
            <w:vAlign w:val="center"/>
          </w:tcPr>
          <w:p>
            <w:pPr>
              <w:pStyle w:val="23"/>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pPr>
              <w:pStyle w:val="23"/>
              <w:adjustRightInd w:val="0"/>
              <w:snapToGrid w:val="0"/>
              <w:rPr>
                <w:rFonts w:hint="default" w:ascii="Times New Roman" w:hAnsi="Times New Roman"/>
                <w:sz w:val="24"/>
              </w:rPr>
            </w:pPr>
            <w:r>
              <w:rPr>
                <w:rFonts w:ascii="Times New Roman" w:hAnsi="Times New Roman"/>
              </w:rPr>
              <w:t>☑</w:t>
            </w:r>
            <w:r>
              <w:rPr>
                <w:rFonts w:hint="default" w:ascii="Times New Roman" w:hAnsi="Times New Roman"/>
                <w:sz w:val="24"/>
              </w:rPr>
              <w:t>否</w:t>
            </w:r>
          </w:p>
          <w:p>
            <w:pPr>
              <w:jc w:val="left"/>
              <w:rPr>
                <w:sz w:val="24"/>
              </w:rPr>
            </w:pPr>
            <w:r>
              <w:t>□</w:t>
            </w:r>
            <w:r>
              <w:rPr>
                <w:sz w:val="24"/>
              </w:rPr>
              <w:t>是</w:t>
            </w:r>
          </w:p>
          <w:p>
            <w:pPr>
              <w:jc w:val="left"/>
              <w:rPr>
                <w:sz w:val="24"/>
                <w:u w:val="single"/>
              </w:rPr>
            </w:pPr>
            <w:r>
              <w:rPr>
                <w:sz w:val="24"/>
              </w:rPr>
              <w:t>成交候选人并列的，按照以下方式确定成交供应商：</w:t>
            </w:r>
            <w:r>
              <w:rPr>
                <w:rFonts w:hint="eastAsia"/>
                <w:sz w:val="24"/>
              </w:rPr>
              <w:t>评审</w:t>
            </w:r>
            <w:r>
              <w:rPr>
                <w:sz w:val="24"/>
              </w:rPr>
              <w:t>得分且</w:t>
            </w:r>
            <w:r>
              <w:rPr>
                <w:rFonts w:hint="eastAsia"/>
                <w:sz w:val="24"/>
              </w:rPr>
              <w:t>最后</w:t>
            </w:r>
            <w:r>
              <w:rPr>
                <w:sz w:val="24"/>
              </w:rPr>
              <w:t>报价均相同的，以</w:t>
            </w:r>
            <w:r>
              <w:rPr>
                <w:sz w:val="24"/>
                <w:u w:val="single"/>
              </w:rPr>
              <w:t>技术部分</w:t>
            </w:r>
            <w:r>
              <w:rPr>
                <w:sz w:val="24"/>
              </w:rPr>
              <w:t>得分高者为</w:t>
            </w:r>
            <w:r>
              <w:rPr>
                <w:rFonts w:hint="eastAsia"/>
                <w:sz w:val="24"/>
              </w:rPr>
              <w:t>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noWrap w:val="0"/>
            <w:vAlign w:val="center"/>
          </w:tcPr>
          <w:p>
            <w:pPr>
              <w:jc w:val="center"/>
              <w:rPr>
                <w:sz w:val="24"/>
              </w:rPr>
            </w:pPr>
            <w:r>
              <w:rPr>
                <w:sz w:val="24"/>
              </w:rPr>
              <w:t>分包</w:t>
            </w:r>
          </w:p>
        </w:tc>
        <w:tc>
          <w:tcPr>
            <w:tcW w:w="7253" w:type="dxa"/>
            <w:noWrap w:val="0"/>
            <w:vAlign w:val="center"/>
          </w:tcPr>
          <w:p>
            <w:pPr>
              <w:jc w:val="left"/>
              <w:rPr>
                <w:sz w:val="24"/>
              </w:rPr>
            </w:pPr>
            <w:r>
              <w:rPr>
                <w:sz w:val="24"/>
              </w:rPr>
              <w:t xml:space="preserve">本项目是否允许分包： </w:t>
            </w:r>
          </w:p>
          <w:p>
            <w:pPr>
              <w:jc w:val="left"/>
              <w:rPr>
                <w:sz w:val="24"/>
              </w:rPr>
            </w:pPr>
            <w:r>
              <w:rPr>
                <w:rFonts w:ascii="Times New Roman" w:hAnsi="Times New Roman"/>
              </w:rPr>
              <w:t>☑</w:t>
            </w: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widowControl/>
              <w:jc w:val="left"/>
              <w:rPr>
                <w:sz w:val="24"/>
              </w:rPr>
            </w:pPr>
            <w:r>
              <w:rPr>
                <w:sz w:val="24"/>
              </w:rPr>
              <w:t>（3）其他要求：</w:t>
            </w:r>
          </w:p>
          <w:p>
            <w:pPr>
              <w:widowControl/>
              <w:jc w:val="left"/>
              <w:rPr>
                <w:sz w:val="24"/>
              </w:rPr>
            </w:pPr>
            <w:r>
              <w:rPr>
                <w:rFonts w:hint="eastAsia"/>
                <w:sz w:val="24"/>
              </w:rPr>
              <w:t>①可分包部分特定</w:t>
            </w:r>
            <w:r>
              <w:rPr>
                <w:rFonts w:hint="eastAsia" w:ascii="宋体" w:hAnsi="宋体" w:cs="宋体"/>
                <w:color w:val="000000"/>
                <w:kern w:val="0"/>
                <w:sz w:val="24"/>
                <w:lang w:bidi="ar"/>
              </w:rPr>
              <w:t>资格要求：</w:t>
            </w:r>
            <w:r>
              <w:rPr>
                <w:rFonts w:hint="eastAsia" w:ascii="宋体" w:hAnsi="宋体" w:cs="宋体"/>
                <w:color w:val="000000"/>
                <w:kern w:val="0"/>
                <w:sz w:val="24"/>
                <w:u w:val="single"/>
                <w:lang w:bidi="ar"/>
              </w:rPr>
              <w:t xml:space="preserve">     </w:t>
            </w:r>
            <w:r>
              <w:rPr>
                <w:rFonts w:hint="eastAsia"/>
                <w:sz w:val="24"/>
              </w:rPr>
              <w:t>；</w:t>
            </w:r>
          </w:p>
          <w:p>
            <w:pPr>
              <w:jc w:val="left"/>
              <w:rPr>
                <w:sz w:val="24"/>
              </w:rPr>
            </w:pPr>
            <w:r>
              <w:rPr>
                <w:rFonts w:hint="eastAsia"/>
                <w:sz w:val="24"/>
              </w:rPr>
              <w:t>②可分包部分</w:t>
            </w:r>
            <w:r>
              <w:rPr>
                <w:sz w:val="24"/>
              </w:rPr>
              <w:t>标的对应的中小企业划分标准所属行业：</w:t>
            </w:r>
          </w:p>
          <w:tbl>
            <w:tblPr>
              <w:tblStyle w:val="42"/>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bCs/>
                      <w:sz w:val="24"/>
                    </w:rPr>
                  </w:pPr>
                  <w:r>
                    <w:rPr>
                      <w:bCs/>
                      <w:sz w:val="24"/>
                    </w:rPr>
                    <w:t>包号</w:t>
                  </w:r>
                </w:p>
              </w:tc>
              <w:tc>
                <w:tcPr>
                  <w:tcW w:w="2800" w:type="dxa"/>
                  <w:tcBorders>
                    <w:top w:val="single" w:color="auto" w:sz="4" w:space="0"/>
                    <w:left w:val="single" w:color="auto" w:sz="4" w:space="0"/>
                    <w:bottom w:val="single" w:color="auto" w:sz="4" w:space="0"/>
                    <w:right w:val="single" w:color="auto" w:sz="4" w:space="0"/>
                  </w:tcBorders>
                  <w:noWrap w:val="0"/>
                  <w:vAlign w:val="center"/>
                </w:tcPr>
                <w:p>
                  <w:pPr>
                    <w:jc w:val="center"/>
                    <w:rPr>
                      <w:bCs/>
                      <w:sz w:val="24"/>
                    </w:rPr>
                  </w:pPr>
                  <w:r>
                    <w:rPr>
                      <w:rFonts w:hint="eastAsia"/>
                      <w:sz w:val="24"/>
                    </w:rPr>
                    <w:t>可分包部分</w:t>
                  </w:r>
                  <w:r>
                    <w:rPr>
                      <w:bCs/>
                      <w:sz w:val="24"/>
                    </w:rPr>
                    <w:t>标的名称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bCs/>
                      <w:sz w:val="24"/>
                    </w:rPr>
                  </w:pPr>
                </w:p>
              </w:tc>
              <w:tc>
                <w:tcPr>
                  <w:tcW w:w="2800" w:type="dxa"/>
                  <w:tcBorders>
                    <w:top w:val="single" w:color="auto" w:sz="4" w:space="0"/>
                    <w:left w:val="single" w:color="auto" w:sz="4" w:space="0"/>
                    <w:bottom w:val="single" w:color="auto" w:sz="4" w:space="0"/>
                    <w:right w:val="single" w:color="auto" w:sz="4" w:space="0"/>
                  </w:tcBorders>
                  <w:noWrap w:val="0"/>
                  <w:vAlign w:val="center"/>
                </w:tcPr>
                <w:p>
                  <w:pPr>
                    <w:jc w:val="center"/>
                    <w:rPr>
                      <w:bCs/>
                      <w:sz w:val="24"/>
                    </w:rPr>
                  </w:pPr>
                </w:p>
              </w:tc>
              <w:tc>
                <w:tcPr>
                  <w:tcW w:w="3239"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 w:val="24"/>
                    </w:rPr>
                  </w:pPr>
                </w:p>
              </w:tc>
            </w:tr>
          </w:tbl>
          <w:p>
            <w:pPr>
              <w:jc w:val="left"/>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noWrap w:val="0"/>
            <w:vAlign w:val="center"/>
          </w:tcPr>
          <w:p>
            <w:pPr>
              <w:jc w:val="center"/>
              <w:rPr>
                <w:sz w:val="24"/>
              </w:rPr>
            </w:pPr>
            <w:r>
              <w:rPr>
                <w:rFonts w:hint="eastAsia"/>
                <w:sz w:val="24"/>
              </w:rPr>
              <w:t>政采贷</w:t>
            </w:r>
          </w:p>
        </w:tc>
        <w:tc>
          <w:tcPr>
            <w:tcW w:w="7253" w:type="dxa"/>
            <w:noWrap w:val="0"/>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restart"/>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24.1</w:t>
            </w:r>
          </w:p>
        </w:tc>
        <w:tc>
          <w:tcPr>
            <w:tcW w:w="1701" w:type="dxa"/>
            <w:vMerge w:val="restart"/>
            <w:noWrap w:val="0"/>
            <w:vAlign w:val="center"/>
          </w:tcPr>
          <w:p>
            <w:pPr>
              <w:jc w:val="center"/>
              <w:rPr>
                <w:sz w:val="24"/>
              </w:rPr>
            </w:pPr>
            <w:r>
              <w:rPr>
                <w:sz w:val="24"/>
              </w:rPr>
              <w:t>询问</w:t>
            </w:r>
          </w:p>
        </w:tc>
        <w:tc>
          <w:tcPr>
            <w:tcW w:w="7253" w:type="dxa"/>
            <w:noWrap w:val="0"/>
            <w:vAlign w:val="center"/>
          </w:tcPr>
          <w:p>
            <w:pPr>
              <w:jc w:val="left"/>
              <w:rPr>
                <w:sz w:val="24"/>
              </w:rPr>
            </w:pPr>
            <w:r>
              <w:rPr>
                <w:sz w:val="24"/>
              </w:rPr>
              <w:t>询问</w:t>
            </w:r>
            <w:r>
              <w:rPr>
                <w:rFonts w:hint="eastAsia"/>
                <w:sz w:val="24"/>
              </w:rPr>
              <w:t>形式</w:t>
            </w:r>
            <w:r>
              <w:rPr>
                <w:sz w:val="24"/>
              </w:rPr>
              <w:t>：</w:t>
            </w:r>
            <w:r>
              <w:rPr>
                <w:rFonts w:hint="eastAsia" w:ascii="宋体" w:hAnsi="宋体"/>
                <w:sz w:val="24"/>
              </w:rPr>
              <w:t>电话或其他方式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noWrap w:val="0"/>
            <w:vAlign w:val="center"/>
          </w:tcPr>
          <w:p>
            <w:pPr>
              <w:pStyle w:val="23"/>
              <w:adjustRightInd w:val="0"/>
              <w:snapToGrid w:val="0"/>
              <w:jc w:val="center"/>
              <w:rPr>
                <w:rFonts w:hint="default" w:ascii="Times New Roman" w:hAnsi="Times New Roman"/>
                <w:sz w:val="24"/>
                <w:szCs w:val="24"/>
              </w:rPr>
            </w:pPr>
          </w:p>
        </w:tc>
        <w:tc>
          <w:tcPr>
            <w:tcW w:w="1701" w:type="dxa"/>
            <w:vMerge w:val="continue"/>
            <w:noWrap w:val="0"/>
            <w:vAlign w:val="center"/>
          </w:tcPr>
          <w:p>
            <w:pPr>
              <w:jc w:val="center"/>
              <w:rPr>
                <w:sz w:val="24"/>
              </w:rPr>
            </w:pPr>
          </w:p>
        </w:tc>
        <w:tc>
          <w:tcPr>
            <w:tcW w:w="7253" w:type="dxa"/>
            <w:noWrap w:val="0"/>
            <w:vAlign w:val="center"/>
          </w:tcPr>
          <w:p>
            <w:pPr>
              <w:jc w:val="left"/>
              <w:rPr>
                <w:rFonts w:hint="eastAsia"/>
                <w:sz w:val="24"/>
              </w:rPr>
            </w:pPr>
            <w:r>
              <w:rPr>
                <w:sz w:val="24"/>
              </w:rPr>
              <w:t>联系方式</w:t>
            </w:r>
            <w:r>
              <w:rPr>
                <w:rFonts w:hint="eastAsia"/>
                <w:sz w:val="24"/>
              </w:rPr>
              <w:t>：</w:t>
            </w:r>
          </w:p>
          <w:p>
            <w:pPr>
              <w:jc w:val="left"/>
              <w:rPr>
                <w:rFonts w:hint="eastAsia"/>
                <w:sz w:val="24"/>
              </w:rPr>
            </w:pPr>
            <w:r>
              <w:rPr>
                <w:rFonts w:hint="eastAsia"/>
                <w:sz w:val="24"/>
              </w:rPr>
              <w:t>1、采购人：详见磋商文件第一章采购邀请“七”。</w:t>
            </w:r>
          </w:p>
          <w:p>
            <w:pPr>
              <w:jc w:val="left"/>
              <w:rPr>
                <w:sz w:val="24"/>
              </w:rPr>
            </w:pPr>
            <w:r>
              <w:rPr>
                <w:rFonts w:hint="eastAsia"/>
                <w:sz w:val="24"/>
              </w:rPr>
              <w:t>2、采购代理机构：详见磋商文件第一章采购邀请“七”。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restart"/>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r>
              <w:rPr>
                <w:rFonts w:ascii="Times New Roman" w:hAnsi="Times New Roman"/>
                <w:sz w:val="24"/>
                <w:szCs w:val="24"/>
              </w:rPr>
              <w:t>2</w:t>
            </w:r>
          </w:p>
        </w:tc>
        <w:tc>
          <w:tcPr>
            <w:tcW w:w="1701" w:type="dxa"/>
            <w:vMerge w:val="restart"/>
            <w:noWrap w:val="0"/>
            <w:vAlign w:val="center"/>
          </w:tcPr>
          <w:p>
            <w:pPr>
              <w:jc w:val="center"/>
              <w:rPr>
                <w:sz w:val="24"/>
              </w:rPr>
            </w:pPr>
            <w:r>
              <w:rPr>
                <w:rFonts w:hint="eastAsia"/>
                <w:sz w:val="24"/>
              </w:rPr>
              <w:t>质疑</w:t>
            </w:r>
          </w:p>
        </w:tc>
        <w:tc>
          <w:tcPr>
            <w:tcW w:w="7253" w:type="dxa"/>
            <w:noWrap w:val="0"/>
            <w:vAlign w:val="center"/>
          </w:tcPr>
          <w:p>
            <w:pPr>
              <w:jc w:val="left"/>
              <w:rPr>
                <w:rFonts w:ascii="宋体" w:hAnsi="宋体"/>
                <w:sz w:val="24"/>
              </w:rPr>
            </w:pPr>
            <w:r>
              <w:rPr>
                <w:rFonts w:hint="eastAsia"/>
                <w:sz w:val="24"/>
              </w:rPr>
              <w:t>质疑</w:t>
            </w:r>
            <w:r>
              <w:rPr>
                <w:sz w:val="24"/>
              </w:rPr>
              <w:t>送达形式：</w:t>
            </w:r>
            <w:r>
              <w:rPr>
                <w:rFonts w:hint="eastAsia" w:ascii="宋体" w:hAnsi="宋体"/>
                <w:sz w:val="24"/>
              </w:rPr>
              <w:t>书面形式</w:t>
            </w:r>
          </w:p>
          <w:p>
            <w:pPr>
              <w:jc w:val="left"/>
              <w:rPr>
                <w:rFonts w:hint="eastAsia"/>
                <w:sz w:val="24"/>
              </w:rPr>
            </w:pPr>
            <w:r>
              <w:rPr>
                <w:rFonts w:hint="eastAsia" w:ascii="宋体" w:hAnsi="宋体"/>
                <w:sz w:val="24"/>
              </w:rPr>
              <w:t>具体要求详见</w:t>
            </w:r>
            <w:r>
              <w:rPr>
                <w:sz w:val="24"/>
              </w:rPr>
              <w:t>2</w:t>
            </w:r>
            <w:r>
              <w:rPr>
                <w:rFonts w:hint="eastAsia"/>
                <w:sz w:val="24"/>
              </w:rPr>
              <w:t>4</w:t>
            </w:r>
            <w:r>
              <w:rPr>
                <w:sz w:val="24"/>
              </w:rPr>
              <w:t>.2.3-2</w:t>
            </w:r>
            <w:r>
              <w:rPr>
                <w:rFonts w:hint="eastAsia"/>
                <w:sz w:val="24"/>
              </w:rPr>
              <w:t>4</w:t>
            </w:r>
            <w:r>
              <w:rPr>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noWrap w:val="0"/>
            <w:vAlign w:val="center"/>
          </w:tcPr>
          <w:p>
            <w:pPr>
              <w:pStyle w:val="23"/>
              <w:adjustRightInd w:val="0"/>
              <w:snapToGrid w:val="0"/>
              <w:jc w:val="center"/>
              <w:rPr>
                <w:rFonts w:hint="default" w:ascii="Times New Roman" w:hAnsi="Times New Roman"/>
                <w:sz w:val="24"/>
                <w:szCs w:val="24"/>
              </w:rPr>
            </w:pPr>
          </w:p>
        </w:tc>
        <w:tc>
          <w:tcPr>
            <w:tcW w:w="1701" w:type="dxa"/>
            <w:vMerge w:val="continue"/>
            <w:noWrap w:val="0"/>
            <w:vAlign w:val="center"/>
          </w:tcPr>
          <w:p>
            <w:pPr>
              <w:jc w:val="center"/>
              <w:rPr>
                <w:sz w:val="24"/>
              </w:rPr>
            </w:pPr>
          </w:p>
        </w:tc>
        <w:tc>
          <w:tcPr>
            <w:tcW w:w="7253" w:type="dxa"/>
            <w:noWrap w:val="0"/>
            <w:vAlign w:val="center"/>
          </w:tcPr>
          <w:p>
            <w:pPr>
              <w:jc w:val="left"/>
              <w:rPr>
                <w:rFonts w:hint="eastAsia"/>
                <w:sz w:val="24"/>
              </w:rPr>
            </w:pPr>
            <w:r>
              <w:rPr>
                <w:sz w:val="24"/>
              </w:rPr>
              <w:t>联系方式</w:t>
            </w:r>
            <w:r>
              <w:rPr>
                <w:rFonts w:hint="eastAsia"/>
                <w:sz w:val="24"/>
              </w:rPr>
              <w:t>：</w:t>
            </w:r>
          </w:p>
          <w:p>
            <w:pPr>
              <w:jc w:val="left"/>
              <w:rPr>
                <w:rFonts w:hint="eastAsia"/>
                <w:sz w:val="24"/>
              </w:rPr>
            </w:pPr>
            <w:r>
              <w:rPr>
                <w:rFonts w:hint="eastAsia"/>
                <w:sz w:val="24"/>
              </w:rPr>
              <w:t>1、采购人：详见磋商文件第一章采购邀请“七”。</w:t>
            </w:r>
          </w:p>
          <w:p>
            <w:pPr>
              <w:jc w:val="left"/>
              <w:rPr>
                <w:rFonts w:hint="eastAsia"/>
                <w:sz w:val="24"/>
              </w:rPr>
            </w:pPr>
            <w:r>
              <w:rPr>
                <w:rFonts w:hint="eastAsia"/>
                <w:sz w:val="24"/>
              </w:rPr>
              <w:t>2、采购代理机构：</w:t>
            </w:r>
          </w:p>
          <w:p>
            <w:pPr>
              <w:numPr>
                <w:ilvl w:val="0"/>
                <w:numId w:val="9"/>
              </w:numPr>
              <w:ind w:firstLine="0"/>
              <w:jc w:val="left"/>
              <w:rPr>
                <w:sz w:val="24"/>
              </w:rPr>
            </w:pPr>
            <w:r>
              <w:rPr>
                <w:rFonts w:hint="eastAsia"/>
                <w:sz w:val="24"/>
              </w:rPr>
              <w:t>联系部门：北京市公共资源交易中心法律事务部（监督服务部）</w:t>
            </w:r>
          </w:p>
          <w:p>
            <w:pPr>
              <w:numPr>
                <w:ilvl w:val="0"/>
                <w:numId w:val="9"/>
              </w:numPr>
              <w:ind w:firstLine="0"/>
              <w:jc w:val="left"/>
              <w:rPr>
                <w:sz w:val="24"/>
              </w:rPr>
            </w:pPr>
            <w:r>
              <w:rPr>
                <w:rFonts w:hint="eastAsia"/>
                <w:sz w:val="24"/>
              </w:rPr>
              <w:t>地址：北京市西城区广安门南街甲68号407室（邮编：100054）</w:t>
            </w:r>
          </w:p>
          <w:p>
            <w:pPr>
              <w:numPr>
                <w:ilvl w:val="0"/>
                <w:numId w:val="9"/>
              </w:numPr>
              <w:ind w:firstLine="0"/>
              <w:jc w:val="left"/>
              <w:rPr>
                <w:rFonts w:hint="eastAsia"/>
                <w:sz w:val="24"/>
              </w:rPr>
            </w:pPr>
            <w:r>
              <w:rPr>
                <w:rFonts w:hint="eastAsia"/>
                <w:sz w:val="24"/>
              </w:rPr>
              <w:t>联系人：魏老师</w:t>
            </w:r>
          </w:p>
          <w:p>
            <w:pPr>
              <w:jc w:val="left"/>
              <w:rPr>
                <w:sz w:val="24"/>
              </w:rPr>
            </w:pPr>
            <w:r>
              <w:rPr>
                <w:rFonts w:hint="eastAsia"/>
                <w:sz w:val="24"/>
              </w:rPr>
              <w:t>联系方式：</w:t>
            </w:r>
            <w:r>
              <w:rPr>
                <w:sz w:val="24"/>
              </w:rPr>
              <w:t>010-</w:t>
            </w:r>
            <w:r>
              <w:rPr>
                <w:kern w:val="0"/>
                <w:sz w:val="24"/>
              </w:rPr>
              <w:t>83537377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noWrap w:val="0"/>
            <w:vAlign w:val="center"/>
          </w:tcPr>
          <w:p>
            <w:pPr>
              <w:jc w:val="center"/>
              <w:rPr>
                <w:sz w:val="24"/>
              </w:rPr>
            </w:pPr>
            <w:r>
              <w:rPr>
                <w:sz w:val="24"/>
              </w:rPr>
              <w:t>代理费</w:t>
            </w:r>
          </w:p>
        </w:tc>
        <w:tc>
          <w:tcPr>
            <w:tcW w:w="7253" w:type="dxa"/>
            <w:noWrap w:val="0"/>
            <w:vAlign w:val="center"/>
          </w:tcPr>
          <w:p>
            <w:pPr>
              <w:jc w:val="left"/>
              <w:rPr>
                <w:sz w:val="24"/>
              </w:rPr>
            </w:pPr>
            <w:r>
              <w:rPr>
                <w:rFonts w:hint="eastAsia"/>
                <w:sz w:val="24"/>
              </w:rPr>
              <w:t>无</w:t>
            </w:r>
          </w:p>
        </w:tc>
      </w:tr>
    </w:tbl>
    <w:p>
      <w:pPr>
        <w:tabs>
          <w:tab w:val="left" w:pos="5580"/>
        </w:tabs>
        <w:adjustRightInd w:val="0"/>
        <w:spacing w:line="360" w:lineRule="auto"/>
        <w:jc w:val="distribute"/>
        <w:rPr>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b/>
          <w:sz w:val="28"/>
          <w:szCs w:val="28"/>
        </w:rPr>
      </w:pPr>
      <w:r>
        <w:rPr>
          <w:b/>
          <w:sz w:val="28"/>
          <w:szCs w:val="28"/>
        </w:rPr>
        <w:t>供应商须知</w:t>
      </w:r>
    </w:p>
    <w:p>
      <w:pPr>
        <w:pStyle w:val="4"/>
        <w:tabs>
          <w:tab w:val="center" w:pos="4592"/>
          <w:tab w:val="left" w:pos="7860"/>
        </w:tabs>
        <w:spacing w:before="0" w:line="360" w:lineRule="auto"/>
        <w:jc w:val="left"/>
        <w:rPr>
          <w:rFonts w:ascii="Times New Roman" w:hAnsi="Times New Roman" w:eastAsia="宋体"/>
          <w:sz w:val="28"/>
        </w:rPr>
      </w:pPr>
      <w:bookmarkStart w:id="64" w:name="_Toc127151518"/>
      <w:bookmarkStart w:id="65" w:name="_Toc520356143"/>
      <w:r>
        <w:rPr>
          <w:rFonts w:ascii="Times New Roman" w:hAnsi="Times New Roman" w:eastAsia="宋体"/>
          <w:sz w:val="28"/>
        </w:rPr>
        <w:tab/>
      </w:r>
      <w:bookmarkStart w:id="66" w:name="_Toc151193832"/>
      <w:bookmarkStart w:id="67" w:name="_Toc151193688"/>
      <w:bookmarkStart w:id="68" w:name="_Toc150774618"/>
      <w:bookmarkStart w:id="69" w:name="_Toc150774723"/>
      <w:bookmarkStart w:id="70" w:name="_Toc150509269"/>
      <w:bookmarkStart w:id="71" w:name="_Toc305158786"/>
      <w:bookmarkStart w:id="72" w:name="_Toc226965791"/>
      <w:bookmarkStart w:id="73" w:name="_Toc151193616"/>
      <w:bookmarkStart w:id="74" w:name="_Toc150480756"/>
      <w:bookmarkStart w:id="75" w:name="_Toc195842883"/>
      <w:bookmarkStart w:id="76" w:name="_Toc151193760"/>
      <w:bookmarkStart w:id="77" w:name="_Toc226337214"/>
      <w:bookmarkStart w:id="78" w:name="_Toc305158860"/>
      <w:bookmarkStart w:id="79" w:name="_Toc265228356"/>
      <w:bookmarkStart w:id="80" w:name="_Toc151193906"/>
      <w:bookmarkStart w:id="81" w:name="_Toc226309762"/>
      <w:bookmarkStart w:id="82" w:name="_Toc264969208"/>
      <w:bookmarkStart w:id="83" w:name="_Toc151190145"/>
      <w:bookmarkStart w:id="84" w:name="_Toc226965708"/>
      <w:bookmarkStart w:id="85" w:name="_Toc142311020"/>
      <w:r>
        <w:rPr>
          <w:rFonts w:ascii="Times New Roman" w:hAnsi="Times New Roman" w:eastAsia="宋体"/>
          <w:sz w:val="28"/>
        </w:rPr>
        <w:t>一   说  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ascii="Times New Roman" w:hAnsi="Times New Roman" w:eastAsia="宋体"/>
          <w:sz w:val="28"/>
        </w:rPr>
        <w:tab/>
      </w:r>
    </w:p>
    <w:p>
      <w:pPr>
        <w:numPr>
          <w:ilvl w:val="0"/>
          <w:numId w:val="10"/>
        </w:numPr>
        <w:tabs>
          <w:tab w:val="left" w:pos="360"/>
          <w:tab w:val="clear" w:pos="900"/>
        </w:tabs>
        <w:snapToGrid w:val="0"/>
        <w:spacing w:line="360" w:lineRule="auto"/>
        <w:ind w:left="357" w:hanging="357"/>
        <w:outlineLvl w:val="1"/>
        <w:rPr>
          <w:sz w:val="24"/>
        </w:rPr>
      </w:pPr>
      <w:bookmarkStart w:id="86" w:name="_Toc265228357"/>
      <w:bookmarkStart w:id="87" w:name="_Toc305158861"/>
      <w:bookmarkStart w:id="88" w:name="_Toc305158787"/>
      <w:bookmarkStart w:id="89" w:name="_Toc264969209"/>
      <w:r>
        <w:rPr>
          <w:sz w:val="24"/>
        </w:rPr>
        <w:t>采购人、采购代理机构、供应商</w:t>
      </w:r>
      <w:bookmarkEnd w:id="86"/>
      <w:bookmarkEnd w:id="87"/>
      <w:bookmarkEnd w:id="88"/>
      <w:bookmarkEnd w:id="89"/>
      <w:r>
        <w:rPr>
          <w:sz w:val="24"/>
        </w:rPr>
        <w:t>、联合体</w:t>
      </w:r>
    </w:p>
    <w:p>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pPr>
        <w:numPr>
          <w:ilvl w:val="1"/>
          <w:numId w:val="10"/>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sz w:val="24"/>
        </w:rPr>
      </w:pPr>
      <w:bookmarkStart w:id="90" w:name="_Toc151193690"/>
      <w:bookmarkStart w:id="91" w:name="_Toc265228358"/>
      <w:bookmarkStart w:id="92" w:name="_Toc127151520"/>
      <w:bookmarkStart w:id="93" w:name="_Toc305158862"/>
      <w:bookmarkStart w:id="94" w:name="_Toc150509271"/>
      <w:bookmarkStart w:id="95" w:name="_Toc151193618"/>
      <w:bookmarkStart w:id="96" w:name="_Toc151193834"/>
      <w:bookmarkStart w:id="97" w:name="_Toc226309764"/>
      <w:bookmarkStart w:id="98" w:name="_Toc127161434"/>
      <w:bookmarkStart w:id="99" w:name="_Toc142311022"/>
      <w:bookmarkStart w:id="100" w:name="_Toc127151721"/>
      <w:bookmarkStart w:id="101" w:name="_Toc164229361"/>
      <w:bookmarkStart w:id="102" w:name="_Toc164608789"/>
      <w:bookmarkStart w:id="103" w:name="_Toc226965793"/>
      <w:bookmarkStart w:id="104" w:name="_Toc164608634"/>
      <w:bookmarkStart w:id="105" w:name="_Toc151193762"/>
      <w:bookmarkStart w:id="106" w:name="_Toc149720813"/>
      <w:bookmarkStart w:id="107" w:name="_Toc150774725"/>
      <w:bookmarkStart w:id="108" w:name="_Toc305158788"/>
      <w:bookmarkStart w:id="109" w:name="_Toc226965710"/>
      <w:bookmarkStart w:id="110" w:name="_Toc164229215"/>
      <w:bookmarkStart w:id="111" w:name="_Toc164351614"/>
      <w:bookmarkStart w:id="112" w:name="_Toc151190147"/>
      <w:bookmarkStart w:id="113" w:name="_Toc150774620"/>
      <w:bookmarkStart w:id="114" w:name="_Toc151193908"/>
      <w:bookmarkStart w:id="115" w:name="_Toc195842885"/>
      <w:bookmarkStart w:id="116" w:name="_Toc264969210"/>
      <w:bookmarkStart w:id="117" w:name="_Toc226337216"/>
      <w:bookmarkStart w:id="118" w:name="_Toc150480758"/>
      <w:r>
        <w:rPr>
          <w:sz w:val="24"/>
        </w:rPr>
        <w:t>资金来源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sz w:val="24"/>
        </w:rPr>
        <w:t>、项目属性、科研仪器设备采购</w:t>
      </w:r>
    </w:p>
    <w:p>
      <w:pPr>
        <w:numPr>
          <w:ilvl w:val="1"/>
          <w:numId w:val="10"/>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sz w:val="24"/>
        </w:rPr>
      </w:pPr>
      <w:r>
        <w:rPr>
          <w:sz w:val="24"/>
        </w:rPr>
        <w:t>项目属性见《供应商须知资料表》。</w:t>
      </w:r>
    </w:p>
    <w:p>
      <w:pPr>
        <w:numPr>
          <w:ilvl w:val="1"/>
          <w:numId w:val="10"/>
        </w:numPr>
        <w:tabs>
          <w:tab w:val="left" w:pos="1080"/>
          <w:tab w:val="left" w:pos="2014"/>
        </w:tabs>
        <w:snapToGrid w:val="0"/>
        <w:spacing w:line="360" w:lineRule="auto"/>
        <w:ind w:left="1080" w:hanging="720"/>
        <w:rPr>
          <w:sz w:val="24"/>
        </w:rPr>
      </w:pPr>
      <w:r>
        <w:rPr>
          <w:sz w:val="24"/>
        </w:rPr>
        <w:t>是否属于科研仪器设备采购见《供应商须知资料表》。</w:t>
      </w:r>
    </w:p>
    <w:p>
      <w:pPr>
        <w:numPr>
          <w:ilvl w:val="0"/>
          <w:numId w:val="10"/>
        </w:numPr>
        <w:tabs>
          <w:tab w:val="left" w:pos="360"/>
        </w:tabs>
        <w:snapToGrid w:val="0"/>
        <w:spacing w:line="360" w:lineRule="auto"/>
        <w:ind w:left="357" w:hanging="357"/>
        <w:outlineLvl w:val="1"/>
        <w:rPr>
          <w:sz w:val="24"/>
        </w:rPr>
      </w:pPr>
      <w:r>
        <w:rPr>
          <w:sz w:val="24"/>
        </w:rPr>
        <w:t>现场考察、磋商前答疑会</w:t>
      </w:r>
    </w:p>
    <w:p>
      <w:pPr>
        <w:numPr>
          <w:ilvl w:val="1"/>
          <w:numId w:val="10"/>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19" w:name="_Toc264969212"/>
      <w:bookmarkStart w:id="120" w:name="_Toc226965712"/>
      <w:bookmarkStart w:id="121" w:name="_Toc150774727"/>
      <w:bookmarkStart w:id="122" w:name="_Toc151193692"/>
      <w:bookmarkStart w:id="123" w:name="_Toc265228360"/>
      <w:bookmarkStart w:id="124" w:name="_Toc520356146"/>
      <w:bookmarkStart w:id="125" w:name="_Toc151193620"/>
      <w:bookmarkStart w:id="126" w:name="_Toc226337218"/>
      <w:bookmarkStart w:id="127" w:name="_Toc151190149"/>
      <w:bookmarkStart w:id="128" w:name="_Toc151193764"/>
      <w:bookmarkStart w:id="129" w:name="_Toc150509273"/>
      <w:bookmarkStart w:id="130" w:name="_Toc151193910"/>
      <w:bookmarkStart w:id="131" w:name="_Toc305158864"/>
      <w:bookmarkStart w:id="132" w:name="_Toc305158790"/>
      <w:bookmarkStart w:id="133" w:name="_Toc195842887"/>
      <w:bookmarkStart w:id="134" w:name="_Toc151193836"/>
      <w:bookmarkStart w:id="135" w:name="_Toc142311024"/>
      <w:bookmarkStart w:id="136" w:name="_Toc226965795"/>
      <w:bookmarkStart w:id="137" w:name="_Toc150480760"/>
      <w:bookmarkStart w:id="138" w:name="_Toc127151522"/>
      <w:bookmarkStart w:id="139" w:name="_Toc150774622"/>
      <w:bookmarkStart w:id="140" w:name="_Toc226309766"/>
    </w:p>
    <w:p>
      <w:pPr>
        <w:numPr>
          <w:ilvl w:val="1"/>
          <w:numId w:val="10"/>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pPr>
        <w:numPr>
          <w:ilvl w:val="0"/>
          <w:numId w:val="10"/>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10"/>
        </w:numPr>
        <w:tabs>
          <w:tab w:val="left" w:pos="1080"/>
          <w:tab w:val="left" w:pos="2014"/>
        </w:tabs>
        <w:snapToGrid w:val="0"/>
        <w:spacing w:line="360" w:lineRule="auto"/>
        <w:ind w:left="1080" w:hanging="720"/>
        <w:rPr>
          <w:sz w:val="24"/>
        </w:rPr>
      </w:pPr>
      <w:r>
        <w:rPr>
          <w:sz w:val="24"/>
        </w:rPr>
        <w:t>采购本国货物、工程和服务</w:t>
      </w:r>
    </w:p>
    <w:p>
      <w:pPr>
        <w:numPr>
          <w:ilvl w:val="2"/>
          <w:numId w:val="10"/>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10"/>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pPr>
        <w:numPr>
          <w:ilvl w:val="2"/>
          <w:numId w:val="10"/>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10"/>
        </w:numPr>
        <w:snapToGrid w:val="0"/>
        <w:spacing w:line="360" w:lineRule="auto"/>
        <w:rPr>
          <w:sz w:val="24"/>
        </w:rPr>
      </w:pPr>
      <w:r>
        <w:rPr>
          <w:sz w:val="24"/>
        </w:rPr>
        <w:t>中小企业定义：</w:t>
      </w:r>
    </w:p>
    <w:p>
      <w:pPr>
        <w:pStyle w:val="148"/>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148"/>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148"/>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148"/>
        <w:numPr>
          <w:ilvl w:val="0"/>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148"/>
        <w:numPr>
          <w:ilvl w:val="1"/>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148"/>
        <w:numPr>
          <w:ilvl w:val="1"/>
          <w:numId w:val="11"/>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pPr>
        <w:pStyle w:val="148"/>
        <w:numPr>
          <w:ilvl w:val="2"/>
          <w:numId w:val="11"/>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48"/>
        <w:numPr>
          <w:ilvl w:val="2"/>
          <w:numId w:val="11"/>
        </w:numPr>
        <w:tabs>
          <w:tab w:val="left" w:pos="2035"/>
          <w:tab w:val="left" w:pos="2977"/>
        </w:tabs>
        <w:snapToGrid w:val="0"/>
        <w:spacing w:line="360" w:lineRule="auto"/>
        <w:ind w:firstLineChars="0"/>
        <w:rPr>
          <w:rFonts w:ascii="Times New Roman" w:hAnsi="Times New Roman"/>
          <w:vanish/>
          <w:color w:val="000000"/>
          <w:sz w:val="24"/>
          <w:szCs w:val="24"/>
        </w:rPr>
      </w:pPr>
    </w:p>
    <w:p>
      <w:pPr>
        <w:pStyle w:val="148"/>
        <w:numPr>
          <w:ilvl w:val="2"/>
          <w:numId w:val="11"/>
        </w:numPr>
        <w:tabs>
          <w:tab w:val="left" w:pos="2035"/>
          <w:tab w:val="left" w:pos="2977"/>
        </w:tabs>
        <w:snapToGrid w:val="0"/>
        <w:spacing w:line="360" w:lineRule="auto"/>
        <w:ind w:firstLineChars="0"/>
        <w:rPr>
          <w:rFonts w:ascii="Times New Roman" w:hAnsi="Times New Roman"/>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sz w:val="24"/>
        </w:rPr>
      </w:pPr>
      <w:r>
        <w:rPr>
          <w:sz w:val="24"/>
        </w:rPr>
        <w:t>本项目是否专门面向中小企业预留采购份额见第一章《采购邀请》。</w:t>
      </w:r>
    </w:p>
    <w:p>
      <w:pPr>
        <w:numPr>
          <w:ilvl w:val="2"/>
          <w:numId w:val="10"/>
        </w:numPr>
        <w:snapToGrid w:val="0"/>
        <w:spacing w:line="360" w:lineRule="auto"/>
        <w:rPr>
          <w:sz w:val="24"/>
        </w:rPr>
      </w:pPr>
      <w:r>
        <w:rPr>
          <w:sz w:val="24"/>
        </w:rPr>
        <w:t>采购标的对应的中小企业划分标准所属行业见《供应商须知资料表》。</w:t>
      </w:r>
    </w:p>
    <w:p>
      <w:pPr>
        <w:numPr>
          <w:ilvl w:val="2"/>
          <w:numId w:val="10"/>
        </w:numPr>
        <w:snapToGrid w:val="0"/>
        <w:spacing w:line="360" w:lineRule="auto"/>
        <w:rPr>
          <w:sz w:val="24"/>
        </w:rPr>
      </w:pPr>
      <w:r>
        <w:rPr>
          <w:sz w:val="24"/>
        </w:rPr>
        <w:t>小微企业价格评审优惠的政策调整：见第三章《评审方法和评审标准》。</w:t>
      </w:r>
    </w:p>
    <w:p>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pPr>
        <w:numPr>
          <w:ilvl w:val="1"/>
          <w:numId w:val="10"/>
        </w:numPr>
        <w:tabs>
          <w:tab w:val="left" w:pos="1080"/>
          <w:tab w:val="left" w:pos="2014"/>
        </w:tabs>
        <w:snapToGrid w:val="0"/>
        <w:spacing w:line="360" w:lineRule="auto"/>
        <w:ind w:left="1080" w:hanging="720"/>
        <w:rPr>
          <w:sz w:val="24"/>
        </w:rPr>
      </w:pPr>
      <w:r>
        <w:rPr>
          <w:sz w:val="24"/>
        </w:rPr>
        <w:t>正版软件</w:t>
      </w:r>
    </w:p>
    <w:p>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sz w:val="24"/>
        </w:rPr>
      </w:pPr>
      <w:r>
        <w:rPr>
          <w:sz w:val="24"/>
        </w:rPr>
        <w:t>网络安全专用产品</w:t>
      </w:r>
    </w:p>
    <w:p>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10"/>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10"/>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pPr>
        <w:numPr>
          <w:ilvl w:val="1"/>
          <w:numId w:val="10"/>
        </w:numPr>
        <w:tabs>
          <w:tab w:val="left" w:pos="1080"/>
        </w:tabs>
        <w:snapToGrid w:val="0"/>
        <w:spacing w:line="360" w:lineRule="auto"/>
        <w:rPr>
          <w:sz w:val="24"/>
        </w:rPr>
      </w:pPr>
      <w:r>
        <w:rPr>
          <w:sz w:val="24"/>
        </w:rPr>
        <w:t>采购需求标准</w:t>
      </w:r>
    </w:p>
    <w:p>
      <w:pPr>
        <w:numPr>
          <w:ilvl w:val="2"/>
          <w:numId w:val="10"/>
        </w:numPr>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10"/>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41" w:name="_Hlk168431650"/>
      <w:r>
        <w:rPr>
          <w:rFonts w:hint="eastAsia"/>
          <w:sz w:val="24"/>
        </w:rPr>
        <w:t>财政部门会同有关部门制定发布的</w:t>
      </w:r>
      <w:bookmarkEnd w:id="141"/>
      <w:r>
        <w:rPr>
          <w:rFonts w:hint="eastAsia"/>
          <w:sz w:val="24"/>
        </w:rPr>
        <w:t>其他政府采购需求标准，</w:t>
      </w:r>
      <w:r>
        <w:rPr>
          <w:sz w:val="24"/>
        </w:rPr>
        <w:t>本项目如涉及，则具体要求见第四章《采购需求》。</w:t>
      </w:r>
    </w:p>
    <w:p>
      <w:pPr>
        <w:numPr>
          <w:ilvl w:val="1"/>
          <w:numId w:val="10"/>
        </w:numPr>
        <w:tabs>
          <w:tab w:val="left" w:pos="1080"/>
          <w:tab w:val="left" w:pos="2014"/>
        </w:tabs>
        <w:snapToGrid w:val="0"/>
        <w:spacing w:line="360" w:lineRule="auto"/>
        <w:ind w:left="1080" w:hanging="720"/>
        <w:rPr>
          <w:sz w:val="24"/>
        </w:rPr>
      </w:pPr>
      <w:r>
        <w:rPr>
          <w:rFonts w:ascii="宋体" w:hAnsi="宋体" w:cs="宋体"/>
          <w:sz w:val="24"/>
        </w:rPr>
        <w:t>强制性产品认证</w:t>
      </w:r>
    </w:p>
    <w:p>
      <w:pPr>
        <w:numPr>
          <w:ilvl w:val="2"/>
          <w:numId w:val="10"/>
        </w:numPr>
        <w:snapToGrid w:val="0"/>
        <w:spacing w:line="360" w:lineRule="auto"/>
        <w:rPr>
          <w:sz w:val="24"/>
        </w:rPr>
      </w:pPr>
      <w:r>
        <w:rPr>
          <w:sz w:val="24"/>
        </w:rPr>
        <w:t>如本项目采购产品属于</w:t>
      </w:r>
      <w:r>
        <w:rPr>
          <w:rFonts w:hint="eastAsia"/>
          <w:sz w:val="24"/>
        </w:rPr>
        <w:t>《强制性产品认证目录》</w:t>
      </w:r>
      <w:r>
        <w:rPr>
          <w:sz w:val="24"/>
        </w:rPr>
        <w:t>的产品，则</w:t>
      </w:r>
      <w:r>
        <w:rPr>
          <w:rFonts w:hint="eastAsia"/>
          <w:sz w:val="24"/>
        </w:rPr>
        <w:t>供应商</w:t>
      </w:r>
      <w:r>
        <w:rPr>
          <w:sz w:val="24"/>
        </w:rPr>
        <w:t>所报产品必须获得</w:t>
      </w:r>
      <w:r>
        <w:rPr>
          <w:rFonts w:hint="eastAsia"/>
          <w:sz w:val="24"/>
        </w:rPr>
        <w:t>经国家市场监督管理总局指定的认证机构</w:t>
      </w:r>
      <w:r>
        <w:rPr>
          <w:sz w:val="24"/>
        </w:rPr>
        <w:t>出具的、处于有效期之内的</w:t>
      </w:r>
      <w:r>
        <w:rPr>
          <w:rFonts w:hint="eastAsia" w:ascii="宋体" w:hAnsi="宋体" w:cs="宋体"/>
          <w:sz w:val="24"/>
        </w:rPr>
        <w:t>强制性产品认证证书</w:t>
      </w:r>
      <w:r>
        <w:rPr>
          <w:sz w:val="24"/>
        </w:rPr>
        <w:t>，</w:t>
      </w:r>
      <w:r>
        <w:rPr>
          <w:kern w:val="0"/>
          <w:sz w:val="24"/>
        </w:rPr>
        <w:t>否则</w:t>
      </w:r>
      <w:r>
        <w:rPr>
          <w:rFonts w:hint="eastAsia"/>
          <w:b/>
          <w:bCs/>
          <w:kern w:val="0"/>
          <w:sz w:val="24"/>
        </w:rPr>
        <w:t>响应</w:t>
      </w:r>
      <w:r>
        <w:rPr>
          <w:b/>
          <w:kern w:val="0"/>
          <w:sz w:val="24"/>
        </w:rPr>
        <w:t>无效</w:t>
      </w:r>
      <w:r>
        <w:rPr>
          <w:rFonts w:hint="eastAsia"/>
          <w:sz w:val="24"/>
        </w:rPr>
        <w:t>。</w:t>
      </w:r>
    </w:p>
    <w:p>
      <w:pPr>
        <w:numPr>
          <w:ilvl w:val="0"/>
          <w:numId w:val="10"/>
        </w:numPr>
        <w:tabs>
          <w:tab w:val="left" w:pos="360"/>
        </w:tabs>
        <w:snapToGrid w:val="0"/>
        <w:spacing w:line="360" w:lineRule="auto"/>
        <w:ind w:left="357" w:hanging="357"/>
        <w:outlineLvl w:val="1"/>
        <w:rPr>
          <w:sz w:val="24"/>
        </w:rPr>
      </w:pPr>
      <w:r>
        <w:rPr>
          <w:sz w:val="24"/>
        </w:rPr>
        <w:t>响应费用</w:t>
      </w:r>
    </w:p>
    <w:p>
      <w:pPr>
        <w:numPr>
          <w:ilvl w:val="1"/>
          <w:numId w:val="10"/>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sz w:val="28"/>
        </w:rPr>
      </w:pPr>
      <w:bookmarkStart w:id="142" w:name="_1.8_计量单位"/>
      <w:bookmarkEnd w:id="142"/>
    </w:p>
    <w:p>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numPr>
          <w:ilvl w:val="0"/>
          <w:numId w:val="10"/>
        </w:numPr>
        <w:tabs>
          <w:tab w:val="left" w:pos="360"/>
        </w:tabs>
        <w:snapToGrid w:val="0"/>
        <w:spacing w:line="360" w:lineRule="auto"/>
        <w:ind w:left="357" w:hanging="357"/>
        <w:outlineLvl w:val="1"/>
        <w:rPr>
          <w:sz w:val="24"/>
        </w:rPr>
      </w:pPr>
      <w:bookmarkStart w:id="143" w:name="_Toc151193765"/>
      <w:bookmarkStart w:id="144" w:name="_Toc226309767"/>
      <w:bookmarkStart w:id="145" w:name="_Toc164351617"/>
      <w:bookmarkStart w:id="146" w:name="_Toc164608792"/>
      <w:bookmarkStart w:id="147" w:name="_Toc127151523"/>
      <w:bookmarkStart w:id="148" w:name="_Toc520356147"/>
      <w:bookmarkStart w:id="149" w:name="_Toc164229218"/>
      <w:bookmarkStart w:id="150" w:name="_Toc151193621"/>
      <w:bookmarkStart w:id="151" w:name="_Toc226965713"/>
      <w:bookmarkStart w:id="152" w:name="_Toc150774728"/>
      <w:bookmarkStart w:id="153" w:name="_Toc305158865"/>
      <w:bookmarkStart w:id="154" w:name="_Toc264969213"/>
      <w:bookmarkStart w:id="155" w:name="_Toc150774623"/>
      <w:bookmarkStart w:id="156" w:name="_Toc127151724"/>
      <w:bookmarkStart w:id="157" w:name="_Toc226965796"/>
      <w:bookmarkStart w:id="158" w:name="_Toc149720816"/>
      <w:bookmarkStart w:id="159" w:name="_Toc151193911"/>
      <w:bookmarkStart w:id="160" w:name="_Toc127161437"/>
      <w:bookmarkStart w:id="161" w:name="_Toc164229364"/>
      <w:bookmarkStart w:id="162" w:name="_Toc226337219"/>
      <w:bookmarkStart w:id="163" w:name="_Toc151193837"/>
      <w:bookmarkStart w:id="164" w:name="_Toc142311025"/>
      <w:bookmarkStart w:id="165" w:name="_Toc195842888"/>
      <w:bookmarkStart w:id="166" w:name="_Toc265228361"/>
      <w:bookmarkStart w:id="167" w:name="_Toc305158791"/>
      <w:bookmarkStart w:id="168" w:name="_Toc151193693"/>
      <w:bookmarkStart w:id="169" w:name="_Toc150509274"/>
      <w:bookmarkStart w:id="170" w:name="_Toc150480761"/>
      <w:bookmarkStart w:id="171" w:name="_Toc164608637"/>
      <w:bookmarkStart w:id="172" w:name="_Toc151190150"/>
      <w:r>
        <w:rPr>
          <w:sz w:val="24"/>
        </w:rPr>
        <w:t>竞争性磋商文件构</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sz w:val="24"/>
        </w:rPr>
        <w:t>成</w:t>
      </w:r>
    </w:p>
    <w:p>
      <w:pPr>
        <w:numPr>
          <w:ilvl w:val="1"/>
          <w:numId w:val="10"/>
        </w:numPr>
        <w:tabs>
          <w:tab w:val="left" w:pos="1080"/>
          <w:tab w:val="left" w:pos="2014"/>
        </w:tabs>
        <w:snapToGrid w:val="0"/>
        <w:spacing w:line="360" w:lineRule="auto"/>
        <w:ind w:left="1080" w:hanging="720"/>
        <w:rPr>
          <w:sz w:val="24"/>
        </w:rPr>
      </w:pPr>
      <w:r>
        <w:rPr>
          <w:sz w:val="24"/>
        </w:rPr>
        <w:t>竞争性磋商文件包括以下部分：</w:t>
      </w:r>
    </w:p>
    <w:p>
      <w:pPr>
        <w:numPr>
          <w:ilvl w:val="0"/>
          <w:numId w:val="12"/>
        </w:numPr>
        <w:tabs>
          <w:tab w:val="left" w:pos="1980"/>
          <w:tab w:val="left" w:pos="2520"/>
        </w:tabs>
        <w:snapToGrid w:val="0"/>
        <w:spacing w:line="360" w:lineRule="auto"/>
        <w:ind w:left="1440" w:firstLine="5"/>
        <w:rPr>
          <w:sz w:val="24"/>
        </w:rPr>
      </w:pPr>
      <w:r>
        <w:rPr>
          <w:sz w:val="24"/>
        </w:rPr>
        <w:t>采购邀请</w:t>
      </w:r>
    </w:p>
    <w:p>
      <w:pPr>
        <w:numPr>
          <w:ilvl w:val="0"/>
          <w:numId w:val="12"/>
        </w:numPr>
        <w:tabs>
          <w:tab w:val="left" w:pos="1980"/>
          <w:tab w:val="left" w:pos="2520"/>
        </w:tabs>
        <w:snapToGrid w:val="0"/>
        <w:spacing w:line="360" w:lineRule="auto"/>
        <w:ind w:left="1440" w:firstLine="5"/>
        <w:rPr>
          <w:sz w:val="24"/>
        </w:rPr>
      </w:pPr>
      <w:r>
        <w:rPr>
          <w:sz w:val="24"/>
        </w:rPr>
        <w:t>供应商须知</w:t>
      </w:r>
    </w:p>
    <w:p>
      <w:pPr>
        <w:numPr>
          <w:ilvl w:val="0"/>
          <w:numId w:val="12"/>
        </w:numPr>
        <w:tabs>
          <w:tab w:val="left" w:pos="1980"/>
          <w:tab w:val="left" w:pos="2520"/>
        </w:tabs>
        <w:snapToGrid w:val="0"/>
        <w:spacing w:line="360" w:lineRule="auto"/>
        <w:ind w:left="1440" w:firstLine="5"/>
        <w:rPr>
          <w:sz w:val="24"/>
        </w:rPr>
      </w:pPr>
      <w:r>
        <w:rPr>
          <w:sz w:val="24"/>
        </w:rPr>
        <w:t>评审方法和评审标准</w:t>
      </w:r>
    </w:p>
    <w:p>
      <w:pPr>
        <w:numPr>
          <w:ilvl w:val="0"/>
          <w:numId w:val="12"/>
        </w:numPr>
        <w:tabs>
          <w:tab w:val="left" w:pos="1980"/>
          <w:tab w:val="left" w:pos="2520"/>
        </w:tabs>
        <w:snapToGrid w:val="0"/>
        <w:spacing w:line="360" w:lineRule="auto"/>
        <w:ind w:left="1440" w:firstLine="5"/>
        <w:rPr>
          <w:sz w:val="24"/>
        </w:rPr>
      </w:pPr>
      <w:r>
        <w:rPr>
          <w:sz w:val="24"/>
        </w:rPr>
        <w:t>采购需求</w:t>
      </w:r>
    </w:p>
    <w:p>
      <w:pPr>
        <w:numPr>
          <w:ilvl w:val="0"/>
          <w:numId w:val="12"/>
        </w:numPr>
        <w:tabs>
          <w:tab w:val="left" w:pos="1980"/>
          <w:tab w:val="left" w:pos="2520"/>
        </w:tabs>
        <w:snapToGrid w:val="0"/>
        <w:spacing w:line="360" w:lineRule="auto"/>
        <w:ind w:left="1440" w:firstLine="5"/>
        <w:rPr>
          <w:sz w:val="24"/>
        </w:rPr>
      </w:pPr>
      <w:r>
        <w:rPr>
          <w:sz w:val="24"/>
        </w:rPr>
        <w:t>合同草案条款</w:t>
      </w:r>
    </w:p>
    <w:p>
      <w:pPr>
        <w:numPr>
          <w:ilvl w:val="0"/>
          <w:numId w:val="12"/>
        </w:numPr>
        <w:tabs>
          <w:tab w:val="left" w:pos="1980"/>
          <w:tab w:val="left" w:pos="2520"/>
        </w:tabs>
        <w:snapToGrid w:val="0"/>
        <w:spacing w:line="360" w:lineRule="auto"/>
        <w:ind w:left="1440" w:firstLine="5"/>
        <w:rPr>
          <w:sz w:val="24"/>
        </w:rPr>
      </w:pPr>
      <w:r>
        <w:rPr>
          <w:sz w:val="24"/>
        </w:rPr>
        <w:t>响应文件格式</w:t>
      </w:r>
    </w:p>
    <w:p>
      <w:pPr>
        <w:numPr>
          <w:ilvl w:val="1"/>
          <w:numId w:val="10"/>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pPr>
        <w:numPr>
          <w:ilvl w:val="0"/>
          <w:numId w:val="10"/>
        </w:numPr>
        <w:tabs>
          <w:tab w:val="left" w:pos="1080"/>
          <w:tab w:val="left" w:pos="2014"/>
        </w:tabs>
        <w:snapToGrid w:val="0"/>
        <w:spacing w:line="360" w:lineRule="auto"/>
        <w:ind w:left="357" w:hanging="357"/>
        <w:outlineLvl w:val="1"/>
        <w:rPr>
          <w:sz w:val="24"/>
        </w:rPr>
      </w:pPr>
      <w:r>
        <w:rPr>
          <w:sz w:val="24"/>
        </w:rPr>
        <w:t>对竞争性磋商文件的澄清或修改</w:t>
      </w:r>
    </w:p>
    <w:p>
      <w:pPr>
        <w:numPr>
          <w:ilvl w:val="1"/>
          <w:numId w:val="10"/>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pPr>
        <w:tabs>
          <w:tab w:val="left" w:pos="1080"/>
          <w:tab w:val="left" w:pos="1561"/>
        </w:tabs>
        <w:snapToGrid w:val="0"/>
        <w:spacing w:line="360" w:lineRule="auto"/>
        <w:ind w:left="1080"/>
        <w:rPr>
          <w:sz w:val="28"/>
        </w:rPr>
      </w:pPr>
      <w:bookmarkStart w:id="173" w:name="_Toc516367020"/>
      <w:bookmarkStart w:id="174" w:name="_Toc150480764"/>
      <w:bookmarkStart w:id="175" w:name="_Toc520356150"/>
      <w:bookmarkStart w:id="176" w:name="_Toc127151526"/>
      <w:bookmarkStart w:id="177" w:name="_Toc151193624"/>
      <w:bookmarkStart w:id="178" w:name="_Toc226965716"/>
      <w:bookmarkStart w:id="179" w:name="_Toc150509277"/>
      <w:bookmarkStart w:id="180" w:name="_Toc226965799"/>
      <w:bookmarkStart w:id="181" w:name="_Toc265228364"/>
      <w:bookmarkStart w:id="182" w:name="_Toc151193768"/>
      <w:bookmarkStart w:id="183" w:name="_Toc226309770"/>
      <w:bookmarkStart w:id="184" w:name="_Toc151193840"/>
      <w:bookmarkStart w:id="185" w:name="_Toc151190153"/>
      <w:bookmarkStart w:id="186" w:name="_Toc264969216"/>
      <w:bookmarkStart w:id="187" w:name="_Toc226337222"/>
      <w:bookmarkStart w:id="188" w:name="_Toc142311028"/>
      <w:bookmarkStart w:id="189" w:name="_Toc151193696"/>
      <w:bookmarkStart w:id="190" w:name="_Toc151193914"/>
      <w:bookmarkStart w:id="191" w:name="_Toc305158794"/>
      <w:bookmarkStart w:id="192" w:name="_Toc150774626"/>
      <w:bookmarkStart w:id="193" w:name="_Toc195842891"/>
      <w:bookmarkStart w:id="194" w:name="_Toc305158868"/>
      <w:bookmarkStart w:id="195" w:name="_Toc150774731"/>
    </w:p>
    <w:p>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73"/>
      <w:r>
        <w:rPr>
          <w:rFonts w:ascii="Times New Roman" w:hAnsi="Times New Roman" w:eastAsia="宋体"/>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numPr>
          <w:ilvl w:val="0"/>
          <w:numId w:val="10"/>
        </w:numPr>
        <w:tabs>
          <w:tab w:val="left" w:pos="360"/>
        </w:tabs>
        <w:snapToGrid w:val="0"/>
        <w:spacing w:line="360" w:lineRule="auto"/>
        <w:ind w:left="357" w:hanging="357"/>
        <w:outlineLvl w:val="1"/>
        <w:rPr>
          <w:sz w:val="24"/>
        </w:rPr>
      </w:pPr>
      <w:bookmarkStart w:id="196" w:name="_Toc149720820"/>
      <w:bookmarkStart w:id="197" w:name="_Toc164229222"/>
      <w:bookmarkStart w:id="198" w:name="_Toc195842892"/>
      <w:bookmarkStart w:id="199" w:name="_Toc226309771"/>
      <w:bookmarkStart w:id="200" w:name="_Toc150480765"/>
      <w:bookmarkStart w:id="201" w:name="_Toc264969217"/>
      <w:bookmarkStart w:id="202" w:name="_Toc164351621"/>
      <w:bookmarkStart w:id="203" w:name="_Toc127151728"/>
      <w:bookmarkStart w:id="204" w:name="_Toc164608641"/>
      <w:bookmarkStart w:id="205" w:name="_Toc226337223"/>
      <w:bookmarkStart w:id="206" w:name="_Toc142311029"/>
      <w:bookmarkStart w:id="207" w:name="_Toc150774627"/>
      <w:bookmarkStart w:id="208" w:name="_Toc151193697"/>
      <w:bookmarkStart w:id="209" w:name="_Toc151193915"/>
      <w:bookmarkStart w:id="210" w:name="_Toc520356151"/>
      <w:bookmarkStart w:id="211" w:name="_Toc150509278"/>
      <w:bookmarkStart w:id="212" w:name="_Toc127161441"/>
      <w:bookmarkStart w:id="213" w:name="_Toc305158869"/>
      <w:bookmarkStart w:id="214" w:name="_Toc226965800"/>
      <w:bookmarkStart w:id="215" w:name="_Toc151193625"/>
      <w:bookmarkStart w:id="216" w:name="_Toc164608796"/>
      <w:bookmarkStart w:id="217" w:name="_Toc151193841"/>
      <w:bookmarkStart w:id="218" w:name="_Toc151190154"/>
      <w:bookmarkStart w:id="219" w:name="_Toc127151527"/>
      <w:bookmarkStart w:id="220" w:name="_Toc151193769"/>
      <w:bookmarkStart w:id="221" w:name="_Toc265228365"/>
      <w:bookmarkStart w:id="222" w:name="_Toc226965717"/>
      <w:bookmarkStart w:id="223" w:name="_Toc150774732"/>
      <w:bookmarkStart w:id="224" w:name="_Toc516367021"/>
      <w:bookmarkStart w:id="225" w:name="_Toc164229368"/>
      <w:bookmarkStart w:id="226" w:name="_Toc305158795"/>
      <w:r>
        <w:rPr>
          <w:sz w:val="24"/>
        </w:rPr>
        <w:t>响应范围、竞争性磋商文件中计量单位的使用</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sz w:val="24"/>
        </w:rPr>
        <w:t>及磋商语言</w:t>
      </w:r>
    </w:p>
    <w:p>
      <w:pPr>
        <w:numPr>
          <w:ilvl w:val="1"/>
          <w:numId w:val="10"/>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pPr>
        <w:numPr>
          <w:ilvl w:val="1"/>
          <w:numId w:val="10"/>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pPr>
        <w:numPr>
          <w:ilvl w:val="1"/>
          <w:numId w:val="10"/>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10"/>
        </w:numPr>
        <w:tabs>
          <w:tab w:val="left" w:pos="360"/>
        </w:tabs>
        <w:snapToGrid w:val="0"/>
        <w:spacing w:line="360" w:lineRule="auto"/>
        <w:ind w:left="357" w:hanging="357"/>
        <w:outlineLvl w:val="1"/>
        <w:rPr>
          <w:sz w:val="24"/>
        </w:rPr>
      </w:pPr>
      <w:bookmarkStart w:id="227" w:name="_Ref467306195"/>
      <w:bookmarkStart w:id="228" w:name="_Toc516367022"/>
      <w:bookmarkStart w:id="229" w:name="_Ref467306676"/>
      <w:bookmarkStart w:id="230" w:name="_Toc150774733"/>
      <w:bookmarkStart w:id="231" w:name="_Toc127151729"/>
      <w:bookmarkStart w:id="232" w:name="_Toc150480766"/>
      <w:bookmarkStart w:id="233" w:name="_Toc520356152"/>
      <w:bookmarkStart w:id="234" w:name="_Toc226337224"/>
      <w:bookmarkStart w:id="235" w:name="_Toc149720821"/>
      <w:bookmarkStart w:id="236" w:name="_Toc150509279"/>
      <w:bookmarkStart w:id="237" w:name="_Toc226965718"/>
      <w:bookmarkStart w:id="238" w:name="_Toc142311030"/>
      <w:bookmarkStart w:id="239" w:name="_Toc151193916"/>
      <w:bookmarkStart w:id="240" w:name="_Toc151193842"/>
      <w:bookmarkStart w:id="241" w:name="_Toc305158796"/>
      <w:bookmarkStart w:id="242" w:name="_Toc164229369"/>
      <w:bookmarkStart w:id="243" w:name="_Toc226309772"/>
      <w:bookmarkStart w:id="244" w:name="_Toc226965801"/>
      <w:bookmarkStart w:id="245" w:name="_Toc265228366"/>
      <w:bookmarkStart w:id="246" w:name="_Toc151193698"/>
      <w:bookmarkStart w:id="247" w:name="_Toc305158870"/>
      <w:bookmarkStart w:id="248" w:name="_Toc264969218"/>
      <w:bookmarkStart w:id="249" w:name="_Toc151190155"/>
      <w:bookmarkStart w:id="250" w:name="_Toc151193626"/>
      <w:bookmarkStart w:id="251" w:name="_Toc164351622"/>
      <w:bookmarkStart w:id="252" w:name="_Toc127151528"/>
      <w:bookmarkStart w:id="253" w:name="_Toc151193770"/>
      <w:bookmarkStart w:id="254" w:name="_Toc195842893"/>
      <w:bookmarkStart w:id="255" w:name="_Toc164229223"/>
      <w:bookmarkStart w:id="256" w:name="_Toc127161442"/>
      <w:bookmarkStart w:id="257" w:name="_Toc164608797"/>
      <w:bookmarkStart w:id="258" w:name="_Toc150774628"/>
      <w:bookmarkStart w:id="259" w:name="_Toc164608642"/>
      <w:r>
        <w:rPr>
          <w:sz w:val="24"/>
        </w:rPr>
        <w:t>响应文件</w:t>
      </w:r>
      <w:bookmarkEnd w:id="227"/>
      <w:bookmarkEnd w:id="228"/>
      <w:bookmarkEnd w:id="229"/>
      <w:r>
        <w:rPr>
          <w:sz w:val="24"/>
        </w:rPr>
        <w:t>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numPr>
          <w:ilvl w:val="1"/>
          <w:numId w:val="10"/>
        </w:numPr>
        <w:tabs>
          <w:tab w:val="left" w:pos="1080"/>
          <w:tab w:val="left" w:pos="2014"/>
        </w:tabs>
        <w:snapToGrid w:val="0"/>
        <w:spacing w:line="360" w:lineRule="auto"/>
        <w:ind w:left="1077" w:hanging="720"/>
        <w:rPr>
          <w:sz w:val="24"/>
        </w:rPr>
      </w:pPr>
      <w:bookmarkStart w:id="260"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pPr>
        <w:numPr>
          <w:ilvl w:val="1"/>
          <w:numId w:val="10"/>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numPr>
          <w:ilvl w:val="1"/>
          <w:numId w:val="10"/>
        </w:numPr>
        <w:tabs>
          <w:tab w:val="left" w:pos="1080"/>
          <w:tab w:val="left" w:pos="2014"/>
        </w:tabs>
        <w:snapToGrid w:val="0"/>
        <w:spacing w:line="360" w:lineRule="auto"/>
        <w:ind w:left="1077" w:hanging="720"/>
        <w:rPr>
          <w:sz w:val="24"/>
        </w:rPr>
      </w:pPr>
      <w:r>
        <w:rPr>
          <w:sz w:val="24"/>
        </w:rPr>
        <w:t>第三章《评审方法和评审标准》中涉及的证明文件。</w:t>
      </w:r>
    </w:p>
    <w:p>
      <w:pPr>
        <w:numPr>
          <w:ilvl w:val="1"/>
          <w:numId w:val="10"/>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10"/>
        </w:numPr>
        <w:tabs>
          <w:tab w:val="left" w:pos="1080"/>
          <w:tab w:val="left" w:pos="2014"/>
        </w:tabs>
        <w:snapToGrid w:val="0"/>
        <w:spacing w:line="360" w:lineRule="auto"/>
        <w:ind w:left="1077" w:hanging="720"/>
        <w:rPr>
          <w:sz w:val="24"/>
        </w:rPr>
      </w:pPr>
      <w:r>
        <w:rPr>
          <w:sz w:val="24"/>
        </w:rPr>
        <w:t>供应商认为应附的其他材料。</w:t>
      </w:r>
      <w:bookmarkEnd w:id="260"/>
    </w:p>
    <w:p>
      <w:pPr>
        <w:numPr>
          <w:ilvl w:val="0"/>
          <w:numId w:val="10"/>
        </w:numPr>
        <w:tabs>
          <w:tab w:val="left" w:pos="360"/>
        </w:tabs>
        <w:snapToGrid w:val="0"/>
        <w:spacing w:line="360" w:lineRule="auto"/>
        <w:ind w:left="357" w:hanging="357"/>
        <w:outlineLvl w:val="1"/>
        <w:rPr>
          <w:sz w:val="24"/>
        </w:rPr>
      </w:pPr>
      <w:bookmarkStart w:id="261" w:name="_Toc164229371"/>
      <w:bookmarkStart w:id="262" w:name="_Toc150509281"/>
      <w:bookmarkStart w:id="263" w:name="_Toc164229225"/>
      <w:bookmarkStart w:id="264" w:name="_Toc127161444"/>
      <w:bookmarkStart w:id="265" w:name="_Toc151193844"/>
      <w:bookmarkStart w:id="266" w:name="_Toc127151731"/>
      <w:bookmarkStart w:id="267" w:name="_Toc164608799"/>
      <w:bookmarkStart w:id="268" w:name="_Toc164351624"/>
      <w:bookmarkStart w:id="269" w:name="_Toc149720823"/>
      <w:bookmarkStart w:id="270" w:name="_Toc127151530"/>
      <w:bookmarkStart w:id="271" w:name="_Toc151193628"/>
      <w:bookmarkStart w:id="272" w:name="_Toc150774735"/>
      <w:bookmarkStart w:id="273" w:name="_Toc151193700"/>
      <w:bookmarkStart w:id="274" w:name="_Toc150774630"/>
      <w:bookmarkStart w:id="275" w:name="_Toc142311032"/>
      <w:bookmarkStart w:id="276" w:name="_Toc151190157"/>
      <w:bookmarkStart w:id="277" w:name="_Toc164608644"/>
      <w:bookmarkStart w:id="278" w:name="_Toc195842895"/>
      <w:bookmarkStart w:id="279" w:name="_Toc520356155"/>
      <w:bookmarkStart w:id="280" w:name="_Toc151193772"/>
      <w:bookmarkStart w:id="281" w:name="_Toc151193918"/>
      <w:bookmarkStart w:id="282" w:name="_Toc150480768"/>
      <w:r>
        <w:rPr>
          <w:sz w:val="24"/>
        </w:rPr>
        <w:t>报价</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numPr>
          <w:ilvl w:val="1"/>
          <w:numId w:val="10"/>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pPr>
        <w:numPr>
          <w:ilvl w:val="1"/>
          <w:numId w:val="10"/>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10"/>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0"/>
        </w:numPr>
        <w:snapToGrid w:val="0"/>
        <w:spacing w:line="360" w:lineRule="auto"/>
        <w:rPr>
          <w:sz w:val="24"/>
        </w:rPr>
      </w:pPr>
      <w:r>
        <w:rPr>
          <w:sz w:val="24"/>
        </w:rPr>
        <w:t>按照竞争性磋商文件要求完成本项目的全部相关费用。</w:t>
      </w:r>
    </w:p>
    <w:p>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pPr>
        <w:numPr>
          <w:ilvl w:val="0"/>
          <w:numId w:val="10"/>
        </w:numPr>
        <w:tabs>
          <w:tab w:val="left" w:pos="360"/>
        </w:tabs>
        <w:snapToGrid w:val="0"/>
        <w:spacing w:line="360" w:lineRule="auto"/>
        <w:ind w:left="357" w:hanging="357"/>
        <w:outlineLvl w:val="1"/>
        <w:rPr>
          <w:sz w:val="24"/>
        </w:rPr>
      </w:pPr>
      <w:r>
        <w:rPr>
          <w:sz w:val="24"/>
        </w:rPr>
        <w:t>磋商保证金</w:t>
      </w:r>
      <w:r>
        <w:rPr>
          <w:rFonts w:hint="eastAsia"/>
          <w:sz w:val="24"/>
        </w:rPr>
        <w:t>（本项目不涉及）</w:t>
      </w:r>
    </w:p>
    <w:p>
      <w:pPr>
        <w:numPr>
          <w:ilvl w:val="1"/>
          <w:numId w:val="10"/>
        </w:numPr>
        <w:tabs>
          <w:tab w:val="left" w:pos="1080"/>
          <w:tab w:val="left" w:pos="2014"/>
        </w:tabs>
        <w:snapToGrid w:val="0"/>
        <w:spacing w:line="360" w:lineRule="auto"/>
        <w:ind w:left="1077" w:hanging="720"/>
        <w:rPr>
          <w:sz w:val="24"/>
        </w:rPr>
      </w:pPr>
      <w:bookmarkStart w:id="283" w:name="_Ref467306302"/>
      <w:r>
        <w:rPr>
          <w:sz w:val="24"/>
        </w:rPr>
        <w:t>供应商应按《供应商须知资料表》中规定的金额及要求交纳磋商保证金</w:t>
      </w:r>
      <w:bookmarkEnd w:id="283"/>
      <w:r>
        <w:rPr>
          <w:sz w:val="24"/>
        </w:rPr>
        <w:t>。</w:t>
      </w:r>
      <w:r>
        <w:rPr>
          <w:rFonts w:hint="eastAsia"/>
          <w:sz w:val="24"/>
        </w:rPr>
        <w:t>供应商自愿超额缴纳磋商保证金的，响应文件不做无效处理。</w:t>
      </w:r>
    </w:p>
    <w:p>
      <w:pPr>
        <w:numPr>
          <w:ilvl w:val="1"/>
          <w:numId w:val="10"/>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pPr>
        <w:numPr>
          <w:ilvl w:val="1"/>
          <w:numId w:val="10"/>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284"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84"/>
      <w:r>
        <w:rPr>
          <w:rFonts w:hint="eastAsia"/>
          <w:sz w:val="24"/>
        </w:rPr>
        <w:t>未按上述要求缴纳保证金的</w:t>
      </w:r>
      <w:r>
        <w:rPr>
          <w:sz w:val="24"/>
        </w:rPr>
        <w:t>，其</w:t>
      </w:r>
      <w:r>
        <w:rPr>
          <w:b/>
          <w:sz w:val="24"/>
        </w:rPr>
        <w:t>响应无效</w:t>
      </w:r>
      <w:r>
        <w:rPr>
          <w:sz w:val="24"/>
        </w:rPr>
        <w:t>。</w:t>
      </w:r>
    </w:p>
    <w:p>
      <w:pPr>
        <w:numPr>
          <w:ilvl w:val="1"/>
          <w:numId w:val="10"/>
        </w:numPr>
        <w:tabs>
          <w:tab w:val="left" w:pos="1080"/>
          <w:tab w:val="left" w:pos="2014"/>
        </w:tabs>
        <w:snapToGrid w:val="0"/>
        <w:spacing w:line="360" w:lineRule="auto"/>
        <w:ind w:left="1077" w:hanging="720"/>
        <w:rPr>
          <w:sz w:val="24"/>
        </w:rPr>
      </w:pPr>
      <w:bookmarkStart w:id="285"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85"/>
    <w:p>
      <w:pPr>
        <w:numPr>
          <w:ilvl w:val="1"/>
          <w:numId w:val="10"/>
        </w:numPr>
        <w:tabs>
          <w:tab w:val="left" w:pos="1080"/>
          <w:tab w:val="left" w:pos="2014"/>
        </w:tabs>
        <w:snapToGrid w:val="0"/>
        <w:spacing w:line="360" w:lineRule="auto"/>
        <w:ind w:left="1077" w:hanging="720"/>
        <w:rPr>
          <w:sz w:val="24"/>
        </w:rPr>
      </w:pPr>
      <w:r>
        <w:rPr>
          <w:sz w:val="24"/>
        </w:rPr>
        <w:t>磋商保证金有效期同响应有效期。</w:t>
      </w:r>
    </w:p>
    <w:p>
      <w:pPr>
        <w:numPr>
          <w:ilvl w:val="1"/>
          <w:numId w:val="10"/>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pPr>
        <w:numPr>
          <w:ilvl w:val="1"/>
          <w:numId w:val="10"/>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10"/>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pPr>
        <w:numPr>
          <w:ilvl w:val="2"/>
          <w:numId w:val="10"/>
        </w:numPr>
        <w:snapToGrid w:val="0"/>
        <w:spacing w:line="360" w:lineRule="auto"/>
        <w:rPr>
          <w:sz w:val="24"/>
        </w:rPr>
      </w:pPr>
      <w:r>
        <w:rPr>
          <w:sz w:val="24"/>
        </w:rPr>
        <w:t>成交供应商的磋商保证金，在采购合同签订后5个工作日内退还成交供应商；</w:t>
      </w:r>
    </w:p>
    <w:p>
      <w:pPr>
        <w:numPr>
          <w:ilvl w:val="2"/>
          <w:numId w:val="10"/>
        </w:numPr>
        <w:snapToGrid w:val="0"/>
        <w:spacing w:line="360" w:lineRule="auto"/>
        <w:rPr>
          <w:sz w:val="24"/>
        </w:rPr>
      </w:pPr>
      <w:r>
        <w:rPr>
          <w:sz w:val="24"/>
        </w:rPr>
        <w:t>未成交供应商的磋商保证金，在成交通知书发出后5个工作日内退还。</w:t>
      </w:r>
    </w:p>
    <w:p>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pPr>
        <w:numPr>
          <w:ilvl w:val="2"/>
          <w:numId w:val="10"/>
        </w:numPr>
        <w:snapToGrid w:val="0"/>
        <w:spacing w:line="360" w:lineRule="auto"/>
        <w:rPr>
          <w:sz w:val="24"/>
        </w:rPr>
      </w:pPr>
      <w:r>
        <w:rPr>
          <w:sz w:val="24"/>
        </w:rPr>
        <w:t>供应商在响应文件提交截止时间后撤回响应文件的；</w:t>
      </w:r>
    </w:p>
    <w:p>
      <w:pPr>
        <w:numPr>
          <w:ilvl w:val="2"/>
          <w:numId w:val="10"/>
        </w:numPr>
        <w:snapToGrid w:val="0"/>
        <w:spacing w:line="360" w:lineRule="auto"/>
        <w:rPr>
          <w:sz w:val="24"/>
        </w:rPr>
      </w:pPr>
      <w:r>
        <w:rPr>
          <w:sz w:val="24"/>
        </w:rPr>
        <w:t>供应商在响应文件中提供虚假材料的；</w:t>
      </w:r>
    </w:p>
    <w:p>
      <w:pPr>
        <w:numPr>
          <w:ilvl w:val="2"/>
          <w:numId w:val="10"/>
        </w:numPr>
        <w:snapToGrid w:val="0"/>
        <w:spacing w:line="360" w:lineRule="auto"/>
        <w:rPr>
          <w:sz w:val="24"/>
        </w:rPr>
      </w:pPr>
      <w:r>
        <w:rPr>
          <w:sz w:val="24"/>
        </w:rPr>
        <w:t>除因不可抗力或磋商文件认可的情形以外，成交供应商不与采购人签订合同的；</w:t>
      </w:r>
    </w:p>
    <w:p>
      <w:pPr>
        <w:numPr>
          <w:ilvl w:val="2"/>
          <w:numId w:val="10"/>
        </w:numPr>
        <w:snapToGrid w:val="0"/>
        <w:spacing w:line="360" w:lineRule="auto"/>
        <w:rPr>
          <w:sz w:val="24"/>
        </w:rPr>
      </w:pPr>
      <w:r>
        <w:rPr>
          <w:sz w:val="24"/>
        </w:rPr>
        <w:t>供应商与采购人、其他供应商或者采购代理机构恶意串通的；</w:t>
      </w:r>
    </w:p>
    <w:p>
      <w:pPr>
        <w:numPr>
          <w:ilvl w:val="2"/>
          <w:numId w:val="10"/>
        </w:numPr>
        <w:snapToGrid w:val="0"/>
        <w:spacing w:line="360" w:lineRule="auto"/>
        <w:rPr>
          <w:sz w:val="24"/>
        </w:rPr>
      </w:pPr>
      <w:r>
        <w:rPr>
          <w:sz w:val="24"/>
        </w:rPr>
        <w:t>《供应商须知资料表》规定的其他情形。</w:t>
      </w:r>
    </w:p>
    <w:p>
      <w:pPr>
        <w:numPr>
          <w:ilvl w:val="0"/>
          <w:numId w:val="10"/>
        </w:numPr>
        <w:tabs>
          <w:tab w:val="left" w:pos="360"/>
        </w:tabs>
        <w:snapToGrid w:val="0"/>
        <w:spacing w:line="360" w:lineRule="auto"/>
        <w:ind w:left="357" w:hanging="357"/>
        <w:outlineLvl w:val="1"/>
        <w:rPr>
          <w:sz w:val="24"/>
        </w:rPr>
      </w:pPr>
      <w:r>
        <w:rPr>
          <w:sz w:val="24"/>
        </w:rPr>
        <w:t>响应有效期</w:t>
      </w:r>
    </w:p>
    <w:p>
      <w:pPr>
        <w:numPr>
          <w:ilvl w:val="1"/>
          <w:numId w:val="10"/>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pPr>
        <w:numPr>
          <w:ilvl w:val="0"/>
          <w:numId w:val="10"/>
        </w:numPr>
        <w:tabs>
          <w:tab w:val="left" w:pos="360"/>
        </w:tabs>
        <w:snapToGrid w:val="0"/>
        <w:spacing w:line="360" w:lineRule="auto"/>
        <w:ind w:left="357" w:hanging="357"/>
        <w:outlineLvl w:val="1"/>
        <w:rPr>
          <w:sz w:val="24"/>
        </w:rPr>
      </w:pPr>
      <w:bookmarkStart w:id="286" w:name="_Toc264969223"/>
      <w:bookmarkStart w:id="287" w:name="_Toc127161447"/>
      <w:bookmarkStart w:id="288" w:name="_Toc151193921"/>
      <w:bookmarkStart w:id="289" w:name="_Toc164351627"/>
      <w:bookmarkStart w:id="290" w:name="_Toc265228371"/>
      <w:bookmarkStart w:id="291" w:name="_Toc142311035"/>
      <w:bookmarkStart w:id="292" w:name="_Toc226309777"/>
      <w:bookmarkStart w:id="293" w:name="_Toc195842898"/>
      <w:bookmarkStart w:id="294" w:name="_Toc226337229"/>
      <w:bookmarkStart w:id="295" w:name="_Toc151193847"/>
      <w:bookmarkStart w:id="296" w:name="_Toc226965723"/>
      <w:bookmarkStart w:id="297" w:name="_Toc150480771"/>
      <w:bookmarkStart w:id="298" w:name="_Toc226965806"/>
      <w:bookmarkStart w:id="299" w:name="_Toc150509284"/>
      <w:bookmarkStart w:id="300" w:name="_Toc150774633"/>
      <w:bookmarkStart w:id="301" w:name="_Toc151193631"/>
      <w:bookmarkStart w:id="302" w:name="_Toc164229374"/>
      <w:bookmarkStart w:id="303" w:name="_Toc520356158"/>
      <w:bookmarkStart w:id="304" w:name="_Toc151193703"/>
      <w:bookmarkStart w:id="305" w:name="_Toc164608802"/>
      <w:bookmarkStart w:id="306" w:name="_Toc164608647"/>
      <w:bookmarkStart w:id="307" w:name="_Toc150774738"/>
      <w:bookmarkStart w:id="308" w:name="_Toc127151533"/>
      <w:bookmarkStart w:id="309" w:name="_Toc164229228"/>
      <w:bookmarkStart w:id="310" w:name="_Toc149720826"/>
      <w:bookmarkStart w:id="311" w:name="_Toc305158801"/>
      <w:bookmarkStart w:id="312" w:name="_Toc151193775"/>
      <w:bookmarkStart w:id="313" w:name="_Toc305158875"/>
      <w:bookmarkStart w:id="314" w:name="_Toc127151734"/>
      <w:bookmarkStart w:id="315" w:name="_Toc151190160"/>
      <w:r>
        <w:rPr>
          <w:sz w:val="24"/>
        </w:rPr>
        <w:t>响应文件的签署</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sz w:val="24"/>
        </w:rPr>
        <w:t>、盖章</w:t>
      </w:r>
    </w:p>
    <w:p>
      <w:pPr>
        <w:numPr>
          <w:ilvl w:val="1"/>
          <w:numId w:val="10"/>
        </w:numPr>
        <w:tabs>
          <w:tab w:val="left" w:pos="1080"/>
        </w:tabs>
        <w:snapToGrid w:val="0"/>
        <w:spacing w:line="360" w:lineRule="auto"/>
        <w:rPr>
          <w:sz w:val="24"/>
        </w:rPr>
      </w:pPr>
      <w:bookmarkStart w:id="316" w:name="_Toc520356159"/>
      <w:bookmarkStart w:id="317" w:name="_Toc151190161"/>
      <w:bookmarkStart w:id="318" w:name="_Toc305158876"/>
      <w:bookmarkStart w:id="319" w:name="_Toc142311036"/>
      <w:bookmarkStart w:id="320" w:name="_Toc226965724"/>
      <w:bookmarkStart w:id="321" w:name="_Toc150774739"/>
      <w:bookmarkStart w:id="322" w:name="_Toc150480772"/>
      <w:bookmarkStart w:id="323" w:name="_Toc265228372"/>
      <w:bookmarkStart w:id="324" w:name="_Toc195842899"/>
      <w:bookmarkStart w:id="325" w:name="_Toc151193776"/>
      <w:bookmarkStart w:id="326" w:name="_Toc151193704"/>
      <w:bookmarkStart w:id="327" w:name="_Toc305158802"/>
      <w:bookmarkStart w:id="328" w:name="_Toc264969224"/>
      <w:bookmarkStart w:id="329" w:name="_Toc127151534"/>
      <w:bookmarkStart w:id="330" w:name="_Toc226337230"/>
      <w:bookmarkStart w:id="331" w:name="_Toc151193922"/>
      <w:bookmarkStart w:id="332" w:name="_Toc226965807"/>
      <w:bookmarkStart w:id="333" w:name="_Toc151193848"/>
      <w:bookmarkStart w:id="334" w:name="_Toc150774634"/>
      <w:bookmarkStart w:id="335" w:name="_Toc226309778"/>
      <w:bookmarkStart w:id="336" w:name="_Toc150509285"/>
      <w:bookmarkStart w:id="337" w:name="_Toc151193632"/>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pPr>
        <w:numPr>
          <w:ilvl w:val="1"/>
          <w:numId w:val="10"/>
        </w:numPr>
        <w:tabs>
          <w:tab w:val="left" w:pos="1080"/>
          <w:tab w:val="left" w:pos="2014"/>
        </w:tabs>
        <w:snapToGrid w:val="0"/>
        <w:spacing w:line="360" w:lineRule="auto"/>
        <w:ind w:left="1077" w:hanging="720"/>
        <w:rPr>
          <w:sz w:val="24"/>
        </w:rPr>
      </w:pPr>
      <w:r>
        <w:rPr>
          <w:sz w:val="24"/>
        </w:rPr>
        <w:t>竞争性磋商文件要求盖章的内容，一般通过</w:t>
      </w:r>
      <w:r>
        <w:rPr>
          <w:rFonts w:hint="eastAsia"/>
          <w:sz w:val="24"/>
        </w:rPr>
        <w:t>响应文件</w:t>
      </w:r>
      <w:r>
        <w:rPr>
          <w:sz w:val="24"/>
        </w:rPr>
        <w:t>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numPr>
          <w:ilvl w:val="0"/>
          <w:numId w:val="10"/>
        </w:numPr>
        <w:tabs>
          <w:tab w:val="left" w:pos="360"/>
        </w:tabs>
        <w:snapToGrid w:val="0"/>
        <w:spacing w:line="360" w:lineRule="auto"/>
        <w:ind w:left="357" w:hanging="357"/>
        <w:outlineLvl w:val="1"/>
        <w:rPr>
          <w:sz w:val="24"/>
        </w:rPr>
      </w:pPr>
      <w:bookmarkStart w:id="338" w:name="_Toc151193849"/>
      <w:bookmarkStart w:id="339" w:name="_Toc305158877"/>
      <w:bookmarkStart w:id="340" w:name="_Toc164608804"/>
      <w:bookmarkStart w:id="341" w:name="_Toc151190162"/>
      <w:bookmarkStart w:id="342" w:name="_Toc226965808"/>
      <w:bookmarkStart w:id="343" w:name="_Toc195842900"/>
      <w:bookmarkStart w:id="344" w:name="_Toc305158803"/>
      <w:bookmarkStart w:id="345" w:name="_Toc151193633"/>
      <w:bookmarkStart w:id="346" w:name="_Toc164351629"/>
      <w:bookmarkStart w:id="347" w:name="_Toc226337231"/>
      <w:bookmarkStart w:id="348" w:name="_Toc150774740"/>
      <w:bookmarkStart w:id="349" w:name="_Toc164229376"/>
      <w:bookmarkStart w:id="350" w:name="_Toc226965725"/>
      <w:bookmarkStart w:id="351" w:name="_Toc164608649"/>
      <w:bookmarkStart w:id="352" w:name="_Toc127151736"/>
      <w:bookmarkStart w:id="353" w:name="_Toc226309779"/>
      <w:bookmarkStart w:id="354" w:name="_Toc142311037"/>
      <w:bookmarkStart w:id="355" w:name="_Toc265228373"/>
      <w:bookmarkStart w:id="356" w:name="_Toc264969225"/>
      <w:bookmarkStart w:id="357" w:name="_Toc520356160"/>
      <w:bookmarkStart w:id="358" w:name="_Toc150774635"/>
      <w:bookmarkStart w:id="359" w:name="_Toc164229230"/>
      <w:bookmarkStart w:id="360" w:name="_Toc151193705"/>
      <w:bookmarkStart w:id="361" w:name="_Toc149720828"/>
      <w:bookmarkStart w:id="362" w:name="_Toc150509286"/>
      <w:bookmarkStart w:id="363" w:name="_Toc150480773"/>
      <w:bookmarkStart w:id="364" w:name="_Toc127161449"/>
      <w:bookmarkStart w:id="365" w:name="_Toc151193923"/>
      <w:bookmarkStart w:id="366" w:name="_Toc151193777"/>
      <w:bookmarkStart w:id="367" w:name="_Toc127151535"/>
      <w:r>
        <w:rPr>
          <w:sz w:val="24"/>
        </w:rPr>
        <w:t>响应文件的</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sz w:val="24"/>
        </w:rPr>
        <w:t>提交</w:t>
      </w:r>
    </w:p>
    <w:p>
      <w:pPr>
        <w:numPr>
          <w:ilvl w:val="1"/>
          <w:numId w:val="10"/>
        </w:numPr>
        <w:tabs>
          <w:tab w:val="left" w:pos="1080"/>
          <w:tab w:val="left" w:pos="2014"/>
        </w:tabs>
        <w:snapToGrid w:val="0"/>
        <w:spacing w:line="360" w:lineRule="auto"/>
        <w:ind w:left="1077" w:hanging="720"/>
        <w:rPr>
          <w:sz w:val="24"/>
        </w:rPr>
      </w:pPr>
      <w:r>
        <w:rPr>
          <w:sz w:val="24"/>
        </w:rPr>
        <w:t>本项目使用</w:t>
      </w:r>
      <w:r>
        <w:rPr>
          <w:rFonts w:hint="eastAsia"/>
          <w:sz w:val="24"/>
        </w:rPr>
        <w:t>北京市公共资源交易中心政府采购全流程电子化招投标系统</w:t>
      </w:r>
      <w:r>
        <w:rPr>
          <w:sz w:val="24"/>
        </w:rPr>
        <w:t>。供应商根据竞争性磋商文件及</w:t>
      </w:r>
      <w:r>
        <w:rPr>
          <w:rFonts w:hint="eastAsia"/>
          <w:sz w:val="24"/>
        </w:rPr>
        <w:t>北京市公共资源交易中心政府采购全流程电子化招投标系统</w:t>
      </w:r>
      <w:r>
        <w:rPr>
          <w:sz w:val="24"/>
        </w:rPr>
        <w:t>供应商操作手册要求编制、生成并提交电子响应文件。</w:t>
      </w:r>
    </w:p>
    <w:p>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w:t>
      </w:r>
      <w:r>
        <w:rPr>
          <w:rFonts w:hint="eastAsia"/>
          <w:sz w:val="24"/>
        </w:rPr>
        <w:t>北京市公共资源交易中心政府采购全流程电子化招投标系统</w:t>
      </w:r>
      <w:r>
        <w:rPr>
          <w:sz w:val="24"/>
        </w:rPr>
        <w:t>以外任何形式提交的响应文件，磋商保证金除外。</w:t>
      </w:r>
    </w:p>
    <w:p>
      <w:pPr>
        <w:numPr>
          <w:ilvl w:val="0"/>
          <w:numId w:val="10"/>
        </w:numPr>
        <w:tabs>
          <w:tab w:val="left" w:pos="360"/>
        </w:tabs>
        <w:snapToGrid w:val="0"/>
        <w:spacing w:line="360" w:lineRule="auto"/>
        <w:ind w:left="357" w:hanging="357"/>
        <w:outlineLvl w:val="1"/>
        <w:rPr>
          <w:sz w:val="24"/>
        </w:rPr>
      </w:pPr>
      <w:bookmarkStart w:id="368" w:name="_Toc151193778"/>
      <w:bookmarkStart w:id="369" w:name="_Toc127151737"/>
      <w:bookmarkStart w:id="370" w:name="_Toc149720829"/>
      <w:bookmarkStart w:id="371" w:name="_Toc127151536"/>
      <w:bookmarkStart w:id="372" w:name="_Toc226309780"/>
      <w:bookmarkStart w:id="373" w:name="_Toc127161450"/>
      <w:bookmarkStart w:id="374" w:name="_Toc151193850"/>
      <w:bookmarkStart w:id="375" w:name="_Toc226337232"/>
      <w:bookmarkStart w:id="376" w:name="_Toc195842901"/>
      <w:bookmarkStart w:id="377" w:name="_Toc151193634"/>
      <w:bookmarkStart w:id="378" w:name="_Toc150480774"/>
      <w:bookmarkStart w:id="379" w:name="_Toc151193924"/>
      <w:bookmarkStart w:id="380" w:name="_Toc265228374"/>
      <w:bookmarkStart w:id="381" w:name="_Toc164229377"/>
      <w:bookmarkStart w:id="382" w:name="_Toc305158804"/>
      <w:bookmarkStart w:id="383" w:name="_Toc226965809"/>
      <w:bookmarkStart w:id="384" w:name="_Toc520356161"/>
      <w:bookmarkStart w:id="385" w:name="_Toc226965726"/>
      <w:bookmarkStart w:id="386" w:name="_Toc150774741"/>
      <w:bookmarkStart w:id="387" w:name="_Toc151190163"/>
      <w:bookmarkStart w:id="388" w:name="_Toc305158878"/>
      <w:bookmarkStart w:id="389" w:name="_Toc164351630"/>
      <w:bookmarkStart w:id="390" w:name="_Toc164608650"/>
      <w:bookmarkStart w:id="391" w:name="_Toc142311038"/>
      <w:bookmarkStart w:id="392" w:name="_Toc151193706"/>
      <w:bookmarkStart w:id="393" w:name="_Toc164608805"/>
      <w:bookmarkStart w:id="394" w:name="_Toc150509287"/>
      <w:bookmarkStart w:id="395" w:name="_Toc164229231"/>
      <w:bookmarkStart w:id="396" w:name="_Toc264969226"/>
      <w:bookmarkStart w:id="397" w:name="_Toc150774636"/>
      <w:r>
        <w:rPr>
          <w:sz w:val="24"/>
        </w:rPr>
        <w:t>响应文件提交截止</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时间</w:t>
      </w:r>
    </w:p>
    <w:p>
      <w:pPr>
        <w:numPr>
          <w:ilvl w:val="1"/>
          <w:numId w:val="10"/>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w:t>
      </w:r>
      <w:r>
        <w:rPr>
          <w:rFonts w:hint="eastAsia"/>
          <w:sz w:val="24"/>
        </w:rPr>
        <w:t>北京市公共资源交易中心政府采购全流程电子化招投标系统</w:t>
      </w:r>
      <w:r>
        <w:rPr>
          <w:sz w:val="24"/>
        </w:rPr>
        <w:t>。</w:t>
      </w:r>
    </w:p>
    <w:p>
      <w:pPr>
        <w:numPr>
          <w:ilvl w:val="0"/>
          <w:numId w:val="10"/>
        </w:numPr>
        <w:tabs>
          <w:tab w:val="left" w:pos="360"/>
        </w:tabs>
        <w:snapToGrid w:val="0"/>
        <w:spacing w:line="360" w:lineRule="auto"/>
        <w:ind w:left="357" w:hanging="357"/>
        <w:outlineLvl w:val="1"/>
        <w:rPr>
          <w:sz w:val="24"/>
        </w:rPr>
      </w:pPr>
      <w:bookmarkStart w:id="398" w:name="_Toc127151537"/>
      <w:bookmarkStart w:id="399" w:name="_Toc142311039"/>
      <w:bookmarkStart w:id="400" w:name="_Toc151193707"/>
      <w:bookmarkStart w:id="401" w:name="_Toc151193635"/>
      <w:bookmarkStart w:id="402" w:name="_Toc305158879"/>
      <w:bookmarkStart w:id="403" w:name="_Toc226309781"/>
      <w:bookmarkStart w:id="404" w:name="_Toc305158805"/>
      <w:bookmarkStart w:id="405" w:name="_Toc164351631"/>
      <w:bookmarkStart w:id="406" w:name="_Toc150774637"/>
      <w:bookmarkStart w:id="407" w:name="_Toc264969227"/>
      <w:bookmarkStart w:id="408" w:name="_Toc226337233"/>
      <w:bookmarkStart w:id="409" w:name="_Toc151193779"/>
      <w:bookmarkStart w:id="410" w:name="_Toc151193925"/>
      <w:bookmarkStart w:id="411" w:name="_Toc164229232"/>
      <w:bookmarkStart w:id="412" w:name="_Toc164608651"/>
      <w:bookmarkStart w:id="413" w:name="_Toc149720830"/>
      <w:bookmarkStart w:id="414" w:name="_Toc195842902"/>
      <w:bookmarkStart w:id="415" w:name="_Toc226965810"/>
      <w:bookmarkStart w:id="416" w:name="_Toc164608806"/>
      <w:bookmarkStart w:id="417" w:name="_Toc226965727"/>
      <w:bookmarkStart w:id="418" w:name="_Toc265228375"/>
      <w:bookmarkStart w:id="419" w:name="_Toc127151738"/>
      <w:bookmarkStart w:id="420" w:name="_Toc520356162"/>
      <w:bookmarkStart w:id="421" w:name="_Toc150774742"/>
      <w:bookmarkStart w:id="422" w:name="_Toc127161451"/>
      <w:bookmarkStart w:id="423" w:name="_Toc150509288"/>
      <w:bookmarkStart w:id="424" w:name="_Toc164229378"/>
      <w:bookmarkStart w:id="425" w:name="_Toc151190164"/>
      <w:bookmarkStart w:id="426" w:name="_Toc150480775"/>
      <w:bookmarkStart w:id="427" w:name="_Toc151193851"/>
      <w:r>
        <w:rPr>
          <w:sz w:val="24"/>
        </w:rPr>
        <w:t>响应文件的修改与撤回</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numPr>
          <w:ilvl w:val="1"/>
          <w:numId w:val="10"/>
        </w:numPr>
        <w:tabs>
          <w:tab w:val="left" w:pos="1080"/>
          <w:tab w:val="left" w:pos="2014"/>
        </w:tabs>
        <w:snapToGrid w:val="0"/>
        <w:spacing w:line="360" w:lineRule="auto"/>
        <w:ind w:left="1077" w:hanging="720"/>
        <w:rPr>
          <w:sz w:val="24"/>
        </w:rPr>
      </w:pPr>
      <w:r>
        <w:rPr>
          <w:sz w:val="24"/>
        </w:rPr>
        <w:t>响应文件提交截止时间前，供应商可以通过</w:t>
      </w:r>
      <w:r>
        <w:rPr>
          <w:rFonts w:hint="eastAsia"/>
          <w:sz w:val="24"/>
        </w:rPr>
        <w:t>北京市公共资源交易中心政府采购全流程电子化招投标系统</w:t>
      </w:r>
      <w:r>
        <w:rPr>
          <w:sz w:val="24"/>
        </w:rPr>
        <w:t>对所提交的响应文件进行补充、修改或者撤回。</w:t>
      </w:r>
      <w:r>
        <w:rPr>
          <w:color w:val="000000"/>
          <w:sz w:val="24"/>
        </w:rPr>
        <w:t>磋商保证金的补充、修改或者撤回</w:t>
      </w:r>
      <w:r>
        <w:rPr>
          <w:sz w:val="24"/>
        </w:rPr>
        <w:t>无需通过</w:t>
      </w:r>
      <w:r>
        <w:rPr>
          <w:rFonts w:hint="eastAsia"/>
          <w:sz w:val="24"/>
        </w:rPr>
        <w:t>北京市公共资源交易中心政府采购全流程电子化招投标系统</w:t>
      </w:r>
      <w:r>
        <w:rPr>
          <w:sz w:val="24"/>
        </w:rPr>
        <w:t>，但应就其补充、修改或者撤回通知采购人或采购代理机构</w:t>
      </w:r>
      <w:r>
        <w:rPr>
          <w:color w:val="000000"/>
          <w:sz w:val="24"/>
        </w:rPr>
        <w:t>。</w:t>
      </w:r>
    </w:p>
    <w:p>
      <w:pPr>
        <w:numPr>
          <w:ilvl w:val="1"/>
          <w:numId w:val="10"/>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pPr>
        <w:tabs>
          <w:tab w:val="left" w:pos="900"/>
          <w:tab w:val="left" w:pos="1080"/>
          <w:tab w:val="left" w:pos="1589"/>
        </w:tabs>
        <w:snapToGrid w:val="0"/>
        <w:spacing w:line="360" w:lineRule="auto"/>
        <w:ind w:left="357"/>
        <w:rPr>
          <w:sz w:val="24"/>
        </w:rPr>
      </w:pPr>
    </w:p>
    <w:p>
      <w:pPr>
        <w:pStyle w:val="4"/>
        <w:spacing w:before="0" w:line="360" w:lineRule="auto"/>
        <w:rPr>
          <w:rFonts w:ascii="Times New Roman" w:hAnsi="Times New Roman" w:eastAsia="宋体"/>
          <w:sz w:val="28"/>
        </w:rPr>
      </w:pPr>
      <w:bookmarkStart w:id="428" w:name="_Toc305158806"/>
      <w:bookmarkStart w:id="429" w:name="_Toc150509289"/>
      <w:bookmarkStart w:id="430" w:name="_Toc520356163"/>
      <w:bookmarkStart w:id="431" w:name="_Toc127151538"/>
      <w:bookmarkStart w:id="432" w:name="_Toc150774743"/>
      <w:bookmarkStart w:id="433" w:name="_Toc195842903"/>
      <w:bookmarkStart w:id="434" w:name="_Toc151193780"/>
      <w:bookmarkStart w:id="435" w:name="_Toc151190165"/>
      <w:bookmarkStart w:id="436" w:name="_Toc150774638"/>
      <w:bookmarkStart w:id="437" w:name="_Toc226965728"/>
      <w:bookmarkStart w:id="438" w:name="_Toc264969228"/>
      <w:bookmarkStart w:id="439" w:name="_Toc151193852"/>
      <w:bookmarkStart w:id="440" w:name="_Toc151193926"/>
      <w:bookmarkStart w:id="441" w:name="_Toc142311040"/>
      <w:bookmarkStart w:id="442" w:name="_Toc226965811"/>
      <w:bookmarkStart w:id="443" w:name="_Toc150480776"/>
      <w:bookmarkStart w:id="444" w:name="_Toc305158880"/>
      <w:bookmarkStart w:id="445" w:name="_Toc226337234"/>
      <w:bookmarkStart w:id="446" w:name="_Toc226309782"/>
      <w:bookmarkStart w:id="447" w:name="_Toc151193708"/>
      <w:bookmarkStart w:id="448" w:name="_Toc265228376"/>
      <w:bookmarkStart w:id="449" w:name="_Toc151193636"/>
      <w:r>
        <w:rPr>
          <w:rFonts w:ascii="Times New Roman" w:hAnsi="Times New Roman" w:eastAsia="宋体"/>
          <w:sz w:val="28"/>
        </w:rPr>
        <w:t xml:space="preserve">五   </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评审</w:t>
      </w:r>
    </w:p>
    <w:p>
      <w:pPr>
        <w:numPr>
          <w:ilvl w:val="0"/>
          <w:numId w:val="10"/>
        </w:numPr>
        <w:tabs>
          <w:tab w:val="left" w:pos="360"/>
        </w:tabs>
        <w:snapToGrid w:val="0"/>
        <w:spacing w:line="360" w:lineRule="auto"/>
        <w:ind w:left="357" w:hanging="357"/>
        <w:outlineLvl w:val="1"/>
        <w:rPr>
          <w:sz w:val="24"/>
        </w:rPr>
      </w:pPr>
      <w:r>
        <w:rPr>
          <w:sz w:val="24"/>
        </w:rPr>
        <w:t>响应文件的解密与开启</w:t>
      </w:r>
    </w:p>
    <w:p>
      <w:pPr>
        <w:numPr>
          <w:ilvl w:val="1"/>
          <w:numId w:val="10"/>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pPr>
        <w:numPr>
          <w:ilvl w:val="1"/>
          <w:numId w:val="10"/>
        </w:numPr>
        <w:tabs>
          <w:tab w:val="left" w:pos="1080"/>
          <w:tab w:val="left" w:pos="2014"/>
        </w:tabs>
        <w:snapToGrid w:val="0"/>
        <w:spacing w:line="360" w:lineRule="auto"/>
        <w:ind w:left="1077" w:hanging="720"/>
        <w:rPr>
          <w:sz w:val="24"/>
        </w:rPr>
      </w:pPr>
      <w:r>
        <w:rPr>
          <w:sz w:val="24"/>
        </w:rPr>
        <w:t>本项目解密使用</w:t>
      </w:r>
      <w:r>
        <w:rPr>
          <w:rFonts w:hint="eastAsia"/>
          <w:sz w:val="24"/>
        </w:rPr>
        <w:t>北京市公共资源交易中心政府采购全流程电子化招投标系统</w:t>
      </w:r>
      <w:r>
        <w:rPr>
          <w:sz w:val="24"/>
        </w:rPr>
        <w:t>。供应商应在《供应商须知资料表》规定的时间内对响应文件进行解密，因非系统原因导致的解密失败，视为</w:t>
      </w:r>
      <w:r>
        <w:rPr>
          <w:b/>
          <w:sz w:val="24"/>
        </w:rPr>
        <w:t>无效响应</w:t>
      </w:r>
      <w:r>
        <w:rPr>
          <w:sz w:val="24"/>
        </w:rPr>
        <w:t>。</w:t>
      </w:r>
    </w:p>
    <w:p>
      <w:pPr>
        <w:numPr>
          <w:ilvl w:val="1"/>
          <w:numId w:val="10"/>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10"/>
        </w:numPr>
        <w:tabs>
          <w:tab w:val="left" w:pos="1080"/>
          <w:tab w:val="left" w:pos="2014"/>
        </w:tabs>
        <w:snapToGrid w:val="0"/>
        <w:spacing w:line="360" w:lineRule="auto"/>
        <w:ind w:left="1077" w:hanging="720"/>
        <w:rPr>
          <w:sz w:val="24"/>
        </w:rPr>
      </w:pPr>
      <w:r>
        <w:rPr>
          <w:sz w:val="24"/>
        </w:rPr>
        <w:t>供应商不足3家的，不予解密。</w:t>
      </w:r>
    </w:p>
    <w:p>
      <w:pPr>
        <w:numPr>
          <w:ilvl w:val="1"/>
          <w:numId w:val="10"/>
        </w:numPr>
        <w:tabs>
          <w:tab w:val="left" w:pos="1080"/>
          <w:tab w:val="left" w:pos="2014"/>
        </w:tabs>
        <w:snapToGrid w:val="0"/>
        <w:spacing w:line="360" w:lineRule="auto"/>
        <w:ind w:left="1077" w:hanging="720"/>
        <w:rPr>
          <w:sz w:val="24"/>
        </w:rPr>
      </w:pPr>
      <w:bookmarkStart w:id="450" w:name="_Toc520356165"/>
      <w:r>
        <w:rPr>
          <w:sz w:val="24"/>
        </w:rPr>
        <w:t>本项目不公开报价。</w:t>
      </w:r>
    </w:p>
    <w:bookmarkEnd w:id="450"/>
    <w:p>
      <w:pPr>
        <w:numPr>
          <w:ilvl w:val="0"/>
          <w:numId w:val="10"/>
        </w:numPr>
        <w:tabs>
          <w:tab w:val="left" w:pos="360"/>
        </w:tabs>
        <w:snapToGrid w:val="0"/>
        <w:spacing w:line="360" w:lineRule="auto"/>
        <w:ind w:left="357" w:hanging="357"/>
        <w:outlineLvl w:val="1"/>
        <w:rPr>
          <w:sz w:val="24"/>
        </w:rPr>
      </w:pPr>
      <w:r>
        <w:rPr>
          <w:sz w:val="24"/>
        </w:rPr>
        <w:t>磋商小组</w:t>
      </w:r>
    </w:p>
    <w:p>
      <w:pPr>
        <w:numPr>
          <w:ilvl w:val="1"/>
          <w:numId w:val="10"/>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1" w:name="_Toc520356166"/>
    </w:p>
    <w:p>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1"/>
      <w:bookmarkStart w:id="452" w:name="_Toc520356169"/>
    </w:p>
    <w:p>
      <w:pPr>
        <w:numPr>
          <w:ilvl w:val="0"/>
          <w:numId w:val="10"/>
        </w:numPr>
        <w:tabs>
          <w:tab w:val="left" w:pos="360"/>
        </w:tabs>
        <w:snapToGrid w:val="0"/>
        <w:spacing w:line="360" w:lineRule="auto"/>
        <w:outlineLvl w:val="1"/>
        <w:rPr>
          <w:sz w:val="24"/>
        </w:rPr>
      </w:pPr>
      <w:r>
        <w:rPr>
          <w:sz w:val="24"/>
        </w:rPr>
        <w:t>评审方法和评审标准</w:t>
      </w:r>
    </w:p>
    <w:p>
      <w:pPr>
        <w:numPr>
          <w:ilvl w:val="1"/>
          <w:numId w:val="10"/>
        </w:numPr>
        <w:tabs>
          <w:tab w:val="left" w:pos="1080"/>
          <w:tab w:val="left" w:pos="2014"/>
        </w:tabs>
        <w:snapToGrid w:val="0"/>
        <w:spacing w:line="360" w:lineRule="auto"/>
        <w:ind w:left="1077" w:hanging="720"/>
        <w:rPr>
          <w:sz w:val="24"/>
        </w:rPr>
      </w:pPr>
      <w:r>
        <w:rPr>
          <w:sz w:val="24"/>
        </w:rPr>
        <w:t>见第三章《评审方法和评审标准》。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453" w:name="_Toc264969235"/>
      <w:bookmarkStart w:id="454" w:name="_Toc151193715"/>
      <w:bookmarkStart w:id="455" w:name="_Toc151193643"/>
      <w:bookmarkStart w:id="456" w:name="_Toc150774750"/>
      <w:bookmarkStart w:id="457" w:name="_Toc151193787"/>
      <w:bookmarkStart w:id="458" w:name="_Toc226965818"/>
      <w:bookmarkStart w:id="459" w:name="_Toc151193859"/>
      <w:bookmarkStart w:id="460" w:name="_Toc150480783"/>
      <w:bookmarkStart w:id="461" w:name="_Toc226309789"/>
      <w:bookmarkStart w:id="462" w:name="_Toc151190172"/>
      <w:bookmarkStart w:id="463" w:name="_Toc127151545"/>
      <w:bookmarkStart w:id="464" w:name="_Toc305158813"/>
      <w:bookmarkStart w:id="465" w:name="_Toc151193933"/>
      <w:bookmarkStart w:id="466" w:name="_Toc226337241"/>
      <w:bookmarkStart w:id="467" w:name="_Toc305158887"/>
      <w:bookmarkStart w:id="468" w:name="_Toc226965735"/>
      <w:bookmarkStart w:id="469" w:name="_Toc150509296"/>
      <w:bookmarkStart w:id="470" w:name="_Toc265228383"/>
      <w:bookmarkStart w:id="471" w:name="_Toc142311047"/>
      <w:bookmarkStart w:id="472" w:name="_Toc150774645"/>
      <w:bookmarkStart w:id="473" w:name="_Toc195842910"/>
      <w:r>
        <w:rPr>
          <w:rFonts w:ascii="Times New Roman" w:hAnsi="Times New Roman" w:eastAsia="宋体"/>
          <w:sz w:val="28"/>
        </w:rPr>
        <w:t xml:space="preserve">六   </w:t>
      </w:r>
      <w:bookmarkEnd w:id="452"/>
      <w:r>
        <w:rPr>
          <w:rFonts w:ascii="Times New Roman" w:hAnsi="Times New Roman" w:eastAsia="宋体"/>
          <w:sz w:val="28"/>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Times New Roman" w:hAnsi="Times New Roman" w:eastAsia="宋体"/>
          <w:sz w:val="28"/>
        </w:rPr>
        <w:t>成交</w:t>
      </w:r>
    </w:p>
    <w:p>
      <w:pPr>
        <w:numPr>
          <w:ilvl w:val="0"/>
          <w:numId w:val="10"/>
        </w:numPr>
        <w:tabs>
          <w:tab w:val="left" w:pos="360"/>
        </w:tabs>
        <w:snapToGrid w:val="0"/>
        <w:spacing w:line="360" w:lineRule="auto"/>
        <w:ind w:left="357" w:hanging="357"/>
        <w:outlineLvl w:val="1"/>
        <w:rPr>
          <w:sz w:val="24"/>
        </w:rPr>
      </w:pPr>
      <w:bookmarkStart w:id="474" w:name="_Toc150774647"/>
      <w:bookmarkStart w:id="475" w:name="_Toc164229388"/>
      <w:bookmarkStart w:id="476" w:name="_Toc150509298"/>
      <w:bookmarkStart w:id="477" w:name="_Toc127151547"/>
      <w:bookmarkStart w:id="478" w:name="_Toc151193789"/>
      <w:bookmarkStart w:id="479" w:name="_Toc305158815"/>
      <w:bookmarkStart w:id="480" w:name="_Toc164351641"/>
      <w:bookmarkStart w:id="481" w:name="_Toc142311049"/>
      <w:bookmarkStart w:id="482" w:name="_Toc151193645"/>
      <w:bookmarkStart w:id="483" w:name="_Toc226309791"/>
      <w:bookmarkStart w:id="484" w:name="_Toc264969237"/>
      <w:bookmarkStart w:id="485" w:name="_Toc195842912"/>
      <w:bookmarkStart w:id="486" w:name="_Toc151193935"/>
      <w:bookmarkStart w:id="487" w:name="_Toc226965737"/>
      <w:bookmarkStart w:id="488" w:name="_Toc149720840"/>
      <w:bookmarkStart w:id="489" w:name="_Toc151193861"/>
      <w:bookmarkStart w:id="490" w:name="_Toc150774752"/>
      <w:bookmarkStart w:id="491" w:name="_Toc226965820"/>
      <w:bookmarkStart w:id="492" w:name="_Toc164229242"/>
      <w:bookmarkStart w:id="493" w:name="_Toc226337243"/>
      <w:bookmarkStart w:id="494" w:name="_Toc151193717"/>
      <w:bookmarkStart w:id="495" w:name="_Toc265228385"/>
      <w:bookmarkStart w:id="496" w:name="_Toc127161461"/>
      <w:bookmarkStart w:id="497" w:name="_Toc150480785"/>
      <w:bookmarkStart w:id="498" w:name="_Toc127151748"/>
      <w:bookmarkStart w:id="499" w:name="_Toc164608816"/>
      <w:bookmarkStart w:id="500" w:name="_Toc151190174"/>
      <w:bookmarkStart w:id="501" w:name="_Toc305158889"/>
      <w:bookmarkStart w:id="502" w:name="_Toc164608661"/>
      <w:r>
        <w:rPr>
          <w:sz w:val="24"/>
        </w:rPr>
        <w:t>确定成交供应商</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numPr>
          <w:ilvl w:val="1"/>
          <w:numId w:val="10"/>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10"/>
        </w:numPr>
        <w:tabs>
          <w:tab w:val="left" w:pos="360"/>
        </w:tabs>
        <w:snapToGrid w:val="0"/>
        <w:spacing w:line="360" w:lineRule="auto"/>
        <w:ind w:left="357" w:hanging="357"/>
        <w:outlineLvl w:val="1"/>
        <w:rPr>
          <w:sz w:val="24"/>
        </w:rPr>
      </w:pPr>
      <w:bookmarkStart w:id="503" w:name="_Toc305158891"/>
      <w:bookmarkStart w:id="504" w:name="_Toc305158817"/>
      <w:bookmarkStart w:id="505" w:name="_Toc142311051"/>
      <w:bookmarkStart w:id="506" w:name="_Toc164229390"/>
      <w:bookmarkStart w:id="507" w:name="_Toc127151549"/>
      <w:bookmarkStart w:id="508" w:name="_Toc151193863"/>
      <w:bookmarkStart w:id="509" w:name="_Toc226309793"/>
      <w:bookmarkStart w:id="510" w:name="_Toc151190176"/>
      <w:bookmarkStart w:id="511" w:name="_Toc265228387"/>
      <w:bookmarkStart w:id="512" w:name="_Toc150480787"/>
      <w:bookmarkStart w:id="513" w:name="_Toc164351643"/>
      <w:bookmarkStart w:id="514" w:name="_Toc150774754"/>
      <w:bookmarkStart w:id="515" w:name="_Toc226965822"/>
      <w:bookmarkStart w:id="516" w:name="_Toc151193791"/>
      <w:bookmarkStart w:id="517" w:name="_Toc164229244"/>
      <w:bookmarkStart w:id="518" w:name="_Toc151193647"/>
      <w:bookmarkStart w:id="519" w:name="_Toc150509300"/>
      <w:bookmarkStart w:id="520" w:name="_Toc149720842"/>
      <w:bookmarkStart w:id="521" w:name="_Toc150774649"/>
      <w:bookmarkStart w:id="522" w:name="_Toc226337245"/>
      <w:bookmarkStart w:id="523" w:name="_Toc151193719"/>
      <w:bookmarkStart w:id="524" w:name="_Toc164608818"/>
      <w:bookmarkStart w:id="525" w:name="_Toc164608663"/>
      <w:bookmarkStart w:id="526" w:name="_Toc151193937"/>
      <w:bookmarkStart w:id="527" w:name="_Toc127151750"/>
      <w:bookmarkStart w:id="528" w:name="_Toc264969239"/>
      <w:bookmarkStart w:id="529" w:name="_Toc226965739"/>
      <w:bookmarkStart w:id="530" w:name="_Toc195842914"/>
      <w:bookmarkStart w:id="531" w:name="_Toc127161463"/>
      <w:bookmarkStart w:id="532" w:name="_Ref467307090"/>
      <w:bookmarkStart w:id="533" w:name="_Ref467306425"/>
      <w:bookmarkStart w:id="534" w:name="_Toc520356176"/>
      <w:r>
        <w:rPr>
          <w:sz w:val="24"/>
        </w:rPr>
        <w:t>成交公告与成交通知书</w:t>
      </w:r>
      <w:bookmarkEnd w:id="503"/>
      <w:bookmarkEnd w:id="504"/>
    </w:p>
    <w:p>
      <w:pPr>
        <w:numPr>
          <w:ilvl w:val="1"/>
          <w:numId w:val="10"/>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sz w:val="24"/>
        </w:rPr>
        <w:t>北京市政府采购网</w:t>
      </w:r>
      <w:r>
        <w:rPr>
          <w:kern w:val="0"/>
          <w:sz w:val="24"/>
        </w:rPr>
        <w:t>公告成交结果，同时向成交供应商发出成交通知书，</w:t>
      </w:r>
      <w:r>
        <w:rPr>
          <w:sz w:val="24"/>
        </w:rPr>
        <w:t>成交公告期限为1个工作日。</w:t>
      </w:r>
    </w:p>
    <w:p>
      <w:pPr>
        <w:numPr>
          <w:ilvl w:val="1"/>
          <w:numId w:val="10"/>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pPr>
        <w:numPr>
          <w:ilvl w:val="1"/>
          <w:numId w:val="10"/>
        </w:numPr>
        <w:tabs>
          <w:tab w:val="left" w:pos="1080"/>
          <w:tab w:val="left" w:pos="2014"/>
        </w:tabs>
        <w:snapToGrid w:val="0"/>
        <w:spacing w:line="360" w:lineRule="auto"/>
        <w:ind w:left="1077" w:hanging="720"/>
        <w:rPr>
          <w:rFonts w:hint="eastAsia"/>
          <w:sz w:val="24"/>
        </w:rPr>
      </w:pPr>
      <w:r>
        <w:rPr>
          <w:rFonts w:hint="eastAsia"/>
          <w:sz w:val="24"/>
        </w:rPr>
        <w:t>成交公告发布后，未成交供应商可登录北京市公共资源交易中心政府采购全流程电子化招投标系统，进入左侧“交易执行→应标→项目投标”菜单，在“已参与项目”列表中查找所参与的项目，并点击该项目右侧的“投标结果查询”链接查询本单位未通过资格性和符合性审查原因、评审汇总得分及排序等相关信息。</w:t>
      </w:r>
    </w:p>
    <w:p>
      <w:pPr>
        <w:numPr>
          <w:ilvl w:val="0"/>
          <w:numId w:val="10"/>
        </w:numPr>
        <w:tabs>
          <w:tab w:val="left" w:pos="360"/>
        </w:tabs>
        <w:snapToGrid w:val="0"/>
        <w:spacing w:line="360" w:lineRule="auto"/>
        <w:ind w:left="357" w:hanging="357"/>
        <w:outlineLvl w:val="1"/>
        <w:rPr>
          <w:sz w:val="24"/>
        </w:rPr>
      </w:pPr>
      <w:r>
        <w:rPr>
          <w:sz w:val="24"/>
        </w:rPr>
        <w:t>终止</w:t>
      </w:r>
    </w:p>
    <w:p>
      <w:pPr>
        <w:numPr>
          <w:ilvl w:val="1"/>
          <w:numId w:val="10"/>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pPr>
        <w:numPr>
          <w:ilvl w:val="2"/>
          <w:numId w:val="10"/>
        </w:numPr>
        <w:snapToGrid w:val="0"/>
        <w:spacing w:line="360" w:lineRule="auto"/>
        <w:rPr>
          <w:sz w:val="24"/>
        </w:rPr>
      </w:pPr>
      <w:r>
        <w:rPr>
          <w:sz w:val="24"/>
        </w:rPr>
        <w:t>因情况变化，不再符合规定的竞争性磋商采购方式适用情形的；</w:t>
      </w:r>
    </w:p>
    <w:p>
      <w:pPr>
        <w:numPr>
          <w:ilvl w:val="2"/>
          <w:numId w:val="10"/>
        </w:numPr>
        <w:snapToGrid w:val="0"/>
        <w:spacing w:line="360" w:lineRule="auto"/>
        <w:rPr>
          <w:sz w:val="24"/>
        </w:rPr>
      </w:pPr>
      <w:r>
        <w:rPr>
          <w:sz w:val="24"/>
        </w:rPr>
        <w:t>出现影响采购公正的违法、违规行为的；</w:t>
      </w:r>
    </w:p>
    <w:p>
      <w:pPr>
        <w:numPr>
          <w:ilvl w:val="2"/>
          <w:numId w:val="10"/>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Pr>
        <w:numPr>
          <w:ilvl w:val="0"/>
          <w:numId w:val="10"/>
        </w:numPr>
        <w:tabs>
          <w:tab w:val="left" w:pos="360"/>
        </w:tabs>
        <w:snapToGrid w:val="0"/>
        <w:spacing w:line="360" w:lineRule="auto"/>
        <w:ind w:left="357" w:hanging="357"/>
        <w:outlineLvl w:val="1"/>
        <w:rPr>
          <w:sz w:val="24"/>
        </w:rPr>
      </w:pPr>
      <w:bookmarkStart w:id="535" w:name="_Toc226309794"/>
      <w:bookmarkStart w:id="536" w:name="_Toc127151751"/>
      <w:bookmarkStart w:id="537" w:name="_Toc150774755"/>
      <w:bookmarkStart w:id="538" w:name="_Toc150774650"/>
      <w:bookmarkStart w:id="539" w:name="_Toc151193938"/>
      <w:bookmarkStart w:id="540" w:name="_Ref467307062"/>
      <w:bookmarkStart w:id="541" w:name="_Toc195842915"/>
      <w:bookmarkStart w:id="542" w:name="_Toc142311052"/>
      <w:bookmarkStart w:id="543" w:name="_Toc226337246"/>
      <w:bookmarkStart w:id="544" w:name="_Toc305158818"/>
      <w:bookmarkStart w:id="545" w:name="_Toc149720843"/>
      <w:bookmarkStart w:id="546" w:name="_Toc226965823"/>
      <w:bookmarkStart w:id="547" w:name="_Toc164351644"/>
      <w:bookmarkStart w:id="548" w:name="_Toc151193648"/>
      <w:bookmarkStart w:id="549" w:name="_Toc164229245"/>
      <w:bookmarkStart w:id="550" w:name="_Toc265228388"/>
      <w:bookmarkStart w:id="551" w:name="_Toc164229391"/>
      <w:bookmarkStart w:id="552" w:name="_Toc164608664"/>
      <w:bookmarkStart w:id="553" w:name="_Toc226965740"/>
      <w:bookmarkStart w:id="554" w:name="_Toc127151550"/>
      <w:bookmarkStart w:id="555" w:name="_Toc127161464"/>
      <w:bookmarkStart w:id="556" w:name="_Toc151193864"/>
      <w:bookmarkStart w:id="557" w:name="_Toc150480788"/>
      <w:bookmarkStart w:id="558" w:name="_Toc150509301"/>
      <w:bookmarkStart w:id="559" w:name="_Toc151190177"/>
      <w:bookmarkStart w:id="560" w:name="_Toc520356175"/>
      <w:bookmarkStart w:id="561" w:name="_Toc164608819"/>
      <w:bookmarkStart w:id="562" w:name="_Ref467306377"/>
      <w:bookmarkStart w:id="563" w:name="_Toc151193792"/>
      <w:bookmarkStart w:id="564" w:name="_Ref467306978"/>
      <w:bookmarkStart w:id="565" w:name="_Toc151193720"/>
      <w:bookmarkStart w:id="566" w:name="_Toc264969240"/>
      <w:bookmarkStart w:id="567" w:name="_Toc305158892"/>
      <w:bookmarkStart w:id="568" w:name="_Ref467307204"/>
      <w:r>
        <w:rPr>
          <w:sz w:val="24"/>
        </w:rPr>
        <w:t>签订合同</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numPr>
          <w:ilvl w:val="1"/>
          <w:numId w:val="10"/>
        </w:numPr>
        <w:tabs>
          <w:tab w:val="left" w:pos="1080"/>
          <w:tab w:val="left" w:pos="2014"/>
        </w:tabs>
        <w:snapToGrid w:val="0"/>
        <w:spacing w:line="360" w:lineRule="auto"/>
        <w:ind w:left="1077" w:hanging="720"/>
        <w:rPr>
          <w:sz w:val="24"/>
        </w:rPr>
      </w:pPr>
      <w:r>
        <w:rPr>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10"/>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10"/>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pPr>
        <w:numPr>
          <w:ilvl w:val="1"/>
          <w:numId w:val="10"/>
        </w:numPr>
        <w:tabs>
          <w:tab w:val="left" w:pos="1080"/>
          <w:tab w:val="left" w:pos="2014"/>
        </w:tabs>
        <w:snapToGrid w:val="0"/>
        <w:spacing w:line="360" w:lineRule="auto"/>
        <w:ind w:left="1077" w:hanging="720"/>
        <w:rPr>
          <w:sz w:val="24"/>
        </w:rPr>
      </w:pPr>
      <w:r>
        <w:rPr>
          <w:sz w:val="24"/>
        </w:rPr>
        <w:t>政府采购合同不能转包。</w:t>
      </w:r>
    </w:p>
    <w:p>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sz w:val="24"/>
        </w:rPr>
        <w:t>《</w:t>
      </w:r>
      <w:r>
        <w:rPr>
          <w:rFonts w:hint="eastAsia"/>
          <w:sz w:val="24"/>
        </w:rPr>
        <w:t>供应商</w:t>
      </w:r>
      <w:r>
        <w:rPr>
          <w:sz w:val="24"/>
        </w:rPr>
        <w:t>须知资料表》</w:t>
      </w:r>
      <w:r>
        <w:rPr>
          <w:rFonts w:hint="eastAsia"/>
          <w:sz w:val="24"/>
        </w:rPr>
        <w:t>。</w:t>
      </w:r>
    </w:p>
    <w:bookmarkEnd w:id="532"/>
    <w:bookmarkEnd w:id="533"/>
    <w:bookmarkEnd w:id="534"/>
    <w:p>
      <w:pPr>
        <w:numPr>
          <w:ilvl w:val="0"/>
          <w:numId w:val="10"/>
        </w:numPr>
        <w:tabs>
          <w:tab w:val="left" w:pos="360"/>
        </w:tabs>
        <w:snapToGrid w:val="0"/>
        <w:spacing w:line="360" w:lineRule="auto"/>
        <w:ind w:left="357" w:hanging="357"/>
        <w:outlineLvl w:val="1"/>
        <w:rPr>
          <w:sz w:val="24"/>
        </w:rPr>
      </w:pPr>
      <w:r>
        <w:rPr>
          <w:sz w:val="24"/>
        </w:rPr>
        <w:t>询问与质疑</w:t>
      </w:r>
    </w:p>
    <w:p>
      <w:pPr>
        <w:numPr>
          <w:ilvl w:val="1"/>
          <w:numId w:val="10"/>
        </w:numPr>
        <w:tabs>
          <w:tab w:val="left" w:pos="1080"/>
          <w:tab w:val="left" w:pos="2014"/>
        </w:tabs>
        <w:snapToGrid w:val="0"/>
        <w:spacing w:line="360" w:lineRule="auto"/>
        <w:ind w:left="1077" w:hanging="720"/>
        <w:rPr>
          <w:sz w:val="24"/>
        </w:rPr>
      </w:pPr>
      <w:r>
        <w:rPr>
          <w:sz w:val="24"/>
        </w:rPr>
        <w:t>询问</w:t>
      </w:r>
    </w:p>
    <w:p>
      <w:pPr>
        <w:numPr>
          <w:ilvl w:val="2"/>
          <w:numId w:val="10"/>
        </w:numPr>
        <w:snapToGrid w:val="0"/>
        <w:spacing w:line="360" w:lineRule="auto"/>
        <w:rPr>
          <w:sz w:val="24"/>
        </w:rPr>
      </w:pPr>
      <w:bookmarkStart w:id="569"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69"/>
    </w:p>
    <w:p>
      <w:pPr>
        <w:numPr>
          <w:ilvl w:val="2"/>
          <w:numId w:val="10"/>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sz w:val="24"/>
        </w:rPr>
      </w:pPr>
      <w:r>
        <w:rPr>
          <w:sz w:val="24"/>
        </w:rPr>
        <w:t>质疑</w:t>
      </w:r>
    </w:p>
    <w:p>
      <w:pPr>
        <w:numPr>
          <w:ilvl w:val="2"/>
          <w:numId w:val="10"/>
        </w:numPr>
        <w:snapToGrid w:val="0"/>
        <w:spacing w:line="360" w:lineRule="auto"/>
        <w:rPr>
          <w:sz w:val="24"/>
        </w:rPr>
      </w:pP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0"/>
        </w:numPr>
        <w:snapToGrid w:val="0"/>
        <w:spacing w:line="360" w:lineRule="auto"/>
        <w:rPr>
          <w:rFonts w:hint="eastAsia"/>
          <w:sz w:val="24"/>
        </w:rPr>
      </w:pPr>
      <w:r>
        <w:rPr>
          <w:rFonts w:hint="eastAsia"/>
          <w:sz w:val="24"/>
        </w:rPr>
        <w:t>供应商对磋商文件中涉及的项目属性、采购预算、最高限价、划分的采购包与合同分包、供应商资格条件、采购需求、评审标准、政府采购政策功能落实要求及采购合同等由采购人提出的内容及采购活动结束后对采购结果提出质疑的，由采购人依法作出答复；供应商对政府采购法律法规中规定的政府采购组织程序提出质疑的，由采购代理机构依法作出答复。</w:t>
      </w:r>
    </w:p>
    <w:p>
      <w:pPr>
        <w:numPr>
          <w:ilvl w:val="2"/>
          <w:numId w:val="10"/>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10"/>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10"/>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pPr>
        <w:numPr>
          <w:ilvl w:val="0"/>
          <w:numId w:val="10"/>
        </w:numPr>
        <w:tabs>
          <w:tab w:val="left" w:pos="360"/>
        </w:tabs>
        <w:snapToGrid w:val="0"/>
        <w:spacing w:line="360" w:lineRule="auto"/>
        <w:ind w:left="357" w:hanging="357"/>
        <w:outlineLvl w:val="1"/>
        <w:rPr>
          <w:sz w:val="24"/>
        </w:rPr>
      </w:pPr>
      <w:r>
        <w:rPr>
          <w:sz w:val="24"/>
        </w:rPr>
        <w:t>代理费</w:t>
      </w:r>
    </w:p>
    <w:p>
      <w:pPr>
        <w:numPr>
          <w:ilvl w:val="1"/>
          <w:numId w:val="10"/>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570" w:name="_Toc127151554"/>
      <w:bookmarkStart w:id="571" w:name="_Toc150774759"/>
      <w:bookmarkStart w:id="572" w:name="_Toc305158896"/>
      <w:bookmarkStart w:id="573" w:name="_Toc353873934"/>
      <w:bookmarkStart w:id="574" w:name="_Toc265228392"/>
      <w:bookmarkStart w:id="575" w:name="_Toc305158822"/>
      <w:bookmarkStart w:id="576" w:name="_Toc353825544"/>
      <w:bookmarkStart w:id="577" w:name="_Toc226965827"/>
      <w:bookmarkStart w:id="578" w:name="_Toc150480792"/>
      <w:bookmarkStart w:id="579" w:name="_Toc353873664"/>
      <w:bookmarkStart w:id="580" w:name="_Toc142311056"/>
      <w:bookmarkStart w:id="581" w:name="_Toc226337250"/>
      <w:bookmarkStart w:id="582" w:name="_Toc264969244"/>
      <w:r>
        <w:rPr>
          <w:sz w:val="24"/>
        </w:rPr>
        <w:br w:type="page"/>
      </w:r>
      <w:bookmarkStart w:id="583" w:name="_Toc97371943"/>
      <w:r>
        <w:rPr>
          <w:b/>
          <w:sz w:val="36"/>
          <w:szCs w:val="36"/>
        </w:rPr>
        <w:t xml:space="preserve">第三章   </w:t>
      </w:r>
      <w:bookmarkEnd w:id="570"/>
      <w:bookmarkEnd w:id="571"/>
      <w:bookmarkEnd w:id="572"/>
      <w:bookmarkEnd w:id="573"/>
      <w:bookmarkEnd w:id="574"/>
      <w:bookmarkEnd w:id="575"/>
      <w:bookmarkEnd w:id="576"/>
      <w:bookmarkEnd w:id="577"/>
      <w:bookmarkEnd w:id="578"/>
      <w:bookmarkEnd w:id="579"/>
      <w:bookmarkEnd w:id="580"/>
      <w:bookmarkEnd w:id="581"/>
      <w:bookmarkEnd w:id="582"/>
      <w:r>
        <w:rPr>
          <w:b/>
          <w:sz w:val="36"/>
          <w:szCs w:val="36"/>
        </w:rPr>
        <w:t>评审方法和评审标准</w:t>
      </w:r>
      <w:bookmarkEnd w:id="583"/>
      <w:bookmarkStart w:id="584" w:name="_Toc487900382"/>
    </w:p>
    <w:p>
      <w:pPr>
        <w:pStyle w:val="4"/>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pPr>
        <w:tabs>
          <w:tab w:val="left" w:pos="1080"/>
        </w:tabs>
        <w:snapToGrid w:val="0"/>
        <w:jc w:val="left"/>
        <w:rPr>
          <w:b/>
          <w:sz w:val="24"/>
        </w:rPr>
      </w:pPr>
      <w:r>
        <w:rPr>
          <w:b/>
          <w:sz w:val="24"/>
        </w:rPr>
        <w:tab/>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584"/>
    <w:p>
      <w:pPr>
        <w:numPr>
          <w:ilvl w:val="0"/>
          <w:numId w:val="13"/>
        </w:numPr>
        <w:tabs>
          <w:tab w:val="left" w:pos="360"/>
        </w:tabs>
        <w:snapToGrid w:val="0"/>
        <w:spacing w:line="360" w:lineRule="auto"/>
        <w:outlineLvl w:val="1"/>
        <w:rPr>
          <w:sz w:val="24"/>
        </w:rPr>
      </w:pPr>
      <w:bookmarkStart w:id="585" w:name="_Toc226965731"/>
      <w:bookmarkStart w:id="586" w:name="_Toc151193783"/>
      <w:bookmarkStart w:id="587" w:name="_Toc149720834"/>
      <w:bookmarkStart w:id="588" w:name="_Toc142311043"/>
      <w:bookmarkStart w:id="589" w:name="_Toc164608810"/>
      <w:bookmarkStart w:id="590" w:name="_Toc265228379"/>
      <w:bookmarkStart w:id="591" w:name="_Toc164608655"/>
      <w:bookmarkStart w:id="592" w:name="_Toc127151742"/>
      <w:bookmarkStart w:id="593" w:name="_Toc151193639"/>
      <w:bookmarkStart w:id="594" w:name="_Toc226337237"/>
      <w:bookmarkStart w:id="595" w:name="_Toc305158809"/>
      <w:bookmarkStart w:id="596" w:name="_Toc226309785"/>
      <w:bookmarkStart w:id="597" w:name="_Toc127151541"/>
      <w:bookmarkStart w:id="598" w:name="_Toc150774746"/>
      <w:bookmarkStart w:id="599" w:name="_Toc150480779"/>
      <w:bookmarkStart w:id="600" w:name="_Toc127161455"/>
      <w:bookmarkStart w:id="601" w:name="_Toc150774641"/>
      <w:bookmarkStart w:id="602" w:name="_Toc164229382"/>
      <w:bookmarkStart w:id="603" w:name="_Toc264969231"/>
      <w:bookmarkStart w:id="604" w:name="_Toc195842906"/>
      <w:bookmarkStart w:id="605" w:name="_Toc151193855"/>
      <w:bookmarkStart w:id="606" w:name="_Toc305158883"/>
      <w:bookmarkStart w:id="607" w:name="_Toc164351635"/>
      <w:bookmarkStart w:id="608" w:name="_Toc151193711"/>
      <w:bookmarkStart w:id="609" w:name="_Toc151190168"/>
      <w:bookmarkStart w:id="610" w:name="_Toc164229236"/>
      <w:bookmarkStart w:id="611" w:name="_Toc151193929"/>
      <w:bookmarkStart w:id="612" w:name="_Toc226965814"/>
      <w:bookmarkStart w:id="613" w:name="_Toc150509292"/>
      <w:bookmarkStart w:id="614" w:name="_Toc353825551"/>
      <w:bookmarkStart w:id="615" w:name="_Toc353873941"/>
      <w:bookmarkStart w:id="616" w:name="_Toc353873665"/>
      <w:bookmarkStart w:id="617" w:name="_Toc305158897"/>
      <w:bookmarkStart w:id="618" w:name="_Toc305158823"/>
      <w:bookmarkStart w:id="619" w:name="_Toc264969245"/>
      <w:bookmarkStart w:id="620" w:name="_Toc150774760"/>
      <w:bookmarkStart w:id="621" w:name="_Toc226965828"/>
      <w:bookmarkStart w:id="622" w:name="_Toc150480793"/>
      <w:bookmarkStart w:id="623" w:name="_Toc127151555"/>
      <w:bookmarkStart w:id="624" w:name="_Toc353825545"/>
      <w:bookmarkStart w:id="625" w:name="_Toc142311057"/>
      <w:bookmarkStart w:id="626" w:name="_Toc353873935"/>
      <w:bookmarkStart w:id="627" w:name="_Toc265228393"/>
      <w:bookmarkStart w:id="628" w:name="_Toc195842920"/>
      <w:bookmarkStart w:id="629" w:name="_Toc226337251"/>
      <w:r>
        <w:rPr>
          <w:sz w:val="24"/>
        </w:rPr>
        <w:t>响应文件的</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Pr>
          <w:sz w:val="24"/>
        </w:rPr>
        <w:t>资格审查和符合性审查</w:t>
      </w:r>
    </w:p>
    <w:p>
      <w:pPr>
        <w:numPr>
          <w:ilvl w:val="1"/>
          <w:numId w:val="13"/>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pPr>
        <w:numPr>
          <w:ilvl w:val="1"/>
          <w:numId w:val="13"/>
        </w:numPr>
        <w:tabs>
          <w:tab w:val="left" w:pos="1080"/>
        </w:tabs>
        <w:snapToGrid w:val="0"/>
        <w:spacing w:line="360" w:lineRule="auto"/>
        <w:ind w:left="1077" w:hanging="720"/>
        <w:rPr>
          <w:sz w:val="24"/>
        </w:rPr>
      </w:pPr>
      <w:r>
        <w:rPr>
          <w:sz w:val="24"/>
        </w:rPr>
        <w:t>《资格审查要求》中对格式有要求的，除竞争性磋商文件另有规定外，均为“实质性格式”文件。</w:t>
      </w:r>
    </w:p>
    <w:p>
      <w:pPr>
        <w:numPr>
          <w:ilvl w:val="1"/>
          <w:numId w:val="13"/>
        </w:numPr>
        <w:tabs>
          <w:tab w:val="left" w:pos="1080"/>
        </w:tabs>
        <w:snapToGrid w:val="0"/>
        <w:spacing w:line="360" w:lineRule="auto"/>
        <w:ind w:left="1077" w:hanging="720"/>
        <w:rPr>
          <w:sz w:val="24"/>
        </w:rPr>
      </w:pPr>
      <w:r>
        <w:rPr>
          <w:sz w:val="24"/>
        </w:rPr>
        <w:t>《资格审查要求》见下表：</w:t>
      </w:r>
    </w:p>
    <w:p>
      <w:pPr>
        <w:tabs>
          <w:tab w:val="left" w:pos="900"/>
          <w:tab w:val="left" w:pos="1080"/>
        </w:tabs>
        <w:snapToGrid w:val="0"/>
        <w:spacing w:line="360" w:lineRule="auto"/>
        <w:ind w:left="1077" w:firstLine="2650" w:firstLineChars="1100"/>
        <w:rPr>
          <w:b/>
          <w:sz w:val="24"/>
        </w:rPr>
      </w:pPr>
      <w:r>
        <w:rPr>
          <w:b/>
          <w:sz w:val="24"/>
        </w:rPr>
        <w:t>资格审查要求</w:t>
      </w:r>
    </w:p>
    <w:tbl>
      <w:tblPr>
        <w:tblStyle w:val="42"/>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825" w:type="dxa"/>
            <w:noWrap w:val="0"/>
            <w:vAlign w:val="center"/>
          </w:tcPr>
          <w:p>
            <w:pPr>
              <w:tabs>
                <w:tab w:val="left" w:pos="1080"/>
              </w:tabs>
              <w:snapToGrid w:val="0"/>
              <w:jc w:val="center"/>
              <w:rPr>
                <w:b/>
                <w:sz w:val="24"/>
              </w:rPr>
            </w:pPr>
            <w:bookmarkStart w:id="630" w:name="_Hlt487972895"/>
            <w:bookmarkEnd w:id="630"/>
            <w:r>
              <w:rPr>
                <w:b/>
                <w:sz w:val="24"/>
              </w:rPr>
              <w:t>序号</w:t>
            </w:r>
          </w:p>
        </w:tc>
        <w:tc>
          <w:tcPr>
            <w:tcW w:w="1700" w:type="dxa"/>
            <w:noWrap w:val="0"/>
            <w:vAlign w:val="center"/>
          </w:tcPr>
          <w:p>
            <w:pPr>
              <w:tabs>
                <w:tab w:val="left" w:pos="1080"/>
              </w:tabs>
              <w:snapToGrid w:val="0"/>
              <w:jc w:val="center"/>
              <w:rPr>
                <w:b/>
                <w:sz w:val="24"/>
              </w:rPr>
            </w:pPr>
            <w:r>
              <w:rPr>
                <w:b/>
                <w:sz w:val="24"/>
              </w:rPr>
              <w:t>检查因素</w:t>
            </w:r>
          </w:p>
        </w:tc>
        <w:tc>
          <w:tcPr>
            <w:tcW w:w="4674" w:type="dxa"/>
            <w:noWrap w:val="0"/>
            <w:vAlign w:val="center"/>
          </w:tcPr>
          <w:p>
            <w:pPr>
              <w:tabs>
                <w:tab w:val="left" w:pos="1080"/>
              </w:tabs>
              <w:snapToGrid w:val="0"/>
              <w:jc w:val="center"/>
              <w:rPr>
                <w:b/>
                <w:sz w:val="24"/>
              </w:rPr>
            </w:pPr>
            <w:r>
              <w:rPr>
                <w:b/>
                <w:sz w:val="24"/>
              </w:rPr>
              <w:t>检查内容</w:t>
            </w:r>
          </w:p>
        </w:tc>
        <w:tc>
          <w:tcPr>
            <w:tcW w:w="1863" w:type="dxa"/>
            <w:noWrap w:val="0"/>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1</w:t>
            </w:r>
          </w:p>
        </w:tc>
        <w:tc>
          <w:tcPr>
            <w:tcW w:w="1700" w:type="dxa"/>
            <w:noWrap w:val="0"/>
            <w:vAlign w:val="center"/>
          </w:tcPr>
          <w:p>
            <w:pPr>
              <w:tabs>
                <w:tab w:val="left" w:pos="1080"/>
              </w:tabs>
              <w:snapToGrid w:val="0"/>
              <w:jc w:val="left"/>
              <w:rPr>
                <w:sz w:val="24"/>
              </w:rPr>
            </w:pPr>
            <w:r>
              <w:rPr>
                <w:sz w:val="24"/>
              </w:rPr>
              <w:t>满足《中华人民共和国政府采购法》第二十二条规定</w:t>
            </w:r>
          </w:p>
        </w:tc>
        <w:tc>
          <w:tcPr>
            <w:tcW w:w="4674" w:type="dxa"/>
            <w:noWrap w:val="0"/>
            <w:vAlign w:val="center"/>
          </w:tcPr>
          <w:p>
            <w:pPr>
              <w:tabs>
                <w:tab w:val="left" w:pos="1080"/>
              </w:tabs>
              <w:snapToGrid w:val="0"/>
              <w:jc w:val="left"/>
              <w:rPr>
                <w:sz w:val="24"/>
              </w:rPr>
            </w:pPr>
            <w:r>
              <w:rPr>
                <w:sz w:val="24"/>
              </w:rPr>
              <w:t>具体规定见第一章《采购邀请》</w:t>
            </w:r>
          </w:p>
        </w:tc>
        <w:tc>
          <w:tcPr>
            <w:tcW w:w="1863" w:type="dxa"/>
            <w:noWrap w:val="0"/>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1-1</w:t>
            </w:r>
          </w:p>
        </w:tc>
        <w:tc>
          <w:tcPr>
            <w:tcW w:w="1700" w:type="dxa"/>
            <w:noWrap w:val="0"/>
            <w:vAlign w:val="center"/>
          </w:tcPr>
          <w:p>
            <w:pPr>
              <w:tabs>
                <w:tab w:val="left" w:pos="1080"/>
              </w:tabs>
              <w:snapToGrid w:val="0"/>
              <w:jc w:val="left"/>
              <w:rPr>
                <w:sz w:val="24"/>
              </w:rPr>
            </w:pPr>
            <w:r>
              <w:rPr>
                <w:sz w:val="24"/>
              </w:rPr>
              <w:t>营业执照等证明文件</w:t>
            </w:r>
          </w:p>
        </w:tc>
        <w:tc>
          <w:tcPr>
            <w:tcW w:w="4674" w:type="dxa"/>
            <w:noWrap w:val="0"/>
            <w:vAlign w:val="center"/>
          </w:tcPr>
          <w:p>
            <w:pPr>
              <w:tabs>
                <w:tab w:val="left" w:pos="1080"/>
              </w:tabs>
              <w:snapToGrid w:val="0"/>
              <w:jc w:val="left"/>
              <w:rPr>
                <w:sz w:val="24"/>
              </w:rPr>
            </w:pPr>
            <w:r>
              <w:rPr>
                <w:sz w:val="24"/>
              </w:rPr>
              <w:t>供应商为企业（包括合伙企业）的，应提供有效的“营业执照”；</w:t>
            </w:r>
          </w:p>
          <w:p>
            <w:pPr>
              <w:tabs>
                <w:tab w:val="left" w:pos="1080"/>
              </w:tabs>
              <w:snapToGrid w:val="0"/>
              <w:jc w:val="left"/>
              <w:rPr>
                <w:sz w:val="24"/>
              </w:rPr>
            </w:pPr>
            <w:r>
              <w:rPr>
                <w:sz w:val="24"/>
              </w:rPr>
              <w:t>供应商为事业单位的，应提供有效的“事业单位法人证书”；</w:t>
            </w:r>
          </w:p>
          <w:p>
            <w:pPr>
              <w:tabs>
                <w:tab w:val="left" w:pos="1080"/>
              </w:tabs>
              <w:snapToGrid w:val="0"/>
              <w:jc w:val="left"/>
              <w:rPr>
                <w:sz w:val="24"/>
              </w:rPr>
            </w:pPr>
            <w:r>
              <w:rPr>
                <w:sz w:val="24"/>
              </w:rPr>
              <w:t>供应商是非企业机构的，应提供有效的“执业许可证”、“登记证书”等证明文件；</w:t>
            </w:r>
          </w:p>
          <w:p>
            <w:pPr>
              <w:tabs>
                <w:tab w:val="left" w:pos="1080"/>
              </w:tabs>
              <w:snapToGrid w:val="0"/>
              <w:jc w:val="left"/>
              <w:rPr>
                <w:sz w:val="24"/>
              </w:rPr>
            </w:pPr>
            <w:r>
              <w:rPr>
                <w:sz w:val="24"/>
              </w:rPr>
              <w:t>供应商是个体工商户的，应提供有效的“个体工商户营业执照”；</w:t>
            </w:r>
          </w:p>
          <w:p>
            <w:pPr>
              <w:tabs>
                <w:tab w:val="left" w:pos="1080"/>
              </w:tabs>
              <w:snapToGrid w:val="0"/>
              <w:jc w:val="left"/>
              <w:rPr>
                <w:sz w:val="24"/>
              </w:rPr>
            </w:pPr>
            <w:r>
              <w:rPr>
                <w:sz w:val="24"/>
              </w:rPr>
              <w:t>供应商是自然人的，应提供有效的自然人身份证明。</w:t>
            </w:r>
          </w:p>
          <w:p>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863" w:type="dxa"/>
            <w:noWrap w:val="0"/>
            <w:vAlign w:val="center"/>
          </w:tcPr>
          <w:p>
            <w:pPr>
              <w:tabs>
                <w:tab w:val="left" w:pos="1080"/>
              </w:tabs>
              <w:snapToGrid w:val="0"/>
              <w:jc w:val="left"/>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1-2</w:t>
            </w:r>
          </w:p>
        </w:tc>
        <w:tc>
          <w:tcPr>
            <w:tcW w:w="1700" w:type="dxa"/>
            <w:noWrap w:val="0"/>
            <w:vAlign w:val="center"/>
          </w:tcPr>
          <w:p>
            <w:pPr>
              <w:tabs>
                <w:tab w:val="left" w:pos="1080"/>
              </w:tabs>
              <w:snapToGrid w:val="0"/>
              <w:jc w:val="left"/>
              <w:rPr>
                <w:sz w:val="24"/>
              </w:rPr>
            </w:pPr>
            <w:r>
              <w:rPr>
                <w:sz w:val="24"/>
              </w:rPr>
              <w:t>供应商资格声明书</w:t>
            </w:r>
          </w:p>
        </w:tc>
        <w:tc>
          <w:tcPr>
            <w:tcW w:w="4674" w:type="dxa"/>
            <w:noWrap w:val="0"/>
            <w:vAlign w:val="center"/>
          </w:tcPr>
          <w:p>
            <w:pPr>
              <w:tabs>
                <w:tab w:val="left" w:pos="1080"/>
              </w:tabs>
              <w:snapToGrid w:val="0"/>
              <w:jc w:val="left"/>
              <w:rPr>
                <w:sz w:val="24"/>
              </w:rPr>
            </w:pPr>
            <w:r>
              <w:rPr>
                <w:sz w:val="24"/>
              </w:rPr>
              <w:t>提供了符合竞争性磋商文件要求的《供应商资格声明书》。</w:t>
            </w:r>
          </w:p>
        </w:tc>
        <w:tc>
          <w:tcPr>
            <w:tcW w:w="1863" w:type="dxa"/>
            <w:noWrap w:val="0"/>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1-3</w:t>
            </w:r>
          </w:p>
        </w:tc>
        <w:tc>
          <w:tcPr>
            <w:tcW w:w="1700" w:type="dxa"/>
            <w:noWrap w:val="0"/>
            <w:vAlign w:val="center"/>
          </w:tcPr>
          <w:p>
            <w:pPr>
              <w:tabs>
                <w:tab w:val="left" w:pos="1080"/>
              </w:tabs>
              <w:snapToGrid w:val="0"/>
              <w:rPr>
                <w:sz w:val="24"/>
              </w:rPr>
            </w:pPr>
            <w:r>
              <w:rPr>
                <w:sz w:val="24"/>
              </w:rPr>
              <w:t>供应商信用记录</w:t>
            </w:r>
          </w:p>
        </w:tc>
        <w:tc>
          <w:tcPr>
            <w:tcW w:w="4674" w:type="dxa"/>
            <w:noWrap w:val="0"/>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w:t>
            </w:r>
            <w:r>
              <w:rPr>
                <w:rFonts w:hint="eastAsia"/>
                <w:sz w:val="24"/>
              </w:rPr>
              <w:t>磋商小组</w:t>
            </w:r>
            <w:r>
              <w:rPr>
                <w:sz w:val="24"/>
              </w:rPr>
              <w:t>的实际查询时间；</w:t>
            </w:r>
          </w:p>
          <w:p>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noWrap w:val="0"/>
            <w:vAlign w:val="center"/>
          </w:tcPr>
          <w:p>
            <w:pPr>
              <w:tabs>
                <w:tab w:val="left" w:pos="1080"/>
              </w:tabs>
              <w:snapToGrid w:val="0"/>
              <w:rPr>
                <w:sz w:val="24"/>
              </w:rPr>
            </w:pPr>
            <w:r>
              <w:rPr>
                <w:sz w:val="24"/>
              </w:rPr>
              <w:t>无须供应商提供，由</w:t>
            </w:r>
            <w:r>
              <w:rPr>
                <w:rFonts w:hint="eastAsia"/>
                <w:sz w:val="24"/>
              </w:rPr>
              <w:t>磋商小组</w:t>
            </w:r>
            <w:r>
              <w:rPr>
                <w:sz w:val="24"/>
              </w:rPr>
              <w:t>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1-4</w:t>
            </w:r>
          </w:p>
        </w:tc>
        <w:tc>
          <w:tcPr>
            <w:tcW w:w="1700" w:type="dxa"/>
            <w:noWrap w:val="0"/>
            <w:vAlign w:val="center"/>
          </w:tcPr>
          <w:p>
            <w:pPr>
              <w:tabs>
                <w:tab w:val="left" w:pos="1080"/>
              </w:tabs>
              <w:snapToGrid w:val="0"/>
              <w:rPr>
                <w:sz w:val="24"/>
              </w:rPr>
            </w:pPr>
            <w:r>
              <w:rPr>
                <w:sz w:val="24"/>
              </w:rPr>
              <w:t>法律、行政法规规定的其他条件</w:t>
            </w:r>
          </w:p>
        </w:tc>
        <w:tc>
          <w:tcPr>
            <w:tcW w:w="4674" w:type="dxa"/>
            <w:noWrap w:val="0"/>
            <w:vAlign w:val="center"/>
          </w:tcPr>
          <w:p>
            <w:pPr>
              <w:tabs>
                <w:tab w:val="left" w:pos="1080"/>
              </w:tabs>
              <w:snapToGrid w:val="0"/>
              <w:rPr>
                <w:sz w:val="24"/>
              </w:rPr>
            </w:pPr>
            <w:r>
              <w:rPr>
                <w:sz w:val="24"/>
              </w:rPr>
              <w:t>法律、行政法规规定的其他条件</w:t>
            </w:r>
          </w:p>
        </w:tc>
        <w:tc>
          <w:tcPr>
            <w:tcW w:w="1863" w:type="dxa"/>
            <w:noWrap w:val="0"/>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2</w:t>
            </w:r>
          </w:p>
        </w:tc>
        <w:tc>
          <w:tcPr>
            <w:tcW w:w="1700" w:type="dxa"/>
            <w:noWrap w:val="0"/>
            <w:vAlign w:val="center"/>
          </w:tcPr>
          <w:p>
            <w:pPr>
              <w:tabs>
                <w:tab w:val="left" w:pos="1080"/>
              </w:tabs>
              <w:snapToGrid w:val="0"/>
              <w:jc w:val="left"/>
              <w:rPr>
                <w:sz w:val="24"/>
              </w:rPr>
            </w:pPr>
            <w:r>
              <w:rPr>
                <w:sz w:val="24"/>
              </w:rPr>
              <w:t>落实政府采购政策需满足的资格要求</w:t>
            </w:r>
          </w:p>
        </w:tc>
        <w:tc>
          <w:tcPr>
            <w:tcW w:w="4674" w:type="dxa"/>
            <w:noWrap w:val="0"/>
            <w:vAlign w:val="center"/>
          </w:tcPr>
          <w:p>
            <w:pPr>
              <w:tabs>
                <w:tab w:val="left" w:pos="1080"/>
              </w:tabs>
              <w:snapToGrid w:val="0"/>
              <w:jc w:val="left"/>
              <w:rPr>
                <w:sz w:val="24"/>
              </w:rPr>
            </w:pPr>
            <w:r>
              <w:rPr>
                <w:sz w:val="24"/>
              </w:rPr>
              <w:t>具体要求见第一章《采购邀请》</w:t>
            </w:r>
          </w:p>
        </w:tc>
        <w:tc>
          <w:tcPr>
            <w:tcW w:w="1863" w:type="dxa"/>
            <w:noWrap w:val="0"/>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2-1</w:t>
            </w:r>
          </w:p>
        </w:tc>
        <w:tc>
          <w:tcPr>
            <w:tcW w:w="1700" w:type="dxa"/>
            <w:noWrap w:val="0"/>
            <w:vAlign w:val="center"/>
          </w:tcPr>
          <w:p>
            <w:pPr>
              <w:tabs>
                <w:tab w:val="left" w:pos="1080"/>
              </w:tabs>
              <w:snapToGrid w:val="0"/>
              <w:jc w:val="left"/>
              <w:rPr>
                <w:sz w:val="24"/>
              </w:rPr>
            </w:pPr>
            <w:r>
              <w:rPr>
                <w:sz w:val="24"/>
              </w:rPr>
              <w:t>中小企业政策</w:t>
            </w:r>
            <w:r>
              <w:rPr>
                <w:rFonts w:hint="eastAsia"/>
                <w:sz w:val="24"/>
              </w:rPr>
              <w:t>证明文件</w:t>
            </w:r>
          </w:p>
        </w:tc>
        <w:tc>
          <w:tcPr>
            <w:tcW w:w="4674" w:type="dxa"/>
            <w:noWrap w:val="0"/>
            <w:vAlign w:val="center"/>
          </w:tcPr>
          <w:p>
            <w:pPr>
              <w:tabs>
                <w:tab w:val="left" w:pos="1080"/>
              </w:tabs>
              <w:snapToGrid w:val="0"/>
              <w:jc w:val="left"/>
              <w:rPr>
                <w:sz w:val="24"/>
              </w:rPr>
            </w:pPr>
            <w:r>
              <w:rPr>
                <w:sz w:val="24"/>
              </w:rPr>
              <w:t>具体要求见第一章《采购邀请》</w:t>
            </w:r>
          </w:p>
        </w:tc>
        <w:tc>
          <w:tcPr>
            <w:tcW w:w="1863" w:type="dxa"/>
            <w:noWrap w:val="0"/>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2-1-1</w:t>
            </w:r>
          </w:p>
        </w:tc>
        <w:tc>
          <w:tcPr>
            <w:tcW w:w="1700" w:type="dxa"/>
            <w:noWrap w:val="0"/>
            <w:vAlign w:val="center"/>
          </w:tcPr>
          <w:p>
            <w:pPr>
              <w:tabs>
                <w:tab w:val="left" w:pos="1080"/>
              </w:tabs>
              <w:snapToGrid w:val="0"/>
              <w:jc w:val="left"/>
              <w:rPr>
                <w:sz w:val="24"/>
              </w:rPr>
            </w:pPr>
            <w:r>
              <w:rPr>
                <w:sz w:val="24"/>
              </w:rPr>
              <w:t>中小企业证明文件</w:t>
            </w:r>
          </w:p>
        </w:tc>
        <w:tc>
          <w:tcPr>
            <w:tcW w:w="4674" w:type="dxa"/>
            <w:noWrap w:val="0"/>
            <w:vAlign w:val="center"/>
          </w:tcPr>
          <w:p>
            <w:pPr>
              <w:tabs>
                <w:tab w:val="left" w:pos="1080"/>
              </w:tabs>
              <w:snapToGrid w:val="0"/>
              <w:jc w:val="left"/>
              <w:rPr>
                <w:sz w:val="24"/>
              </w:rPr>
            </w:pPr>
            <w:r>
              <w:rPr>
                <w:sz w:val="24"/>
              </w:rPr>
              <w:t xml:space="preserve">当本项目（包）涉及预留份额专门面向中小企业采购，提供如下资料： </w:t>
            </w:r>
          </w:p>
          <w:p>
            <w:pPr>
              <w:tabs>
                <w:tab w:val="left" w:pos="1080"/>
              </w:tabs>
              <w:snapToGrid w:val="0"/>
              <w:jc w:val="left"/>
              <w:rPr>
                <w:sz w:val="24"/>
              </w:rPr>
            </w:pPr>
            <w:r>
              <w:rPr>
                <w:sz w:val="24"/>
              </w:rPr>
              <w:t>1、供应商单独响应的，应提供《中小企业声明函》或《残疾人福利性单位声明函》或由省级以上监狱管理局、戒毒管理局（含新疆生产建设兵团）出具的属于监狱企业的证明文件。</w:t>
            </w:r>
          </w:p>
          <w:p>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sz w:val="24"/>
              </w:rPr>
              <w:t>磋商</w:t>
            </w:r>
            <w:r>
              <w:rPr>
                <w:sz w:val="24"/>
              </w:rPr>
              <w:t>文件关于预留份额的要求。</w:t>
            </w:r>
          </w:p>
        </w:tc>
        <w:tc>
          <w:tcPr>
            <w:tcW w:w="1863" w:type="dxa"/>
            <w:noWrap w:val="0"/>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2-1-2</w:t>
            </w:r>
          </w:p>
        </w:tc>
        <w:tc>
          <w:tcPr>
            <w:tcW w:w="1700" w:type="dxa"/>
            <w:noWrap w:val="0"/>
            <w:vAlign w:val="center"/>
          </w:tcPr>
          <w:p>
            <w:pPr>
              <w:tabs>
                <w:tab w:val="left" w:pos="1080"/>
              </w:tabs>
              <w:snapToGrid w:val="0"/>
              <w:jc w:val="left"/>
              <w:rPr>
                <w:sz w:val="24"/>
              </w:rPr>
            </w:pPr>
            <w:r>
              <w:rPr>
                <w:sz w:val="24"/>
              </w:rPr>
              <w:t>拟分包情况说明及分包意向协议</w:t>
            </w:r>
          </w:p>
        </w:tc>
        <w:tc>
          <w:tcPr>
            <w:tcW w:w="4674" w:type="dxa"/>
            <w:noWrap w:val="0"/>
            <w:vAlign w:val="center"/>
          </w:tcPr>
          <w:p>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noWrap w:val="0"/>
            <w:vAlign w:val="center"/>
          </w:tcPr>
          <w:p>
            <w:pPr>
              <w:tabs>
                <w:tab w:val="left" w:pos="1080"/>
              </w:tabs>
              <w:snapToGrid w:val="0"/>
              <w:jc w:val="left"/>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2-2</w:t>
            </w:r>
          </w:p>
        </w:tc>
        <w:tc>
          <w:tcPr>
            <w:tcW w:w="1700" w:type="dxa"/>
            <w:noWrap w:val="0"/>
            <w:vAlign w:val="center"/>
          </w:tcPr>
          <w:p>
            <w:pPr>
              <w:tabs>
                <w:tab w:val="left" w:pos="1080"/>
              </w:tabs>
              <w:snapToGrid w:val="0"/>
              <w:jc w:val="left"/>
              <w:rPr>
                <w:sz w:val="24"/>
              </w:rPr>
            </w:pPr>
            <w:r>
              <w:rPr>
                <w:sz w:val="24"/>
              </w:rPr>
              <w:t>其它落实政府采购政策的资格要求</w:t>
            </w:r>
          </w:p>
        </w:tc>
        <w:tc>
          <w:tcPr>
            <w:tcW w:w="4674" w:type="dxa"/>
            <w:noWrap w:val="0"/>
            <w:vAlign w:val="center"/>
          </w:tcPr>
          <w:p>
            <w:pPr>
              <w:tabs>
                <w:tab w:val="left" w:pos="1080"/>
              </w:tabs>
              <w:snapToGrid w:val="0"/>
              <w:jc w:val="left"/>
              <w:rPr>
                <w:sz w:val="24"/>
              </w:rPr>
            </w:pPr>
            <w:r>
              <w:rPr>
                <w:sz w:val="24"/>
              </w:rPr>
              <w:t>如有，见第一章《采购邀请》</w:t>
            </w:r>
          </w:p>
        </w:tc>
        <w:tc>
          <w:tcPr>
            <w:tcW w:w="1863" w:type="dxa"/>
            <w:noWrap w:val="0"/>
            <w:vAlign w:val="center"/>
          </w:tcPr>
          <w:p>
            <w:pPr>
              <w:tabs>
                <w:tab w:val="left" w:pos="1080"/>
              </w:tabs>
              <w:snapToGrid w:val="0"/>
              <w:jc w:val="left"/>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3</w:t>
            </w:r>
          </w:p>
        </w:tc>
        <w:tc>
          <w:tcPr>
            <w:tcW w:w="1700" w:type="dxa"/>
            <w:noWrap w:val="0"/>
            <w:vAlign w:val="center"/>
          </w:tcPr>
          <w:p>
            <w:pPr>
              <w:tabs>
                <w:tab w:val="left" w:pos="1080"/>
              </w:tabs>
              <w:snapToGrid w:val="0"/>
              <w:jc w:val="left"/>
              <w:rPr>
                <w:sz w:val="24"/>
              </w:rPr>
            </w:pPr>
            <w:r>
              <w:rPr>
                <w:sz w:val="24"/>
              </w:rPr>
              <w:t>本项目的特定资格要求</w:t>
            </w:r>
          </w:p>
        </w:tc>
        <w:tc>
          <w:tcPr>
            <w:tcW w:w="4674" w:type="dxa"/>
            <w:noWrap w:val="0"/>
            <w:vAlign w:val="center"/>
          </w:tcPr>
          <w:p>
            <w:pPr>
              <w:tabs>
                <w:tab w:val="left" w:pos="1080"/>
              </w:tabs>
              <w:snapToGrid w:val="0"/>
              <w:jc w:val="left"/>
              <w:rPr>
                <w:sz w:val="24"/>
              </w:rPr>
            </w:pPr>
            <w:r>
              <w:rPr>
                <w:sz w:val="24"/>
              </w:rPr>
              <w:t>如有，见第一章《采购邀请》</w:t>
            </w:r>
          </w:p>
        </w:tc>
        <w:tc>
          <w:tcPr>
            <w:tcW w:w="1863" w:type="dxa"/>
            <w:noWrap w:val="0"/>
            <w:vAlign w:val="center"/>
          </w:tcPr>
          <w:p>
            <w:pPr>
              <w:tabs>
                <w:tab w:val="left" w:pos="1080"/>
              </w:tabs>
              <w:snapToGrid w:val="0"/>
              <w:jc w:val="lef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3-1</w:t>
            </w:r>
          </w:p>
        </w:tc>
        <w:tc>
          <w:tcPr>
            <w:tcW w:w="1700" w:type="dxa"/>
            <w:noWrap w:val="0"/>
            <w:vAlign w:val="center"/>
          </w:tcPr>
          <w:p>
            <w:pPr>
              <w:tabs>
                <w:tab w:val="left" w:pos="1080"/>
              </w:tabs>
              <w:snapToGrid w:val="0"/>
              <w:rPr>
                <w:sz w:val="24"/>
              </w:rPr>
            </w:pPr>
            <w:r>
              <w:rPr>
                <w:sz w:val="24"/>
              </w:rPr>
              <w:t>本项目对于联合体的要求</w:t>
            </w:r>
          </w:p>
        </w:tc>
        <w:tc>
          <w:tcPr>
            <w:tcW w:w="4674" w:type="dxa"/>
            <w:noWrap w:val="0"/>
            <w:vAlign w:val="center"/>
          </w:tcPr>
          <w:p>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响应无效</w:t>
            </w:r>
            <w:r>
              <w:rPr>
                <w:sz w:val="24"/>
              </w:rPr>
              <w:t>。</w:t>
            </w:r>
          </w:p>
          <w:p>
            <w:pPr>
              <w:tabs>
                <w:tab w:val="left" w:pos="1080"/>
              </w:tabs>
              <w:snapToGrid w:val="0"/>
              <w:rPr>
                <w:sz w:val="24"/>
              </w:rPr>
            </w:pPr>
            <w:r>
              <w:rPr>
                <w:sz w:val="24"/>
              </w:rPr>
              <w:t xml:space="preserve">7、本项目不接受联合体响应时，供应商不得为联合体。 </w:t>
            </w:r>
          </w:p>
        </w:tc>
        <w:tc>
          <w:tcPr>
            <w:tcW w:w="1863" w:type="dxa"/>
            <w:noWrap w:val="0"/>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3-2</w:t>
            </w:r>
          </w:p>
        </w:tc>
        <w:tc>
          <w:tcPr>
            <w:tcW w:w="1700" w:type="dxa"/>
            <w:noWrap w:val="0"/>
            <w:vAlign w:val="center"/>
          </w:tcPr>
          <w:p>
            <w:pPr>
              <w:tabs>
                <w:tab w:val="left" w:pos="1080"/>
              </w:tabs>
              <w:snapToGrid w:val="0"/>
              <w:rPr>
                <w:sz w:val="24"/>
              </w:rPr>
            </w:pPr>
            <w:r>
              <w:rPr>
                <w:sz w:val="24"/>
              </w:rPr>
              <w:t>政府购买服务承接主体的要求</w:t>
            </w:r>
          </w:p>
        </w:tc>
        <w:tc>
          <w:tcPr>
            <w:tcW w:w="4674" w:type="dxa"/>
            <w:noWrap w:val="0"/>
            <w:vAlign w:val="center"/>
          </w:tcPr>
          <w:p>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noWrap w:val="0"/>
            <w:vAlign w:val="center"/>
          </w:tcPr>
          <w:p>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3-3</w:t>
            </w:r>
          </w:p>
        </w:tc>
        <w:tc>
          <w:tcPr>
            <w:tcW w:w="1700" w:type="dxa"/>
            <w:noWrap w:val="0"/>
            <w:vAlign w:val="center"/>
          </w:tcPr>
          <w:p>
            <w:pPr>
              <w:tabs>
                <w:tab w:val="left" w:pos="1080"/>
              </w:tabs>
              <w:snapToGrid w:val="0"/>
              <w:rPr>
                <w:sz w:val="24"/>
              </w:rPr>
            </w:pPr>
            <w:r>
              <w:rPr>
                <w:sz w:val="24"/>
              </w:rPr>
              <w:t>其他特定资格要求</w:t>
            </w:r>
          </w:p>
        </w:tc>
        <w:tc>
          <w:tcPr>
            <w:tcW w:w="4674" w:type="dxa"/>
            <w:noWrap w:val="0"/>
            <w:vAlign w:val="center"/>
          </w:tcPr>
          <w:p>
            <w:pPr>
              <w:tabs>
                <w:tab w:val="left" w:pos="1080"/>
              </w:tabs>
              <w:snapToGrid w:val="0"/>
              <w:rPr>
                <w:sz w:val="24"/>
              </w:rPr>
            </w:pPr>
            <w:r>
              <w:rPr>
                <w:color w:val="000000"/>
                <w:sz w:val="24"/>
              </w:rPr>
              <w:t>如有，见</w:t>
            </w:r>
            <w:r>
              <w:rPr>
                <w:sz w:val="24"/>
              </w:rPr>
              <w:t>第一章《采购邀请》</w:t>
            </w:r>
          </w:p>
          <w:p>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863" w:type="dxa"/>
            <w:noWrap w:val="0"/>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sz w:val="24"/>
              </w:rPr>
              <w:t>4</w:t>
            </w:r>
          </w:p>
        </w:tc>
        <w:tc>
          <w:tcPr>
            <w:tcW w:w="1700" w:type="dxa"/>
            <w:noWrap w:val="0"/>
            <w:vAlign w:val="center"/>
          </w:tcPr>
          <w:p>
            <w:pPr>
              <w:tabs>
                <w:tab w:val="left" w:pos="1080"/>
              </w:tabs>
              <w:snapToGrid w:val="0"/>
              <w:rPr>
                <w:sz w:val="24"/>
              </w:rPr>
            </w:pPr>
            <w:r>
              <w:rPr>
                <w:color w:val="000000"/>
                <w:kern w:val="0"/>
                <w:sz w:val="24"/>
              </w:rPr>
              <w:t>磋商保证金</w:t>
            </w:r>
            <w:r>
              <w:rPr>
                <w:rFonts w:hint="eastAsia"/>
                <w:sz w:val="24"/>
              </w:rPr>
              <w:t>（本项目不涉及）</w:t>
            </w:r>
          </w:p>
        </w:tc>
        <w:tc>
          <w:tcPr>
            <w:tcW w:w="4674" w:type="dxa"/>
            <w:noWrap w:val="0"/>
            <w:vAlign w:val="center"/>
          </w:tcPr>
          <w:p>
            <w:pPr>
              <w:tabs>
                <w:tab w:val="left" w:pos="1080"/>
              </w:tabs>
              <w:snapToGrid w:val="0"/>
              <w:rPr>
                <w:color w:val="000000"/>
                <w:sz w:val="24"/>
              </w:rPr>
            </w:pPr>
            <w:r>
              <w:rPr>
                <w:color w:val="000000"/>
                <w:kern w:val="0"/>
                <w:sz w:val="24"/>
              </w:rPr>
              <w:t>按照竞争性磋商文件的要求提交磋商保证金。</w:t>
            </w:r>
          </w:p>
        </w:tc>
        <w:tc>
          <w:tcPr>
            <w:tcW w:w="1863" w:type="dxa"/>
            <w:noWrap w:val="0"/>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25" w:type="dxa"/>
            <w:noWrap w:val="0"/>
            <w:vAlign w:val="center"/>
          </w:tcPr>
          <w:p>
            <w:pPr>
              <w:tabs>
                <w:tab w:val="left" w:pos="1080"/>
              </w:tabs>
              <w:snapToGrid w:val="0"/>
              <w:jc w:val="center"/>
              <w:rPr>
                <w:sz w:val="24"/>
              </w:rPr>
            </w:pPr>
            <w:r>
              <w:rPr>
                <w:rFonts w:hint="eastAsia"/>
                <w:sz w:val="24"/>
              </w:rPr>
              <w:t>5</w:t>
            </w:r>
          </w:p>
        </w:tc>
        <w:tc>
          <w:tcPr>
            <w:tcW w:w="1700" w:type="dxa"/>
            <w:noWrap w:val="0"/>
            <w:vAlign w:val="center"/>
          </w:tcPr>
          <w:p>
            <w:pPr>
              <w:tabs>
                <w:tab w:val="left" w:pos="1080"/>
              </w:tabs>
              <w:snapToGrid w:val="0"/>
              <w:rPr>
                <w:color w:val="000000"/>
                <w:kern w:val="0"/>
                <w:sz w:val="24"/>
              </w:rPr>
            </w:pPr>
            <w:r>
              <w:rPr>
                <w:rFonts w:hint="eastAsia"/>
                <w:color w:val="000000"/>
                <w:kern w:val="0"/>
                <w:sz w:val="24"/>
              </w:rPr>
              <w:t>获取磋商文件</w:t>
            </w:r>
          </w:p>
        </w:tc>
        <w:tc>
          <w:tcPr>
            <w:tcW w:w="4674" w:type="dxa"/>
            <w:noWrap w:val="0"/>
            <w:vAlign w:val="center"/>
          </w:tcPr>
          <w:p>
            <w:pPr>
              <w:tabs>
                <w:tab w:val="left" w:pos="1080"/>
              </w:tabs>
              <w:snapToGrid w:val="0"/>
              <w:rPr>
                <w:color w:val="000000"/>
                <w:kern w:val="0"/>
                <w:sz w:val="24"/>
              </w:rPr>
            </w:pPr>
            <w:r>
              <w:rPr>
                <w:rFonts w:hint="eastAsia"/>
                <w:color w:val="000000"/>
                <w:kern w:val="0"/>
                <w:sz w:val="24"/>
              </w:rPr>
              <w:t>在规定期限内通过北京市公共资源交易中心政府采购全流程电子化招投标系统获取所参与包的竞争性磋商文件。</w:t>
            </w:r>
          </w:p>
          <w:p>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863" w:type="dxa"/>
            <w:noWrap w:val="0"/>
            <w:vAlign w:val="center"/>
          </w:tcPr>
          <w:p>
            <w:pPr>
              <w:tabs>
                <w:tab w:val="left" w:pos="1080"/>
              </w:tabs>
              <w:snapToGrid w:val="0"/>
              <w:rPr>
                <w:sz w:val="24"/>
              </w:rPr>
            </w:pPr>
          </w:p>
        </w:tc>
      </w:tr>
    </w:tbl>
    <w:p>
      <w:pPr>
        <w:widowControl/>
        <w:jc w:val="left"/>
        <w:rPr>
          <w:sz w:val="24"/>
        </w:rPr>
      </w:pPr>
    </w:p>
    <w:p>
      <w:pPr>
        <w:numPr>
          <w:ilvl w:val="1"/>
          <w:numId w:val="13"/>
        </w:numPr>
        <w:tabs>
          <w:tab w:val="left" w:pos="1080"/>
        </w:tabs>
        <w:snapToGrid w:val="0"/>
        <w:spacing w:line="360" w:lineRule="auto"/>
        <w:ind w:left="1077" w:hanging="720"/>
        <w:rPr>
          <w:sz w:val="24"/>
        </w:rPr>
      </w:pPr>
      <w:r>
        <w:rPr>
          <w:sz w:val="24"/>
        </w:rPr>
        <w:t>《符合性审查要求》见下表：</w:t>
      </w:r>
    </w:p>
    <w:p>
      <w:pPr>
        <w:widowControl/>
        <w:spacing w:line="360" w:lineRule="auto"/>
        <w:jc w:val="center"/>
        <w:rPr>
          <w:b/>
          <w:color w:val="000000"/>
          <w:kern w:val="0"/>
          <w:sz w:val="24"/>
        </w:rPr>
      </w:pPr>
      <w:r>
        <w:rPr>
          <w:b/>
          <w:color w:val="000000"/>
          <w:kern w:val="0"/>
          <w:sz w:val="24"/>
        </w:rPr>
        <w:t>符合性审查要求</w:t>
      </w:r>
    </w:p>
    <w:tbl>
      <w:tblPr>
        <w:tblStyle w:val="42"/>
        <w:tblW w:w="90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44"/>
        <w:gridCol w:w="467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825" w:type="dxa"/>
            <w:noWrap w:val="0"/>
            <w:vAlign w:val="center"/>
          </w:tcPr>
          <w:p>
            <w:pPr>
              <w:widowControl/>
              <w:jc w:val="center"/>
              <w:rPr>
                <w:b/>
                <w:color w:val="000000"/>
                <w:kern w:val="0"/>
                <w:sz w:val="24"/>
              </w:rPr>
            </w:pPr>
            <w:r>
              <w:rPr>
                <w:b/>
                <w:color w:val="000000"/>
                <w:kern w:val="0"/>
                <w:sz w:val="24"/>
              </w:rPr>
              <w:t>序号</w:t>
            </w:r>
          </w:p>
        </w:tc>
        <w:tc>
          <w:tcPr>
            <w:tcW w:w="1644" w:type="dxa"/>
            <w:noWrap w:val="0"/>
            <w:vAlign w:val="center"/>
          </w:tcPr>
          <w:p>
            <w:pPr>
              <w:widowControl/>
              <w:jc w:val="center"/>
              <w:rPr>
                <w:b/>
                <w:color w:val="000000"/>
                <w:kern w:val="0"/>
                <w:sz w:val="24"/>
              </w:rPr>
            </w:pPr>
            <w:r>
              <w:rPr>
                <w:b/>
                <w:sz w:val="24"/>
              </w:rPr>
              <w:t>检查</w:t>
            </w:r>
            <w:r>
              <w:rPr>
                <w:b/>
                <w:color w:val="000000"/>
                <w:kern w:val="0"/>
                <w:sz w:val="24"/>
              </w:rPr>
              <w:t>因素</w:t>
            </w:r>
          </w:p>
        </w:tc>
        <w:tc>
          <w:tcPr>
            <w:tcW w:w="4674" w:type="dxa"/>
            <w:noWrap w:val="0"/>
            <w:vAlign w:val="center"/>
          </w:tcPr>
          <w:p>
            <w:pPr>
              <w:widowControl/>
              <w:jc w:val="center"/>
              <w:rPr>
                <w:b/>
                <w:color w:val="000000"/>
                <w:kern w:val="0"/>
                <w:sz w:val="24"/>
              </w:rPr>
            </w:pPr>
            <w:r>
              <w:rPr>
                <w:b/>
                <w:sz w:val="24"/>
              </w:rPr>
              <w:t>检查</w:t>
            </w:r>
            <w:r>
              <w:rPr>
                <w:b/>
                <w:color w:val="000000"/>
                <w:kern w:val="0"/>
                <w:sz w:val="24"/>
              </w:rPr>
              <w:t>内容</w:t>
            </w:r>
          </w:p>
        </w:tc>
        <w:tc>
          <w:tcPr>
            <w:tcW w:w="1863" w:type="dxa"/>
            <w:noWrap w:val="0"/>
            <w:vAlign w:val="center"/>
          </w:tcPr>
          <w:p>
            <w:pPr>
              <w:widowControl/>
              <w:jc w:val="center"/>
              <w:rPr>
                <w:b/>
                <w:color w:val="000000"/>
                <w:kern w:val="0"/>
                <w:sz w:val="24"/>
              </w:rPr>
            </w:pPr>
            <w:r>
              <w:rPr>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1</w:t>
            </w:r>
          </w:p>
        </w:tc>
        <w:tc>
          <w:tcPr>
            <w:tcW w:w="1644" w:type="dxa"/>
            <w:noWrap w:val="0"/>
            <w:vAlign w:val="center"/>
          </w:tcPr>
          <w:p>
            <w:pPr>
              <w:widowControl/>
              <w:jc w:val="left"/>
              <w:rPr>
                <w:color w:val="000000"/>
                <w:kern w:val="0"/>
                <w:sz w:val="24"/>
              </w:rPr>
            </w:pPr>
            <w:r>
              <w:rPr>
                <w:color w:val="000000"/>
                <w:kern w:val="0"/>
                <w:sz w:val="24"/>
              </w:rPr>
              <w:t>授权委托书</w:t>
            </w:r>
          </w:p>
        </w:tc>
        <w:tc>
          <w:tcPr>
            <w:tcW w:w="4674" w:type="dxa"/>
            <w:noWrap w:val="0"/>
            <w:vAlign w:val="center"/>
          </w:tcPr>
          <w:p>
            <w:pPr>
              <w:widowControl/>
              <w:jc w:val="left"/>
              <w:rPr>
                <w:color w:val="000000"/>
                <w:kern w:val="0"/>
                <w:sz w:val="24"/>
              </w:rPr>
            </w:pPr>
            <w:r>
              <w:rPr>
                <w:color w:val="000000"/>
                <w:kern w:val="0"/>
                <w:sz w:val="24"/>
              </w:rPr>
              <w:t>按</w:t>
            </w:r>
            <w:r>
              <w:rPr>
                <w:rFonts w:hint="eastAsia"/>
                <w:color w:val="000000"/>
                <w:kern w:val="0"/>
                <w:sz w:val="24"/>
              </w:rPr>
              <w:t>磋商</w:t>
            </w:r>
            <w:r>
              <w:rPr>
                <w:color w:val="000000"/>
                <w:kern w:val="0"/>
                <w:sz w:val="24"/>
              </w:rPr>
              <w:t>文件要求提供授权委托书；</w:t>
            </w:r>
          </w:p>
        </w:tc>
        <w:tc>
          <w:tcPr>
            <w:tcW w:w="1863" w:type="dxa"/>
            <w:noWrap w:val="0"/>
            <w:vAlign w:val="center"/>
          </w:tcPr>
          <w:p>
            <w:pPr>
              <w:widowControl/>
              <w:jc w:val="left"/>
              <w:rPr>
                <w:rFonts w:hint="eastAsia"/>
                <w:color w:val="000000"/>
                <w:kern w:val="0"/>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2</w:t>
            </w:r>
          </w:p>
        </w:tc>
        <w:tc>
          <w:tcPr>
            <w:tcW w:w="1644" w:type="dxa"/>
            <w:noWrap w:val="0"/>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4674" w:type="dxa"/>
            <w:noWrap w:val="0"/>
            <w:vAlign w:val="center"/>
          </w:tcPr>
          <w:p>
            <w:pPr>
              <w:widowControl/>
              <w:jc w:val="left"/>
              <w:rPr>
                <w:color w:val="000000"/>
                <w:kern w:val="0"/>
                <w:sz w:val="24"/>
              </w:rPr>
            </w:pPr>
            <w:r>
              <w:rPr>
                <w:sz w:val="24"/>
              </w:rPr>
              <w:t>未将一个采购包中的内容拆分</w:t>
            </w:r>
            <w:r>
              <w:rPr>
                <w:rFonts w:hint="eastAsia"/>
                <w:sz w:val="24"/>
              </w:rPr>
              <w:t>响应</w:t>
            </w:r>
            <w:r>
              <w:rPr>
                <w:sz w:val="24"/>
              </w:rPr>
              <w:t>；</w:t>
            </w:r>
          </w:p>
        </w:tc>
        <w:tc>
          <w:tcPr>
            <w:tcW w:w="1863" w:type="dxa"/>
            <w:noWrap w:val="0"/>
            <w:vAlign w:val="center"/>
          </w:tcPr>
          <w:p>
            <w:pPr>
              <w:widowControl/>
              <w:jc w:val="left"/>
              <w:rPr>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3</w:t>
            </w:r>
          </w:p>
        </w:tc>
        <w:tc>
          <w:tcPr>
            <w:tcW w:w="1644" w:type="dxa"/>
            <w:noWrap w:val="0"/>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4674" w:type="dxa"/>
            <w:noWrap w:val="0"/>
            <w:vAlign w:val="center"/>
          </w:tcPr>
          <w:p>
            <w:pPr>
              <w:widowControl/>
              <w:jc w:val="left"/>
              <w:rPr>
                <w:color w:val="000000"/>
                <w:kern w:val="0"/>
                <w:sz w:val="24"/>
              </w:rPr>
            </w:pPr>
            <w:r>
              <w:rPr>
                <w:rFonts w:hint="eastAsia"/>
                <w:color w:val="000000"/>
                <w:kern w:val="0"/>
                <w:sz w:val="24"/>
              </w:rPr>
              <w:t>首次报价、最后报价等各轮响应</w:t>
            </w:r>
            <w:r>
              <w:rPr>
                <w:color w:val="000000"/>
                <w:kern w:val="0"/>
                <w:sz w:val="24"/>
              </w:rPr>
              <w:t>报价未</w:t>
            </w:r>
            <w:r>
              <w:rPr>
                <w:color w:val="000000"/>
                <w:sz w:val="24"/>
              </w:rPr>
              <w:t>超过</w:t>
            </w:r>
            <w:r>
              <w:rPr>
                <w:rFonts w:hint="eastAsia"/>
                <w:color w:val="000000"/>
                <w:sz w:val="24"/>
              </w:rPr>
              <w:t>磋商</w:t>
            </w:r>
            <w:r>
              <w:rPr>
                <w:color w:val="000000"/>
                <w:sz w:val="24"/>
              </w:rPr>
              <w:t>文件中规定的项目/采购包预算金额或者项目/采购包最高限价</w:t>
            </w:r>
            <w:r>
              <w:rPr>
                <w:color w:val="000000"/>
                <w:kern w:val="0"/>
                <w:sz w:val="24"/>
              </w:rPr>
              <w:t>；</w:t>
            </w:r>
          </w:p>
        </w:tc>
        <w:tc>
          <w:tcPr>
            <w:tcW w:w="1863" w:type="dxa"/>
            <w:noWrap w:val="0"/>
            <w:vAlign w:val="center"/>
          </w:tcPr>
          <w:p>
            <w:pPr>
              <w:widowControl/>
              <w:jc w:val="left"/>
              <w:rPr>
                <w:rFonts w:hint="eastAsia"/>
                <w:color w:val="000000"/>
                <w:kern w:val="0"/>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4</w:t>
            </w:r>
          </w:p>
        </w:tc>
        <w:tc>
          <w:tcPr>
            <w:tcW w:w="1644" w:type="dxa"/>
            <w:noWrap w:val="0"/>
            <w:vAlign w:val="center"/>
          </w:tcPr>
          <w:p>
            <w:pPr>
              <w:widowControl/>
              <w:jc w:val="left"/>
              <w:rPr>
                <w:color w:val="000000"/>
                <w:kern w:val="0"/>
                <w:sz w:val="24"/>
              </w:rPr>
            </w:pPr>
            <w:r>
              <w:rPr>
                <w:color w:val="000000"/>
                <w:kern w:val="0"/>
                <w:sz w:val="24"/>
              </w:rPr>
              <w:t>报价唯一性</w:t>
            </w:r>
          </w:p>
        </w:tc>
        <w:tc>
          <w:tcPr>
            <w:tcW w:w="4674" w:type="dxa"/>
            <w:noWrap w:val="0"/>
            <w:vAlign w:val="center"/>
          </w:tcPr>
          <w:p>
            <w:pPr>
              <w:widowControl/>
              <w:jc w:val="left"/>
              <w:rPr>
                <w:color w:val="000000"/>
                <w:kern w:val="0"/>
                <w:sz w:val="24"/>
              </w:rPr>
            </w:pPr>
            <w:r>
              <w:rPr>
                <w:rFonts w:hint="eastAsia"/>
                <w:color w:val="000000"/>
                <w:kern w:val="0"/>
                <w:sz w:val="24"/>
              </w:rPr>
              <w:t>响应</w:t>
            </w:r>
            <w:r>
              <w:rPr>
                <w:color w:val="000000"/>
                <w:kern w:val="0"/>
                <w:sz w:val="24"/>
              </w:rPr>
              <w:t>文件未</w:t>
            </w:r>
            <w:r>
              <w:rPr>
                <w:sz w:val="24"/>
              </w:rPr>
              <w:t>出现可选择性或可调整的报价（</w:t>
            </w:r>
            <w:r>
              <w:rPr>
                <w:rFonts w:hint="eastAsia"/>
                <w:sz w:val="24"/>
              </w:rPr>
              <w:t>磋商</w:t>
            </w:r>
            <w:r>
              <w:rPr>
                <w:sz w:val="24"/>
              </w:rPr>
              <w:t>文件另有规定的除外）</w:t>
            </w:r>
            <w:r>
              <w:rPr>
                <w:color w:val="000000"/>
                <w:kern w:val="0"/>
                <w:sz w:val="24"/>
              </w:rPr>
              <w:t>；</w:t>
            </w:r>
          </w:p>
        </w:tc>
        <w:tc>
          <w:tcPr>
            <w:tcW w:w="1863" w:type="dxa"/>
            <w:noWrap w:val="0"/>
            <w:vAlign w:val="center"/>
          </w:tcPr>
          <w:p>
            <w:pPr>
              <w:widowControl/>
              <w:jc w:val="left"/>
              <w:rPr>
                <w:rFonts w:hint="eastAsia"/>
                <w:color w:val="000000"/>
                <w:kern w:val="0"/>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5</w:t>
            </w:r>
          </w:p>
        </w:tc>
        <w:tc>
          <w:tcPr>
            <w:tcW w:w="1644" w:type="dxa"/>
            <w:noWrap w:val="0"/>
            <w:vAlign w:val="center"/>
          </w:tcPr>
          <w:p>
            <w:pPr>
              <w:widowControl/>
              <w:jc w:val="left"/>
              <w:rPr>
                <w:color w:val="000000"/>
                <w:kern w:val="0"/>
                <w:sz w:val="24"/>
              </w:rPr>
            </w:pPr>
            <w:r>
              <w:rPr>
                <w:rFonts w:hint="eastAsia"/>
                <w:color w:val="000000"/>
                <w:kern w:val="0"/>
                <w:sz w:val="24"/>
              </w:rPr>
              <w:t>响应</w:t>
            </w:r>
            <w:r>
              <w:rPr>
                <w:color w:val="000000"/>
                <w:kern w:val="0"/>
                <w:sz w:val="24"/>
              </w:rPr>
              <w:t>有效期</w:t>
            </w:r>
          </w:p>
        </w:tc>
        <w:tc>
          <w:tcPr>
            <w:tcW w:w="4674" w:type="dxa"/>
            <w:noWrap w:val="0"/>
            <w:vAlign w:val="center"/>
          </w:tcPr>
          <w:p>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有效期满足</w:t>
            </w:r>
            <w:r>
              <w:rPr>
                <w:rFonts w:hint="eastAsia"/>
                <w:color w:val="000000"/>
                <w:kern w:val="0"/>
                <w:sz w:val="24"/>
              </w:rPr>
              <w:t>磋商</w:t>
            </w:r>
            <w:r>
              <w:rPr>
                <w:color w:val="000000"/>
                <w:kern w:val="0"/>
                <w:sz w:val="24"/>
              </w:rPr>
              <w:t>文件中载明的</w:t>
            </w:r>
            <w:r>
              <w:rPr>
                <w:rFonts w:hint="eastAsia"/>
                <w:color w:val="000000"/>
                <w:kern w:val="0"/>
                <w:sz w:val="24"/>
              </w:rPr>
              <w:t>响应</w:t>
            </w:r>
            <w:r>
              <w:rPr>
                <w:color w:val="000000"/>
                <w:kern w:val="0"/>
                <w:sz w:val="24"/>
              </w:rPr>
              <w:t>有效期的；</w:t>
            </w:r>
          </w:p>
        </w:tc>
        <w:tc>
          <w:tcPr>
            <w:tcW w:w="1863" w:type="dxa"/>
            <w:noWrap w:val="0"/>
            <w:vAlign w:val="center"/>
          </w:tcPr>
          <w:p>
            <w:pPr>
              <w:widowControl/>
              <w:jc w:val="left"/>
              <w:rPr>
                <w:rFonts w:hint="eastAsia"/>
                <w:color w:val="000000"/>
                <w:kern w:val="0"/>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6</w:t>
            </w:r>
          </w:p>
        </w:tc>
        <w:tc>
          <w:tcPr>
            <w:tcW w:w="1644" w:type="dxa"/>
            <w:noWrap w:val="0"/>
            <w:vAlign w:val="center"/>
          </w:tcPr>
          <w:p>
            <w:pPr>
              <w:widowControl/>
              <w:jc w:val="left"/>
              <w:rPr>
                <w:color w:val="000000"/>
                <w:kern w:val="0"/>
                <w:sz w:val="24"/>
              </w:rPr>
            </w:pPr>
            <w:r>
              <w:rPr>
                <w:color w:val="000000"/>
                <w:kern w:val="0"/>
                <w:sz w:val="24"/>
              </w:rPr>
              <w:t>实质性格式</w:t>
            </w:r>
          </w:p>
        </w:tc>
        <w:tc>
          <w:tcPr>
            <w:tcW w:w="4674" w:type="dxa"/>
            <w:noWrap w:val="0"/>
            <w:vAlign w:val="center"/>
          </w:tcPr>
          <w:p>
            <w:pPr>
              <w:widowControl/>
              <w:jc w:val="left"/>
              <w:rPr>
                <w:color w:val="000000"/>
                <w:kern w:val="0"/>
                <w:sz w:val="24"/>
              </w:rPr>
            </w:pPr>
            <w:r>
              <w:rPr>
                <w:kern w:val="0"/>
                <w:sz w:val="24"/>
              </w:rPr>
              <w:t>标记为“实质性格式”的文件均按</w:t>
            </w:r>
            <w:r>
              <w:rPr>
                <w:rFonts w:hint="eastAsia"/>
                <w:kern w:val="0"/>
                <w:sz w:val="24"/>
              </w:rPr>
              <w:t>磋商文件</w:t>
            </w:r>
            <w:r>
              <w:rPr>
                <w:kern w:val="0"/>
                <w:sz w:val="24"/>
              </w:rPr>
              <w:t>要求提供且签署、盖章的；</w:t>
            </w:r>
          </w:p>
        </w:tc>
        <w:tc>
          <w:tcPr>
            <w:tcW w:w="1863" w:type="dxa"/>
            <w:noWrap w:val="0"/>
            <w:vAlign w:val="center"/>
          </w:tcPr>
          <w:p>
            <w:pPr>
              <w:widowControl/>
              <w:jc w:val="left"/>
              <w:rPr>
                <w:kern w:val="0"/>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7</w:t>
            </w:r>
          </w:p>
        </w:tc>
        <w:tc>
          <w:tcPr>
            <w:tcW w:w="1644" w:type="dxa"/>
            <w:noWrap w:val="0"/>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4674" w:type="dxa"/>
            <w:noWrap w:val="0"/>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磋商文件</w:t>
            </w:r>
            <w:r>
              <w:rPr>
                <w:sz w:val="24"/>
              </w:rPr>
              <w:t>第</w:t>
            </w:r>
            <w:r>
              <w:rPr>
                <w:rFonts w:hint="eastAsia"/>
                <w:sz w:val="24"/>
              </w:rPr>
              <w:t>四</w:t>
            </w:r>
            <w:r>
              <w:rPr>
                <w:sz w:val="24"/>
              </w:rPr>
              <w:t>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c>
          <w:tcPr>
            <w:tcW w:w="1863" w:type="dxa"/>
            <w:noWrap w:val="0"/>
            <w:vAlign w:val="center"/>
          </w:tcPr>
          <w:p>
            <w:pPr>
              <w:widowControl/>
              <w:jc w:val="left"/>
              <w:rPr>
                <w:rFonts w:hint="eastAsia"/>
                <w:color w:val="000000"/>
                <w:kern w:val="0"/>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8</w:t>
            </w:r>
          </w:p>
        </w:tc>
        <w:tc>
          <w:tcPr>
            <w:tcW w:w="1644" w:type="dxa"/>
            <w:noWrap w:val="0"/>
            <w:vAlign w:val="center"/>
          </w:tcPr>
          <w:p>
            <w:pPr>
              <w:widowControl/>
              <w:jc w:val="left"/>
              <w:rPr>
                <w:color w:val="000000"/>
                <w:kern w:val="0"/>
                <w:sz w:val="24"/>
              </w:rPr>
            </w:pPr>
            <w:r>
              <w:rPr>
                <w:sz w:val="24"/>
              </w:rPr>
              <w:t>拟分包情况说明（如有）</w:t>
            </w:r>
          </w:p>
        </w:tc>
        <w:tc>
          <w:tcPr>
            <w:tcW w:w="4674" w:type="dxa"/>
            <w:noWrap w:val="0"/>
            <w:vAlign w:val="center"/>
          </w:tcPr>
          <w:p>
            <w:pPr>
              <w:widowControl/>
              <w:jc w:val="left"/>
              <w:rPr>
                <w:color w:val="000000"/>
                <w:kern w:val="0"/>
                <w:sz w:val="24"/>
              </w:rPr>
            </w:pPr>
            <w:r>
              <w:rPr>
                <w:sz w:val="24"/>
              </w:rPr>
              <w:t>如本项目（包）非因“落实政府采购政策”亦允许分包，且供应商拟进行分包时，必须提供；否则无须提供；</w:t>
            </w:r>
          </w:p>
        </w:tc>
        <w:tc>
          <w:tcPr>
            <w:tcW w:w="1863" w:type="dxa"/>
            <w:noWrap w:val="0"/>
            <w:vAlign w:val="center"/>
          </w:tcPr>
          <w:p>
            <w:pPr>
              <w:widowControl/>
              <w:jc w:val="left"/>
              <w:rPr>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9</w:t>
            </w:r>
          </w:p>
        </w:tc>
        <w:tc>
          <w:tcPr>
            <w:tcW w:w="1644" w:type="dxa"/>
            <w:noWrap w:val="0"/>
            <w:vAlign w:val="center"/>
          </w:tcPr>
          <w:p>
            <w:pPr>
              <w:widowControl/>
              <w:jc w:val="left"/>
              <w:rPr>
                <w:color w:val="000000"/>
                <w:kern w:val="0"/>
                <w:sz w:val="24"/>
              </w:rPr>
            </w:pPr>
            <w:r>
              <w:rPr>
                <w:color w:val="000000"/>
                <w:kern w:val="0"/>
                <w:sz w:val="24"/>
              </w:rPr>
              <w:t>分包其他要求（如有）</w:t>
            </w:r>
          </w:p>
        </w:tc>
        <w:tc>
          <w:tcPr>
            <w:tcW w:w="4674" w:type="dxa"/>
            <w:noWrap w:val="0"/>
            <w:vAlign w:val="center"/>
          </w:tcPr>
          <w:p>
            <w:pPr>
              <w:widowControl/>
              <w:jc w:val="left"/>
              <w:rPr>
                <w:sz w:val="24"/>
              </w:rPr>
            </w:pPr>
            <w:r>
              <w:rPr>
                <w:sz w:val="24"/>
              </w:rPr>
              <w:t>分包履行的内容、金额或者比例未超出《</w:t>
            </w:r>
            <w:r>
              <w:rPr>
                <w:rFonts w:hint="eastAsia"/>
                <w:sz w:val="24"/>
              </w:rPr>
              <w:t>供应商</w:t>
            </w:r>
            <w:r>
              <w:rPr>
                <w:sz w:val="24"/>
              </w:rPr>
              <w:t>须知资料表》中的规定；</w:t>
            </w:r>
          </w:p>
          <w:p>
            <w:pPr>
              <w:widowControl/>
              <w:jc w:val="left"/>
              <w:rPr>
                <w:color w:val="000000"/>
                <w:kern w:val="0"/>
                <w:sz w:val="24"/>
              </w:rPr>
            </w:pPr>
            <w:r>
              <w:rPr>
                <w:sz w:val="24"/>
              </w:rPr>
              <w:t>分包承担主体具备《</w:t>
            </w:r>
            <w:r>
              <w:rPr>
                <w:rFonts w:hint="eastAsia"/>
                <w:sz w:val="24"/>
              </w:rPr>
              <w:t>供应商</w:t>
            </w:r>
            <w:r>
              <w:rPr>
                <w:sz w:val="24"/>
              </w:rPr>
              <w:t>须知资料表》载明的资质条件且提供了资质证书电子件（如有）；</w:t>
            </w:r>
          </w:p>
        </w:tc>
        <w:tc>
          <w:tcPr>
            <w:tcW w:w="1863" w:type="dxa"/>
            <w:noWrap w:val="0"/>
            <w:vAlign w:val="center"/>
          </w:tcPr>
          <w:p>
            <w:pPr>
              <w:widowControl/>
              <w:jc w:val="left"/>
              <w:rPr>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10</w:t>
            </w:r>
          </w:p>
        </w:tc>
        <w:tc>
          <w:tcPr>
            <w:tcW w:w="1644" w:type="dxa"/>
            <w:noWrap w:val="0"/>
            <w:vAlign w:val="center"/>
          </w:tcPr>
          <w:p>
            <w:pPr>
              <w:widowControl/>
              <w:jc w:val="left"/>
              <w:rPr>
                <w:color w:val="000000"/>
                <w:kern w:val="0"/>
                <w:sz w:val="24"/>
              </w:rPr>
            </w:pPr>
            <w:r>
              <w:rPr>
                <w:color w:val="000000"/>
                <w:kern w:val="0"/>
                <w:sz w:val="24"/>
              </w:rPr>
              <w:t>报价的修正（如有）</w:t>
            </w:r>
          </w:p>
        </w:tc>
        <w:tc>
          <w:tcPr>
            <w:tcW w:w="4674" w:type="dxa"/>
            <w:noWrap w:val="0"/>
            <w:vAlign w:val="center"/>
          </w:tcPr>
          <w:p>
            <w:pPr>
              <w:widowControl/>
              <w:jc w:val="left"/>
              <w:rPr>
                <w:color w:val="000000"/>
                <w:kern w:val="0"/>
                <w:sz w:val="24"/>
              </w:rPr>
            </w:pPr>
            <w:r>
              <w:rPr>
                <w:color w:val="000000"/>
                <w:kern w:val="0"/>
                <w:sz w:val="24"/>
              </w:rPr>
              <w:t>不涉及报价修正，或</w:t>
            </w:r>
            <w:r>
              <w:rPr>
                <w:rFonts w:hint="eastAsia"/>
                <w:color w:val="000000"/>
                <w:kern w:val="0"/>
                <w:sz w:val="24"/>
              </w:rPr>
              <w:t>响应文件</w:t>
            </w:r>
            <w:r>
              <w:rPr>
                <w:color w:val="000000"/>
                <w:kern w:val="0"/>
                <w:sz w:val="24"/>
              </w:rPr>
              <w:t>报价出现前后不一致时，</w:t>
            </w:r>
            <w:r>
              <w:rPr>
                <w:rFonts w:hint="eastAsia"/>
                <w:color w:val="000000"/>
                <w:kern w:val="0"/>
                <w:sz w:val="24"/>
              </w:rPr>
              <w:t>供应商</w:t>
            </w:r>
            <w:r>
              <w:rPr>
                <w:color w:val="000000"/>
                <w:kern w:val="0"/>
                <w:sz w:val="24"/>
              </w:rPr>
              <w:t>对修正后的报价予以确认；（如有）</w:t>
            </w:r>
          </w:p>
        </w:tc>
        <w:tc>
          <w:tcPr>
            <w:tcW w:w="1863" w:type="dxa"/>
            <w:noWrap w:val="0"/>
            <w:vAlign w:val="center"/>
          </w:tcPr>
          <w:p>
            <w:pPr>
              <w:widowControl/>
              <w:jc w:val="left"/>
              <w:rPr>
                <w:color w:val="000000"/>
                <w:kern w:val="0"/>
                <w:sz w:val="24"/>
              </w:rPr>
            </w:pPr>
            <w:r>
              <w:rPr>
                <w:rFonts w:hint="eastAsia"/>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11</w:t>
            </w:r>
          </w:p>
        </w:tc>
        <w:tc>
          <w:tcPr>
            <w:tcW w:w="1644" w:type="dxa"/>
            <w:noWrap w:val="0"/>
            <w:vAlign w:val="center"/>
          </w:tcPr>
          <w:p>
            <w:pPr>
              <w:widowControl/>
              <w:jc w:val="left"/>
              <w:rPr>
                <w:color w:val="000000"/>
                <w:kern w:val="0"/>
                <w:sz w:val="24"/>
              </w:rPr>
            </w:pPr>
            <w:r>
              <w:rPr>
                <w:color w:val="000000"/>
                <w:kern w:val="0"/>
                <w:sz w:val="24"/>
              </w:rPr>
              <w:t>报价合理性</w:t>
            </w:r>
          </w:p>
        </w:tc>
        <w:tc>
          <w:tcPr>
            <w:tcW w:w="4674" w:type="dxa"/>
            <w:noWrap w:val="0"/>
            <w:vAlign w:val="center"/>
          </w:tcPr>
          <w:p>
            <w:pPr>
              <w:widowControl/>
              <w:jc w:val="left"/>
              <w:rPr>
                <w:color w:val="000000"/>
                <w:kern w:val="0"/>
                <w:sz w:val="24"/>
              </w:rPr>
            </w:pPr>
            <w:r>
              <w:rPr>
                <w:color w:val="000000"/>
                <w:kern w:val="0"/>
                <w:sz w:val="24"/>
              </w:rPr>
              <w:t>报价合理，或</w:t>
            </w:r>
            <w:r>
              <w:rPr>
                <w:rFonts w:hint="eastAsia"/>
                <w:color w:val="000000"/>
                <w:kern w:val="0"/>
                <w:sz w:val="24"/>
              </w:rPr>
              <w:t>供应商</w:t>
            </w:r>
            <w:r>
              <w:rPr>
                <w:sz w:val="24"/>
              </w:rPr>
              <w:t>的报价明显低于其他通过符合性审查</w:t>
            </w:r>
            <w:r>
              <w:rPr>
                <w:rFonts w:hint="eastAsia"/>
                <w:sz w:val="24"/>
              </w:rPr>
              <w:t>供应商</w:t>
            </w:r>
            <w:r>
              <w:rPr>
                <w:sz w:val="24"/>
              </w:rPr>
              <w:t>的报价，有可能影响产品质量或者不能诚信履约的，能够应</w:t>
            </w:r>
            <w:r>
              <w:rPr>
                <w:rFonts w:hint="eastAsia"/>
                <w:sz w:val="24"/>
              </w:rPr>
              <w:t>磋商小组</w:t>
            </w:r>
            <w:r>
              <w:rPr>
                <w:sz w:val="24"/>
              </w:rPr>
              <w:t>要求在规定时间内证明其报价合理性的</w:t>
            </w:r>
            <w:r>
              <w:rPr>
                <w:color w:val="000000"/>
                <w:kern w:val="0"/>
                <w:sz w:val="24"/>
              </w:rPr>
              <w:t>；</w:t>
            </w:r>
          </w:p>
        </w:tc>
        <w:tc>
          <w:tcPr>
            <w:tcW w:w="1863" w:type="dxa"/>
            <w:noWrap w:val="0"/>
            <w:vAlign w:val="center"/>
          </w:tcPr>
          <w:p>
            <w:pPr>
              <w:widowControl/>
              <w:jc w:val="left"/>
              <w:rPr>
                <w:color w:val="000000"/>
                <w:kern w:val="0"/>
                <w:sz w:val="24"/>
              </w:rPr>
            </w:pPr>
            <w:r>
              <w:rPr>
                <w:rFonts w:hint="eastAsia"/>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12</w:t>
            </w:r>
          </w:p>
        </w:tc>
        <w:tc>
          <w:tcPr>
            <w:tcW w:w="1644" w:type="dxa"/>
            <w:noWrap w:val="0"/>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4674" w:type="dxa"/>
            <w:noWrap w:val="0"/>
            <w:vAlign w:val="center"/>
          </w:tcPr>
          <w:p>
            <w:pPr>
              <w:widowControl/>
              <w:jc w:val="left"/>
              <w:rPr>
                <w:color w:val="000000"/>
                <w:kern w:val="0"/>
                <w:sz w:val="24"/>
              </w:rPr>
            </w:pPr>
            <w:r>
              <w:rPr>
                <w:rFonts w:hint="eastAsia"/>
                <w:sz w:val="24"/>
              </w:rPr>
              <w:t>磋商文件</w:t>
            </w:r>
            <w:r>
              <w:rPr>
                <w:sz w:val="24"/>
              </w:rPr>
              <w:t>不接受进口产品</w:t>
            </w:r>
            <w:r>
              <w:rPr>
                <w:rFonts w:hint="eastAsia"/>
                <w:sz w:val="24"/>
              </w:rPr>
              <w:t>响应</w:t>
            </w:r>
            <w:r>
              <w:rPr>
                <w:sz w:val="24"/>
              </w:rPr>
              <w:t>的内容时，</w:t>
            </w:r>
            <w:r>
              <w:rPr>
                <w:rFonts w:hint="eastAsia"/>
                <w:sz w:val="24"/>
              </w:rPr>
              <w:t>供应商</w:t>
            </w:r>
            <w:r>
              <w:rPr>
                <w:sz w:val="24"/>
              </w:rPr>
              <w:t>所投产品不含进口产品；</w:t>
            </w:r>
          </w:p>
        </w:tc>
        <w:tc>
          <w:tcPr>
            <w:tcW w:w="1863" w:type="dxa"/>
            <w:noWrap w:val="0"/>
            <w:vAlign w:val="center"/>
          </w:tcPr>
          <w:p>
            <w:pPr>
              <w:widowControl/>
              <w:jc w:val="left"/>
              <w:rPr>
                <w:rFonts w:hint="eastAsia"/>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13</w:t>
            </w:r>
          </w:p>
        </w:tc>
        <w:tc>
          <w:tcPr>
            <w:tcW w:w="1644" w:type="dxa"/>
            <w:noWrap w:val="0"/>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响应产品</w:t>
            </w:r>
            <w:r>
              <w:rPr>
                <w:color w:val="000000"/>
                <w:kern w:val="0"/>
                <w:sz w:val="24"/>
              </w:rPr>
              <w:t>有强制性规定或要求的</w:t>
            </w:r>
          </w:p>
        </w:tc>
        <w:tc>
          <w:tcPr>
            <w:tcW w:w="4674" w:type="dxa"/>
            <w:noWrap w:val="0"/>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响应产品</w:t>
            </w:r>
            <w:r>
              <w:rPr>
                <w:color w:val="000000"/>
                <w:kern w:val="0"/>
                <w:sz w:val="24"/>
              </w:rPr>
              <w:t>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sz w:val="24"/>
              </w:rPr>
            </w:pPr>
            <w:r>
              <w:rPr>
                <w:rFonts w:hint="eastAsia"/>
                <w:sz w:val="24"/>
              </w:rPr>
              <w:t>3</w:t>
            </w:r>
            <w:r>
              <w:rPr>
                <w:sz w:val="24"/>
              </w:rPr>
              <w:t>）项目中涉及涂料、胶黏剂、油墨、清洗剂等挥发性有机物产品，且属于强制性标准的，供应商应执行符合本市和国家的VOCs 含量限制标准。</w:t>
            </w:r>
          </w:p>
          <w:p>
            <w:pPr>
              <w:pStyle w:val="2"/>
              <w:ind w:firstLine="0"/>
            </w:pPr>
            <w:r>
              <w:rPr>
                <w:rFonts w:hint="eastAsia"/>
              </w:rPr>
              <w:t>4）</w:t>
            </w:r>
            <w:r>
              <w:rPr>
                <w:color w:val="000000"/>
                <w:kern w:val="0"/>
              </w:rPr>
              <w:t>采购的产品若属于</w:t>
            </w:r>
            <w:r>
              <w:rPr>
                <w:rFonts w:hint="eastAsia"/>
              </w:rPr>
              <w:t>《强制性产品认证目录》</w:t>
            </w:r>
            <w:r>
              <w:t>的产品，则</w:t>
            </w:r>
            <w:r>
              <w:rPr>
                <w:rFonts w:hint="eastAsia"/>
              </w:rPr>
              <w:t>供应商</w:t>
            </w:r>
            <w:r>
              <w:t>所报产品必须获得</w:t>
            </w:r>
            <w:r>
              <w:rPr>
                <w:rFonts w:hint="eastAsia"/>
              </w:rPr>
              <w:t>经国家市场监督管理总局指定的认证机构</w:t>
            </w:r>
            <w:r>
              <w:t>出具的、处于有效期之内的</w:t>
            </w:r>
            <w:r>
              <w:rPr>
                <w:rFonts w:hint="eastAsia" w:hAnsi="宋体" w:cs="宋体"/>
              </w:rPr>
              <w:t>强制性产品认证证书</w:t>
            </w:r>
            <w:r>
              <w:rPr>
                <w:rFonts w:hint="eastAsia"/>
              </w:rPr>
              <w:t>。</w:t>
            </w:r>
          </w:p>
        </w:tc>
        <w:tc>
          <w:tcPr>
            <w:tcW w:w="1863" w:type="dxa"/>
            <w:noWrap w:val="0"/>
            <w:vAlign w:val="center"/>
          </w:tcPr>
          <w:p>
            <w:pPr>
              <w:widowControl/>
              <w:jc w:val="left"/>
              <w:rPr>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14</w:t>
            </w:r>
          </w:p>
        </w:tc>
        <w:tc>
          <w:tcPr>
            <w:tcW w:w="1644" w:type="dxa"/>
            <w:noWrap w:val="0"/>
            <w:vAlign w:val="center"/>
          </w:tcPr>
          <w:p>
            <w:pPr>
              <w:widowControl/>
              <w:jc w:val="left"/>
              <w:rPr>
                <w:color w:val="000000"/>
                <w:kern w:val="0"/>
                <w:sz w:val="24"/>
              </w:rPr>
            </w:pPr>
            <w:r>
              <w:rPr>
                <w:color w:val="000000"/>
                <w:kern w:val="0"/>
                <w:sz w:val="24"/>
              </w:rPr>
              <w:t>公平竞争</w:t>
            </w:r>
          </w:p>
        </w:tc>
        <w:tc>
          <w:tcPr>
            <w:tcW w:w="4674" w:type="dxa"/>
            <w:noWrap w:val="0"/>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c>
          <w:tcPr>
            <w:tcW w:w="1863" w:type="dxa"/>
            <w:noWrap w:val="0"/>
            <w:vAlign w:val="center"/>
          </w:tcPr>
          <w:p>
            <w:pPr>
              <w:widowControl/>
              <w:jc w:val="left"/>
              <w:rPr>
                <w:rFonts w:hint="eastAsia"/>
                <w:color w:val="000000"/>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15</w:t>
            </w:r>
          </w:p>
        </w:tc>
        <w:tc>
          <w:tcPr>
            <w:tcW w:w="1644" w:type="dxa"/>
            <w:noWrap w:val="0"/>
            <w:vAlign w:val="center"/>
          </w:tcPr>
          <w:p>
            <w:pPr>
              <w:widowControl/>
              <w:jc w:val="left"/>
              <w:rPr>
                <w:rFonts w:hint="eastAsia"/>
                <w:color w:val="000000"/>
                <w:kern w:val="0"/>
                <w:sz w:val="24"/>
              </w:rPr>
            </w:pPr>
            <w:r>
              <w:rPr>
                <w:color w:val="000000"/>
                <w:kern w:val="0"/>
                <w:sz w:val="24"/>
              </w:rPr>
              <w:t>串通</w:t>
            </w:r>
            <w:r>
              <w:rPr>
                <w:rFonts w:hint="eastAsia"/>
                <w:color w:val="000000"/>
                <w:kern w:val="0"/>
                <w:sz w:val="24"/>
              </w:rPr>
              <w:t>响应</w:t>
            </w:r>
          </w:p>
        </w:tc>
        <w:tc>
          <w:tcPr>
            <w:tcW w:w="4674" w:type="dxa"/>
            <w:noWrap w:val="0"/>
            <w:vAlign w:val="center"/>
          </w:tcPr>
          <w:p>
            <w:pPr>
              <w:pStyle w:val="2"/>
              <w:widowControl/>
              <w:ind w:firstLine="0"/>
            </w:pPr>
            <w:r>
              <w:rPr>
                <w:rFonts w:hint="eastAsia"/>
              </w:rPr>
              <w:t>不存在</w:t>
            </w:r>
            <w:r>
              <w:rPr>
                <w:rFonts w:hint="eastAsia"/>
                <w:color w:val="000000"/>
              </w:rPr>
              <w:t>《京津冀政府采购负面行为清单》（冀财采〔2024〕18号）中供应商恶意串通和其他串通行为条款的情形；</w:t>
            </w:r>
          </w:p>
        </w:tc>
        <w:tc>
          <w:tcPr>
            <w:tcW w:w="1863" w:type="dxa"/>
            <w:noWrap w:val="0"/>
            <w:vAlign w:val="center"/>
          </w:tcPr>
          <w:p>
            <w:pPr>
              <w:widowControl/>
              <w:jc w:val="left"/>
              <w:rPr>
                <w:color w:val="000000"/>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16</w:t>
            </w:r>
          </w:p>
        </w:tc>
        <w:tc>
          <w:tcPr>
            <w:tcW w:w="1644" w:type="dxa"/>
            <w:noWrap w:val="0"/>
            <w:vAlign w:val="center"/>
          </w:tcPr>
          <w:p>
            <w:pPr>
              <w:widowControl/>
              <w:jc w:val="left"/>
              <w:rPr>
                <w:color w:val="000000"/>
                <w:kern w:val="0"/>
                <w:sz w:val="24"/>
              </w:rPr>
            </w:pPr>
            <w:r>
              <w:rPr>
                <w:color w:val="000000"/>
                <w:kern w:val="0"/>
                <w:sz w:val="24"/>
              </w:rPr>
              <w:t>附加条件</w:t>
            </w:r>
          </w:p>
        </w:tc>
        <w:tc>
          <w:tcPr>
            <w:tcW w:w="4674" w:type="dxa"/>
            <w:noWrap w:val="0"/>
            <w:vAlign w:val="center"/>
          </w:tcPr>
          <w:p>
            <w:pPr>
              <w:widowControl/>
              <w:jc w:val="left"/>
              <w:rPr>
                <w:color w:val="000000"/>
                <w:kern w:val="0"/>
                <w:sz w:val="24"/>
              </w:rPr>
            </w:pPr>
            <w:r>
              <w:rPr>
                <w:rFonts w:hint="eastAsia"/>
                <w:color w:val="000000"/>
                <w:kern w:val="0"/>
                <w:sz w:val="24"/>
              </w:rPr>
              <w:t>响应文件</w:t>
            </w:r>
            <w:r>
              <w:rPr>
                <w:color w:val="000000"/>
                <w:kern w:val="0"/>
                <w:sz w:val="24"/>
              </w:rPr>
              <w:t>未含有采购人不能接受的附加条件的；</w:t>
            </w:r>
          </w:p>
        </w:tc>
        <w:tc>
          <w:tcPr>
            <w:tcW w:w="1863" w:type="dxa"/>
            <w:noWrap w:val="0"/>
            <w:vAlign w:val="center"/>
          </w:tcPr>
          <w:p>
            <w:pPr>
              <w:widowControl/>
              <w:jc w:val="left"/>
              <w:rPr>
                <w:rFonts w:hint="eastAsia"/>
                <w:color w:val="000000"/>
                <w:kern w:val="0"/>
                <w:sz w:val="24"/>
              </w:rPr>
            </w:pPr>
            <w:r>
              <w:rPr>
                <w:rFonts w:hint="eastAsia"/>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825" w:type="dxa"/>
            <w:noWrap w:val="0"/>
            <w:vAlign w:val="center"/>
          </w:tcPr>
          <w:p>
            <w:pPr>
              <w:widowControl/>
              <w:jc w:val="center"/>
              <w:rPr>
                <w:color w:val="000000"/>
                <w:kern w:val="0"/>
                <w:sz w:val="24"/>
              </w:rPr>
            </w:pPr>
            <w:r>
              <w:rPr>
                <w:color w:val="000000"/>
                <w:kern w:val="0"/>
                <w:sz w:val="24"/>
              </w:rPr>
              <w:t>17</w:t>
            </w:r>
          </w:p>
        </w:tc>
        <w:tc>
          <w:tcPr>
            <w:tcW w:w="1644" w:type="dxa"/>
            <w:noWrap w:val="0"/>
            <w:vAlign w:val="center"/>
          </w:tcPr>
          <w:p>
            <w:pPr>
              <w:widowControl/>
              <w:jc w:val="left"/>
              <w:rPr>
                <w:color w:val="000000"/>
                <w:kern w:val="0"/>
                <w:sz w:val="24"/>
              </w:rPr>
            </w:pPr>
            <w:r>
              <w:rPr>
                <w:color w:val="000000"/>
                <w:kern w:val="0"/>
                <w:sz w:val="24"/>
              </w:rPr>
              <w:t>其他无效情形</w:t>
            </w:r>
          </w:p>
        </w:tc>
        <w:tc>
          <w:tcPr>
            <w:tcW w:w="4674" w:type="dxa"/>
            <w:noWrap w:val="0"/>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w:t>
            </w:r>
            <w:r>
              <w:rPr>
                <w:color w:val="000000"/>
                <w:sz w:val="24"/>
              </w:rPr>
              <w:t>不存在不符合法律、法规和</w:t>
            </w:r>
            <w:r>
              <w:rPr>
                <w:rFonts w:hint="eastAsia"/>
                <w:color w:val="000000"/>
                <w:sz w:val="24"/>
              </w:rPr>
              <w:t>磋商文件</w:t>
            </w:r>
            <w:r>
              <w:rPr>
                <w:color w:val="000000"/>
                <w:sz w:val="24"/>
              </w:rPr>
              <w:t>规定的其他无效情形。</w:t>
            </w:r>
          </w:p>
        </w:tc>
        <w:tc>
          <w:tcPr>
            <w:tcW w:w="1863" w:type="dxa"/>
            <w:noWrap w:val="0"/>
            <w:vAlign w:val="center"/>
          </w:tcPr>
          <w:p>
            <w:pPr>
              <w:widowControl/>
              <w:jc w:val="left"/>
              <w:rPr>
                <w:rFonts w:hint="eastAsia"/>
                <w:color w:val="000000"/>
                <w:sz w:val="24"/>
              </w:rPr>
            </w:pPr>
            <w:r>
              <w:rPr>
                <w:rFonts w:hint="eastAsia"/>
                <w:color w:val="000000"/>
                <w:kern w:val="0"/>
                <w:sz w:val="24"/>
              </w:rPr>
              <w:t>不允许</w:t>
            </w:r>
          </w:p>
        </w:tc>
      </w:tr>
    </w:tbl>
    <w:p>
      <w:pPr>
        <w:tabs>
          <w:tab w:val="left" w:pos="900"/>
          <w:tab w:val="left" w:pos="1080"/>
          <w:tab w:val="left" w:pos="1589"/>
        </w:tabs>
        <w:snapToGrid w:val="0"/>
        <w:spacing w:line="360" w:lineRule="auto"/>
        <w:rPr>
          <w:sz w:val="24"/>
        </w:rPr>
      </w:pPr>
    </w:p>
    <w:p>
      <w:pPr>
        <w:numPr>
          <w:ilvl w:val="0"/>
          <w:numId w:val="13"/>
        </w:numPr>
        <w:tabs>
          <w:tab w:val="left" w:pos="360"/>
        </w:tabs>
        <w:snapToGrid w:val="0"/>
        <w:spacing w:line="360" w:lineRule="auto"/>
        <w:outlineLvl w:val="1"/>
        <w:rPr>
          <w:sz w:val="24"/>
        </w:rPr>
      </w:pPr>
      <w:r>
        <w:rPr>
          <w:sz w:val="24"/>
        </w:rPr>
        <w:t>磋商、响应文件有关事项的澄清、说明或者更正和最后报价</w:t>
      </w:r>
    </w:p>
    <w:p>
      <w:pPr>
        <w:numPr>
          <w:ilvl w:val="1"/>
          <w:numId w:val="13"/>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pPr>
        <w:numPr>
          <w:ilvl w:val="1"/>
          <w:numId w:val="13"/>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3"/>
        </w:numPr>
        <w:tabs>
          <w:tab w:val="left" w:pos="1080"/>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pPr>
        <w:numPr>
          <w:ilvl w:val="1"/>
          <w:numId w:val="13"/>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pPr>
        <w:numPr>
          <w:ilvl w:val="1"/>
          <w:numId w:val="13"/>
        </w:numPr>
        <w:tabs>
          <w:tab w:val="left" w:pos="1080"/>
          <w:tab w:val="left" w:pos="1872"/>
        </w:tabs>
        <w:snapToGrid w:val="0"/>
        <w:spacing w:line="360" w:lineRule="auto"/>
        <w:ind w:left="1077" w:hanging="720"/>
        <w:rPr>
          <w:sz w:val="24"/>
        </w:rPr>
      </w:pPr>
      <w:r>
        <w:rPr>
          <w:rFonts w:hint="eastAsia"/>
          <w:sz w:val="24"/>
        </w:rPr>
        <w:t>响应文件的澄清、说明或者更正：</w:t>
      </w:r>
    </w:p>
    <w:p>
      <w:pPr>
        <w:numPr>
          <w:ilvl w:val="2"/>
          <w:numId w:val="13"/>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3"/>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pPr>
        <w:numPr>
          <w:ilvl w:val="2"/>
          <w:numId w:val="13"/>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3"/>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pPr>
        <w:numPr>
          <w:ilvl w:val="1"/>
          <w:numId w:val="13"/>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3"/>
        </w:numPr>
        <w:tabs>
          <w:tab w:val="left" w:pos="1080"/>
          <w:tab w:val="left" w:pos="1872"/>
        </w:tabs>
        <w:snapToGrid w:val="0"/>
        <w:spacing w:line="360" w:lineRule="auto"/>
        <w:ind w:left="1077" w:hanging="720"/>
        <w:rPr>
          <w:sz w:val="24"/>
        </w:rPr>
      </w:pPr>
      <w:r>
        <w:rPr>
          <w:sz w:val="24"/>
        </w:rPr>
        <w:t>最后报价是供应商响应文件的有效组成部分。</w:t>
      </w:r>
    </w:p>
    <w:p>
      <w:pPr>
        <w:numPr>
          <w:ilvl w:val="1"/>
          <w:numId w:val="13"/>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pPr>
        <w:numPr>
          <w:ilvl w:val="0"/>
          <w:numId w:val="13"/>
        </w:numPr>
        <w:tabs>
          <w:tab w:val="left" w:pos="360"/>
        </w:tabs>
        <w:snapToGrid w:val="0"/>
        <w:spacing w:line="360" w:lineRule="auto"/>
        <w:outlineLvl w:val="1"/>
        <w:rPr>
          <w:sz w:val="24"/>
        </w:rPr>
      </w:pPr>
      <w:r>
        <w:rPr>
          <w:sz w:val="24"/>
        </w:rPr>
        <w:t>最后报价的算术修正及政策调整</w:t>
      </w:r>
    </w:p>
    <w:p>
      <w:pPr>
        <w:numPr>
          <w:ilvl w:val="1"/>
          <w:numId w:val="13"/>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投标</w:t>
      </w:r>
      <w:r>
        <w:rPr>
          <w:sz w:val="24"/>
        </w:rPr>
        <w:t>最后报价表有缺漏视为已含在其他各项报价中，将不对最后报价进行调整。磋商小组有权要求供应商在评审现场合理的时间内对此进行书面确认，供应商不确认的，视为将一个采购包中的内容拆分响应，其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pPr>
        <w:numPr>
          <w:ilvl w:val="1"/>
          <w:numId w:val="13"/>
        </w:numPr>
        <w:tabs>
          <w:tab w:val="left" w:pos="1080"/>
          <w:tab w:val="left" w:pos="1872"/>
        </w:tabs>
        <w:snapToGrid w:val="0"/>
        <w:spacing w:line="360" w:lineRule="auto"/>
        <w:ind w:left="1077" w:hanging="720"/>
        <w:rPr>
          <w:sz w:val="24"/>
        </w:rPr>
      </w:pPr>
      <w:r>
        <w:rPr>
          <w:sz w:val="24"/>
        </w:rPr>
        <w:t>最后报价出现前后不一致的，按照下列规定修正：</w:t>
      </w:r>
    </w:p>
    <w:p>
      <w:pPr>
        <w:numPr>
          <w:ilvl w:val="2"/>
          <w:numId w:val="13"/>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无，按下述3.2.2-3.2.</w:t>
      </w:r>
      <w:r>
        <w:rPr>
          <w:rFonts w:hint="eastAsia"/>
          <w:sz w:val="24"/>
        </w:rPr>
        <w:t>7</w:t>
      </w:r>
      <w:r>
        <w:rPr>
          <w:sz w:val="24"/>
        </w:rPr>
        <w:t>项规定修正。</w:t>
      </w:r>
    </w:p>
    <w:p>
      <w:pPr>
        <w:numPr>
          <w:ilvl w:val="2"/>
          <w:numId w:val="13"/>
        </w:numPr>
        <w:tabs>
          <w:tab w:val="left" w:pos="2035"/>
          <w:tab w:val="left" w:pos="2114"/>
          <w:tab w:val="left" w:pos="2977"/>
        </w:tabs>
        <w:snapToGrid w:val="0"/>
        <w:spacing w:line="360" w:lineRule="auto"/>
        <w:ind w:left="2035"/>
        <w:rPr>
          <w:color w:val="000000"/>
          <w:sz w:val="24"/>
        </w:rPr>
      </w:pPr>
      <w:r>
        <w:rPr>
          <w:rFonts w:hint="eastAsia"/>
          <w:color w:val="000000"/>
          <w:sz w:val="24"/>
        </w:rPr>
        <w:t>通过</w:t>
      </w:r>
      <w:r>
        <w:rPr>
          <w:rFonts w:hint="eastAsia"/>
          <w:sz w:val="24"/>
        </w:rPr>
        <w:t>北京市公共资源交易中心政府采购全流程电子化招投标系统提交显示</w:t>
      </w:r>
      <w:r>
        <w:rPr>
          <w:rFonts w:hint="eastAsia"/>
          <w:color w:val="000000"/>
          <w:sz w:val="24"/>
        </w:rPr>
        <w:t>的</w:t>
      </w:r>
      <w:r>
        <w:rPr>
          <w:rFonts w:hint="eastAsia"/>
          <w:sz w:val="24"/>
        </w:rPr>
        <w:t>最后</w:t>
      </w:r>
      <w:r>
        <w:rPr>
          <w:rFonts w:hint="eastAsia"/>
          <w:color w:val="000000"/>
          <w:sz w:val="24"/>
        </w:rPr>
        <w:t>报价与响应文件中相应内容不一致的，以</w:t>
      </w:r>
      <w:r>
        <w:rPr>
          <w:rFonts w:hint="eastAsia"/>
          <w:sz w:val="24"/>
        </w:rPr>
        <w:t>北京市公共资源交易中心政府采购全流程电子化招投标系统提交显示</w:t>
      </w:r>
      <w:r>
        <w:rPr>
          <w:rFonts w:hint="eastAsia"/>
          <w:color w:val="000000"/>
          <w:sz w:val="24"/>
        </w:rPr>
        <w:t>的</w:t>
      </w:r>
      <w:r>
        <w:rPr>
          <w:rFonts w:hint="eastAsia"/>
          <w:sz w:val="24"/>
        </w:rPr>
        <w:t>最后</w:t>
      </w:r>
      <w:r>
        <w:rPr>
          <w:rFonts w:hint="eastAsia"/>
          <w:color w:val="000000"/>
          <w:sz w:val="24"/>
        </w:rPr>
        <w:t>报价为准；</w:t>
      </w:r>
    </w:p>
    <w:p>
      <w:pPr>
        <w:numPr>
          <w:ilvl w:val="2"/>
          <w:numId w:val="13"/>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pPr>
        <w:numPr>
          <w:ilvl w:val="2"/>
          <w:numId w:val="13"/>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pPr>
        <w:numPr>
          <w:ilvl w:val="2"/>
          <w:numId w:val="13"/>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pPr>
        <w:numPr>
          <w:ilvl w:val="1"/>
          <w:numId w:val="13"/>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对于未预留份额专门面向中小企业采购的采购项目，以及预留份额项目中的非预留部分采购包，对小微企业报价给予__</w:t>
      </w:r>
      <w:r>
        <w:rPr>
          <w:rFonts w:hint="eastAsia"/>
          <w:sz w:val="24"/>
        </w:rPr>
        <w:t>10</w:t>
      </w:r>
      <w:r>
        <w:rPr>
          <w:sz w:val="24"/>
        </w:rPr>
        <w:t>__%的扣除，用扣除后的价格参加评审。</w:t>
      </w:r>
    </w:p>
    <w:p>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w:t>
      </w:r>
      <w:r>
        <w:rPr>
          <w:rFonts w:hint="eastAsia"/>
          <w:sz w:val="24"/>
        </w:rPr>
        <w:t>4</w:t>
      </w:r>
      <w:r>
        <w:rPr>
          <w:sz w:val="24"/>
        </w:rPr>
        <w:t>__%的扣除，用扣除后的价格参加评审。</w:t>
      </w:r>
    </w:p>
    <w:p>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3"/>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3"/>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pPr>
        <w:numPr>
          <w:ilvl w:val="2"/>
          <w:numId w:val="13"/>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pPr>
        <w:numPr>
          <w:ilvl w:val="2"/>
          <w:numId w:val="13"/>
        </w:numPr>
        <w:tabs>
          <w:tab w:val="left" w:pos="1080"/>
          <w:tab w:val="left" w:pos="1589"/>
          <w:tab w:val="left" w:pos="2014"/>
        </w:tabs>
        <w:snapToGrid w:val="0"/>
        <w:spacing w:line="360" w:lineRule="auto"/>
        <w:ind w:left="2035"/>
        <w:rPr>
          <w:sz w:val="24"/>
        </w:rPr>
      </w:pPr>
      <w:r>
        <w:rPr>
          <w:sz w:val="24"/>
        </w:rPr>
        <w:t>其他为落实政府采购政策实施的优先采购：___</w:t>
      </w:r>
      <w:r>
        <w:rPr>
          <w:rFonts w:hint="eastAsia"/>
          <w:sz w:val="24"/>
        </w:rPr>
        <w:t>/</w:t>
      </w:r>
      <w:r>
        <w:rPr>
          <w:sz w:val="24"/>
        </w:rPr>
        <w:t>___。</w:t>
      </w:r>
    </w:p>
    <w:p>
      <w:pPr>
        <w:numPr>
          <w:ilvl w:val="0"/>
          <w:numId w:val="13"/>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pPr>
        <w:numPr>
          <w:ilvl w:val="1"/>
          <w:numId w:val="13"/>
        </w:numPr>
        <w:tabs>
          <w:tab w:val="left" w:pos="1080"/>
        </w:tabs>
        <w:snapToGrid w:val="0"/>
        <w:spacing w:line="360" w:lineRule="auto"/>
        <w:ind w:left="1077" w:hanging="720"/>
        <w:rPr>
          <w:sz w:val="24"/>
        </w:rPr>
      </w:pPr>
      <w:r>
        <w:rPr>
          <w:sz w:val="24"/>
        </w:rPr>
        <w:t>供应商对实质性变动不予确认的；</w:t>
      </w:r>
    </w:p>
    <w:p>
      <w:pPr>
        <w:numPr>
          <w:ilvl w:val="1"/>
          <w:numId w:val="13"/>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pPr>
        <w:numPr>
          <w:ilvl w:val="1"/>
          <w:numId w:val="13"/>
        </w:numPr>
        <w:tabs>
          <w:tab w:val="left" w:pos="1080"/>
        </w:tabs>
        <w:snapToGrid w:val="0"/>
        <w:spacing w:line="360" w:lineRule="auto"/>
        <w:ind w:left="1077" w:hanging="720"/>
        <w:rPr>
          <w:sz w:val="24"/>
        </w:rPr>
      </w:pPr>
      <w:r>
        <w:rPr>
          <w:sz w:val="24"/>
        </w:rPr>
        <w:t>未按照磋商小组规定的时间、逾期提交最后报价的；</w:t>
      </w:r>
    </w:p>
    <w:p>
      <w:pPr>
        <w:numPr>
          <w:ilvl w:val="1"/>
          <w:numId w:val="13"/>
        </w:numPr>
        <w:tabs>
          <w:tab w:val="left" w:pos="1080"/>
        </w:tabs>
        <w:snapToGrid w:val="0"/>
        <w:spacing w:line="360" w:lineRule="auto"/>
        <w:ind w:left="1077" w:hanging="720"/>
        <w:rPr>
          <w:sz w:val="24"/>
        </w:rPr>
      </w:pPr>
      <w:r>
        <w:rPr>
          <w:sz w:val="24"/>
        </w:rPr>
        <w:t>如供应商的</w:t>
      </w:r>
      <w:r>
        <w:rPr>
          <w:rFonts w:hint="eastAsia"/>
          <w:color w:val="000000"/>
          <w:kern w:val="0"/>
          <w:sz w:val="24"/>
        </w:rPr>
        <w:t>首次报价、最后报价等各轮响应</w:t>
      </w:r>
      <w:r>
        <w:rPr>
          <w:color w:val="000000"/>
          <w:kern w:val="0"/>
          <w:sz w:val="24"/>
        </w:rPr>
        <w:t>报价</w:t>
      </w:r>
      <w:r>
        <w:rPr>
          <w:sz w:val="24"/>
        </w:rPr>
        <w:t>超过竞争性磋商文件中规定的项目/采购包预算金额或者项目/采购包最高限价的；</w:t>
      </w:r>
    </w:p>
    <w:p>
      <w:pPr>
        <w:numPr>
          <w:ilvl w:val="1"/>
          <w:numId w:val="13"/>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pPr>
        <w:numPr>
          <w:ilvl w:val="1"/>
          <w:numId w:val="13"/>
        </w:numPr>
        <w:tabs>
          <w:tab w:val="left" w:pos="1080"/>
        </w:tabs>
        <w:snapToGrid w:val="0"/>
        <w:spacing w:line="360" w:lineRule="auto"/>
        <w:ind w:left="1077" w:hanging="720"/>
        <w:rPr>
          <w:sz w:val="24"/>
        </w:rPr>
      </w:pPr>
      <w:r>
        <w:rPr>
          <w:sz w:val="24"/>
        </w:rPr>
        <w:t>最后报价出现前后不一致，供应商对修正后的报价不予确认的；</w:t>
      </w:r>
    </w:p>
    <w:p>
      <w:pPr>
        <w:numPr>
          <w:ilvl w:val="1"/>
          <w:numId w:val="13"/>
        </w:numPr>
        <w:tabs>
          <w:tab w:val="left" w:pos="1080"/>
        </w:tabs>
        <w:snapToGrid w:val="0"/>
        <w:spacing w:line="360" w:lineRule="auto"/>
        <w:ind w:left="1077" w:hanging="720"/>
        <w:rPr>
          <w:sz w:val="24"/>
        </w:rPr>
      </w:pPr>
      <w:r>
        <w:rPr>
          <w:sz w:val="24"/>
        </w:rPr>
        <w:t>其他：____</w:t>
      </w:r>
      <w:r>
        <w:rPr>
          <w:rFonts w:hint="eastAsia"/>
          <w:sz w:val="24"/>
        </w:rPr>
        <w:t>/</w:t>
      </w:r>
      <w:r>
        <w:rPr>
          <w:sz w:val="24"/>
        </w:rPr>
        <w:t>__。</w:t>
      </w:r>
    </w:p>
    <w:bookmarkEnd w:id="614"/>
    <w:bookmarkEnd w:id="615"/>
    <w:p>
      <w:pPr>
        <w:numPr>
          <w:ilvl w:val="0"/>
          <w:numId w:val="13"/>
        </w:numPr>
        <w:tabs>
          <w:tab w:val="left" w:pos="360"/>
        </w:tabs>
        <w:snapToGrid w:val="0"/>
        <w:spacing w:line="360" w:lineRule="auto"/>
        <w:outlineLvl w:val="1"/>
        <w:rPr>
          <w:sz w:val="24"/>
        </w:rPr>
      </w:pPr>
      <w:r>
        <w:rPr>
          <w:sz w:val="24"/>
        </w:rPr>
        <w:t>评审方法和评审标准</w:t>
      </w:r>
    </w:p>
    <w:p>
      <w:pPr>
        <w:numPr>
          <w:ilvl w:val="1"/>
          <w:numId w:val="13"/>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3"/>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pPr>
        <w:numPr>
          <w:ilvl w:val="1"/>
          <w:numId w:val="13"/>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非政府强制采购的节能产品或环境标志产品，依据品目清单和认证证书实施政府优先采购。优先采购的具体规定（如涉及）_</w:t>
      </w:r>
      <w:r>
        <w:rPr>
          <w:rFonts w:hint="eastAsia"/>
          <w:sz w:val="24"/>
        </w:rPr>
        <w:t>详见第三章评审方法和评审标准</w:t>
      </w:r>
      <w:r>
        <w:rPr>
          <w:sz w:val="24"/>
        </w:rPr>
        <w:t>_。</w:t>
      </w:r>
    </w:p>
    <w:p>
      <w:pPr>
        <w:numPr>
          <w:ilvl w:val="0"/>
          <w:numId w:val="13"/>
        </w:numPr>
        <w:tabs>
          <w:tab w:val="left" w:pos="360"/>
        </w:tabs>
        <w:snapToGrid w:val="0"/>
        <w:spacing w:line="360" w:lineRule="auto"/>
        <w:outlineLvl w:val="1"/>
        <w:rPr>
          <w:sz w:val="24"/>
        </w:rPr>
      </w:pPr>
      <w:r>
        <w:rPr>
          <w:sz w:val="24"/>
        </w:rPr>
        <w:t>确定</w:t>
      </w:r>
      <w:bookmarkStart w:id="631" w:name="_Toc151193788"/>
      <w:bookmarkStart w:id="632" w:name="_Toc164229241"/>
      <w:bookmarkStart w:id="633" w:name="_Toc142311048"/>
      <w:bookmarkStart w:id="634" w:name="_Toc151193644"/>
      <w:bookmarkStart w:id="635" w:name="_Toc151193716"/>
      <w:bookmarkStart w:id="636" w:name="_Ref467307010"/>
      <w:bookmarkStart w:id="637" w:name="_Toc520356170"/>
      <w:bookmarkStart w:id="638" w:name="_Toc305158888"/>
      <w:bookmarkStart w:id="639" w:name="_Toc164608815"/>
      <w:bookmarkStart w:id="640" w:name="_Toc226309790"/>
      <w:bookmarkStart w:id="641" w:name="_Toc164351640"/>
      <w:bookmarkStart w:id="642" w:name="_Toc150480784"/>
      <w:bookmarkStart w:id="643" w:name="_Toc151193934"/>
      <w:bookmarkStart w:id="644" w:name="_Toc127151747"/>
      <w:bookmarkStart w:id="645" w:name="_Toc151190173"/>
      <w:bookmarkStart w:id="646" w:name="_Toc150774751"/>
      <w:bookmarkStart w:id="647" w:name="_Toc265228384"/>
      <w:bookmarkStart w:id="648" w:name="_Toc226965736"/>
      <w:bookmarkStart w:id="649" w:name="_Toc149720839"/>
      <w:bookmarkStart w:id="650" w:name="_Toc127161460"/>
      <w:bookmarkStart w:id="651" w:name="_Toc164608660"/>
      <w:bookmarkStart w:id="652" w:name="_Toc226965819"/>
      <w:bookmarkStart w:id="653" w:name="_Toc150509297"/>
      <w:bookmarkStart w:id="654" w:name="_Toc127151546"/>
      <w:bookmarkStart w:id="655" w:name="_Toc226337242"/>
      <w:bookmarkStart w:id="656" w:name="_Toc264969236"/>
      <w:bookmarkStart w:id="657" w:name="_Toc151193860"/>
      <w:bookmarkStart w:id="658" w:name="_Toc150774646"/>
      <w:bookmarkStart w:id="659" w:name="_Toc305158814"/>
      <w:bookmarkStart w:id="660" w:name="_Toc195842911"/>
      <w:bookmarkStart w:id="661" w:name="_Toc164229387"/>
      <w:r>
        <w:rPr>
          <w:sz w:val="24"/>
        </w:rPr>
        <w:t>成交候选人名单</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numPr>
          <w:ilvl w:val="1"/>
          <w:numId w:val="13"/>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w:t>
      </w:r>
      <w:r>
        <w:rPr>
          <w:sz w:val="24"/>
          <w:u w:val="single"/>
        </w:rPr>
        <w:t>技术部分</w:t>
      </w:r>
      <w:r>
        <w:rPr>
          <w:sz w:val="24"/>
        </w:rPr>
        <w:t>得</w:t>
      </w:r>
      <w:r>
        <w:rPr>
          <w:rFonts w:hint="eastAsia"/>
          <w:sz w:val="24"/>
        </w:rPr>
        <w:t>分</w:t>
      </w:r>
      <w:r>
        <w:rPr>
          <w:sz w:val="24"/>
        </w:rPr>
        <w:t xml:space="preserve">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3"/>
        </w:numPr>
        <w:tabs>
          <w:tab w:val="left" w:pos="1080"/>
          <w:tab w:val="left" w:pos="1872"/>
        </w:tabs>
        <w:snapToGrid w:val="0"/>
        <w:spacing w:line="360" w:lineRule="auto"/>
        <w:ind w:left="1077" w:hanging="720"/>
        <w:rPr>
          <w:sz w:val="24"/>
          <w:highlight w:val="none"/>
        </w:rPr>
      </w:pPr>
      <w:r>
        <w:rPr>
          <w:sz w:val="24"/>
          <w:highlight w:val="none"/>
        </w:rPr>
        <w:t>□</w:t>
      </w:r>
      <w:r>
        <w:rPr>
          <w:kern w:val="0"/>
          <w:sz w:val="24"/>
          <w:szCs w:val="20"/>
          <w:highlight w:val="none"/>
        </w:rPr>
        <w:t>磋商小组根据上述供应商排序，依次推荐排序前</w:t>
      </w:r>
      <w:r>
        <w:rPr>
          <w:sz w:val="24"/>
          <w:highlight w:val="none"/>
        </w:rPr>
        <w:t>______名</w:t>
      </w:r>
      <w:r>
        <w:rPr>
          <w:kern w:val="0"/>
          <w:sz w:val="24"/>
          <w:szCs w:val="20"/>
          <w:highlight w:val="none"/>
        </w:rPr>
        <w:t>的供应商为</w:t>
      </w:r>
      <w:r>
        <w:rPr>
          <w:snapToGrid w:val="0"/>
          <w:kern w:val="0"/>
          <w:sz w:val="24"/>
          <w:szCs w:val="21"/>
          <w:highlight w:val="none"/>
        </w:rPr>
        <w:t>成交候选供应商</w:t>
      </w:r>
      <w:r>
        <w:rPr>
          <w:kern w:val="0"/>
          <w:sz w:val="24"/>
          <w:szCs w:val="20"/>
          <w:highlight w:val="none"/>
        </w:rPr>
        <w:t>（若在磋商文件允许的情形下提交最后报价的供应商为二家，则依次推荐二名供应商为成交候选供应商），并编写评审报告。</w:t>
      </w:r>
    </w:p>
    <w:p>
      <w:pPr>
        <w:tabs>
          <w:tab w:val="left" w:pos="1080"/>
          <w:tab w:val="left" w:pos="1872"/>
        </w:tabs>
        <w:snapToGrid w:val="0"/>
        <w:spacing w:line="360" w:lineRule="auto"/>
        <w:ind w:left="1057" w:firstLine="3"/>
        <w:rPr>
          <w:sz w:val="24"/>
          <w:highlight w:val="none"/>
        </w:rPr>
      </w:pPr>
      <w:r>
        <w:rPr>
          <w:rFonts w:ascii="Times New Roman" w:hAnsi="Times New Roman"/>
        </w:rPr>
        <w:t>☑</w:t>
      </w:r>
      <w:r>
        <w:rPr>
          <w:kern w:val="0"/>
          <w:sz w:val="24"/>
          <w:szCs w:val="20"/>
          <w:highlight w:val="none"/>
        </w:rPr>
        <w:t>磋商小组根据上述供应商排序，依次推荐</w:t>
      </w:r>
      <w:r>
        <w:rPr>
          <w:rFonts w:hint="eastAsia"/>
          <w:kern w:val="0"/>
          <w:sz w:val="24"/>
          <w:szCs w:val="20"/>
          <w:highlight w:val="none"/>
        </w:rPr>
        <w:t>所有进入评审</w:t>
      </w:r>
      <w:r>
        <w:rPr>
          <w:kern w:val="0"/>
          <w:sz w:val="24"/>
          <w:szCs w:val="20"/>
          <w:highlight w:val="none"/>
        </w:rPr>
        <w:t>排序的供应商为</w:t>
      </w:r>
      <w:r>
        <w:rPr>
          <w:snapToGrid w:val="0"/>
          <w:kern w:val="0"/>
          <w:sz w:val="24"/>
          <w:szCs w:val="21"/>
          <w:highlight w:val="none"/>
        </w:rPr>
        <w:t>成交候选供应商</w:t>
      </w:r>
      <w:r>
        <w:rPr>
          <w:kern w:val="0"/>
          <w:sz w:val="24"/>
          <w:szCs w:val="20"/>
          <w:highlight w:val="none"/>
        </w:rPr>
        <w:t>（若在磋商文件允许的情形下提交最后报价的供应商为二家，则依次推荐二名供应商为成交候选供应商），并编写评审报告。</w:t>
      </w:r>
    </w:p>
    <w:p>
      <w:pPr>
        <w:numPr>
          <w:ilvl w:val="1"/>
          <w:numId w:val="13"/>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pPr>
        <w:numPr>
          <w:ilvl w:val="0"/>
          <w:numId w:val="13"/>
        </w:numPr>
        <w:tabs>
          <w:tab w:val="left" w:pos="360"/>
        </w:tabs>
        <w:snapToGrid w:val="0"/>
        <w:spacing w:line="360" w:lineRule="auto"/>
        <w:outlineLvl w:val="1"/>
        <w:rPr>
          <w:sz w:val="24"/>
        </w:rPr>
      </w:pPr>
      <w:r>
        <w:rPr>
          <w:sz w:val="24"/>
        </w:rPr>
        <w:t>报告违法行为</w:t>
      </w:r>
    </w:p>
    <w:p>
      <w:pPr>
        <w:widowControl/>
        <w:numPr>
          <w:ilvl w:val="1"/>
          <w:numId w:val="13"/>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pPr>
        <w:pStyle w:val="4"/>
        <w:spacing w:before="0" w:line="360" w:lineRule="auto"/>
        <w:rPr>
          <w:rFonts w:ascii="Times New Roman" w:hAnsi="Times New Roman" w:eastAsia="宋体"/>
          <w:sz w:val="24"/>
          <w:szCs w:val="24"/>
        </w:rPr>
      </w:pPr>
      <w:r>
        <w:rPr>
          <w:rFonts w:ascii="Times New Roman" w:hAnsi="Times New Roman" w:eastAsia="宋体"/>
          <w:sz w:val="24"/>
          <w:szCs w:val="24"/>
        </w:rPr>
        <w:t>二、评审标准</w:t>
      </w:r>
    </w:p>
    <w:p>
      <w:pPr>
        <w:pStyle w:val="2"/>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highlight w:val="none"/>
          <w:lang w:eastAsia="zh-CN"/>
        </w:rPr>
        <w:t>第</w:t>
      </w:r>
      <w:r>
        <w:rPr>
          <w:rFonts w:hint="eastAsia" w:ascii="宋体" w:hAnsi="宋体" w:eastAsia="宋体" w:cs="宋体"/>
          <w:b/>
          <w:bCs/>
          <w:color w:val="auto"/>
          <w:sz w:val="24"/>
          <w:szCs w:val="24"/>
          <w:lang w:val="en-US" w:eastAsia="zh-CN" w:bidi="ar-SA"/>
        </w:rPr>
        <w:t>一包：</w:t>
      </w:r>
      <w:r>
        <w:rPr>
          <w:rFonts w:hint="eastAsia" w:ascii="宋体" w:hAnsi="宋体" w:eastAsia="宋体" w:cs="宋体"/>
          <w:b/>
          <w:bCs/>
          <w:color w:val="auto"/>
          <w:sz w:val="24"/>
          <w:szCs w:val="24"/>
          <w:highlight w:val="none"/>
          <w:lang w:eastAsia="zh-CN"/>
        </w:rPr>
        <w:t>副中心</w:t>
      </w:r>
      <w:r>
        <w:rPr>
          <w:rFonts w:hint="eastAsia" w:ascii="宋体" w:hAnsi="宋体" w:eastAsia="宋体" w:cs="宋体"/>
          <w:b/>
          <w:bCs/>
          <w:color w:val="auto"/>
          <w:sz w:val="24"/>
          <w:szCs w:val="24"/>
          <w:highlight w:val="none"/>
        </w:rPr>
        <w:t>行政办公区</w:t>
      </w:r>
      <w:r>
        <w:rPr>
          <w:rFonts w:hint="eastAsia" w:ascii="宋体" w:hAnsi="宋体" w:eastAsia="宋体" w:cs="宋体"/>
          <w:b/>
          <w:bCs/>
          <w:color w:val="auto"/>
          <w:sz w:val="24"/>
          <w:szCs w:val="24"/>
          <w:highlight w:val="none"/>
          <w:lang w:eastAsia="zh-CN"/>
        </w:rPr>
        <w:t>东南组团和宋庄地块</w:t>
      </w:r>
      <w:r>
        <w:rPr>
          <w:rFonts w:hint="eastAsia" w:ascii="宋体" w:hAnsi="宋体" w:eastAsia="宋体" w:cs="宋体"/>
          <w:b/>
          <w:bCs/>
          <w:color w:val="auto"/>
          <w:sz w:val="24"/>
          <w:szCs w:val="24"/>
          <w:lang w:val="en-US" w:eastAsia="zh-CN" w:bidi="ar-SA"/>
        </w:rPr>
        <w:t>桌面互联网接入服务</w:t>
      </w:r>
    </w:p>
    <w:p>
      <w:pPr>
        <w:pStyle w:val="2"/>
        <w:rPr>
          <w:rFonts w:hint="eastAsia" w:ascii="宋体" w:hAnsi="宋体" w:eastAsia="宋体" w:cs="宋体"/>
          <w:b/>
          <w:bCs/>
          <w:color w:val="auto"/>
          <w:sz w:val="24"/>
          <w:szCs w:val="24"/>
          <w:lang w:val="en-US" w:eastAsia="zh-CN" w:bidi="ar-SA"/>
        </w:rPr>
      </w:pPr>
    </w:p>
    <w:tbl>
      <w:tblPr>
        <w:tblStyle w:val="42"/>
        <w:tblW w:w="926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0"/>
        <w:gridCol w:w="920"/>
        <w:gridCol w:w="1027"/>
        <w:gridCol w:w="5249"/>
        <w:gridCol w:w="667"/>
        <w:gridCol w:w="8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90" w:hRule="atLeast"/>
        </w:trPr>
        <w:tc>
          <w:tcPr>
            <w:tcW w:w="5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92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评审部分</w:t>
            </w:r>
          </w:p>
        </w:tc>
        <w:tc>
          <w:tcPr>
            <w:tcW w:w="1027"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249"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667"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b/>
                <w:bCs/>
                <w:color w:val="auto"/>
                <w:sz w:val="24"/>
                <w:szCs w:val="24"/>
              </w:rPr>
            </w:pPr>
            <w:r>
              <w:rPr>
                <w:rFonts w:hint="eastAsia" w:ascii="宋体" w:hAnsi="宋体" w:cs="宋体"/>
                <w:b/>
                <w:bCs/>
                <w:sz w:val="24"/>
              </w:rPr>
              <w:t>分值</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主客观分属性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53" w:hRule="atLeast"/>
        </w:trPr>
        <w:tc>
          <w:tcPr>
            <w:tcW w:w="5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2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价格</w:t>
            </w:r>
            <w:r>
              <w:rPr>
                <w:rFonts w:hint="eastAsia" w:ascii="宋体" w:hAnsi="宋体" w:eastAsia="宋体" w:cs="宋体"/>
                <w:color w:val="auto"/>
                <w:sz w:val="24"/>
                <w:szCs w:val="24"/>
                <w:lang w:val="en-US" w:eastAsia="zh-CN"/>
              </w:rPr>
              <w:t>部分</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1027"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价格</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5249" w:type="dxa"/>
            <w:tcBorders>
              <w:top w:val="single" w:color="auto" w:sz="6" w:space="0"/>
              <w:left w:val="single" w:color="auto" w:sz="6" w:space="0"/>
              <w:bottom w:val="single" w:color="auto" w:sz="6" w:space="0"/>
              <w:right w:val="single" w:color="auto" w:sz="6" w:space="0"/>
            </w:tcBorders>
            <w:noWrap w:val="0"/>
            <w:vAlign w:val="center"/>
          </w:tcPr>
          <w:p>
            <w:pPr>
              <w:spacing w:line="360" w:lineRule="exact"/>
              <w:ind w:firstLine="0"/>
              <w:jc w:val="both"/>
              <w:rPr>
                <w:rFonts w:hint="eastAsia" w:ascii="宋体" w:hAnsi="宋体" w:eastAsia="宋体" w:cs="宋体"/>
                <w:color w:val="auto"/>
                <w:sz w:val="24"/>
                <w:highlight w:val="non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highlight w:val="none"/>
              </w:rPr>
              <w:t>满足磋商文件要求的最后报价最低的供应商的价格为磋商基准价，其价格分为满分。其他供应商的价格分统一按照下列公式计算：</w:t>
            </w:r>
          </w:p>
          <w:p>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磋商报价得分=（磋商基准价/最后报价）×分值</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highlight w:val="none"/>
              </w:rPr>
              <w:t>此处最后报价指经过报价修正，及因落实政府采购政策进行价格调整后的报价，详见第三章《评审方法和评审标准》3.2、3.3</w:t>
            </w:r>
          </w:p>
        </w:tc>
        <w:tc>
          <w:tcPr>
            <w:tcW w:w="667" w:type="dxa"/>
            <w:tcBorders>
              <w:top w:val="single" w:color="auto" w:sz="6" w:space="0"/>
              <w:left w:val="single" w:color="auto" w:sz="6" w:space="0"/>
              <w:bottom w:val="single" w:color="auto" w:sz="6" w:space="0"/>
              <w:right w:val="single" w:color="auto" w:sz="6" w:space="0"/>
            </w:tcBorders>
            <w:noWrap w:val="0"/>
            <w:vAlign w:val="top"/>
          </w:tcPr>
          <w:p>
            <w:pPr>
              <w:tabs>
                <w:tab w:val="left" w:pos="360"/>
                <w:tab w:val="left" w:pos="900"/>
                <w:tab w:val="left" w:pos="1080"/>
                <w:tab w:val="left" w:pos="2014"/>
              </w:tabs>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13" w:type="dxa"/>
            <w:tcBorders>
              <w:top w:val="single" w:color="auto" w:sz="6" w:space="0"/>
              <w:left w:val="single" w:color="auto" w:sz="6" w:space="0"/>
              <w:bottom w:val="single" w:color="auto" w:sz="6" w:space="0"/>
              <w:right w:val="single" w:color="auto" w:sz="6" w:space="0"/>
            </w:tcBorders>
            <w:noWrap w:val="0"/>
            <w:vAlign w:val="top"/>
          </w:tcPr>
          <w:p>
            <w:pPr>
              <w:tabs>
                <w:tab w:val="left" w:pos="360"/>
                <w:tab w:val="left" w:pos="900"/>
                <w:tab w:val="left" w:pos="1080"/>
                <w:tab w:val="left" w:pos="2014"/>
              </w:tabs>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53" w:hRule="atLeast"/>
        </w:trPr>
        <w:tc>
          <w:tcPr>
            <w:tcW w:w="590" w:type="dxa"/>
            <w:vMerge w:val="restart"/>
            <w:tcBorders>
              <w:top w:val="single" w:color="auto" w:sz="6" w:space="0"/>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20"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部分</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1027"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综合</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实力</w:t>
            </w:r>
          </w:p>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5249"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eastAsia="zh-CN" w:bidi="ar-SA"/>
              </w:rPr>
              <w:t>报价</w:t>
            </w:r>
            <w:r>
              <w:rPr>
                <w:rFonts w:hint="eastAsia" w:ascii="宋体" w:hAnsi="宋体" w:eastAsia="宋体" w:cs="宋体"/>
                <w:color w:val="auto"/>
                <w:sz w:val="24"/>
                <w:szCs w:val="24"/>
                <w:highlight w:val="none"/>
                <w:lang w:bidi="ar-SA"/>
              </w:rPr>
              <w:t>人</w:t>
            </w:r>
            <w:r>
              <w:rPr>
                <w:rFonts w:hint="eastAsia" w:ascii="宋体" w:hAnsi="宋体" w:eastAsia="宋体" w:cs="宋体"/>
                <w:color w:val="auto"/>
                <w:sz w:val="24"/>
                <w:szCs w:val="24"/>
                <w:highlight w:val="none"/>
                <w:lang w:eastAsia="zh-CN" w:bidi="ar-SA"/>
              </w:rPr>
              <w:t>项目团队实施</w:t>
            </w:r>
            <w:r>
              <w:rPr>
                <w:rFonts w:hint="eastAsia" w:ascii="宋体" w:hAnsi="宋体" w:eastAsia="宋体" w:cs="宋体"/>
                <w:color w:val="auto"/>
                <w:sz w:val="24"/>
                <w:szCs w:val="24"/>
                <w:highlight w:val="none"/>
                <w:lang w:bidi="ar-SA"/>
              </w:rPr>
              <w:t>人员具有</w:t>
            </w:r>
            <w:r>
              <w:rPr>
                <w:rFonts w:hint="eastAsia" w:ascii="宋体" w:hAnsi="宋体" w:eastAsia="宋体" w:cs="宋体"/>
                <w:bCs/>
                <w:color w:val="auto"/>
                <w:sz w:val="24"/>
                <w:szCs w:val="24"/>
                <w:highlight w:val="none"/>
              </w:rPr>
              <w:t>计算机技术与软件专业技术资格（水平）考试高级</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中级认证证书</w:t>
            </w:r>
            <w:r>
              <w:rPr>
                <w:rFonts w:hint="eastAsia" w:ascii="宋体" w:hAnsi="宋体" w:eastAsia="宋体" w:cs="宋体"/>
                <w:bCs/>
                <w:color w:val="auto"/>
                <w:sz w:val="24"/>
                <w:szCs w:val="24"/>
                <w:highlight w:val="none"/>
                <w:lang w:eastAsia="zh-CN"/>
              </w:rPr>
              <w:t>或</w:t>
            </w:r>
            <w:r>
              <w:rPr>
                <w:rFonts w:hint="eastAsia" w:ascii="宋体" w:hAnsi="宋体" w:eastAsia="宋体" w:cs="宋体"/>
                <w:color w:val="auto"/>
                <w:sz w:val="24"/>
                <w:szCs w:val="24"/>
                <w:highlight w:val="none"/>
                <w:lang w:bidi="ar-SA"/>
              </w:rPr>
              <w:t>注册信息安全专业人员证书的，</w:t>
            </w: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1个得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同</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人提供多个证书计</w:t>
            </w:r>
            <w:r>
              <w:rPr>
                <w:rFonts w:hint="eastAsia" w:ascii="宋体" w:hAnsi="宋体" w:eastAsia="宋体" w:cs="宋体"/>
                <w:color w:val="auto"/>
                <w:sz w:val="24"/>
                <w:szCs w:val="24"/>
                <w:lang w:val="en-US" w:eastAsia="zh-CN"/>
              </w:rPr>
              <w:t>1分，本项</w:t>
            </w:r>
            <w:r>
              <w:rPr>
                <w:rFonts w:hint="eastAsia" w:ascii="宋体" w:hAnsi="宋体" w:eastAsia="宋体" w:cs="宋体"/>
                <w:color w:val="auto"/>
                <w:sz w:val="24"/>
                <w:szCs w:val="24"/>
              </w:rPr>
              <w:t>最</w:t>
            </w:r>
            <w:r>
              <w:rPr>
                <w:rFonts w:hint="eastAsia" w:ascii="宋体" w:hAnsi="宋体" w:eastAsia="宋体" w:cs="宋体"/>
                <w:color w:val="auto"/>
                <w:sz w:val="24"/>
                <w:szCs w:val="24"/>
                <w:lang w:eastAsia="zh-CN"/>
              </w:rPr>
              <w:t>高</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分。（提供证书复印件）</w:t>
            </w:r>
          </w:p>
        </w:tc>
        <w:tc>
          <w:tcPr>
            <w:tcW w:w="667"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53" w:hRule="atLeast"/>
        </w:trPr>
        <w:tc>
          <w:tcPr>
            <w:tcW w:w="590" w:type="dxa"/>
            <w:vMerge w:val="continue"/>
            <w:tcBorders>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val="en-US" w:eastAsia="zh-CN"/>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宋体" w:hAnsi="宋体" w:eastAsia="宋体" w:cs="宋体"/>
                <w:color w:val="auto"/>
                <w:sz w:val="24"/>
                <w:szCs w:val="24"/>
              </w:rPr>
            </w:pPr>
          </w:p>
        </w:tc>
        <w:tc>
          <w:tcPr>
            <w:tcW w:w="1027"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履约能力（</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5249"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日至响应文件递交截止日提供同类项目业绩（同一个单位不同年份服务合同按照1个业绩计算，以合同或服务协议为准）每提供一个业绩得1分，最高</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注：本次采购同类项目，以合同或服务协议为依据，服务合同或协议需提供服务内容页、双方签订页及双方盖章页复印件，未提供盖章页无效。</w:t>
            </w:r>
          </w:p>
        </w:tc>
        <w:tc>
          <w:tcPr>
            <w:tcW w:w="667"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60" w:hRule="atLeast"/>
        </w:trPr>
        <w:tc>
          <w:tcPr>
            <w:tcW w:w="590"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20"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部分</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1027" w:type="dxa"/>
            <w:tcBorders>
              <w:top w:val="single" w:color="auto" w:sz="6" w:space="0"/>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w:t>
            </w:r>
          </w:p>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szCs w:val="24"/>
                <w:lang w:eastAsia="zh-CN"/>
              </w:rPr>
              <w:t>指标</w:t>
            </w:r>
          </w:p>
          <w:p>
            <w:pPr>
              <w:snapToGrid w:val="0"/>
              <w:spacing w:line="36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（客观</w:t>
            </w:r>
            <w:r>
              <w:rPr>
                <w:rFonts w:hint="eastAsia" w:ascii="宋体" w:hAnsi="宋体" w:eastAsia="宋体" w:cs="宋体"/>
                <w:color w:val="auto"/>
                <w:sz w:val="24"/>
                <w:lang w:val="en-US" w:eastAsia="zh-CN"/>
              </w:rPr>
              <w:t>)</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524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jc w:val="both"/>
              <w:textAlignment w:val="auto"/>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完全符合</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采购需求中</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第一包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要求中</w:t>
            </w:r>
            <w:r>
              <w:rPr>
                <w:rFonts w:hint="eastAsia" w:ascii="宋体" w:hAnsi="宋体" w:eastAsia="宋体" w:cs="宋体"/>
                <w:color w:val="auto"/>
                <w:sz w:val="24"/>
                <w:lang w:val="en-US" w:eastAsia="zh-CN"/>
              </w:rPr>
              <w:t>(二)</w:t>
            </w:r>
            <w:r>
              <w:rPr>
                <w:rFonts w:hint="eastAsia" w:ascii="宋体" w:hAnsi="宋体" w:eastAsia="宋体" w:cs="宋体"/>
                <w:color w:val="auto"/>
                <w:sz w:val="24"/>
              </w:rPr>
              <w:t>服务内容及要求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中的设置</w:t>
            </w:r>
            <w:r>
              <w:rPr>
                <w:rFonts w:hint="eastAsia" w:ascii="宋体" w:hAnsi="宋体" w:eastAsia="宋体" w:cs="宋体"/>
                <w:color w:val="auto"/>
                <w:sz w:val="24"/>
                <w:szCs w:val="24"/>
                <w:lang w:val="en-US" w:eastAsia="zh-CN"/>
              </w:rPr>
              <w:t>#号的条款，共5项，</w:t>
            </w:r>
            <w:r>
              <w:rPr>
                <w:rFonts w:hint="eastAsia" w:ascii="宋体" w:hAnsi="宋体" w:eastAsia="宋体" w:cs="宋体"/>
                <w:color w:val="auto"/>
                <w:sz w:val="24"/>
                <w:szCs w:val="24"/>
                <w:lang w:eastAsia="zh-CN"/>
              </w:rPr>
              <w:t>每满足一项得</w:t>
            </w:r>
            <w:r>
              <w:rPr>
                <w:rFonts w:hint="eastAsia" w:ascii="宋体" w:hAnsi="宋体" w:eastAsia="宋体" w:cs="宋体"/>
                <w:color w:val="auto"/>
                <w:sz w:val="24"/>
                <w:szCs w:val="24"/>
                <w:lang w:val="en-US" w:eastAsia="zh-CN"/>
              </w:rPr>
              <w:t>4分，部分满足或不满足不得分，</w:t>
            </w:r>
            <w:r>
              <w:rPr>
                <w:rFonts w:hint="eastAsia" w:ascii="宋体" w:hAnsi="宋体" w:eastAsia="宋体" w:cs="宋体"/>
                <w:color w:val="auto"/>
                <w:sz w:val="24"/>
                <w:szCs w:val="24"/>
              </w:rPr>
              <w:t>此项最高得</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须提供证明文件</w:t>
            </w:r>
            <w:r>
              <w:rPr>
                <w:rFonts w:hint="eastAsia" w:ascii="宋体" w:hAnsi="宋体" w:eastAsia="宋体" w:cs="宋体"/>
                <w:color w:val="auto"/>
                <w:sz w:val="24"/>
                <w:szCs w:val="24"/>
                <w:lang w:eastAsia="zh-CN"/>
              </w:rPr>
              <w:t>或承诺书</w:t>
            </w:r>
            <w:r>
              <w:rPr>
                <w:rFonts w:hint="eastAsia" w:ascii="宋体" w:hAnsi="宋体" w:eastAsia="宋体" w:cs="宋体"/>
                <w:color w:val="auto"/>
                <w:sz w:val="24"/>
                <w:szCs w:val="24"/>
              </w:rPr>
              <w:t>并加盖报价人公章</w:t>
            </w:r>
            <w:r>
              <w:rPr>
                <w:rFonts w:hint="eastAsia" w:ascii="宋体" w:hAnsi="宋体" w:eastAsia="宋体" w:cs="宋体"/>
                <w:color w:val="auto"/>
                <w:sz w:val="24"/>
                <w:szCs w:val="24"/>
                <w:lang w:eastAsia="zh-CN"/>
              </w:rPr>
              <w:t>。</w:t>
            </w:r>
          </w:p>
        </w:tc>
        <w:tc>
          <w:tcPr>
            <w:tcW w:w="667"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41" w:hRule="atLeast"/>
        </w:trPr>
        <w:tc>
          <w:tcPr>
            <w:tcW w:w="590" w:type="dxa"/>
            <w:vMerge w:val="continue"/>
            <w:tcBorders>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20" w:type="dxa"/>
            <w:vMerge w:val="continue"/>
            <w:tcBorders>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1027" w:type="dxa"/>
            <w:tcBorders>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w:t>
            </w:r>
          </w:p>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szCs w:val="24"/>
                <w:lang w:eastAsia="zh-CN"/>
              </w:rPr>
              <w:t>指标</w:t>
            </w:r>
          </w:p>
          <w:p>
            <w:pPr>
              <w:spacing w:line="360" w:lineRule="exact"/>
              <w:jc w:val="center"/>
              <w:rPr>
                <w:rFonts w:hint="default" w:ascii="宋体" w:hAnsi="宋体" w:eastAsia="宋体" w:cs="宋体"/>
                <w:color w:val="auto"/>
                <w:sz w:val="24"/>
                <w:lang w:eastAsia="zh-CN"/>
              </w:rPr>
            </w:pPr>
            <w:r>
              <w:rPr>
                <w:rFonts w:hint="eastAsia" w:ascii="宋体" w:hAnsi="宋体" w:eastAsia="宋体" w:cs="宋体"/>
                <w:color w:val="auto"/>
                <w:sz w:val="24"/>
                <w:lang w:eastAsia="zh-CN"/>
              </w:rPr>
              <w:t>（主观</w:t>
            </w:r>
            <w:r>
              <w:rPr>
                <w:rFonts w:hint="eastAsia" w:ascii="宋体" w:hAnsi="宋体" w:eastAsia="宋体" w:cs="宋体"/>
                <w:color w:val="auto"/>
                <w:sz w:val="24"/>
                <w:lang w:val="en-US" w:eastAsia="zh-CN"/>
              </w:rPr>
              <w:t>)</w:t>
            </w:r>
          </w:p>
          <w:p>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5249" w:type="dxa"/>
            <w:tcBorders>
              <w:top w:val="single" w:color="auto" w:sz="6" w:space="0"/>
              <w:left w:val="single" w:color="auto" w:sz="6" w:space="0"/>
              <w:bottom w:val="single" w:color="auto" w:sz="6" w:space="0"/>
              <w:right w:val="single" w:color="auto" w:sz="6" w:space="0"/>
            </w:tcBorders>
            <w:noWrap w:val="0"/>
            <w:vAlign w:val="center"/>
          </w:tcPr>
          <w:p>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针对磋商文件采购需求中“</w:t>
            </w:r>
            <w:r>
              <w:rPr>
                <w:rFonts w:hint="eastAsia" w:ascii="宋体" w:hAnsi="宋体" w:eastAsia="宋体" w:cs="宋体"/>
                <w:color w:val="auto"/>
                <w:sz w:val="24"/>
                <w:szCs w:val="24"/>
                <w:lang w:eastAsia="zh-CN"/>
              </w:rPr>
              <w:t>第一包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w:t>
            </w:r>
            <w:r>
              <w:rPr>
                <w:rFonts w:hint="eastAsia" w:hAnsi="宋体" w:eastAsia="宋体" w:cs="宋体"/>
                <w:b w:val="0"/>
                <w:color w:val="auto"/>
                <w:sz w:val="24"/>
                <w:lang w:eastAsia="zh-CN"/>
              </w:rPr>
              <w:t>中</w:t>
            </w:r>
            <w:r>
              <w:rPr>
                <w:rFonts w:hint="eastAsia"/>
                <w:sz w:val="24"/>
                <w:lang w:val="en-US" w:eastAsia="zh-CN"/>
              </w:rPr>
              <w:t>(二)</w:t>
            </w:r>
            <w:r>
              <w:rPr>
                <w:sz w:val="24"/>
              </w:rPr>
              <w:t>服务内容及要求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条要求进行打分，包括：</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（1）应具备7×24小时监控网络运行状态能力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包括但不限于</w:t>
            </w:r>
            <w:r>
              <w:rPr>
                <w:rFonts w:hint="eastAsia" w:ascii="宋体" w:hAnsi="宋体" w:eastAsia="宋体" w:cs="宋体"/>
                <w:color w:val="auto"/>
                <w:sz w:val="24"/>
                <w:szCs w:val="24"/>
              </w:rPr>
              <w:t>运行监控方案；</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（2）向采购人提供互联网情况查询服务</w:t>
            </w:r>
            <w:r>
              <w:rPr>
                <w:rFonts w:hint="eastAsia" w:ascii="宋体" w:hAnsi="宋体" w:eastAsia="宋体" w:cs="宋体"/>
                <w:color w:val="auto"/>
                <w:sz w:val="24"/>
                <w:szCs w:val="24"/>
                <w:lang w:eastAsia="zh-CN"/>
              </w:rPr>
              <w:t>，提供包括但不限于流量、带宽、攻击、漏洞等方面的实时或一定时间范围内的查询功能和方案</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（3）保证带宽报价人网络24小时稳定、可靠运行，提供故障实时响应</w:t>
            </w:r>
            <w:r>
              <w:rPr>
                <w:rFonts w:hint="eastAsia" w:ascii="宋体" w:hAnsi="宋体" w:eastAsia="宋体" w:cs="宋体"/>
                <w:color w:val="auto"/>
                <w:sz w:val="24"/>
                <w:szCs w:val="24"/>
                <w:lang w:eastAsia="zh-CN"/>
              </w:rPr>
              <w:t>方案</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包括但不限于</w:t>
            </w:r>
            <w:r>
              <w:rPr>
                <w:rFonts w:hint="eastAsia" w:ascii="宋体" w:hAnsi="宋体" w:eastAsia="宋体" w:cs="宋体"/>
                <w:color w:val="auto"/>
                <w:sz w:val="24"/>
                <w:szCs w:val="24"/>
              </w:rPr>
              <w:t>技术支持</w:t>
            </w:r>
            <w:r>
              <w:rPr>
                <w:rFonts w:hint="eastAsia" w:ascii="宋体" w:hAnsi="宋体" w:eastAsia="宋体" w:cs="宋体"/>
                <w:color w:val="auto"/>
                <w:sz w:val="24"/>
                <w:szCs w:val="24"/>
                <w:lang w:eastAsia="zh-CN"/>
              </w:rPr>
              <w:t>预案、</w:t>
            </w:r>
            <w:r>
              <w:rPr>
                <w:rFonts w:hint="eastAsia" w:ascii="宋体" w:hAnsi="宋体" w:eastAsia="宋体" w:cs="宋体"/>
                <w:color w:val="auto"/>
                <w:sz w:val="24"/>
                <w:szCs w:val="24"/>
              </w:rPr>
              <w:t>故障申告联系电话，联系人名单</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highlight w:val="none"/>
                <w:lang w:eastAsia="zh-CN"/>
              </w:rPr>
              <w:t>远程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rPr>
              <w:t>现场故障处理</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（4）提供互联网出口的主动预警服务，提供主动预警</w:t>
            </w:r>
            <w:r>
              <w:rPr>
                <w:rFonts w:hint="eastAsia" w:ascii="宋体" w:hAnsi="宋体" w:eastAsia="宋体" w:cs="宋体"/>
                <w:color w:val="auto"/>
                <w:sz w:val="24"/>
                <w:szCs w:val="24"/>
                <w:lang w:val="en-US" w:eastAsia="zh-CN"/>
              </w:rPr>
              <w:t>服务及方案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包括但不限于</w:t>
            </w:r>
            <w:r>
              <w:rPr>
                <w:rFonts w:hint="eastAsia" w:ascii="宋体" w:hAnsi="宋体" w:eastAsia="宋体" w:cs="宋体"/>
                <w:color w:val="auto"/>
                <w:sz w:val="24"/>
                <w:szCs w:val="24"/>
              </w:rPr>
              <w:t>预警流程和内容、方式；故障或计划内网络异常前须向采购人发出提醒服务，年度无故障率和网络连通率</w:t>
            </w:r>
            <w:r>
              <w:rPr>
                <w:rFonts w:hint="eastAsia" w:ascii="宋体" w:hAnsi="宋体" w:eastAsia="宋体" w:cs="宋体"/>
                <w:color w:val="auto"/>
                <w:sz w:val="24"/>
                <w:szCs w:val="24"/>
                <w:lang w:eastAsia="zh-CN"/>
              </w:rPr>
              <w:t>保证高于</w:t>
            </w:r>
            <w:r>
              <w:rPr>
                <w:rFonts w:hint="eastAsia" w:ascii="宋体" w:hAnsi="宋体" w:eastAsia="宋体" w:cs="宋体"/>
                <w:color w:val="auto"/>
                <w:sz w:val="24"/>
                <w:szCs w:val="24"/>
                <w:lang w:val="en-US" w:eastAsia="zh-CN"/>
              </w:rPr>
              <w:t>99.99%</w:t>
            </w:r>
            <w:r>
              <w:rPr>
                <w:rFonts w:hint="eastAsia" w:ascii="宋体" w:hAnsi="宋体" w:eastAsia="宋体" w:cs="宋体"/>
                <w:color w:val="auto"/>
                <w:sz w:val="24"/>
                <w:szCs w:val="24"/>
                <w:lang w:eastAsia="zh-CN"/>
              </w:rPr>
              <w:t>等内容</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内容完整合理、结合本项目特点、内容阐述清楚、完全满足采购需求、切实可行视为符合要求；</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内容属于通用类，非专门针对本项目，部分符合实际情况视为部分符合；</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outlineLvl w:val="9"/>
              <w:rPr>
                <w:rFonts w:hint="eastAsia" w:hAnsi="宋体" w:eastAsia="宋体" w:cs="宋体"/>
                <w:color w:val="auto"/>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内容复制粘贴采购需求，非专门针对本项目，不符合实际情况或未提供视为不符合；</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以上</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项，每一项符合得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分，部分符合</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1分，</w:t>
            </w:r>
            <w:r>
              <w:rPr>
                <w:rFonts w:hint="eastAsia" w:ascii="宋体" w:hAnsi="宋体" w:eastAsia="宋体" w:cs="宋体"/>
                <w:color w:val="auto"/>
                <w:sz w:val="24"/>
                <w:szCs w:val="24"/>
              </w:rPr>
              <w:t>不符合不得分，此项最高得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667"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684" w:hRule="atLeast"/>
        </w:trPr>
        <w:tc>
          <w:tcPr>
            <w:tcW w:w="59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1027"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服务</w:t>
            </w:r>
          </w:p>
          <w:p>
            <w:pPr>
              <w:spacing w:line="3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方案</w:t>
            </w:r>
          </w:p>
          <w:p>
            <w:pPr>
              <w:pStyle w:val="2"/>
              <w:ind w:firstLine="0" w:firstLineChars="0"/>
              <w:jc w:val="center"/>
              <w:rPr>
                <w:rFonts w:hint="eastAsia" w:ascii="宋体" w:hAnsi="宋体" w:eastAsia="宋体" w:cs="宋体"/>
                <w:color w:val="auto"/>
                <w:szCs w:val="24"/>
              </w:rPr>
            </w:pPr>
            <w:r>
              <w:rPr>
                <w:rFonts w:hint="eastAsia" w:ascii="宋体" w:hAnsi="宋体" w:eastAsia="宋体" w:cs="宋体"/>
                <w:color w:val="auto"/>
                <w:szCs w:val="24"/>
              </w:rPr>
              <w:t>（12分）</w:t>
            </w:r>
          </w:p>
        </w:tc>
        <w:tc>
          <w:tcPr>
            <w:tcW w:w="5249"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针对磋商文件采购需求“</w:t>
            </w:r>
            <w:r>
              <w:rPr>
                <w:rFonts w:hint="eastAsia" w:ascii="宋体" w:hAnsi="宋体" w:eastAsia="宋体" w:cs="宋体"/>
                <w:color w:val="auto"/>
                <w:sz w:val="24"/>
                <w:szCs w:val="24"/>
                <w:lang w:eastAsia="zh-CN"/>
              </w:rPr>
              <w:t>第一包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w:t>
            </w:r>
            <w:r>
              <w:rPr>
                <w:rFonts w:hint="eastAsia" w:hAnsi="宋体" w:eastAsia="宋体" w:cs="宋体"/>
                <w:b w:val="0"/>
                <w:color w:val="auto"/>
                <w:sz w:val="24"/>
                <w:lang w:eastAsia="zh-CN"/>
              </w:rPr>
              <w:t>中</w:t>
            </w:r>
            <w:r>
              <w:rPr>
                <w:rFonts w:hint="eastAsia"/>
                <w:sz w:val="24"/>
                <w:lang w:val="en-US" w:eastAsia="zh-CN"/>
              </w:rPr>
              <w:t>(二)</w:t>
            </w:r>
            <w:r>
              <w:rPr>
                <w:sz w:val="24"/>
              </w:rPr>
              <w:t>服务内容及要求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w:t>
            </w:r>
            <w:r>
              <w:rPr>
                <w:rFonts w:hint="eastAsia" w:ascii="宋体" w:hAnsi="宋体" w:eastAsia="宋体" w:cs="宋体"/>
                <w:color w:val="auto"/>
                <w:sz w:val="24"/>
                <w:szCs w:val="24"/>
              </w:rPr>
              <w:t>第2条要求进行打分，包括：</w:t>
            </w:r>
          </w:p>
          <w:p>
            <w:pPr>
              <w:numPr>
                <w:ilvl w:val="0"/>
                <w:numId w:val="0"/>
              </w:numPr>
              <w:spacing w:line="3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具备可行的合理化实施</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；包括但不限于</w:t>
            </w:r>
            <w:r>
              <w:rPr>
                <w:rFonts w:hint="eastAsia" w:ascii="宋体" w:hAnsi="宋体" w:eastAsia="宋体" w:cs="宋体"/>
                <w:bCs/>
                <w:color w:val="auto"/>
                <w:sz w:val="24"/>
                <w:szCs w:val="24"/>
                <w:highlight w:val="none"/>
              </w:rPr>
              <w:t>实施人员组织、时间进度安排、对接技术方案、带宽服务方案</w:t>
            </w:r>
            <w:r>
              <w:rPr>
                <w:rFonts w:hint="eastAsia" w:ascii="宋体" w:hAnsi="宋体" w:eastAsia="宋体" w:cs="宋体"/>
                <w:bCs/>
                <w:color w:val="auto"/>
                <w:sz w:val="24"/>
                <w:szCs w:val="24"/>
                <w:highlight w:val="none"/>
                <w:lang w:eastAsia="zh-CN"/>
              </w:rPr>
              <w:t>；</w:t>
            </w:r>
          </w:p>
          <w:p>
            <w:pPr>
              <w:numPr>
                <w:ilvl w:val="0"/>
                <w:numId w:val="0"/>
              </w:numPr>
              <w:spacing w:line="3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具备可行的合理化</w:t>
            </w:r>
            <w:r>
              <w:rPr>
                <w:rFonts w:hint="eastAsia" w:ascii="宋体" w:hAnsi="宋体" w:eastAsia="宋体" w:cs="宋体"/>
                <w:color w:val="auto"/>
                <w:sz w:val="24"/>
                <w:szCs w:val="24"/>
                <w:highlight w:val="none"/>
                <w:lang w:eastAsia="zh-CN"/>
              </w:rPr>
              <w:t>安全保障</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；包括但不限于</w:t>
            </w:r>
            <w:r>
              <w:rPr>
                <w:rFonts w:hint="eastAsia" w:ascii="宋体" w:hAnsi="宋体" w:eastAsia="宋体" w:cs="宋体"/>
                <w:bCs/>
                <w:color w:val="auto"/>
                <w:sz w:val="24"/>
                <w:szCs w:val="24"/>
                <w:highlight w:val="none"/>
              </w:rPr>
              <w:t>服务报告内容、安全保障</w:t>
            </w:r>
            <w:r>
              <w:rPr>
                <w:rFonts w:hint="eastAsia" w:ascii="宋体" w:hAnsi="宋体" w:eastAsia="宋体" w:cs="宋体"/>
                <w:bCs/>
                <w:color w:val="auto"/>
                <w:sz w:val="24"/>
                <w:szCs w:val="24"/>
                <w:highlight w:val="none"/>
                <w:lang w:eastAsia="zh-CN"/>
              </w:rPr>
              <w:t>、安全防护；</w:t>
            </w:r>
          </w:p>
          <w:p>
            <w:pPr>
              <w:numPr>
                <w:ilvl w:val="0"/>
                <w:numId w:val="0"/>
              </w:numPr>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具备可行的合理化</w:t>
            </w:r>
            <w:r>
              <w:rPr>
                <w:rFonts w:hint="eastAsia" w:ascii="宋体" w:hAnsi="宋体" w:eastAsia="宋体" w:cs="宋体"/>
                <w:color w:val="auto"/>
                <w:sz w:val="24"/>
                <w:szCs w:val="24"/>
                <w:highlight w:val="none"/>
                <w:lang w:eastAsia="zh-CN"/>
              </w:rPr>
              <w:t>网络保障</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：包括但不限于</w:t>
            </w:r>
            <w:r>
              <w:rPr>
                <w:rFonts w:hint="eastAsia" w:ascii="宋体" w:hAnsi="宋体" w:eastAsia="宋体" w:cs="宋体"/>
                <w:color w:val="auto"/>
                <w:sz w:val="24"/>
                <w:szCs w:val="24"/>
                <w:highlight w:val="none"/>
              </w:rPr>
              <w:t>7×24×365全天候技术支持</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服务热线</w:t>
            </w:r>
            <w:r>
              <w:rPr>
                <w:rFonts w:hint="eastAsia" w:ascii="宋体" w:hAnsi="宋体" w:eastAsia="宋体" w:cs="宋体"/>
                <w:bCs/>
                <w:color w:val="auto"/>
                <w:sz w:val="24"/>
                <w:szCs w:val="24"/>
                <w:highlight w:val="none"/>
                <w:lang w:eastAsia="zh-CN"/>
              </w:rPr>
              <w:t>电话、保障预案等</w:t>
            </w:r>
            <w:r>
              <w:rPr>
                <w:rFonts w:hint="eastAsia" w:ascii="宋体" w:hAnsi="宋体" w:eastAsia="宋体" w:cs="宋体"/>
                <w:color w:val="auto"/>
                <w:sz w:val="24"/>
                <w:szCs w:val="24"/>
                <w:highlight w:val="none"/>
                <w:lang w:eastAsia="zh-CN"/>
              </w:rPr>
              <w:t>；</w:t>
            </w:r>
          </w:p>
          <w:p>
            <w:pPr>
              <w:numPr>
                <w:ilvl w:val="0"/>
                <w:numId w:val="0"/>
              </w:numPr>
              <w:spacing w:line="360" w:lineRule="exact"/>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具备可行的合理化</w:t>
            </w:r>
            <w:r>
              <w:rPr>
                <w:rFonts w:hint="eastAsia" w:ascii="宋体" w:hAnsi="宋体" w:eastAsia="宋体" w:cs="宋体"/>
                <w:bCs/>
                <w:color w:val="auto"/>
                <w:sz w:val="24"/>
                <w:szCs w:val="24"/>
                <w:highlight w:val="none"/>
                <w:lang w:eastAsia="zh-CN"/>
              </w:rPr>
              <w:t>特殊时期保障方案：包括但不限于</w:t>
            </w:r>
            <w:r>
              <w:rPr>
                <w:rFonts w:hint="eastAsia" w:ascii="宋体" w:hAnsi="宋体" w:eastAsia="宋体" w:cs="宋体"/>
                <w:color w:val="auto"/>
                <w:sz w:val="24"/>
                <w:szCs w:val="24"/>
                <w:highlight w:val="none"/>
              </w:rPr>
              <w:t>特殊重大事件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重要时期重点保障等</w:t>
            </w:r>
            <w:r>
              <w:rPr>
                <w:rFonts w:hint="eastAsia" w:ascii="宋体" w:hAnsi="宋体" w:eastAsia="宋体" w:cs="宋体"/>
                <w:color w:val="auto"/>
                <w:sz w:val="24"/>
                <w:szCs w:val="24"/>
                <w:highlight w:val="none"/>
                <w:lang w:eastAsia="zh-CN"/>
              </w:rPr>
              <w:t>服务并提供方案。</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方案完整合理、结合本项目特点、内容阐述清楚、完全满足采购需求、切实可行视为符合要求；</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方案内容属于通用类，非专门针对本项目，部分符合实际情况视为部分符合；</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方案内容复制粘贴采购需求，非专门针对本项目，不符合实际情况或未提供视为不符合；</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项，每一项符合得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分，部分符合得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分，不符合不得分，此项最高得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667"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87" w:hRule="atLeast"/>
        </w:trPr>
        <w:tc>
          <w:tcPr>
            <w:tcW w:w="59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1027"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0"/>
              </w:numPr>
              <w:spacing w:line="360" w:lineRule="exact"/>
              <w:jc w:val="center"/>
              <w:rPr>
                <w:rFonts w:hint="eastAsia" w:ascii="宋体" w:hAnsi="宋体" w:eastAsia="宋体" w:cs="宋体"/>
                <w:color w:val="auto"/>
                <w:kern w:val="0"/>
                <w:sz w:val="24"/>
                <w:szCs w:val="24"/>
                <w:highlight w:val="none"/>
                <w:lang w:bidi="ar-SA"/>
              </w:rPr>
            </w:pPr>
            <w:r>
              <w:rPr>
                <w:rFonts w:hint="eastAsia" w:ascii="宋体" w:hAnsi="宋体" w:eastAsia="宋体" w:cs="宋体"/>
                <w:color w:val="auto"/>
                <w:sz w:val="24"/>
                <w:szCs w:val="24"/>
                <w:highlight w:val="none"/>
                <w:lang w:bidi="ar-SA"/>
              </w:rPr>
              <w:t>应</w:t>
            </w:r>
            <w:r>
              <w:rPr>
                <w:rFonts w:hint="eastAsia" w:ascii="宋体" w:hAnsi="宋体" w:eastAsia="宋体" w:cs="宋体"/>
                <w:color w:val="auto"/>
                <w:kern w:val="0"/>
                <w:sz w:val="24"/>
                <w:szCs w:val="24"/>
                <w:highlight w:val="none"/>
                <w:lang w:bidi="ar-SA"/>
              </w:rPr>
              <w:t>急保障方案</w:t>
            </w:r>
          </w:p>
          <w:p>
            <w:pPr>
              <w:widowControl/>
              <w:numPr>
                <w:ilvl w:val="0"/>
                <w:numId w:val="0"/>
              </w:numPr>
              <w:spacing w:line="360" w:lineRule="exact"/>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kern w:val="0"/>
                <w:sz w:val="24"/>
                <w:szCs w:val="24"/>
                <w:highlight w:val="none"/>
                <w:lang w:bidi="ar-SA"/>
              </w:rPr>
              <w:t>（</w:t>
            </w:r>
            <w:r>
              <w:rPr>
                <w:rFonts w:hint="eastAsia" w:ascii="宋体" w:hAnsi="宋体" w:eastAsia="宋体" w:cs="宋体"/>
                <w:color w:val="auto"/>
                <w:kern w:val="0"/>
                <w:sz w:val="24"/>
                <w:szCs w:val="24"/>
                <w:highlight w:val="none"/>
                <w:lang w:val="en-US" w:eastAsia="zh-CN" w:bidi="ar-SA"/>
              </w:rPr>
              <w:t>12</w:t>
            </w:r>
            <w:r>
              <w:rPr>
                <w:rFonts w:hint="eastAsia" w:ascii="宋体" w:hAnsi="宋体" w:eastAsia="宋体" w:cs="宋体"/>
                <w:color w:val="auto"/>
                <w:kern w:val="0"/>
                <w:sz w:val="24"/>
                <w:szCs w:val="24"/>
                <w:highlight w:val="none"/>
                <w:lang w:bidi="ar-SA"/>
              </w:rPr>
              <w:t>分）</w:t>
            </w:r>
          </w:p>
        </w:tc>
        <w:tc>
          <w:tcPr>
            <w:tcW w:w="5249"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left"/>
              <w:rPr>
                <w:rFonts w:hint="eastAsia" w:ascii="宋体" w:hAnsi="宋体" w:eastAsia="宋体" w:cs="宋体"/>
                <w:color w:val="auto"/>
                <w:kern w:val="0"/>
                <w:sz w:val="24"/>
                <w:szCs w:val="24"/>
                <w:highlight w:val="none"/>
                <w:lang w:bidi="ar-SA"/>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针对磋商文件采购需求“</w:t>
            </w:r>
            <w:r>
              <w:rPr>
                <w:rFonts w:hint="eastAsia" w:ascii="宋体" w:hAnsi="宋体" w:eastAsia="宋体" w:cs="宋体"/>
                <w:color w:val="auto"/>
                <w:sz w:val="24"/>
                <w:szCs w:val="24"/>
                <w:lang w:eastAsia="zh-CN"/>
              </w:rPr>
              <w:t>第一包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w:t>
            </w:r>
            <w:r>
              <w:rPr>
                <w:rFonts w:hint="eastAsia" w:hAnsi="宋体" w:eastAsia="宋体" w:cs="宋体"/>
                <w:b w:val="0"/>
                <w:color w:val="auto"/>
                <w:sz w:val="24"/>
                <w:lang w:eastAsia="zh-CN"/>
              </w:rPr>
              <w:t>中</w:t>
            </w:r>
            <w:r>
              <w:rPr>
                <w:rFonts w:hint="eastAsia"/>
                <w:sz w:val="24"/>
                <w:lang w:val="en-US" w:eastAsia="zh-CN"/>
              </w:rPr>
              <w:t>(二)</w:t>
            </w:r>
            <w:r>
              <w:rPr>
                <w:sz w:val="24"/>
              </w:rPr>
              <w:t>服务内容及要求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条要求进行打分，包括：</w:t>
            </w:r>
          </w:p>
          <w:p>
            <w:pPr>
              <w:widowControl/>
              <w:numPr>
                <w:ilvl w:val="0"/>
                <w:numId w:val="0"/>
              </w:numPr>
              <w:spacing w:line="360" w:lineRule="exact"/>
              <w:jc w:val="left"/>
              <w:rPr>
                <w:rFonts w:hint="eastAsia" w:ascii="宋体" w:hAnsi="宋体" w:eastAsia="宋体" w:cs="宋体"/>
                <w:color w:val="auto"/>
                <w:kern w:val="0"/>
                <w:sz w:val="24"/>
                <w:szCs w:val="24"/>
                <w:highlight w:val="none"/>
                <w:lang w:bidi="ar-SA"/>
              </w:rPr>
            </w:pPr>
            <w:r>
              <w:rPr>
                <w:rFonts w:hint="eastAsia" w:ascii="宋体" w:hAnsi="宋体" w:eastAsia="宋体" w:cs="宋体"/>
                <w:color w:val="auto"/>
                <w:kern w:val="0"/>
                <w:sz w:val="24"/>
                <w:szCs w:val="24"/>
                <w:highlight w:val="none"/>
                <w:lang w:val="en-US" w:eastAsia="zh-CN" w:bidi="ar-SA"/>
              </w:rPr>
              <w:t xml:space="preserve">    （1）包括但不限于</w:t>
            </w:r>
            <w:r>
              <w:rPr>
                <w:rFonts w:hint="eastAsia" w:ascii="宋体" w:hAnsi="宋体" w:eastAsia="宋体" w:cs="宋体"/>
                <w:color w:val="auto"/>
                <w:kern w:val="0"/>
                <w:sz w:val="24"/>
                <w:szCs w:val="24"/>
                <w:highlight w:val="none"/>
                <w:lang w:bidi="ar-SA"/>
              </w:rPr>
              <w:t>提供应急预案</w:t>
            </w:r>
            <w:r>
              <w:rPr>
                <w:rFonts w:hint="eastAsia" w:ascii="宋体" w:hAnsi="宋体" w:eastAsia="宋体" w:cs="宋体"/>
                <w:color w:val="auto"/>
                <w:kern w:val="0"/>
                <w:sz w:val="24"/>
                <w:szCs w:val="24"/>
                <w:highlight w:val="none"/>
                <w:lang w:eastAsia="zh-CN" w:bidi="ar-SA"/>
              </w:rPr>
              <w:t>、</w:t>
            </w:r>
            <w:r>
              <w:rPr>
                <w:rFonts w:hint="eastAsia" w:ascii="宋体" w:hAnsi="宋体" w:eastAsia="宋体" w:cs="宋体"/>
                <w:color w:val="auto"/>
                <w:kern w:val="0"/>
                <w:sz w:val="24"/>
                <w:szCs w:val="24"/>
                <w:highlight w:val="none"/>
                <w:lang w:bidi="ar-SA"/>
              </w:rPr>
              <w:t>应对措施</w:t>
            </w:r>
            <w:r>
              <w:rPr>
                <w:rFonts w:hint="eastAsia" w:ascii="宋体" w:hAnsi="宋体" w:eastAsia="宋体" w:cs="宋体"/>
                <w:color w:val="auto"/>
                <w:kern w:val="0"/>
                <w:sz w:val="24"/>
                <w:szCs w:val="24"/>
                <w:highlight w:val="none"/>
                <w:lang w:eastAsia="zh-CN" w:bidi="ar-SA"/>
              </w:rPr>
              <w:t>，</w:t>
            </w:r>
            <w:r>
              <w:rPr>
                <w:rFonts w:hint="eastAsia" w:ascii="宋体" w:hAnsi="宋体" w:eastAsia="宋体" w:cs="宋体"/>
                <w:color w:val="auto"/>
                <w:sz w:val="24"/>
                <w:szCs w:val="24"/>
              </w:rPr>
              <w:t>临时提速快速响应方案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包括物资、人员、预案等</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highlight w:val="none"/>
                <w:lang w:eastAsia="zh-CN" w:bidi="ar-SA"/>
              </w:rPr>
              <w:t>；</w:t>
            </w:r>
          </w:p>
          <w:p>
            <w:pPr>
              <w:widowControl/>
              <w:numPr>
                <w:ilvl w:val="0"/>
                <w:numId w:val="0"/>
              </w:numPr>
              <w:spacing w:line="360" w:lineRule="exact"/>
              <w:jc w:val="left"/>
              <w:rPr>
                <w:rFonts w:hint="eastAsia" w:ascii="宋体" w:hAnsi="宋体" w:eastAsia="宋体" w:cs="宋体"/>
                <w:color w:val="auto"/>
                <w:kern w:val="0"/>
                <w:sz w:val="24"/>
                <w:szCs w:val="24"/>
                <w:highlight w:val="none"/>
                <w:lang w:bidi="ar-SA"/>
              </w:rPr>
            </w:pPr>
            <w:r>
              <w:rPr>
                <w:rFonts w:hint="eastAsia" w:ascii="宋体" w:hAnsi="宋体" w:eastAsia="宋体" w:cs="宋体"/>
                <w:color w:val="auto"/>
                <w:kern w:val="0"/>
                <w:sz w:val="24"/>
                <w:szCs w:val="24"/>
                <w:highlight w:val="none"/>
                <w:lang w:val="en-US" w:eastAsia="zh-CN" w:bidi="ar-SA"/>
              </w:rPr>
              <w:t xml:space="preserve">    （2）</w:t>
            </w:r>
            <w:r>
              <w:rPr>
                <w:rFonts w:hint="eastAsia" w:ascii="宋体" w:hAnsi="宋体" w:eastAsia="宋体" w:cs="宋体"/>
                <w:color w:val="auto"/>
                <w:kern w:val="0"/>
                <w:sz w:val="24"/>
                <w:szCs w:val="24"/>
                <w:highlight w:val="none"/>
                <w:lang w:bidi="ar-SA"/>
              </w:rPr>
              <w:t>应急服务</w:t>
            </w:r>
            <w:r>
              <w:rPr>
                <w:rFonts w:hint="eastAsia" w:ascii="宋体" w:hAnsi="宋体" w:eastAsia="宋体" w:cs="宋体"/>
                <w:color w:val="auto"/>
                <w:kern w:val="0"/>
                <w:sz w:val="24"/>
                <w:szCs w:val="24"/>
                <w:highlight w:val="none"/>
                <w:lang w:eastAsia="zh-CN" w:bidi="ar-SA"/>
              </w:rPr>
              <w:t>，</w:t>
            </w:r>
            <w:r>
              <w:rPr>
                <w:rFonts w:hint="eastAsia" w:ascii="宋体" w:hAnsi="宋体" w:eastAsia="宋体" w:cs="宋体"/>
                <w:color w:val="auto"/>
                <w:sz w:val="24"/>
                <w:szCs w:val="24"/>
              </w:rPr>
              <w:t>流程和响应时效</w:t>
            </w:r>
            <w:r>
              <w:rPr>
                <w:rFonts w:hint="eastAsia" w:ascii="宋体" w:hAnsi="宋体" w:eastAsia="宋体" w:cs="宋体"/>
                <w:color w:val="auto"/>
                <w:sz w:val="24"/>
                <w:szCs w:val="24"/>
                <w:lang w:eastAsia="zh-CN"/>
              </w:rPr>
              <w:t>、处理方法</w:t>
            </w:r>
            <w:r>
              <w:rPr>
                <w:rFonts w:hint="eastAsia" w:ascii="宋体" w:hAnsi="宋体" w:eastAsia="宋体" w:cs="宋体"/>
                <w:color w:val="auto"/>
                <w:kern w:val="0"/>
                <w:sz w:val="24"/>
                <w:szCs w:val="24"/>
                <w:highlight w:val="none"/>
                <w:lang w:eastAsia="zh-CN" w:bidi="ar-SA"/>
              </w:rPr>
              <w:t>；</w:t>
            </w:r>
          </w:p>
          <w:p>
            <w:pPr>
              <w:widowControl/>
              <w:numPr>
                <w:ilvl w:val="0"/>
                <w:numId w:val="0"/>
              </w:numPr>
              <w:spacing w:line="360" w:lineRule="exact"/>
              <w:jc w:val="left"/>
              <w:rPr>
                <w:rFonts w:hint="eastAsia" w:ascii="宋体" w:hAnsi="宋体" w:eastAsia="宋体" w:cs="宋体"/>
                <w:color w:val="auto"/>
                <w:sz w:val="24"/>
              </w:rPr>
            </w:pPr>
            <w:r>
              <w:rPr>
                <w:rFonts w:hint="eastAsia" w:ascii="宋体" w:hAnsi="宋体" w:eastAsia="宋体" w:cs="宋体"/>
                <w:color w:val="auto"/>
                <w:kern w:val="0"/>
                <w:sz w:val="24"/>
                <w:szCs w:val="24"/>
                <w:highlight w:val="none"/>
                <w:lang w:val="en-US" w:eastAsia="zh-CN" w:bidi="ar-SA"/>
              </w:rPr>
              <w:t xml:space="preserve">    （3）</w:t>
            </w:r>
            <w:r>
              <w:rPr>
                <w:rFonts w:hint="eastAsia" w:ascii="宋体" w:hAnsi="宋体" w:eastAsia="宋体" w:cs="宋体"/>
                <w:color w:val="auto"/>
                <w:kern w:val="0"/>
                <w:sz w:val="24"/>
                <w:szCs w:val="24"/>
                <w:highlight w:val="none"/>
                <w:lang w:bidi="ar-SA"/>
              </w:rPr>
              <w:t>服务质量保证办法</w:t>
            </w:r>
            <w:r>
              <w:rPr>
                <w:rFonts w:hint="eastAsia" w:ascii="宋体" w:hAnsi="宋体" w:eastAsia="宋体" w:cs="宋体"/>
                <w:color w:val="auto"/>
                <w:kern w:val="0"/>
                <w:sz w:val="24"/>
                <w:szCs w:val="24"/>
                <w:highlight w:val="none"/>
                <w:lang w:eastAsia="zh-CN" w:bidi="ar-SA"/>
              </w:rPr>
              <w:t>；</w:t>
            </w:r>
          </w:p>
          <w:p>
            <w:pPr>
              <w:widowControl/>
              <w:numPr>
                <w:ilvl w:val="0"/>
                <w:numId w:val="0"/>
              </w:numPr>
              <w:spacing w:line="360" w:lineRule="exact"/>
              <w:jc w:val="left"/>
              <w:rPr>
                <w:rFonts w:hint="eastAsia" w:ascii="宋体" w:hAnsi="宋体" w:eastAsia="宋体" w:cs="宋体"/>
                <w:color w:val="auto"/>
                <w:sz w:val="24"/>
              </w:rPr>
            </w:pPr>
            <w:r>
              <w:rPr>
                <w:rFonts w:hint="eastAsia" w:ascii="宋体" w:hAnsi="宋体" w:eastAsia="宋体" w:cs="宋体"/>
                <w:color w:val="auto"/>
                <w:kern w:val="0"/>
                <w:sz w:val="24"/>
                <w:szCs w:val="24"/>
                <w:highlight w:val="none"/>
                <w:lang w:val="en-US" w:eastAsia="zh-CN" w:bidi="ar-SA"/>
              </w:rPr>
              <w:t xml:space="preserve">    （4）</w:t>
            </w:r>
            <w:r>
              <w:rPr>
                <w:rFonts w:hint="eastAsia" w:ascii="宋体" w:hAnsi="宋体" w:eastAsia="宋体" w:cs="宋体"/>
                <w:color w:val="auto"/>
                <w:kern w:val="0"/>
                <w:sz w:val="24"/>
                <w:szCs w:val="24"/>
                <w:highlight w:val="none"/>
                <w:lang w:bidi="ar-SA"/>
              </w:rPr>
              <w:t>风险控制方法。</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方案完整合理、结合本项目特点、内容阐述清楚、完全满足采购需求、切实可行视为符合要求；</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方案内容属于通用类，非专门针对本项目，部分符合实际情况视为部分符合；</w:t>
            </w:r>
          </w:p>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方案内容复制粘贴采购需求，非专门针对本项目，不符合实际情况或未提供视为不符合；</w:t>
            </w:r>
          </w:p>
          <w:p>
            <w:pPr>
              <w:spacing w:line="360" w:lineRule="exact"/>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以上</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项，每一项符合得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分，部分符合得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分，不符合不得分，此项最高得</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分。</w:t>
            </w:r>
          </w:p>
        </w:tc>
        <w:tc>
          <w:tcPr>
            <w:tcW w:w="667"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744" w:hRule="atLeast"/>
        </w:trPr>
        <w:tc>
          <w:tcPr>
            <w:tcW w:w="590" w:type="dxa"/>
            <w:vMerge w:val="continue"/>
            <w:tcBorders>
              <w:left w:val="single" w:color="auto" w:sz="6" w:space="0"/>
              <w:bottom w:val="single" w:color="auto" w:sz="6" w:space="0"/>
              <w:right w:val="single" w:color="auto" w:sz="6" w:space="0"/>
            </w:tcBorders>
            <w:noWrap w:val="0"/>
            <w:vAlign w:val="center"/>
          </w:tcPr>
          <w:p>
            <w:pPr>
              <w:widowControl/>
              <w:spacing w:line="360" w:lineRule="exact"/>
              <w:jc w:val="both"/>
              <w:rPr>
                <w:rFonts w:hint="eastAsia" w:ascii="宋体" w:hAnsi="宋体" w:eastAsia="宋体" w:cs="宋体"/>
                <w:color w:val="auto"/>
                <w:sz w:val="24"/>
              </w:rPr>
            </w:pPr>
          </w:p>
        </w:tc>
        <w:tc>
          <w:tcPr>
            <w:tcW w:w="920" w:type="dxa"/>
            <w:vMerge w:val="continue"/>
            <w:tcBorders>
              <w:left w:val="single" w:color="auto" w:sz="6" w:space="0"/>
              <w:bottom w:val="single" w:color="auto" w:sz="6" w:space="0"/>
              <w:right w:val="single" w:color="auto" w:sz="6" w:space="0"/>
            </w:tcBorders>
            <w:noWrap w:val="0"/>
            <w:vAlign w:val="center"/>
          </w:tcPr>
          <w:p>
            <w:pPr>
              <w:widowControl/>
              <w:spacing w:line="360" w:lineRule="exact"/>
              <w:jc w:val="both"/>
              <w:rPr>
                <w:rFonts w:hint="eastAsia" w:ascii="宋体" w:hAnsi="宋体" w:eastAsia="宋体" w:cs="宋体"/>
                <w:color w:val="auto"/>
                <w:sz w:val="24"/>
              </w:rPr>
            </w:pPr>
          </w:p>
        </w:tc>
        <w:tc>
          <w:tcPr>
            <w:tcW w:w="1027" w:type="dxa"/>
            <w:tcBorders>
              <w:left w:val="single" w:color="auto" w:sz="6" w:space="0"/>
              <w:right w:val="single" w:color="auto" w:sz="6" w:space="0"/>
            </w:tcBorders>
            <w:noWrap w:val="0"/>
            <w:vAlign w:val="center"/>
          </w:tcPr>
          <w:p>
            <w:pPr>
              <w:widowControl/>
              <w:spacing w:line="360" w:lineRule="exact"/>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保障</w:t>
            </w:r>
          </w:p>
          <w:p>
            <w:pPr>
              <w:widowControl/>
              <w:spacing w:line="360" w:lineRule="exact"/>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服务</w:t>
            </w:r>
          </w:p>
          <w:p>
            <w:pPr>
              <w:widowControl/>
              <w:spacing w:line="360" w:lineRule="exact"/>
              <w:jc w:val="center"/>
              <w:rPr>
                <w:rFonts w:hint="eastAsia" w:ascii="宋体" w:hAnsi="宋体" w:eastAsia="宋体" w:cs="宋体"/>
                <w:color w:val="auto"/>
                <w:sz w:val="24"/>
              </w:rPr>
            </w:pPr>
            <w:r>
              <w:rPr>
                <w:rFonts w:hint="eastAsia" w:ascii="宋体" w:hAnsi="宋体" w:eastAsia="宋体" w:cs="宋体"/>
                <w:color w:val="auto"/>
                <w:sz w:val="24"/>
                <w:szCs w:val="24"/>
                <w:highlight w:val="none"/>
                <w:lang w:bidi="ar-SA"/>
              </w:rPr>
              <w:t>（20分）</w:t>
            </w:r>
          </w:p>
        </w:tc>
        <w:tc>
          <w:tcPr>
            <w:tcW w:w="5249" w:type="dxa"/>
            <w:tcBorders>
              <w:top w:val="single" w:color="auto" w:sz="6" w:space="0"/>
              <w:left w:val="single" w:color="auto" w:sz="6" w:space="0"/>
              <w:bottom w:val="single" w:color="auto" w:sz="4" w:space="0"/>
              <w:right w:val="single" w:color="auto" w:sz="6" w:space="0"/>
            </w:tcBorders>
            <w:noWrap w:val="0"/>
            <w:vAlign w:val="center"/>
          </w:tcPr>
          <w:p>
            <w:pPr>
              <w:pStyle w:val="2"/>
              <w:ind w:left="0" w:leftChars="0" w:firstLine="0" w:firstLineChars="0"/>
              <w:rPr>
                <w:rFonts w:hint="eastAsia" w:hAnsi="宋体" w:eastAsia="宋体" w:cs="宋体"/>
                <w:color w:val="auto"/>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针对磋商文件采购需求中“</w:t>
            </w:r>
            <w:r>
              <w:rPr>
                <w:rFonts w:hint="eastAsia" w:ascii="宋体" w:hAnsi="宋体" w:eastAsia="宋体" w:cs="宋体"/>
                <w:color w:val="auto"/>
                <w:sz w:val="24"/>
                <w:szCs w:val="24"/>
                <w:lang w:eastAsia="zh-CN"/>
              </w:rPr>
              <w:t>第一包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w:t>
            </w:r>
            <w:r>
              <w:rPr>
                <w:rFonts w:hint="eastAsia" w:hAnsi="宋体" w:eastAsia="宋体" w:cs="宋体"/>
                <w:b w:val="0"/>
                <w:color w:val="auto"/>
                <w:sz w:val="24"/>
                <w:lang w:eastAsia="zh-CN"/>
              </w:rPr>
              <w:t>中</w:t>
            </w:r>
            <w:r>
              <w:rPr>
                <w:rFonts w:hint="eastAsia"/>
                <w:sz w:val="24"/>
                <w:lang w:val="en-US" w:eastAsia="zh-CN"/>
              </w:rPr>
              <w:t>(二)</w:t>
            </w:r>
            <w:r>
              <w:rPr>
                <w:sz w:val="24"/>
              </w:rPr>
              <w:t>服务内容及要求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条要求进行打分，包括：</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承诺提供流量清洗服务</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承诺提供防DDOS安全服务</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承诺能够提供域名全防护</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承诺提供反钓鱼等专业安全服务</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）承诺</w:t>
            </w:r>
            <w:r>
              <w:rPr>
                <w:rFonts w:hint="eastAsia" w:ascii="宋体" w:hAnsi="宋体" w:eastAsia="宋体" w:cs="宋体"/>
                <w:color w:val="auto"/>
                <w:sz w:val="24"/>
                <w:szCs w:val="24"/>
              </w:rPr>
              <w:t>提供可视化监控平台服务</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报价人须提供证明文件并加盖报价人公章。以上</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项每一项符合得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分，部分符合或不符合不得分。此项最高得</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667" w:type="dxa"/>
            <w:tcBorders>
              <w:left w:val="single" w:color="auto" w:sz="6" w:space="0"/>
              <w:bottom w:val="single" w:color="auto" w:sz="4" w:space="0"/>
              <w:right w:val="single" w:color="auto" w:sz="6" w:space="0"/>
            </w:tcBorders>
            <w:noWrap w:val="0"/>
            <w:vAlign w:val="top"/>
          </w:tcPr>
          <w:p>
            <w:pPr>
              <w:widowControl/>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813" w:type="dxa"/>
            <w:tcBorders>
              <w:left w:val="single" w:color="auto" w:sz="6" w:space="0"/>
              <w:bottom w:val="single" w:color="auto" w:sz="4"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013" w:hRule="atLeast"/>
        </w:trPr>
        <w:tc>
          <w:tcPr>
            <w:tcW w:w="59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宋体" w:hAnsi="宋体" w:eastAsia="宋体" w:cs="宋体"/>
                <w:color w:val="auto"/>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宋体" w:hAnsi="宋体" w:eastAsia="宋体" w:cs="宋体"/>
                <w:color w:val="auto"/>
                <w:sz w:val="24"/>
                <w:szCs w:val="24"/>
              </w:rPr>
            </w:pPr>
          </w:p>
        </w:tc>
        <w:tc>
          <w:tcPr>
            <w:tcW w:w="1027"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应对突发带宽的扩容能力</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5249" w:type="dxa"/>
            <w:tcBorders>
              <w:top w:val="single" w:color="auto" w:sz="6" w:space="0"/>
              <w:left w:val="single" w:color="auto" w:sz="6" w:space="0"/>
              <w:bottom w:val="single" w:color="auto" w:sz="6" w:space="0"/>
              <w:right w:val="single" w:color="auto" w:sz="6" w:space="0"/>
            </w:tcBorders>
            <w:noWrap w:val="0"/>
            <w:vAlign w:val="center"/>
          </w:tcPr>
          <w:p>
            <w:pPr>
              <w:numPr>
                <w:ilvl w:val="0"/>
                <w:numId w:val="0"/>
              </w:num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rPr>
              <w:t>能提供临时突发流量超出采购带宽大于等于80%，且可持续时间可超过2小时，得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pPr>
              <w:numPr>
                <w:ilvl w:val="0"/>
                <w:numId w:val="0"/>
              </w:num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2.</w:t>
            </w:r>
            <w:r>
              <w:rPr>
                <w:rFonts w:hint="eastAsia" w:ascii="宋体" w:hAnsi="宋体" w:eastAsia="宋体" w:cs="宋体"/>
                <w:color w:val="auto"/>
                <w:sz w:val="24"/>
                <w:szCs w:val="24"/>
              </w:rPr>
              <w:t>能提供临时突发流量超出采购带宽大于等于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0%，且可持续时间可超过</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小时，得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pPr>
              <w:numPr>
                <w:ilvl w:val="0"/>
                <w:numId w:val="0"/>
              </w:num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3.仅能提供</w:t>
            </w:r>
            <w:r>
              <w:rPr>
                <w:rFonts w:hint="eastAsia" w:ascii="宋体" w:hAnsi="宋体" w:eastAsia="宋体" w:cs="宋体"/>
                <w:color w:val="auto"/>
                <w:sz w:val="24"/>
                <w:szCs w:val="24"/>
              </w:rPr>
              <w:t>临时突发流量超出采购带宽</w:t>
            </w:r>
            <w:r>
              <w:rPr>
                <w:rFonts w:hint="eastAsia" w:ascii="宋体" w:hAnsi="宋体" w:eastAsia="宋体" w:cs="宋体"/>
                <w:color w:val="auto"/>
                <w:sz w:val="24"/>
                <w:szCs w:val="24"/>
                <w:lang w:eastAsia="zh-CN"/>
              </w:rPr>
              <w:t>小于</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持续时间</w:t>
            </w:r>
            <w:r>
              <w:rPr>
                <w:rFonts w:hint="eastAsia" w:ascii="宋体" w:hAnsi="宋体" w:eastAsia="宋体" w:cs="宋体"/>
                <w:color w:val="auto"/>
                <w:sz w:val="24"/>
                <w:szCs w:val="24"/>
                <w:lang w:eastAsia="zh-CN"/>
              </w:rPr>
              <w:t>小于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小时要求的不得分。 </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报价人须提交承诺书并加盖报价人公章。</w:t>
            </w:r>
          </w:p>
        </w:tc>
        <w:tc>
          <w:tcPr>
            <w:tcW w:w="667"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bl>
    <w:p>
      <w:pPr>
        <w:pStyle w:val="2"/>
        <w:ind w:left="0" w:leftChars="0" w:firstLine="0" w:firstLineChars="0"/>
        <w:rPr>
          <w:rFonts w:hint="eastAsia" w:ascii="宋体" w:hAnsi="宋体" w:eastAsia="宋体" w:cs="宋体"/>
          <w:color w:val="auto"/>
          <w:sz w:val="24"/>
          <w:szCs w:val="24"/>
          <w:highlight w:val="none"/>
          <w:lang w:eastAsia="zh-CN"/>
        </w:rPr>
      </w:pPr>
    </w:p>
    <w:p>
      <w:pPr>
        <w:keepNext w:val="0"/>
        <w:keepLines w:val="0"/>
        <w:pageBreakBefore w:val="0"/>
        <w:kinsoku/>
        <w:wordWrap/>
        <w:overflowPunct/>
        <w:topLinePunct w:val="0"/>
        <w:autoSpaceDE/>
        <w:autoSpaceDN/>
        <w:bidi w:val="0"/>
        <w:adjustRightInd w:val="0"/>
        <w:snapToGrid/>
        <w:spacing w:line="400" w:lineRule="exact"/>
        <w:textAlignment w:val="baseline"/>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highlight w:val="none"/>
          <w:lang w:eastAsia="zh-CN"/>
        </w:rPr>
        <w:t>第二</w:t>
      </w:r>
      <w:r>
        <w:rPr>
          <w:rFonts w:hint="eastAsia" w:ascii="宋体" w:hAnsi="宋体" w:eastAsia="宋体" w:cs="宋体"/>
          <w:b/>
          <w:bCs/>
          <w:color w:val="auto"/>
          <w:sz w:val="24"/>
          <w:szCs w:val="24"/>
          <w:lang w:val="en-US" w:eastAsia="zh-CN" w:bidi="ar-SA"/>
        </w:rPr>
        <w:t>包：</w:t>
      </w:r>
      <w:r>
        <w:rPr>
          <w:rFonts w:hint="eastAsia" w:ascii="宋体" w:hAnsi="宋体" w:eastAsia="宋体" w:cs="宋体"/>
          <w:b/>
          <w:bCs/>
          <w:color w:val="auto"/>
          <w:sz w:val="24"/>
          <w:szCs w:val="24"/>
          <w:highlight w:val="none"/>
          <w:lang w:eastAsia="zh-CN"/>
        </w:rPr>
        <w:t>副中心</w:t>
      </w:r>
      <w:r>
        <w:rPr>
          <w:rFonts w:hint="eastAsia" w:ascii="宋体" w:hAnsi="宋体" w:eastAsia="宋体" w:cs="宋体"/>
          <w:b/>
          <w:bCs/>
          <w:color w:val="auto"/>
          <w:sz w:val="24"/>
          <w:szCs w:val="24"/>
          <w:highlight w:val="none"/>
        </w:rPr>
        <w:t>行政办公区</w:t>
      </w:r>
      <w:r>
        <w:rPr>
          <w:rFonts w:hint="eastAsia" w:ascii="宋体" w:hAnsi="宋体" w:eastAsia="宋体" w:cs="宋体"/>
          <w:b/>
          <w:bCs/>
          <w:color w:val="auto"/>
          <w:sz w:val="24"/>
          <w:szCs w:val="24"/>
          <w:highlight w:val="none"/>
          <w:lang w:val="en-US" w:eastAsia="zh-CN"/>
        </w:rPr>
        <w:t>A区、B区、C区和建国门内大街13号院</w:t>
      </w:r>
      <w:r>
        <w:rPr>
          <w:rFonts w:hint="eastAsia" w:ascii="宋体" w:hAnsi="宋体" w:eastAsia="宋体" w:cs="宋体"/>
          <w:b/>
          <w:bCs/>
          <w:color w:val="auto"/>
          <w:sz w:val="24"/>
          <w:szCs w:val="24"/>
          <w:lang w:val="en-US" w:eastAsia="zh-CN" w:bidi="ar-SA"/>
        </w:rPr>
        <w:t>桌面互联网接入服务</w:t>
      </w:r>
    </w:p>
    <w:tbl>
      <w:tblPr>
        <w:tblStyle w:val="42"/>
        <w:tblpPr w:leftFromText="180" w:rightFromText="180" w:vertAnchor="text" w:horzAnchor="page" w:tblpX="1273" w:tblpY="425"/>
        <w:tblOverlap w:val="never"/>
        <w:tblW w:w="926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0"/>
        <w:gridCol w:w="920"/>
        <w:gridCol w:w="940"/>
        <w:gridCol w:w="5190"/>
        <w:gridCol w:w="813"/>
        <w:gridCol w:w="8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96" w:hRule="atLeast"/>
        </w:trPr>
        <w:tc>
          <w:tcPr>
            <w:tcW w:w="5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92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评审部分</w:t>
            </w:r>
          </w:p>
        </w:tc>
        <w:tc>
          <w:tcPr>
            <w:tcW w:w="94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1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分值</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主客观分属性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53" w:hRule="atLeast"/>
        </w:trPr>
        <w:tc>
          <w:tcPr>
            <w:tcW w:w="5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2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价格</w:t>
            </w:r>
            <w:r>
              <w:rPr>
                <w:rFonts w:hint="eastAsia" w:ascii="宋体" w:hAnsi="宋体" w:eastAsia="宋体" w:cs="宋体"/>
                <w:color w:val="auto"/>
                <w:sz w:val="24"/>
                <w:szCs w:val="24"/>
                <w:lang w:val="en-US" w:eastAsia="zh-CN"/>
              </w:rPr>
              <w:t>部分</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94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价格</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51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ind w:firstLine="0"/>
              <w:jc w:val="both"/>
              <w:rPr>
                <w:rFonts w:hint="eastAsia" w:ascii="宋体" w:hAnsi="宋体" w:eastAsia="宋体" w:cs="宋体"/>
                <w:color w:val="auto"/>
                <w:sz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rPr>
              <w:t>满足磋商文件要求的最后报价最低的供应商的价格为磋商基准价，其价格分为满分。其他供应商的价格分统一按照下列公式计算：</w:t>
            </w:r>
          </w:p>
          <w:p>
            <w:pPr>
              <w:spacing w:line="360" w:lineRule="exact"/>
              <w:rPr>
                <w:rFonts w:hint="eastAsia" w:ascii="宋体" w:hAnsi="宋体" w:eastAsia="宋体" w:cs="宋体"/>
                <w:color w:val="auto"/>
                <w:sz w:val="24"/>
              </w:rPr>
            </w:pPr>
            <w:r>
              <w:rPr>
                <w:rFonts w:hint="eastAsia" w:ascii="宋体" w:hAnsi="宋体" w:eastAsia="宋体" w:cs="宋体"/>
                <w:color w:val="auto"/>
                <w:sz w:val="24"/>
              </w:rPr>
              <w:t>磋商报价得分=（磋商基准价/最后报价）×分值</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rPr>
              <w:t>此处最后报价指经过报价修正，及因落实政府采购政策进行价格调整后的报价，详见第三章《评审方法和评审标准》3.2、3.3</w:t>
            </w:r>
          </w:p>
        </w:tc>
        <w:tc>
          <w:tcPr>
            <w:tcW w:w="813" w:type="dxa"/>
            <w:tcBorders>
              <w:top w:val="single" w:color="auto" w:sz="6" w:space="0"/>
              <w:left w:val="single" w:color="auto" w:sz="6" w:space="0"/>
              <w:bottom w:val="single" w:color="auto" w:sz="6" w:space="0"/>
              <w:right w:val="single" w:color="auto" w:sz="6" w:space="0"/>
            </w:tcBorders>
            <w:noWrap w:val="0"/>
            <w:vAlign w:val="top"/>
          </w:tcPr>
          <w:p>
            <w:pPr>
              <w:tabs>
                <w:tab w:val="left" w:pos="360"/>
                <w:tab w:val="left" w:pos="900"/>
                <w:tab w:val="left" w:pos="1080"/>
                <w:tab w:val="left" w:pos="2014"/>
              </w:tabs>
              <w:snapToGrid w:val="0"/>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13" w:type="dxa"/>
            <w:tcBorders>
              <w:top w:val="single" w:color="auto" w:sz="6" w:space="0"/>
              <w:left w:val="single" w:color="auto" w:sz="6" w:space="0"/>
              <w:bottom w:val="single" w:color="auto" w:sz="6" w:space="0"/>
              <w:right w:val="single" w:color="auto" w:sz="6" w:space="0"/>
            </w:tcBorders>
            <w:noWrap w:val="0"/>
            <w:vAlign w:val="top"/>
          </w:tcPr>
          <w:p>
            <w:pPr>
              <w:tabs>
                <w:tab w:val="left" w:pos="360"/>
                <w:tab w:val="left" w:pos="900"/>
                <w:tab w:val="left" w:pos="1080"/>
                <w:tab w:val="left" w:pos="2014"/>
              </w:tabs>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53" w:hRule="atLeast"/>
        </w:trPr>
        <w:tc>
          <w:tcPr>
            <w:tcW w:w="590" w:type="dxa"/>
            <w:vMerge w:val="restart"/>
            <w:tcBorders>
              <w:top w:val="single" w:color="auto" w:sz="6" w:space="0"/>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20"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部分</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94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综合</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实力</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51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eastAsia="zh-CN" w:bidi="ar-SA"/>
              </w:rPr>
              <w:t>报价</w:t>
            </w:r>
            <w:r>
              <w:rPr>
                <w:rFonts w:hint="eastAsia" w:ascii="宋体" w:hAnsi="宋体" w:eastAsia="宋体" w:cs="宋体"/>
                <w:color w:val="auto"/>
                <w:sz w:val="24"/>
                <w:szCs w:val="24"/>
                <w:highlight w:val="none"/>
                <w:lang w:bidi="ar-SA"/>
              </w:rPr>
              <w:t>人</w:t>
            </w:r>
            <w:r>
              <w:rPr>
                <w:rFonts w:hint="eastAsia" w:ascii="宋体" w:hAnsi="宋体" w:eastAsia="宋体" w:cs="宋体"/>
                <w:color w:val="auto"/>
                <w:sz w:val="24"/>
                <w:szCs w:val="24"/>
                <w:highlight w:val="none"/>
                <w:lang w:eastAsia="zh-CN" w:bidi="ar-SA"/>
              </w:rPr>
              <w:t>项目团队实施</w:t>
            </w:r>
            <w:r>
              <w:rPr>
                <w:rFonts w:hint="eastAsia" w:ascii="宋体" w:hAnsi="宋体" w:eastAsia="宋体" w:cs="宋体"/>
                <w:color w:val="auto"/>
                <w:sz w:val="24"/>
                <w:szCs w:val="24"/>
                <w:highlight w:val="none"/>
                <w:lang w:bidi="ar-SA"/>
              </w:rPr>
              <w:t>人员具有</w:t>
            </w:r>
            <w:r>
              <w:rPr>
                <w:rFonts w:hint="eastAsia" w:ascii="宋体" w:hAnsi="宋体" w:eastAsia="宋体" w:cs="宋体"/>
                <w:bCs/>
                <w:color w:val="auto"/>
                <w:sz w:val="24"/>
                <w:szCs w:val="24"/>
                <w:highlight w:val="none"/>
              </w:rPr>
              <w:t>计算机技术与软件专业技术资格（水平）考试高级</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中级认证证书</w:t>
            </w:r>
            <w:r>
              <w:rPr>
                <w:rFonts w:hint="eastAsia" w:ascii="宋体" w:hAnsi="宋体" w:eastAsia="宋体" w:cs="宋体"/>
                <w:bCs/>
                <w:color w:val="auto"/>
                <w:sz w:val="24"/>
                <w:szCs w:val="24"/>
                <w:highlight w:val="none"/>
                <w:lang w:eastAsia="zh-CN"/>
              </w:rPr>
              <w:t>或</w:t>
            </w:r>
            <w:r>
              <w:rPr>
                <w:rFonts w:hint="eastAsia" w:ascii="宋体" w:hAnsi="宋体" w:eastAsia="宋体" w:cs="宋体"/>
                <w:color w:val="auto"/>
                <w:sz w:val="24"/>
                <w:szCs w:val="24"/>
                <w:highlight w:val="none"/>
                <w:lang w:bidi="ar-SA"/>
              </w:rPr>
              <w:t>注册信息安全专业人员证书的，</w:t>
            </w: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1个得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同</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人提供多个证书计</w:t>
            </w:r>
            <w:r>
              <w:rPr>
                <w:rFonts w:hint="eastAsia" w:ascii="宋体" w:hAnsi="宋体" w:eastAsia="宋体" w:cs="宋体"/>
                <w:color w:val="auto"/>
                <w:sz w:val="24"/>
                <w:szCs w:val="24"/>
                <w:lang w:val="en-US" w:eastAsia="zh-CN"/>
              </w:rPr>
              <w:t>1分，本项</w:t>
            </w:r>
            <w:r>
              <w:rPr>
                <w:rFonts w:hint="eastAsia" w:ascii="宋体" w:hAnsi="宋体" w:eastAsia="宋体" w:cs="宋体"/>
                <w:color w:val="auto"/>
                <w:sz w:val="24"/>
                <w:szCs w:val="24"/>
              </w:rPr>
              <w:t>最</w:t>
            </w:r>
            <w:r>
              <w:rPr>
                <w:rFonts w:hint="eastAsia" w:ascii="宋体" w:hAnsi="宋体" w:eastAsia="宋体" w:cs="宋体"/>
                <w:color w:val="auto"/>
                <w:sz w:val="24"/>
                <w:szCs w:val="24"/>
                <w:lang w:eastAsia="zh-CN"/>
              </w:rPr>
              <w:t>高</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分。（提供证书复印件）</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53" w:hRule="atLeast"/>
        </w:trPr>
        <w:tc>
          <w:tcPr>
            <w:tcW w:w="590" w:type="dxa"/>
            <w:vMerge w:val="continue"/>
            <w:tcBorders>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宋体" w:hAnsi="宋体" w:eastAsia="宋体" w:cs="宋体"/>
                <w:color w:val="auto"/>
                <w:sz w:val="24"/>
                <w:szCs w:val="24"/>
              </w:rPr>
            </w:pPr>
          </w:p>
        </w:tc>
        <w:tc>
          <w:tcPr>
            <w:tcW w:w="940"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履约能力（</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51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日至响应文件递交截止日提供同类项目业绩（同一个单位不同年份服务合同按照1个业绩计算，以合同或服务协议为准）每提供一个业绩得1分，最高</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注：本次采购同类项目，以合同或服务协议为依据，服务合同或协议需提供服务内容页、双方签订页及双方盖章页复印件，未提供盖章页无效。</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345" w:hRule="atLeast"/>
        </w:trPr>
        <w:tc>
          <w:tcPr>
            <w:tcW w:w="590"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920"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部分</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940" w:type="dxa"/>
            <w:tcBorders>
              <w:top w:val="single" w:color="auto" w:sz="6" w:space="0"/>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w:t>
            </w:r>
          </w:p>
          <w:p>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指标</w:t>
            </w:r>
          </w:p>
          <w:p>
            <w:pPr>
              <w:snapToGrid w:val="0"/>
              <w:spacing w:line="36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（客观</w:t>
            </w:r>
            <w:r>
              <w:rPr>
                <w:rFonts w:hint="eastAsia" w:ascii="宋体" w:hAnsi="宋体" w:eastAsia="宋体" w:cs="宋体"/>
                <w:color w:val="auto"/>
                <w:sz w:val="24"/>
                <w:lang w:val="en-US" w:eastAsia="zh-CN"/>
              </w:rPr>
              <w:t>)</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5190" w:type="dxa"/>
            <w:tcBorders>
              <w:top w:val="single" w:color="auto" w:sz="6" w:space="0"/>
              <w:left w:val="single" w:color="auto" w:sz="6" w:space="0"/>
              <w:bottom w:val="single" w:color="auto" w:sz="6" w:space="0"/>
              <w:right w:val="single" w:color="auto" w:sz="6" w:space="0"/>
            </w:tcBorders>
            <w:noWrap w:val="0"/>
            <w:vAlign w:val="center"/>
          </w:tcPr>
          <w:p>
            <w:pPr>
              <w:widowControl/>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完全符合</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采购需求中</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第二包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要求中</w:t>
            </w:r>
            <w:r>
              <w:rPr>
                <w:rFonts w:hint="eastAsia" w:ascii="宋体" w:hAnsi="宋体" w:eastAsia="宋体" w:cs="宋体"/>
                <w:color w:val="auto"/>
                <w:sz w:val="24"/>
                <w:lang w:val="en-US" w:eastAsia="zh-CN"/>
              </w:rPr>
              <w:t>(二)</w:t>
            </w:r>
            <w:r>
              <w:rPr>
                <w:rFonts w:hint="eastAsia" w:ascii="宋体" w:hAnsi="宋体" w:eastAsia="宋体" w:cs="宋体"/>
                <w:color w:val="auto"/>
                <w:sz w:val="24"/>
              </w:rPr>
              <w:t>服务内容</w:t>
            </w:r>
            <w:r>
              <w:rPr>
                <w:sz w:val="24"/>
              </w:rPr>
              <w:t>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中的设置</w:t>
            </w:r>
            <w:r>
              <w:rPr>
                <w:rFonts w:hint="eastAsia" w:ascii="宋体" w:hAnsi="宋体" w:eastAsia="宋体" w:cs="宋体"/>
                <w:color w:val="auto"/>
                <w:sz w:val="24"/>
                <w:szCs w:val="24"/>
                <w:lang w:val="en-US" w:eastAsia="zh-CN"/>
              </w:rPr>
              <w:t>#号的条款，共5项，</w:t>
            </w:r>
            <w:r>
              <w:rPr>
                <w:rFonts w:hint="eastAsia" w:ascii="宋体" w:hAnsi="宋体" w:eastAsia="宋体" w:cs="宋体"/>
                <w:color w:val="auto"/>
                <w:sz w:val="24"/>
                <w:szCs w:val="24"/>
                <w:lang w:eastAsia="zh-CN"/>
              </w:rPr>
              <w:t>每满足一项得</w:t>
            </w:r>
            <w:r>
              <w:rPr>
                <w:rFonts w:hint="eastAsia" w:ascii="宋体" w:hAnsi="宋体" w:eastAsia="宋体" w:cs="宋体"/>
                <w:color w:val="auto"/>
                <w:sz w:val="24"/>
                <w:szCs w:val="24"/>
                <w:lang w:val="en-US" w:eastAsia="zh-CN"/>
              </w:rPr>
              <w:t>4分，部分满足或不满足不得分，</w:t>
            </w:r>
            <w:r>
              <w:rPr>
                <w:rFonts w:hint="eastAsia" w:ascii="宋体" w:hAnsi="宋体" w:eastAsia="宋体" w:cs="宋体"/>
                <w:color w:val="auto"/>
                <w:sz w:val="24"/>
                <w:szCs w:val="24"/>
              </w:rPr>
              <w:t>此项最高得</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须提供证明文件</w:t>
            </w:r>
            <w:r>
              <w:rPr>
                <w:rFonts w:hint="eastAsia" w:ascii="宋体" w:hAnsi="宋体" w:eastAsia="宋体" w:cs="宋体"/>
                <w:color w:val="auto"/>
                <w:sz w:val="24"/>
                <w:szCs w:val="24"/>
                <w:lang w:eastAsia="zh-CN"/>
              </w:rPr>
              <w:t>或承诺书</w:t>
            </w:r>
            <w:r>
              <w:rPr>
                <w:rFonts w:hint="eastAsia" w:ascii="宋体" w:hAnsi="宋体" w:eastAsia="宋体" w:cs="宋体"/>
                <w:color w:val="auto"/>
                <w:sz w:val="24"/>
                <w:szCs w:val="24"/>
              </w:rPr>
              <w:t>并加盖报价人公章</w:t>
            </w:r>
            <w:r>
              <w:rPr>
                <w:rFonts w:hint="eastAsia" w:ascii="宋体" w:hAnsi="宋体" w:eastAsia="宋体" w:cs="宋体"/>
                <w:color w:val="auto"/>
                <w:sz w:val="24"/>
                <w:szCs w:val="24"/>
                <w:lang w:eastAsia="zh-CN"/>
              </w:rPr>
              <w:t>。</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41" w:hRule="atLeast"/>
        </w:trPr>
        <w:tc>
          <w:tcPr>
            <w:tcW w:w="590" w:type="dxa"/>
            <w:vMerge w:val="continue"/>
            <w:tcBorders>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20" w:type="dxa"/>
            <w:vMerge w:val="continue"/>
            <w:tcBorders>
              <w:left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40" w:type="dxa"/>
            <w:tcBorders>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w:t>
            </w:r>
          </w:p>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szCs w:val="24"/>
                <w:lang w:eastAsia="zh-CN"/>
              </w:rPr>
              <w:t>指标</w:t>
            </w:r>
          </w:p>
          <w:p>
            <w:pPr>
              <w:spacing w:line="360" w:lineRule="exact"/>
              <w:jc w:val="center"/>
              <w:rPr>
                <w:rFonts w:hint="default" w:ascii="宋体" w:hAnsi="宋体" w:eastAsia="宋体" w:cs="宋体"/>
                <w:color w:val="auto"/>
                <w:sz w:val="24"/>
                <w:lang w:eastAsia="zh-CN"/>
              </w:rPr>
            </w:pPr>
            <w:r>
              <w:rPr>
                <w:rFonts w:hint="eastAsia" w:ascii="宋体" w:hAnsi="宋体" w:eastAsia="宋体" w:cs="宋体"/>
                <w:color w:val="auto"/>
                <w:sz w:val="24"/>
                <w:lang w:eastAsia="zh-CN"/>
              </w:rPr>
              <w:t>（主观</w:t>
            </w:r>
            <w:r>
              <w:rPr>
                <w:rFonts w:hint="eastAsia" w:ascii="宋体" w:hAnsi="宋体" w:eastAsia="宋体" w:cs="宋体"/>
                <w:color w:val="auto"/>
                <w:sz w:val="24"/>
                <w:lang w:val="en-US" w:eastAsia="zh-CN"/>
              </w:rPr>
              <w:t>)</w:t>
            </w:r>
          </w:p>
          <w:p>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519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针对磋商文件采购需求中“</w:t>
            </w:r>
            <w:r>
              <w:rPr>
                <w:rFonts w:hint="eastAsia" w:ascii="宋体" w:hAnsi="宋体" w:eastAsia="宋体" w:cs="宋体"/>
                <w:color w:val="auto"/>
                <w:sz w:val="24"/>
                <w:szCs w:val="24"/>
                <w:lang w:eastAsia="zh-CN"/>
              </w:rPr>
              <w:t>第二包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w:t>
            </w:r>
            <w:r>
              <w:rPr>
                <w:rFonts w:hint="eastAsia" w:hAnsi="宋体" w:eastAsia="宋体" w:cs="宋体"/>
                <w:b w:val="0"/>
                <w:color w:val="auto"/>
                <w:sz w:val="24"/>
                <w:lang w:eastAsia="zh-CN"/>
              </w:rPr>
              <w:t>中</w:t>
            </w:r>
            <w:r>
              <w:rPr>
                <w:rFonts w:hint="eastAsia"/>
                <w:sz w:val="24"/>
                <w:lang w:val="en-US" w:eastAsia="zh-CN"/>
              </w:rPr>
              <w:t>(二)</w:t>
            </w:r>
            <w:r>
              <w:rPr>
                <w:sz w:val="24"/>
              </w:rPr>
              <w:t>服务内容及要求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条要求进行打分，包括：</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（1）应具备7×24小时监控网络运行状态能力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w:t>
            </w:r>
            <w:r>
              <w:rPr>
                <w:rFonts w:hint="eastAsia" w:ascii="宋体" w:hAnsi="宋体" w:eastAsia="宋体" w:cs="宋体"/>
                <w:color w:val="auto"/>
                <w:sz w:val="24"/>
                <w:szCs w:val="24"/>
                <w:lang w:eastAsia="zh-CN"/>
              </w:rPr>
              <w:t>包括但不限于</w:t>
            </w:r>
            <w:r>
              <w:rPr>
                <w:rFonts w:hint="eastAsia" w:ascii="宋体" w:hAnsi="宋体" w:eastAsia="宋体" w:cs="宋体"/>
                <w:color w:val="auto"/>
                <w:sz w:val="24"/>
                <w:szCs w:val="24"/>
              </w:rPr>
              <w:t>运行监控方案；</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（2）向采购人提供互联网情况查询服务</w:t>
            </w:r>
            <w:r>
              <w:rPr>
                <w:rFonts w:hint="eastAsia" w:ascii="宋体" w:hAnsi="宋体" w:eastAsia="宋体" w:cs="宋体"/>
                <w:color w:val="auto"/>
                <w:sz w:val="24"/>
                <w:szCs w:val="24"/>
                <w:lang w:eastAsia="zh-CN"/>
              </w:rPr>
              <w:t>，提供包括但不限于流量、带宽、攻击、漏洞等方面的实时或一定时间范围内的查询功能和方案</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（3）保证带宽报价人网络24小时稳定、可靠运行，提供故障实时响应</w:t>
            </w:r>
            <w:r>
              <w:rPr>
                <w:rFonts w:hint="eastAsia" w:ascii="宋体" w:hAnsi="宋体" w:eastAsia="宋体" w:cs="宋体"/>
                <w:color w:val="auto"/>
                <w:sz w:val="24"/>
                <w:szCs w:val="24"/>
                <w:lang w:eastAsia="zh-CN"/>
              </w:rPr>
              <w:t>方案</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包括但不限于</w:t>
            </w:r>
            <w:r>
              <w:rPr>
                <w:rFonts w:hint="eastAsia" w:ascii="宋体" w:hAnsi="宋体" w:eastAsia="宋体" w:cs="宋体"/>
                <w:color w:val="auto"/>
                <w:sz w:val="24"/>
                <w:szCs w:val="24"/>
              </w:rPr>
              <w:t>技术支持</w:t>
            </w:r>
            <w:r>
              <w:rPr>
                <w:rFonts w:hint="eastAsia" w:ascii="宋体" w:hAnsi="宋体" w:eastAsia="宋体" w:cs="宋体"/>
                <w:color w:val="auto"/>
                <w:sz w:val="24"/>
                <w:szCs w:val="24"/>
                <w:lang w:eastAsia="zh-CN"/>
              </w:rPr>
              <w:t>预案、</w:t>
            </w:r>
            <w:r>
              <w:rPr>
                <w:rFonts w:hint="eastAsia" w:ascii="宋体" w:hAnsi="宋体" w:eastAsia="宋体" w:cs="宋体"/>
                <w:color w:val="auto"/>
                <w:sz w:val="24"/>
                <w:szCs w:val="24"/>
              </w:rPr>
              <w:t>故障申告联系电话，联系人名单</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highlight w:val="none"/>
                <w:lang w:eastAsia="zh-CN"/>
              </w:rPr>
              <w:t>远程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电话、</w:t>
            </w:r>
            <w:r>
              <w:rPr>
                <w:rFonts w:hint="eastAsia" w:ascii="宋体" w:hAnsi="宋体" w:eastAsia="宋体" w:cs="宋体"/>
                <w:color w:val="auto"/>
                <w:sz w:val="24"/>
                <w:szCs w:val="24"/>
                <w:highlight w:val="none"/>
              </w:rPr>
              <w:t>现场故障处理</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（4）提供互联网出口的主动预警服务，提供主动预警</w:t>
            </w:r>
            <w:r>
              <w:rPr>
                <w:rFonts w:hint="eastAsia" w:ascii="宋体" w:hAnsi="宋体" w:eastAsia="宋体" w:cs="宋体"/>
                <w:color w:val="auto"/>
                <w:sz w:val="24"/>
                <w:szCs w:val="24"/>
                <w:lang w:val="en-US" w:eastAsia="zh-CN"/>
              </w:rPr>
              <w:t>服务及方案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包括但不限于</w:t>
            </w:r>
            <w:r>
              <w:rPr>
                <w:rFonts w:hint="eastAsia" w:ascii="宋体" w:hAnsi="宋体" w:eastAsia="宋体" w:cs="宋体"/>
                <w:color w:val="auto"/>
                <w:sz w:val="24"/>
                <w:szCs w:val="24"/>
              </w:rPr>
              <w:t>预警流程和内容、方式；故障或计划内网络异常前须向采购人发出提醒服务，年度无故障率和网络连通率</w:t>
            </w:r>
            <w:r>
              <w:rPr>
                <w:rFonts w:hint="eastAsia" w:ascii="宋体" w:hAnsi="宋体" w:eastAsia="宋体" w:cs="宋体"/>
                <w:color w:val="auto"/>
                <w:sz w:val="24"/>
                <w:szCs w:val="24"/>
                <w:lang w:eastAsia="zh-CN"/>
              </w:rPr>
              <w:t>保证高于</w:t>
            </w:r>
            <w:r>
              <w:rPr>
                <w:rFonts w:hint="eastAsia" w:ascii="宋体" w:hAnsi="宋体" w:eastAsia="宋体" w:cs="宋体"/>
                <w:color w:val="auto"/>
                <w:sz w:val="24"/>
                <w:szCs w:val="24"/>
                <w:lang w:val="en-US" w:eastAsia="zh-CN"/>
              </w:rPr>
              <w:t>99.99%</w:t>
            </w:r>
            <w:r>
              <w:rPr>
                <w:rFonts w:hint="eastAsia" w:ascii="宋体" w:hAnsi="宋体" w:eastAsia="宋体" w:cs="宋体"/>
                <w:color w:val="auto"/>
                <w:sz w:val="24"/>
                <w:szCs w:val="24"/>
                <w:lang w:eastAsia="zh-CN"/>
              </w:rPr>
              <w:t>等内容</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内容完整合理、结合本项目特点、内容阐述清楚、完全满足采购需求、切实可行视为符合要求；</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内容属于通用类，非专门针对本项目，部分符合实际情况视为部分符合；</w:t>
            </w:r>
          </w:p>
          <w:p>
            <w:pPr>
              <w:pStyle w:val="2"/>
              <w:keepNext w:val="0"/>
              <w:keepLines w:val="0"/>
              <w:pageBreakBefore w:val="0"/>
              <w:widowControl w:val="0"/>
              <w:kinsoku/>
              <w:wordWrap/>
              <w:overflowPunct/>
              <w:topLinePunct w:val="0"/>
              <w:autoSpaceDE/>
              <w:autoSpaceDN/>
              <w:bidi w:val="0"/>
              <w:adjustRightInd w:val="0"/>
              <w:snapToGrid/>
              <w:spacing w:line="340" w:lineRule="exact"/>
              <w:ind w:left="0" w:leftChars="0" w:firstLine="0" w:firstLineChars="0"/>
              <w:textAlignment w:val="baseline"/>
              <w:outlineLvl w:val="9"/>
              <w:rPr>
                <w:rFonts w:hint="eastAsia" w:hAnsi="宋体" w:eastAsia="宋体" w:cs="宋体"/>
                <w:color w:val="auto"/>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内容复制粘贴采购需求，非专门针对本项目，不符合实际情况或未提供视为不符合；</w:t>
            </w:r>
          </w:p>
          <w:p>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以上</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项，每一项符合得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分，部分符合</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1分，</w:t>
            </w:r>
            <w:r>
              <w:rPr>
                <w:rFonts w:hint="eastAsia" w:ascii="宋体" w:hAnsi="宋体" w:eastAsia="宋体" w:cs="宋体"/>
                <w:color w:val="auto"/>
                <w:sz w:val="24"/>
                <w:szCs w:val="24"/>
              </w:rPr>
              <w:t>不符合不得分，此项最高得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684" w:hRule="atLeast"/>
        </w:trPr>
        <w:tc>
          <w:tcPr>
            <w:tcW w:w="59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4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服务</w:t>
            </w:r>
          </w:p>
          <w:p>
            <w:pPr>
              <w:spacing w:line="36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方案</w:t>
            </w:r>
          </w:p>
          <w:p>
            <w:pPr>
              <w:pStyle w:val="2"/>
              <w:ind w:firstLine="0" w:firstLineChars="0"/>
              <w:jc w:val="center"/>
              <w:rPr>
                <w:rFonts w:hint="eastAsia" w:ascii="宋体" w:hAnsi="宋体" w:eastAsia="宋体" w:cs="宋体"/>
                <w:color w:val="auto"/>
                <w:szCs w:val="24"/>
              </w:rPr>
            </w:pPr>
            <w:r>
              <w:rPr>
                <w:rFonts w:hint="eastAsia" w:ascii="宋体" w:hAnsi="宋体" w:eastAsia="宋体" w:cs="宋体"/>
                <w:color w:val="auto"/>
                <w:szCs w:val="24"/>
              </w:rPr>
              <w:t>（12分）</w:t>
            </w:r>
          </w:p>
        </w:tc>
        <w:tc>
          <w:tcPr>
            <w:tcW w:w="51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针对磋商文件采购需求“</w:t>
            </w:r>
            <w:r>
              <w:rPr>
                <w:rFonts w:hint="eastAsia" w:ascii="宋体" w:hAnsi="宋体" w:eastAsia="宋体" w:cs="宋体"/>
                <w:color w:val="auto"/>
                <w:sz w:val="24"/>
                <w:szCs w:val="24"/>
                <w:lang w:eastAsia="zh-CN"/>
              </w:rPr>
              <w:t>第二包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w:t>
            </w:r>
            <w:r>
              <w:rPr>
                <w:rFonts w:hint="eastAsia" w:hAnsi="宋体" w:eastAsia="宋体" w:cs="宋体"/>
                <w:b w:val="0"/>
                <w:color w:val="auto"/>
                <w:sz w:val="24"/>
                <w:lang w:eastAsia="zh-CN"/>
              </w:rPr>
              <w:t>中</w:t>
            </w:r>
            <w:r>
              <w:rPr>
                <w:rFonts w:hint="eastAsia"/>
                <w:sz w:val="24"/>
                <w:lang w:val="en-US" w:eastAsia="zh-CN"/>
              </w:rPr>
              <w:t>(二)</w:t>
            </w:r>
            <w:r>
              <w:rPr>
                <w:sz w:val="24"/>
              </w:rPr>
              <w:t>服务内容及要求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w:t>
            </w:r>
            <w:r>
              <w:rPr>
                <w:rFonts w:hint="eastAsia" w:ascii="宋体" w:hAnsi="宋体" w:eastAsia="宋体" w:cs="宋体"/>
                <w:color w:val="auto"/>
                <w:sz w:val="24"/>
                <w:szCs w:val="24"/>
              </w:rPr>
              <w:t>第2条要求进行打分，包括：</w:t>
            </w:r>
          </w:p>
          <w:p>
            <w:pPr>
              <w:numPr>
                <w:ilvl w:val="0"/>
                <w:numId w:val="0"/>
              </w:numPr>
              <w:spacing w:line="3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具备可行的合理化实施</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；包括但不限于</w:t>
            </w:r>
            <w:r>
              <w:rPr>
                <w:rFonts w:hint="eastAsia" w:ascii="宋体" w:hAnsi="宋体" w:eastAsia="宋体" w:cs="宋体"/>
                <w:bCs/>
                <w:color w:val="auto"/>
                <w:sz w:val="24"/>
                <w:szCs w:val="24"/>
                <w:highlight w:val="none"/>
              </w:rPr>
              <w:t>实施人员组织、时间进度安排、对接技术方案、带宽服务方案</w:t>
            </w:r>
            <w:r>
              <w:rPr>
                <w:rFonts w:hint="eastAsia" w:ascii="宋体" w:hAnsi="宋体" w:eastAsia="宋体" w:cs="宋体"/>
                <w:bCs/>
                <w:color w:val="auto"/>
                <w:sz w:val="24"/>
                <w:szCs w:val="24"/>
                <w:highlight w:val="none"/>
                <w:lang w:eastAsia="zh-CN"/>
              </w:rPr>
              <w:t>；</w:t>
            </w:r>
          </w:p>
          <w:p>
            <w:pPr>
              <w:numPr>
                <w:ilvl w:val="0"/>
                <w:numId w:val="0"/>
              </w:numPr>
              <w:spacing w:line="3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具备可行的合理化</w:t>
            </w:r>
            <w:r>
              <w:rPr>
                <w:rFonts w:hint="eastAsia" w:ascii="宋体" w:hAnsi="宋体" w:eastAsia="宋体" w:cs="宋体"/>
                <w:color w:val="auto"/>
                <w:sz w:val="24"/>
                <w:szCs w:val="24"/>
                <w:highlight w:val="none"/>
                <w:lang w:eastAsia="zh-CN"/>
              </w:rPr>
              <w:t>安全保障</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；包括但不限于</w:t>
            </w:r>
            <w:r>
              <w:rPr>
                <w:rFonts w:hint="eastAsia" w:ascii="宋体" w:hAnsi="宋体" w:eastAsia="宋体" w:cs="宋体"/>
                <w:bCs/>
                <w:color w:val="auto"/>
                <w:sz w:val="24"/>
                <w:szCs w:val="24"/>
                <w:highlight w:val="none"/>
              </w:rPr>
              <w:t>服务报告内容、安全保障</w:t>
            </w:r>
            <w:r>
              <w:rPr>
                <w:rFonts w:hint="eastAsia" w:ascii="宋体" w:hAnsi="宋体" w:eastAsia="宋体" w:cs="宋体"/>
                <w:bCs/>
                <w:color w:val="auto"/>
                <w:sz w:val="24"/>
                <w:szCs w:val="24"/>
                <w:highlight w:val="none"/>
                <w:lang w:eastAsia="zh-CN"/>
              </w:rPr>
              <w:t>、安全防护；</w:t>
            </w:r>
          </w:p>
          <w:p>
            <w:pPr>
              <w:numPr>
                <w:ilvl w:val="0"/>
                <w:numId w:val="0"/>
              </w:numPr>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具备可行的合理化</w:t>
            </w:r>
            <w:r>
              <w:rPr>
                <w:rFonts w:hint="eastAsia" w:ascii="宋体" w:hAnsi="宋体" w:eastAsia="宋体" w:cs="宋体"/>
                <w:color w:val="auto"/>
                <w:sz w:val="24"/>
                <w:szCs w:val="24"/>
                <w:highlight w:val="none"/>
                <w:lang w:eastAsia="zh-CN"/>
              </w:rPr>
              <w:t>网络保障</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eastAsia="zh-CN"/>
              </w:rPr>
              <w:t>：包括但不限于</w:t>
            </w:r>
            <w:r>
              <w:rPr>
                <w:rFonts w:hint="eastAsia" w:ascii="宋体" w:hAnsi="宋体" w:eastAsia="宋体" w:cs="宋体"/>
                <w:color w:val="auto"/>
                <w:sz w:val="24"/>
                <w:szCs w:val="24"/>
                <w:highlight w:val="none"/>
              </w:rPr>
              <w:t>7×24×365全天候技术支持</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服务热线</w:t>
            </w:r>
            <w:r>
              <w:rPr>
                <w:rFonts w:hint="eastAsia" w:ascii="宋体" w:hAnsi="宋体" w:eastAsia="宋体" w:cs="宋体"/>
                <w:bCs/>
                <w:color w:val="auto"/>
                <w:sz w:val="24"/>
                <w:szCs w:val="24"/>
                <w:highlight w:val="none"/>
                <w:lang w:eastAsia="zh-CN"/>
              </w:rPr>
              <w:t>电话、保障预案等</w:t>
            </w:r>
            <w:r>
              <w:rPr>
                <w:rFonts w:hint="eastAsia" w:ascii="宋体" w:hAnsi="宋体" w:eastAsia="宋体" w:cs="宋体"/>
                <w:color w:val="auto"/>
                <w:sz w:val="24"/>
                <w:szCs w:val="24"/>
                <w:highlight w:val="none"/>
                <w:lang w:eastAsia="zh-CN"/>
              </w:rPr>
              <w:t>；</w:t>
            </w:r>
          </w:p>
          <w:p>
            <w:pPr>
              <w:numPr>
                <w:ilvl w:val="0"/>
                <w:numId w:val="0"/>
              </w:numPr>
              <w:spacing w:line="360" w:lineRule="exact"/>
              <w:ind w:lef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具备可行的合理化</w:t>
            </w:r>
            <w:r>
              <w:rPr>
                <w:rFonts w:hint="eastAsia" w:ascii="宋体" w:hAnsi="宋体" w:eastAsia="宋体" w:cs="宋体"/>
                <w:bCs/>
                <w:color w:val="auto"/>
                <w:sz w:val="24"/>
                <w:szCs w:val="24"/>
                <w:highlight w:val="none"/>
                <w:lang w:eastAsia="zh-CN"/>
              </w:rPr>
              <w:t>特殊时期保障方案：包括但不限于</w:t>
            </w:r>
            <w:r>
              <w:rPr>
                <w:rFonts w:hint="eastAsia" w:ascii="宋体" w:hAnsi="宋体" w:eastAsia="宋体" w:cs="宋体"/>
                <w:color w:val="auto"/>
                <w:sz w:val="24"/>
                <w:szCs w:val="24"/>
                <w:highlight w:val="none"/>
              </w:rPr>
              <w:t>特殊重大事件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重要时期重点保障等</w:t>
            </w:r>
            <w:r>
              <w:rPr>
                <w:rFonts w:hint="eastAsia" w:ascii="宋体" w:hAnsi="宋体" w:eastAsia="宋体" w:cs="宋体"/>
                <w:color w:val="auto"/>
                <w:sz w:val="24"/>
                <w:szCs w:val="24"/>
                <w:highlight w:val="none"/>
                <w:lang w:eastAsia="zh-CN"/>
              </w:rPr>
              <w:t>服务并提供方案。</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方案完整合理、结合本项目特点、内容阐述清楚、完全满足采购需求、切实可行视为符合要求；</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方案内容属于通用类，非专门针对本项目，部分符合实际情况视为部分符合；</w:t>
            </w:r>
          </w:p>
          <w:p>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方案内容复制粘贴采购需求，非专门针对本项目，不符合实际情况或未提供视为不符合；</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项，每一项符合得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分，部分符合得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分，不符合不得分，此项最高得12分。</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87" w:hRule="atLeast"/>
        </w:trPr>
        <w:tc>
          <w:tcPr>
            <w:tcW w:w="59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p>
        </w:tc>
        <w:tc>
          <w:tcPr>
            <w:tcW w:w="940" w:type="dxa"/>
            <w:tcBorders>
              <w:top w:val="single" w:color="auto" w:sz="6" w:space="0"/>
              <w:left w:val="single" w:color="auto" w:sz="6" w:space="0"/>
              <w:bottom w:val="single" w:color="auto" w:sz="6" w:space="0"/>
              <w:right w:val="single" w:color="auto" w:sz="6" w:space="0"/>
            </w:tcBorders>
            <w:noWrap w:val="0"/>
            <w:vAlign w:val="center"/>
          </w:tcPr>
          <w:p>
            <w:pPr>
              <w:widowControl/>
              <w:numPr>
                <w:ilvl w:val="0"/>
                <w:numId w:val="0"/>
              </w:numPr>
              <w:spacing w:line="360" w:lineRule="exact"/>
              <w:jc w:val="center"/>
              <w:rPr>
                <w:rFonts w:hint="eastAsia" w:ascii="宋体" w:hAnsi="宋体" w:eastAsia="宋体" w:cs="宋体"/>
                <w:color w:val="auto"/>
                <w:kern w:val="0"/>
                <w:sz w:val="24"/>
                <w:szCs w:val="24"/>
                <w:highlight w:val="none"/>
                <w:lang w:bidi="ar-SA"/>
              </w:rPr>
            </w:pPr>
            <w:r>
              <w:rPr>
                <w:rFonts w:hint="eastAsia" w:ascii="宋体" w:hAnsi="宋体" w:eastAsia="宋体" w:cs="宋体"/>
                <w:color w:val="auto"/>
                <w:sz w:val="24"/>
                <w:szCs w:val="24"/>
                <w:highlight w:val="none"/>
                <w:lang w:bidi="ar-SA"/>
              </w:rPr>
              <w:t>应</w:t>
            </w:r>
            <w:r>
              <w:rPr>
                <w:rFonts w:hint="eastAsia" w:ascii="宋体" w:hAnsi="宋体" w:eastAsia="宋体" w:cs="宋体"/>
                <w:color w:val="auto"/>
                <w:kern w:val="0"/>
                <w:sz w:val="24"/>
                <w:szCs w:val="24"/>
                <w:highlight w:val="none"/>
                <w:lang w:bidi="ar-SA"/>
              </w:rPr>
              <w:t>急保障方案</w:t>
            </w:r>
          </w:p>
          <w:p>
            <w:pPr>
              <w:widowControl/>
              <w:numPr>
                <w:ilvl w:val="0"/>
                <w:numId w:val="0"/>
              </w:numPr>
              <w:spacing w:line="360" w:lineRule="exact"/>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kern w:val="0"/>
                <w:sz w:val="24"/>
                <w:szCs w:val="24"/>
                <w:highlight w:val="none"/>
                <w:lang w:bidi="ar-SA"/>
              </w:rPr>
              <w:t>（</w:t>
            </w:r>
            <w:r>
              <w:rPr>
                <w:rFonts w:hint="eastAsia" w:ascii="宋体" w:hAnsi="宋体" w:eastAsia="宋体" w:cs="宋体"/>
                <w:color w:val="auto"/>
                <w:kern w:val="0"/>
                <w:sz w:val="24"/>
                <w:szCs w:val="24"/>
                <w:highlight w:val="none"/>
                <w:lang w:val="en-US" w:eastAsia="zh-CN" w:bidi="ar-SA"/>
              </w:rPr>
              <w:t>12</w:t>
            </w:r>
            <w:r>
              <w:rPr>
                <w:rFonts w:hint="eastAsia" w:ascii="宋体" w:hAnsi="宋体" w:eastAsia="宋体" w:cs="宋体"/>
                <w:color w:val="auto"/>
                <w:kern w:val="0"/>
                <w:sz w:val="24"/>
                <w:szCs w:val="24"/>
                <w:highlight w:val="none"/>
                <w:lang w:bidi="ar-SA"/>
              </w:rPr>
              <w:t>分）</w:t>
            </w:r>
          </w:p>
        </w:tc>
        <w:tc>
          <w:tcPr>
            <w:tcW w:w="519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left"/>
              <w:rPr>
                <w:rFonts w:hint="eastAsia" w:ascii="宋体" w:hAnsi="宋体" w:eastAsia="宋体" w:cs="宋体"/>
                <w:color w:val="auto"/>
                <w:kern w:val="0"/>
                <w:sz w:val="24"/>
                <w:szCs w:val="24"/>
                <w:highlight w:val="none"/>
                <w:lang w:bidi="ar-SA"/>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针对磋商文件采购需求“</w:t>
            </w:r>
            <w:r>
              <w:rPr>
                <w:rFonts w:hint="eastAsia" w:ascii="宋体" w:hAnsi="宋体" w:eastAsia="宋体" w:cs="宋体"/>
                <w:color w:val="auto"/>
                <w:sz w:val="24"/>
                <w:szCs w:val="24"/>
                <w:lang w:eastAsia="zh-CN"/>
              </w:rPr>
              <w:t>第二包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w:t>
            </w:r>
            <w:r>
              <w:rPr>
                <w:rFonts w:hint="eastAsia" w:hAnsi="宋体" w:eastAsia="宋体" w:cs="宋体"/>
                <w:b w:val="0"/>
                <w:color w:val="auto"/>
                <w:sz w:val="24"/>
                <w:lang w:eastAsia="zh-CN"/>
              </w:rPr>
              <w:t>中</w:t>
            </w:r>
            <w:r>
              <w:rPr>
                <w:rFonts w:hint="eastAsia"/>
                <w:sz w:val="24"/>
                <w:lang w:val="en-US" w:eastAsia="zh-CN"/>
              </w:rPr>
              <w:t>(二)</w:t>
            </w:r>
            <w:r>
              <w:rPr>
                <w:sz w:val="24"/>
              </w:rPr>
              <w:t>服务内容及要求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条要求进行打分，包括：</w:t>
            </w:r>
          </w:p>
          <w:p>
            <w:pPr>
              <w:widowControl/>
              <w:numPr>
                <w:ilvl w:val="0"/>
                <w:numId w:val="0"/>
              </w:numPr>
              <w:spacing w:line="360" w:lineRule="exact"/>
              <w:jc w:val="left"/>
              <w:rPr>
                <w:rFonts w:hint="eastAsia" w:ascii="宋体" w:hAnsi="宋体" w:eastAsia="宋体" w:cs="宋体"/>
                <w:color w:val="auto"/>
                <w:kern w:val="0"/>
                <w:sz w:val="24"/>
                <w:szCs w:val="24"/>
                <w:highlight w:val="none"/>
                <w:lang w:bidi="ar-SA"/>
              </w:rPr>
            </w:pPr>
            <w:r>
              <w:rPr>
                <w:rFonts w:hint="eastAsia" w:ascii="宋体" w:hAnsi="宋体" w:eastAsia="宋体" w:cs="宋体"/>
                <w:color w:val="auto"/>
                <w:kern w:val="0"/>
                <w:sz w:val="24"/>
                <w:szCs w:val="24"/>
                <w:highlight w:val="none"/>
                <w:lang w:val="en-US" w:eastAsia="zh-CN" w:bidi="ar-SA"/>
              </w:rPr>
              <w:t xml:space="preserve">    （1）包括但不限于</w:t>
            </w:r>
            <w:r>
              <w:rPr>
                <w:rFonts w:hint="eastAsia" w:ascii="宋体" w:hAnsi="宋体" w:eastAsia="宋体" w:cs="宋体"/>
                <w:color w:val="auto"/>
                <w:kern w:val="0"/>
                <w:sz w:val="24"/>
                <w:szCs w:val="24"/>
                <w:highlight w:val="none"/>
                <w:lang w:bidi="ar-SA"/>
              </w:rPr>
              <w:t>提供应急预案</w:t>
            </w:r>
            <w:r>
              <w:rPr>
                <w:rFonts w:hint="eastAsia" w:ascii="宋体" w:hAnsi="宋体" w:eastAsia="宋体" w:cs="宋体"/>
                <w:color w:val="auto"/>
                <w:kern w:val="0"/>
                <w:sz w:val="24"/>
                <w:szCs w:val="24"/>
                <w:highlight w:val="none"/>
                <w:lang w:eastAsia="zh-CN" w:bidi="ar-SA"/>
              </w:rPr>
              <w:t>、</w:t>
            </w:r>
            <w:r>
              <w:rPr>
                <w:rFonts w:hint="eastAsia" w:ascii="宋体" w:hAnsi="宋体" w:eastAsia="宋体" w:cs="宋体"/>
                <w:color w:val="auto"/>
                <w:kern w:val="0"/>
                <w:sz w:val="24"/>
                <w:szCs w:val="24"/>
                <w:highlight w:val="none"/>
                <w:lang w:bidi="ar-SA"/>
              </w:rPr>
              <w:t>应对措施</w:t>
            </w:r>
            <w:r>
              <w:rPr>
                <w:rFonts w:hint="eastAsia" w:ascii="宋体" w:hAnsi="宋体" w:eastAsia="宋体" w:cs="宋体"/>
                <w:color w:val="auto"/>
                <w:kern w:val="0"/>
                <w:sz w:val="24"/>
                <w:szCs w:val="24"/>
                <w:highlight w:val="none"/>
                <w:lang w:eastAsia="zh-CN" w:bidi="ar-SA"/>
              </w:rPr>
              <w:t>，</w:t>
            </w:r>
            <w:r>
              <w:rPr>
                <w:rFonts w:hint="eastAsia" w:ascii="宋体" w:hAnsi="宋体" w:eastAsia="宋体" w:cs="宋体"/>
                <w:color w:val="auto"/>
                <w:sz w:val="24"/>
                <w:szCs w:val="24"/>
              </w:rPr>
              <w:t>临时提速快速响应方案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包括物资、人员、预案等</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highlight w:val="none"/>
                <w:lang w:eastAsia="zh-CN" w:bidi="ar-SA"/>
              </w:rPr>
              <w:t>；</w:t>
            </w:r>
          </w:p>
          <w:p>
            <w:pPr>
              <w:widowControl/>
              <w:numPr>
                <w:ilvl w:val="0"/>
                <w:numId w:val="0"/>
              </w:numPr>
              <w:spacing w:line="360" w:lineRule="exact"/>
              <w:jc w:val="left"/>
              <w:rPr>
                <w:rFonts w:hint="eastAsia" w:ascii="宋体" w:hAnsi="宋体" w:eastAsia="宋体" w:cs="宋体"/>
                <w:color w:val="auto"/>
                <w:kern w:val="0"/>
                <w:sz w:val="24"/>
                <w:szCs w:val="24"/>
                <w:highlight w:val="none"/>
                <w:lang w:bidi="ar-SA"/>
              </w:rPr>
            </w:pPr>
            <w:r>
              <w:rPr>
                <w:rFonts w:hint="eastAsia" w:ascii="宋体" w:hAnsi="宋体" w:eastAsia="宋体" w:cs="宋体"/>
                <w:color w:val="auto"/>
                <w:kern w:val="0"/>
                <w:sz w:val="24"/>
                <w:szCs w:val="24"/>
                <w:highlight w:val="none"/>
                <w:lang w:val="en-US" w:eastAsia="zh-CN" w:bidi="ar-SA"/>
              </w:rPr>
              <w:t xml:space="preserve">    （2）</w:t>
            </w:r>
            <w:r>
              <w:rPr>
                <w:rFonts w:hint="eastAsia" w:ascii="宋体" w:hAnsi="宋体" w:eastAsia="宋体" w:cs="宋体"/>
                <w:color w:val="auto"/>
                <w:kern w:val="0"/>
                <w:sz w:val="24"/>
                <w:szCs w:val="24"/>
                <w:highlight w:val="none"/>
                <w:lang w:bidi="ar-SA"/>
              </w:rPr>
              <w:t>应急服务</w:t>
            </w:r>
            <w:r>
              <w:rPr>
                <w:rFonts w:hint="eastAsia" w:ascii="宋体" w:hAnsi="宋体" w:eastAsia="宋体" w:cs="宋体"/>
                <w:color w:val="auto"/>
                <w:kern w:val="0"/>
                <w:sz w:val="24"/>
                <w:szCs w:val="24"/>
                <w:highlight w:val="none"/>
                <w:lang w:eastAsia="zh-CN" w:bidi="ar-SA"/>
              </w:rPr>
              <w:t>，</w:t>
            </w:r>
            <w:r>
              <w:rPr>
                <w:rFonts w:hint="eastAsia" w:ascii="宋体" w:hAnsi="宋体" w:eastAsia="宋体" w:cs="宋体"/>
                <w:color w:val="auto"/>
                <w:sz w:val="24"/>
                <w:szCs w:val="24"/>
              </w:rPr>
              <w:t>流程和响应时效</w:t>
            </w:r>
            <w:r>
              <w:rPr>
                <w:rFonts w:hint="eastAsia" w:ascii="宋体" w:hAnsi="宋体" w:eastAsia="宋体" w:cs="宋体"/>
                <w:color w:val="auto"/>
                <w:sz w:val="24"/>
                <w:szCs w:val="24"/>
                <w:lang w:eastAsia="zh-CN"/>
              </w:rPr>
              <w:t>、处理方法</w:t>
            </w:r>
            <w:r>
              <w:rPr>
                <w:rFonts w:hint="eastAsia" w:ascii="宋体" w:hAnsi="宋体" w:eastAsia="宋体" w:cs="宋体"/>
                <w:color w:val="auto"/>
                <w:kern w:val="0"/>
                <w:sz w:val="24"/>
                <w:szCs w:val="24"/>
                <w:highlight w:val="none"/>
                <w:lang w:eastAsia="zh-CN" w:bidi="ar-SA"/>
              </w:rPr>
              <w:t>；</w:t>
            </w:r>
          </w:p>
          <w:p>
            <w:pPr>
              <w:widowControl/>
              <w:numPr>
                <w:ilvl w:val="0"/>
                <w:numId w:val="0"/>
              </w:numPr>
              <w:spacing w:line="360" w:lineRule="exact"/>
              <w:jc w:val="left"/>
              <w:rPr>
                <w:rFonts w:hint="eastAsia" w:ascii="宋体" w:hAnsi="宋体" w:eastAsia="宋体" w:cs="宋体"/>
                <w:color w:val="auto"/>
                <w:sz w:val="24"/>
              </w:rPr>
            </w:pPr>
            <w:r>
              <w:rPr>
                <w:rFonts w:hint="eastAsia" w:ascii="宋体" w:hAnsi="宋体" w:eastAsia="宋体" w:cs="宋体"/>
                <w:color w:val="auto"/>
                <w:kern w:val="0"/>
                <w:sz w:val="24"/>
                <w:szCs w:val="24"/>
                <w:highlight w:val="none"/>
                <w:lang w:val="en-US" w:eastAsia="zh-CN" w:bidi="ar-SA"/>
              </w:rPr>
              <w:t xml:space="preserve">    （3）</w:t>
            </w:r>
            <w:r>
              <w:rPr>
                <w:rFonts w:hint="eastAsia" w:ascii="宋体" w:hAnsi="宋体" w:eastAsia="宋体" w:cs="宋体"/>
                <w:color w:val="auto"/>
                <w:kern w:val="0"/>
                <w:sz w:val="24"/>
                <w:szCs w:val="24"/>
                <w:highlight w:val="none"/>
                <w:lang w:bidi="ar-SA"/>
              </w:rPr>
              <w:t>服务质量保证办法</w:t>
            </w:r>
            <w:r>
              <w:rPr>
                <w:rFonts w:hint="eastAsia" w:ascii="宋体" w:hAnsi="宋体" w:eastAsia="宋体" w:cs="宋体"/>
                <w:color w:val="auto"/>
                <w:kern w:val="0"/>
                <w:sz w:val="24"/>
                <w:szCs w:val="24"/>
                <w:highlight w:val="none"/>
                <w:lang w:eastAsia="zh-CN" w:bidi="ar-SA"/>
              </w:rPr>
              <w:t>；</w:t>
            </w:r>
          </w:p>
          <w:p>
            <w:pPr>
              <w:widowControl/>
              <w:numPr>
                <w:ilvl w:val="0"/>
                <w:numId w:val="0"/>
              </w:numPr>
              <w:spacing w:line="360" w:lineRule="exact"/>
              <w:jc w:val="left"/>
              <w:rPr>
                <w:rFonts w:hint="eastAsia" w:ascii="宋体" w:hAnsi="宋体" w:eastAsia="宋体" w:cs="宋体"/>
                <w:color w:val="auto"/>
                <w:sz w:val="24"/>
              </w:rPr>
            </w:pPr>
            <w:r>
              <w:rPr>
                <w:rFonts w:hint="eastAsia" w:ascii="宋体" w:hAnsi="宋体" w:eastAsia="宋体" w:cs="宋体"/>
                <w:color w:val="auto"/>
                <w:kern w:val="0"/>
                <w:sz w:val="24"/>
                <w:szCs w:val="24"/>
                <w:highlight w:val="none"/>
                <w:lang w:val="en-US" w:eastAsia="zh-CN" w:bidi="ar-SA"/>
              </w:rPr>
              <w:t xml:space="preserve">    （4）</w:t>
            </w:r>
            <w:r>
              <w:rPr>
                <w:rFonts w:hint="eastAsia" w:ascii="宋体" w:hAnsi="宋体" w:eastAsia="宋体" w:cs="宋体"/>
                <w:color w:val="auto"/>
                <w:kern w:val="0"/>
                <w:sz w:val="24"/>
                <w:szCs w:val="24"/>
                <w:highlight w:val="none"/>
                <w:lang w:bidi="ar-SA"/>
              </w:rPr>
              <w:t>风险控制方法。</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方案完整合理、结合本项目特点、内容阐述清楚、完全满足采购需求、切实可行视为符合要求；</w:t>
            </w:r>
          </w:p>
          <w:p>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方案内容属于通用类，非专门针对本项目，部分符合实际情况视为部分符合；</w:t>
            </w:r>
          </w:p>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方案内容复制粘贴采购需求，非专门针对本项目，不符合实际情况或未提供视为不符合；</w:t>
            </w:r>
          </w:p>
          <w:p>
            <w:pPr>
              <w:spacing w:line="360" w:lineRule="exact"/>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以上</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项，每一项符合得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分，部分符合得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分，不符合不得分，此项最高得</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分。</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13" w:type="dxa"/>
            <w:tcBorders>
              <w:top w:val="single" w:color="auto" w:sz="6" w:space="0"/>
              <w:left w:val="single" w:color="auto" w:sz="6" w:space="0"/>
              <w:bottom w:val="single" w:color="auto" w:sz="6"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主观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744" w:hRule="atLeast"/>
        </w:trPr>
        <w:tc>
          <w:tcPr>
            <w:tcW w:w="590" w:type="dxa"/>
            <w:vMerge w:val="continue"/>
            <w:tcBorders>
              <w:left w:val="single" w:color="auto" w:sz="6" w:space="0"/>
              <w:bottom w:val="single" w:color="auto" w:sz="6" w:space="0"/>
              <w:right w:val="single" w:color="auto" w:sz="6" w:space="0"/>
            </w:tcBorders>
            <w:noWrap w:val="0"/>
            <w:vAlign w:val="center"/>
          </w:tcPr>
          <w:p>
            <w:pPr>
              <w:widowControl/>
              <w:spacing w:line="360" w:lineRule="exact"/>
              <w:jc w:val="both"/>
              <w:rPr>
                <w:rFonts w:hint="eastAsia" w:ascii="宋体" w:hAnsi="宋体" w:eastAsia="宋体" w:cs="宋体"/>
                <w:color w:val="auto"/>
                <w:sz w:val="24"/>
              </w:rPr>
            </w:pPr>
          </w:p>
        </w:tc>
        <w:tc>
          <w:tcPr>
            <w:tcW w:w="920" w:type="dxa"/>
            <w:vMerge w:val="continue"/>
            <w:tcBorders>
              <w:left w:val="single" w:color="auto" w:sz="6" w:space="0"/>
              <w:bottom w:val="single" w:color="auto" w:sz="6" w:space="0"/>
              <w:right w:val="single" w:color="auto" w:sz="6" w:space="0"/>
            </w:tcBorders>
            <w:noWrap w:val="0"/>
            <w:vAlign w:val="center"/>
          </w:tcPr>
          <w:p>
            <w:pPr>
              <w:widowControl/>
              <w:spacing w:line="360" w:lineRule="exact"/>
              <w:jc w:val="both"/>
              <w:rPr>
                <w:rFonts w:hint="eastAsia" w:ascii="宋体" w:hAnsi="宋体" w:eastAsia="宋体" w:cs="宋体"/>
                <w:color w:val="auto"/>
                <w:sz w:val="24"/>
              </w:rPr>
            </w:pPr>
          </w:p>
        </w:tc>
        <w:tc>
          <w:tcPr>
            <w:tcW w:w="940" w:type="dxa"/>
            <w:tcBorders>
              <w:left w:val="single" w:color="auto" w:sz="6" w:space="0"/>
              <w:right w:val="single" w:color="auto" w:sz="6" w:space="0"/>
            </w:tcBorders>
            <w:noWrap w:val="0"/>
            <w:vAlign w:val="center"/>
          </w:tcPr>
          <w:p>
            <w:pPr>
              <w:widowControl/>
              <w:spacing w:line="360" w:lineRule="exact"/>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保障</w:t>
            </w:r>
          </w:p>
          <w:p>
            <w:pPr>
              <w:widowControl/>
              <w:spacing w:line="360" w:lineRule="exact"/>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服务</w:t>
            </w:r>
          </w:p>
          <w:p>
            <w:pPr>
              <w:widowControl/>
              <w:spacing w:line="360" w:lineRule="exact"/>
              <w:jc w:val="center"/>
              <w:rPr>
                <w:rFonts w:hint="eastAsia" w:ascii="宋体" w:hAnsi="宋体" w:eastAsia="宋体" w:cs="宋体"/>
                <w:color w:val="auto"/>
                <w:sz w:val="24"/>
              </w:rPr>
            </w:pPr>
            <w:r>
              <w:rPr>
                <w:rFonts w:hint="eastAsia" w:ascii="宋体" w:hAnsi="宋体" w:eastAsia="宋体" w:cs="宋体"/>
                <w:color w:val="auto"/>
                <w:sz w:val="24"/>
                <w:szCs w:val="24"/>
                <w:highlight w:val="none"/>
                <w:lang w:bidi="ar-SA"/>
              </w:rPr>
              <w:t>（20分）</w:t>
            </w:r>
          </w:p>
        </w:tc>
        <w:tc>
          <w:tcPr>
            <w:tcW w:w="5190" w:type="dxa"/>
            <w:tcBorders>
              <w:top w:val="single" w:color="auto" w:sz="6" w:space="0"/>
              <w:left w:val="single" w:color="auto" w:sz="6" w:space="0"/>
              <w:bottom w:val="single" w:color="auto" w:sz="4" w:space="0"/>
              <w:right w:val="single" w:color="auto" w:sz="6" w:space="0"/>
            </w:tcBorders>
            <w:noWrap w:val="0"/>
            <w:vAlign w:val="center"/>
          </w:tcPr>
          <w:p>
            <w:pPr>
              <w:pStyle w:val="2"/>
              <w:ind w:left="0" w:leftChars="0" w:firstLine="0" w:firstLineChars="0"/>
              <w:rPr>
                <w:rFonts w:hint="eastAsia" w:hAnsi="宋体" w:eastAsia="宋体" w:cs="宋体"/>
                <w:color w:val="auto"/>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针对磋商文件采购需求中“</w:t>
            </w:r>
            <w:r>
              <w:rPr>
                <w:rFonts w:hint="eastAsia" w:ascii="宋体" w:hAnsi="宋体" w:eastAsia="宋体" w:cs="宋体"/>
                <w:color w:val="auto"/>
                <w:sz w:val="24"/>
                <w:szCs w:val="24"/>
                <w:lang w:eastAsia="zh-CN"/>
              </w:rPr>
              <w:t>第二包</w:t>
            </w:r>
            <w:r>
              <w:rPr>
                <w:rFonts w:hint="eastAsia" w:ascii="宋体" w:hAnsi="宋体" w:eastAsia="宋体" w:cs="宋体"/>
                <w:color w:val="auto"/>
                <w:sz w:val="24"/>
                <w:szCs w:val="24"/>
                <w:lang w:val="en-US" w:eastAsia="zh-CN"/>
              </w:rPr>
              <w:t>:</w:t>
            </w:r>
            <w:r>
              <w:rPr>
                <w:rFonts w:hint="eastAsia" w:ascii="宋体" w:hAnsi="宋体" w:eastAsia="宋体" w:cs="宋体"/>
                <w:b w:val="0"/>
                <w:color w:val="auto"/>
                <w:sz w:val="24"/>
                <w:lang w:val="en-US" w:eastAsia="zh-CN"/>
              </w:rPr>
              <w:t>三、技术</w:t>
            </w:r>
            <w:r>
              <w:rPr>
                <w:rFonts w:hint="eastAsia" w:ascii="宋体" w:hAnsi="宋体" w:eastAsia="宋体" w:cs="宋体"/>
                <w:b w:val="0"/>
                <w:color w:val="auto"/>
                <w:sz w:val="24"/>
                <w:lang w:eastAsia="zh-CN"/>
              </w:rPr>
              <w:t>要求</w:t>
            </w:r>
            <w:r>
              <w:rPr>
                <w:rFonts w:hint="eastAsia" w:hAnsi="宋体" w:eastAsia="宋体" w:cs="宋体"/>
                <w:b w:val="0"/>
                <w:color w:val="auto"/>
                <w:sz w:val="24"/>
                <w:lang w:eastAsia="zh-CN"/>
              </w:rPr>
              <w:t>中</w:t>
            </w:r>
            <w:r>
              <w:rPr>
                <w:rFonts w:hint="eastAsia"/>
                <w:sz w:val="24"/>
                <w:lang w:val="en-US" w:eastAsia="zh-CN"/>
              </w:rPr>
              <w:t>(二)</w:t>
            </w:r>
            <w:r>
              <w:rPr>
                <w:sz w:val="24"/>
              </w:rPr>
              <w:t>服务内容及要求</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中的</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条要求进行打分，包括：</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承诺提供流量清洗服务</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承诺提供防DDOS安全服务</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承诺能够提供域名全防护</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承诺提供反钓鱼等专业安全服务</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）承诺</w:t>
            </w:r>
            <w:r>
              <w:rPr>
                <w:rFonts w:hint="eastAsia" w:ascii="宋体" w:hAnsi="宋体" w:eastAsia="宋体" w:cs="宋体"/>
                <w:color w:val="auto"/>
                <w:sz w:val="24"/>
                <w:szCs w:val="24"/>
              </w:rPr>
              <w:t>提供可视化监控平台服务</w:t>
            </w:r>
            <w:r>
              <w:rPr>
                <w:rFonts w:hint="eastAsia" w:ascii="宋体" w:hAnsi="宋体" w:eastAsia="宋体" w:cs="宋体"/>
                <w:color w:val="auto"/>
                <w:sz w:val="24"/>
                <w:szCs w:val="24"/>
                <w:lang w:eastAsia="zh-CN"/>
              </w:rPr>
              <w:t>。</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报价人须提供证明文件并加盖报价人公章。以上</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项每一项符合得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分，部分符合或不符合不得分。此项最高得</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813" w:type="dxa"/>
            <w:tcBorders>
              <w:left w:val="single" w:color="auto" w:sz="6" w:space="0"/>
              <w:bottom w:val="single" w:color="auto" w:sz="4" w:space="0"/>
              <w:right w:val="single" w:color="auto" w:sz="6" w:space="0"/>
            </w:tcBorders>
            <w:noWrap w:val="0"/>
            <w:vAlign w:val="top"/>
          </w:tcPr>
          <w:p>
            <w:pPr>
              <w:widowControl/>
              <w:spacing w:line="36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813" w:type="dxa"/>
            <w:tcBorders>
              <w:left w:val="single" w:color="auto" w:sz="6" w:space="0"/>
              <w:bottom w:val="single" w:color="auto" w:sz="4" w:space="0"/>
              <w:right w:val="single" w:color="auto" w:sz="6" w:space="0"/>
            </w:tcBorders>
            <w:noWrap w:val="0"/>
            <w:vAlign w:val="top"/>
          </w:tcPr>
          <w:p>
            <w:pPr>
              <w:widowControl/>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013" w:hRule="atLeast"/>
        </w:trPr>
        <w:tc>
          <w:tcPr>
            <w:tcW w:w="59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宋体" w:hAnsi="宋体" w:eastAsia="宋体" w:cs="宋体"/>
                <w:color w:val="auto"/>
                <w:sz w:val="24"/>
                <w:szCs w:val="24"/>
              </w:rPr>
            </w:pPr>
          </w:p>
        </w:tc>
        <w:tc>
          <w:tcPr>
            <w:tcW w:w="92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宋体" w:hAnsi="宋体" w:eastAsia="宋体" w:cs="宋体"/>
                <w:color w:val="auto"/>
                <w:sz w:val="24"/>
                <w:szCs w:val="24"/>
              </w:rPr>
            </w:pPr>
          </w:p>
        </w:tc>
        <w:tc>
          <w:tcPr>
            <w:tcW w:w="940" w:type="dxa"/>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应对突发带宽的扩容能力</w:t>
            </w:r>
          </w:p>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5190" w:type="dxa"/>
            <w:tcBorders>
              <w:top w:val="single" w:color="auto" w:sz="6" w:space="0"/>
              <w:left w:val="single" w:color="auto" w:sz="6" w:space="0"/>
              <w:bottom w:val="single" w:color="auto" w:sz="6" w:space="0"/>
              <w:right w:val="single" w:color="auto" w:sz="6" w:space="0"/>
            </w:tcBorders>
            <w:noWrap w:val="0"/>
            <w:vAlign w:val="center"/>
          </w:tcPr>
          <w:p>
            <w:pPr>
              <w:numPr>
                <w:ilvl w:val="0"/>
                <w:numId w:val="0"/>
              </w:num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rPr>
              <w:t>能提供临时突发流量超出采购带宽大于等于80%，且可持续时间可超过2小时，得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p>
            <w:pPr>
              <w:numPr>
                <w:ilvl w:val="0"/>
                <w:numId w:val="0"/>
              </w:num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2.</w:t>
            </w:r>
            <w:r>
              <w:rPr>
                <w:rFonts w:hint="eastAsia" w:ascii="宋体" w:hAnsi="宋体" w:eastAsia="宋体" w:cs="宋体"/>
                <w:color w:val="auto"/>
                <w:sz w:val="24"/>
                <w:szCs w:val="24"/>
              </w:rPr>
              <w:t>能提供临时突发流量超出采购带宽大于等于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0%，且可持续时间可超过</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小时，得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p>
            <w:pPr>
              <w:numPr>
                <w:ilvl w:val="0"/>
                <w:numId w:val="0"/>
              </w:num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3.仅能提供</w:t>
            </w:r>
            <w:r>
              <w:rPr>
                <w:rFonts w:hint="eastAsia" w:ascii="宋体" w:hAnsi="宋体" w:eastAsia="宋体" w:cs="宋体"/>
                <w:color w:val="auto"/>
                <w:sz w:val="24"/>
                <w:szCs w:val="24"/>
              </w:rPr>
              <w:t>临时突发流量超出采购带宽</w:t>
            </w:r>
            <w:r>
              <w:rPr>
                <w:rFonts w:hint="eastAsia" w:ascii="宋体" w:hAnsi="宋体" w:eastAsia="宋体" w:cs="宋体"/>
                <w:color w:val="auto"/>
                <w:sz w:val="24"/>
                <w:szCs w:val="24"/>
                <w:lang w:eastAsia="zh-CN"/>
              </w:rPr>
              <w:t>小于</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持续时间</w:t>
            </w:r>
            <w:r>
              <w:rPr>
                <w:rFonts w:hint="eastAsia" w:ascii="宋体" w:hAnsi="宋体" w:eastAsia="宋体" w:cs="宋体"/>
                <w:color w:val="auto"/>
                <w:sz w:val="24"/>
                <w:szCs w:val="24"/>
                <w:lang w:eastAsia="zh-CN"/>
              </w:rPr>
              <w:t>小于</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小时要求的不得分。 </w:t>
            </w:r>
          </w:p>
          <w:p>
            <w:pPr>
              <w:spacing w:line="3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报价人须提交承诺书并加盖报价人公章。</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13" w:type="dxa"/>
            <w:tcBorders>
              <w:top w:val="single" w:color="auto" w:sz="6" w:space="0"/>
              <w:left w:val="single" w:color="auto" w:sz="6" w:space="0"/>
              <w:bottom w:val="single" w:color="auto" w:sz="6" w:space="0"/>
              <w:right w:val="single" w:color="auto" w:sz="6" w:space="0"/>
            </w:tcBorders>
            <w:noWrap w:val="0"/>
            <w:vAlign w:val="top"/>
          </w:tcPr>
          <w:p>
            <w:pPr>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客观</w:t>
            </w:r>
          </w:p>
        </w:tc>
      </w:tr>
    </w:tbl>
    <w:p/>
    <w:p>
      <w:pPr>
        <w:spacing w:line="360" w:lineRule="auto"/>
        <w:jc w:val="center"/>
        <w:rPr>
          <w:rFonts w:hint="eastAsia" w:cs="宋体"/>
          <w:sz w:val="24"/>
        </w:rPr>
      </w:pPr>
      <w:r>
        <w:rPr>
          <w:b/>
          <w:sz w:val="36"/>
          <w:szCs w:val="36"/>
        </w:rPr>
        <w:br w:type="page"/>
      </w:r>
      <w:bookmarkStart w:id="662" w:name="_Toc97371945"/>
      <w:r>
        <w:rPr>
          <w:b/>
          <w:sz w:val="36"/>
          <w:szCs w:val="36"/>
        </w:rPr>
        <w:t>第四章   采购需求</w:t>
      </w:r>
      <w:bookmarkEnd w:id="662"/>
    </w:p>
    <w:p>
      <w:pPr>
        <w:spacing w:line="560" w:lineRule="exact"/>
        <w:ind w:firstLine="482" w:firstLineChars="200"/>
        <w:outlineLvl w:val="1"/>
        <w:rPr>
          <w:rFonts w:hint="eastAsia" w:ascii="宋体" w:hAnsi="宋体" w:eastAsia="宋体" w:cs="宋体"/>
          <w:b/>
          <w:sz w:val="24"/>
          <w:szCs w:val="24"/>
          <w:lang w:val="en-US" w:eastAsia="zh-CN"/>
        </w:rPr>
      </w:pPr>
      <w:r>
        <w:rPr>
          <w:rFonts w:hint="eastAsia" w:ascii="宋体" w:hAnsi="宋体" w:eastAsia="宋体" w:cs="宋体"/>
          <w:b/>
          <w:sz w:val="24"/>
          <w:szCs w:val="24"/>
        </w:rPr>
        <w:t>第一包：副中心行政办公区东南组团和宋庄地块桌面互联网接入服务</w:t>
      </w:r>
    </w:p>
    <w:p>
      <w:pPr>
        <w:spacing w:line="560" w:lineRule="exact"/>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采购</w:t>
      </w:r>
      <w:r>
        <w:rPr>
          <w:rFonts w:hint="eastAsia" w:ascii="宋体" w:hAnsi="宋体" w:eastAsia="宋体" w:cs="宋体"/>
          <w:b/>
          <w:sz w:val="24"/>
          <w:szCs w:val="24"/>
          <w:lang w:eastAsia="zh-CN"/>
        </w:rPr>
        <w:t>标的</w:t>
      </w:r>
    </w:p>
    <w:tbl>
      <w:tblPr>
        <w:tblStyle w:val="42"/>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43"/>
        <w:gridCol w:w="2450"/>
        <w:gridCol w:w="224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43" w:type="dxa"/>
            <w:noWrap w:val="0"/>
            <w:vAlign w:val="top"/>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项目包号</w:t>
            </w:r>
          </w:p>
        </w:tc>
        <w:tc>
          <w:tcPr>
            <w:tcW w:w="245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224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数量及单位</w:t>
            </w:r>
          </w:p>
        </w:tc>
        <w:tc>
          <w:tcPr>
            <w:tcW w:w="1403"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743"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第一包</w:t>
            </w:r>
          </w:p>
        </w:tc>
        <w:tc>
          <w:tcPr>
            <w:tcW w:w="245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副中心行政办公区东南组团和宋庄地块桌面互联网接入服务</w:t>
            </w:r>
          </w:p>
        </w:tc>
        <w:tc>
          <w:tcPr>
            <w:tcW w:w="2240"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有线互联网专线4.9G</w:t>
            </w:r>
            <w:r>
              <w:rPr>
                <w:rFonts w:hint="eastAsia" w:ascii="宋体" w:hAnsi="宋体" w:eastAsia="宋体" w:cs="宋体"/>
                <w:bCs/>
                <w:sz w:val="24"/>
                <w:szCs w:val="24"/>
              </w:rPr>
              <w:t>一条带宽服务</w:t>
            </w:r>
          </w:p>
        </w:tc>
        <w:tc>
          <w:tcPr>
            <w:tcW w:w="1403"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bCs/>
                <w:sz w:val="24"/>
                <w:szCs w:val="24"/>
              </w:rPr>
              <w:t>110万</w:t>
            </w:r>
            <w:r>
              <w:rPr>
                <w:rFonts w:hint="eastAsia" w:ascii="宋体" w:hAnsi="宋体" w:eastAsia="宋体" w:cs="宋体"/>
                <w:sz w:val="24"/>
                <w:szCs w:val="24"/>
              </w:rPr>
              <w:t>元</w:t>
            </w:r>
          </w:p>
        </w:tc>
      </w:tr>
    </w:tbl>
    <w:p>
      <w:pPr>
        <w:keepNext w:val="0"/>
        <w:keepLines w:val="0"/>
        <w:pageBreakBefore w:val="0"/>
        <w:widowControl w:val="0"/>
        <w:numPr>
          <w:ilvl w:val="0"/>
          <w:numId w:val="14"/>
        </w:numPr>
        <w:kinsoku/>
        <w:wordWrap/>
        <w:overflowPunct/>
        <w:topLinePunct w:val="0"/>
        <w:bidi w:val="0"/>
        <w:spacing w:line="560" w:lineRule="exact"/>
        <w:ind w:firstLine="482" w:firstLineChars="200"/>
        <w:textAlignment w:val="auto"/>
        <w:outlineLvl w:val="1"/>
        <w:rPr>
          <w:rFonts w:hint="eastAsia" w:ascii="宋体" w:hAnsi="宋体" w:eastAsia="宋体" w:cs="宋体"/>
          <w:b/>
          <w:sz w:val="24"/>
          <w:lang w:eastAsia="zh-CN"/>
        </w:rPr>
      </w:pPr>
      <w:bookmarkStart w:id="663" w:name="_Toc150934396"/>
      <w:bookmarkStart w:id="664" w:name="_Toc149922640"/>
      <w:r>
        <w:rPr>
          <w:rFonts w:hint="eastAsia" w:ascii="宋体" w:hAnsi="宋体" w:eastAsia="宋体" w:cs="宋体"/>
          <w:b/>
          <w:sz w:val="24"/>
          <w:lang w:eastAsia="zh-CN"/>
        </w:rPr>
        <w:t>商务要求</w:t>
      </w:r>
    </w:p>
    <w:p>
      <w:pPr>
        <w:keepNext w:val="0"/>
        <w:keepLines w:val="0"/>
        <w:pageBreakBefore w:val="0"/>
        <w:widowControl w:val="0"/>
        <w:kinsoku/>
        <w:wordWrap/>
        <w:overflowPunct/>
        <w:topLinePunct w:val="0"/>
        <w:bidi w:val="0"/>
        <w:spacing w:line="560" w:lineRule="exact"/>
        <w:ind w:firstLine="480" w:firstLineChars="200"/>
        <w:textAlignment w:val="auto"/>
        <w:outlineLvl w:val="1"/>
        <w:rPr>
          <w:rFonts w:hint="eastAsia" w:ascii="宋体" w:hAnsi="宋体" w:eastAsia="宋体" w:cs="宋体"/>
          <w:b w:val="0"/>
          <w:sz w:val="24"/>
          <w:szCs w:val="24"/>
        </w:rPr>
      </w:pPr>
      <w:r>
        <w:rPr>
          <w:rFonts w:hint="eastAsia" w:ascii="宋体" w:hAnsi="宋体" w:eastAsia="宋体" w:cs="宋体"/>
          <w:sz w:val="24"/>
          <w:szCs w:val="24"/>
          <w:lang w:val="en-US" w:eastAsia="zh-CN"/>
        </w:rPr>
        <w:t>(一)交付时间</w:t>
      </w:r>
      <w:r>
        <w:rPr>
          <w:rFonts w:hint="eastAsia" w:ascii="宋体" w:hAnsi="宋体" w:eastAsia="宋体" w:cs="宋体"/>
          <w:b w:val="0"/>
          <w:sz w:val="24"/>
          <w:szCs w:val="24"/>
        </w:rPr>
        <w:t>及地点（服务期限）</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1.交付时间：</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互联网接入服务期：</w:t>
      </w:r>
      <w:r>
        <w:rPr>
          <w:rFonts w:hint="eastAsia" w:ascii="宋体" w:hAnsi="宋体" w:eastAsia="宋体" w:cs="宋体"/>
          <w:bCs/>
          <w:sz w:val="24"/>
          <w:szCs w:val="24"/>
        </w:rPr>
        <w:t>2026年1月1日至2026年 12月31日。</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2.交付</w:t>
      </w:r>
      <w:r>
        <w:rPr>
          <w:rFonts w:hint="eastAsia" w:ascii="宋体" w:hAnsi="宋体" w:eastAsia="宋体" w:cs="宋体"/>
          <w:sz w:val="24"/>
          <w:szCs w:val="24"/>
        </w:rPr>
        <w:t>地点：</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服务地点：北京市通州区达济街5号院</w:t>
      </w:r>
    </w:p>
    <w:p>
      <w:pPr>
        <w:pStyle w:val="2"/>
        <w:keepNext w:val="0"/>
        <w:keepLines w:val="0"/>
        <w:pageBreakBefore w:val="0"/>
        <w:widowControl w:val="0"/>
        <w:numPr>
          <w:ilvl w:val="0"/>
          <w:numId w:val="0"/>
        </w:numPr>
        <w:kinsoku/>
        <w:wordWrap/>
        <w:overflowPunct/>
        <w:topLinePunct w:val="0"/>
        <w:bidi w:val="0"/>
        <w:spacing w:line="560" w:lineRule="exact"/>
        <w:ind w:firstLine="0"/>
        <w:textAlignment w:val="auto"/>
        <w:rPr>
          <w:rFonts w:hint="eastAsia" w:hAnsi="宋体" w:eastAsia="宋体" w:cs="宋体"/>
          <w:sz w:val="24"/>
          <w:szCs w:val="24"/>
          <w:lang w:val="en-US" w:eastAsia="zh-CN"/>
        </w:rPr>
      </w:pPr>
      <w:r>
        <w:rPr>
          <w:rFonts w:hint="eastAsia" w:hAnsi="宋体" w:eastAsia="宋体" w:cs="宋体"/>
          <w:sz w:val="24"/>
          <w:szCs w:val="24"/>
          <w:lang w:val="en-US" w:eastAsia="zh-CN"/>
        </w:rPr>
        <w:t xml:space="preserve">    </w:t>
      </w:r>
      <w:r>
        <w:rPr>
          <w:rFonts w:hint="eastAsia" w:ascii="宋体" w:hAnsi="宋体" w:eastAsia="宋体" w:cs="宋体"/>
          <w:sz w:val="24"/>
          <w:szCs w:val="24"/>
          <w:lang w:val="en-US" w:eastAsia="zh-CN"/>
        </w:rPr>
        <w:t>(</w:t>
      </w:r>
      <w:r>
        <w:rPr>
          <w:rFonts w:hint="eastAsia" w:hAnsi="宋体" w:eastAsia="宋体" w:cs="宋体"/>
          <w:sz w:val="24"/>
          <w:szCs w:val="24"/>
          <w:lang w:val="en-US" w:eastAsia="zh-CN"/>
        </w:rPr>
        <w:t>二</w:t>
      </w:r>
      <w:r>
        <w:rPr>
          <w:rFonts w:hint="eastAsia" w:ascii="宋体" w:hAnsi="宋体" w:eastAsia="宋体" w:cs="宋体"/>
          <w:sz w:val="24"/>
          <w:szCs w:val="24"/>
          <w:lang w:val="en-US" w:eastAsia="zh-CN"/>
        </w:rPr>
        <w:t>)</w:t>
      </w:r>
      <w:r>
        <w:rPr>
          <w:rFonts w:hint="eastAsia" w:hAnsi="宋体" w:eastAsia="宋体" w:cs="宋体"/>
          <w:sz w:val="24"/>
          <w:szCs w:val="24"/>
          <w:lang w:val="en-US" w:eastAsia="zh-CN"/>
        </w:rPr>
        <w:t>付款条件</w:t>
      </w:r>
    </w:p>
    <w:p>
      <w:pPr>
        <w:keepNext w:val="0"/>
        <w:keepLines w:val="0"/>
        <w:pageBreakBefore w:val="0"/>
        <w:widowControl w:val="0"/>
        <w:kinsoku/>
        <w:wordWrap/>
        <w:overflowPunct/>
        <w:topLinePunct w:val="0"/>
        <w:bidi w:val="0"/>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本合同服务费实行：对公转账支付方式。</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支付方式：</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第一次支付50％。支付时间：合同签订后，采购人在收到成交人开具的符合采购人要求的</w:t>
      </w:r>
      <w:r>
        <w:rPr>
          <w:rFonts w:hint="eastAsia" w:ascii="宋体" w:hAnsi="宋体" w:eastAsia="宋体" w:cs="宋体"/>
          <w:sz w:val="24"/>
          <w:szCs w:val="24"/>
          <w:lang w:eastAsia="zh-CN"/>
        </w:rPr>
        <w:t>等额</w:t>
      </w:r>
      <w:r>
        <w:rPr>
          <w:rFonts w:hint="eastAsia" w:ascii="宋体" w:hAnsi="宋体" w:eastAsia="宋体" w:cs="宋体"/>
          <w:sz w:val="24"/>
          <w:szCs w:val="24"/>
        </w:rPr>
        <w:t>合法有效发票后10个工作日内支付；</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第二次支付50％。支付时间：合同执行结束后，成交人在正常履行合同且未影响采购人业务正常开展的情况下，采购人在收到成交人开具的符合采购人要求的</w:t>
      </w:r>
      <w:r>
        <w:rPr>
          <w:rFonts w:hint="eastAsia" w:ascii="宋体" w:hAnsi="宋体" w:eastAsia="宋体" w:cs="宋体"/>
          <w:sz w:val="24"/>
          <w:szCs w:val="24"/>
          <w:lang w:eastAsia="zh-CN"/>
        </w:rPr>
        <w:t>等额</w:t>
      </w:r>
      <w:r>
        <w:rPr>
          <w:rFonts w:hint="eastAsia" w:ascii="宋体" w:hAnsi="宋体" w:eastAsia="宋体" w:cs="宋体"/>
          <w:sz w:val="24"/>
          <w:szCs w:val="24"/>
        </w:rPr>
        <w:t>合法有效发票后10个工作日内支付。</w:t>
      </w:r>
    </w:p>
    <w:p>
      <w:pPr>
        <w:pStyle w:val="17"/>
        <w:keepNext w:val="0"/>
        <w:keepLines w:val="0"/>
        <w:pageBreakBefore w:val="0"/>
        <w:widowControl w:val="0"/>
        <w:kinsoku/>
        <w:wordWrap/>
        <w:overflowPunct/>
        <w:topLinePunct w:val="0"/>
        <w:bidi w:val="0"/>
        <w:spacing w:before="0" w:after="0" w:line="560" w:lineRule="exact"/>
        <w:ind w:firstLine="480" w:firstLineChars="200"/>
        <w:textAlignment w:val="auto"/>
        <w:rPr>
          <w:rFonts w:hint="eastAsia" w:ascii="宋体" w:hAnsi="宋体" w:eastAsia="宋体" w:cs="宋体"/>
          <w:sz w:val="24"/>
          <w:szCs w:val="24"/>
        </w:rPr>
      </w:pPr>
      <w:r>
        <w:rPr>
          <w:rFonts w:hint="eastAsia" w:eastAsia="宋体" w:cs="宋体"/>
          <w:sz w:val="24"/>
          <w:szCs w:val="24"/>
          <w:lang w:val="en-US" w:eastAsia="zh-CN"/>
        </w:rPr>
        <w:t>3.</w:t>
      </w:r>
      <w:r>
        <w:rPr>
          <w:rFonts w:hint="eastAsia" w:ascii="宋体" w:hAnsi="宋体" w:eastAsia="宋体" w:cs="宋体"/>
          <w:sz w:val="24"/>
          <w:szCs w:val="24"/>
        </w:rPr>
        <w:t>若成交人未按照要求提供等额、合法、有效发票的，</w:t>
      </w:r>
      <w:r>
        <w:rPr>
          <w:rFonts w:hint="eastAsia" w:ascii="宋体" w:hAnsi="宋体" w:eastAsia="宋体" w:cs="宋体"/>
          <w:sz w:val="24"/>
          <w:szCs w:val="24"/>
          <w:lang w:eastAsia="zh-CN"/>
        </w:rPr>
        <w:t>采购人</w:t>
      </w:r>
      <w:r>
        <w:rPr>
          <w:rFonts w:hint="eastAsia" w:ascii="宋体" w:hAnsi="宋体" w:eastAsia="宋体" w:cs="宋体"/>
          <w:sz w:val="24"/>
          <w:szCs w:val="24"/>
        </w:rPr>
        <w:t>有权拒绝支付相应款项且不</w:t>
      </w:r>
      <w:r>
        <w:rPr>
          <w:rFonts w:hint="eastAsia" w:ascii="宋体" w:hAnsi="宋体" w:eastAsia="宋体" w:cs="宋体"/>
          <w:color w:val="auto"/>
          <w:sz w:val="24"/>
          <w:szCs w:val="24"/>
          <w:lang w:val="en-US" w:eastAsia="zh-CN"/>
        </w:rPr>
        <w:t>承担任何责任</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支付款项在按实施进度完成且财政资金拨付到位后,</w:t>
      </w:r>
      <w:r>
        <w:rPr>
          <w:rFonts w:hint="eastAsia" w:ascii="宋体" w:hAnsi="宋体" w:eastAsia="宋体" w:cs="宋体"/>
          <w:sz w:val="24"/>
          <w:szCs w:val="24"/>
          <w:lang w:eastAsia="zh-CN"/>
        </w:rPr>
        <w:t>采购人</w:t>
      </w:r>
      <w:r>
        <w:rPr>
          <w:rFonts w:hint="eastAsia" w:ascii="宋体" w:hAnsi="宋体" w:eastAsia="宋体" w:cs="宋体"/>
          <w:sz w:val="24"/>
          <w:szCs w:val="24"/>
        </w:rPr>
        <w:t>予以支付。如</w:t>
      </w:r>
      <w:r>
        <w:rPr>
          <w:rFonts w:hint="eastAsia" w:ascii="宋体" w:hAnsi="宋体" w:eastAsia="宋体" w:cs="宋体"/>
          <w:sz w:val="24"/>
          <w:szCs w:val="24"/>
          <w:lang w:eastAsia="zh-CN"/>
        </w:rPr>
        <w:t>采购人</w:t>
      </w:r>
      <w:r>
        <w:rPr>
          <w:rFonts w:hint="eastAsia" w:ascii="宋体" w:hAnsi="宋体" w:eastAsia="宋体" w:cs="宋体"/>
          <w:sz w:val="24"/>
          <w:szCs w:val="24"/>
        </w:rPr>
        <w:t>因财政性资金拨付等原因延迟履行付款义务的,不视为</w:t>
      </w:r>
      <w:r>
        <w:rPr>
          <w:rFonts w:hint="eastAsia" w:ascii="宋体" w:hAnsi="宋体" w:eastAsia="宋体" w:cs="宋体"/>
          <w:sz w:val="24"/>
          <w:szCs w:val="24"/>
          <w:lang w:eastAsia="zh-CN"/>
        </w:rPr>
        <w:t>采购人</w:t>
      </w:r>
      <w:r>
        <w:rPr>
          <w:rFonts w:hint="eastAsia" w:ascii="宋体" w:hAnsi="宋体" w:eastAsia="宋体" w:cs="宋体"/>
          <w:sz w:val="24"/>
          <w:szCs w:val="24"/>
        </w:rPr>
        <w:t>违约。如果成交人的开户银行或账号发生变更,应在本合同规定的相关付款期限前</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个工作日,以书面的形式通知</w:t>
      </w:r>
      <w:r>
        <w:rPr>
          <w:rFonts w:hint="eastAsia" w:ascii="宋体" w:hAnsi="宋体" w:eastAsia="宋体" w:cs="宋体"/>
          <w:sz w:val="24"/>
          <w:szCs w:val="24"/>
          <w:lang w:eastAsia="zh-CN"/>
        </w:rPr>
        <w:t>采购人</w:t>
      </w:r>
      <w:r>
        <w:rPr>
          <w:rFonts w:hint="eastAsia" w:ascii="宋体" w:hAnsi="宋体" w:eastAsia="宋体" w:cs="宋体"/>
          <w:sz w:val="24"/>
          <w:szCs w:val="24"/>
        </w:rPr>
        <w:t>此种变更。如因成交人未及时通知或通知有误而影响</w:t>
      </w:r>
      <w:r>
        <w:rPr>
          <w:rFonts w:hint="eastAsia" w:ascii="宋体" w:hAnsi="宋体" w:eastAsia="宋体" w:cs="宋体"/>
          <w:sz w:val="24"/>
          <w:szCs w:val="24"/>
          <w:lang w:val="en-US" w:eastAsia="zh-CN"/>
        </w:rPr>
        <w:t>采购人</w:t>
      </w:r>
      <w:r>
        <w:rPr>
          <w:rFonts w:hint="eastAsia" w:ascii="宋体" w:hAnsi="宋体" w:eastAsia="宋体" w:cs="宋体"/>
          <w:sz w:val="24"/>
          <w:szCs w:val="24"/>
        </w:rPr>
        <w:t>支付本合同款项,</w:t>
      </w:r>
      <w:r>
        <w:rPr>
          <w:rFonts w:hint="eastAsia" w:ascii="宋体" w:hAnsi="宋体" w:eastAsia="宋体" w:cs="宋体"/>
          <w:sz w:val="24"/>
          <w:szCs w:val="24"/>
          <w:lang w:eastAsia="zh-CN"/>
        </w:rPr>
        <w:t>采购人</w:t>
      </w:r>
      <w:r>
        <w:rPr>
          <w:rFonts w:hint="eastAsia" w:ascii="宋体" w:hAnsi="宋体" w:eastAsia="宋体" w:cs="宋体"/>
          <w:sz w:val="24"/>
          <w:szCs w:val="24"/>
        </w:rPr>
        <w:t>将不承担逾期付款的任何责任。</w:t>
      </w:r>
    </w:p>
    <w:p>
      <w:pPr>
        <w:keepNext w:val="0"/>
        <w:keepLines w:val="0"/>
        <w:pageBreakBefore w:val="0"/>
        <w:widowControl w:val="0"/>
        <w:kinsoku/>
        <w:wordWrap/>
        <w:overflowPunct/>
        <w:topLinePunct w:val="0"/>
        <w:bidi w:val="0"/>
        <w:snapToGrid w:val="0"/>
        <w:spacing w:line="560" w:lineRule="exact"/>
        <w:ind w:firstLine="480" w:firstLineChars="200"/>
        <w:textAlignment w:val="auto"/>
        <w:rPr>
          <w:rFonts w:hint="default"/>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本项目为市财政资金拨付项目,成交人充分理解并承诺资金若不能及时到位,自身的资金保证能力可以保证该项目的进度和质量。成交人应按照约定履行合同义务,不以</w:t>
      </w:r>
      <w:r>
        <w:rPr>
          <w:rFonts w:hint="eastAsia" w:ascii="宋体" w:hAnsi="宋体" w:eastAsia="宋体" w:cs="宋体"/>
          <w:sz w:val="24"/>
          <w:szCs w:val="24"/>
          <w:lang w:eastAsia="zh-CN"/>
        </w:rPr>
        <w:t>采购人</w:t>
      </w:r>
      <w:r>
        <w:rPr>
          <w:rFonts w:hint="eastAsia" w:ascii="宋体" w:hAnsi="宋体" w:eastAsia="宋体" w:cs="宋体"/>
          <w:sz w:val="24"/>
          <w:szCs w:val="24"/>
        </w:rPr>
        <w:t>付款作为供货或提供服务的前提或不得以</w:t>
      </w:r>
      <w:r>
        <w:rPr>
          <w:rFonts w:hint="eastAsia" w:ascii="宋体" w:hAnsi="宋体" w:eastAsia="宋体" w:cs="宋体"/>
          <w:sz w:val="24"/>
          <w:szCs w:val="24"/>
          <w:lang w:eastAsia="zh-CN"/>
        </w:rPr>
        <w:t>采购人</w:t>
      </w:r>
      <w:r>
        <w:rPr>
          <w:rFonts w:hint="eastAsia" w:ascii="宋体" w:hAnsi="宋体" w:eastAsia="宋体" w:cs="宋体"/>
          <w:sz w:val="24"/>
          <w:szCs w:val="24"/>
        </w:rPr>
        <w:t>未按时足额付款作为拒绝供货或拒绝提供服务的抗辩理由。</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sz w:val="24"/>
          <w:szCs w:val="24"/>
          <w:lang w:val="en-US" w:eastAsia="zh-CN"/>
        </w:rPr>
        <w:t>(三)</w:t>
      </w:r>
      <w:r>
        <w:rPr>
          <w:rFonts w:hint="eastAsia" w:ascii="宋体" w:hAnsi="宋体" w:eastAsia="宋体" w:cs="宋体"/>
          <w:b w:val="0"/>
          <w:sz w:val="24"/>
          <w:szCs w:val="24"/>
        </w:rPr>
        <w:t>售后服务及培训要求</w:t>
      </w:r>
    </w:p>
    <w:p>
      <w:pPr>
        <w:keepNext w:val="0"/>
        <w:keepLines w:val="0"/>
        <w:pageBreakBefore w:val="0"/>
        <w:widowControl w:val="0"/>
        <w:numPr>
          <w:ilvl w:val="0"/>
          <w:numId w:val="0"/>
        </w:numPr>
        <w:kinsoku/>
        <w:wordWrap/>
        <w:overflowPunct/>
        <w:topLinePunct w:val="0"/>
        <w:bidi w:val="0"/>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成交人</w:t>
      </w:r>
      <w:r>
        <w:rPr>
          <w:rFonts w:hint="eastAsia" w:ascii="宋体" w:hAnsi="宋体" w:eastAsia="宋体" w:cs="宋体"/>
          <w:sz w:val="24"/>
          <w:szCs w:val="24"/>
        </w:rPr>
        <w:t>须提供行政办公区互联网带宽售后服务，至少包含3名技术服务人员，至少具备3年相关行业服务经验。</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本项目成交后于租赁期开始前，在北京市通州区内设立7</w:t>
      </w:r>
      <w:r>
        <w:rPr>
          <w:rFonts w:hint="eastAsia" w:ascii="宋体" w:hAnsi="宋体" w:eastAsia="宋体" w:cs="宋体"/>
          <w:bCs/>
          <w:sz w:val="24"/>
          <w:szCs w:val="24"/>
        </w:rPr>
        <w:t>×</w:t>
      </w:r>
      <w:r>
        <w:rPr>
          <w:rFonts w:hint="eastAsia" w:ascii="宋体" w:hAnsi="宋体" w:eastAsia="宋体" w:cs="宋体"/>
          <w:sz w:val="24"/>
          <w:szCs w:val="24"/>
        </w:rPr>
        <w:t>24小时网络监控中心。</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根据采购人需求安排1名及以上网络技术人员提供现场5</w:t>
      </w:r>
      <w:r>
        <w:rPr>
          <w:rFonts w:hint="eastAsia" w:ascii="宋体" w:hAnsi="宋体" w:eastAsia="宋体" w:cs="宋体"/>
          <w:bCs/>
          <w:sz w:val="24"/>
          <w:szCs w:val="24"/>
        </w:rPr>
        <w:t>×</w:t>
      </w:r>
      <w:r>
        <w:rPr>
          <w:rFonts w:hint="eastAsia" w:ascii="宋体" w:hAnsi="宋体" w:eastAsia="宋体" w:cs="宋体"/>
          <w:sz w:val="24"/>
          <w:szCs w:val="24"/>
        </w:rPr>
        <w:t>8小时驻场服务及重保期间驻场服务。</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宋体" w:hAnsi="宋体" w:eastAsia="宋体" w:cs="宋体"/>
          <w:b/>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成交人</w:t>
      </w:r>
      <w:r>
        <w:rPr>
          <w:rFonts w:hint="eastAsia" w:ascii="宋体" w:hAnsi="宋体" w:eastAsia="宋体" w:cs="宋体"/>
          <w:sz w:val="24"/>
          <w:szCs w:val="24"/>
        </w:rPr>
        <w:t>须提供本项目涉及到的互联网出口设备的厂商培训，服务期内培训不低于2天。</w:t>
      </w:r>
    </w:p>
    <w:p>
      <w:pPr>
        <w:keepNext w:val="0"/>
        <w:keepLines w:val="0"/>
        <w:pageBreakBefore w:val="0"/>
        <w:widowControl w:val="0"/>
        <w:kinsoku/>
        <w:wordWrap/>
        <w:overflowPunct/>
        <w:topLinePunct w:val="0"/>
        <w:bidi w:val="0"/>
        <w:spacing w:line="560" w:lineRule="exact"/>
        <w:ind w:firstLine="480" w:firstLineChars="200"/>
        <w:textAlignment w:val="auto"/>
        <w:outlineLvl w:val="9"/>
        <w:rPr>
          <w:rFonts w:hint="eastAsia" w:ascii="宋体" w:hAnsi="宋体" w:eastAsia="宋体" w:cs="宋体"/>
          <w:b w:val="0"/>
          <w:sz w:val="24"/>
          <w:szCs w:val="24"/>
        </w:rPr>
      </w:pPr>
      <w:r>
        <w:rPr>
          <w:rFonts w:hint="eastAsia" w:ascii="宋体" w:hAnsi="宋体" w:eastAsia="宋体" w:cs="宋体"/>
          <w:sz w:val="24"/>
          <w:szCs w:val="24"/>
          <w:lang w:val="en-US" w:eastAsia="zh-CN"/>
        </w:rPr>
        <w:t>(四)</w:t>
      </w:r>
      <w:r>
        <w:rPr>
          <w:rFonts w:hint="eastAsia" w:ascii="宋体" w:hAnsi="宋体" w:eastAsia="宋体" w:cs="宋体"/>
          <w:b w:val="0"/>
          <w:sz w:val="24"/>
          <w:szCs w:val="24"/>
        </w:rPr>
        <w:t>其他相关要求</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成交人</w:t>
      </w:r>
      <w:r>
        <w:rPr>
          <w:rFonts w:hint="eastAsia" w:ascii="宋体" w:hAnsi="宋体" w:eastAsia="宋体" w:cs="宋体"/>
          <w:sz w:val="24"/>
          <w:szCs w:val="24"/>
        </w:rPr>
        <w:t>保证正常履行合同且不得影响采购人业务正常开展，负责专线接入的日常维护，采购人在使用时如发现故障（非采购人用户终端设备故障）可向</w:t>
      </w:r>
      <w:r>
        <w:rPr>
          <w:rFonts w:hint="eastAsia" w:ascii="宋体" w:hAnsi="宋体" w:eastAsia="宋体" w:cs="宋体"/>
          <w:sz w:val="24"/>
          <w:szCs w:val="24"/>
          <w:lang w:eastAsia="zh-CN"/>
        </w:rPr>
        <w:t>成交人</w:t>
      </w:r>
      <w:r>
        <w:rPr>
          <w:rFonts w:hint="eastAsia" w:ascii="宋体" w:hAnsi="宋体" w:eastAsia="宋体" w:cs="宋体"/>
          <w:sz w:val="24"/>
          <w:szCs w:val="24"/>
        </w:rPr>
        <w:t>申告。故障时间计算以</w:t>
      </w:r>
      <w:r>
        <w:rPr>
          <w:rFonts w:hint="eastAsia" w:ascii="宋体" w:hAnsi="宋体" w:eastAsia="宋体" w:cs="宋体"/>
          <w:sz w:val="24"/>
          <w:szCs w:val="24"/>
          <w:lang w:eastAsia="zh-CN"/>
        </w:rPr>
        <w:t>成交人</w:t>
      </w:r>
      <w:r>
        <w:rPr>
          <w:rFonts w:hint="eastAsia" w:ascii="宋体" w:hAnsi="宋体" w:eastAsia="宋体" w:cs="宋体"/>
          <w:sz w:val="24"/>
          <w:szCs w:val="24"/>
        </w:rPr>
        <w:t>收到采购人的书面申告材料或采购人电话告知为始，以采购人收到</w:t>
      </w:r>
      <w:r>
        <w:rPr>
          <w:rFonts w:hint="eastAsia" w:ascii="宋体" w:hAnsi="宋体" w:eastAsia="宋体" w:cs="宋体"/>
          <w:sz w:val="24"/>
          <w:szCs w:val="24"/>
          <w:lang w:eastAsia="zh-CN"/>
        </w:rPr>
        <w:t>成交人</w:t>
      </w:r>
      <w:r>
        <w:rPr>
          <w:rFonts w:hint="eastAsia" w:ascii="宋体" w:hAnsi="宋体" w:eastAsia="宋体" w:cs="宋体"/>
          <w:sz w:val="24"/>
          <w:szCs w:val="24"/>
        </w:rPr>
        <w:t>的恢复通知为止。故障分下列三种情况：</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计划中断超时：计划中断超出24小时部分累计满1天，</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按日信息服务费和链路费日金额予以核减，核减金额在支付剩余50%的尾款中扣除。</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非计划中断：无提前通知的线路中断为非计划中断。非计划中断每月断线超过2次或每次恢复时间超过6小时，经核实确定，故障确实发生在</w:t>
      </w:r>
      <w:r>
        <w:rPr>
          <w:rFonts w:hint="eastAsia" w:ascii="宋体" w:hAnsi="宋体" w:eastAsia="宋体" w:cs="宋体"/>
          <w:sz w:val="24"/>
          <w:szCs w:val="24"/>
          <w:lang w:eastAsia="zh-CN"/>
        </w:rPr>
        <w:t>成交人</w:t>
      </w:r>
      <w:r>
        <w:rPr>
          <w:rFonts w:hint="eastAsia" w:ascii="宋体" w:hAnsi="宋体" w:eastAsia="宋体" w:cs="宋体"/>
          <w:sz w:val="24"/>
          <w:szCs w:val="24"/>
        </w:rPr>
        <w:t>所负责的责任范围内，</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按日信息服务费和链路费日金额双倍予以采购人核减，核减金额在支付剩余50%的尾款中扣除。</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速率过低：接入速率以连接到国内Internet骨干的速率为基准，连接速率在</w:t>
      </w:r>
      <w:r>
        <w:rPr>
          <w:rFonts w:hint="eastAsia" w:ascii="宋体" w:hAnsi="宋体" w:eastAsia="宋体" w:cs="宋体"/>
          <w:sz w:val="24"/>
          <w:szCs w:val="24"/>
          <w:lang w:eastAsia="zh-CN"/>
        </w:rPr>
        <w:t>成交人</w:t>
      </w:r>
      <w:r>
        <w:rPr>
          <w:rFonts w:hint="eastAsia" w:ascii="宋体" w:hAnsi="宋体" w:eastAsia="宋体" w:cs="宋体"/>
          <w:sz w:val="24"/>
          <w:szCs w:val="24"/>
        </w:rPr>
        <w:t>提供的路线接入速率的60%以下为速率过低。</w:t>
      </w:r>
      <w:r>
        <w:rPr>
          <w:rFonts w:hint="eastAsia" w:ascii="宋体" w:hAnsi="宋体" w:eastAsia="宋体" w:cs="宋体"/>
          <w:sz w:val="24"/>
          <w:szCs w:val="24"/>
          <w:lang w:eastAsia="zh-CN"/>
        </w:rPr>
        <w:t>成交人</w:t>
      </w:r>
      <w:r>
        <w:rPr>
          <w:rFonts w:hint="eastAsia" w:ascii="宋体" w:hAnsi="宋体" w:eastAsia="宋体" w:cs="宋体"/>
          <w:sz w:val="24"/>
          <w:szCs w:val="24"/>
        </w:rPr>
        <w:t>对专线速率基本保证上限，最低保证下限，低于下限速率为速率过低。</w:t>
      </w:r>
      <w:r>
        <w:rPr>
          <w:rFonts w:hint="eastAsia" w:ascii="宋体" w:hAnsi="宋体" w:eastAsia="宋体" w:cs="宋体"/>
          <w:sz w:val="24"/>
          <w:szCs w:val="24"/>
          <w:lang w:eastAsia="zh-CN"/>
        </w:rPr>
        <w:t>成交人</w:t>
      </w:r>
      <w:r>
        <w:rPr>
          <w:rFonts w:hint="eastAsia" w:ascii="宋体" w:hAnsi="宋体" w:eastAsia="宋体" w:cs="宋体"/>
          <w:sz w:val="24"/>
          <w:szCs w:val="24"/>
        </w:rPr>
        <w:t>接到采购人书面申告材料后3小时内使采购人速率趋于正常，超出3小时部分累计每超过一天，</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按日信息服务费和链路费日金额予以核减，核减金额在支付剩余50%的尾款中扣除。</w:t>
      </w:r>
    </w:p>
    <w:p>
      <w:pPr>
        <w:keepNext w:val="0"/>
        <w:keepLines w:val="0"/>
        <w:pageBreakBefore w:val="0"/>
        <w:widowControl w:val="0"/>
        <w:numPr>
          <w:ilvl w:val="0"/>
          <w:numId w:val="0"/>
        </w:numPr>
        <w:kinsoku/>
        <w:wordWrap/>
        <w:overflowPunct/>
        <w:topLinePunct w:val="0"/>
        <w:bidi w:val="0"/>
        <w:spacing w:line="560" w:lineRule="exact"/>
        <w:ind w:firstLine="481" w:firstLineChars="0"/>
        <w:textAlignment w:val="auto"/>
        <w:outlineLvl w:val="1"/>
        <w:rPr>
          <w:rFonts w:hint="eastAsia" w:ascii="宋体" w:hAnsi="宋体" w:eastAsia="宋体" w:cs="宋体"/>
          <w:b/>
          <w:sz w:val="24"/>
          <w:lang w:eastAsia="zh-CN"/>
        </w:rPr>
      </w:pPr>
      <w:r>
        <w:rPr>
          <w:rFonts w:hint="eastAsia" w:ascii="宋体" w:hAnsi="宋体" w:eastAsia="宋体" w:cs="宋体"/>
          <w:b/>
          <w:sz w:val="24"/>
          <w:lang w:val="en-US" w:eastAsia="zh-CN"/>
        </w:rPr>
        <w:t>三、技术</w:t>
      </w:r>
      <w:r>
        <w:rPr>
          <w:rFonts w:hint="eastAsia" w:ascii="宋体" w:hAnsi="宋体" w:eastAsia="宋体" w:cs="宋体"/>
          <w:b/>
          <w:sz w:val="24"/>
          <w:lang w:eastAsia="zh-CN"/>
        </w:rPr>
        <w:t>要求</w:t>
      </w:r>
    </w:p>
    <w:p>
      <w:pPr>
        <w:keepNext w:val="0"/>
        <w:keepLines w:val="0"/>
        <w:pageBreakBefore w:val="0"/>
        <w:widowControl w:val="0"/>
        <w:kinsoku/>
        <w:wordWrap/>
        <w:overflowPunct/>
        <w:topLinePunct w:val="0"/>
        <w:bidi w:val="0"/>
        <w:spacing w:line="560" w:lineRule="exact"/>
        <w:contextualSpacing/>
        <w:textAlignment w:val="auto"/>
        <w:rPr>
          <w:rFonts w:hint="eastAsia" w:ascii="宋体" w:hAnsi="宋体" w:eastAsia="宋体" w:cs="宋体"/>
          <w:sz w:val="24"/>
        </w:rPr>
      </w:pPr>
      <w:r>
        <w:rPr>
          <w:rFonts w:hint="eastAsia"/>
          <w:sz w:val="24"/>
          <w:lang w:val="en-US" w:eastAsia="zh-CN"/>
        </w:rPr>
        <w:t xml:space="preserve">    </w:t>
      </w:r>
      <w:r>
        <w:rPr>
          <w:rFonts w:hint="eastAsia" w:ascii="宋体" w:hAnsi="宋体" w:eastAsia="宋体" w:cs="宋体"/>
          <w:sz w:val="24"/>
          <w:szCs w:val="24"/>
          <w:lang w:val="en-US" w:eastAsia="zh-CN"/>
        </w:rPr>
        <w:t>(一)</w:t>
      </w:r>
      <w:r>
        <w:rPr>
          <w:rFonts w:hint="eastAsia" w:ascii="宋体" w:hAnsi="宋体" w:eastAsia="宋体" w:cs="宋体"/>
          <w:sz w:val="24"/>
        </w:rPr>
        <w:t xml:space="preserve"> 基本要求</w:t>
      </w:r>
    </w:p>
    <w:p>
      <w:pPr>
        <w:keepNext w:val="0"/>
        <w:keepLines w:val="0"/>
        <w:pageBreakBefore w:val="0"/>
        <w:widowControl w:val="0"/>
        <w:kinsoku/>
        <w:wordWrap/>
        <w:overflowPunct/>
        <w:topLinePunct w:val="0"/>
        <w:bidi w:val="0"/>
        <w:spacing w:line="56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szCs w:val="24"/>
          <w:lang w:val="en-US" w:eastAsia="zh-CN"/>
        </w:rPr>
        <w:t>1.</w:t>
      </w:r>
      <w:r>
        <w:rPr>
          <w:rFonts w:hint="eastAsia" w:ascii="宋体" w:hAnsi="宋体" w:eastAsia="宋体" w:cs="宋体"/>
          <w:sz w:val="24"/>
        </w:rPr>
        <w:t>采购标的需实现的功能</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bCs/>
          <w:sz w:val="24"/>
          <w:szCs w:val="24"/>
          <w:lang w:bidi="en-US"/>
        </w:rPr>
      </w:pPr>
      <w:r>
        <w:rPr>
          <w:rFonts w:hint="eastAsia" w:ascii="宋体" w:hAnsi="宋体" w:eastAsia="宋体" w:cs="宋体"/>
          <w:bCs/>
          <w:sz w:val="24"/>
          <w:szCs w:val="24"/>
          <w:lang w:bidi="en-US"/>
        </w:rPr>
        <w:t>行政办公区</w:t>
      </w:r>
      <w:r>
        <w:rPr>
          <w:rFonts w:hint="eastAsia" w:ascii="宋体" w:hAnsi="宋体" w:eastAsia="宋体" w:cs="宋体"/>
          <w:bCs/>
          <w:sz w:val="24"/>
          <w:szCs w:val="24"/>
          <w:lang w:eastAsia="zh-CN" w:bidi="en-US"/>
        </w:rPr>
        <w:t>桌面</w:t>
      </w:r>
      <w:r>
        <w:rPr>
          <w:rFonts w:hint="eastAsia" w:ascii="宋体" w:hAnsi="宋体" w:eastAsia="宋体" w:cs="宋体"/>
          <w:bCs/>
          <w:sz w:val="24"/>
          <w:szCs w:val="24"/>
          <w:lang w:bidi="en-US"/>
        </w:rPr>
        <w:t>互联网是行政办公区各入驻单位桌面办公需要的网络, 主要满足行政办公区各入驻单位数据、音频、视频和图像等互联网业务需要</w:t>
      </w:r>
      <w:r>
        <w:rPr>
          <w:rFonts w:hint="eastAsia" w:ascii="宋体" w:hAnsi="宋体" w:eastAsia="宋体" w:cs="宋体"/>
          <w:bCs/>
          <w:sz w:val="24"/>
          <w:szCs w:val="24"/>
          <w:lang w:eastAsia="zh-CN" w:bidi="en-US"/>
        </w:rPr>
        <w:t>，</w:t>
      </w:r>
      <w:r>
        <w:rPr>
          <w:rFonts w:hint="eastAsia" w:ascii="宋体" w:hAnsi="宋体" w:eastAsia="宋体" w:cs="宋体"/>
          <w:bCs/>
          <w:sz w:val="24"/>
          <w:szCs w:val="24"/>
          <w:lang w:bidi="en-US"/>
        </w:rPr>
        <w:t>为党政机关施政履职、日常管理</w:t>
      </w:r>
      <w:r>
        <w:rPr>
          <w:rFonts w:hint="eastAsia" w:ascii="宋体" w:hAnsi="宋体" w:eastAsia="宋体" w:cs="宋体"/>
          <w:bCs/>
          <w:sz w:val="24"/>
          <w:szCs w:val="24"/>
          <w:lang w:eastAsia="zh-CN" w:bidi="en-US"/>
        </w:rPr>
        <w:t>等</w:t>
      </w:r>
      <w:r>
        <w:rPr>
          <w:rFonts w:hint="eastAsia" w:ascii="宋体" w:hAnsi="宋体" w:eastAsia="宋体" w:cs="宋体"/>
          <w:bCs/>
          <w:sz w:val="24"/>
          <w:szCs w:val="24"/>
          <w:lang w:bidi="en-US"/>
        </w:rPr>
        <w:t>提供全面准确、及时有效的</w:t>
      </w:r>
      <w:r>
        <w:rPr>
          <w:rFonts w:hint="eastAsia" w:ascii="宋体" w:hAnsi="宋体" w:eastAsia="宋体" w:cs="宋体"/>
          <w:bCs/>
          <w:sz w:val="24"/>
          <w:szCs w:val="24"/>
          <w:lang w:eastAsia="zh-CN" w:bidi="en-US"/>
        </w:rPr>
        <w:t>网络</w:t>
      </w:r>
      <w:r>
        <w:rPr>
          <w:rFonts w:hint="eastAsia" w:ascii="宋体" w:hAnsi="宋体" w:eastAsia="宋体" w:cs="宋体"/>
          <w:bCs/>
          <w:sz w:val="24"/>
          <w:szCs w:val="24"/>
          <w:lang w:bidi="en-US"/>
        </w:rPr>
        <w:t>支撑。</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szCs w:val="24"/>
          <w:lang w:bidi="en-US"/>
        </w:rPr>
        <w:t>运行保障服务指标：</w:t>
      </w:r>
      <w:r>
        <w:rPr>
          <w:rFonts w:hint="eastAsia" w:ascii="宋体" w:hAnsi="宋体" w:eastAsia="宋体" w:cs="宋体"/>
          <w:bCs/>
          <w:sz w:val="24"/>
          <w:szCs w:val="24"/>
        </w:rPr>
        <w:t>年度无故障率和网络连通率高于99.99%</w:t>
      </w:r>
      <w:r>
        <w:rPr>
          <w:rFonts w:hint="eastAsia" w:ascii="宋体" w:hAnsi="宋体" w:eastAsia="宋体" w:cs="宋体"/>
          <w:bCs/>
          <w:sz w:val="24"/>
          <w:szCs w:val="24"/>
          <w:lang w:bidi="en-US"/>
        </w:rPr>
        <w:t>，</w:t>
      </w:r>
      <w:r>
        <w:rPr>
          <w:rFonts w:hint="eastAsia" w:ascii="宋体" w:hAnsi="宋体" w:eastAsia="宋体" w:cs="宋体"/>
          <w:bCs/>
          <w:sz w:val="24"/>
          <w:szCs w:val="24"/>
        </w:rPr>
        <w:t>延时≤10ms，平均丢包率不得大于0.1%</w:t>
      </w:r>
      <w:r>
        <w:rPr>
          <w:rFonts w:hint="eastAsia" w:ascii="宋体" w:hAnsi="宋体" w:eastAsia="宋体" w:cs="宋体"/>
          <w:bCs/>
          <w:sz w:val="24"/>
          <w:szCs w:val="24"/>
          <w:lang w:eastAsia="zh-CN"/>
        </w:rPr>
        <w:t>，</w:t>
      </w:r>
      <w:r>
        <w:rPr>
          <w:rFonts w:hint="eastAsia" w:ascii="宋体" w:hAnsi="宋体" w:eastAsia="宋体" w:cs="宋体"/>
          <w:bCs/>
          <w:sz w:val="24"/>
          <w:szCs w:val="24"/>
          <w:lang w:bidi="en-US"/>
        </w:rPr>
        <w:t>应急响应时间不超过</w:t>
      </w:r>
      <w:r>
        <w:rPr>
          <w:rFonts w:hint="eastAsia" w:ascii="宋体" w:hAnsi="宋体" w:eastAsia="宋体" w:cs="宋体"/>
          <w:bCs/>
          <w:sz w:val="24"/>
          <w:szCs w:val="24"/>
          <w:lang w:val="en-US" w:eastAsia="zh-CN" w:bidi="en-US"/>
        </w:rPr>
        <w:t>5</w:t>
      </w:r>
      <w:r>
        <w:rPr>
          <w:rFonts w:hint="eastAsia" w:ascii="宋体" w:hAnsi="宋体" w:eastAsia="宋体" w:cs="宋体"/>
          <w:bCs/>
          <w:sz w:val="24"/>
          <w:szCs w:val="24"/>
          <w:lang w:bidi="en-US"/>
        </w:rPr>
        <w:t>分钟，平均故障恢复时间不超过</w:t>
      </w:r>
      <w:r>
        <w:rPr>
          <w:rFonts w:hint="eastAsia" w:ascii="宋体" w:hAnsi="宋体" w:eastAsia="宋体" w:cs="宋体"/>
          <w:bCs/>
          <w:sz w:val="24"/>
          <w:szCs w:val="24"/>
          <w:lang w:val="en-US" w:eastAsia="zh-CN" w:bidi="en-US"/>
        </w:rPr>
        <w:t>120</w:t>
      </w:r>
      <w:r>
        <w:rPr>
          <w:rFonts w:hint="eastAsia" w:ascii="宋体" w:hAnsi="宋体" w:eastAsia="宋体" w:cs="宋体"/>
          <w:bCs/>
          <w:sz w:val="24"/>
          <w:szCs w:val="24"/>
          <w:lang w:bidi="en-US"/>
        </w:rPr>
        <w:t>分钟。</w:t>
      </w:r>
    </w:p>
    <w:p>
      <w:pPr>
        <w:keepNext w:val="0"/>
        <w:keepLines w:val="0"/>
        <w:pageBreakBefore w:val="0"/>
        <w:widowControl w:val="0"/>
        <w:kinsoku/>
        <w:wordWrap/>
        <w:overflowPunct/>
        <w:topLinePunct w:val="0"/>
        <w:bidi w:val="0"/>
        <w:spacing w:line="56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相关</w:t>
      </w:r>
      <w:r>
        <w:rPr>
          <w:rFonts w:hint="eastAsia" w:ascii="宋体" w:hAnsi="宋体" w:eastAsia="宋体" w:cs="宋体"/>
          <w:bCs/>
          <w:sz w:val="24"/>
          <w:lang w:eastAsia="zh-CN"/>
        </w:rPr>
        <w:t>法律、</w:t>
      </w:r>
      <w:r>
        <w:rPr>
          <w:rFonts w:hint="eastAsia" w:ascii="宋体" w:hAnsi="宋体" w:eastAsia="宋体" w:cs="宋体"/>
          <w:bCs/>
          <w:sz w:val="24"/>
        </w:rPr>
        <w:t>标准、规范</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w:t>
      </w:r>
      <w:r>
        <w:rPr>
          <w:rFonts w:hint="eastAsia" w:ascii="宋体" w:hAnsi="宋体" w:eastAsia="宋体" w:cs="宋体"/>
          <w:bCs/>
          <w:sz w:val="24"/>
          <w:szCs w:val="24"/>
        </w:rPr>
        <w:t>网络安全法》</w:t>
      </w:r>
    </w:p>
    <w:p>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w:t>
      </w:r>
      <w:r>
        <w:rPr>
          <w:rFonts w:hint="eastAsia" w:ascii="宋体" w:hAnsi="宋体" w:eastAsia="宋体" w:cs="宋体"/>
          <w:bCs/>
          <w:sz w:val="24"/>
          <w:szCs w:val="24"/>
        </w:rPr>
        <w:t>反恐怖主义法》</w:t>
      </w:r>
    </w:p>
    <w:p>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中华人民共和国个人信息保护</w:t>
      </w:r>
      <w:r>
        <w:rPr>
          <w:rFonts w:hint="eastAsia" w:ascii="宋体" w:hAnsi="宋体" w:eastAsia="宋体" w:cs="宋体"/>
          <w:bCs/>
          <w:sz w:val="24"/>
          <w:szCs w:val="24"/>
        </w:rPr>
        <w:t>法》</w:t>
      </w:r>
    </w:p>
    <w:p>
      <w:pPr>
        <w:keepNext w:val="0"/>
        <w:keepLines w:val="0"/>
        <w:pageBreakBefore w:val="0"/>
        <w:widowControl w:val="0"/>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《互联网接入服务规范》</w:t>
      </w:r>
    </w:p>
    <w:p>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《信息安全技术网络安全专用产品安全技术要求》</w:t>
      </w:r>
    </w:p>
    <w:p>
      <w:pPr>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《互联网网络和业务服务质量测试方法》YD/T 1642-2020</w:t>
      </w:r>
    </w:p>
    <w:p>
      <w:pPr>
        <w:pStyle w:val="2"/>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b/>
          <w:sz w:val="24"/>
          <w:szCs w:val="24"/>
        </w:rPr>
      </w:pPr>
      <w:r>
        <w:rPr>
          <w:rFonts w:hint="eastAsia"/>
          <w:sz w:val="24"/>
          <w:lang w:val="en-US" w:eastAsia="zh-CN"/>
        </w:rPr>
        <w:t>(二)</w:t>
      </w:r>
      <w:r>
        <w:rPr>
          <w:sz w:val="24"/>
        </w:rPr>
        <w:t xml:space="preserve"> 服务内容及要求</w:t>
      </w:r>
      <w:bookmarkEnd w:id="663"/>
    </w:p>
    <w:bookmarkEnd w:id="664"/>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1．安装调试：</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应在2026年1月1日前具备互联网专线接入条件，经过测试确保网络稳定，于2026年1月1日正式提供互联网专线接入、带宽服务。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应通过LAN口，以光纤专线的方式直接接入行政办公区数据中心楼传输机房A101，且光缆布放须符合行政办公区数据中心贯通缆部署实施规范，通过租用大市政管廊、小市政管孔资源进入数据中心楼，租用费用由</w:t>
      </w:r>
      <w:r>
        <w:rPr>
          <w:rFonts w:hint="eastAsia" w:ascii="宋体" w:hAnsi="宋体" w:eastAsia="宋体" w:cs="宋体"/>
          <w:bCs/>
          <w:sz w:val="24"/>
          <w:szCs w:val="24"/>
          <w:lang w:eastAsia="zh-CN"/>
        </w:rPr>
        <w:t>成交人</w:t>
      </w:r>
      <w:r>
        <w:rPr>
          <w:rFonts w:hint="eastAsia" w:ascii="宋体" w:hAnsi="宋体" w:eastAsia="宋体" w:cs="宋体"/>
          <w:bCs/>
          <w:sz w:val="24"/>
          <w:szCs w:val="24"/>
        </w:rPr>
        <w:t>承担，采购人不再单独支付。楼内光缆通过管孔、桥架在机房内机柜成端，光缆有明确标识，布放整洁、防虫、防潮。</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w:t>
      </w:r>
      <w:bookmarkStart w:id="665" w:name="_Hlk206507710"/>
      <w:r>
        <w:rPr>
          <w:rFonts w:hint="eastAsia" w:ascii="宋体" w:hAnsi="宋体" w:eastAsia="宋体" w:cs="宋体"/>
          <w:bCs/>
          <w:sz w:val="24"/>
          <w:szCs w:val="24"/>
          <w:lang w:eastAsia="zh-CN"/>
        </w:rPr>
        <w:t>成交人</w:t>
      </w:r>
      <w:r>
        <w:rPr>
          <w:rFonts w:hint="eastAsia" w:ascii="宋体" w:hAnsi="宋体" w:eastAsia="宋体" w:cs="宋体"/>
          <w:bCs/>
          <w:sz w:val="24"/>
          <w:szCs w:val="24"/>
        </w:rPr>
        <w:t>提供至少1台万兆性能以上链路负载均衡设备，</w:t>
      </w:r>
      <w:bookmarkEnd w:id="665"/>
      <w:r>
        <w:rPr>
          <w:rFonts w:hint="eastAsia" w:ascii="宋体" w:hAnsi="宋体" w:eastAsia="宋体" w:cs="宋体"/>
          <w:bCs/>
          <w:sz w:val="24"/>
          <w:szCs w:val="24"/>
        </w:rPr>
        <w:t>做为负载均衡主设备，负载均衡设备应具备6个以上万兆光口，4个以上电口；</w:t>
      </w:r>
      <w:r>
        <w:rPr>
          <w:rFonts w:hint="eastAsia" w:ascii="宋体" w:hAnsi="宋体" w:eastAsia="宋体" w:cs="宋体"/>
          <w:bCs/>
          <w:sz w:val="24"/>
          <w:szCs w:val="24"/>
          <w:lang w:eastAsia="zh-CN"/>
        </w:rPr>
        <w:t>成交人</w:t>
      </w:r>
      <w:r>
        <w:rPr>
          <w:rFonts w:hint="eastAsia" w:ascii="宋体" w:hAnsi="宋体" w:eastAsia="宋体" w:cs="宋体"/>
          <w:bCs/>
          <w:sz w:val="24"/>
          <w:szCs w:val="24"/>
        </w:rPr>
        <w:t>传输设备以双链路主备模式分别接入到主备负载均衡设备上；负载均衡设备应具备主备切换机制，能够实现主备负载均衡设备间通过心跳线自动切换功能；负载均衡设备支持端口联动功能；通过负载均衡设备满足内部地址到互联网公网地址的地址转换（包含公网支持IPv4和IPv6地址）和必要业务应用如视频会议内部地址到互联网公网地址一对一映射需要。负载均衡设备需支持同时挂载2台日志服务器。</w:t>
      </w:r>
      <w:r>
        <w:rPr>
          <w:rFonts w:hint="eastAsia" w:ascii="宋体" w:hAnsi="宋体" w:eastAsia="宋体" w:cs="宋体"/>
          <w:bCs/>
          <w:sz w:val="24"/>
          <w:szCs w:val="24"/>
          <w:lang w:eastAsia="zh-CN"/>
        </w:rPr>
        <w:t>成交人</w:t>
      </w:r>
      <w:r>
        <w:rPr>
          <w:rFonts w:hint="eastAsia" w:ascii="宋体" w:hAnsi="宋体" w:eastAsia="宋体" w:cs="宋体"/>
          <w:bCs/>
          <w:sz w:val="24"/>
          <w:szCs w:val="24"/>
        </w:rPr>
        <w:t>负责设备的正常运转和日常维护。</w:t>
      </w:r>
    </w:p>
    <w:p>
      <w:pPr>
        <w:pStyle w:val="2"/>
        <w:keepNext w:val="0"/>
        <w:keepLines w:val="0"/>
        <w:pageBreakBefore w:val="0"/>
        <w:widowControl w:val="0"/>
        <w:kinsoku/>
        <w:wordWrap/>
        <w:overflowPunct/>
        <w:topLinePunct w:val="0"/>
        <w:bidi w:val="0"/>
        <w:spacing w:line="560" w:lineRule="exact"/>
        <w:ind w:firstLine="480"/>
        <w:textAlignment w:val="auto"/>
        <w:rPr>
          <w:rFonts w:hint="eastAsia" w:ascii="宋体" w:hAnsi="宋体" w:eastAsia="宋体" w:cs="宋体"/>
          <w:bCs/>
          <w:szCs w:val="24"/>
        </w:rPr>
      </w:pPr>
      <w:r>
        <w:rPr>
          <w:rFonts w:hint="eastAsia" w:ascii="宋体" w:hAnsi="宋体" w:eastAsia="宋体" w:cs="宋体"/>
          <w:bCs/>
          <w:szCs w:val="24"/>
        </w:rPr>
        <w:t>（3）</w:t>
      </w:r>
      <w:r>
        <w:rPr>
          <w:rFonts w:hint="eastAsia" w:hAnsi="宋体" w:eastAsia="宋体" w:cs="宋体"/>
          <w:bCs/>
          <w:szCs w:val="24"/>
          <w:lang w:eastAsia="zh-CN"/>
        </w:rPr>
        <w:t>成交人</w:t>
      </w:r>
      <w:r>
        <w:rPr>
          <w:rFonts w:hint="eastAsia" w:ascii="宋体" w:hAnsi="宋体" w:eastAsia="宋体" w:cs="宋体"/>
          <w:bCs/>
          <w:szCs w:val="24"/>
        </w:rPr>
        <w:t>提供至少1台日志服务器同时挂载主备负载均衡设备，支持采集主备负载均衡设备Ipv4、Ipv6日志信息，并存储6个月以上，日志内容应至少包含具体日期、源私网地址、源公网地址、目的公网地址、目的端口号等信息以便溯源。</w:t>
      </w:r>
      <w:r>
        <w:rPr>
          <w:rFonts w:hint="eastAsia" w:ascii="宋体" w:hAnsi="宋体" w:eastAsia="宋体" w:cs="宋体"/>
          <w:bCs/>
          <w:sz w:val="24"/>
          <w:szCs w:val="24"/>
          <w:lang w:eastAsia="zh-CN"/>
        </w:rPr>
        <w:t>成交人</w:t>
      </w:r>
      <w:r>
        <w:rPr>
          <w:rFonts w:hint="eastAsia" w:ascii="宋体" w:hAnsi="宋体" w:eastAsia="宋体" w:cs="宋体"/>
          <w:bCs/>
          <w:sz w:val="24"/>
          <w:szCs w:val="24"/>
        </w:rPr>
        <w:t>负责设备的正常运转和日常维护。</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应在自身网络边界提前进行测试，向采购人提交书面测试结果，测试部分业务包括：市财政门户网站、百度、知网访问，测试内容包括访问期间的网络延迟、网络抖动、丢包率、路径条目。</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rPr>
        <w:t>（5）</w:t>
      </w:r>
      <w:r>
        <w:rPr>
          <w:rFonts w:hint="eastAsia" w:ascii="宋体" w:hAnsi="宋体" w:eastAsia="宋体" w:cs="宋体"/>
          <w:bCs/>
          <w:sz w:val="24"/>
          <w:szCs w:val="24"/>
          <w:lang w:eastAsia="zh-CN"/>
        </w:rPr>
        <w:t>成交人</w:t>
      </w:r>
      <w:r>
        <w:rPr>
          <w:rFonts w:hint="eastAsia" w:ascii="宋体" w:hAnsi="宋体" w:eastAsia="宋体" w:cs="宋体"/>
          <w:bCs/>
          <w:sz w:val="24"/>
          <w:szCs w:val="24"/>
        </w:rPr>
        <w:t>鉴于副中心行政办公区各类资源与现有网络进行了绑定，接入实施过程必须保证副中心行政办公区互联网访问及用户端操作体验无间断、平滑地进入本项目服务期带宽服务。需满足所提供的</w:t>
      </w:r>
      <w:bookmarkStart w:id="666" w:name="_Hlk206507992"/>
      <w:r>
        <w:rPr>
          <w:rFonts w:hint="eastAsia" w:ascii="宋体" w:hAnsi="宋体" w:eastAsia="宋体" w:cs="宋体"/>
          <w:bCs/>
          <w:sz w:val="24"/>
          <w:szCs w:val="24"/>
        </w:rPr>
        <w:t>Ip</w:t>
      </w:r>
      <w:r>
        <w:rPr>
          <w:rFonts w:hint="eastAsia" w:ascii="宋体" w:hAnsi="宋体" w:eastAsia="宋体" w:cs="宋体"/>
          <w:bCs/>
          <w:sz w:val="24"/>
          <w:szCs w:val="24"/>
          <w:highlight w:val="none"/>
        </w:rPr>
        <w:t>v4公网地址与210.73.64.1互联互通</w:t>
      </w:r>
      <w:bookmarkEnd w:id="666"/>
      <w:r>
        <w:rPr>
          <w:rFonts w:hint="eastAsia" w:ascii="宋体" w:hAnsi="宋体" w:eastAsia="宋体" w:cs="宋体"/>
          <w:bCs/>
          <w:sz w:val="24"/>
          <w:szCs w:val="24"/>
          <w:highlight w:val="none"/>
        </w:rPr>
        <w:t>，Ipv6公网地址与2403:6a00::1互联互通，如产生额外费用，</w:t>
      </w:r>
      <w:r>
        <w:rPr>
          <w:rFonts w:hint="eastAsia" w:ascii="宋体" w:hAnsi="宋体" w:eastAsia="宋体" w:cs="宋体"/>
          <w:bCs/>
          <w:sz w:val="24"/>
          <w:szCs w:val="24"/>
          <w:highlight w:val="none"/>
          <w:lang w:eastAsia="zh-CN"/>
        </w:rPr>
        <w:t>成交人</w:t>
      </w:r>
      <w:r>
        <w:rPr>
          <w:rFonts w:hint="eastAsia" w:ascii="宋体" w:hAnsi="宋体" w:eastAsia="宋体" w:cs="宋体"/>
          <w:bCs/>
          <w:sz w:val="24"/>
          <w:szCs w:val="24"/>
          <w:highlight w:val="none"/>
        </w:rPr>
        <w:t>报价应包含此项费用。</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eastAsia="zh-CN"/>
        </w:rPr>
        <w:t>成交人</w:t>
      </w:r>
      <w:r>
        <w:rPr>
          <w:rFonts w:hint="eastAsia" w:ascii="宋体" w:hAnsi="宋体" w:eastAsia="宋体" w:cs="宋体"/>
          <w:bCs/>
          <w:sz w:val="24"/>
          <w:szCs w:val="24"/>
          <w:highlight w:val="none"/>
        </w:rPr>
        <w:t>的边界传输设备上联应具备双路由模式,2条路由应</w:t>
      </w:r>
      <w:r>
        <w:rPr>
          <w:rFonts w:hint="eastAsia" w:ascii="宋体" w:hAnsi="宋体" w:eastAsia="宋体" w:cs="宋体"/>
          <w:bCs/>
          <w:sz w:val="24"/>
          <w:szCs w:val="24"/>
        </w:rPr>
        <w:t>分别接入不同物理位置的传输设备，且2条路由均具备承载不低于采购带宽（4.9G）的能力。需提供证明文件并加盖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服务方案：为采购人制订实施工作方案、安全保障方案，网络保障方案、特殊时期保障方案，包括但不限于实施人员组织、时间进度安排、对接技术方案、带宽服务方案；服务报告内容、安全保障、安全防护；保障预案、</w:t>
      </w:r>
      <w:r>
        <w:rPr>
          <w:rFonts w:hint="eastAsia" w:ascii="宋体" w:hAnsi="宋体" w:eastAsia="宋体" w:cs="宋体"/>
          <w:sz w:val="24"/>
          <w:szCs w:val="24"/>
        </w:rPr>
        <w:t>7×24×365全天候技术支持、</w:t>
      </w:r>
      <w:r>
        <w:rPr>
          <w:rFonts w:hint="eastAsia" w:ascii="宋体" w:hAnsi="宋体" w:eastAsia="宋体" w:cs="宋体"/>
          <w:bCs/>
          <w:sz w:val="24"/>
          <w:szCs w:val="24"/>
        </w:rPr>
        <w:t>服务热线</w:t>
      </w:r>
      <w:r>
        <w:rPr>
          <w:rFonts w:hint="eastAsia" w:ascii="宋体" w:hAnsi="宋体" w:eastAsia="宋体" w:cs="宋体"/>
          <w:sz w:val="24"/>
          <w:szCs w:val="24"/>
        </w:rPr>
        <w:t>电话；特殊重大事件、重要时期重点保障等服务。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sz w:val="24"/>
        </w:rPr>
      </w:pPr>
      <w:r>
        <w:rPr>
          <w:rFonts w:hint="eastAsia" w:ascii="宋体" w:hAnsi="宋体" w:eastAsia="宋体" w:cs="宋体"/>
          <w:bCs/>
          <w:sz w:val="24"/>
          <w:szCs w:val="24"/>
        </w:rPr>
        <w:t>3.应急保障方案：为采购人制订应急保障方案，包括但不限于应急预案、应对措施、临时提速快速响应方案（包括物资、人员、预案等）；应急服务承诺，流程</w:t>
      </w:r>
      <w:r>
        <w:rPr>
          <w:rFonts w:hint="eastAsia" w:ascii="宋体" w:hAnsi="宋体" w:eastAsia="宋体" w:cs="宋体"/>
          <w:sz w:val="24"/>
          <w:szCs w:val="24"/>
        </w:rPr>
        <w:t>和响应时效</w:t>
      </w:r>
      <w:r>
        <w:rPr>
          <w:rFonts w:hint="eastAsia" w:ascii="宋体" w:hAnsi="宋体" w:eastAsia="宋体" w:cs="宋体"/>
          <w:sz w:val="24"/>
          <w:szCs w:val="24"/>
          <w:lang w:eastAsia="zh-CN"/>
        </w:rPr>
        <w:t>，处理方法</w:t>
      </w:r>
      <w:r>
        <w:rPr>
          <w:rFonts w:hint="eastAsia" w:ascii="宋体" w:hAnsi="宋体" w:eastAsia="宋体" w:cs="宋体"/>
          <w:sz w:val="24"/>
          <w:szCs w:val="24"/>
        </w:rPr>
        <w:t>；服务质量保证办法；风险控制方法等内容。</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4．规范标准：</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在接入服务期内，须向采购人提供符合国家规定的互联网接入服务。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（1）根据《网络安全法》，</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提供的服务应当符合相关国家标准的强制性要求。</w:t>
      </w:r>
      <w:r>
        <w:rPr>
          <w:rFonts w:hint="eastAsia" w:ascii="宋体" w:hAnsi="宋体" w:eastAsia="宋体" w:cs="宋体"/>
          <w:bCs/>
          <w:sz w:val="24"/>
          <w:szCs w:val="24"/>
          <w:lang w:eastAsia="zh-CN"/>
        </w:rPr>
        <w:t>成交人</w:t>
      </w:r>
      <w:r>
        <w:rPr>
          <w:rFonts w:hint="eastAsia" w:ascii="宋体" w:hAnsi="宋体" w:eastAsia="宋体" w:cs="宋体"/>
          <w:bCs/>
          <w:sz w:val="24"/>
          <w:szCs w:val="24"/>
        </w:rPr>
        <w:t>不得设置恶意程序；</w:t>
      </w:r>
      <w:r>
        <w:rPr>
          <w:rFonts w:hint="eastAsia" w:ascii="宋体" w:hAnsi="宋体" w:eastAsia="宋体" w:cs="宋体"/>
          <w:bCs/>
          <w:sz w:val="24"/>
          <w:szCs w:val="24"/>
          <w:lang w:eastAsia="zh-CN"/>
        </w:rPr>
        <w:t>成交人</w:t>
      </w:r>
      <w:r>
        <w:rPr>
          <w:rFonts w:hint="eastAsia" w:ascii="宋体" w:hAnsi="宋体" w:eastAsia="宋体" w:cs="宋体"/>
          <w:bCs/>
          <w:sz w:val="24"/>
          <w:szCs w:val="24"/>
        </w:rPr>
        <w:t>发现其服务存在安全缺陷、漏洞等风险时，应当立即采取补救措施，按照规定及时告知采购人并向有关主管部门报告。</w:t>
      </w:r>
      <w:r>
        <w:rPr>
          <w:rFonts w:hint="eastAsia" w:ascii="宋体" w:hAnsi="宋体" w:eastAsia="宋体" w:cs="宋体"/>
          <w:sz w:val="24"/>
          <w:szCs w:val="24"/>
          <w:lang w:eastAsia="zh-CN"/>
        </w:rPr>
        <w:t>成交人</w:t>
      </w:r>
      <w:r>
        <w:rPr>
          <w:rFonts w:hint="eastAsia" w:ascii="宋体" w:hAnsi="宋体" w:eastAsia="宋体" w:cs="宋体"/>
          <w:sz w:val="24"/>
          <w:szCs w:val="24"/>
        </w:rPr>
        <w:t>保证其提供的货物、设施设备及服务（包括其中所含的软硬件）没有任何病毒、后门程序、恶意代码等安全隐患（包括但不限于：恶意收集数据、恶意查删正常信息等属于本合同未列明的功能），不存在任何质量瑕疵和权利瑕疵。</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（2）为落实《反恐怖主义法》，</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应当为公安机关、国家安全机关依法进行防范、调查恐怖活动提供技术接口和解密等技术支持和协助。若发现含有恐怖主义、极端主义内容的信息的，</w:t>
      </w:r>
      <w:r>
        <w:rPr>
          <w:rFonts w:hint="eastAsia" w:ascii="宋体" w:hAnsi="宋体" w:eastAsia="宋体" w:cs="宋体"/>
          <w:bCs/>
          <w:sz w:val="24"/>
          <w:szCs w:val="24"/>
          <w:lang w:eastAsia="zh-CN"/>
        </w:rPr>
        <w:t>成交人</w:t>
      </w:r>
      <w:r>
        <w:rPr>
          <w:rFonts w:hint="eastAsia" w:ascii="宋体" w:hAnsi="宋体" w:eastAsia="宋体" w:cs="宋体"/>
          <w:bCs/>
          <w:sz w:val="24"/>
          <w:szCs w:val="24"/>
        </w:rPr>
        <w:t>将立即停止传输，保存相关记录，删除相关信息，并向公安机关或者有关部门报告。</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成交人</w:t>
      </w:r>
      <w:r>
        <w:rPr>
          <w:rFonts w:hint="eastAsia" w:ascii="宋体" w:hAnsi="宋体" w:eastAsia="宋体" w:cs="宋体"/>
          <w:bCs/>
          <w:sz w:val="24"/>
          <w:szCs w:val="24"/>
        </w:rPr>
        <w:t>项目实施团队人员应具备专业人员证书（必须包括计算机技术与软件专业技术资格（水平）考试高级或中级认证证书、CISP（注册信息安全工程师）。</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（4）需符合【YD/T 1642-2020】互联网网络和业务服务质量测试方法。</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成交人</w:t>
      </w:r>
      <w:r>
        <w:rPr>
          <w:rFonts w:hint="eastAsia" w:ascii="宋体" w:hAnsi="宋体" w:eastAsia="宋体" w:cs="宋体"/>
          <w:bCs/>
          <w:sz w:val="24"/>
          <w:szCs w:val="24"/>
        </w:rPr>
        <w:t>具备质量管理体系认证证书、信息技术服务管理体系认证证书、信息安全管理体系认证证书。</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5.“#”地址：</w:t>
      </w:r>
      <w:r>
        <w:rPr>
          <w:rFonts w:hint="eastAsia" w:ascii="宋体" w:hAnsi="宋体" w:eastAsia="宋体" w:cs="宋体"/>
          <w:bCs/>
          <w:sz w:val="24"/>
          <w:szCs w:val="24"/>
          <w:lang w:eastAsia="zh-CN"/>
        </w:rPr>
        <w:t>成交人</w:t>
      </w:r>
      <w:r>
        <w:rPr>
          <w:rFonts w:hint="eastAsia" w:ascii="宋体" w:hAnsi="宋体" w:eastAsia="宋体" w:cs="宋体"/>
          <w:bCs/>
          <w:sz w:val="24"/>
          <w:szCs w:val="24"/>
        </w:rPr>
        <w:t>须提供公网IPv4地址个数≥512个、公网IPv6地址前缀长度为/55。可提供额外但不限数量的IP地址以满足后续新增业务需求（所涉及费用包含在报价中），需提交承诺书并加盖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6.“#”带宽：保证接入带宽等于4.9</w:t>
      </w:r>
      <w:r>
        <w:rPr>
          <w:rFonts w:hint="eastAsia" w:ascii="宋体" w:hAnsi="宋体" w:eastAsia="宋体" w:cs="宋体"/>
          <w:sz w:val="24"/>
          <w:szCs w:val="24"/>
        </w:rPr>
        <w:t>Gbps</w:t>
      </w:r>
      <w:r>
        <w:rPr>
          <w:rFonts w:hint="eastAsia" w:ascii="宋体" w:hAnsi="宋体" w:eastAsia="宋体" w:cs="宋体"/>
          <w:bCs/>
          <w:sz w:val="24"/>
          <w:szCs w:val="24"/>
        </w:rPr>
        <w:t>带宽，</w:t>
      </w:r>
      <w:r>
        <w:rPr>
          <w:rFonts w:hint="eastAsia" w:ascii="宋体" w:hAnsi="宋体" w:eastAsia="宋体" w:cs="宋体"/>
          <w:sz w:val="24"/>
          <w:szCs w:val="24"/>
        </w:rPr>
        <w:t>接入网络需同时具备IPv4和IPv6网络承载能力，</w:t>
      </w:r>
      <w:r>
        <w:rPr>
          <w:rFonts w:hint="eastAsia" w:ascii="宋体" w:hAnsi="宋体" w:eastAsia="宋体" w:cs="宋体"/>
          <w:bCs/>
          <w:sz w:val="24"/>
          <w:szCs w:val="24"/>
        </w:rPr>
        <w:t>带宽必须独享，上下行速率对称，</w:t>
      </w:r>
      <w:r>
        <w:rPr>
          <w:rFonts w:hint="eastAsia" w:ascii="宋体" w:hAnsi="宋体" w:eastAsia="宋体" w:cs="宋体"/>
          <w:bCs/>
          <w:sz w:val="24"/>
          <w:szCs w:val="24"/>
          <w:lang w:eastAsia="zh-CN"/>
        </w:rPr>
        <w:t>成交人</w:t>
      </w:r>
      <w:r>
        <w:rPr>
          <w:rFonts w:hint="eastAsia" w:ascii="宋体" w:hAnsi="宋体" w:eastAsia="宋体" w:cs="宋体"/>
          <w:bCs/>
          <w:sz w:val="24"/>
          <w:szCs w:val="24"/>
        </w:rPr>
        <w:t>骨干带宽不低于5G</w:t>
      </w:r>
      <w:r>
        <w:rPr>
          <w:rFonts w:hint="eastAsia" w:ascii="宋体" w:hAnsi="宋体" w:eastAsia="宋体" w:cs="宋体"/>
          <w:sz w:val="24"/>
          <w:szCs w:val="24"/>
        </w:rPr>
        <w:t>bps</w:t>
      </w:r>
      <w:r>
        <w:rPr>
          <w:rFonts w:hint="eastAsia" w:ascii="宋体" w:hAnsi="宋体" w:eastAsia="宋体" w:cs="宋体"/>
          <w:bCs/>
          <w:sz w:val="24"/>
          <w:szCs w:val="24"/>
        </w:rPr>
        <w:t>。需提供证明文件并加盖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提供的互联网专线在传输设备和主负载均衡设备之间的主链路因故障中断时，业务带宽应由主链路自动切换至备链路。需提供证明文件</w:t>
      </w:r>
      <w:r>
        <w:rPr>
          <w:rFonts w:hint="eastAsia" w:ascii="宋体" w:hAnsi="宋体" w:eastAsia="宋体" w:cs="宋体"/>
          <w:bCs/>
          <w:sz w:val="24"/>
          <w:szCs w:val="24"/>
          <w:lang w:eastAsia="zh-CN"/>
        </w:rPr>
        <w:t>或承诺书</w:t>
      </w:r>
      <w:r>
        <w:rPr>
          <w:rFonts w:hint="eastAsia" w:ascii="宋体" w:hAnsi="宋体" w:eastAsia="宋体" w:cs="宋体"/>
          <w:bCs/>
          <w:sz w:val="24"/>
          <w:szCs w:val="24"/>
        </w:rPr>
        <w:t>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8.“#”技术指标：自行政办公区互联网出口路由设备到</w:t>
      </w:r>
      <w:r>
        <w:rPr>
          <w:rFonts w:hint="eastAsia" w:ascii="宋体" w:hAnsi="宋体" w:eastAsia="宋体" w:cs="宋体"/>
          <w:bCs/>
          <w:sz w:val="24"/>
          <w:szCs w:val="24"/>
          <w:lang w:eastAsia="zh-CN"/>
        </w:rPr>
        <w:t>成交人</w:t>
      </w:r>
      <w:r>
        <w:rPr>
          <w:rFonts w:hint="eastAsia" w:ascii="宋体" w:hAnsi="宋体" w:eastAsia="宋体" w:cs="宋体"/>
          <w:bCs/>
          <w:sz w:val="24"/>
          <w:szCs w:val="24"/>
        </w:rPr>
        <w:t>骨干设备，不得大于2跳；自</w:t>
      </w:r>
      <w:r>
        <w:rPr>
          <w:rFonts w:hint="eastAsia" w:ascii="宋体" w:hAnsi="宋体" w:eastAsia="宋体" w:cs="宋体"/>
          <w:bCs/>
          <w:sz w:val="24"/>
          <w:szCs w:val="24"/>
          <w:lang w:eastAsia="zh-CN"/>
        </w:rPr>
        <w:t>成交人</w:t>
      </w:r>
      <w:r>
        <w:rPr>
          <w:rFonts w:hint="eastAsia" w:ascii="宋体" w:hAnsi="宋体" w:eastAsia="宋体" w:cs="宋体"/>
          <w:bCs/>
          <w:sz w:val="24"/>
          <w:szCs w:val="24"/>
        </w:rPr>
        <w:t>核心接入路由设备至国际出口不得大于8跳，延时≤10ms，平均丢包率不得大于0.1%，并满足今后带宽容量升级的需求。需提供证明文件并加盖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pStyle w:val="2"/>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rPr>
        <w:t>9.</w:t>
      </w:r>
      <w:r>
        <w:rPr>
          <w:rFonts w:hint="eastAsia" w:hAnsi="宋体" w:eastAsia="宋体" w:cs="宋体"/>
          <w:bCs/>
          <w:sz w:val="24"/>
          <w:szCs w:val="24"/>
          <w:lang w:eastAsia="zh-CN"/>
        </w:rPr>
        <w:t>成交人</w:t>
      </w:r>
      <w:r>
        <w:rPr>
          <w:rFonts w:hint="eastAsia" w:ascii="宋体" w:hAnsi="宋体" w:eastAsia="宋体" w:cs="宋体"/>
          <w:bCs/>
          <w:sz w:val="24"/>
          <w:szCs w:val="24"/>
        </w:rPr>
        <w:t>需提供安全服务包括但不限于流量清洗、DDOS</w:t>
      </w:r>
      <w:r>
        <w:rPr>
          <w:rFonts w:hint="eastAsia" w:hAnsi="宋体" w:eastAsia="宋体" w:cs="宋体"/>
          <w:bCs/>
          <w:sz w:val="24"/>
          <w:szCs w:val="24"/>
          <w:lang w:eastAsia="zh-CN"/>
        </w:rPr>
        <w:t>、</w:t>
      </w:r>
      <w:r>
        <w:rPr>
          <w:rFonts w:hint="eastAsia" w:ascii="宋体" w:hAnsi="宋体" w:eastAsia="宋体" w:cs="宋体"/>
          <w:color w:val="auto"/>
          <w:sz w:val="24"/>
          <w:szCs w:val="24"/>
        </w:rPr>
        <w:t>域名全防护</w:t>
      </w:r>
      <w:r>
        <w:rPr>
          <w:rFonts w:hint="eastAsia" w:hAnsi="宋体" w:eastAsia="宋体" w:cs="宋体"/>
          <w:color w:val="auto"/>
          <w:sz w:val="24"/>
          <w:szCs w:val="24"/>
          <w:lang w:eastAsia="zh-CN"/>
        </w:rPr>
        <w:t>、</w:t>
      </w:r>
      <w:r>
        <w:rPr>
          <w:rFonts w:hint="eastAsia" w:ascii="宋体" w:hAnsi="宋体" w:eastAsia="宋体" w:cs="宋体"/>
          <w:color w:val="auto"/>
          <w:sz w:val="24"/>
          <w:szCs w:val="24"/>
        </w:rPr>
        <w:t>反钓鱼等专业安全服务</w:t>
      </w:r>
      <w:r>
        <w:rPr>
          <w:rFonts w:hint="eastAsia" w:hAnsi="宋体" w:eastAsia="宋体" w:cs="宋体"/>
          <w:color w:val="auto"/>
          <w:sz w:val="24"/>
          <w:szCs w:val="24"/>
          <w:lang w:eastAsia="zh-CN"/>
        </w:rPr>
        <w:t>、</w:t>
      </w:r>
      <w:r>
        <w:rPr>
          <w:rFonts w:hint="eastAsia" w:ascii="宋体" w:hAnsi="宋体" w:eastAsia="宋体" w:cs="宋体"/>
          <w:color w:val="auto"/>
          <w:sz w:val="24"/>
          <w:szCs w:val="24"/>
        </w:rPr>
        <w:t>可视化监控平台</w:t>
      </w:r>
      <w:r>
        <w:rPr>
          <w:rFonts w:hint="eastAsia" w:ascii="宋体" w:hAnsi="宋体" w:eastAsia="宋体" w:cs="宋体"/>
          <w:bCs/>
          <w:sz w:val="24"/>
          <w:szCs w:val="24"/>
        </w:rPr>
        <w:t>等；</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10．服务：</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在服务周期内负责向采购人提供7×24小时不间断网络接入服务。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（1）应具备7×24小时监控网络运行状态能力；</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（2）向采购人提供互联网情况查询服务</w:t>
      </w:r>
      <w:r>
        <w:rPr>
          <w:rFonts w:hint="eastAsia" w:ascii="宋体" w:hAnsi="宋体" w:eastAsia="宋体" w:cs="宋体"/>
          <w:bCs/>
          <w:sz w:val="24"/>
          <w:szCs w:val="24"/>
          <w:lang w:eastAsia="zh-CN"/>
        </w:rPr>
        <w:t>，</w:t>
      </w:r>
      <w:r>
        <w:rPr>
          <w:rFonts w:hint="eastAsia" w:ascii="宋体" w:hAnsi="宋体" w:eastAsia="宋体" w:cs="宋体"/>
          <w:color w:val="auto"/>
          <w:sz w:val="24"/>
          <w:szCs w:val="24"/>
          <w:lang w:eastAsia="zh-CN"/>
        </w:rPr>
        <w:t>包括但不限于流量、带宽、攻击、漏洞等方面的实时或一定时间范围内的查询功能；</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（3）保证带宽</w:t>
      </w:r>
      <w:r>
        <w:rPr>
          <w:rFonts w:hint="eastAsia" w:ascii="宋体" w:hAnsi="宋体" w:eastAsia="宋体" w:cs="宋体"/>
          <w:bCs/>
          <w:sz w:val="24"/>
          <w:szCs w:val="24"/>
          <w:lang w:eastAsia="zh-CN"/>
        </w:rPr>
        <w:t>成交人</w:t>
      </w:r>
      <w:r>
        <w:rPr>
          <w:rFonts w:hint="eastAsia" w:ascii="宋体" w:hAnsi="宋体" w:eastAsia="宋体" w:cs="宋体"/>
          <w:bCs/>
          <w:sz w:val="24"/>
          <w:szCs w:val="24"/>
        </w:rPr>
        <w:t>网络24小时稳定、可靠地运行，提供故障实时响应，提供技术支持和故障申告联系电话，以及指定联系人名单，提供远程、电话、现场等故障处理服务；</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（4）提供互联网出口的主动预警服务，</w:t>
      </w:r>
      <w:r>
        <w:rPr>
          <w:rFonts w:hint="eastAsia" w:ascii="宋体" w:hAnsi="宋体" w:eastAsia="宋体" w:cs="宋体"/>
          <w:bCs/>
          <w:sz w:val="24"/>
          <w:szCs w:val="24"/>
          <w:lang w:eastAsia="zh-CN"/>
        </w:rPr>
        <w:t>包括但不限于</w:t>
      </w:r>
      <w:r>
        <w:rPr>
          <w:rFonts w:hint="eastAsia" w:ascii="宋体" w:hAnsi="宋体" w:eastAsia="宋体" w:cs="宋体"/>
          <w:color w:val="auto"/>
          <w:sz w:val="24"/>
          <w:szCs w:val="24"/>
        </w:rPr>
        <w:t>预警流程和内容、方式</w:t>
      </w:r>
      <w:r>
        <w:rPr>
          <w:rFonts w:hint="eastAsia" w:ascii="宋体" w:hAnsi="宋体" w:eastAsia="宋体" w:cs="宋体"/>
          <w:color w:val="auto"/>
          <w:sz w:val="24"/>
          <w:szCs w:val="24"/>
          <w:lang w:eastAsia="zh-CN"/>
        </w:rPr>
        <w:t>，</w:t>
      </w:r>
      <w:r>
        <w:rPr>
          <w:rFonts w:hint="eastAsia" w:ascii="宋体" w:hAnsi="宋体" w:eastAsia="宋体" w:cs="宋体"/>
          <w:bCs/>
          <w:sz w:val="24"/>
          <w:szCs w:val="24"/>
        </w:rPr>
        <w:t>故障或计划内网络异常前须向采购人发出提醒服务，年度无故障率和网络连通率高于99.99%；</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11.</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应具备应对突发情况的带宽扩容能力。</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Cs/>
          <w:sz w:val="24"/>
          <w:szCs w:val="24"/>
        </w:rPr>
        <w:t>12.响应：当带宽</w:t>
      </w:r>
      <w:r>
        <w:rPr>
          <w:rFonts w:hint="eastAsia" w:ascii="宋体" w:hAnsi="宋体" w:eastAsia="宋体" w:cs="宋体"/>
          <w:bCs/>
          <w:sz w:val="24"/>
          <w:szCs w:val="24"/>
          <w:lang w:eastAsia="zh-CN"/>
        </w:rPr>
        <w:t>成交人</w:t>
      </w:r>
      <w:r>
        <w:rPr>
          <w:rFonts w:hint="eastAsia" w:ascii="宋体" w:hAnsi="宋体" w:eastAsia="宋体" w:cs="宋体"/>
          <w:bCs/>
          <w:sz w:val="24"/>
          <w:szCs w:val="24"/>
        </w:rPr>
        <w:t>侧网络链路中断持续2分钟以上或有较大质量问题时须在5分钟内通知采购人，在2小时内解决问题；如需现场服务则需在30分钟内到达现场，在2小时内解决问题；问题解决后向采购人提交故障报告。如</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在接到采购人通知后 2小时内没有响应、拒绝或没有派员到达采购人现场提供服务，采购人有权委托第三</w:t>
      </w:r>
      <w:r>
        <w:rPr>
          <w:rFonts w:hint="eastAsia" w:ascii="宋体" w:hAnsi="宋体" w:eastAsia="宋体" w:cs="宋体"/>
          <w:sz w:val="24"/>
          <w:szCs w:val="24"/>
        </w:rPr>
        <w:t>方提供服务，因此产生的相关费用由</w:t>
      </w:r>
      <w:r>
        <w:rPr>
          <w:rFonts w:hint="eastAsia" w:ascii="宋体" w:hAnsi="宋体" w:eastAsia="宋体" w:cs="宋体"/>
          <w:sz w:val="24"/>
          <w:szCs w:val="24"/>
          <w:lang w:eastAsia="zh-CN"/>
        </w:rPr>
        <w:t>成交人</w:t>
      </w:r>
      <w:r>
        <w:rPr>
          <w:rFonts w:hint="eastAsia" w:ascii="宋体" w:hAnsi="宋体" w:eastAsia="宋体" w:cs="宋体"/>
          <w:sz w:val="24"/>
          <w:szCs w:val="24"/>
        </w:rPr>
        <w:t>承担。</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13.其他</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val="0"/>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成交人</w:t>
      </w:r>
      <w:r>
        <w:rPr>
          <w:rFonts w:hint="eastAsia" w:ascii="宋体" w:hAnsi="宋体" w:eastAsia="宋体" w:cs="宋体"/>
          <w:bCs/>
          <w:sz w:val="24"/>
          <w:szCs w:val="24"/>
        </w:rPr>
        <w:t>如发生兼并或重组等事项，应由并购后的主体继续履行互联网接入服务直</w:t>
      </w:r>
      <w:r>
        <w:rPr>
          <w:rFonts w:hint="eastAsia" w:ascii="宋体" w:hAnsi="宋体" w:eastAsia="宋体" w:cs="宋体"/>
          <w:bCs w:val="0"/>
          <w:sz w:val="24"/>
          <w:szCs w:val="24"/>
        </w:rPr>
        <w:t>至服务期完结。</w:t>
      </w:r>
    </w:p>
    <w:p>
      <w:pPr>
        <w:keepNext w:val="0"/>
        <w:keepLines w:val="0"/>
        <w:pageBreakBefore w:val="0"/>
        <w:widowControl w:val="0"/>
        <w:kinsoku/>
        <w:wordWrap/>
        <w:overflowPunct/>
        <w:topLinePunct w:val="0"/>
        <w:bidi w:val="0"/>
        <w:spacing w:line="560" w:lineRule="exact"/>
        <w:ind w:firstLine="480" w:firstLineChars="200"/>
        <w:jc w:val="both"/>
        <w:textAlignment w:val="auto"/>
        <w:rPr>
          <w:rFonts w:hint="eastAsia" w:ascii="宋体" w:hAnsi="宋体" w:eastAsia="宋体" w:cs="宋体"/>
          <w:bCs w:val="0"/>
          <w:sz w:val="24"/>
          <w:szCs w:val="24"/>
        </w:rPr>
      </w:pPr>
      <w:r>
        <w:rPr>
          <w:rFonts w:hint="eastAsia" w:ascii="宋体" w:hAnsi="宋体" w:eastAsia="宋体" w:cs="宋体"/>
          <w:bCs w:val="0"/>
          <w:sz w:val="24"/>
          <w:szCs w:val="24"/>
        </w:rPr>
        <w:t>（2）未经采购人事先书面同意，</w:t>
      </w:r>
      <w:r>
        <w:rPr>
          <w:rFonts w:hint="eastAsia" w:ascii="宋体" w:hAnsi="宋体" w:eastAsia="宋体" w:cs="宋体"/>
          <w:bCs w:val="0"/>
          <w:sz w:val="24"/>
          <w:szCs w:val="24"/>
          <w:lang w:eastAsia="zh-CN"/>
        </w:rPr>
        <w:t>成交人</w:t>
      </w:r>
      <w:r>
        <w:rPr>
          <w:rFonts w:hint="eastAsia" w:ascii="宋体" w:hAnsi="宋体" w:eastAsia="宋体" w:cs="宋体"/>
          <w:bCs w:val="0"/>
          <w:sz w:val="24"/>
          <w:szCs w:val="24"/>
        </w:rPr>
        <w:t>不得部分或全部转让其应履行的合同义务。</w:t>
      </w:r>
    </w:p>
    <w:p>
      <w:pPr>
        <w:spacing w:line="560" w:lineRule="exact"/>
        <w:ind w:firstLine="482" w:firstLineChars="200"/>
        <w:outlineLvl w:val="1"/>
        <w:rPr>
          <w:rFonts w:hint="eastAsia"/>
        </w:rPr>
      </w:pPr>
      <w:r>
        <w:rPr>
          <w:rFonts w:hint="eastAsia" w:ascii="宋体" w:hAnsi="宋体" w:eastAsia="宋体" w:cs="宋体"/>
          <w:b/>
          <w:sz w:val="24"/>
          <w:szCs w:val="24"/>
        </w:rPr>
        <w:t>第二包：副中心行政办公区A区、B区、C区和建国门内大街13号院桌面互联网接入服务</w:t>
      </w:r>
    </w:p>
    <w:p>
      <w:pPr>
        <w:spacing w:line="560" w:lineRule="exact"/>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采购</w:t>
      </w:r>
      <w:r>
        <w:rPr>
          <w:rFonts w:hint="eastAsia" w:ascii="宋体" w:hAnsi="宋体" w:eastAsia="宋体" w:cs="宋体"/>
          <w:b/>
          <w:sz w:val="24"/>
          <w:szCs w:val="24"/>
          <w:lang w:eastAsia="zh-CN"/>
        </w:rPr>
        <w:t>标的</w:t>
      </w:r>
    </w:p>
    <w:tbl>
      <w:tblPr>
        <w:tblStyle w:val="42"/>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43"/>
        <w:gridCol w:w="2450"/>
        <w:gridCol w:w="224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43" w:type="dxa"/>
            <w:noWrap w:val="0"/>
            <w:vAlign w:val="top"/>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项目包号</w:t>
            </w:r>
          </w:p>
        </w:tc>
        <w:tc>
          <w:tcPr>
            <w:tcW w:w="245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货物或服务名称</w:t>
            </w:r>
          </w:p>
        </w:tc>
        <w:tc>
          <w:tcPr>
            <w:tcW w:w="2240"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数量及单位</w:t>
            </w:r>
          </w:p>
        </w:tc>
        <w:tc>
          <w:tcPr>
            <w:tcW w:w="1403" w:type="dxa"/>
            <w:noWrap w:val="0"/>
            <w:vAlign w:val="center"/>
          </w:tcPr>
          <w:p>
            <w:pPr>
              <w:spacing w:line="36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noWrap w:val="0"/>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43"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第二包</w:t>
            </w:r>
          </w:p>
        </w:tc>
        <w:tc>
          <w:tcPr>
            <w:tcW w:w="2450" w:type="dxa"/>
            <w:noWrap w:val="0"/>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副中心行政办公区A区、B区、C区和建国门内大街13号院桌面互联网接入服务</w:t>
            </w:r>
          </w:p>
        </w:tc>
        <w:tc>
          <w:tcPr>
            <w:tcW w:w="2240"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有线互联网专线4.9G</w:t>
            </w:r>
            <w:r>
              <w:rPr>
                <w:rFonts w:hint="eastAsia" w:ascii="宋体" w:hAnsi="宋体" w:eastAsia="宋体" w:cs="宋体"/>
                <w:bCs/>
                <w:sz w:val="24"/>
                <w:szCs w:val="24"/>
              </w:rPr>
              <w:t>一条带宽服务</w:t>
            </w:r>
          </w:p>
        </w:tc>
        <w:tc>
          <w:tcPr>
            <w:tcW w:w="1403" w:type="dxa"/>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bCs/>
                <w:sz w:val="24"/>
                <w:szCs w:val="24"/>
              </w:rPr>
              <w:t>110万</w:t>
            </w:r>
            <w:r>
              <w:rPr>
                <w:rFonts w:hint="eastAsia" w:ascii="宋体" w:hAnsi="宋体" w:eastAsia="宋体" w:cs="宋体"/>
                <w:sz w:val="24"/>
                <w:szCs w:val="24"/>
              </w:rPr>
              <w:t>元</w:t>
            </w:r>
          </w:p>
        </w:tc>
      </w:tr>
    </w:tbl>
    <w:p>
      <w:pPr>
        <w:numPr>
          <w:ilvl w:val="0"/>
          <w:numId w:val="0"/>
        </w:numPr>
        <w:spacing w:line="560" w:lineRule="exact"/>
        <w:outlineLvl w:val="1"/>
        <w:rPr>
          <w:rFonts w:hint="eastAsia" w:ascii="宋体" w:hAnsi="宋体" w:eastAsia="宋体" w:cs="宋体"/>
          <w:b/>
          <w:sz w:val="24"/>
          <w:lang w:eastAsia="zh-CN"/>
        </w:rPr>
      </w:pPr>
      <w:r>
        <w:rPr>
          <w:rFonts w:hint="eastAsia" w:ascii="宋体" w:hAnsi="宋体" w:eastAsia="宋体" w:cs="宋体"/>
          <w:b/>
          <w:sz w:val="24"/>
          <w:lang w:val="en-US" w:eastAsia="zh-CN"/>
        </w:rPr>
        <w:t xml:space="preserve">    </w:t>
      </w:r>
      <w:r>
        <w:rPr>
          <w:rFonts w:hint="eastAsia" w:ascii="宋体" w:hAnsi="宋体" w:eastAsia="宋体" w:cs="宋体"/>
          <w:b/>
          <w:sz w:val="24"/>
          <w:lang w:eastAsia="zh-CN"/>
        </w:rPr>
        <w:t>二、商务要求</w:t>
      </w:r>
    </w:p>
    <w:p>
      <w:pPr>
        <w:spacing w:line="560" w:lineRule="exact"/>
        <w:ind w:firstLine="480" w:firstLineChars="200"/>
        <w:outlineLvl w:val="1"/>
        <w:rPr>
          <w:rFonts w:hint="eastAsia" w:ascii="宋体" w:hAnsi="宋体" w:eastAsia="宋体" w:cs="宋体"/>
          <w:b w:val="0"/>
          <w:sz w:val="24"/>
          <w:szCs w:val="24"/>
        </w:rPr>
      </w:pPr>
      <w:r>
        <w:rPr>
          <w:rFonts w:hint="eastAsia" w:ascii="宋体" w:hAnsi="宋体" w:eastAsia="宋体" w:cs="宋体"/>
          <w:sz w:val="24"/>
          <w:szCs w:val="24"/>
          <w:lang w:val="en-US" w:eastAsia="zh-CN"/>
        </w:rPr>
        <w:t>(一)交付时间</w:t>
      </w:r>
      <w:r>
        <w:rPr>
          <w:rFonts w:hint="eastAsia" w:ascii="宋体" w:hAnsi="宋体" w:eastAsia="宋体" w:cs="宋体"/>
          <w:b w:val="0"/>
          <w:sz w:val="24"/>
          <w:szCs w:val="24"/>
        </w:rPr>
        <w:t>及地点（服务期限）</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1.交付时间：</w:t>
      </w:r>
    </w:p>
    <w:p>
      <w:pPr>
        <w:spacing w:line="5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互联网接入服务期：</w:t>
      </w:r>
      <w:r>
        <w:rPr>
          <w:rFonts w:hint="eastAsia" w:ascii="宋体" w:hAnsi="宋体" w:eastAsia="宋体" w:cs="宋体"/>
          <w:bCs/>
          <w:sz w:val="24"/>
          <w:szCs w:val="24"/>
        </w:rPr>
        <w:t>2026年1月1日至2026年 12月31日。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2.交付</w:t>
      </w:r>
      <w:r>
        <w:rPr>
          <w:rFonts w:hint="eastAsia" w:ascii="宋体" w:hAnsi="宋体" w:eastAsia="宋体" w:cs="宋体"/>
          <w:sz w:val="24"/>
          <w:szCs w:val="24"/>
        </w:rPr>
        <w:t>地点：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服务地点：北京市通州区达济街5号院</w:t>
      </w:r>
    </w:p>
    <w:p>
      <w:pPr>
        <w:pStyle w:val="2"/>
        <w:numPr>
          <w:ilvl w:val="0"/>
          <w:numId w:val="0"/>
        </w:numPr>
        <w:spacing w:line="560" w:lineRule="exact"/>
        <w:ind w:firstLine="0"/>
        <w:rPr>
          <w:rFonts w:hint="eastAsia" w:hAnsi="宋体" w:eastAsia="宋体" w:cs="宋体"/>
          <w:sz w:val="24"/>
          <w:szCs w:val="24"/>
          <w:lang w:val="en-US" w:eastAsia="zh-CN"/>
        </w:rPr>
      </w:pPr>
      <w:r>
        <w:rPr>
          <w:rFonts w:hint="eastAsia" w:hAnsi="宋体" w:eastAsia="宋体" w:cs="宋体"/>
          <w:sz w:val="24"/>
          <w:szCs w:val="24"/>
          <w:lang w:val="en-US" w:eastAsia="zh-CN"/>
        </w:rPr>
        <w:t xml:space="preserve">    </w:t>
      </w:r>
      <w:r>
        <w:rPr>
          <w:rFonts w:hint="eastAsia" w:ascii="宋体" w:hAnsi="宋体" w:eastAsia="宋体" w:cs="宋体"/>
          <w:sz w:val="24"/>
          <w:szCs w:val="24"/>
          <w:lang w:val="en-US" w:eastAsia="zh-CN"/>
        </w:rPr>
        <w:t>(</w:t>
      </w:r>
      <w:r>
        <w:rPr>
          <w:rFonts w:hint="eastAsia" w:hAnsi="宋体" w:eastAsia="宋体" w:cs="宋体"/>
          <w:sz w:val="24"/>
          <w:szCs w:val="24"/>
          <w:lang w:val="en-US" w:eastAsia="zh-CN"/>
        </w:rPr>
        <w:t>二</w:t>
      </w:r>
      <w:r>
        <w:rPr>
          <w:rFonts w:hint="eastAsia" w:ascii="宋体" w:hAnsi="宋体" w:eastAsia="宋体" w:cs="宋体"/>
          <w:sz w:val="24"/>
          <w:szCs w:val="24"/>
          <w:lang w:val="en-US" w:eastAsia="zh-CN"/>
        </w:rPr>
        <w:t>)</w:t>
      </w:r>
      <w:r>
        <w:rPr>
          <w:rFonts w:hint="eastAsia" w:hAnsi="宋体" w:eastAsia="宋体" w:cs="宋体"/>
          <w:sz w:val="24"/>
          <w:szCs w:val="24"/>
          <w:lang w:val="en-US" w:eastAsia="zh-CN"/>
        </w:rPr>
        <w:t>付款条件</w:t>
      </w:r>
    </w:p>
    <w:p>
      <w:pPr>
        <w:spacing w:line="56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本合同服务费实行：对公转账支付方式。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支付方式：</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第一次支付50％。支付时间：合同签订后，采购人在收到成交人开具的符合采购人要求的</w:t>
      </w:r>
      <w:r>
        <w:rPr>
          <w:rFonts w:hint="eastAsia" w:ascii="宋体" w:hAnsi="宋体" w:eastAsia="宋体" w:cs="宋体"/>
          <w:sz w:val="24"/>
          <w:szCs w:val="24"/>
          <w:lang w:eastAsia="zh-CN"/>
        </w:rPr>
        <w:t>等额</w:t>
      </w:r>
      <w:r>
        <w:rPr>
          <w:rFonts w:hint="eastAsia" w:ascii="宋体" w:hAnsi="宋体" w:eastAsia="宋体" w:cs="宋体"/>
          <w:sz w:val="24"/>
          <w:szCs w:val="24"/>
        </w:rPr>
        <w:t>合法有效发票后10个工作日内支付；</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第二次支付50％。支付时间：合同执行结束后，成交人在正常履行合同且未影响采购人业务正常开展的情况下，采购人在收到成交人开具的符合采购人要求的</w:t>
      </w:r>
      <w:r>
        <w:rPr>
          <w:rFonts w:hint="eastAsia" w:ascii="宋体" w:hAnsi="宋体" w:eastAsia="宋体" w:cs="宋体"/>
          <w:sz w:val="24"/>
          <w:szCs w:val="24"/>
          <w:lang w:eastAsia="zh-CN"/>
        </w:rPr>
        <w:t>等额</w:t>
      </w:r>
      <w:r>
        <w:rPr>
          <w:rFonts w:hint="eastAsia" w:ascii="宋体" w:hAnsi="宋体" w:eastAsia="宋体" w:cs="宋体"/>
          <w:sz w:val="24"/>
          <w:szCs w:val="24"/>
        </w:rPr>
        <w:t>合法有效发票后10个工作日内支付。</w:t>
      </w:r>
    </w:p>
    <w:p>
      <w:pPr>
        <w:pStyle w:val="17"/>
        <w:spacing w:after="0" w:line="560" w:lineRule="exact"/>
        <w:ind w:firstLine="480" w:firstLineChars="200"/>
        <w:rPr>
          <w:rFonts w:hint="eastAsia" w:ascii="宋体" w:hAnsi="宋体" w:eastAsia="宋体" w:cs="宋体"/>
          <w:sz w:val="24"/>
          <w:szCs w:val="24"/>
        </w:rPr>
      </w:pPr>
      <w:r>
        <w:rPr>
          <w:rFonts w:hint="eastAsia" w:eastAsia="宋体" w:cs="宋体"/>
          <w:sz w:val="24"/>
          <w:szCs w:val="24"/>
          <w:lang w:val="en-US" w:eastAsia="zh-CN"/>
        </w:rPr>
        <w:t>3.</w:t>
      </w:r>
      <w:r>
        <w:rPr>
          <w:rFonts w:hint="eastAsia" w:ascii="宋体" w:hAnsi="宋体" w:eastAsia="宋体" w:cs="宋体"/>
          <w:sz w:val="24"/>
          <w:szCs w:val="24"/>
        </w:rPr>
        <w:t>若成交人未按照要求提供等额、合法、有效发票的，</w:t>
      </w:r>
      <w:r>
        <w:rPr>
          <w:rFonts w:hint="eastAsia" w:ascii="宋体" w:hAnsi="宋体" w:eastAsia="宋体" w:cs="宋体"/>
          <w:sz w:val="24"/>
          <w:szCs w:val="24"/>
          <w:lang w:eastAsia="zh-CN"/>
        </w:rPr>
        <w:t>采购人</w:t>
      </w:r>
      <w:r>
        <w:rPr>
          <w:rFonts w:hint="eastAsia" w:ascii="宋体" w:hAnsi="宋体" w:eastAsia="宋体" w:cs="宋体"/>
          <w:sz w:val="24"/>
          <w:szCs w:val="24"/>
        </w:rPr>
        <w:t>有权拒绝支付相应款项且不</w:t>
      </w:r>
      <w:r>
        <w:rPr>
          <w:rFonts w:hint="eastAsia" w:ascii="宋体" w:hAnsi="宋体" w:eastAsia="宋体" w:cs="宋体"/>
          <w:color w:val="auto"/>
          <w:sz w:val="24"/>
          <w:szCs w:val="24"/>
          <w:lang w:val="en-US" w:eastAsia="zh-CN"/>
        </w:rPr>
        <w:t>承担任何责任</w:t>
      </w:r>
      <w:r>
        <w:rPr>
          <w:rFonts w:hint="eastAsia" w:ascii="宋体" w:hAnsi="宋体" w:eastAsia="宋体" w:cs="宋体"/>
          <w:sz w:val="24"/>
          <w:szCs w:val="24"/>
        </w:rPr>
        <w:t>。</w:t>
      </w:r>
    </w:p>
    <w:p>
      <w:pPr>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支付款项在按实施进度完成且财政资金拨付到位后,</w:t>
      </w:r>
      <w:r>
        <w:rPr>
          <w:rFonts w:hint="eastAsia" w:ascii="宋体" w:hAnsi="宋体" w:eastAsia="宋体" w:cs="宋体"/>
          <w:sz w:val="24"/>
          <w:szCs w:val="24"/>
          <w:lang w:eastAsia="zh-CN"/>
        </w:rPr>
        <w:t>采购人</w:t>
      </w:r>
      <w:r>
        <w:rPr>
          <w:rFonts w:hint="eastAsia" w:ascii="宋体" w:hAnsi="宋体" w:eastAsia="宋体" w:cs="宋体"/>
          <w:sz w:val="24"/>
          <w:szCs w:val="24"/>
        </w:rPr>
        <w:t>予以支付。如</w:t>
      </w:r>
      <w:r>
        <w:rPr>
          <w:rFonts w:hint="eastAsia" w:ascii="宋体" w:hAnsi="宋体" w:eastAsia="宋体" w:cs="宋体"/>
          <w:sz w:val="24"/>
          <w:szCs w:val="24"/>
          <w:lang w:eastAsia="zh-CN"/>
        </w:rPr>
        <w:t>采购人</w:t>
      </w:r>
      <w:r>
        <w:rPr>
          <w:rFonts w:hint="eastAsia" w:ascii="宋体" w:hAnsi="宋体" w:eastAsia="宋体" w:cs="宋体"/>
          <w:sz w:val="24"/>
          <w:szCs w:val="24"/>
        </w:rPr>
        <w:t>因财政性资金拨付等原因延迟履行付款义务的,不视为</w:t>
      </w:r>
      <w:r>
        <w:rPr>
          <w:rFonts w:hint="eastAsia" w:ascii="宋体" w:hAnsi="宋体" w:eastAsia="宋体" w:cs="宋体"/>
          <w:sz w:val="24"/>
          <w:szCs w:val="24"/>
          <w:lang w:eastAsia="zh-CN"/>
        </w:rPr>
        <w:t>采购人</w:t>
      </w:r>
      <w:r>
        <w:rPr>
          <w:rFonts w:hint="eastAsia" w:ascii="宋体" w:hAnsi="宋体" w:eastAsia="宋体" w:cs="宋体"/>
          <w:sz w:val="24"/>
          <w:szCs w:val="24"/>
        </w:rPr>
        <w:t>违约。如果成交人的开户银行或账号发生变更,应在本合同规定的相关付款期限前</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个工作日,以书面的形式通知</w:t>
      </w:r>
      <w:r>
        <w:rPr>
          <w:rFonts w:hint="eastAsia" w:ascii="宋体" w:hAnsi="宋体" w:eastAsia="宋体" w:cs="宋体"/>
          <w:sz w:val="24"/>
          <w:szCs w:val="24"/>
          <w:lang w:eastAsia="zh-CN"/>
        </w:rPr>
        <w:t>采购人</w:t>
      </w:r>
      <w:r>
        <w:rPr>
          <w:rFonts w:hint="eastAsia" w:ascii="宋体" w:hAnsi="宋体" w:eastAsia="宋体" w:cs="宋体"/>
          <w:sz w:val="24"/>
          <w:szCs w:val="24"/>
        </w:rPr>
        <w:t>此种变更。如因成交人未及时通知或通知有误而影响</w:t>
      </w:r>
      <w:r>
        <w:rPr>
          <w:rFonts w:hint="eastAsia" w:ascii="宋体" w:hAnsi="宋体" w:eastAsia="宋体" w:cs="宋体"/>
          <w:sz w:val="24"/>
          <w:szCs w:val="24"/>
          <w:lang w:val="en-US" w:eastAsia="zh-CN"/>
        </w:rPr>
        <w:t>采购人</w:t>
      </w:r>
      <w:r>
        <w:rPr>
          <w:rFonts w:hint="eastAsia" w:ascii="宋体" w:hAnsi="宋体" w:eastAsia="宋体" w:cs="宋体"/>
          <w:sz w:val="24"/>
          <w:szCs w:val="24"/>
        </w:rPr>
        <w:t>支付本合同款项,</w:t>
      </w:r>
      <w:r>
        <w:rPr>
          <w:rFonts w:hint="eastAsia" w:ascii="宋体" w:hAnsi="宋体" w:eastAsia="宋体" w:cs="宋体"/>
          <w:sz w:val="24"/>
          <w:szCs w:val="24"/>
          <w:lang w:eastAsia="zh-CN"/>
        </w:rPr>
        <w:t>采购人</w:t>
      </w:r>
      <w:r>
        <w:rPr>
          <w:rFonts w:hint="eastAsia" w:ascii="宋体" w:hAnsi="宋体" w:eastAsia="宋体" w:cs="宋体"/>
          <w:sz w:val="24"/>
          <w:szCs w:val="24"/>
        </w:rPr>
        <w:t>将不承担逾期付款的任何责任。</w:t>
      </w:r>
    </w:p>
    <w:p>
      <w:pPr>
        <w:snapToGrid w:val="0"/>
        <w:spacing w:line="560" w:lineRule="exact"/>
        <w:ind w:firstLine="480" w:firstLineChars="200"/>
        <w:rPr>
          <w:rFonts w:hint="default"/>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本项目为市财政资金拨付项目,成交人充分理解并承诺资金若不能及时到位,自身的资金保证能力可以保证该项目的进度和质量。成交人应按照约定履行合同义务,不以</w:t>
      </w:r>
      <w:r>
        <w:rPr>
          <w:rFonts w:hint="eastAsia" w:ascii="宋体" w:hAnsi="宋体" w:eastAsia="宋体" w:cs="宋体"/>
          <w:sz w:val="24"/>
          <w:szCs w:val="24"/>
          <w:lang w:eastAsia="zh-CN"/>
        </w:rPr>
        <w:t>采购人</w:t>
      </w:r>
      <w:r>
        <w:rPr>
          <w:rFonts w:hint="eastAsia" w:ascii="宋体" w:hAnsi="宋体" w:eastAsia="宋体" w:cs="宋体"/>
          <w:sz w:val="24"/>
          <w:szCs w:val="24"/>
        </w:rPr>
        <w:t>付款作为供货或提供服务的前提或不得以</w:t>
      </w:r>
      <w:r>
        <w:rPr>
          <w:rFonts w:hint="eastAsia" w:ascii="宋体" w:hAnsi="宋体" w:eastAsia="宋体" w:cs="宋体"/>
          <w:sz w:val="24"/>
          <w:szCs w:val="24"/>
          <w:lang w:eastAsia="zh-CN"/>
        </w:rPr>
        <w:t>采购人</w:t>
      </w:r>
      <w:r>
        <w:rPr>
          <w:rFonts w:hint="eastAsia" w:ascii="宋体" w:hAnsi="宋体" w:eastAsia="宋体" w:cs="宋体"/>
          <w:sz w:val="24"/>
          <w:szCs w:val="24"/>
        </w:rPr>
        <w:t>未按时足额付款作为拒绝供货或拒绝提供服务的抗辩理由。</w:t>
      </w:r>
    </w:p>
    <w:p>
      <w:pPr>
        <w:spacing w:line="560" w:lineRule="exact"/>
        <w:ind w:firstLine="480" w:firstLineChars="200"/>
        <w:rPr>
          <w:rFonts w:hint="eastAsia" w:ascii="宋体" w:hAnsi="宋体" w:eastAsia="宋体" w:cs="宋体"/>
          <w:b w:val="0"/>
          <w:sz w:val="24"/>
          <w:szCs w:val="24"/>
        </w:rPr>
      </w:pPr>
      <w:r>
        <w:rPr>
          <w:rFonts w:hint="eastAsia" w:ascii="宋体" w:hAnsi="宋体" w:eastAsia="宋体" w:cs="宋体"/>
          <w:sz w:val="24"/>
          <w:szCs w:val="24"/>
          <w:lang w:val="en-US" w:eastAsia="zh-CN"/>
        </w:rPr>
        <w:t>(三)</w:t>
      </w:r>
      <w:r>
        <w:rPr>
          <w:rFonts w:hint="eastAsia" w:ascii="宋体" w:hAnsi="宋体" w:eastAsia="宋体" w:cs="宋体"/>
          <w:b w:val="0"/>
          <w:sz w:val="24"/>
          <w:szCs w:val="24"/>
        </w:rPr>
        <w:t>售后服务及培训要求</w:t>
      </w:r>
    </w:p>
    <w:p>
      <w:pPr>
        <w:numPr>
          <w:ilvl w:val="0"/>
          <w:numId w:val="0"/>
        </w:numPr>
        <w:spacing w:line="560" w:lineRule="exact"/>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成交人</w:t>
      </w:r>
      <w:r>
        <w:rPr>
          <w:rFonts w:hint="eastAsia" w:ascii="宋体" w:hAnsi="宋体" w:eastAsia="宋体" w:cs="宋体"/>
          <w:sz w:val="24"/>
          <w:szCs w:val="24"/>
        </w:rPr>
        <w:t>须提供行政办公区互联网带宽售后服务，至少包含3名技术服务人员，至少具备3年相关行业服务经验。</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本项目成交后于租赁期开始前，在北京市通州区内设立7</w:t>
      </w:r>
      <w:r>
        <w:rPr>
          <w:rFonts w:hint="eastAsia" w:ascii="宋体" w:hAnsi="宋体" w:eastAsia="宋体" w:cs="宋体"/>
          <w:bCs/>
          <w:sz w:val="24"/>
          <w:szCs w:val="24"/>
        </w:rPr>
        <w:t>×</w:t>
      </w:r>
      <w:r>
        <w:rPr>
          <w:rFonts w:hint="eastAsia" w:ascii="宋体" w:hAnsi="宋体" w:eastAsia="宋体" w:cs="宋体"/>
          <w:sz w:val="24"/>
          <w:szCs w:val="24"/>
        </w:rPr>
        <w:t>24小时网络监控中心。</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根据采购人需求安排1名及以上网络技术人员提供现场5</w:t>
      </w:r>
      <w:r>
        <w:rPr>
          <w:rFonts w:hint="eastAsia" w:ascii="宋体" w:hAnsi="宋体" w:eastAsia="宋体" w:cs="宋体"/>
          <w:bCs/>
          <w:sz w:val="24"/>
          <w:szCs w:val="24"/>
        </w:rPr>
        <w:t>×</w:t>
      </w:r>
      <w:r>
        <w:rPr>
          <w:rFonts w:hint="eastAsia" w:ascii="宋体" w:hAnsi="宋体" w:eastAsia="宋体" w:cs="宋体"/>
          <w:sz w:val="24"/>
          <w:szCs w:val="24"/>
        </w:rPr>
        <w:t>8小时驻场服务及重保期间驻场服务。</w:t>
      </w:r>
    </w:p>
    <w:p>
      <w:pPr>
        <w:spacing w:line="560" w:lineRule="exact"/>
        <w:ind w:firstLine="480" w:firstLineChars="200"/>
        <w:outlineLvl w:val="9"/>
        <w:rPr>
          <w:rFonts w:hint="eastAsia" w:ascii="宋体" w:hAnsi="宋体" w:eastAsia="宋体" w:cs="宋体"/>
          <w:b/>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成交人</w:t>
      </w:r>
      <w:r>
        <w:rPr>
          <w:rFonts w:hint="eastAsia" w:ascii="宋体" w:hAnsi="宋体" w:eastAsia="宋体" w:cs="宋体"/>
          <w:sz w:val="24"/>
          <w:szCs w:val="24"/>
        </w:rPr>
        <w:t>须提供本项目涉及到的互联网出口设备的厂商培训，服务期内培训不低于2天。</w:t>
      </w:r>
    </w:p>
    <w:p>
      <w:pPr>
        <w:spacing w:line="560" w:lineRule="exact"/>
        <w:ind w:firstLine="480" w:firstLineChars="200"/>
        <w:outlineLvl w:val="9"/>
        <w:rPr>
          <w:rFonts w:hint="eastAsia" w:ascii="宋体" w:hAnsi="宋体" w:eastAsia="宋体" w:cs="宋体"/>
          <w:b w:val="0"/>
          <w:sz w:val="24"/>
          <w:szCs w:val="24"/>
        </w:rPr>
      </w:pPr>
      <w:r>
        <w:rPr>
          <w:rFonts w:hint="eastAsia" w:ascii="宋体" w:hAnsi="宋体" w:eastAsia="宋体" w:cs="宋体"/>
          <w:sz w:val="24"/>
          <w:szCs w:val="24"/>
          <w:lang w:val="en-US" w:eastAsia="zh-CN"/>
        </w:rPr>
        <w:t>(四)</w:t>
      </w:r>
      <w:r>
        <w:rPr>
          <w:rFonts w:hint="eastAsia" w:ascii="宋体" w:hAnsi="宋体" w:eastAsia="宋体" w:cs="宋体"/>
          <w:b w:val="0"/>
          <w:sz w:val="24"/>
          <w:szCs w:val="24"/>
        </w:rPr>
        <w:t>其他相关要求</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成交人</w:t>
      </w:r>
      <w:r>
        <w:rPr>
          <w:rFonts w:hint="eastAsia" w:ascii="宋体" w:hAnsi="宋体" w:eastAsia="宋体" w:cs="宋体"/>
          <w:sz w:val="24"/>
          <w:szCs w:val="24"/>
        </w:rPr>
        <w:t>保证正常履行合同且不得影响采购人业务正常开展，负责专线接入的日常维护，采购人在使用时如发现故障（非采购人用户终端设备故障）可向</w:t>
      </w:r>
      <w:r>
        <w:rPr>
          <w:rFonts w:hint="eastAsia" w:ascii="宋体" w:hAnsi="宋体" w:eastAsia="宋体" w:cs="宋体"/>
          <w:sz w:val="24"/>
          <w:szCs w:val="24"/>
          <w:lang w:eastAsia="zh-CN"/>
        </w:rPr>
        <w:t>成交人</w:t>
      </w:r>
      <w:r>
        <w:rPr>
          <w:rFonts w:hint="eastAsia" w:ascii="宋体" w:hAnsi="宋体" w:eastAsia="宋体" w:cs="宋体"/>
          <w:sz w:val="24"/>
          <w:szCs w:val="24"/>
        </w:rPr>
        <w:t>申告。故障时间计算以</w:t>
      </w:r>
      <w:r>
        <w:rPr>
          <w:rFonts w:hint="eastAsia" w:ascii="宋体" w:hAnsi="宋体" w:eastAsia="宋体" w:cs="宋体"/>
          <w:sz w:val="24"/>
          <w:szCs w:val="24"/>
          <w:lang w:eastAsia="zh-CN"/>
        </w:rPr>
        <w:t>成交人</w:t>
      </w:r>
      <w:r>
        <w:rPr>
          <w:rFonts w:hint="eastAsia" w:ascii="宋体" w:hAnsi="宋体" w:eastAsia="宋体" w:cs="宋体"/>
          <w:sz w:val="24"/>
          <w:szCs w:val="24"/>
        </w:rPr>
        <w:t>收到采购人的书面申告材料或采购人电话告知为始，以采购人收到</w:t>
      </w:r>
      <w:r>
        <w:rPr>
          <w:rFonts w:hint="eastAsia" w:ascii="宋体" w:hAnsi="宋体" w:eastAsia="宋体" w:cs="宋体"/>
          <w:sz w:val="24"/>
          <w:szCs w:val="24"/>
          <w:lang w:eastAsia="zh-CN"/>
        </w:rPr>
        <w:t>成交人</w:t>
      </w:r>
      <w:r>
        <w:rPr>
          <w:rFonts w:hint="eastAsia" w:ascii="宋体" w:hAnsi="宋体" w:eastAsia="宋体" w:cs="宋体"/>
          <w:sz w:val="24"/>
          <w:szCs w:val="24"/>
        </w:rPr>
        <w:t>的恢复通知为止。故障分下列三种情况：</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计划中断超时：计划中断超出24小时部分累计满1天，</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按日信息服务费和链路费日金额予以核减，核减金额在支付剩余50%的尾款中扣除。</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非计划中断：无提前通知的线路中断为非计划中断。非计划中断每月断线超过2次或每次恢复时间超过6小时，经核实确定，故障确实发生在</w:t>
      </w:r>
      <w:r>
        <w:rPr>
          <w:rFonts w:hint="eastAsia" w:ascii="宋体" w:hAnsi="宋体" w:eastAsia="宋体" w:cs="宋体"/>
          <w:sz w:val="24"/>
          <w:szCs w:val="24"/>
          <w:lang w:eastAsia="zh-CN"/>
        </w:rPr>
        <w:t>成交人</w:t>
      </w:r>
      <w:r>
        <w:rPr>
          <w:rFonts w:hint="eastAsia" w:ascii="宋体" w:hAnsi="宋体" w:eastAsia="宋体" w:cs="宋体"/>
          <w:sz w:val="24"/>
          <w:szCs w:val="24"/>
        </w:rPr>
        <w:t>所负责的责任范围内，</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按日信息服务费和链路费日金额双倍予以采购人核减，核减金额在支付剩余50%的尾款中扣除。</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速率过低：接入速率以连接到国内Internet骨干的速率为基准，连接速率在</w:t>
      </w:r>
      <w:r>
        <w:rPr>
          <w:rFonts w:hint="eastAsia" w:ascii="宋体" w:hAnsi="宋体" w:eastAsia="宋体" w:cs="宋体"/>
          <w:sz w:val="24"/>
          <w:szCs w:val="24"/>
          <w:lang w:eastAsia="zh-CN"/>
        </w:rPr>
        <w:t>成交人</w:t>
      </w:r>
      <w:r>
        <w:rPr>
          <w:rFonts w:hint="eastAsia" w:ascii="宋体" w:hAnsi="宋体" w:eastAsia="宋体" w:cs="宋体"/>
          <w:sz w:val="24"/>
          <w:szCs w:val="24"/>
        </w:rPr>
        <w:t>提供的路线接入速率的60%以下为速率过低。</w:t>
      </w:r>
      <w:r>
        <w:rPr>
          <w:rFonts w:hint="eastAsia" w:ascii="宋体" w:hAnsi="宋体" w:eastAsia="宋体" w:cs="宋体"/>
          <w:sz w:val="24"/>
          <w:szCs w:val="24"/>
          <w:lang w:eastAsia="zh-CN"/>
        </w:rPr>
        <w:t>成交人</w:t>
      </w:r>
      <w:r>
        <w:rPr>
          <w:rFonts w:hint="eastAsia" w:ascii="宋体" w:hAnsi="宋体" w:eastAsia="宋体" w:cs="宋体"/>
          <w:sz w:val="24"/>
          <w:szCs w:val="24"/>
        </w:rPr>
        <w:t>对专线速率基本保证上限，最低保证下限，低于下限速率为速率过低。</w:t>
      </w:r>
      <w:r>
        <w:rPr>
          <w:rFonts w:hint="eastAsia" w:ascii="宋体" w:hAnsi="宋体" w:eastAsia="宋体" w:cs="宋体"/>
          <w:sz w:val="24"/>
          <w:szCs w:val="24"/>
          <w:lang w:eastAsia="zh-CN"/>
        </w:rPr>
        <w:t>成交人</w:t>
      </w:r>
      <w:r>
        <w:rPr>
          <w:rFonts w:hint="eastAsia" w:ascii="宋体" w:hAnsi="宋体" w:eastAsia="宋体" w:cs="宋体"/>
          <w:sz w:val="24"/>
          <w:szCs w:val="24"/>
        </w:rPr>
        <w:t>接到采购人书面申告材料后3小时内使采购人速率趋于正常，超出3小时部分累计每超过一天，</w:t>
      </w:r>
      <w:r>
        <w:rPr>
          <w:rFonts w:hint="eastAsia" w:ascii="宋体" w:hAnsi="宋体" w:eastAsia="宋体" w:cs="宋体"/>
          <w:sz w:val="24"/>
          <w:szCs w:val="24"/>
          <w:lang w:eastAsia="zh-CN"/>
        </w:rPr>
        <w:t>成交人</w:t>
      </w:r>
      <w:r>
        <w:rPr>
          <w:rFonts w:hint="eastAsia" w:ascii="宋体" w:hAnsi="宋体" w:eastAsia="宋体" w:cs="宋体"/>
          <w:sz w:val="24"/>
          <w:szCs w:val="24"/>
        </w:rPr>
        <w:t>按日信息服务费和链路费日金额予以核减，核减金额在支付剩余50%的尾款中扣除。</w:t>
      </w:r>
    </w:p>
    <w:p>
      <w:pPr>
        <w:numPr>
          <w:ilvl w:val="0"/>
          <w:numId w:val="0"/>
        </w:numPr>
        <w:spacing w:line="560" w:lineRule="exact"/>
        <w:ind w:firstLine="481" w:firstLineChars="0"/>
        <w:outlineLvl w:val="1"/>
        <w:rPr>
          <w:rFonts w:hint="eastAsia" w:ascii="宋体" w:hAnsi="宋体" w:eastAsia="宋体" w:cs="宋体"/>
          <w:b/>
          <w:sz w:val="24"/>
          <w:lang w:eastAsia="zh-CN"/>
        </w:rPr>
      </w:pPr>
      <w:r>
        <w:rPr>
          <w:rFonts w:hint="eastAsia" w:ascii="宋体" w:hAnsi="宋体" w:eastAsia="宋体" w:cs="宋体"/>
          <w:b/>
          <w:sz w:val="24"/>
          <w:lang w:val="en-US" w:eastAsia="zh-CN"/>
        </w:rPr>
        <w:t>三、技术</w:t>
      </w:r>
      <w:r>
        <w:rPr>
          <w:rFonts w:hint="eastAsia" w:ascii="宋体" w:hAnsi="宋体" w:eastAsia="宋体" w:cs="宋体"/>
          <w:b/>
          <w:sz w:val="24"/>
          <w:lang w:eastAsia="zh-CN"/>
        </w:rPr>
        <w:t>要求</w:t>
      </w:r>
    </w:p>
    <w:p>
      <w:pPr>
        <w:spacing w:line="560" w:lineRule="exact"/>
        <w:contextualSpacing/>
        <w:rPr>
          <w:rFonts w:hint="eastAsia" w:ascii="宋体" w:hAnsi="宋体" w:eastAsia="宋体" w:cs="宋体"/>
          <w:sz w:val="24"/>
        </w:rPr>
      </w:pPr>
      <w:r>
        <w:rPr>
          <w:rFonts w:hint="eastAsia"/>
          <w:sz w:val="24"/>
          <w:lang w:val="en-US" w:eastAsia="zh-CN"/>
        </w:rPr>
        <w:t xml:space="preserve">    </w:t>
      </w:r>
      <w:r>
        <w:rPr>
          <w:rFonts w:hint="eastAsia" w:ascii="宋体" w:hAnsi="宋体" w:eastAsia="宋体" w:cs="宋体"/>
          <w:sz w:val="24"/>
          <w:szCs w:val="24"/>
          <w:lang w:val="en-US" w:eastAsia="zh-CN"/>
        </w:rPr>
        <w:t>(一)</w:t>
      </w:r>
      <w:r>
        <w:rPr>
          <w:rFonts w:hint="eastAsia" w:ascii="宋体" w:hAnsi="宋体" w:eastAsia="宋体" w:cs="宋体"/>
          <w:sz w:val="24"/>
        </w:rPr>
        <w:t xml:space="preserve"> 基本要求</w:t>
      </w:r>
    </w:p>
    <w:p>
      <w:pPr>
        <w:spacing w:line="560" w:lineRule="exact"/>
        <w:ind w:firstLine="480" w:firstLineChars="200"/>
        <w:contextualSpacing/>
        <w:rPr>
          <w:rFonts w:hint="eastAsia" w:ascii="宋体" w:hAnsi="宋体" w:eastAsia="宋体" w:cs="宋体"/>
          <w:sz w:val="24"/>
        </w:rPr>
      </w:pPr>
      <w:r>
        <w:rPr>
          <w:rFonts w:hint="eastAsia" w:ascii="宋体" w:hAnsi="宋体" w:eastAsia="宋体" w:cs="宋体"/>
          <w:sz w:val="24"/>
          <w:szCs w:val="24"/>
          <w:lang w:val="en-US" w:eastAsia="zh-CN"/>
        </w:rPr>
        <w:t>1.</w:t>
      </w:r>
      <w:r>
        <w:rPr>
          <w:rFonts w:hint="eastAsia" w:ascii="宋体" w:hAnsi="宋体" w:eastAsia="宋体" w:cs="宋体"/>
          <w:sz w:val="24"/>
        </w:rPr>
        <w:t>采购标的需实现的功能</w:t>
      </w:r>
    </w:p>
    <w:p>
      <w:pPr>
        <w:snapToGrid/>
        <w:spacing w:line="560" w:lineRule="exact"/>
        <w:ind w:firstLine="480" w:firstLineChars="200"/>
        <w:rPr>
          <w:rFonts w:hint="eastAsia" w:ascii="宋体" w:hAnsi="宋体" w:eastAsia="宋体" w:cs="宋体"/>
          <w:bCs/>
          <w:sz w:val="24"/>
          <w:szCs w:val="24"/>
          <w:lang w:bidi="en-US"/>
        </w:rPr>
      </w:pPr>
      <w:r>
        <w:rPr>
          <w:rFonts w:hint="eastAsia" w:ascii="宋体" w:hAnsi="宋体" w:eastAsia="宋体" w:cs="宋体"/>
          <w:bCs/>
          <w:sz w:val="24"/>
          <w:szCs w:val="24"/>
          <w:lang w:bidi="en-US"/>
        </w:rPr>
        <w:t>行政办公区</w:t>
      </w:r>
      <w:r>
        <w:rPr>
          <w:rFonts w:hint="eastAsia" w:ascii="宋体" w:hAnsi="宋体" w:eastAsia="宋体" w:cs="宋体"/>
          <w:bCs/>
          <w:sz w:val="24"/>
          <w:szCs w:val="24"/>
          <w:lang w:eastAsia="zh-CN" w:bidi="en-US"/>
        </w:rPr>
        <w:t>桌面</w:t>
      </w:r>
      <w:r>
        <w:rPr>
          <w:rFonts w:hint="eastAsia" w:ascii="宋体" w:hAnsi="宋体" w:eastAsia="宋体" w:cs="宋体"/>
          <w:bCs/>
          <w:sz w:val="24"/>
          <w:szCs w:val="24"/>
          <w:lang w:bidi="en-US"/>
        </w:rPr>
        <w:t>互联网是行政办公区各入驻单位桌面办公需要的网络, 主要满足行政办公区各入驻单位数据、音频、视频和图像等互联网业务需要</w:t>
      </w:r>
      <w:r>
        <w:rPr>
          <w:rFonts w:hint="eastAsia" w:ascii="宋体" w:hAnsi="宋体" w:eastAsia="宋体" w:cs="宋体"/>
          <w:bCs/>
          <w:sz w:val="24"/>
          <w:szCs w:val="24"/>
          <w:lang w:eastAsia="zh-CN" w:bidi="en-US"/>
        </w:rPr>
        <w:t>，</w:t>
      </w:r>
      <w:r>
        <w:rPr>
          <w:rFonts w:hint="eastAsia" w:ascii="宋体" w:hAnsi="宋体" w:eastAsia="宋体" w:cs="宋体"/>
          <w:bCs/>
          <w:sz w:val="24"/>
          <w:szCs w:val="24"/>
          <w:lang w:bidi="en-US"/>
        </w:rPr>
        <w:t>为党政机关施政履职、日常管理</w:t>
      </w:r>
      <w:r>
        <w:rPr>
          <w:rFonts w:hint="eastAsia" w:ascii="宋体" w:hAnsi="宋体" w:eastAsia="宋体" w:cs="宋体"/>
          <w:bCs/>
          <w:sz w:val="24"/>
          <w:szCs w:val="24"/>
          <w:lang w:eastAsia="zh-CN" w:bidi="en-US"/>
        </w:rPr>
        <w:t>等</w:t>
      </w:r>
      <w:r>
        <w:rPr>
          <w:rFonts w:hint="eastAsia" w:ascii="宋体" w:hAnsi="宋体" w:eastAsia="宋体" w:cs="宋体"/>
          <w:bCs/>
          <w:sz w:val="24"/>
          <w:szCs w:val="24"/>
          <w:lang w:bidi="en-US"/>
        </w:rPr>
        <w:t>提供全面准确、及时有效的</w:t>
      </w:r>
      <w:r>
        <w:rPr>
          <w:rFonts w:hint="eastAsia" w:ascii="宋体" w:hAnsi="宋体" w:eastAsia="宋体" w:cs="宋体"/>
          <w:bCs/>
          <w:sz w:val="24"/>
          <w:szCs w:val="24"/>
          <w:lang w:eastAsia="zh-CN" w:bidi="en-US"/>
        </w:rPr>
        <w:t>网络</w:t>
      </w:r>
      <w:r>
        <w:rPr>
          <w:rFonts w:hint="eastAsia" w:ascii="宋体" w:hAnsi="宋体" w:eastAsia="宋体" w:cs="宋体"/>
          <w:bCs/>
          <w:sz w:val="24"/>
          <w:szCs w:val="24"/>
          <w:lang w:bidi="en-US"/>
        </w:rPr>
        <w:t>支撑。</w:t>
      </w:r>
    </w:p>
    <w:p>
      <w:pPr>
        <w:snapToGrid/>
        <w:spacing w:line="560" w:lineRule="exact"/>
        <w:ind w:firstLine="480" w:firstLineChars="200"/>
        <w:rPr>
          <w:rFonts w:hint="eastAsia" w:ascii="宋体" w:hAnsi="宋体" w:eastAsia="宋体" w:cs="宋体"/>
          <w:bCs/>
          <w:sz w:val="24"/>
        </w:rPr>
      </w:pPr>
      <w:r>
        <w:rPr>
          <w:rFonts w:hint="eastAsia" w:ascii="宋体" w:hAnsi="宋体" w:eastAsia="宋体" w:cs="宋体"/>
          <w:bCs/>
          <w:sz w:val="24"/>
          <w:szCs w:val="24"/>
          <w:lang w:bidi="en-US"/>
        </w:rPr>
        <w:t>运行保障服务指标：</w:t>
      </w:r>
      <w:r>
        <w:rPr>
          <w:rFonts w:hint="eastAsia" w:ascii="宋体" w:hAnsi="宋体" w:eastAsia="宋体" w:cs="宋体"/>
          <w:bCs/>
          <w:sz w:val="24"/>
          <w:szCs w:val="24"/>
        </w:rPr>
        <w:t>年度无故障率和网络连通率高于99.99%</w:t>
      </w:r>
      <w:r>
        <w:rPr>
          <w:rFonts w:hint="eastAsia" w:ascii="宋体" w:hAnsi="宋体" w:eastAsia="宋体" w:cs="宋体"/>
          <w:bCs/>
          <w:sz w:val="24"/>
          <w:szCs w:val="24"/>
          <w:lang w:bidi="en-US"/>
        </w:rPr>
        <w:t>，</w:t>
      </w:r>
      <w:r>
        <w:rPr>
          <w:rFonts w:hint="eastAsia" w:ascii="宋体" w:hAnsi="宋体" w:eastAsia="宋体" w:cs="宋体"/>
          <w:bCs/>
          <w:sz w:val="24"/>
          <w:szCs w:val="24"/>
        </w:rPr>
        <w:t>延时≤10ms，平均丢包率不得大于0.1%</w:t>
      </w:r>
      <w:r>
        <w:rPr>
          <w:rFonts w:hint="eastAsia" w:ascii="宋体" w:hAnsi="宋体" w:eastAsia="宋体" w:cs="宋体"/>
          <w:bCs/>
          <w:sz w:val="24"/>
          <w:szCs w:val="24"/>
          <w:lang w:eastAsia="zh-CN"/>
        </w:rPr>
        <w:t>，</w:t>
      </w:r>
      <w:r>
        <w:rPr>
          <w:rFonts w:hint="eastAsia" w:ascii="宋体" w:hAnsi="宋体" w:eastAsia="宋体" w:cs="宋体"/>
          <w:bCs/>
          <w:sz w:val="24"/>
          <w:szCs w:val="24"/>
          <w:lang w:bidi="en-US"/>
        </w:rPr>
        <w:t>应急响应时间不超过</w:t>
      </w:r>
      <w:r>
        <w:rPr>
          <w:rFonts w:hint="eastAsia" w:ascii="宋体" w:hAnsi="宋体" w:eastAsia="宋体" w:cs="宋体"/>
          <w:bCs/>
          <w:sz w:val="24"/>
          <w:szCs w:val="24"/>
          <w:lang w:val="en-US" w:eastAsia="zh-CN" w:bidi="en-US"/>
        </w:rPr>
        <w:t>5</w:t>
      </w:r>
      <w:r>
        <w:rPr>
          <w:rFonts w:hint="eastAsia" w:ascii="宋体" w:hAnsi="宋体" w:eastAsia="宋体" w:cs="宋体"/>
          <w:bCs/>
          <w:sz w:val="24"/>
          <w:szCs w:val="24"/>
          <w:lang w:bidi="en-US"/>
        </w:rPr>
        <w:t>分钟，平均故障恢复时间不超过</w:t>
      </w:r>
      <w:r>
        <w:rPr>
          <w:rFonts w:hint="eastAsia" w:ascii="宋体" w:hAnsi="宋体" w:eastAsia="宋体" w:cs="宋体"/>
          <w:bCs/>
          <w:sz w:val="24"/>
          <w:szCs w:val="24"/>
          <w:lang w:val="en-US" w:eastAsia="zh-CN" w:bidi="en-US"/>
        </w:rPr>
        <w:t>120</w:t>
      </w:r>
      <w:r>
        <w:rPr>
          <w:rFonts w:hint="eastAsia" w:ascii="宋体" w:hAnsi="宋体" w:eastAsia="宋体" w:cs="宋体"/>
          <w:bCs/>
          <w:sz w:val="24"/>
          <w:szCs w:val="24"/>
          <w:lang w:bidi="en-US"/>
        </w:rPr>
        <w:t>分钟。</w:t>
      </w:r>
    </w:p>
    <w:p>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Cs/>
          <w:sz w:val="24"/>
          <w:lang w:val="en-US" w:eastAsia="zh-CN"/>
        </w:rPr>
        <w:t>.</w:t>
      </w:r>
      <w:r>
        <w:rPr>
          <w:rFonts w:hint="eastAsia" w:ascii="宋体" w:hAnsi="宋体" w:eastAsia="宋体" w:cs="宋体"/>
          <w:bCs/>
          <w:sz w:val="24"/>
        </w:rPr>
        <w:t>相关</w:t>
      </w:r>
      <w:r>
        <w:rPr>
          <w:rFonts w:hint="eastAsia" w:ascii="宋体" w:hAnsi="宋体" w:eastAsia="宋体" w:cs="宋体"/>
          <w:bCs/>
          <w:sz w:val="24"/>
          <w:lang w:eastAsia="zh-CN"/>
        </w:rPr>
        <w:t>法律、</w:t>
      </w:r>
      <w:r>
        <w:rPr>
          <w:rFonts w:hint="eastAsia" w:ascii="宋体" w:hAnsi="宋体" w:eastAsia="宋体" w:cs="宋体"/>
          <w:bCs/>
          <w:sz w:val="24"/>
        </w:rPr>
        <w:t>标准、规范</w:t>
      </w:r>
    </w:p>
    <w:p>
      <w:pPr>
        <w:snapToGrid/>
        <w:spacing w:line="56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w:t>
      </w:r>
      <w:r>
        <w:rPr>
          <w:rFonts w:hint="eastAsia" w:ascii="宋体" w:hAnsi="宋体" w:eastAsia="宋体" w:cs="宋体"/>
          <w:bCs/>
          <w:sz w:val="24"/>
          <w:szCs w:val="24"/>
        </w:rPr>
        <w:t>网络安全法》</w:t>
      </w:r>
    </w:p>
    <w:p>
      <w:pPr>
        <w:numPr>
          <w:ilvl w:val="0"/>
          <w:numId w:val="0"/>
        </w:numPr>
        <w:snapToGrid/>
        <w:spacing w:line="56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w:t>
      </w:r>
      <w:r>
        <w:rPr>
          <w:rFonts w:hint="eastAsia" w:ascii="宋体" w:hAnsi="宋体" w:eastAsia="宋体" w:cs="宋体"/>
          <w:bCs/>
          <w:sz w:val="24"/>
          <w:szCs w:val="24"/>
        </w:rPr>
        <w:t>反恐怖主义法》</w:t>
      </w:r>
    </w:p>
    <w:p>
      <w:pPr>
        <w:numPr>
          <w:ilvl w:val="0"/>
          <w:numId w:val="0"/>
        </w:numPr>
        <w:snapToGrid/>
        <w:spacing w:line="560" w:lineRule="exact"/>
        <w:ind w:firstLine="480" w:firstLineChars="200"/>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eastAsia="zh-CN"/>
        </w:rPr>
        <w:t>中华人民共和国个人信息保护</w:t>
      </w:r>
      <w:r>
        <w:rPr>
          <w:rFonts w:hint="eastAsia" w:ascii="宋体" w:hAnsi="宋体" w:eastAsia="宋体" w:cs="宋体"/>
          <w:bCs/>
          <w:sz w:val="24"/>
          <w:szCs w:val="24"/>
        </w:rPr>
        <w:t>法》</w:t>
      </w:r>
    </w:p>
    <w:p>
      <w:pPr>
        <w:snapToGrid/>
        <w:spacing w:line="560" w:lineRule="exact"/>
        <w:ind w:firstLine="480" w:firstLineChars="200"/>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《互联网接入服务规范》</w:t>
      </w:r>
    </w:p>
    <w:p>
      <w:pPr>
        <w:snapToGrid/>
        <w:spacing w:line="560" w:lineRule="exact"/>
        <w:ind w:firstLine="480" w:firstLineChars="200"/>
        <w:outlineLvl w:val="9"/>
        <w:rPr>
          <w:rFonts w:hint="eastAsia" w:ascii="宋体" w:hAnsi="宋体" w:eastAsia="宋体" w:cs="宋体"/>
          <w:bCs/>
          <w:sz w:val="24"/>
        </w:rPr>
      </w:pPr>
      <w:r>
        <w:rPr>
          <w:rFonts w:hint="eastAsia" w:ascii="宋体" w:hAnsi="宋体" w:eastAsia="宋体" w:cs="宋体"/>
          <w:bCs/>
          <w:sz w:val="24"/>
        </w:rPr>
        <w:t>《信息安全技术网络安全专用产品安全技术要求》</w:t>
      </w:r>
    </w:p>
    <w:p>
      <w:pPr>
        <w:numPr>
          <w:ilvl w:val="0"/>
          <w:numId w:val="0"/>
        </w:numPr>
        <w:spacing w:line="560" w:lineRule="exact"/>
        <w:ind w:firstLine="480" w:firstLineChars="200"/>
        <w:outlineLvl w:val="9"/>
        <w:rPr>
          <w:rFonts w:hint="eastAsia"/>
        </w:rPr>
      </w:pPr>
      <w:r>
        <w:rPr>
          <w:rFonts w:hint="eastAsia" w:ascii="宋体" w:hAnsi="宋体" w:eastAsia="宋体" w:cs="宋体"/>
          <w:bCs/>
          <w:sz w:val="24"/>
          <w:szCs w:val="24"/>
          <w:lang w:eastAsia="zh-CN"/>
        </w:rPr>
        <w:t>《互联网网络和业务服务质量测试方法》YD/T 1642-2020</w:t>
      </w:r>
    </w:p>
    <w:p>
      <w:pPr>
        <w:pStyle w:val="2"/>
        <w:spacing w:line="560" w:lineRule="exact"/>
        <w:rPr>
          <w:rFonts w:hint="eastAsia" w:ascii="宋体" w:hAnsi="宋体" w:eastAsia="宋体" w:cs="宋体"/>
          <w:bCs/>
          <w:sz w:val="24"/>
          <w:szCs w:val="24"/>
        </w:rPr>
      </w:pPr>
      <w:r>
        <w:rPr>
          <w:rFonts w:hint="eastAsia"/>
          <w:sz w:val="24"/>
          <w:lang w:val="en-US" w:eastAsia="zh-CN"/>
        </w:rPr>
        <w:t>(二)</w:t>
      </w:r>
      <w:r>
        <w:rPr>
          <w:sz w:val="24"/>
        </w:rPr>
        <w:t xml:space="preserve"> 服务内容及要求</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1．安装调试：</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应在2026年1月1日前具备互联网专线接入条件，经过测试确保网络稳定，于2026年1月1日正式提供互联网专线接入、带宽服务。</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应通过LAN口，以光纤专线的方式直接接入行政办公区数据中心楼传输机房A101，且光缆布放须符合行政办公区数据中心贯通缆部署实施规范，通过租用大市政管廊、小市政管孔资源进入数据中心楼，租用费用由</w:t>
      </w:r>
      <w:r>
        <w:rPr>
          <w:rFonts w:hint="eastAsia" w:ascii="宋体" w:hAnsi="宋体" w:eastAsia="宋体" w:cs="宋体"/>
          <w:bCs/>
          <w:sz w:val="24"/>
          <w:szCs w:val="24"/>
          <w:lang w:eastAsia="zh-CN"/>
        </w:rPr>
        <w:t>成交人</w:t>
      </w:r>
      <w:r>
        <w:rPr>
          <w:rFonts w:hint="eastAsia" w:ascii="宋体" w:hAnsi="宋体" w:eastAsia="宋体" w:cs="宋体"/>
          <w:bCs/>
          <w:sz w:val="24"/>
          <w:szCs w:val="24"/>
        </w:rPr>
        <w:t>承担，采购人不再单独支付。楼内光缆通过管孔、桥架在机房内机柜成端，光缆有明确标识，布放整洁、防虫、防潮。</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提供至少1台万兆性能以上链路负载均衡设备，做为负载均衡备设备，负载均衡设备应具备6个以上万兆光口，4个以上电口；</w:t>
      </w:r>
      <w:r>
        <w:rPr>
          <w:rFonts w:hint="eastAsia" w:ascii="宋体" w:hAnsi="宋体" w:eastAsia="宋体" w:cs="宋体"/>
          <w:bCs/>
          <w:sz w:val="24"/>
          <w:szCs w:val="24"/>
          <w:lang w:eastAsia="zh-CN"/>
        </w:rPr>
        <w:t>成交人</w:t>
      </w:r>
      <w:r>
        <w:rPr>
          <w:rFonts w:hint="eastAsia" w:ascii="宋体" w:hAnsi="宋体" w:eastAsia="宋体" w:cs="宋体"/>
          <w:bCs/>
          <w:sz w:val="24"/>
          <w:szCs w:val="24"/>
        </w:rPr>
        <w:t>传输设备以双链路主备模式分别接入到主备负载均衡设备上；负载均衡设备应具备主备切换机制，能够实现主备负载均衡设备间通过心跳线自动切换功能；负载均衡设备支持端口联动功能；通过负载均衡设备满足内部地址到互联网公网地址的地址转换（包含公网支持IPv4和IPv6地址）和必要业务应用如视频会议内部地址到互联网公网地址一对一映射需要。负载均衡设备需支持同时挂载2台日志服务器。</w:t>
      </w:r>
      <w:r>
        <w:rPr>
          <w:rFonts w:hint="eastAsia" w:ascii="宋体" w:hAnsi="宋体" w:eastAsia="宋体" w:cs="宋体"/>
          <w:bCs/>
          <w:sz w:val="24"/>
          <w:szCs w:val="24"/>
          <w:lang w:eastAsia="zh-CN"/>
        </w:rPr>
        <w:t>成交人</w:t>
      </w:r>
      <w:r>
        <w:rPr>
          <w:rFonts w:hint="eastAsia" w:ascii="宋体" w:hAnsi="宋体" w:eastAsia="宋体" w:cs="宋体"/>
          <w:bCs/>
          <w:sz w:val="24"/>
          <w:szCs w:val="24"/>
        </w:rPr>
        <w:t>负责设备的正常运转和日常维护。</w:t>
      </w:r>
    </w:p>
    <w:p>
      <w:pPr>
        <w:pStyle w:val="2"/>
        <w:spacing w:line="560" w:lineRule="exact"/>
        <w:ind w:firstLine="0" w:firstLineChars="0"/>
        <w:rPr>
          <w:rFonts w:hint="eastAsia" w:ascii="宋体" w:hAnsi="宋体" w:eastAsia="宋体" w:cs="宋体"/>
          <w:bCs/>
          <w:sz w:val="24"/>
          <w:szCs w:val="24"/>
        </w:rPr>
      </w:pPr>
      <w:r>
        <w:rPr>
          <w:rFonts w:hint="eastAsia" w:ascii="宋体" w:hAnsi="宋体" w:eastAsia="宋体" w:cs="宋体"/>
          <w:bCs/>
          <w:szCs w:val="24"/>
        </w:rPr>
        <w:t xml:space="preserve">    （3）</w:t>
      </w:r>
      <w:r>
        <w:rPr>
          <w:rFonts w:hint="eastAsia" w:hAnsi="宋体" w:eastAsia="宋体" w:cs="宋体"/>
          <w:bCs/>
          <w:szCs w:val="24"/>
          <w:lang w:eastAsia="zh-CN"/>
        </w:rPr>
        <w:t>成交人</w:t>
      </w:r>
      <w:r>
        <w:rPr>
          <w:rFonts w:hint="eastAsia" w:ascii="宋体" w:hAnsi="宋体" w:eastAsia="宋体" w:cs="宋体"/>
          <w:bCs/>
          <w:szCs w:val="24"/>
        </w:rPr>
        <w:t>提供至少1台日志服务器同时挂载主备负载均衡设备，支持采集主备负载均衡设备Ipv4、Ipv6日志信息，并存储6个月以上，日志内容应至少包含具体日期、源私网地址、源公网地址、目的公网地址、目的端口号等信息以便溯源。</w:t>
      </w:r>
      <w:r>
        <w:rPr>
          <w:rFonts w:hint="eastAsia" w:ascii="宋体" w:hAnsi="宋体" w:eastAsia="宋体" w:cs="宋体"/>
          <w:bCs/>
          <w:sz w:val="24"/>
          <w:szCs w:val="24"/>
          <w:lang w:eastAsia="zh-CN"/>
        </w:rPr>
        <w:t>成交人</w:t>
      </w:r>
      <w:r>
        <w:rPr>
          <w:rFonts w:hint="eastAsia" w:ascii="宋体" w:hAnsi="宋体" w:eastAsia="宋体" w:cs="宋体"/>
          <w:bCs/>
          <w:sz w:val="24"/>
          <w:szCs w:val="24"/>
        </w:rPr>
        <w:t>负责设备的正常运转和日常维护。</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应在自身网络边界提前进行测试，向采购人提交书面测试结果，测试部分业务包括：市财政门户网站、百度、知网访问，测试内容包括访问期间的网络延迟、网络抖动、丢包率、路径条目。</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成交人</w:t>
      </w:r>
      <w:r>
        <w:rPr>
          <w:rFonts w:hint="eastAsia" w:ascii="宋体" w:hAnsi="宋体" w:eastAsia="宋体" w:cs="宋体"/>
          <w:bCs/>
          <w:sz w:val="24"/>
          <w:szCs w:val="24"/>
        </w:rPr>
        <w:t>鉴于副中心行政办公区各类资源与现有网络进行了绑定，接入实施过程必须保证副中心行政办公区互联网访问及用户端操作体验无间断、平滑地进入本项目服务期带宽服务。需满足所提供的Ipv4公网地址与210.73.64.1互联互通，Ipv6公网地址与2403:6a00::1互联互通，如产生额外费用，</w:t>
      </w:r>
      <w:r>
        <w:rPr>
          <w:rFonts w:hint="eastAsia" w:ascii="宋体" w:hAnsi="宋体" w:eastAsia="宋体" w:cs="宋体"/>
          <w:bCs/>
          <w:sz w:val="24"/>
          <w:szCs w:val="24"/>
          <w:lang w:eastAsia="zh-CN"/>
        </w:rPr>
        <w:t>成交人</w:t>
      </w:r>
      <w:r>
        <w:rPr>
          <w:rFonts w:hint="eastAsia" w:ascii="宋体" w:hAnsi="宋体" w:eastAsia="宋体" w:cs="宋体"/>
          <w:bCs/>
          <w:sz w:val="24"/>
          <w:szCs w:val="24"/>
        </w:rPr>
        <w:t>报价应包含此项费用。</w:t>
      </w:r>
    </w:p>
    <w:p>
      <w:pPr>
        <w:spacing w:line="560" w:lineRule="exact"/>
        <w:ind w:firstLine="480" w:firstLineChars="200"/>
        <w:jc w:val="both"/>
        <w:rPr>
          <w:rFonts w:hint="eastAsia" w:ascii="宋体" w:hAnsi="宋体" w:eastAsia="宋体" w:cs="宋体"/>
          <w:sz w:val="24"/>
        </w:rPr>
      </w:pPr>
      <w:r>
        <w:rPr>
          <w:rFonts w:hint="eastAsia" w:ascii="宋体" w:hAnsi="宋体" w:eastAsia="宋体" w:cs="宋体"/>
          <w:bCs/>
          <w:sz w:val="24"/>
          <w:szCs w:val="24"/>
        </w:rPr>
        <w:t>（6）“#”</w:t>
      </w:r>
      <w:r>
        <w:rPr>
          <w:rFonts w:hint="eastAsia" w:ascii="宋体" w:hAnsi="宋体" w:eastAsia="宋体" w:cs="宋体"/>
          <w:bCs/>
          <w:sz w:val="24"/>
          <w:szCs w:val="24"/>
          <w:lang w:eastAsia="zh-CN"/>
        </w:rPr>
        <w:t>成交人</w:t>
      </w:r>
      <w:r>
        <w:rPr>
          <w:rFonts w:hint="eastAsia" w:ascii="宋体" w:hAnsi="宋体" w:eastAsia="宋体" w:cs="宋体"/>
          <w:bCs/>
          <w:sz w:val="24"/>
          <w:szCs w:val="24"/>
        </w:rPr>
        <w:t>的边界传输设备上联应具备双路由模式,2条路由应分别接入不同物理位置的传输设备。且2条路由均具备承载不低于采购带宽（4.9G）的能力。需提供证明文件并加盖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bCs/>
          <w:sz w:val="24"/>
          <w:szCs w:val="24"/>
        </w:rPr>
        <w:t>2．服务方案：为采购人制订实施工作方案、安全保障方案，网络保障方案、特殊时期保障方案，包括但不限于实施人员组织、时间进度安排、对接技术方案、带宽服务方案；服务报告内容、安全保障、安全防护；保障预案、</w:t>
      </w:r>
      <w:r>
        <w:rPr>
          <w:rFonts w:hint="eastAsia" w:ascii="宋体" w:hAnsi="宋体" w:eastAsia="宋体" w:cs="宋体"/>
          <w:sz w:val="24"/>
          <w:szCs w:val="24"/>
        </w:rPr>
        <w:t>7×24×365全天候技术支持、</w:t>
      </w:r>
      <w:r>
        <w:rPr>
          <w:rFonts w:hint="eastAsia" w:ascii="宋体" w:hAnsi="宋体" w:eastAsia="宋体" w:cs="宋体"/>
          <w:bCs/>
          <w:sz w:val="24"/>
          <w:szCs w:val="24"/>
        </w:rPr>
        <w:t>服务热线</w:t>
      </w:r>
      <w:r>
        <w:rPr>
          <w:rFonts w:hint="eastAsia" w:ascii="宋体" w:hAnsi="宋体" w:eastAsia="宋体" w:cs="宋体"/>
          <w:sz w:val="24"/>
          <w:szCs w:val="24"/>
        </w:rPr>
        <w:t>电话；特殊重大事件、重要时期重点保障等服务。</w:t>
      </w:r>
    </w:p>
    <w:p>
      <w:pPr>
        <w:spacing w:line="560" w:lineRule="exact"/>
        <w:ind w:firstLine="480" w:firstLineChars="200"/>
        <w:jc w:val="both"/>
        <w:rPr>
          <w:rFonts w:hint="eastAsia" w:ascii="宋体" w:hAnsi="宋体" w:eastAsia="宋体" w:cs="宋体"/>
          <w:sz w:val="24"/>
        </w:rPr>
      </w:pPr>
      <w:r>
        <w:rPr>
          <w:rFonts w:hint="eastAsia" w:ascii="宋体" w:hAnsi="宋体" w:eastAsia="宋体" w:cs="宋体"/>
          <w:bCs/>
          <w:sz w:val="24"/>
          <w:szCs w:val="24"/>
        </w:rPr>
        <w:t>3.应急保障方案：为采购人制订应急保障方案，包括但不限于应急</w:t>
      </w:r>
      <w:r>
        <w:rPr>
          <w:rFonts w:hint="eastAsia" w:ascii="宋体" w:hAnsi="宋体" w:eastAsia="宋体" w:cs="宋体"/>
          <w:sz w:val="24"/>
          <w:szCs w:val="24"/>
        </w:rPr>
        <w:t>预案、应对措施、临时提速快速响应方案（包括物资、人员、预案等）；应急服务承诺，流程和响应时效</w:t>
      </w:r>
      <w:r>
        <w:rPr>
          <w:rFonts w:hint="eastAsia" w:ascii="宋体" w:hAnsi="宋体" w:eastAsia="宋体" w:cs="宋体"/>
          <w:sz w:val="24"/>
          <w:szCs w:val="24"/>
          <w:lang w:eastAsia="zh-CN"/>
        </w:rPr>
        <w:t>，处理方法</w:t>
      </w:r>
      <w:r>
        <w:rPr>
          <w:rFonts w:hint="eastAsia" w:ascii="宋体" w:hAnsi="宋体" w:eastAsia="宋体" w:cs="宋体"/>
          <w:sz w:val="24"/>
          <w:szCs w:val="24"/>
        </w:rPr>
        <w:t>；服务质量保证办法</w:t>
      </w:r>
      <w:r>
        <w:rPr>
          <w:rFonts w:hint="eastAsia" w:ascii="宋体" w:hAnsi="宋体" w:eastAsia="宋体" w:cs="宋体"/>
          <w:sz w:val="24"/>
          <w:szCs w:val="24"/>
          <w:lang w:eastAsia="zh-CN"/>
        </w:rPr>
        <w:t>，</w:t>
      </w:r>
      <w:r>
        <w:rPr>
          <w:rFonts w:hint="eastAsia" w:ascii="宋体" w:hAnsi="宋体" w:eastAsia="宋体" w:cs="宋体"/>
          <w:sz w:val="24"/>
          <w:szCs w:val="24"/>
        </w:rPr>
        <w:t>风险控制方法等内容。</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4．规范标准：</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在接入服务期内，须向采购人提供符合国家规定的互联网接入服务。</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（1）根据《网络安全法》，</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提供的服务应当符合相关国家标准的强制性要求。</w:t>
      </w:r>
      <w:r>
        <w:rPr>
          <w:rFonts w:hint="eastAsia" w:ascii="宋体" w:hAnsi="宋体" w:eastAsia="宋体" w:cs="宋体"/>
          <w:bCs/>
          <w:sz w:val="24"/>
          <w:szCs w:val="24"/>
          <w:lang w:eastAsia="zh-CN"/>
        </w:rPr>
        <w:t>成交人</w:t>
      </w:r>
      <w:r>
        <w:rPr>
          <w:rFonts w:hint="eastAsia" w:ascii="宋体" w:hAnsi="宋体" w:eastAsia="宋体" w:cs="宋体"/>
          <w:bCs/>
          <w:sz w:val="24"/>
          <w:szCs w:val="24"/>
        </w:rPr>
        <w:t>不得设置恶意程序；</w:t>
      </w:r>
      <w:r>
        <w:rPr>
          <w:rFonts w:hint="eastAsia" w:ascii="宋体" w:hAnsi="宋体" w:eastAsia="宋体" w:cs="宋体"/>
          <w:bCs/>
          <w:sz w:val="24"/>
          <w:szCs w:val="24"/>
          <w:lang w:eastAsia="zh-CN"/>
        </w:rPr>
        <w:t>成交人</w:t>
      </w:r>
      <w:r>
        <w:rPr>
          <w:rFonts w:hint="eastAsia" w:ascii="宋体" w:hAnsi="宋体" w:eastAsia="宋体" w:cs="宋体"/>
          <w:bCs/>
          <w:sz w:val="24"/>
          <w:szCs w:val="24"/>
        </w:rPr>
        <w:t>发现其服务存在安全缺陷、漏洞等风险时，应当立即采取补救措施，按照规定及时告知采购人并向有关主管部门报告。</w:t>
      </w:r>
      <w:r>
        <w:rPr>
          <w:rFonts w:hint="eastAsia" w:ascii="宋体" w:hAnsi="宋体" w:eastAsia="宋体" w:cs="宋体"/>
          <w:sz w:val="24"/>
          <w:szCs w:val="24"/>
          <w:lang w:eastAsia="zh-CN"/>
        </w:rPr>
        <w:t>成交人</w:t>
      </w:r>
      <w:r>
        <w:rPr>
          <w:rFonts w:hint="eastAsia" w:ascii="宋体" w:hAnsi="宋体" w:eastAsia="宋体" w:cs="宋体"/>
          <w:sz w:val="24"/>
          <w:szCs w:val="24"/>
        </w:rPr>
        <w:t>保证其提供的货物、设施设备及服务（包括其中所含的软硬件）没有任何病毒、后门程序、恶意代码等安全隐患（包括但不限于：恶意收集数据、恶意查删正常信息等属于本合同未列明的功能），不存在任何质量瑕疵和权利瑕疵。</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（2）为落实《反恐怖主义法》，</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应当为公安机关、国家安全机关依法进行防范、调查恐怖活动提供技术接口和解密等技术支持和协助。若发现含有恐怖主义、极端主义内容的信息的，</w:t>
      </w:r>
      <w:r>
        <w:rPr>
          <w:rFonts w:hint="eastAsia" w:ascii="宋体" w:hAnsi="宋体" w:eastAsia="宋体" w:cs="宋体"/>
          <w:bCs/>
          <w:sz w:val="24"/>
          <w:szCs w:val="24"/>
          <w:lang w:eastAsia="zh-CN"/>
        </w:rPr>
        <w:t>成交人</w:t>
      </w:r>
      <w:r>
        <w:rPr>
          <w:rFonts w:hint="eastAsia" w:ascii="宋体" w:hAnsi="宋体" w:eastAsia="宋体" w:cs="宋体"/>
          <w:bCs/>
          <w:sz w:val="24"/>
          <w:szCs w:val="24"/>
        </w:rPr>
        <w:t>将立即停止传输，保存相关记录，删除相关信息，并向公安机关或者有关部门报告。</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eastAsia="zh-CN"/>
        </w:rPr>
        <w:t>成交人</w:t>
      </w:r>
      <w:r>
        <w:rPr>
          <w:rFonts w:hint="eastAsia" w:ascii="宋体" w:hAnsi="宋体" w:eastAsia="宋体" w:cs="宋体"/>
          <w:bCs/>
          <w:sz w:val="24"/>
          <w:szCs w:val="24"/>
        </w:rPr>
        <w:t>项目实施团队人员应具备专业人员证书（必须包括计算机技术与软件专业技术资格（水平）考试高级或中级认证证书、CISP（注册信息安全工程师）。</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（4）需符合【YD/T 1642-2020】互联网网络和业务服务质量测试方法。</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成交人</w:t>
      </w:r>
      <w:r>
        <w:rPr>
          <w:rFonts w:hint="eastAsia" w:ascii="宋体" w:hAnsi="宋体" w:eastAsia="宋体" w:cs="宋体"/>
          <w:bCs/>
          <w:sz w:val="24"/>
          <w:szCs w:val="24"/>
        </w:rPr>
        <w:t>具备质量管理体系认证证书、信息技术服务管理体系认证证书、信息安全管理体系认证证书。</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5.“#”地址：</w:t>
      </w:r>
      <w:r>
        <w:rPr>
          <w:rFonts w:hint="eastAsia" w:ascii="宋体" w:hAnsi="宋体" w:eastAsia="宋体" w:cs="宋体"/>
          <w:bCs/>
          <w:sz w:val="24"/>
          <w:szCs w:val="24"/>
          <w:lang w:eastAsia="zh-CN"/>
        </w:rPr>
        <w:t>成交人</w:t>
      </w:r>
      <w:r>
        <w:rPr>
          <w:rFonts w:hint="eastAsia" w:ascii="宋体" w:hAnsi="宋体" w:eastAsia="宋体" w:cs="宋体"/>
          <w:bCs/>
          <w:sz w:val="24"/>
          <w:szCs w:val="24"/>
        </w:rPr>
        <w:t>须提供公网IPv4地址个数≥512个、公网IPv6地址前缀长度为/55。可提供额外但不限数量的IP地址以满足后续新增业务需求（所涉及费用包含在报价中），需提交承诺书并加盖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6.“#”带宽：保证接入带宽等于4.9</w:t>
      </w:r>
      <w:r>
        <w:rPr>
          <w:rFonts w:hint="eastAsia" w:ascii="宋体" w:hAnsi="宋体" w:eastAsia="宋体" w:cs="宋体"/>
          <w:sz w:val="24"/>
          <w:szCs w:val="24"/>
        </w:rPr>
        <w:t>Gbps</w:t>
      </w:r>
      <w:r>
        <w:rPr>
          <w:rFonts w:hint="eastAsia" w:ascii="宋体" w:hAnsi="宋体" w:eastAsia="宋体" w:cs="宋体"/>
          <w:bCs/>
          <w:sz w:val="24"/>
          <w:szCs w:val="24"/>
        </w:rPr>
        <w:t>带宽，</w:t>
      </w:r>
      <w:r>
        <w:rPr>
          <w:rFonts w:hint="eastAsia" w:ascii="宋体" w:hAnsi="宋体" w:eastAsia="宋体" w:cs="宋体"/>
          <w:sz w:val="24"/>
          <w:szCs w:val="24"/>
        </w:rPr>
        <w:t>接入网络需同时具备IPv4和IPv6网络承载能力，</w:t>
      </w:r>
      <w:r>
        <w:rPr>
          <w:rFonts w:hint="eastAsia" w:ascii="宋体" w:hAnsi="宋体" w:eastAsia="宋体" w:cs="宋体"/>
          <w:bCs/>
          <w:sz w:val="24"/>
          <w:szCs w:val="24"/>
        </w:rPr>
        <w:t>带宽必须独享，上下行速率对称，</w:t>
      </w:r>
      <w:r>
        <w:rPr>
          <w:rFonts w:hint="eastAsia" w:ascii="宋体" w:hAnsi="宋体" w:eastAsia="宋体" w:cs="宋体"/>
          <w:bCs/>
          <w:sz w:val="24"/>
          <w:szCs w:val="24"/>
          <w:lang w:eastAsia="zh-CN"/>
        </w:rPr>
        <w:t>成交人</w:t>
      </w:r>
      <w:r>
        <w:rPr>
          <w:rFonts w:hint="eastAsia" w:ascii="宋体" w:hAnsi="宋体" w:eastAsia="宋体" w:cs="宋体"/>
          <w:bCs/>
          <w:sz w:val="24"/>
          <w:szCs w:val="24"/>
        </w:rPr>
        <w:t>骨干带宽不低于5G</w:t>
      </w:r>
      <w:r>
        <w:rPr>
          <w:rFonts w:hint="eastAsia" w:ascii="宋体" w:hAnsi="宋体" w:eastAsia="宋体" w:cs="宋体"/>
          <w:sz w:val="24"/>
          <w:szCs w:val="24"/>
        </w:rPr>
        <w:t>bps</w:t>
      </w:r>
      <w:r>
        <w:rPr>
          <w:rFonts w:hint="eastAsia" w:ascii="宋体" w:hAnsi="宋体" w:eastAsia="宋体" w:cs="宋体"/>
          <w:bCs/>
          <w:sz w:val="24"/>
          <w:szCs w:val="24"/>
        </w:rPr>
        <w:t>。需提供证明文件并加盖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bCs/>
          <w:sz w:val="24"/>
          <w:szCs w:val="24"/>
          <w:lang w:eastAsia="zh-CN"/>
        </w:rPr>
        <w:t>成交人</w:t>
      </w:r>
      <w:r>
        <w:rPr>
          <w:rFonts w:hint="eastAsia" w:ascii="宋体" w:hAnsi="宋体" w:eastAsia="宋体" w:cs="宋体"/>
          <w:bCs/>
          <w:sz w:val="24"/>
          <w:szCs w:val="24"/>
        </w:rPr>
        <w:t>提供的互联网专线在传输设备和主负载均衡设备之间的主链路因故障中断时，业务带宽应由主链路自动切换至备链路。需提供证明文件</w:t>
      </w:r>
      <w:r>
        <w:rPr>
          <w:rFonts w:hint="eastAsia" w:ascii="宋体" w:hAnsi="宋体" w:eastAsia="宋体" w:cs="宋体"/>
          <w:bCs/>
          <w:sz w:val="24"/>
          <w:szCs w:val="24"/>
          <w:lang w:eastAsia="zh-CN"/>
        </w:rPr>
        <w:t>或承诺书</w:t>
      </w:r>
      <w:r>
        <w:rPr>
          <w:rFonts w:hint="eastAsia" w:ascii="宋体" w:hAnsi="宋体" w:eastAsia="宋体" w:cs="宋体"/>
          <w:bCs/>
          <w:sz w:val="24"/>
          <w:szCs w:val="24"/>
        </w:rPr>
        <w:t>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8.“#”技术指标：自行政办公区互联网出口路由设备到</w:t>
      </w:r>
      <w:r>
        <w:rPr>
          <w:rFonts w:hint="eastAsia" w:ascii="宋体" w:hAnsi="宋体" w:eastAsia="宋体" w:cs="宋体"/>
          <w:bCs/>
          <w:sz w:val="24"/>
          <w:szCs w:val="24"/>
          <w:lang w:eastAsia="zh-CN"/>
        </w:rPr>
        <w:t>成交人</w:t>
      </w:r>
      <w:r>
        <w:rPr>
          <w:rFonts w:hint="eastAsia" w:ascii="宋体" w:hAnsi="宋体" w:eastAsia="宋体" w:cs="宋体"/>
          <w:bCs/>
          <w:sz w:val="24"/>
          <w:szCs w:val="24"/>
        </w:rPr>
        <w:t>骨干设备，不得大于2跳；自</w:t>
      </w:r>
      <w:r>
        <w:rPr>
          <w:rFonts w:hint="eastAsia" w:ascii="宋体" w:hAnsi="宋体" w:eastAsia="宋体" w:cs="宋体"/>
          <w:bCs/>
          <w:sz w:val="24"/>
          <w:szCs w:val="24"/>
          <w:lang w:eastAsia="zh-CN"/>
        </w:rPr>
        <w:t>成交人</w:t>
      </w:r>
      <w:r>
        <w:rPr>
          <w:rFonts w:hint="eastAsia" w:ascii="宋体" w:hAnsi="宋体" w:eastAsia="宋体" w:cs="宋体"/>
          <w:bCs/>
          <w:sz w:val="24"/>
          <w:szCs w:val="24"/>
        </w:rPr>
        <w:t>核心接入路由设备至国际出口不得大于8跳，延时≤10ms，平均丢包率不得大于0.1%，并满足今后带宽容量升级的需求。需提供证明文件并加盖</w:t>
      </w:r>
      <w:r>
        <w:rPr>
          <w:rFonts w:hint="eastAsia" w:ascii="宋体" w:hAnsi="宋体" w:eastAsia="宋体" w:cs="宋体"/>
          <w:bCs/>
          <w:sz w:val="24"/>
          <w:szCs w:val="24"/>
          <w:lang w:eastAsia="zh-CN"/>
        </w:rPr>
        <w:t>成交人</w:t>
      </w:r>
      <w:r>
        <w:rPr>
          <w:rFonts w:hint="eastAsia" w:ascii="宋体" w:hAnsi="宋体" w:eastAsia="宋体" w:cs="宋体"/>
          <w:bCs/>
          <w:sz w:val="24"/>
          <w:szCs w:val="24"/>
        </w:rPr>
        <w:t>公章。</w:t>
      </w:r>
    </w:p>
    <w:p>
      <w:pPr>
        <w:pStyle w:val="2"/>
        <w:spacing w:line="560" w:lineRule="exact"/>
        <w:rPr>
          <w:rFonts w:hint="eastAsia" w:ascii="宋体" w:hAnsi="宋体" w:eastAsia="宋体" w:cs="宋体"/>
          <w:bCs/>
          <w:sz w:val="24"/>
          <w:szCs w:val="24"/>
        </w:rPr>
      </w:pPr>
      <w:r>
        <w:rPr>
          <w:rFonts w:hint="eastAsia" w:ascii="宋体" w:hAnsi="宋体" w:eastAsia="宋体" w:cs="宋体"/>
          <w:bCs/>
          <w:sz w:val="24"/>
          <w:szCs w:val="24"/>
        </w:rPr>
        <w:t>9．</w:t>
      </w:r>
      <w:r>
        <w:rPr>
          <w:rFonts w:hint="eastAsia" w:hAnsi="宋体" w:eastAsia="宋体" w:cs="宋体"/>
          <w:bCs/>
          <w:sz w:val="24"/>
          <w:szCs w:val="24"/>
          <w:lang w:eastAsia="zh-CN"/>
        </w:rPr>
        <w:t>成交人</w:t>
      </w:r>
      <w:r>
        <w:rPr>
          <w:rFonts w:hint="eastAsia" w:ascii="宋体" w:hAnsi="宋体" w:eastAsia="宋体" w:cs="宋体"/>
          <w:bCs/>
          <w:sz w:val="24"/>
          <w:szCs w:val="24"/>
        </w:rPr>
        <w:t>需提供安全服务包括但不限于流量清洗、DDOS</w:t>
      </w:r>
      <w:r>
        <w:rPr>
          <w:rFonts w:hint="eastAsia" w:hAnsi="宋体" w:eastAsia="宋体" w:cs="宋体"/>
          <w:bCs/>
          <w:sz w:val="24"/>
          <w:szCs w:val="24"/>
          <w:lang w:eastAsia="zh-CN"/>
        </w:rPr>
        <w:t>、</w:t>
      </w:r>
      <w:r>
        <w:rPr>
          <w:rFonts w:hint="eastAsia" w:ascii="宋体" w:hAnsi="宋体" w:eastAsia="宋体" w:cs="宋体"/>
          <w:color w:val="auto"/>
          <w:sz w:val="24"/>
          <w:szCs w:val="24"/>
        </w:rPr>
        <w:t>域名全防护</w:t>
      </w:r>
      <w:r>
        <w:rPr>
          <w:rFonts w:hint="eastAsia" w:hAnsi="宋体" w:eastAsia="宋体" w:cs="宋体"/>
          <w:color w:val="auto"/>
          <w:sz w:val="24"/>
          <w:szCs w:val="24"/>
          <w:lang w:eastAsia="zh-CN"/>
        </w:rPr>
        <w:t>、反钓鱼</w:t>
      </w:r>
      <w:r>
        <w:rPr>
          <w:rFonts w:hint="eastAsia" w:ascii="宋体" w:hAnsi="宋体" w:eastAsia="宋体" w:cs="宋体"/>
          <w:color w:val="auto"/>
          <w:sz w:val="24"/>
          <w:szCs w:val="24"/>
        </w:rPr>
        <w:t>等专业</w:t>
      </w:r>
      <w:r>
        <w:rPr>
          <w:rFonts w:hint="eastAsia" w:hAnsi="宋体" w:eastAsia="宋体" w:cs="宋体"/>
          <w:color w:val="auto"/>
          <w:sz w:val="24"/>
          <w:szCs w:val="24"/>
          <w:lang w:eastAsia="zh-CN"/>
        </w:rPr>
        <w:t>安全服务、</w:t>
      </w:r>
      <w:r>
        <w:rPr>
          <w:rFonts w:hint="eastAsia" w:ascii="宋体" w:hAnsi="宋体" w:eastAsia="宋体" w:cs="宋体"/>
          <w:color w:val="auto"/>
          <w:sz w:val="24"/>
          <w:szCs w:val="24"/>
        </w:rPr>
        <w:t>可视化监控平台</w:t>
      </w:r>
      <w:r>
        <w:rPr>
          <w:rFonts w:hint="eastAsia" w:ascii="宋体" w:hAnsi="宋体" w:eastAsia="宋体" w:cs="宋体"/>
          <w:bCs/>
          <w:sz w:val="24"/>
          <w:szCs w:val="24"/>
        </w:rPr>
        <w:t>等；</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10．服务：</w:t>
      </w:r>
      <w:r>
        <w:rPr>
          <w:rFonts w:hint="eastAsia" w:ascii="宋体" w:hAnsi="宋体" w:eastAsia="宋体" w:cs="宋体"/>
          <w:bCs/>
          <w:sz w:val="24"/>
          <w:szCs w:val="24"/>
          <w:lang w:eastAsia="zh-CN"/>
        </w:rPr>
        <w:t>成交人</w:t>
      </w:r>
      <w:r>
        <w:rPr>
          <w:rFonts w:hint="eastAsia" w:ascii="宋体" w:hAnsi="宋体" w:eastAsia="宋体" w:cs="宋体"/>
          <w:bCs/>
          <w:sz w:val="24"/>
          <w:szCs w:val="24"/>
        </w:rPr>
        <w:t>在服务周期内负责向采购人提供7×24小时不间断网络接入服务。</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（1）应具备7×24小时监控网络运行状态能力；</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（2）向采购人提供互联网情况查询服务</w:t>
      </w:r>
      <w:r>
        <w:rPr>
          <w:rFonts w:hint="eastAsia" w:ascii="宋体" w:hAnsi="宋体" w:eastAsia="宋体" w:cs="宋体"/>
          <w:bCs/>
          <w:sz w:val="24"/>
          <w:szCs w:val="24"/>
          <w:lang w:eastAsia="zh-CN"/>
        </w:rPr>
        <w:t>，</w:t>
      </w:r>
      <w:r>
        <w:rPr>
          <w:rFonts w:hint="eastAsia" w:ascii="宋体" w:hAnsi="宋体" w:eastAsia="宋体" w:cs="宋体"/>
          <w:color w:val="auto"/>
          <w:sz w:val="24"/>
          <w:szCs w:val="24"/>
          <w:lang w:eastAsia="zh-CN"/>
        </w:rPr>
        <w:t>包括但不限于流量、带宽、攻击、漏洞等方面的实时或一定时间范围内的查询功能；</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（3）保证带宽</w:t>
      </w:r>
      <w:r>
        <w:rPr>
          <w:rFonts w:hint="eastAsia" w:ascii="宋体" w:hAnsi="宋体" w:eastAsia="宋体" w:cs="宋体"/>
          <w:bCs/>
          <w:sz w:val="24"/>
          <w:szCs w:val="24"/>
          <w:lang w:eastAsia="zh-CN"/>
        </w:rPr>
        <w:t>成交人</w:t>
      </w:r>
      <w:r>
        <w:rPr>
          <w:rFonts w:hint="eastAsia" w:ascii="宋体" w:hAnsi="宋体" w:eastAsia="宋体" w:cs="宋体"/>
          <w:bCs/>
          <w:sz w:val="24"/>
          <w:szCs w:val="24"/>
        </w:rPr>
        <w:t>网络24小时稳定、可靠地运行，提供故障实时响应，提供技术支持和故障申告联系电话，以及指定联系人名单，提供远程</w:t>
      </w:r>
      <w:r>
        <w:rPr>
          <w:rFonts w:hint="eastAsia" w:ascii="宋体" w:hAnsi="宋体" w:eastAsia="宋体" w:cs="宋体"/>
          <w:sz w:val="24"/>
          <w:szCs w:val="24"/>
        </w:rPr>
        <w:t>、电话、现场等故障处理服务</w:t>
      </w:r>
      <w:r>
        <w:rPr>
          <w:rFonts w:hint="eastAsia" w:ascii="宋体" w:hAnsi="宋体" w:eastAsia="宋体" w:cs="宋体"/>
          <w:bCs/>
          <w:sz w:val="24"/>
          <w:szCs w:val="24"/>
        </w:rPr>
        <w:t>；</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（4）提供互联网出口的主动预警服务，</w:t>
      </w:r>
      <w:r>
        <w:rPr>
          <w:rFonts w:hint="eastAsia" w:ascii="宋体" w:hAnsi="宋体" w:eastAsia="宋体" w:cs="宋体"/>
          <w:bCs/>
          <w:sz w:val="24"/>
          <w:szCs w:val="24"/>
          <w:lang w:eastAsia="zh-CN"/>
        </w:rPr>
        <w:t>包括但不限于</w:t>
      </w:r>
      <w:r>
        <w:rPr>
          <w:rFonts w:hint="eastAsia" w:ascii="宋体" w:hAnsi="宋体" w:eastAsia="宋体" w:cs="宋体"/>
          <w:color w:val="auto"/>
          <w:sz w:val="24"/>
          <w:szCs w:val="24"/>
        </w:rPr>
        <w:t>预警流程和内容、方式</w:t>
      </w:r>
      <w:r>
        <w:rPr>
          <w:rFonts w:hint="eastAsia" w:ascii="宋体" w:hAnsi="宋体" w:eastAsia="宋体" w:cs="宋体"/>
          <w:color w:val="auto"/>
          <w:sz w:val="24"/>
          <w:szCs w:val="24"/>
          <w:lang w:eastAsia="zh-CN"/>
        </w:rPr>
        <w:t>，</w:t>
      </w:r>
      <w:r>
        <w:rPr>
          <w:rFonts w:hint="eastAsia" w:ascii="宋体" w:hAnsi="宋体" w:eastAsia="宋体" w:cs="宋体"/>
          <w:bCs/>
          <w:sz w:val="24"/>
          <w:szCs w:val="24"/>
        </w:rPr>
        <w:t>故障或计划内网络异常前须向采购人发出提醒服务，年度无故障率和网络连通率高于99.99%；</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11.</w:t>
      </w:r>
      <w:r>
        <w:rPr>
          <w:rFonts w:hint="eastAsia" w:ascii="宋体" w:hAnsi="宋体" w:eastAsia="宋体" w:cs="宋体"/>
          <w:bCs/>
          <w:sz w:val="24"/>
          <w:szCs w:val="24"/>
          <w:lang w:eastAsia="zh-CN"/>
        </w:rPr>
        <w:t>成交人</w:t>
      </w:r>
      <w:r>
        <w:rPr>
          <w:rFonts w:hint="eastAsia" w:ascii="宋体" w:hAnsi="宋体" w:eastAsia="宋体" w:cs="宋体"/>
          <w:bCs/>
          <w:sz w:val="24"/>
          <w:szCs w:val="24"/>
        </w:rPr>
        <w:t>应具备应对突发情况的带宽扩容能力。</w:t>
      </w:r>
    </w:p>
    <w:p>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bCs/>
          <w:sz w:val="24"/>
          <w:szCs w:val="24"/>
        </w:rPr>
        <w:t>12.响应：当带宽</w:t>
      </w:r>
      <w:r>
        <w:rPr>
          <w:rFonts w:hint="eastAsia" w:ascii="宋体" w:hAnsi="宋体" w:eastAsia="宋体" w:cs="宋体"/>
          <w:bCs/>
          <w:sz w:val="24"/>
          <w:szCs w:val="24"/>
          <w:lang w:eastAsia="zh-CN"/>
        </w:rPr>
        <w:t>成交人</w:t>
      </w:r>
      <w:r>
        <w:rPr>
          <w:rFonts w:hint="eastAsia" w:ascii="宋体" w:hAnsi="宋体" w:eastAsia="宋体" w:cs="宋体"/>
          <w:bCs/>
          <w:sz w:val="24"/>
          <w:szCs w:val="24"/>
        </w:rPr>
        <w:t>侧网络链路中断持续2分钟以上或有较大质量问题时须在5分钟内通知采购人，在2小时内解决问题；如需现场服务则需在30分钟内到达现场，在2小时内解决问题；问题解决后向采购人提交故障报告。</w:t>
      </w:r>
      <w:r>
        <w:rPr>
          <w:rFonts w:hint="eastAsia" w:ascii="宋体" w:hAnsi="宋体" w:eastAsia="宋体" w:cs="宋体"/>
          <w:sz w:val="24"/>
          <w:szCs w:val="24"/>
        </w:rPr>
        <w:t>如</w:t>
      </w:r>
      <w:r>
        <w:rPr>
          <w:rFonts w:hint="eastAsia" w:ascii="宋体" w:hAnsi="宋体" w:eastAsia="宋体" w:cs="宋体"/>
          <w:sz w:val="24"/>
          <w:szCs w:val="24"/>
          <w:lang w:eastAsia="zh-CN"/>
        </w:rPr>
        <w:t>成交人</w:t>
      </w:r>
      <w:r>
        <w:rPr>
          <w:rFonts w:hint="eastAsia" w:ascii="宋体" w:hAnsi="宋体" w:eastAsia="宋体" w:cs="宋体"/>
          <w:sz w:val="24"/>
          <w:szCs w:val="24"/>
        </w:rPr>
        <w:t>在接到采购人通知后 2小时内没有响应、拒绝或没有派员到达采购人现场提供服务，采购人有权委托第三方提供服务，因此产生的相关费用由</w:t>
      </w:r>
      <w:r>
        <w:rPr>
          <w:rFonts w:hint="eastAsia" w:ascii="宋体" w:hAnsi="宋体" w:eastAsia="宋体" w:cs="宋体"/>
          <w:sz w:val="24"/>
          <w:szCs w:val="24"/>
          <w:lang w:eastAsia="zh-CN"/>
        </w:rPr>
        <w:t>成交人</w:t>
      </w:r>
      <w:r>
        <w:rPr>
          <w:rFonts w:hint="eastAsia" w:ascii="宋体" w:hAnsi="宋体" w:eastAsia="宋体" w:cs="宋体"/>
          <w:sz w:val="24"/>
          <w:szCs w:val="24"/>
        </w:rPr>
        <w:t>承担。</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13.其他</w:t>
      </w:r>
    </w:p>
    <w:p>
      <w:pPr>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成交人</w:t>
      </w:r>
      <w:r>
        <w:rPr>
          <w:rFonts w:hint="eastAsia" w:ascii="宋体" w:hAnsi="宋体" w:eastAsia="宋体" w:cs="宋体"/>
          <w:bCs/>
          <w:sz w:val="24"/>
          <w:szCs w:val="24"/>
        </w:rPr>
        <w:t>如发生兼并或重组等事项，应由并购后的主体继续履行互联网接入服务直至服务期完结。</w:t>
      </w:r>
    </w:p>
    <w:p>
      <w:pPr>
        <w:spacing w:line="560" w:lineRule="exact"/>
        <w:ind w:firstLine="480" w:firstLineChars="200"/>
        <w:jc w:val="both"/>
        <w:rPr>
          <w:rFonts w:hint="eastAsia" w:ascii="宋体" w:hAnsi="宋体" w:eastAsia="宋体" w:cs="宋体"/>
          <w:sz w:val="24"/>
        </w:rPr>
      </w:pPr>
      <w:r>
        <w:rPr>
          <w:rFonts w:hint="eastAsia" w:ascii="宋体" w:hAnsi="宋体" w:eastAsia="宋体" w:cs="宋体"/>
          <w:bCs/>
          <w:sz w:val="24"/>
          <w:szCs w:val="24"/>
        </w:rPr>
        <w:t>（2）未经采购人事先书面同意，</w:t>
      </w:r>
      <w:r>
        <w:rPr>
          <w:rFonts w:hint="eastAsia" w:ascii="宋体" w:hAnsi="宋体" w:eastAsia="宋体" w:cs="宋体"/>
          <w:bCs/>
          <w:sz w:val="24"/>
          <w:szCs w:val="24"/>
          <w:lang w:eastAsia="zh-CN"/>
        </w:rPr>
        <w:t>成交人</w:t>
      </w:r>
      <w:r>
        <w:rPr>
          <w:rFonts w:hint="eastAsia" w:ascii="宋体" w:hAnsi="宋体" w:eastAsia="宋体" w:cs="宋体"/>
          <w:bCs/>
          <w:sz w:val="24"/>
          <w:szCs w:val="24"/>
        </w:rPr>
        <w:t>不得部分或全部转让其应履行的合同义务。</w:t>
      </w:r>
    </w:p>
    <w:p/>
    <w:p>
      <w:pPr>
        <w:spacing w:line="360" w:lineRule="auto"/>
        <w:jc w:val="center"/>
        <w:outlineLvl w:val="0"/>
        <w:rPr>
          <w:b/>
          <w:sz w:val="36"/>
          <w:szCs w:val="36"/>
        </w:rPr>
      </w:pPr>
      <w:r>
        <w:rPr>
          <w:b/>
          <w:sz w:val="36"/>
          <w:szCs w:val="36"/>
        </w:rPr>
        <w:br w:type="page"/>
      </w:r>
      <w:bookmarkStart w:id="749" w:name="_GoBack"/>
      <w:bookmarkEnd w:id="749"/>
      <w:bookmarkStart w:id="667" w:name="_Toc97371946"/>
      <w:r>
        <w:rPr>
          <w:b/>
          <w:sz w:val="36"/>
          <w:szCs w:val="36"/>
        </w:rPr>
        <w:t>第五章   合同草案条款</w:t>
      </w:r>
      <w:bookmarkEnd w:id="667"/>
    </w:p>
    <w:p>
      <w:pPr>
        <w:pStyle w:val="117"/>
        <w:numPr>
          <w:ilvl w:val="0"/>
          <w:numId w:val="0"/>
        </w:numPr>
        <w:snapToGrid w:val="0"/>
        <w:spacing w:before="0" w:after="0"/>
        <w:ind w:left="288" w:leftChars="0"/>
        <w:jc w:val="center"/>
        <w:rPr>
          <w:rFonts w:hint="eastAsia" w:ascii="宋体" w:hAnsi="宋体" w:eastAsia="宋体"/>
          <w:color w:val="auto"/>
          <w:sz w:val="24"/>
          <w:szCs w:val="24"/>
        </w:rPr>
      </w:pPr>
      <w:r>
        <w:rPr>
          <w:rFonts w:hint="eastAsia" w:ascii="宋体" w:hAnsi="宋体" w:eastAsia="宋体"/>
          <w:color w:val="auto"/>
          <w:sz w:val="24"/>
          <w:szCs w:val="24"/>
        </w:rPr>
        <w:t>政府采购合同</w:t>
      </w:r>
    </w:p>
    <w:p>
      <w:pPr>
        <w:spacing w:line="360" w:lineRule="auto"/>
        <w:rPr>
          <w:rFonts w:hint="eastAsia" w:ascii="宋体" w:hAnsi="宋体" w:eastAsia="宋体" w:cs="宋体"/>
          <w:b/>
          <w:bCs/>
          <w:color w:val="auto"/>
          <w:sz w:val="24"/>
          <w:szCs w:val="24"/>
        </w:rPr>
      </w:pPr>
    </w:p>
    <w:p>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（此合同仅供参考。以最终采购人与成交人签定的合同条款为准进行公示，</w:t>
      </w:r>
    </w:p>
    <w:p>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最终签定合同的主要条款不能与磋商文件有冲突）</w:t>
      </w:r>
    </w:p>
    <w:p>
      <w:pPr>
        <w:jc w:val="center"/>
        <w:rPr>
          <w:rFonts w:hint="eastAsia" w:ascii="宋体" w:hAnsi="宋体" w:eastAsia="宋体" w:cs="宋体"/>
          <w:b/>
          <w:color w:val="auto"/>
          <w:sz w:val="24"/>
          <w:szCs w:val="24"/>
        </w:rPr>
      </w:pPr>
    </w:p>
    <w:p>
      <w:pPr>
        <w:widowControl/>
        <w:spacing w:line="360" w:lineRule="auto"/>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eastAsia="zh-CN"/>
        </w:rPr>
        <w:t>第一、二包：</w:t>
      </w:r>
      <w:r>
        <w:rPr>
          <w:rFonts w:hint="eastAsia" w:ascii="宋体" w:hAnsi="宋体" w:eastAsia="宋体" w:cs="宋体"/>
          <w:b/>
          <w:bCs w:val="0"/>
          <w:color w:val="auto"/>
          <w:sz w:val="32"/>
          <w:szCs w:val="32"/>
        </w:rPr>
        <w:t>行政办公区桌面互联网接入服务采购项目</w:t>
      </w:r>
      <w:r>
        <w:rPr>
          <w:rFonts w:hint="eastAsia" w:ascii="宋体" w:hAnsi="宋体" w:eastAsia="宋体" w:cs="宋体"/>
          <w:b/>
          <w:bCs w:val="0"/>
          <w:color w:val="auto"/>
          <w:sz w:val="32"/>
          <w:szCs w:val="32"/>
          <w:lang w:eastAsia="zh-CN"/>
        </w:rPr>
        <w:t>（</w:t>
      </w:r>
      <w:r>
        <w:rPr>
          <w:rFonts w:hint="eastAsia" w:ascii="宋体" w:hAnsi="宋体" w:eastAsia="宋体" w:cs="宋体"/>
          <w:b/>
          <w:bCs w:val="0"/>
          <w:color w:val="auto"/>
          <w:sz w:val="32"/>
          <w:szCs w:val="32"/>
          <w:lang w:val="en-US" w:eastAsia="zh-CN"/>
        </w:rPr>
        <w:t>2026年度</w:t>
      </w:r>
      <w:r>
        <w:rPr>
          <w:rFonts w:hint="eastAsia" w:ascii="宋体" w:hAnsi="宋体" w:eastAsia="宋体" w:cs="宋体"/>
          <w:b/>
          <w:bCs w:val="0"/>
          <w:color w:val="auto"/>
          <w:sz w:val="32"/>
          <w:szCs w:val="32"/>
          <w:lang w:eastAsia="zh-CN"/>
        </w:rPr>
        <w:t>）</w:t>
      </w:r>
      <w:r>
        <w:rPr>
          <w:rFonts w:hint="eastAsia" w:ascii="宋体" w:hAnsi="宋体" w:eastAsia="宋体" w:cs="宋体"/>
          <w:b/>
          <w:bCs w:val="0"/>
          <w:color w:val="auto"/>
          <w:sz w:val="32"/>
          <w:szCs w:val="32"/>
        </w:rPr>
        <w:t>采购合同</w:t>
      </w:r>
    </w:p>
    <w:p>
      <w:pPr>
        <w:widowControl/>
        <w:spacing w:line="580" w:lineRule="exact"/>
        <w:jc w:val="center"/>
        <w:rPr>
          <w:rFonts w:hint="eastAsia" w:ascii="宋体" w:hAnsi="宋体" w:eastAsia="宋体" w:cs="宋体"/>
          <w:b/>
          <w:bCs/>
          <w:color w:val="auto"/>
          <w:sz w:val="24"/>
          <w:szCs w:val="24"/>
        </w:rPr>
      </w:pPr>
    </w:p>
    <w:p>
      <w:pPr>
        <w:widowControl/>
        <w:tabs>
          <w:tab w:val="left" w:pos="4390"/>
        </w:tabs>
        <w:spacing w:line="5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ab/>
      </w:r>
    </w:p>
    <w:p>
      <w:pPr>
        <w:widowControl/>
        <w:spacing w:line="580" w:lineRule="exact"/>
        <w:jc w:val="center"/>
        <w:rPr>
          <w:rFonts w:hint="eastAsia" w:ascii="宋体" w:hAnsi="宋体" w:eastAsia="宋体" w:cs="宋体"/>
          <w:b/>
          <w:bCs/>
          <w:color w:val="auto"/>
          <w:sz w:val="24"/>
          <w:szCs w:val="24"/>
        </w:rPr>
      </w:pPr>
    </w:p>
    <w:p>
      <w:pPr>
        <w:widowControl/>
        <w:spacing w:line="580" w:lineRule="exact"/>
        <w:jc w:val="center"/>
        <w:rPr>
          <w:rFonts w:hint="eastAsia" w:ascii="宋体" w:hAnsi="宋体" w:eastAsia="宋体" w:cs="宋体"/>
          <w:b/>
          <w:bCs/>
          <w:color w:val="auto"/>
          <w:sz w:val="24"/>
          <w:szCs w:val="24"/>
        </w:rPr>
      </w:pPr>
    </w:p>
    <w:p>
      <w:pPr>
        <w:widowControl/>
        <w:spacing w:line="5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tbl>
      <w:tblPr>
        <w:tblStyle w:val="42"/>
        <w:tblW w:w="9445" w:type="dxa"/>
        <w:jc w:val="center"/>
        <w:tblCellSpacing w:w="15" w:type="dxa"/>
        <w:tblInd w:w="0" w:type="dxa"/>
        <w:tblLayout w:type="fixed"/>
        <w:tblCellMar>
          <w:top w:w="15" w:type="dxa"/>
          <w:left w:w="15" w:type="dxa"/>
          <w:bottom w:w="15" w:type="dxa"/>
          <w:right w:w="15" w:type="dxa"/>
        </w:tblCellMar>
      </w:tblPr>
      <w:tblGrid>
        <w:gridCol w:w="2455"/>
        <w:gridCol w:w="6990"/>
      </w:tblGrid>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right="-3139" w:rightChars="-1495"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使用方（甲方）：</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b/>
                <w:color w:val="auto"/>
                <w:sz w:val="24"/>
                <w:szCs w:val="24"/>
              </w:rPr>
            </w:pPr>
            <w:r>
              <w:rPr>
                <w:rFonts w:hint="eastAsia" w:ascii="宋体" w:hAnsi="宋体" w:eastAsia="宋体" w:cs="宋体"/>
                <w:bCs/>
                <w:color w:val="auto"/>
                <w:sz w:val="24"/>
                <w:szCs w:val="24"/>
              </w:rPr>
              <w:t>中共北京市委机要局</w:t>
            </w: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地    址：</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北京市通州区运河东大街56号</w:t>
            </w: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bCs/>
                <w:color w:val="auto"/>
                <w:sz w:val="24"/>
                <w:szCs w:val="24"/>
              </w:rPr>
            </w:pPr>
            <w:r>
              <w:rPr>
                <w:rFonts w:hint="eastAsia" w:ascii="宋体" w:hAnsi="宋体" w:eastAsia="宋体" w:cs="宋体"/>
                <w:color w:val="auto"/>
                <w:sz w:val="24"/>
                <w:szCs w:val="24"/>
              </w:rPr>
              <w:t>100743</w:t>
            </w: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right="-464" w:rightChars="-221"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有效联系方式：</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010-55565051</w:t>
            </w:r>
          </w:p>
        </w:tc>
      </w:tr>
      <w:tr>
        <w:tblPrEx>
          <w:tblLayout w:type="fixed"/>
          <w:tblCellMar>
            <w:top w:w="15" w:type="dxa"/>
            <w:left w:w="15" w:type="dxa"/>
            <w:bottom w:w="15" w:type="dxa"/>
            <w:right w:w="15" w:type="dxa"/>
          </w:tblCellMar>
        </w:tblPrEx>
        <w:trPr>
          <w:trHeight w:val="149" w:hRule="atLeast"/>
          <w:tblCellSpacing w:w="15" w:type="dxa"/>
          <w:jc w:val="center"/>
        </w:trPr>
        <w:tc>
          <w:tcPr>
            <w:tcW w:w="2410"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供货方（乙方）：</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b/>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联系地址：</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right="-2092" w:rightChars="-996"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有效联系方式：</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right="-832" w:rightChars="-396"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 xml:space="preserve"> 财务负责人：</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账户名称：</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389" w:hRule="atLeast"/>
          <w:tblCellSpacing w:w="15" w:type="dxa"/>
          <w:jc w:val="center"/>
        </w:trPr>
        <w:tc>
          <w:tcPr>
            <w:tcW w:w="2410" w:type="dxa"/>
            <w:tcBorders>
              <w:top w:val="nil"/>
              <w:left w:val="nil"/>
              <w:bottom w:val="nil"/>
              <w:right w:val="nil"/>
            </w:tcBorders>
            <w:noWrap w:val="0"/>
            <w:vAlign w:val="center"/>
          </w:tcPr>
          <w:p>
            <w:pPr>
              <w:widowControl/>
              <w:spacing w:line="580" w:lineRule="exact"/>
              <w:ind w:firstLine="840" w:firstLineChars="350"/>
              <w:rPr>
                <w:rFonts w:hint="eastAsia" w:ascii="宋体" w:hAnsi="宋体" w:eastAsia="宋体" w:cs="宋体"/>
                <w:color w:val="auto"/>
                <w:sz w:val="24"/>
                <w:szCs w:val="24"/>
              </w:rPr>
            </w:pPr>
            <w:r>
              <w:rPr>
                <w:rFonts w:hint="eastAsia" w:ascii="宋体" w:hAnsi="宋体" w:eastAsia="宋体" w:cs="宋体"/>
                <w:color w:val="auto"/>
                <w:sz w:val="24"/>
                <w:szCs w:val="24"/>
              </w:rPr>
              <w:t>全位账号：</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trHeight w:val="149" w:hRule="atLeast"/>
          <w:tblCellSpacing w:w="15" w:type="dxa"/>
          <w:jc w:val="center"/>
        </w:trPr>
        <w:tc>
          <w:tcPr>
            <w:tcW w:w="2410"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6945" w:type="dxa"/>
            <w:tcBorders>
              <w:top w:val="nil"/>
              <w:left w:val="nil"/>
              <w:bottom w:val="nil"/>
              <w:right w:val="nil"/>
            </w:tcBorders>
            <w:noWrap w:val="0"/>
            <w:vAlign w:val="center"/>
          </w:tcPr>
          <w:p>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pPr>
        <w:rPr>
          <w:rFonts w:hint="eastAsia" w:ascii="宋体" w:hAnsi="宋体" w:eastAsia="宋体" w:cs="宋体"/>
          <w:sz w:val="24"/>
        </w:rPr>
      </w:pPr>
    </w:p>
    <w:tbl>
      <w:tblPr>
        <w:tblStyle w:val="42"/>
        <w:tblW w:w="9445" w:type="dxa"/>
        <w:jc w:val="center"/>
        <w:tblCellSpacing w:w="15" w:type="dxa"/>
        <w:tblInd w:w="0" w:type="dxa"/>
        <w:tblLayout w:type="fixed"/>
        <w:tblCellMar>
          <w:top w:w="15" w:type="dxa"/>
          <w:left w:w="15" w:type="dxa"/>
          <w:bottom w:w="15" w:type="dxa"/>
          <w:right w:w="15" w:type="dxa"/>
        </w:tblCellMar>
      </w:tblPr>
      <w:tblGrid>
        <w:gridCol w:w="9445"/>
      </w:tblGrid>
      <w:tr>
        <w:tblPrEx>
          <w:tblLayout w:type="fixed"/>
          <w:tblCellMar>
            <w:top w:w="15" w:type="dxa"/>
            <w:left w:w="15" w:type="dxa"/>
            <w:bottom w:w="15" w:type="dxa"/>
            <w:right w:w="15" w:type="dxa"/>
          </w:tblCellMar>
        </w:tblPrEx>
        <w:trPr>
          <w:trHeight w:val="13472" w:hRule="atLeast"/>
          <w:tblCellSpacing w:w="15" w:type="dxa"/>
          <w:jc w:val="center"/>
        </w:trPr>
        <w:tc>
          <w:tcPr>
            <w:tcW w:w="9385" w:type="dxa"/>
            <w:tcBorders>
              <w:top w:val="nil"/>
              <w:left w:val="nil"/>
              <w:bottom w:val="nil"/>
              <w:right w:val="nil"/>
            </w:tcBorders>
            <w:noWrap w:val="0"/>
            <w:vAlign w:val="center"/>
          </w:tcPr>
          <w:p>
            <w:pPr>
              <w:keepNext w:val="0"/>
              <w:keepLines w:val="0"/>
              <w:pageBreakBefore w:val="0"/>
              <w:widowControl/>
              <w:kinsoku/>
              <w:wordWrap/>
              <w:overflowPunct/>
              <w:topLinePunct w:val="0"/>
              <w:bidi w:val="0"/>
              <w:adjustRightInd w:val="0"/>
              <w:spacing w:line="400" w:lineRule="exact"/>
              <w:ind w:firstLine="600" w:firstLineChars="250"/>
              <w:textAlignment w:val="baseline"/>
              <w:outlineLvl w:val="9"/>
              <w:rPr>
                <w:rFonts w:hint="eastAsia" w:ascii="宋体" w:hAnsi="宋体" w:eastAsia="宋体" w:cs="宋体"/>
                <w:bCs/>
                <w:color w:val="auto"/>
                <w:sz w:val="24"/>
                <w:szCs w:val="24"/>
              </w:rPr>
            </w:pPr>
            <w:r>
              <w:rPr>
                <w:rFonts w:hint="eastAsia" w:ascii="宋体" w:hAnsi="宋体" w:eastAsia="宋体" w:cs="宋体"/>
                <w:color w:val="auto"/>
                <w:sz w:val="24"/>
                <w:szCs w:val="24"/>
              </w:rPr>
              <w:t>行政办公区桌面互联网接入服务项目中所需采购服务经</w:t>
            </w:r>
            <w:r>
              <w:rPr>
                <w:rFonts w:hint="eastAsia" w:ascii="宋体" w:hAnsi="宋体" w:eastAsia="宋体" w:cs="宋体"/>
                <w:color w:val="auto"/>
                <w:sz w:val="24"/>
                <w:szCs w:val="24"/>
                <w:u w:val="single"/>
              </w:rPr>
              <w:t>北京</w:t>
            </w:r>
            <w:r>
              <w:rPr>
                <w:rFonts w:hint="eastAsia" w:ascii="宋体" w:hAnsi="宋体" w:eastAsia="宋体" w:cs="宋体"/>
                <w:color w:val="auto"/>
                <w:sz w:val="24"/>
                <w:szCs w:val="24"/>
                <w:u w:val="single"/>
                <w:lang w:eastAsia="zh-CN"/>
              </w:rPr>
              <w:t>市公共资源交易中心</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 xml:space="preserve"> BGPC-     </w:t>
            </w:r>
            <w:r>
              <w:rPr>
                <w:rFonts w:hint="eastAsia" w:ascii="宋体" w:hAnsi="宋体" w:eastAsia="宋体" w:cs="宋体"/>
                <w:color w:val="auto"/>
                <w:sz w:val="24"/>
                <w:szCs w:val="24"/>
              </w:rPr>
              <w:t>号磋商文件在国内</w:t>
            </w:r>
            <w:r>
              <w:rPr>
                <w:rFonts w:hint="eastAsia" w:ascii="宋体" w:hAnsi="宋体" w:eastAsia="宋体" w:cs="宋体"/>
                <w:color w:val="auto"/>
                <w:sz w:val="24"/>
                <w:szCs w:val="24"/>
                <w:u w:val="single"/>
              </w:rPr>
              <w:t>竞争性磋商</w:t>
            </w:r>
            <w:r>
              <w:rPr>
                <w:rFonts w:hint="eastAsia" w:ascii="宋体" w:hAnsi="宋体" w:eastAsia="宋体" w:cs="宋体"/>
                <w:color w:val="auto"/>
                <w:sz w:val="24"/>
                <w:szCs w:val="24"/>
              </w:rPr>
              <w:t>，经磋商小组评定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成交人。按照《中华人民共和国政府采购法》、《中华人民共和国民法典》及相关的政府采购规定，甲、乙双方就提供电子政务互联网接入服务事宜签订行政办公区桌面互联网接入服务项目采购合同（以下简称：本合同）并共同遵守履行。</w:t>
            </w:r>
          </w:p>
          <w:p>
            <w:pPr>
              <w:keepNext w:val="0"/>
              <w:keepLines w:val="0"/>
              <w:pageBreakBefore w:val="0"/>
              <w:numPr>
                <w:ilvl w:val="0"/>
                <w:numId w:val="0"/>
              </w:numPr>
              <w:kinsoku/>
              <w:wordWrap/>
              <w:overflowPunct/>
              <w:topLinePunct w:val="0"/>
              <w:autoSpaceDE w:val="0"/>
              <w:autoSpaceDN w:val="0"/>
              <w:bidi w:val="0"/>
              <w:adjustRightInd w:val="0"/>
              <w:snapToGrid w:val="0"/>
              <w:spacing w:before="156" w:beforeLines="50" w:line="400" w:lineRule="exact"/>
              <w:textAlignment w:val="baseline"/>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定义</w:t>
            </w:r>
          </w:p>
          <w:p>
            <w:pPr>
              <w:keepNext w:val="0"/>
              <w:keepLines w:val="0"/>
              <w:pageBreakBefore w:val="0"/>
              <w:kinsoku/>
              <w:wordWrap/>
              <w:overflowPunct/>
              <w:topLinePunct w:val="0"/>
              <w:bidi w:val="0"/>
              <w:adjustRightInd w:val="0"/>
              <w:spacing w:line="400" w:lineRule="exact"/>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本合同中的下列术语应解释为：</w:t>
            </w:r>
          </w:p>
          <w:p>
            <w:pPr>
              <w:keepNext w:val="0"/>
              <w:keepLines w:val="0"/>
              <w:pageBreakBefore w:val="0"/>
              <w:numPr>
                <w:ilvl w:val="0"/>
                <w:numId w:val="0"/>
              </w:numPr>
              <w:tabs>
                <w:tab w:val="left" w:pos="91"/>
              </w:tabs>
              <w:kinsoku/>
              <w:wordWrap/>
              <w:overflowPunct/>
              <w:topLinePunct w:val="0"/>
              <w:bidi w:val="0"/>
              <w:adjustRightInd w:val="0"/>
              <w:spacing w:line="400" w:lineRule="exact"/>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rPr>
              <w:t>“合同”系指甲方与供应商签署的、合同格式中载明的甲方与供应商所达成的条款，包括所有的附件、附录和构成合同的其它文件。</w:t>
            </w:r>
          </w:p>
          <w:p>
            <w:pPr>
              <w:keepNext w:val="0"/>
              <w:keepLines w:val="0"/>
              <w:pageBreakBefore w:val="0"/>
              <w:numPr>
                <w:ilvl w:val="0"/>
                <w:numId w:val="0"/>
              </w:numPr>
              <w:tabs>
                <w:tab w:val="left" w:pos="91"/>
              </w:tabs>
              <w:kinsoku/>
              <w:wordWrap/>
              <w:overflowPunct/>
              <w:topLinePunct w:val="0"/>
              <w:bidi w:val="0"/>
              <w:adjustRightInd w:val="0"/>
              <w:spacing w:line="400" w:lineRule="exact"/>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（2）</w:t>
            </w:r>
            <w:r>
              <w:rPr>
                <w:rFonts w:hint="eastAsia" w:ascii="宋体" w:hAnsi="宋体" w:eastAsia="宋体" w:cs="宋体"/>
                <w:color w:val="auto"/>
                <w:sz w:val="24"/>
                <w:szCs w:val="24"/>
              </w:rPr>
              <w:t>“货物”系指供应商根据合同规定须向甲方提供的一切设备、机械、仪表、备件、工具、手册和其它技术资料及其它材料。</w:t>
            </w:r>
          </w:p>
          <w:p>
            <w:pPr>
              <w:keepNext w:val="0"/>
              <w:keepLines w:val="0"/>
              <w:pageBreakBefore w:val="0"/>
              <w:numPr>
                <w:ilvl w:val="0"/>
                <w:numId w:val="0"/>
              </w:numPr>
              <w:tabs>
                <w:tab w:val="left" w:pos="91"/>
              </w:tabs>
              <w:kinsoku/>
              <w:wordWrap/>
              <w:overflowPunct/>
              <w:topLinePunct w:val="0"/>
              <w:bidi w:val="0"/>
              <w:adjustRightInd w:val="0"/>
              <w:spacing w:line="400" w:lineRule="exact"/>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（3）</w:t>
            </w:r>
            <w:r>
              <w:rPr>
                <w:rFonts w:hint="eastAsia" w:ascii="宋体" w:hAnsi="宋体" w:eastAsia="宋体" w:cs="宋体"/>
                <w:color w:val="auto"/>
                <w:sz w:val="24"/>
                <w:szCs w:val="24"/>
              </w:rPr>
              <w:t>“服务”系指根据合同规定供应商承担与供货有关的辅助服务，如运输、保险以及其它的服务，如安装、调试、提供技术协助、培训和其他类似的义务。</w:t>
            </w:r>
          </w:p>
          <w:p>
            <w:pPr>
              <w:keepNext w:val="0"/>
              <w:keepLines w:val="0"/>
              <w:pageBreakBefore w:val="0"/>
              <w:numPr>
                <w:ilvl w:val="0"/>
                <w:numId w:val="0"/>
              </w:numPr>
              <w:tabs>
                <w:tab w:val="left" w:pos="91"/>
              </w:tabs>
              <w:kinsoku/>
              <w:wordWrap/>
              <w:overflowPunct/>
              <w:topLinePunct w:val="0"/>
              <w:bidi w:val="0"/>
              <w:adjustRightInd w:val="0"/>
              <w:spacing w:line="400" w:lineRule="exact"/>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（4）</w:t>
            </w:r>
            <w:r>
              <w:rPr>
                <w:rFonts w:hint="eastAsia" w:ascii="宋体" w:hAnsi="宋体" w:eastAsia="宋体" w:cs="宋体"/>
                <w:color w:val="auto"/>
                <w:sz w:val="24"/>
                <w:szCs w:val="24"/>
              </w:rPr>
              <w:t>“供应商”系指根据合同规定提供货物和服务的具有法人资格的公司或实体。</w:t>
            </w:r>
          </w:p>
          <w:p>
            <w:pPr>
              <w:keepNext w:val="0"/>
              <w:keepLines w:val="0"/>
              <w:pageBreakBefore w:val="0"/>
              <w:numPr>
                <w:ilvl w:val="0"/>
                <w:numId w:val="0"/>
              </w:numPr>
              <w:tabs>
                <w:tab w:val="left" w:pos="91"/>
              </w:tabs>
              <w:kinsoku/>
              <w:wordWrap/>
              <w:overflowPunct/>
              <w:topLinePunct w:val="0"/>
              <w:bidi w:val="0"/>
              <w:adjustRightInd w:val="0"/>
              <w:spacing w:line="400" w:lineRule="exact"/>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“现场”系指合同项下货物将要进行安装和运行的地点。</w:t>
            </w:r>
          </w:p>
          <w:p>
            <w:pPr>
              <w:keepNext w:val="0"/>
              <w:keepLines w:val="0"/>
              <w:pageBreakBefore w:val="0"/>
              <w:numPr>
                <w:ilvl w:val="0"/>
                <w:numId w:val="0"/>
              </w:numPr>
              <w:kinsoku/>
              <w:wordWrap/>
              <w:overflowPunct/>
              <w:topLinePunct w:val="0"/>
              <w:autoSpaceDE w:val="0"/>
              <w:autoSpaceDN w:val="0"/>
              <w:bidi w:val="0"/>
              <w:adjustRightInd w:val="0"/>
              <w:snapToGrid w:val="0"/>
              <w:spacing w:before="156" w:beforeLines="50" w:line="400" w:lineRule="exact"/>
              <w:textAlignment w:val="baseline"/>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项目概况</w:t>
            </w:r>
          </w:p>
          <w:p>
            <w:pPr>
              <w:keepNext w:val="0"/>
              <w:keepLines w:val="0"/>
              <w:pageBreakBefore w:val="0"/>
              <w:kinsoku/>
              <w:wordWrap/>
              <w:overflowPunct/>
              <w:topLinePunct w:val="0"/>
              <w:autoSpaceDE w:val="0"/>
              <w:autoSpaceDN w:val="0"/>
              <w:bidi w:val="0"/>
              <w:adjustRightInd w:val="0"/>
              <w:snapToGrid w:val="0"/>
              <w:spacing w:line="400" w:lineRule="exact"/>
              <w:textAlignment w:val="baseline"/>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1．互联网服务接入地点：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2．互联网服务接入带宽：</w:t>
            </w:r>
            <w:r>
              <w:rPr>
                <w:rFonts w:hint="eastAsia" w:ascii="宋体" w:hAnsi="宋体" w:eastAsia="宋体" w:cs="宋体"/>
                <w:color w:val="auto"/>
                <w:sz w:val="24"/>
                <w:szCs w:val="24"/>
                <w:u w:val="single"/>
              </w:rPr>
              <w:t>有线互联网专线</w:t>
            </w:r>
            <w:r>
              <w:rPr>
                <w:rFonts w:hint="eastAsia" w:ascii="宋体" w:hAnsi="宋体" w:eastAsia="宋体" w:cs="宋体"/>
                <w:color w:val="auto"/>
                <w:sz w:val="24"/>
                <w:szCs w:val="24"/>
                <w:u w:val="single"/>
                <w:lang w:val="en-US" w:eastAsia="zh-CN"/>
              </w:rPr>
              <w:t>4.9</w:t>
            </w:r>
            <w:r>
              <w:rPr>
                <w:rFonts w:hint="eastAsia" w:ascii="宋体" w:hAnsi="宋体" w:eastAsia="宋体" w:cs="宋体"/>
                <w:color w:val="auto"/>
                <w:sz w:val="24"/>
                <w:szCs w:val="24"/>
                <w:u w:val="single"/>
              </w:rPr>
              <w:t xml:space="preserve">G </w:t>
            </w:r>
            <w:r>
              <w:rPr>
                <w:rFonts w:hint="eastAsia" w:ascii="宋体" w:hAnsi="宋体" w:eastAsia="宋体" w:cs="宋体"/>
                <w:color w:val="auto"/>
                <w:sz w:val="24"/>
                <w:szCs w:val="24"/>
              </w:rPr>
              <w:t>。</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3．互联网接入方式： √LAN □ATM  □SDH</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4．互联网接入服务期：</w:t>
            </w:r>
            <w:r>
              <w:rPr>
                <w:rFonts w:hint="eastAsia" w:ascii="宋体" w:hAnsi="宋体" w:eastAsia="宋体" w:cs="宋体"/>
                <w:color w:val="auto"/>
                <w:sz w:val="24"/>
                <w:szCs w:val="24"/>
                <w:u w:val="single"/>
              </w:rPr>
              <w:t xml:space="preserve"> 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1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12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31 </w:t>
            </w:r>
            <w:r>
              <w:rPr>
                <w:rFonts w:hint="eastAsia" w:ascii="宋体" w:hAnsi="宋体" w:eastAsia="宋体" w:cs="宋体"/>
                <w:color w:val="auto"/>
                <w:sz w:val="24"/>
                <w:szCs w:val="24"/>
              </w:rPr>
              <w:t>日。</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宋体" w:hAnsi="宋体" w:eastAsia="宋体" w:cs="宋体"/>
                <w:color w:val="auto"/>
                <w:sz w:val="24"/>
                <w:szCs w:val="24"/>
              </w:rPr>
            </w:pPr>
            <w:r>
              <w:rPr>
                <w:rFonts w:hint="eastAsia" w:ascii="宋体" w:hAnsi="宋体" w:eastAsia="宋体" w:cs="宋体"/>
                <w:color w:val="auto"/>
                <w:sz w:val="24"/>
                <w:szCs w:val="24"/>
              </w:rPr>
              <w:t>5.互联网地址：乙方提供公网IP</w:t>
            </w:r>
            <w:r>
              <w:rPr>
                <w:rFonts w:hint="eastAsia" w:ascii="宋体" w:hAnsi="宋体" w:eastAsia="宋体" w:cs="宋体"/>
                <w:bCs/>
                <w:color w:val="auto"/>
                <w:sz w:val="24"/>
                <w:szCs w:val="24"/>
              </w:rPr>
              <w:t>v4</w:t>
            </w:r>
            <w:r>
              <w:rPr>
                <w:rFonts w:hint="eastAsia" w:ascii="宋体" w:hAnsi="宋体" w:eastAsia="宋体" w:cs="宋体"/>
                <w:color w:val="auto"/>
                <w:sz w:val="24"/>
                <w:szCs w:val="24"/>
              </w:rPr>
              <w:t>地址个数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w:t>
            </w:r>
            <w:r>
              <w:rPr>
                <w:rFonts w:hint="eastAsia" w:ascii="宋体" w:hAnsi="宋体" w:eastAsia="宋体" w:cs="宋体"/>
                <w:bCs/>
                <w:color w:val="auto"/>
                <w:sz w:val="24"/>
                <w:szCs w:val="24"/>
              </w:rPr>
              <w:t>公网IPv6</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6. 其他付费方式约定：</w:t>
            </w:r>
            <w:r>
              <w:rPr>
                <w:rFonts w:hint="eastAsia" w:ascii="宋体" w:hAnsi="宋体" w:eastAsia="宋体" w:cs="宋体"/>
                <w:color w:val="auto"/>
                <w:sz w:val="24"/>
                <w:szCs w:val="24"/>
                <w:u w:val="single"/>
              </w:rPr>
              <w:t xml:space="preserve"> 无 </w:t>
            </w:r>
            <w:r>
              <w:rPr>
                <w:rFonts w:hint="eastAsia" w:ascii="宋体" w:hAnsi="宋体" w:eastAsia="宋体" w:cs="宋体"/>
                <w:color w:val="auto"/>
                <w:sz w:val="24"/>
                <w:szCs w:val="24"/>
              </w:rPr>
              <w:t>。</w:t>
            </w:r>
          </w:p>
          <w:p>
            <w:pPr>
              <w:numPr>
                <w:ilvl w:val="0"/>
                <w:numId w:val="0"/>
              </w:numPr>
              <w:autoSpaceDE w:val="0"/>
              <w:autoSpaceDN w:val="0"/>
              <w:snapToGrid w:val="0"/>
              <w:spacing w:before="156" w:beforeLines="50" w:line="58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服务价格</w:t>
            </w:r>
          </w:p>
          <w:p>
            <w:pPr>
              <w:keepNext w:val="0"/>
              <w:keepLines w:val="0"/>
              <w:pageBreakBefore w:val="0"/>
              <w:widowControl w:val="0"/>
              <w:tabs>
                <w:tab w:val="left" w:pos="814"/>
              </w:tabs>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1．乙方向甲方提供服务的价格为</w:t>
            </w:r>
            <w:r>
              <w:rPr>
                <w:rFonts w:hint="eastAsia" w:ascii="方正小标宋简体" w:hAnsi="方正小标宋简体" w:eastAsia="方正小标宋简体" w:cs="方正小标宋简体"/>
                <w:color w:val="auto"/>
                <w:sz w:val="24"/>
                <w:szCs w:val="24"/>
                <w:u w:val="singl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widowControl w:val="0"/>
              <w:tabs>
                <w:tab w:val="left" w:pos="814"/>
              </w:tabs>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2．服务费计算方式为</w:t>
            </w:r>
            <w:r>
              <w:rPr>
                <w:rFonts w:hint="eastAsia" w:ascii="宋体" w:hAnsi="宋体" w:eastAsia="宋体" w:cs="宋体"/>
                <w:color w:val="auto"/>
                <w:sz w:val="24"/>
                <w:szCs w:val="24"/>
                <w:u w:val="single"/>
              </w:rPr>
              <w:t>根据互联网接入服务带宽数确定服务费</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乙方服务报价已包含了互联网带宽使用费及网络接入所产生的建设、安装、线路迁移、调试、培训、税费等所需的一切费用。除前述费用外，甲方不再另行支付任何其他费用。甲方因选定乙方服务而产生的互联网带宽使用费以外的费用，由乙方承担。</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4．甲乙双方对服务费的具体支付方式及时间可以另行约定，双方可以在本合同的特别约定中写明。</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甲方权利和义务</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1．甲方按本合同约定享受乙方提供的符合国家规定的互联网接入服务。</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2．甲方使用乙方提供的互联网接入业务，必须遵守国家相关的法律、法规和政策的规定。甲方使用乙方提供的互联网接入业务违反国家相关法律、法规和政策规定，产生的相应法律责任，由甲方承担。</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3．按本合同约定向乙方支付货款。但甲方因财政性资金拨付等原因迟延履行付款义务的，不视为甲方违约。</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4．在乙方提供服务的过程中，甲方有权随时检查乙方提供服务的情况，乙方对检查出的问题必须按甲方指定的时间进行整改。</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乙方权利和义务</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1．乙方应在</w:t>
            </w:r>
            <w:r>
              <w:rPr>
                <w:rFonts w:hint="eastAsia" w:ascii="宋体" w:hAnsi="宋体" w:eastAsia="宋体" w:cs="宋体"/>
                <w:bCs/>
                <w:color w:val="auto"/>
                <w:sz w:val="24"/>
                <w:szCs w:val="24"/>
              </w:rPr>
              <w:t>202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年1月1日前具备互联网专线接入条件</w:t>
            </w:r>
            <w:r>
              <w:rPr>
                <w:rFonts w:hint="eastAsia" w:ascii="宋体" w:hAnsi="宋体" w:eastAsia="宋体" w:cs="宋体"/>
                <w:color w:val="auto"/>
                <w:sz w:val="24"/>
                <w:szCs w:val="24"/>
              </w:rPr>
              <w:t>，乙方负责与甲方接入设备的连接及接入线路的联调，经过测试确保网络运行平稳，测试网络稳定性、主备端口或链路切换情况并提供测试报告，于202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年1月1日正式提供互联网专线接入、带宽服务。 </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乙方应通过LAN口，以光纤专线的方式直接接入行政办公区数据中心楼传输机房A101，且光缆布放须符合行政办公区数据中心贯通缆部署实施规范，通过租用大市政管廊、小市政管孔资源进入数据中心楼，租用费由乙方承担，甲方不再单独支付。楼内光缆通过管孔、桥架在机房内机柜成端，光缆有明确标识，布放整洁、防虫、防潮。</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both"/>
              <w:textAlignment w:val="baseline"/>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rPr>
              <w:t>（2）</w:t>
            </w:r>
            <w:r>
              <w:rPr>
                <w:rFonts w:hint="eastAsia" w:ascii="宋体" w:hAnsi="宋体" w:eastAsia="宋体" w:cs="宋体"/>
                <w:bCs/>
                <w:color w:val="auto"/>
                <w:sz w:val="24"/>
                <w:szCs w:val="24"/>
              </w:rPr>
              <w:t>乙方</w:t>
            </w:r>
            <w:r>
              <w:rPr>
                <w:rFonts w:hint="eastAsia" w:ascii="宋体" w:hAnsi="宋体" w:eastAsia="宋体" w:cs="宋体"/>
                <w:bCs/>
                <w:color w:val="auto"/>
                <w:sz w:val="24"/>
                <w:szCs w:val="24"/>
                <w:highlight w:val="none"/>
              </w:rPr>
              <w:t>提供至少1台</w:t>
            </w:r>
            <w:r>
              <w:rPr>
                <w:rFonts w:hint="eastAsia" w:ascii="宋体" w:hAnsi="宋体" w:eastAsia="宋体" w:cs="宋体"/>
                <w:bCs/>
                <w:color w:val="auto"/>
                <w:sz w:val="24"/>
                <w:szCs w:val="24"/>
                <w:highlight w:val="none"/>
                <w:lang w:eastAsia="zh-CN"/>
              </w:rPr>
              <w:t>万兆</w:t>
            </w:r>
            <w:r>
              <w:rPr>
                <w:rFonts w:hint="eastAsia" w:ascii="宋体" w:hAnsi="宋体" w:eastAsia="宋体" w:cs="宋体"/>
                <w:bCs/>
                <w:color w:val="auto"/>
                <w:sz w:val="24"/>
                <w:szCs w:val="24"/>
                <w:highlight w:val="none"/>
              </w:rPr>
              <w:t>性能以上链路负载均衡设备，做为负载均衡</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设备，负载均衡设备</w:t>
            </w:r>
            <w:r>
              <w:rPr>
                <w:rFonts w:hint="eastAsia" w:ascii="宋体" w:hAnsi="宋体" w:eastAsia="宋体" w:cs="宋体"/>
                <w:bCs/>
                <w:color w:val="auto"/>
                <w:sz w:val="24"/>
                <w:szCs w:val="24"/>
                <w:highlight w:val="none"/>
                <w:lang w:eastAsia="zh-CN"/>
              </w:rPr>
              <w:t>应具备</w:t>
            </w:r>
            <w:r>
              <w:rPr>
                <w:rFonts w:hint="eastAsia" w:ascii="宋体" w:hAnsi="宋体" w:eastAsia="宋体" w:cs="宋体"/>
                <w:bCs/>
                <w:color w:val="auto"/>
                <w:sz w:val="24"/>
                <w:szCs w:val="24"/>
                <w:highlight w:val="none"/>
                <w:lang w:val="en-US" w:eastAsia="zh-CN"/>
              </w:rPr>
              <w:t>6个以上万兆光口，4个以上电口；</w:t>
            </w:r>
            <w:r>
              <w:rPr>
                <w:rFonts w:hint="eastAsia" w:ascii="宋体" w:hAnsi="宋体" w:eastAsia="宋体" w:cs="宋体"/>
                <w:bCs/>
                <w:color w:val="auto"/>
                <w:sz w:val="24"/>
                <w:szCs w:val="24"/>
              </w:rPr>
              <w:t>乙方</w:t>
            </w:r>
            <w:r>
              <w:rPr>
                <w:rFonts w:hint="eastAsia" w:ascii="宋体" w:hAnsi="宋体" w:eastAsia="宋体" w:cs="宋体"/>
                <w:bCs/>
                <w:color w:val="auto"/>
                <w:sz w:val="24"/>
                <w:szCs w:val="24"/>
                <w:highlight w:val="none"/>
              </w:rPr>
              <w:t>传输设备以双链路主备模式</w:t>
            </w:r>
            <w:r>
              <w:rPr>
                <w:rFonts w:hint="eastAsia" w:ascii="宋体" w:hAnsi="宋体" w:eastAsia="宋体" w:cs="宋体"/>
                <w:bCs/>
                <w:color w:val="auto"/>
                <w:sz w:val="24"/>
                <w:szCs w:val="24"/>
                <w:highlight w:val="none"/>
                <w:lang w:eastAsia="zh-CN"/>
              </w:rPr>
              <w:t>分别</w:t>
            </w:r>
            <w:r>
              <w:rPr>
                <w:rFonts w:hint="eastAsia" w:ascii="宋体" w:hAnsi="宋体" w:eastAsia="宋体" w:cs="宋体"/>
                <w:bCs/>
                <w:color w:val="auto"/>
                <w:sz w:val="24"/>
                <w:szCs w:val="24"/>
                <w:highlight w:val="none"/>
              </w:rPr>
              <w:t>接入到</w:t>
            </w:r>
            <w:r>
              <w:rPr>
                <w:rFonts w:hint="eastAsia" w:ascii="宋体" w:hAnsi="宋体" w:eastAsia="宋体" w:cs="宋体"/>
                <w:bCs/>
                <w:color w:val="auto"/>
                <w:sz w:val="24"/>
                <w:szCs w:val="24"/>
                <w:highlight w:val="none"/>
                <w:lang w:eastAsia="zh-CN"/>
              </w:rPr>
              <w:t>主备</w:t>
            </w:r>
            <w:r>
              <w:rPr>
                <w:rFonts w:hint="eastAsia" w:ascii="宋体" w:hAnsi="宋体" w:eastAsia="宋体" w:cs="宋体"/>
                <w:bCs/>
                <w:color w:val="auto"/>
                <w:sz w:val="24"/>
                <w:szCs w:val="24"/>
                <w:highlight w:val="none"/>
              </w:rPr>
              <w:t>负载</w:t>
            </w:r>
            <w:r>
              <w:rPr>
                <w:rFonts w:hint="eastAsia" w:ascii="宋体" w:hAnsi="宋体" w:eastAsia="宋体" w:cs="宋体"/>
                <w:bCs/>
                <w:color w:val="auto"/>
                <w:sz w:val="24"/>
                <w:szCs w:val="24"/>
                <w:highlight w:val="none"/>
                <w:lang w:eastAsia="zh-CN"/>
              </w:rPr>
              <w:t>均衡</w:t>
            </w:r>
            <w:r>
              <w:rPr>
                <w:rFonts w:hint="eastAsia" w:ascii="宋体" w:hAnsi="宋体" w:eastAsia="宋体" w:cs="宋体"/>
                <w:bCs/>
                <w:color w:val="auto"/>
                <w:sz w:val="24"/>
                <w:szCs w:val="24"/>
                <w:highlight w:val="none"/>
              </w:rPr>
              <w:t>设备上；负载</w:t>
            </w:r>
            <w:r>
              <w:rPr>
                <w:rFonts w:hint="eastAsia" w:ascii="宋体" w:hAnsi="宋体" w:eastAsia="宋体" w:cs="宋体"/>
                <w:bCs/>
                <w:color w:val="auto"/>
                <w:sz w:val="24"/>
                <w:szCs w:val="24"/>
                <w:highlight w:val="none"/>
                <w:lang w:eastAsia="zh-CN"/>
              </w:rPr>
              <w:t>均衡</w:t>
            </w:r>
            <w:r>
              <w:rPr>
                <w:rFonts w:hint="eastAsia" w:ascii="宋体" w:hAnsi="宋体" w:eastAsia="宋体" w:cs="宋体"/>
                <w:bCs/>
                <w:color w:val="auto"/>
                <w:sz w:val="24"/>
                <w:szCs w:val="24"/>
                <w:highlight w:val="none"/>
              </w:rPr>
              <w:t>设备具备主备切换机制，</w:t>
            </w:r>
            <w:r>
              <w:rPr>
                <w:rFonts w:hint="eastAsia" w:ascii="宋体" w:hAnsi="宋体" w:eastAsia="宋体" w:cs="宋体"/>
                <w:bCs/>
                <w:color w:val="auto"/>
                <w:sz w:val="24"/>
                <w:szCs w:val="24"/>
                <w:highlight w:val="none"/>
                <w:lang w:eastAsia="zh-CN"/>
              </w:rPr>
              <w:t>能够</w:t>
            </w:r>
            <w:r>
              <w:rPr>
                <w:rFonts w:hint="eastAsia" w:ascii="宋体" w:hAnsi="宋体" w:eastAsia="宋体" w:cs="宋体"/>
                <w:bCs/>
                <w:color w:val="auto"/>
                <w:sz w:val="24"/>
                <w:szCs w:val="24"/>
                <w:highlight w:val="none"/>
              </w:rPr>
              <w:t>实现</w:t>
            </w:r>
            <w:r>
              <w:rPr>
                <w:rFonts w:hint="eastAsia" w:ascii="宋体" w:hAnsi="宋体" w:eastAsia="宋体" w:cs="宋体"/>
                <w:bCs/>
                <w:color w:val="auto"/>
                <w:sz w:val="24"/>
                <w:szCs w:val="24"/>
                <w:highlight w:val="none"/>
                <w:lang w:eastAsia="zh-CN"/>
              </w:rPr>
              <w:t>主备</w:t>
            </w:r>
            <w:r>
              <w:rPr>
                <w:rFonts w:hint="eastAsia" w:ascii="宋体" w:hAnsi="宋体" w:eastAsia="宋体" w:cs="宋体"/>
                <w:bCs/>
                <w:color w:val="auto"/>
                <w:sz w:val="24"/>
                <w:szCs w:val="24"/>
                <w:highlight w:val="none"/>
              </w:rPr>
              <w:t>负载均衡设备间通过心跳线自动切换功能；负载</w:t>
            </w:r>
            <w:r>
              <w:rPr>
                <w:rFonts w:hint="eastAsia" w:ascii="宋体" w:hAnsi="宋体" w:eastAsia="宋体" w:cs="宋体"/>
                <w:bCs/>
                <w:color w:val="auto"/>
                <w:sz w:val="24"/>
                <w:szCs w:val="24"/>
                <w:highlight w:val="none"/>
                <w:lang w:eastAsia="zh-CN"/>
              </w:rPr>
              <w:t>均衡</w:t>
            </w:r>
            <w:r>
              <w:rPr>
                <w:rFonts w:hint="eastAsia" w:ascii="宋体" w:hAnsi="宋体" w:eastAsia="宋体" w:cs="宋体"/>
                <w:bCs/>
                <w:color w:val="auto"/>
                <w:sz w:val="24"/>
                <w:szCs w:val="24"/>
                <w:highlight w:val="none"/>
              </w:rPr>
              <w:t>设备支持端口联动功能；通过负载均衡设备满足内部地址到互联网公网地址</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地址转换（包含公网支持IPv4和IPv6地址）</w:t>
            </w:r>
            <w:r>
              <w:rPr>
                <w:rFonts w:hint="eastAsia" w:ascii="宋体" w:hAnsi="宋体" w:eastAsia="宋体" w:cs="宋体"/>
                <w:bCs/>
                <w:color w:val="auto"/>
                <w:sz w:val="24"/>
                <w:szCs w:val="24"/>
                <w:highlight w:val="none"/>
                <w:lang w:eastAsia="zh-CN"/>
              </w:rPr>
              <w:t>和</w:t>
            </w:r>
            <w:r>
              <w:rPr>
                <w:rFonts w:hint="eastAsia" w:ascii="宋体" w:hAnsi="宋体" w:eastAsia="宋体" w:cs="宋体"/>
                <w:bCs/>
                <w:color w:val="auto"/>
                <w:sz w:val="24"/>
                <w:szCs w:val="24"/>
                <w:highlight w:val="none"/>
              </w:rPr>
              <w:t>必要业务应用如视频会议内部地址到互联网公网地址一对一映射需要。</w:t>
            </w:r>
            <w:r>
              <w:rPr>
                <w:rFonts w:hint="eastAsia" w:ascii="宋体" w:hAnsi="宋体" w:eastAsia="宋体" w:cs="宋体"/>
                <w:bCs/>
                <w:color w:val="auto"/>
                <w:sz w:val="24"/>
                <w:szCs w:val="24"/>
                <w:highlight w:val="none"/>
                <w:lang w:eastAsia="zh-CN"/>
              </w:rPr>
              <w:t>负载均衡设备支持同时挂载</w:t>
            </w:r>
            <w:r>
              <w:rPr>
                <w:rFonts w:hint="eastAsia" w:ascii="宋体" w:hAnsi="宋体" w:eastAsia="宋体" w:cs="宋体"/>
                <w:bCs/>
                <w:color w:val="auto"/>
                <w:sz w:val="24"/>
                <w:szCs w:val="24"/>
                <w:highlight w:val="none"/>
                <w:lang w:val="en-US" w:eastAsia="zh-CN"/>
              </w:rPr>
              <w:t>2台日志服务器。</w:t>
            </w:r>
            <w:r>
              <w:rPr>
                <w:rFonts w:hint="eastAsia" w:ascii="宋体" w:hAnsi="宋体" w:eastAsia="宋体" w:cs="宋体"/>
                <w:bCs/>
                <w:color w:val="auto"/>
                <w:sz w:val="24"/>
                <w:szCs w:val="24"/>
              </w:rPr>
              <w:t>乙方</w:t>
            </w:r>
            <w:r>
              <w:rPr>
                <w:rFonts w:hint="eastAsia" w:ascii="宋体" w:hAnsi="宋体" w:eastAsia="宋体" w:cs="宋体"/>
                <w:bCs/>
                <w:color w:val="auto"/>
                <w:sz w:val="24"/>
                <w:szCs w:val="24"/>
                <w:highlight w:val="none"/>
              </w:rPr>
              <w:t>负责设备的正常运转和日常维护。</w:t>
            </w:r>
          </w:p>
          <w:p>
            <w:pPr>
              <w:pStyle w:val="2"/>
              <w:keepNext w:val="0"/>
              <w:keepLines w:val="0"/>
              <w:pageBreakBefore w:val="0"/>
              <w:kinsoku/>
              <w:wordWrap/>
              <w:overflowPunct/>
              <w:topLinePunct w:val="0"/>
              <w:autoSpaceDE/>
              <w:autoSpaceDN/>
              <w:bidi w:val="0"/>
              <w:adjustRightInd w:val="0"/>
              <w:snapToGrid/>
              <w:spacing w:line="400" w:lineRule="exact"/>
              <w:ind w:left="0" w:leftChars="0" w:firstLine="0" w:firstLineChars="0"/>
              <w:textAlignment w:val="baseline"/>
              <w:rPr>
                <w:rFonts w:hint="eastAsia" w:hAnsi="宋体" w:eastAsia="宋体" w:cs="宋体"/>
                <w:color w:val="auto"/>
              </w:rPr>
            </w:pPr>
            <w:r>
              <w:rPr>
                <w:rFonts w:hint="eastAsia" w:ascii="宋体" w:hAnsi="宋体" w:eastAsia="宋体" w:cs="宋体"/>
                <w:bCs/>
                <w:color w:val="auto"/>
                <w:szCs w:val="24"/>
                <w:highlight w:val="none"/>
                <w:lang w:val="en-US" w:eastAsia="zh-CN"/>
              </w:rPr>
              <w:t xml:space="preserve">    （3）</w:t>
            </w:r>
            <w:r>
              <w:rPr>
                <w:rFonts w:hint="eastAsia" w:ascii="宋体" w:hAnsi="宋体" w:eastAsia="宋体" w:cs="宋体"/>
                <w:bCs/>
                <w:color w:val="auto"/>
                <w:sz w:val="24"/>
                <w:szCs w:val="24"/>
                <w:highlight w:val="none"/>
                <w:lang w:val="en-US" w:eastAsia="zh-CN" w:bidi="ar-SA"/>
              </w:rPr>
              <w:t>乙方提供至少1台日志服务器同时挂载主备负载均衡设备，支持采集主备负载均衡设备Ipv4、Ipv6日志信息，并存储6个月以上，日志内容应至少包含具体日期、源私网地址、源公网地址、目的公网地址、目的端口号等信息。</w:t>
            </w:r>
            <w:r>
              <w:rPr>
                <w:rFonts w:hint="eastAsia" w:ascii="宋体" w:hAnsi="宋体" w:eastAsia="宋体" w:cs="宋体"/>
                <w:bCs/>
                <w:color w:val="auto"/>
                <w:sz w:val="24"/>
                <w:szCs w:val="24"/>
              </w:rPr>
              <w:t>乙方</w:t>
            </w:r>
            <w:r>
              <w:rPr>
                <w:rFonts w:hint="eastAsia" w:ascii="宋体" w:hAnsi="宋体" w:eastAsia="宋体" w:cs="宋体"/>
                <w:bCs/>
                <w:color w:val="auto"/>
                <w:sz w:val="24"/>
                <w:szCs w:val="24"/>
                <w:highlight w:val="none"/>
              </w:rPr>
              <w:t>负责设备的正常运转和日常维护。</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乙方在接入服务期内，向甲方提供符合国家规定的互联网接入服务。乙方服务应符合乙方就本次政府采购所提交应答文件中的各项内容要求。若乙方应答文件的响应高于甲方采购文件要求的，以乙方响应文件为准。</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乙方负责向甲方提供7×24不间断网络接入服务，并重点保障重大活动期间及国庆、春节等国家法定节假日期间的业务连续性，提供7×24全天候技术支持响应，提供7×24技术支持电话及投诉处理电话，设1名以上网络技术人员提供5×8小时驻场服务，以上服务均包含在乙方报价中。</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4．乙方负责向甲方提供互联网情况查询服务，每季度提供计量服务、审计服务；乙方向甲方提供负载均衡服务和</w:t>
            </w:r>
            <w:r>
              <w:rPr>
                <w:rFonts w:hint="eastAsia" w:ascii="宋体" w:hAnsi="宋体" w:eastAsia="宋体" w:cs="宋体"/>
                <w:bCs/>
                <w:color w:val="auto"/>
                <w:sz w:val="24"/>
                <w:szCs w:val="24"/>
              </w:rPr>
              <w:t>安全服务包括但不限于流量清洗、DDOS等，</w:t>
            </w:r>
            <w:r>
              <w:rPr>
                <w:rFonts w:hint="eastAsia" w:ascii="宋体" w:hAnsi="宋体" w:eastAsia="宋体" w:cs="宋体"/>
                <w:color w:val="auto"/>
                <w:sz w:val="24"/>
                <w:szCs w:val="24"/>
              </w:rPr>
              <w:t>以上服务均包含在乙方报价中。</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5．当网络链路中断持续2分钟以上或有较大质量问题时乙方须在5分钟内通知甲方，并在2小时内解决问题；如需现场服务乙方需在30分钟内到达现场，在2小时内解决问题；问题解决后向甲方提交故障报告。如乙方在接到甲方通知后</w:t>
            </w:r>
            <w:r>
              <w:rPr>
                <w:rFonts w:hint="eastAsia" w:ascii="宋体" w:hAnsi="宋体" w:eastAsia="宋体" w:cs="宋体"/>
                <w:color w:val="auto"/>
                <w:sz w:val="24"/>
                <w:szCs w:val="24"/>
                <w:u w:val="none"/>
              </w:rPr>
              <w:t xml:space="preserve"> 2</w:t>
            </w:r>
            <w:r>
              <w:rPr>
                <w:rFonts w:hint="eastAsia" w:ascii="宋体" w:hAnsi="宋体" w:eastAsia="宋体" w:cs="宋体"/>
                <w:color w:val="auto"/>
                <w:sz w:val="24"/>
                <w:szCs w:val="24"/>
              </w:rPr>
              <w:t>小时内没有响应、拒绝或没有派员到达甲方现场提供服务，甲方有权委托第三方提供服务，因此产生的相关费用由乙方承担。</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6．未经甲方事先书面同意，乙方不得部分或全部转让其应履行的合同义务。</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7. 根据《网络安全法》，乙方提供的服务应当符合相关国家标准的强制性要求。乙方不得设置恶意程序；乙方发现其服务存在安全缺陷、漏洞等风险时，应当立即采取补救措施，按照规定及时告知甲方并向有关主管部门报告。乙方保证其提供的货物、设施设备及服务（包括其中所含的软硬件）没有任何病毒、后门程序、恶意代码等安全隐患（包括但不限于：恶意收集数据、恶意查删正常信息等属于本合同未列明的功能），不存在任何质量瑕疵和权利瑕疵。</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8. 为落实《反恐怖主义法》，乙方应当为公安机关、国家安全机关依法进行防范、调查恐怖活动提供技术接口和解密等技术支持和协助。若发现含有恐怖主义、极端主义内容的信息的，乙方将立即停止传输，保存相关记录，删除相关信息，并</w:t>
            </w:r>
            <w:r>
              <w:rPr>
                <w:rFonts w:hint="eastAsia" w:ascii="宋体" w:hAnsi="宋体" w:eastAsia="宋体" w:cs="宋体"/>
                <w:color w:val="auto"/>
                <w:sz w:val="24"/>
                <w:szCs w:val="24"/>
                <w:lang w:val="en-US" w:eastAsia="zh-CN"/>
              </w:rPr>
              <w:t>立即</w:t>
            </w:r>
            <w:r>
              <w:rPr>
                <w:rFonts w:hint="eastAsia" w:ascii="宋体" w:hAnsi="宋体" w:eastAsia="宋体" w:cs="宋体"/>
                <w:color w:val="auto"/>
                <w:sz w:val="24"/>
                <w:szCs w:val="24"/>
              </w:rPr>
              <w:t>向甲方及公安机关或者有关部门报告。</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FF0000"/>
                <w:sz w:val="24"/>
                <w:szCs w:val="24"/>
              </w:rPr>
              <w:pPrChange w:id="0" w:author="赵陈" w:date="2025-10-19T10:55:00Z">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pPr>
              </w:pPrChange>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乙方提供带宽需符合【YD/T 1642-2020】互联网网络和业务服务质量测试方法。</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.乙方接入保证</w:t>
            </w:r>
            <w:r>
              <w:rPr>
                <w:rFonts w:hint="eastAsia" w:ascii="宋体" w:hAnsi="宋体" w:eastAsia="宋体" w:cs="宋体"/>
                <w:color w:val="auto"/>
                <w:sz w:val="24"/>
                <w:szCs w:val="24"/>
                <w:u w:val="none"/>
              </w:rPr>
              <w:t>带宽等于</w:t>
            </w:r>
            <w:r>
              <w:rPr>
                <w:rFonts w:hint="eastAsia" w:ascii="宋体" w:hAnsi="宋体" w:eastAsia="宋体" w:cs="宋体"/>
                <w:color w:val="auto"/>
                <w:sz w:val="24"/>
                <w:szCs w:val="24"/>
                <w:u w:val="none"/>
                <w:lang w:val="en-US" w:eastAsia="zh-CN"/>
              </w:rPr>
              <w:t>4.9</w:t>
            </w:r>
            <w:r>
              <w:rPr>
                <w:rFonts w:hint="eastAsia" w:ascii="宋体" w:hAnsi="宋体" w:eastAsia="宋体" w:cs="宋体"/>
                <w:color w:val="auto"/>
                <w:sz w:val="24"/>
                <w:szCs w:val="24"/>
                <w:u w:val="none"/>
              </w:rPr>
              <w:t>Gb</w:t>
            </w:r>
            <w:r>
              <w:rPr>
                <w:rFonts w:hint="eastAsia" w:ascii="宋体" w:hAnsi="宋体" w:eastAsia="宋体" w:cs="宋体"/>
                <w:color w:val="auto"/>
                <w:sz w:val="24"/>
                <w:szCs w:val="24"/>
              </w:rPr>
              <w:t>ps，接入网络同时具备IPv4和IPv6网络承载能力，带宽必须独享，上下行速率对称，须具备满足临时提速需求的</w:t>
            </w:r>
            <w:r>
              <w:rPr>
                <w:rFonts w:hint="eastAsia" w:ascii="宋体" w:hAnsi="宋体" w:eastAsia="宋体" w:cs="宋体"/>
                <w:color w:val="auto"/>
                <w:sz w:val="24"/>
                <w:szCs w:val="24"/>
                <w:lang w:eastAsia="zh-CN"/>
              </w:rPr>
              <w:t>临时</w:t>
            </w:r>
            <w:r>
              <w:rPr>
                <w:rFonts w:hint="eastAsia" w:ascii="宋体" w:hAnsi="宋体" w:eastAsia="宋体" w:cs="宋体"/>
                <w:color w:val="auto"/>
                <w:sz w:val="24"/>
                <w:szCs w:val="24"/>
              </w:rPr>
              <w:t>带宽，乙</w:t>
            </w:r>
            <w:r>
              <w:rPr>
                <w:rFonts w:hint="eastAsia" w:ascii="宋体" w:hAnsi="宋体" w:eastAsia="宋体" w:cs="宋体"/>
                <w:color w:val="auto"/>
                <w:sz w:val="24"/>
                <w:szCs w:val="24"/>
                <w:u w:val="none"/>
              </w:rPr>
              <w:t>方骨干带宽不低于</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Gbps，</w:t>
            </w:r>
            <w:r>
              <w:rPr>
                <w:rFonts w:hint="eastAsia" w:ascii="宋体" w:hAnsi="宋体" w:eastAsia="宋体" w:cs="宋体"/>
                <w:color w:val="auto"/>
                <w:sz w:val="24"/>
                <w:szCs w:val="24"/>
              </w:rPr>
              <w:t>临时提速需求能够快速响应。</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.乙方提供应急解决方案</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.乙方提供自行政办公区互联网出口路由设备到供应商骨干设备，不得大于2跳；自供应商核心接入路由设备至国际出口不得大于8跳，延时≤10ms，平均丢包率不得大于0.1%，并满足今后带宽容量升级的需求。</w:t>
            </w:r>
          </w:p>
          <w:p>
            <w:pPr>
              <w:keepNext w:val="0"/>
              <w:keepLines w:val="0"/>
              <w:pageBreakBefore w:val="0"/>
              <w:widowControl w:val="0"/>
              <w:kinsoku/>
              <w:wordWrap/>
              <w:overflowPunct/>
              <w:topLinePunct w:val="0"/>
              <w:autoSpaceDE w:val="0"/>
              <w:autoSpaceDN w:val="0"/>
              <w:bidi w:val="0"/>
              <w:snapToGrid w:val="0"/>
              <w:spacing w:line="400" w:lineRule="exact"/>
              <w:ind w:firstLine="480" w:firstLineChars="200"/>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乙方组织对参与本项目服务保障人员进行政审，政审情况向甲方报备。项目实施过程中，乙方如因正当理由需要调整项目技术人员的，应当提前5日书面通知甲方，获得甲方书面同意后方可进行。同时，甲方有权要求乙方更换不符合要求的人员，乙方应当在收到甲方通知后5个工作日内更换。服务期间，乙方安排1名及以上网络技术人员提供现场5×8小时驻场服务及重保期间驻场服务。</w:t>
            </w:r>
            <w:r>
              <w:rPr>
                <w:rFonts w:hint="eastAsia" w:ascii="宋体" w:hAnsi="宋体" w:eastAsia="宋体" w:cs="宋体"/>
                <w:color w:val="auto"/>
                <w:sz w:val="24"/>
                <w:szCs w:val="24"/>
                <w:lang w:val="en-US" w:eastAsia="zh-CN"/>
              </w:rPr>
              <w:t>更换的技术人员应当符合相关资质、经验、要求，并且做好工作交接、保密教育。</w:t>
            </w:r>
          </w:p>
          <w:p>
            <w:pPr>
              <w:pStyle w:val="2"/>
              <w:rPr>
                <w:rFonts w:hint="eastAsia" w:hAnsi="宋体" w:eastAsia="宋体" w:cs="宋体"/>
                <w:lang w:val="en-US" w:eastAsia="zh-CN"/>
              </w:rPr>
            </w:pPr>
            <w:r>
              <w:rPr>
                <w:rFonts w:hint="eastAsia" w:ascii="宋体" w:hAnsi="宋体" w:eastAsia="宋体" w:cs="宋体"/>
                <w:color w:val="auto"/>
                <w:sz w:val="24"/>
                <w:szCs w:val="24"/>
              </w:rPr>
              <w:t>1</w:t>
            </w:r>
            <w:r>
              <w:rPr>
                <w:rFonts w:hint="eastAsia" w:hAnsi="宋体" w:eastAsia="宋体" w:cs="宋体"/>
                <w:color w:val="auto"/>
                <w:sz w:val="24"/>
                <w:szCs w:val="24"/>
                <w:lang w:val="en-US" w:eastAsia="zh-CN"/>
              </w:rPr>
              <w:t>4</w:t>
            </w:r>
            <w:r>
              <w:rPr>
                <w:rFonts w:hint="eastAsia" w:ascii="宋体" w:hAnsi="宋体" w:eastAsia="宋体" w:cs="宋体"/>
                <w:color w:val="auto"/>
                <w:sz w:val="24"/>
                <w:szCs w:val="24"/>
              </w:rPr>
              <w:t>.乙方保证具备履行本合同所需资质，不存在无证经营、超地域范围经营、超业务范围经营、转租转让经营许可证等违规行为。</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六、</w:t>
            </w:r>
            <w:r>
              <w:rPr>
                <w:rFonts w:hint="eastAsia" w:ascii="宋体" w:hAnsi="宋体" w:eastAsia="宋体" w:cs="宋体"/>
                <w:b/>
                <w:color w:val="auto"/>
                <w:sz w:val="24"/>
                <w:szCs w:val="24"/>
              </w:rPr>
              <w:t>不可抗力</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1．甲、乙双方中任何一方由于战争、严重火灾、水灾、台风和地震以及其它经双方同意属于不可抗力的事故，致使本合同履行受阻时，履行合同的期限应予延长，延长的期限应相当于事故所影响的时间。</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2．受事故影响的一方应在不可抗力事故发生后尽快以书面形式通知另一方，并在事故发生后14天内，将有关部门出具的证明文件用邮件或以其他方式送达另一方。</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3．不可抗力使合同的某些内容有变更必要的，甲、乙双方应通过协商达成进一步履行合同的条款。因不可抗力致使本合同不能履行的，合同终止。</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七、</w:t>
            </w:r>
            <w:r>
              <w:rPr>
                <w:rFonts w:hint="eastAsia" w:ascii="宋体" w:hAnsi="宋体" w:eastAsia="宋体" w:cs="宋体"/>
                <w:b/>
                <w:color w:val="auto"/>
                <w:sz w:val="24"/>
                <w:szCs w:val="24"/>
              </w:rPr>
              <w:t>违约责任</w:t>
            </w:r>
          </w:p>
          <w:p>
            <w:pPr>
              <w:keepNext w:val="0"/>
              <w:keepLines w:val="0"/>
              <w:pageBreakBefore w:val="0"/>
              <w:widowControl w:val="0"/>
              <w:kinsoku/>
              <w:wordWrap/>
              <w:overflowPunct/>
              <w:topLinePunct w:val="0"/>
              <w:autoSpaceDE w:val="0"/>
              <w:autoSpaceDN w:val="0"/>
              <w:bidi w:val="0"/>
              <w:snapToGrid w:val="0"/>
              <w:spacing w:line="400" w:lineRule="exact"/>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lang w:bidi="ar"/>
              </w:rPr>
              <w:t>1.甲方未按合同约定时间支付的，每迟延支付5日，应向乙方支付合同金额的0.3%作为违约金，乙方需确保甲方网络运行不间断。</w:t>
            </w:r>
          </w:p>
          <w:p>
            <w:pPr>
              <w:keepNext w:val="0"/>
              <w:keepLines w:val="0"/>
              <w:pageBreakBefore w:val="0"/>
              <w:widowControl w:val="0"/>
              <w:kinsoku/>
              <w:wordWrap/>
              <w:overflowPunct/>
              <w:topLinePunct w:val="0"/>
              <w:autoSpaceDE w:val="0"/>
              <w:autoSpaceDN w:val="0"/>
              <w:bidi w:val="0"/>
              <w:snapToGrid w:val="0"/>
              <w:spacing w:line="400" w:lineRule="exact"/>
              <w:ind w:firstLine="470" w:firstLineChars="196"/>
              <w:outlineLvl w:val="9"/>
              <w:rPr>
                <w:rFonts w:hint="eastAsia" w:ascii="宋体" w:hAnsi="宋体" w:eastAsia="宋体" w:cs="宋体"/>
                <w:color w:val="auto"/>
                <w:sz w:val="24"/>
                <w:szCs w:val="24"/>
                <w:lang w:bidi="ar"/>
              </w:rPr>
            </w:pPr>
            <w:r>
              <w:rPr>
                <w:rFonts w:hint="eastAsia" w:ascii="宋体" w:hAnsi="宋体" w:eastAsia="宋体" w:cs="宋体"/>
                <w:color w:val="auto"/>
                <w:sz w:val="24"/>
                <w:szCs w:val="24"/>
              </w:rPr>
              <w:t>2.乙方不能按照本合同规定的日期完成宽带接入，每迟延</w:t>
            </w:r>
            <w:r>
              <w:rPr>
                <w:rFonts w:hint="eastAsia" w:ascii="宋体" w:hAnsi="宋体" w:eastAsia="宋体" w:cs="宋体"/>
                <w:color w:val="auto"/>
                <w:sz w:val="24"/>
                <w:szCs w:val="24"/>
                <w:lang w:bidi="ar"/>
              </w:rPr>
              <w:t>5日</w:t>
            </w:r>
            <w:r>
              <w:rPr>
                <w:rFonts w:hint="eastAsia" w:ascii="宋体" w:hAnsi="宋体" w:eastAsia="宋体" w:cs="宋体"/>
                <w:color w:val="auto"/>
                <w:sz w:val="24"/>
                <w:szCs w:val="24"/>
              </w:rPr>
              <w:t>，向甲方</w:t>
            </w:r>
            <w:r>
              <w:rPr>
                <w:rFonts w:hint="eastAsia" w:ascii="宋体" w:hAnsi="宋体" w:eastAsia="宋体" w:cs="宋体"/>
                <w:color w:val="auto"/>
                <w:sz w:val="24"/>
                <w:szCs w:val="24"/>
                <w:lang w:bidi="ar"/>
              </w:rPr>
              <w:t>支付合同金额的0.3%作为违约金。迟延</w:t>
            </w:r>
            <w:r>
              <w:rPr>
                <w:rFonts w:hint="eastAsia" w:ascii="宋体" w:hAnsi="宋体" w:eastAsia="宋体" w:cs="宋体"/>
                <w:color w:val="auto"/>
                <w:sz w:val="24"/>
                <w:szCs w:val="24"/>
                <w:u w:val="single"/>
              </w:rPr>
              <w:t xml:space="preserve"> 15 </w:t>
            </w:r>
            <w:r>
              <w:rPr>
                <w:rFonts w:hint="eastAsia" w:ascii="宋体" w:hAnsi="宋体" w:eastAsia="宋体" w:cs="宋体"/>
                <w:color w:val="auto"/>
                <w:sz w:val="24"/>
                <w:szCs w:val="24"/>
                <w:lang w:bidi="ar"/>
              </w:rPr>
              <w:t>日以上（含本数），甲方有权解除合同，乙方应当退还甲方全部已付费用，并赔偿由此给甲方造成的损失。</w:t>
            </w:r>
          </w:p>
          <w:p>
            <w:pPr>
              <w:keepNext w:val="0"/>
              <w:keepLines w:val="0"/>
              <w:pageBreakBefore w:val="0"/>
              <w:widowControl w:val="0"/>
              <w:kinsoku/>
              <w:wordWrap/>
              <w:overflowPunct/>
              <w:topLinePunct w:val="0"/>
              <w:autoSpaceDE w:val="0"/>
              <w:autoSpaceDN w:val="0"/>
              <w:bidi w:val="0"/>
              <w:snapToGrid w:val="0"/>
              <w:spacing w:line="400" w:lineRule="exact"/>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3．乙方未按照本协议约定向甲方提供服务或其提供的服务不能满足甲方需要的，乙方应于甲方通知后按照甲方指定的时间修正，如乙方未能及时修正</w:t>
            </w:r>
            <w:r>
              <w:rPr>
                <w:rFonts w:hint="eastAsia" w:ascii="宋体" w:hAnsi="宋体" w:eastAsia="宋体" w:cs="宋体"/>
                <w:color w:val="auto"/>
                <w:sz w:val="24"/>
                <w:szCs w:val="24"/>
                <w:lang w:val="en-US" w:eastAsia="zh-CN"/>
              </w:rPr>
              <w:t>或修正后仍不符合要求</w:t>
            </w:r>
            <w:r>
              <w:rPr>
                <w:rFonts w:hint="eastAsia" w:ascii="宋体" w:hAnsi="宋体" w:eastAsia="宋体" w:cs="宋体"/>
                <w:color w:val="auto"/>
                <w:sz w:val="24"/>
                <w:szCs w:val="24"/>
              </w:rPr>
              <w:t>的，每发生一次应向甲方支付￥1,000.00元的违约金，如给甲方造成损失的，还应赔偿甲方的损失。累计发生</w:t>
            </w:r>
            <w:r>
              <w:rPr>
                <w:rFonts w:hint="eastAsia" w:ascii="宋体" w:hAnsi="宋体" w:eastAsia="宋体" w:cs="宋体"/>
                <w:color w:val="auto"/>
                <w:sz w:val="24"/>
                <w:szCs w:val="24"/>
                <w:u w:val="single"/>
              </w:rPr>
              <w:t xml:space="preserve"> 3 </w:t>
            </w:r>
            <w:r>
              <w:rPr>
                <w:rFonts w:hint="eastAsia" w:ascii="宋体" w:hAnsi="宋体" w:eastAsia="宋体" w:cs="宋体"/>
                <w:color w:val="auto"/>
                <w:sz w:val="24"/>
                <w:szCs w:val="24"/>
              </w:rPr>
              <w:t>次，甲方有权解除合同，并向乙方要求赔偿。</w:t>
            </w:r>
          </w:p>
          <w:p>
            <w:pPr>
              <w:keepNext w:val="0"/>
              <w:keepLines w:val="0"/>
              <w:pageBreakBefore w:val="0"/>
              <w:widowControl w:val="0"/>
              <w:kinsoku/>
              <w:wordWrap/>
              <w:overflowPunct/>
              <w:topLinePunct w:val="0"/>
              <w:autoSpaceDE w:val="0"/>
              <w:autoSpaceDN w:val="0"/>
              <w:bidi w:val="0"/>
              <w:snapToGrid w:val="0"/>
              <w:spacing w:line="400" w:lineRule="exact"/>
              <w:ind w:firstLine="470" w:firstLineChars="196"/>
              <w:outlineLvl w:val="9"/>
              <w:rPr>
                <w:rFonts w:hint="eastAsia" w:ascii="宋体" w:hAnsi="宋体" w:eastAsia="宋体" w:cs="宋体"/>
                <w:color w:val="auto"/>
                <w:sz w:val="24"/>
                <w:szCs w:val="24"/>
              </w:rPr>
            </w:pPr>
            <w:r>
              <w:rPr>
                <w:rFonts w:hint="eastAsia" w:ascii="宋体" w:hAnsi="宋体" w:eastAsia="宋体" w:cs="宋体"/>
                <w:color w:val="auto"/>
                <w:sz w:val="24"/>
                <w:szCs w:val="24"/>
              </w:rPr>
              <w:t>4．乙方未按照约定向甲方提供维修维护服务的，每发生一次应向甲方支付￥2,000.00元的违约金，给甲方造成损失的，乙方应承担一切赔偿责任。</w:t>
            </w:r>
          </w:p>
          <w:p>
            <w:pPr>
              <w:keepNext w:val="0"/>
              <w:keepLines w:val="0"/>
              <w:pageBreakBefore w:val="0"/>
              <w:widowControl w:val="0"/>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5．在合同有效期内，如乙方发生上述违约情形总计达</w:t>
            </w:r>
            <w:r>
              <w:rPr>
                <w:rFonts w:hint="eastAsia" w:ascii="宋体" w:hAnsi="宋体" w:eastAsia="宋体" w:cs="宋体"/>
                <w:color w:val="auto"/>
                <w:sz w:val="24"/>
                <w:szCs w:val="24"/>
                <w:u w:val="single"/>
              </w:rPr>
              <w:t xml:space="preserve"> 3 </w:t>
            </w:r>
            <w:r>
              <w:rPr>
                <w:rFonts w:hint="eastAsia" w:ascii="宋体" w:hAnsi="宋体" w:eastAsia="宋体" w:cs="宋体"/>
                <w:color w:val="auto"/>
                <w:sz w:val="24"/>
                <w:szCs w:val="24"/>
              </w:rPr>
              <w:t>次的，甲方可单方解除本合同并不承担违约责任，合同解除后，乙方仍应承担违约及赔偿责任。甲方有权在未支付款项中扣除相应的违约金及赔偿金，未支付款项不足以支付违约金及赔偿金的，乙方应予以补足。</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6.除本合同另有约定外，当发生以下情形之一时，甲方有权解除合同并向乙方要求赔偿；在出现以下情形时，甲方还有权要求乙方支付合同款总额10%的违约金：</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（1）乙方</w:t>
            </w:r>
            <w:r>
              <w:rPr>
                <w:rFonts w:hint="eastAsia" w:ascii="宋体" w:hAnsi="宋体" w:eastAsia="宋体" w:cs="宋体"/>
                <w:color w:val="auto"/>
                <w:szCs w:val="24"/>
                <w:lang w:val="en-US" w:eastAsia="zh-CN"/>
              </w:rPr>
              <w:t>未经甲方书面同意</w:t>
            </w:r>
            <w:r>
              <w:rPr>
                <w:rFonts w:hint="eastAsia" w:ascii="宋体" w:hAnsi="宋体" w:eastAsia="宋体" w:cs="宋体"/>
                <w:color w:val="auto"/>
                <w:szCs w:val="24"/>
              </w:rPr>
              <w:t>部分转让或全部转让其应履行的合同义务；</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（2）乙方所提供服务存在严重瑕疵或重大缺陷；</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（3）乙方资质、提供服务人员等情况的真实性存在重大瑕疵；</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（4）乙方给甲方既有硬件、软件或其他财产重大损害（包括损失额超过3000元整或造成重大负面影响的）；</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（5）乙方严重违反本合同规定的条款并在甲方给予书面通知后7个工作日内仍未采取合理有效且被甲方书面认可的补救措施；</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（6）网络链路中断</w:t>
            </w:r>
            <w:r>
              <w:rPr>
                <w:rFonts w:hint="eastAsia" w:ascii="宋体" w:hAnsi="宋体" w:eastAsia="宋体" w:cs="宋体"/>
                <w:color w:val="auto"/>
                <w:szCs w:val="24"/>
                <w:u w:val="single"/>
              </w:rPr>
              <w:t>3</w:t>
            </w:r>
            <w:r>
              <w:rPr>
                <w:rFonts w:hint="eastAsia" w:ascii="宋体" w:hAnsi="宋体" w:eastAsia="宋体" w:cs="宋体"/>
                <w:color w:val="auto"/>
                <w:szCs w:val="24"/>
              </w:rPr>
              <w:t>次以上（含本数）；</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（7）乙方未能保证甲方独享带宽；</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（8）乙方（含乙方人员）违反保密义务。</w:t>
            </w:r>
          </w:p>
          <w:p>
            <w:pPr>
              <w:pStyle w:val="2"/>
              <w:keepNext w:val="0"/>
              <w:keepLines w:val="0"/>
              <w:pageBreakBefore w:val="0"/>
              <w:widowControl w:val="0"/>
              <w:kinsoku/>
              <w:wordWrap/>
              <w:overflowPunct/>
              <w:topLinePunct w:val="0"/>
              <w:bidi w:val="0"/>
              <w:spacing w:line="400" w:lineRule="exact"/>
              <w:outlineLvl w:val="9"/>
              <w:rPr>
                <w:rFonts w:hint="default" w:ascii="宋体" w:hAnsi="宋体" w:eastAsia="宋体" w:cs="宋体"/>
                <w:color w:val="auto"/>
                <w:szCs w:val="24"/>
                <w:lang w:val="en-US" w:eastAsia="zh-CN"/>
              </w:rPr>
            </w:pPr>
            <w:r>
              <w:rPr>
                <w:rFonts w:hint="eastAsia" w:ascii="宋体" w:hAnsi="宋体" w:eastAsia="宋体" w:cs="宋体"/>
                <w:color w:val="auto"/>
                <w:szCs w:val="24"/>
                <w:lang w:val="en-US" w:eastAsia="zh-CN"/>
              </w:rPr>
              <w:t>7.</w:t>
            </w:r>
            <w:r>
              <w:rPr>
                <w:rFonts w:hint="eastAsia" w:ascii="宋体" w:hAnsi="宋体" w:eastAsia="宋体" w:cs="宋体"/>
                <w:color w:val="auto"/>
                <w:szCs w:val="24"/>
              </w:rPr>
              <w:t>甲方解除合同后，乙方应当在合同解除后的10日内将甲方已经支付的款项返还给甲方。返还款项时，乙方已经提供且被甲方认可的服务所对应的服务费用应当予以扣减，如有违约金</w:t>
            </w:r>
            <w:r>
              <w:rPr>
                <w:rFonts w:hint="eastAsia" w:ascii="宋体" w:hAnsi="宋体" w:eastAsia="宋体" w:cs="宋体"/>
                <w:color w:val="auto"/>
                <w:szCs w:val="24"/>
                <w:lang w:val="en-US" w:eastAsia="zh-CN"/>
              </w:rPr>
              <w:t>或赔偿金，</w:t>
            </w:r>
            <w:r>
              <w:rPr>
                <w:rFonts w:hint="eastAsia" w:ascii="宋体" w:hAnsi="宋体" w:eastAsia="宋体" w:cs="宋体"/>
                <w:color w:val="auto"/>
                <w:sz w:val="24"/>
                <w:szCs w:val="24"/>
              </w:rPr>
              <w:t>甲方有权在未支付款项中扣除相应的违约金及赔偿金，未支付款项不足以支付违约金及赔偿金的，乙方应予以补足</w:t>
            </w:r>
            <w:r>
              <w:rPr>
                <w:rFonts w:hint="eastAsia" w:ascii="宋体" w:hAnsi="宋体" w:eastAsia="宋体" w:cs="宋体"/>
                <w:color w:val="auto"/>
                <w:szCs w:val="24"/>
              </w:rPr>
              <w:t>。</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八、</w:t>
            </w:r>
            <w:r>
              <w:rPr>
                <w:rFonts w:hint="eastAsia" w:ascii="宋体" w:hAnsi="宋体" w:eastAsia="宋体" w:cs="宋体"/>
                <w:b/>
                <w:color w:val="auto"/>
                <w:sz w:val="24"/>
                <w:szCs w:val="24"/>
              </w:rPr>
              <w:t>适用法律及争议解决</w:t>
            </w:r>
          </w:p>
          <w:p>
            <w:pPr>
              <w:keepNext w:val="0"/>
              <w:keepLines w:val="0"/>
              <w:pageBreakBefore w:val="0"/>
              <w:widowControl w:val="0"/>
              <w:kinsoku/>
              <w:wordWrap/>
              <w:overflowPunct/>
              <w:topLinePunct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1．本合同的订立、效力、解释、履行及其争议的解决，均受中华人民共和国法律调整。</w:t>
            </w:r>
          </w:p>
          <w:p>
            <w:pPr>
              <w:keepNext w:val="0"/>
              <w:keepLines w:val="0"/>
              <w:pageBreakBefore w:val="0"/>
              <w:widowControl w:val="0"/>
              <w:kinsoku/>
              <w:wordWrap/>
              <w:overflowPunct/>
              <w:topLinePunct w:val="0"/>
              <w:bidi w:val="0"/>
              <w:snapToGrid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2．如甲、乙双方因本合同发生争议，应尽量通过友好协商解决。若不能达成一致，双方同意向合同签订地有管辖权的人民法院起诉。本合同签订地点为：中华人民共和国北京市</w:t>
            </w:r>
            <w:r>
              <w:rPr>
                <w:rFonts w:hint="eastAsia" w:ascii="宋体" w:hAnsi="宋体" w:eastAsia="宋体" w:cs="宋体"/>
                <w:color w:val="auto"/>
                <w:sz w:val="24"/>
                <w:szCs w:val="24"/>
                <w:u w:val="single"/>
              </w:rPr>
              <w:t>通州</w:t>
            </w:r>
            <w:r>
              <w:rPr>
                <w:rFonts w:hint="eastAsia" w:ascii="宋体" w:hAnsi="宋体" w:eastAsia="宋体" w:cs="宋体"/>
                <w:color w:val="auto"/>
                <w:sz w:val="24"/>
                <w:szCs w:val="24"/>
              </w:rPr>
              <w:t>区。</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九、</w:t>
            </w:r>
            <w:r>
              <w:rPr>
                <w:rFonts w:hint="eastAsia" w:ascii="宋体" w:hAnsi="宋体" w:eastAsia="宋体" w:cs="宋体"/>
                <w:b/>
                <w:color w:val="auto"/>
                <w:sz w:val="24"/>
                <w:szCs w:val="24"/>
              </w:rPr>
              <w:t>合同的解除</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1．在乙方发生下列情况时，甲方可向乙方发出书面通知，部分或全部解除合同，并要求乙方承担合同款总额的10%的违约金，给甲方造成损失的，乙方应承担一切赔偿责任。</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（1）乙方未能在合同规定的限期或甲方同意延长的限期内，提供全部或部分服务的； </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（2）乙方未能履行合同规定的其它主要义务的；</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（3）乙方在合同签订或履行过程中有腐败或欺诈行为的。</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“腐败行为”和“欺诈行为”定义如下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腐败行为”是指乙方向甲方人员提供、给予或接受、索取甲方任何有价值的东西来影响合同签订、履行过程的行为。“欺诈行为”是指乙方为了影响合同签订、履行过程，以谎报事实的方法，损害甲方利益的行为。</w:t>
            </w:r>
          </w:p>
          <w:p>
            <w:pPr>
              <w:keepNext w:val="0"/>
              <w:keepLines w:val="0"/>
              <w:pageBreakBefore w:val="0"/>
              <w:widowControl w:val="0"/>
              <w:numPr>
                <w:ilvl w:val="0"/>
                <w:numId w:val="15"/>
              </w:numPr>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甲方根据本合同规定，全部或部分解除合同之后，双方应当遵循诚实信用原则承担合同解除的后果，如因乙方原因而造成合同解除的，乙方应承担甲方为履行本合同而产生的额外支出并赔偿甲方的一切损失。合同部分解除的，双方应继续履行合同中未解除的部分。</w:t>
            </w:r>
          </w:p>
          <w:p>
            <w:pPr>
              <w:spacing w:line="40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3.</w:t>
            </w:r>
            <w:r>
              <w:rPr>
                <w:rFonts w:hint="eastAsia" w:ascii="宋体" w:hAnsi="宋体" w:eastAsia="宋体" w:cs="宋体"/>
                <w:color w:val="auto"/>
                <w:sz w:val="24"/>
                <w:szCs w:val="24"/>
              </w:rPr>
              <w:t>无论因何原因导致合同终止</w:t>
            </w:r>
            <w:r>
              <w:rPr>
                <w:rFonts w:hint="eastAsia" w:ascii="宋体" w:hAnsi="宋体" w:eastAsia="宋体" w:cs="宋体"/>
                <w:color w:val="auto"/>
                <w:sz w:val="24"/>
                <w:szCs w:val="24"/>
                <w:lang w:val="en-US" w:eastAsia="zh-CN"/>
              </w:rPr>
              <w:t>或解除</w:t>
            </w:r>
            <w:r>
              <w:rPr>
                <w:rFonts w:hint="eastAsia" w:ascii="宋体" w:hAnsi="宋体" w:eastAsia="宋体" w:cs="宋体"/>
                <w:color w:val="auto"/>
                <w:sz w:val="24"/>
                <w:szCs w:val="24"/>
              </w:rPr>
              <w:t>，乙方均应在</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日内，配合甲方完成网络服务的平稳迁移，并返还、销毁或按甲方要求处理所有从甲方获取的保密信息、数据、文档等资料，并向甲方出具书面完成证明。</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十、</w:t>
            </w:r>
            <w:r>
              <w:rPr>
                <w:rFonts w:hint="eastAsia" w:ascii="宋体" w:hAnsi="宋体" w:eastAsia="宋体" w:cs="宋体"/>
                <w:b/>
                <w:color w:val="auto"/>
                <w:sz w:val="24"/>
                <w:szCs w:val="24"/>
              </w:rPr>
              <w:t>破产终止合同</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如果因乙方破产导致合同无法履行时，甲方可以书面形式通知乙方，单方终止合同而不给乙方补偿。但甲方必须以书面形式告知同级政府采购监督管理部门。该合同的终止将不损害或不影响乙方已经采取或将要采取的任何行动或补救措施的权利。</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十一、</w:t>
            </w:r>
            <w:r>
              <w:rPr>
                <w:rFonts w:hint="eastAsia" w:ascii="宋体" w:hAnsi="宋体" w:eastAsia="宋体" w:cs="宋体"/>
                <w:b/>
                <w:color w:val="auto"/>
                <w:sz w:val="24"/>
                <w:szCs w:val="24"/>
              </w:rPr>
              <w:t>通知</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任何一方给另一方的通知，都应以书面形式发送到对方在本合同中明示的地址。采用信函形式的应使用挂号信或者具有良好信誉的特快专递送达。如使用传真或类似的通讯方式，通知日期即为通讯发出日期，如使用挂号信件或特快专递，通知日期即为邮件寄出日期，并以邮戳为准。本合同载明的地址、电话、银行账号等联系方式发生变更的，变更一方应自变更之日起10日内以书面形式通知对方，因变更一方通知不及时造成损失的，该全部损失由变更一方承担。</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十二、</w:t>
            </w:r>
            <w:r>
              <w:rPr>
                <w:rFonts w:hint="eastAsia" w:ascii="宋体" w:hAnsi="宋体" w:eastAsia="宋体" w:cs="宋体"/>
                <w:b/>
                <w:color w:val="auto"/>
                <w:sz w:val="24"/>
                <w:szCs w:val="24"/>
              </w:rPr>
              <w:t>保密</w:t>
            </w:r>
          </w:p>
          <w:p>
            <w:pPr>
              <w:pStyle w:val="18"/>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Cs w:val="24"/>
              </w:rPr>
            </w:pPr>
            <w:r>
              <w:rPr>
                <w:rFonts w:hint="eastAsia" w:ascii="宋体" w:hAnsi="宋体" w:eastAsia="宋体" w:cs="宋体"/>
                <w:color w:val="auto"/>
                <w:szCs w:val="24"/>
              </w:rPr>
              <w:t>对于与签订和履行本合同有关的一切信息，甲乙双方均负有保密的义务。未经一方书面许可，另一方不得超过本合同约定的范围使用信息，不得将任何信息向第三方披露。否则，由此产生的一切不利后果，由违约方负责。造成严重后果的，被违约方可以解除合同，并要求违约方赔偿由此造成的损失。本条款长期有效，甲乙双方的保密义务不因本合同的变更、中止或终止而取消。</w:t>
            </w:r>
          </w:p>
          <w:p>
            <w:pPr>
              <w:pStyle w:val="18"/>
              <w:keepNext w:val="0"/>
              <w:keepLines w:val="0"/>
              <w:pageBreakBefore w:val="0"/>
              <w:widowControl w:val="0"/>
              <w:kinsoku/>
              <w:wordWrap/>
              <w:overflowPunct/>
              <w:topLinePunct w:val="0"/>
              <w:bidi w:val="0"/>
              <w:spacing w:line="400" w:lineRule="exact"/>
              <w:ind w:firstLine="480" w:firstLineChars="200"/>
              <w:outlineLvl w:val="9"/>
              <w:rPr>
                <w:rFonts w:hint="default" w:ascii="宋体" w:hAnsi="宋体" w:eastAsia="宋体" w:cs="宋体"/>
                <w:color w:val="auto"/>
                <w:szCs w:val="24"/>
                <w:lang w:val="en-US" w:eastAsia="zh-CN"/>
              </w:rPr>
            </w:pPr>
            <w:r>
              <w:rPr>
                <w:rFonts w:hint="eastAsia" w:ascii="宋体" w:hAnsi="宋体" w:eastAsia="宋体" w:cs="宋体"/>
                <w:color w:val="auto"/>
                <w:szCs w:val="24"/>
              </w:rPr>
              <w:t>如乙方（含乙方工作人员）违反了上述保密义务，给甲方造成损失的，乙方均应承担全部责任，并赔偿因此给甲方造成的全部损失。</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十三、</w:t>
            </w:r>
            <w:r>
              <w:rPr>
                <w:rFonts w:hint="eastAsia" w:ascii="宋体" w:hAnsi="宋体" w:eastAsia="宋体" w:cs="宋体"/>
                <w:b/>
                <w:color w:val="auto"/>
                <w:sz w:val="24"/>
                <w:szCs w:val="24"/>
              </w:rPr>
              <w:t>合同生效及其它</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1．本合同自甲乙双方法定代表人或授权代表签字并加盖公章或合同专用章后生效。正本一式肆份，以中文书写，甲乙双方各</w:t>
            </w:r>
            <w:r>
              <w:rPr>
                <w:rFonts w:hint="eastAsia" w:ascii="宋体" w:hAnsi="宋体" w:eastAsia="宋体" w:cs="宋体"/>
                <w:color w:val="auto"/>
                <w:sz w:val="24"/>
                <w:szCs w:val="24"/>
                <w:lang w:eastAsia="zh-CN"/>
              </w:rPr>
              <w:t>贰</w:t>
            </w:r>
            <w:r>
              <w:rPr>
                <w:rFonts w:hint="eastAsia" w:ascii="宋体" w:hAnsi="宋体" w:eastAsia="宋体" w:cs="宋体"/>
                <w:color w:val="auto"/>
                <w:sz w:val="24"/>
                <w:szCs w:val="24"/>
              </w:rPr>
              <w:t>份。各合同文本对双方均具有同等的约束力。</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2．本合同部分条款的无效不影响其它条款的效力。</w:t>
            </w:r>
          </w:p>
          <w:p>
            <w:pPr>
              <w:keepNext w:val="0"/>
              <w:keepLines w:val="0"/>
              <w:pageBreakBefore w:val="0"/>
              <w:widowControl w:val="0"/>
              <w:kinsoku/>
              <w:wordWrap/>
              <w:overflowPunct/>
              <w:topLinePunct w:val="0"/>
              <w:bidi w:val="0"/>
              <w:spacing w:line="400" w:lineRule="exact"/>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3. 本合同未尽事宜，甲乙双方可协商一致后签订补充协议，补充协议与本合同具有同等法律效力，与本合同约定不一致的，以补充协议为准。但补充协议不得违反政府采购等相关法律法规的规定。</w:t>
            </w:r>
          </w:p>
          <w:p>
            <w:pPr>
              <w:keepNext w:val="0"/>
              <w:keepLines w:val="0"/>
              <w:pageBreakBefore w:val="0"/>
              <w:widowControl w:val="0"/>
              <w:numPr>
                <w:ilvl w:val="0"/>
                <w:numId w:val="0"/>
              </w:numPr>
              <w:kinsoku/>
              <w:wordWrap/>
              <w:overflowPunct/>
              <w:topLinePunct w:val="0"/>
              <w:autoSpaceDE w:val="0"/>
              <w:autoSpaceDN w:val="0"/>
              <w:bidi w:val="0"/>
              <w:snapToGrid w:val="0"/>
              <w:spacing w:before="156" w:beforeLines="50" w:line="400" w:lineRule="exact"/>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    十四、</w:t>
            </w:r>
            <w:r>
              <w:rPr>
                <w:rFonts w:hint="eastAsia" w:ascii="宋体" w:hAnsi="宋体" w:eastAsia="宋体" w:cs="宋体"/>
                <w:b/>
                <w:color w:val="auto"/>
                <w:sz w:val="24"/>
                <w:szCs w:val="24"/>
              </w:rPr>
              <w:t>特别约定</w:t>
            </w:r>
          </w:p>
          <w:p>
            <w:pPr>
              <w:keepNext w:val="0"/>
              <w:keepLines w:val="0"/>
              <w:pageBreakBefore w:val="0"/>
              <w:widowControl w:val="0"/>
              <w:kinsoku/>
              <w:wordWrap/>
              <w:overflowPunct/>
              <w:topLinePunct w:val="0"/>
              <w:autoSpaceDE w:val="0"/>
              <w:autoSpaceDN w:val="0"/>
              <w:bidi w:val="0"/>
              <w:snapToGrid w:val="0"/>
              <w:spacing w:line="400" w:lineRule="exact"/>
              <w:ind w:firstLine="482" w:firstLineChars="200"/>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除本合同以上规定外，双方特别约定以下内容：</w:t>
            </w:r>
          </w:p>
          <w:p>
            <w:pPr>
              <w:keepNext w:val="0"/>
              <w:keepLines w:val="0"/>
              <w:pageBreakBefore w:val="0"/>
              <w:widowControl w:val="0"/>
              <w:numPr>
                <w:ilvl w:val="0"/>
                <w:numId w:val="0"/>
              </w:numPr>
              <w:kinsoku/>
              <w:wordWrap/>
              <w:overflowPunct/>
              <w:topLinePunct w:val="0"/>
              <w:bidi w:val="0"/>
              <w:spacing w:line="40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rPr>
              <w:t>本合同服务费实行：</w:t>
            </w:r>
            <w:r>
              <w:rPr>
                <w:rFonts w:hint="eastAsia" w:ascii="宋体" w:hAnsi="宋体" w:eastAsia="宋体" w:cs="宋体"/>
                <w:color w:val="auto"/>
                <w:sz w:val="24"/>
                <w:szCs w:val="24"/>
                <w:u w:val="single"/>
              </w:rPr>
              <w:t>对公转账支付方式</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bidi w:val="0"/>
              <w:spacing w:line="400" w:lineRule="exact"/>
              <w:ind w:left="630" w:leftChars="0"/>
              <w:outlineLvl w:val="9"/>
              <w:rPr>
                <w:rFonts w:hint="eastAsia" w:ascii="宋体" w:hAnsi="宋体" w:eastAsia="宋体" w:cs="宋体"/>
                <w:color w:val="auto"/>
                <w:sz w:val="24"/>
                <w:szCs w:val="24"/>
              </w:rPr>
            </w:pPr>
            <w:r>
              <w:rPr>
                <w:rFonts w:hint="eastAsia" w:ascii="宋体" w:hAnsi="宋体" w:eastAsia="宋体" w:cs="宋体"/>
                <w:color w:val="auto"/>
                <w:sz w:val="24"/>
                <w:szCs w:val="24"/>
              </w:rPr>
              <w:t>支付金额：</w:t>
            </w:r>
            <w:r>
              <w:rPr>
                <w:rFonts w:hint="eastAsia" w:ascii="方正小标宋简体" w:hAnsi="方正小标宋简体" w:eastAsia="方正小标宋简体" w:cs="方正小标宋简体"/>
                <w:color w:val="auto"/>
                <w:sz w:val="24"/>
                <w:szCs w:val="24"/>
                <w:u w:val="singl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2.</w:t>
            </w:r>
            <w:r>
              <w:rPr>
                <w:rFonts w:hint="eastAsia" w:ascii="宋体" w:hAnsi="宋体" w:eastAsia="宋体" w:cs="宋体"/>
                <w:color w:val="auto"/>
                <w:sz w:val="24"/>
                <w:szCs w:val="24"/>
              </w:rPr>
              <w:t>支付方式：</w:t>
            </w:r>
          </w:p>
          <w:p>
            <w:pPr>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（1）第一次支付</w:t>
            </w:r>
            <w:r>
              <w:rPr>
                <w:rFonts w:hint="eastAsia" w:ascii="宋体" w:hAnsi="宋体" w:eastAsia="宋体" w:cs="宋体"/>
                <w:color w:val="auto"/>
                <w:sz w:val="24"/>
                <w:szCs w:val="24"/>
                <w:u w:val="single"/>
              </w:rPr>
              <w:t>50％</w:t>
            </w:r>
            <w:r>
              <w:rPr>
                <w:rFonts w:hint="eastAsia" w:ascii="宋体" w:hAnsi="宋体" w:eastAsia="宋体" w:cs="宋体"/>
                <w:color w:val="auto"/>
                <w:sz w:val="24"/>
                <w:szCs w:val="24"/>
              </w:rPr>
              <w:t>，即</w:t>
            </w:r>
            <w:r>
              <w:rPr>
                <w:rFonts w:hint="eastAsia" w:ascii="方正小标宋简体" w:hAnsi="方正小标宋简体" w:eastAsia="方正小标宋简体" w:cs="方正小标宋简体"/>
                <w:color w:val="auto"/>
                <w:sz w:val="24"/>
                <w:szCs w:val="24"/>
                <w:u w:val="singl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。支付时间：合同签订后，甲方在收到乙方开具的符合甲方要求的</w:t>
            </w:r>
            <w:r>
              <w:rPr>
                <w:rFonts w:hint="eastAsia" w:ascii="宋体" w:hAnsi="宋体" w:eastAsia="宋体" w:cs="宋体"/>
                <w:color w:val="auto"/>
                <w:sz w:val="24"/>
                <w:szCs w:val="24"/>
                <w:lang w:val="en-US" w:eastAsia="zh-CN"/>
              </w:rPr>
              <w:t>等额</w:t>
            </w:r>
            <w:r>
              <w:rPr>
                <w:rFonts w:hint="eastAsia" w:ascii="宋体" w:hAnsi="宋体" w:eastAsia="宋体" w:cs="宋体"/>
                <w:color w:val="auto"/>
                <w:sz w:val="24"/>
                <w:szCs w:val="24"/>
              </w:rPr>
              <w:t>合法有效发票后10个工作日内支付；</w:t>
            </w:r>
          </w:p>
          <w:p>
            <w:pPr>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）第二次支付</w:t>
            </w:r>
            <w:r>
              <w:rPr>
                <w:rFonts w:hint="eastAsia" w:ascii="宋体" w:hAnsi="宋体" w:eastAsia="宋体" w:cs="宋体"/>
                <w:color w:val="auto"/>
                <w:sz w:val="24"/>
                <w:szCs w:val="24"/>
                <w:u w:val="single"/>
              </w:rPr>
              <w:t>50％</w:t>
            </w:r>
            <w:r>
              <w:rPr>
                <w:rFonts w:hint="eastAsia" w:ascii="宋体" w:hAnsi="宋体" w:eastAsia="宋体" w:cs="宋体"/>
                <w:color w:val="auto"/>
                <w:sz w:val="24"/>
                <w:szCs w:val="24"/>
              </w:rPr>
              <w:t>，即</w:t>
            </w:r>
            <w:r>
              <w:rPr>
                <w:rFonts w:hint="eastAsia" w:ascii="方正小标宋简体" w:hAnsi="方正小标宋简体" w:eastAsia="方正小标宋简体" w:cs="方正小标宋简体"/>
                <w:color w:val="auto"/>
                <w:sz w:val="24"/>
                <w:szCs w:val="24"/>
                <w:u w:val="singl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。合同执行结束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乙方正常履行合同全部内容且未影响甲方业务正常开展的情况下，甲方在收到乙方开具的符合甲方要求的</w:t>
            </w:r>
            <w:r>
              <w:rPr>
                <w:rFonts w:hint="eastAsia" w:ascii="宋体" w:hAnsi="宋体" w:eastAsia="宋体" w:cs="宋体"/>
                <w:color w:val="auto"/>
                <w:sz w:val="24"/>
                <w:szCs w:val="24"/>
                <w:lang w:val="en-US" w:eastAsia="zh-CN"/>
              </w:rPr>
              <w:t>等额</w:t>
            </w:r>
            <w:r>
              <w:rPr>
                <w:rFonts w:hint="eastAsia" w:ascii="宋体" w:hAnsi="宋体" w:eastAsia="宋体" w:cs="宋体"/>
                <w:color w:val="auto"/>
                <w:sz w:val="24"/>
                <w:szCs w:val="24"/>
              </w:rPr>
              <w:t>合法有效发票后10个工作日内支付。</w:t>
            </w:r>
          </w:p>
          <w:p>
            <w:pPr>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）支付款项在按实施进度完成且财政资金拨付到位后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甲方予以支付。如甲方因财政性资金拨付等原因延迟履行付款义务的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不视为甲方违约。如果乙方的开户银行或账号发生变更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应在本合同规定的相关付款期限前</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以书面的形式通知甲方此种变更。如因乙方未及时通知或通知有误而影响甲方支付本合同款项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甲方将不承担逾期付款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误付错付</w:t>
            </w:r>
            <w:r>
              <w:rPr>
                <w:rFonts w:hint="eastAsia" w:ascii="宋体" w:hAnsi="宋体" w:eastAsia="宋体" w:cs="宋体"/>
                <w:color w:val="auto"/>
                <w:sz w:val="24"/>
                <w:szCs w:val="24"/>
              </w:rPr>
              <w:t>的任何责任。</w:t>
            </w:r>
          </w:p>
          <w:p>
            <w:pPr>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）本项目为市财政资金拨付项目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乙方充分理解并承诺资金若不能及时到位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自身的资金保证能力可以保证该项目的进度和质量。乙方应按照约定履行本合同义务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不以甲方付款作为供货或提供服务的前提或不得以甲方未按时足额付款作为拒绝供货或拒绝提供服务的抗辩理由。若乙方未按照甲方要求提供</w:t>
            </w:r>
            <w:r>
              <w:rPr>
                <w:rFonts w:hint="eastAsia" w:ascii="宋体" w:hAnsi="宋体" w:eastAsia="宋体" w:cs="宋体"/>
                <w:color w:val="auto"/>
                <w:sz w:val="24"/>
                <w:szCs w:val="24"/>
                <w:lang w:val="en-US" w:eastAsia="zh-CN"/>
              </w:rPr>
              <w:t>等额、</w:t>
            </w:r>
            <w:r>
              <w:rPr>
                <w:rFonts w:hint="eastAsia" w:ascii="宋体" w:hAnsi="宋体" w:eastAsia="宋体" w:cs="宋体"/>
                <w:color w:val="auto"/>
                <w:sz w:val="24"/>
                <w:szCs w:val="24"/>
              </w:rPr>
              <w:t>合法、有效发票的，甲方有权拒绝支付相应款项</w:t>
            </w:r>
            <w:r>
              <w:rPr>
                <w:rFonts w:hint="eastAsia" w:ascii="宋体" w:hAnsi="宋体" w:eastAsia="宋体" w:cs="宋体"/>
                <w:color w:val="auto"/>
                <w:sz w:val="24"/>
                <w:szCs w:val="24"/>
                <w:lang w:val="en-US" w:eastAsia="zh-CN"/>
              </w:rPr>
              <w:t>且不承担任何责任</w:t>
            </w:r>
            <w:r>
              <w:rPr>
                <w:rFonts w:hint="eastAsia" w:ascii="宋体" w:hAnsi="宋体" w:eastAsia="宋体" w:cs="宋体"/>
                <w:color w:val="auto"/>
                <w:sz w:val="24"/>
                <w:szCs w:val="24"/>
              </w:rPr>
              <w:t>。</w:t>
            </w:r>
          </w:p>
          <w:p>
            <w:pPr>
              <w:pStyle w:val="2"/>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Cs w:val="24"/>
              </w:rPr>
            </w:pPr>
            <w:r>
              <w:rPr>
                <w:rFonts w:hint="eastAsia" w:ascii="宋体" w:hAnsi="宋体" w:eastAsia="宋体" w:cs="宋体"/>
                <w:color w:val="auto"/>
                <w:szCs w:val="24"/>
              </w:rPr>
              <w:t>3.甲方在使用时如发现故障（非甲方用户终端设备故障）可向乙方申告。故障时间计算以乙方收到甲方的书面申告材料或甲方申告电话为始，以甲方收到乙方的恢复通知为止。故障分下列三种情况：</w:t>
            </w:r>
          </w:p>
          <w:p>
            <w:pPr>
              <w:pStyle w:val="2"/>
              <w:keepNext w:val="0"/>
              <w:keepLines w:val="0"/>
              <w:pageBreakBefore w:val="0"/>
              <w:widowControl w:val="0"/>
              <w:kinsoku/>
              <w:wordWrap/>
              <w:overflowPunct/>
              <w:topLinePunct w:val="0"/>
              <w:bidi w:val="0"/>
              <w:spacing w:line="400" w:lineRule="exact"/>
              <w:ind w:left="0" w:leftChars="0" w:firstLine="0" w:firstLineChars="0"/>
              <w:outlineLvl w:val="9"/>
              <w:rPr>
                <w:rFonts w:hint="eastAsia" w:ascii="宋体" w:hAnsi="宋体" w:eastAsia="宋体" w:cs="宋体"/>
                <w:color w:val="auto"/>
                <w:szCs w:val="24"/>
              </w:rPr>
            </w:pPr>
            <w:r>
              <w:rPr>
                <w:rFonts w:hint="eastAsia" w:ascii="宋体" w:hAnsi="宋体" w:eastAsia="宋体" w:cs="宋体"/>
                <w:color w:val="auto"/>
                <w:szCs w:val="24"/>
                <w:lang w:val="en-US" w:eastAsia="zh-CN"/>
              </w:rPr>
              <w:t xml:space="preserve">    </w:t>
            </w:r>
            <w:r>
              <w:rPr>
                <w:rFonts w:hint="eastAsia" w:ascii="宋体" w:hAnsi="宋体" w:eastAsia="宋体" w:cs="宋体"/>
                <w:color w:val="auto"/>
                <w:sz w:val="24"/>
                <w:szCs w:val="24"/>
              </w:rPr>
              <w:t>（1）</w:t>
            </w:r>
            <w:r>
              <w:rPr>
                <w:rFonts w:hint="eastAsia" w:ascii="宋体" w:hAnsi="宋体" w:eastAsia="宋体" w:cs="宋体"/>
                <w:color w:val="auto"/>
                <w:szCs w:val="24"/>
              </w:rPr>
              <w:t>计划中断超时：计划中断超出24小时部分累计满1天，供应商按日信息服务费和链路费日金额予以核减，核减金额在第二次服务费中扣除，日信息服务费和链路费日金额按照合同金额÷365计算（金额保留到分）。</w:t>
            </w:r>
          </w:p>
          <w:p>
            <w:pPr>
              <w:pStyle w:val="2"/>
              <w:keepNext w:val="0"/>
              <w:keepLines w:val="0"/>
              <w:pageBreakBefore w:val="0"/>
              <w:widowControl w:val="0"/>
              <w:kinsoku/>
              <w:wordWrap/>
              <w:overflowPunct/>
              <w:topLinePunct w:val="0"/>
              <w:bidi w:val="0"/>
              <w:spacing w:line="400" w:lineRule="exact"/>
              <w:ind w:left="0" w:leftChars="0" w:firstLine="0" w:firstLineChars="0"/>
              <w:outlineLvl w:val="9"/>
              <w:rPr>
                <w:rFonts w:hint="eastAsia" w:ascii="宋体" w:hAnsi="宋体" w:eastAsia="宋体" w:cs="宋体"/>
                <w:color w:val="auto"/>
                <w:szCs w:val="24"/>
              </w:rPr>
            </w:pPr>
            <w:r>
              <w:rPr>
                <w:rFonts w:hint="eastAsia" w:ascii="宋体" w:hAnsi="宋体" w:eastAsia="宋体" w:cs="宋体"/>
                <w:color w:val="auto"/>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Cs w:val="24"/>
              </w:rPr>
              <w:t>非计划中断：无提前通知的线路中断为非计划中断。非计划中断每月断线超过2次或每次恢复时间超过6小时，经核实确定，故障确实发生在供应商所负责的责任范围内，供应商按日信息服务费和链路费日金额双倍予以采购人核减，核减金额在第二次服务费中扣除。</w:t>
            </w:r>
          </w:p>
          <w:p>
            <w:pPr>
              <w:pStyle w:val="2"/>
              <w:keepNext w:val="0"/>
              <w:keepLines w:val="0"/>
              <w:pageBreakBefore w:val="0"/>
              <w:widowControl w:val="0"/>
              <w:kinsoku/>
              <w:wordWrap/>
              <w:overflowPunct/>
              <w:topLinePunct w:val="0"/>
              <w:bidi w:val="0"/>
              <w:spacing w:line="400" w:lineRule="exact"/>
              <w:ind w:left="0" w:leftChars="0" w:firstLine="0" w:firstLineChars="0"/>
              <w:outlineLvl w:val="9"/>
              <w:rPr>
                <w:rFonts w:hint="eastAsia" w:ascii="宋体" w:hAnsi="宋体" w:eastAsia="宋体" w:cs="宋体"/>
                <w:color w:val="auto"/>
                <w:szCs w:val="24"/>
              </w:rPr>
            </w:pP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3）速率过低：接入速率以连接到国内Internet骨干的速率为基准，连接速率在供应商提供的路线接入速率的60%以下为速率过低。供应商对专线速率基本保证上限，最低保证下限，低于下限速率为速率过低。供应商接到采购人书面申告材料后3小时内使采购人速率趋于正常，超出3小时部分累计每超过一天，供应商按日信息服务费和链路费日金额予以核减，核减金额在第二次服务费中扣除。</w:t>
            </w:r>
          </w:p>
          <w:p>
            <w:pPr>
              <w:keepNext w:val="0"/>
              <w:keepLines w:val="0"/>
              <w:pageBreakBefore w:val="0"/>
              <w:widowControl w:val="0"/>
              <w:kinsoku/>
              <w:wordWrap/>
              <w:overflowPunct/>
              <w:topLinePunct w:val="0"/>
              <w:bidi w:val="0"/>
              <w:spacing w:line="400" w:lineRule="exact"/>
              <w:ind w:firstLine="420"/>
              <w:outlineLvl w:val="9"/>
              <w:rPr>
                <w:ins w:id="1" w:author="赵陈" w:date="2025-10-19T10:58:00Z"/>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廉政条款</w:t>
            </w:r>
            <w:r>
              <w:rPr>
                <w:rFonts w:hint="eastAsia" w:ascii="宋体" w:hAnsi="宋体" w:eastAsia="宋体" w:cs="宋体"/>
                <w:color w:val="auto"/>
                <w:sz w:val="24"/>
                <w:szCs w:val="24"/>
              </w:rPr>
              <w:t xml:space="preserve"> </w:t>
            </w:r>
          </w:p>
          <w:p>
            <w:pPr>
              <w:keepNext w:val="0"/>
              <w:keepLines w:val="0"/>
              <w:pageBreakBefore w:val="0"/>
              <w:widowControl w:val="0"/>
              <w:numPr>
                <w:ilvl w:val="0"/>
                <w:numId w:val="16"/>
              </w:numPr>
              <w:kinsoku/>
              <w:wordWrap/>
              <w:overflowPunct/>
              <w:topLinePunct w:val="0"/>
              <w:bidi w:val="0"/>
              <w:spacing w:line="400" w:lineRule="exact"/>
              <w:ind w:firstLine="420"/>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合同双方应共同加强廉洁自律、反对商业贿赂。</w:t>
            </w:r>
          </w:p>
          <w:p>
            <w:pPr>
              <w:keepNext w:val="0"/>
              <w:keepLines w:val="0"/>
              <w:pageBreakBefore w:val="0"/>
              <w:widowControl w:val="0"/>
              <w:kinsoku/>
              <w:wordWrap/>
              <w:overflowPunct/>
              <w:topLinePunct w:val="0"/>
              <w:bidi w:val="0"/>
              <w:spacing w:line="400" w:lineRule="exact"/>
              <w:ind w:firstLine="420"/>
              <w:outlineLvl w:val="9"/>
              <w:rPr>
                <w:rFonts w:hint="eastAsia" w:ascii="宋体" w:hAnsi="宋体" w:eastAsia="宋体" w:cs="宋体"/>
                <w:color w:val="auto"/>
                <w:sz w:val="24"/>
                <w:szCs w:val="24"/>
              </w:rPr>
            </w:pPr>
            <w:r>
              <w:rPr>
                <w:rFonts w:hint="eastAsia" w:ascii="宋体" w:hAnsi="宋体" w:eastAsia="宋体" w:cs="宋体"/>
                <w:color w:val="auto"/>
                <w:sz w:val="24"/>
                <w:szCs w:val="24"/>
              </w:rPr>
              <w:t>（2）甲方及其工作人员不得索要和接受乙方及其工作人员赠送的礼品、礼金、电子红包、消费卡（券）和有价证券、股权、其他金融产品等财物；不得接受乙方及其工作人员提供的可能影响公正执行公务的宴请或旅游、健身、娱乐等活动安排，以及乙方组织的抽奖活动、高端电子产品或其他生活用品体验；不得在乙方报销应由本单位或个人支付的费用，向乙方提出筹资、借款、借物要求，或为他人吸收存款、推销金融产品等与合同无关的要求；不得长期占用乙方车辆；不得安排亲属到乙方挂名领薪，或以本人或他人名义参股或持有非上市企业的股份、证券等。</w:t>
            </w:r>
          </w:p>
          <w:p>
            <w:pPr>
              <w:keepNext w:val="0"/>
              <w:keepLines w:val="0"/>
              <w:pageBreakBefore w:val="0"/>
              <w:widowControl w:val="0"/>
              <w:kinsoku/>
              <w:wordWrap/>
              <w:overflowPunct/>
              <w:topLinePunct w:val="0"/>
              <w:bidi w:val="0"/>
              <w:spacing w:line="400" w:lineRule="exact"/>
              <w:ind w:firstLine="420"/>
              <w:outlineLvl w:val="9"/>
              <w:rPr>
                <w:rFonts w:hint="eastAsia" w:ascii="宋体" w:hAnsi="宋体" w:eastAsia="宋体" w:cs="宋体"/>
                <w:color w:val="auto"/>
                <w:sz w:val="24"/>
                <w:szCs w:val="24"/>
              </w:rPr>
            </w:pPr>
            <w:r>
              <w:rPr>
                <w:rFonts w:hint="eastAsia" w:ascii="宋体" w:hAnsi="宋体" w:eastAsia="宋体" w:cs="宋体"/>
                <w:color w:val="auto"/>
                <w:sz w:val="24"/>
                <w:szCs w:val="24"/>
              </w:rPr>
              <w:t>（3）乙方及其工作人员不得向甲方及其工作人员行贿或者赠送礼品、礼金、电子红包、消费卡（券）和有价证券、股权、其他金融产品等财物；不得为甲方安排可能影响公正执行公务的宴请或旅游、健身、娱乐，组织抽奖活动、高端电子产品或其他生活用品体验；不得为甲方及其工作人员报销应由甲方单位或个人支付的费用；不得向甲方工作人员支付劳务报酬。</w:t>
            </w:r>
          </w:p>
          <w:p>
            <w:pPr>
              <w:keepNext w:val="0"/>
              <w:keepLines w:val="0"/>
              <w:pageBreakBefore w:val="0"/>
              <w:widowControl w:val="0"/>
              <w:kinsoku/>
              <w:wordWrap/>
              <w:overflowPunct/>
              <w:topLinePunct w:val="0"/>
              <w:bidi w:val="0"/>
              <w:spacing w:line="400" w:lineRule="exact"/>
              <w:outlineLvl w:val="9"/>
              <w:rPr>
                <w:rFonts w:hint="eastAsia" w:ascii="宋体" w:hAnsi="宋体" w:eastAsia="宋体" w:cs="宋体"/>
                <w:color w:val="auto"/>
                <w:sz w:val="24"/>
                <w:szCs w:val="24"/>
              </w:rPr>
            </w:pPr>
            <w:r>
              <w:rPr>
                <w:rFonts w:hint="eastAsia" w:ascii="宋体" w:hAnsi="宋体" w:eastAsia="宋体" w:cs="宋体"/>
                <w:color w:val="auto"/>
                <w:sz w:val="24"/>
                <w:szCs w:val="24"/>
              </w:rPr>
              <w:t>（以下为合同签署页，无正文）</w:t>
            </w: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pStyle w:val="2"/>
              <w:ind w:firstLine="0" w:firstLineChars="0"/>
              <w:rPr>
                <w:rFonts w:hint="eastAsia" w:ascii="宋体" w:hAnsi="宋体" w:eastAsia="宋体" w:cs="宋体"/>
                <w:color w:val="auto"/>
                <w:szCs w:val="24"/>
              </w:rPr>
            </w:pPr>
          </w:p>
          <w:p>
            <w:pPr>
              <w:widowControl/>
              <w:spacing w:line="240" w:lineRule="auto"/>
              <w:rPr>
                <w:rFonts w:hint="eastAsia" w:ascii="宋体" w:hAnsi="宋体" w:eastAsia="宋体" w:cs="宋体"/>
                <w:color w:val="auto"/>
                <w:sz w:val="24"/>
                <w:szCs w:val="24"/>
              </w:rPr>
            </w:pPr>
          </w:p>
          <w:p>
            <w:pPr>
              <w:widowControl/>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（本页为合同签署页，无正文）</w:t>
            </w:r>
          </w:p>
          <w:p>
            <w:pPr>
              <w:rPr>
                <w:rFonts w:hint="eastAsia" w:ascii="宋体" w:hAnsi="宋体" w:eastAsia="宋体" w:cs="宋体"/>
                <w:color w:val="auto"/>
                <w:sz w:val="24"/>
                <w:szCs w:val="24"/>
              </w:rPr>
            </w:pPr>
          </w:p>
          <w:tbl>
            <w:tblPr>
              <w:tblStyle w:val="42"/>
              <w:tblW w:w="9562" w:type="dxa"/>
              <w:jc w:val="center"/>
              <w:tblCellSpacing w:w="15" w:type="dxa"/>
              <w:tblInd w:w="0" w:type="dxa"/>
              <w:tblLayout w:type="fixed"/>
              <w:tblCellMar>
                <w:top w:w="15" w:type="dxa"/>
                <w:left w:w="15" w:type="dxa"/>
                <w:bottom w:w="15" w:type="dxa"/>
                <w:right w:w="15" w:type="dxa"/>
              </w:tblCellMar>
            </w:tblPr>
            <w:tblGrid>
              <w:gridCol w:w="4679"/>
              <w:gridCol w:w="43"/>
              <w:gridCol w:w="4515"/>
              <w:gridCol w:w="325"/>
            </w:tblGrid>
            <w:tr>
              <w:tblPrEx>
                <w:tblLayout w:type="fixed"/>
                <w:tblCellMar>
                  <w:top w:w="15" w:type="dxa"/>
                  <w:left w:w="15" w:type="dxa"/>
                  <w:bottom w:w="15" w:type="dxa"/>
                  <w:right w:w="15" w:type="dxa"/>
                </w:tblCellMar>
              </w:tblPrEx>
              <w:trPr>
                <w:trHeight w:val="375" w:hRule="atLeast"/>
                <w:tblCellSpacing w:w="15" w:type="dxa"/>
                <w:jc w:val="center"/>
              </w:trPr>
              <w:tc>
                <w:tcPr>
                  <w:tcW w:w="4677" w:type="dxa"/>
                  <w:gridSpan w:val="2"/>
                  <w:tcBorders>
                    <w:top w:val="nil"/>
                    <w:left w:val="nil"/>
                    <w:bottom w:val="nil"/>
                    <w:right w:val="nil"/>
                  </w:tcBorders>
                  <w:noWrap w:val="0"/>
                  <w:vAlign w:val="top"/>
                </w:tcPr>
                <w:p>
                  <w:pPr>
                    <w:widowControl/>
                    <w:spacing w:line="580" w:lineRule="exact"/>
                    <w:rPr>
                      <w:rFonts w:hint="eastAsia" w:ascii="宋体" w:hAnsi="宋体" w:eastAsia="宋体" w:cs="宋体"/>
                      <w:b/>
                      <w:color w:val="auto"/>
                      <w:sz w:val="24"/>
                      <w:szCs w:val="24"/>
                    </w:rPr>
                  </w:pPr>
                  <w:ins w:id="2" w:author="赵陈" w:date="2025-10-19T10:59:00Z">
                    <w:r>
                      <w:rPr>
                        <w:rFonts w:hint="eastAsia" w:ascii="宋体" w:hAnsi="宋体" w:eastAsia="宋体" w:cs="宋体"/>
                        <w:b/>
                        <w:color w:val="auto"/>
                        <w:sz w:val="24"/>
                        <w:szCs w:val="24"/>
                        <w:lang w:val="en-US" w:eastAsia="zh-CN"/>
                      </w:rPr>
                      <w:t xml:space="preserve"> </w:t>
                    </w:r>
                  </w:ins>
                  <w:r>
                    <w:rPr>
                      <w:rFonts w:hint="eastAsia" w:ascii="宋体" w:hAnsi="宋体" w:eastAsia="宋体" w:cs="宋体"/>
                      <w:b/>
                      <w:color w:val="auto"/>
                      <w:sz w:val="24"/>
                      <w:szCs w:val="24"/>
                    </w:rPr>
                    <w:t xml:space="preserve">甲方：中共北京市委机要局 </w:t>
                  </w:r>
                </w:p>
                <w:p>
                  <w:pPr>
                    <w:widowControl/>
                    <w:spacing w:line="580" w:lineRule="exact"/>
                    <w:rPr>
                      <w:rFonts w:hint="eastAsia" w:ascii="宋体" w:hAnsi="宋体" w:eastAsia="宋体" w:cs="宋体"/>
                      <w:b/>
                      <w:color w:val="auto"/>
                      <w:sz w:val="24"/>
                      <w:szCs w:val="24"/>
                    </w:rPr>
                  </w:pPr>
                </w:p>
              </w:tc>
              <w:tc>
                <w:tcPr>
                  <w:tcW w:w="4795" w:type="dxa"/>
                  <w:gridSpan w:val="2"/>
                  <w:tcBorders>
                    <w:top w:val="nil"/>
                    <w:left w:val="nil"/>
                    <w:bottom w:val="nil"/>
                    <w:right w:val="nil"/>
                  </w:tcBorders>
                  <w:noWrap w:val="0"/>
                  <w:vAlign w:val="top"/>
                </w:tcPr>
                <w:p>
                  <w:pPr>
                    <w:widowControl/>
                    <w:spacing w:line="5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乙方： </w:t>
                  </w:r>
                </w:p>
                <w:p>
                  <w:pPr>
                    <w:widowControl/>
                    <w:spacing w:line="580" w:lineRule="exact"/>
                    <w:rPr>
                      <w:rFonts w:hint="eastAsia" w:ascii="宋体" w:hAnsi="宋体" w:eastAsia="宋体" w:cs="宋体"/>
                      <w:b/>
                      <w:color w:val="auto"/>
                      <w:sz w:val="24"/>
                      <w:szCs w:val="24"/>
                    </w:rPr>
                  </w:pPr>
                </w:p>
              </w:tc>
            </w:tr>
            <w:tr>
              <w:tblPrEx>
                <w:tblLayout w:type="fixed"/>
                <w:tblCellMar>
                  <w:top w:w="15" w:type="dxa"/>
                  <w:left w:w="15" w:type="dxa"/>
                  <w:bottom w:w="15" w:type="dxa"/>
                  <w:right w:w="15" w:type="dxa"/>
                </w:tblCellMar>
              </w:tblPrEx>
              <w:trPr>
                <w:gridAfter w:val="1"/>
                <w:wAfter w:w="325" w:type="dxa"/>
                <w:trHeight w:val="389" w:hRule="atLeast"/>
                <w:tblCellSpacing w:w="15" w:type="dxa"/>
                <w:jc w:val="center"/>
              </w:trPr>
              <w:tc>
                <w:tcPr>
                  <w:tcW w:w="4634" w:type="dxa"/>
                  <w:tcBorders>
                    <w:top w:val="nil"/>
                    <w:left w:val="nil"/>
                    <w:bottom w:val="nil"/>
                    <w:right w:val="nil"/>
                  </w:tcBorders>
                  <w:noWrap w:val="0"/>
                  <w:vAlign w:val="top"/>
                </w:tcPr>
                <w:p>
                  <w:pPr>
                    <w:widowControl/>
                    <w:spacing w:line="580" w:lineRule="exact"/>
                    <w:rPr>
                      <w:rFonts w:hint="eastAsia" w:ascii="宋体" w:hAnsi="宋体" w:eastAsia="宋体" w:cs="宋体"/>
                      <w:color w:val="auto"/>
                      <w:sz w:val="24"/>
                      <w:szCs w:val="24"/>
                    </w:rPr>
                  </w:pPr>
                </w:p>
                <w:p>
                  <w:pPr>
                    <w:widowControl/>
                    <w:spacing w:line="580" w:lineRule="exact"/>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（盖章）</w:t>
                  </w:r>
                </w:p>
                <w:p>
                  <w:pPr>
                    <w:widowControl/>
                    <w:spacing w:line="580" w:lineRule="exact"/>
                    <w:rPr>
                      <w:rFonts w:hint="eastAsia" w:ascii="宋体" w:hAnsi="宋体" w:eastAsia="宋体" w:cs="宋体"/>
                      <w:color w:val="auto"/>
                      <w:sz w:val="24"/>
                      <w:szCs w:val="24"/>
                    </w:rPr>
                  </w:pPr>
                </w:p>
              </w:tc>
              <w:tc>
                <w:tcPr>
                  <w:tcW w:w="4513" w:type="dxa"/>
                  <w:gridSpan w:val="2"/>
                  <w:tcBorders>
                    <w:top w:val="nil"/>
                    <w:left w:val="nil"/>
                    <w:bottom w:val="nil"/>
                    <w:right w:val="nil"/>
                  </w:tcBorders>
                  <w:noWrap w:val="0"/>
                  <w:vAlign w:val="top"/>
                </w:tcPr>
                <w:p>
                  <w:pPr>
                    <w:widowControl/>
                    <w:spacing w:line="580" w:lineRule="exact"/>
                    <w:rPr>
                      <w:rFonts w:hint="eastAsia" w:ascii="宋体" w:hAnsi="宋体" w:eastAsia="宋体" w:cs="宋体"/>
                      <w:color w:val="auto"/>
                      <w:sz w:val="24"/>
                      <w:szCs w:val="24"/>
                    </w:rPr>
                  </w:pPr>
                </w:p>
                <w:p>
                  <w:pPr>
                    <w:widowControl/>
                    <w:spacing w:line="580" w:lineRule="exact"/>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（盖章）</w:t>
                  </w:r>
                </w:p>
              </w:tc>
            </w:tr>
            <w:tr>
              <w:tblPrEx>
                <w:tblLayout w:type="fixed"/>
                <w:tblCellMar>
                  <w:top w:w="15" w:type="dxa"/>
                  <w:left w:w="15" w:type="dxa"/>
                  <w:bottom w:w="15" w:type="dxa"/>
                  <w:right w:w="15" w:type="dxa"/>
                </w:tblCellMar>
              </w:tblPrEx>
              <w:trPr>
                <w:gridAfter w:val="1"/>
                <w:wAfter w:w="325" w:type="dxa"/>
                <w:trHeight w:val="389" w:hRule="atLeast"/>
                <w:tblCellSpacing w:w="15" w:type="dxa"/>
                <w:jc w:val="center"/>
              </w:trPr>
              <w:tc>
                <w:tcPr>
                  <w:tcW w:w="4634" w:type="dxa"/>
                  <w:tcBorders>
                    <w:top w:val="nil"/>
                    <w:left w:val="nil"/>
                    <w:bottom w:val="nil"/>
                    <w:right w:val="nil"/>
                  </w:tcBorders>
                  <w:noWrap w:val="0"/>
                  <w:vAlign w:val="center"/>
                </w:tcPr>
                <w:p>
                  <w:pPr>
                    <w:widowControl/>
                    <w:spacing w:line="580" w:lineRule="exact"/>
                    <w:ind w:firstLine="2400" w:firstLineChars="1000"/>
                    <w:rPr>
                      <w:rFonts w:hint="eastAsia" w:ascii="宋体" w:hAnsi="宋体" w:eastAsia="宋体" w:cs="宋体"/>
                      <w:color w:val="auto"/>
                      <w:sz w:val="24"/>
                      <w:szCs w:val="24"/>
                    </w:rPr>
                  </w:pPr>
                </w:p>
              </w:tc>
              <w:tc>
                <w:tcPr>
                  <w:tcW w:w="4513" w:type="dxa"/>
                  <w:gridSpan w:val="2"/>
                  <w:tcBorders>
                    <w:top w:val="nil"/>
                    <w:left w:val="nil"/>
                    <w:bottom w:val="nil"/>
                    <w:right w:val="nil"/>
                  </w:tcBorders>
                  <w:noWrap w:val="0"/>
                  <w:vAlign w:val="center"/>
                </w:tcPr>
                <w:p>
                  <w:pPr>
                    <w:widowControl/>
                    <w:spacing w:line="580" w:lineRule="exact"/>
                    <w:ind w:firstLine="2400" w:firstLineChars="1000"/>
                    <w:rPr>
                      <w:rFonts w:hint="eastAsia" w:ascii="宋体" w:hAnsi="宋体" w:eastAsia="宋体" w:cs="宋体"/>
                      <w:color w:val="auto"/>
                      <w:sz w:val="24"/>
                      <w:szCs w:val="24"/>
                    </w:rPr>
                  </w:pPr>
                </w:p>
              </w:tc>
            </w:tr>
            <w:tr>
              <w:tblPrEx>
                <w:tblLayout w:type="fixed"/>
                <w:tblCellMar>
                  <w:top w:w="15" w:type="dxa"/>
                  <w:left w:w="15" w:type="dxa"/>
                  <w:bottom w:w="15" w:type="dxa"/>
                  <w:right w:w="15" w:type="dxa"/>
                </w:tblCellMar>
              </w:tblPrEx>
              <w:trPr>
                <w:gridAfter w:val="1"/>
                <w:wAfter w:w="325" w:type="dxa"/>
                <w:trHeight w:val="389" w:hRule="atLeast"/>
                <w:tblCellSpacing w:w="15" w:type="dxa"/>
                <w:jc w:val="center"/>
              </w:trPr>
              <w:tc>
                <w:tcPr>
                  <w:tcW w:w="4634" w:type="dxa"/>
                  <w:tcBorders>
                    <w:top w:val="nil"/>
                    <w:left w:val="nil"/>
                    <w:bottom w:val="nil"/>
                    <w:right w:val="nil"/>
                  </w:tcBorders>
                  <w:noWrap w:val="0"/>
                  <w:vAlign w:val="top"/>
                </w:tcPr>
                <w:p>
                  <w:pPr>
                    <w:widowControl/>
                    <w:spacing w:line="580" w:lineRule="exact"/>
                    <w:rPr>
                      <w:rFonts w:hint="eastAsia" w:ascii="宋体" w:hAnsi="宋体" w:eastAsia="宋体" w:cs="宋体"/>
                      <w:color w:val="auto"/>
                      <w:sz w:val="24"/>
                      <w:szCs w:val="24"/>
                    </w:rPr>
                  </w:pPr>
                  <w:ins w:id="3" w:author="赵陈" w:date="2025-10-19T10:59:00Z">
                    <w:r>
                      <w:rPr>
                        <w:rFonts w:hint="eastAsia" w:ascii="宋体" w:hAnsi="宋体" w:eastAsia="宋体" w:cs="宋体"/>
                        <w:color w:val="auto"/>
                        <w:sz w:val="24"/>
                        <w:szCs w:val="24"/>
                        <w:lang w:val="en-US" w:eastAsia="zh-CN"/>
                      </w:rPr>
                      <w:t xml:space="preserve">  </w:t>
                    </w:r>
                  </w:ins>
                  <w:r>
                    <w:rPr>
                      <w:rFonts w:hint="eastAsia" w:ascii="宋体" w:hAnsi="宋体" w:eastAsia="宋体" w:cs="宋体"/>
                      <w:color w:val="auto"/>
                      <w:sz w:val="24"/>
                      <w:szCs w:val="24"/>
                    </w:rPr>
                    <w:t>法定代表人或授权代表（签字）</w:t>
                  </w:r>
                </w:p>
                <w:p>
                  <w:pPr>
                    <w:widowControl/>
                    <w:spacing w:line="580" w:lineRule="exact"/>
                    <w:rPr>
                      <w:rFonts w:hint="eastAsia" w:ascii="宋体" w:hAnsi="宋体" w:eastAsia="宋体" w:cs="宋体"/>
                      <w:color w:val="auto"/>
                      <w:sz w:val="24"/>
                      <w:szCs w:val="24"/>
                    </w:rPr>
                  </w:pPr>
                </w:p>
                <w:p>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______________________________</w:t>
                  </w:r>
                </w:p>
                <w:p>
                  <w:pPr>
                    <w:widowControl/>
                    <w:spacing w:line="580" w:lineRule="exact"/>
                    <w:rPr>
                      <w:rFonts w:hint="eastAsia" w:ascii="宋体" w:hAnsi="宋体" w:eastAsia="宋体" w:cs="宋体"/>
                      <w:color w:val="auto"/>
                      <w:sz w:val="24"/>
                      <w:szCs w:val="24"/>
                    </w:rPr>
                  </w:pPr>
                </w:p>
                <w:p>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c>
                <w:tcPr>
                  <w:tcW w:w="4513" w:type="dxa"/>
                  <w:gridSpan w:val="2"/>
                  <w:tcBorders>
                    <w:top w:val="nil"/>
                    <w:left w:val="nil"/>
                    <w:bottom w:val="nil"/>
                    <w:right w:val="nil"/>
                  </w:tcBorders>
                  <w:noWrap w:val="0"/>
                  <w:vAlign w:val="top"/>
                </w:tcPr>
                <w:p>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pPr>
                    <w:widowControl/>
                    <w:spacing w:line="580" w:lineRule="exact"/>
                    <w:rPr>
                      <w:rFonts w:hint="eastAsia" w:ascii="宋体" w:hAnsi="宋体" w:eastAsia="宋体" w:cs="宋体"/>
                      <w:color w:val="auto"/>
                      <w:sz w:val="24"/>
                      <w:szCs w:val="24"/>
                    </w:rPr>
                  </w:pPr>
                </w:p>
                <w:p>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_______________________________</w:t>
                  </w:r>
                </w:p>
                <w:p>
                  <w:pPr>
                    <w:widowControl/>
                    <w:spacing w:line="580" w:lineRule="exact"/>
                    <w:rPr>
                      <w:rFonts w:hint="eastAsia" w:ascii="宋体" w:hAnsi="宋体" w:eastAsia="宋体" w:cs="宋体"/>
                      <w:color w:val="auto"/>
                      <w:sz w:val="24"/>
                      <w:szCs w:val="24"/>
                    </w:rPr>
                  </w:pPr>
                </w:p>
                <w:p>
                  <w:pPr>
                    <w:widowControl/>
                    <w:spacing w:line="58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pPr>
              <w:autoSpaceDE w:val="0"/>
              <w:autoSpaceDN w:val="0"/>
              <w:snapToGrid w:val="0"/>
              <w:spacing w:line="580" w:lineRule="exact"/>
              <w:ind w:firstLine="470" w:firstLineChars="196"/>
              <w:rPr>
                <w:rFonts w:hint="eastAsia" w:ascii="宋体" w:hAnsi="宋体" w:eastAsia="宋体" w:cs="宋体"/>
                <w:color w:val="auto"/>
                <w:sz w:val="24"/>
                <w:szCs w:val="24"/>
              </w:rPr>
            </w:pPr>
          </w:p>
        </w:tc>
      </w:tr>
    </w:tbl>
    <w:p>
      <w:pPr>
        <w:pStyle w:val="2"/>
        <w:ind w:firstLine="0"/>
        <w:rPr>
          <w:b/>
          <w:sz w:val="36"/>
          <w:szCs w:val="36"/>
        </w:rPr>
      </w:pPr>
      <w:bookmarkStart w:id="668" w:name="_Toc97371947"/>
    </w:p>
    <w:p>
      <w:pPr>
        <w:spacing w:line="360" w:lineRule="auto"/>
        <w:jc w:val="center"/>
        <w:outlineLvl w:val="0"/>
        <w:rPr>
          <w:b/>
          <w:sz w:val="36"/>
          <w:szCs w:val="36"/>
        </w:rPr>
      </w:pPr>
      <w:r>
        <w:rPr>
          <w:b/>
          <w:sz w:val="36"/>
          <w:szCs w:val="36"/>
        </w:rPr>
        <w:t>第六章   响应文件格式</w:t>
      </w:r>
      <w:bookmarkEnd w:id="668"/>
    </w:p>
    <w:p>
      <w:pPr>
        <w:widowControl/>
        <w:spacing w:line="360" w:lineRule="auto"/>
        <w:jc w:val="left"/>
        <w:rPr>
          <w:b/>
          <w:sz w:val="24"/>
        </w:rPr>
      </w:pPr>
    </w:p>
    <w:p>
      <w:pPr>
        <w:tabs>
          <w:tab w:val="left" w:pos="900"/>
          <w:tab w:val="left" w:pos="1980"/>
        </w:tabs>
        <w:snapToGrid w:val="0"/>
        <w:spacing w:line="360" w:lineRule="auto"/>
        <w:ind w:left="142"/>
        <w:rPr>
          <w:b/>
          <w:kern w:val="0"/>
          <w:sz w:val="24"/>
        </w:rPr>
      </w:pPr>
      <w:r>
        <w:rPr>
          <w:b/>
          <w:kern w:val="0"/>
          <w:sz w:val="24"/>
        </w:rPr>
        <w:t>供应商编制文件须知</w:t>
      </w:r>
    </w:p>
    <w:p>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tabs>
          <w:tab w:val="left" w:pos="900"/>
          <w:tab w:val="left" w:pos="1980"/>
        </w:tabs>
        <w:snapToGrid w:val="0"/>
        <w:spacing w:line="360" w:lineRule="auto"/>
        <w:ind w:left="142"/>
        <w:rPr>
          <w:sz w:val="24"/>
        </w:rPr>
      </w:pPr>
    </w:p>
    <w:p>
      <w:pPr>
        <w:widowControl/>
        <w:jc w:val="left"/>
        <w:rPr>
          <w:sz w:val="24"/>
        </w:rPr>
      </w:pPr>
      <w:r>
        <w:rPr>
          <w:sz w:val="24"/>
        </w:rPr>
        <w:br w:type="page"/>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Pr>
        <w:rPr>
          <w:b/>
          <w:spacing w:val="20"/>
          <w:szCs w:val="21"/>
        </w:rPr>
      </w:pPr>
    </w:p>
    <w:p>
      <w:pPr>
        <w:rPr>
          <w:b/>
          <w:sz w:val="24"/>
        </w:rPr>
      </w:pPr>
      <w:r>
        <w:rPr>
          <w:b/>
          <w:spacing w:val="20"/>
          <w:sz w:val="24"/>
        </w:rPr>
        <w:t>响应文件</w:t>
      </w:r>
      <w:r>
        <w:rPr>
          <w:b/>
          <w:sz w:val="24"/>
        </w:rPr>
        <w:t>封面（非实质性格式）</w:t>
      </w:r>
    </w:p>
    <w:p>
      <w:pPr>
        <w:jc w:val="center"/>
        <w:rPr>
          <w:szCs w:val="21"/>
        </w:rPr>
      </w:pPr>
    </w:p>
    <w:p>
      <w:pPr>
        <w:jc w:val="center"/>
        <w:rPr>
          <w:b/>
          <w:spacing w:val="60"/>
          <w:sz w:val="84"/>
          <w:szCs w:val="84"/>
        </w:rPr>
      </w:pPr>
      <w:r>
        <w:rPr>
          <w:b/>
          <w:spacing w:val="60"/>
          <w:sz w:val="84"/>
          <w:szCs w:val="84"/>
        </w:rPr>
        <w:t>响 应 文 件</w:t>
      </w:r>
    </w:p>
    <w:p>
      <w:pPr>
        <w:jc w:val="center"/>
        <w:rPr>
          <w:b/>
          <w:spacing w:val="60"/>
          <w:sz w:val="52"/>
          <w:szCs w:val="52"/>
        </w:rPr>
      </w:pP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rFonts w:hint="eastAsia"/>
          <w:b/>
          <w:spacing w:val="20"/>
          <w:sz w:val="32"/>
          <w:szCs w:val="32"/>
        </w:rPr>
        <w:t>采购编号</w:t>
      </w:r>
      <w:r>
        <w:rPr>
          <w:b/>
          <w:spacing w:val="20"/>
          <w:sz w:val="32"/>
          <w:szCs w:val="32"/>
        </w:rPr>
        <w:t>/包号：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供应商名称：</w:t>
      </w:r>
    </w:p>
    <w:p>
      <w:pPr>
        <w:jc w:val="center"/>
        <w:rPr>
          <w:b/>
          <w:sz w:val="32"/>
          <w:szCs w:val="32"/>
        </w:rPr>
      </w:pPr>
    </w:p>
    <w:p>
      <w:pPr>
        <w:rPr>
          <w:b/>
        </w:rPr>
      </w:pPr>
      <w:r>
        <w:rPr>
          <w:b/>
          <w:spacing w:val="20"/>
          <w:sz w:val="32"/>
          <w:szCs w:val="32"/>
        </w:rPr>
        <w:br w:type="page"/>
      </w:r>
    </w:p>
    <w:p>
      <w:pPr>
        <w:tabs>
          <w:tab w:val="left" w:pos="360"/>
        </w:tabs>
        <w:snapToGrid w:val="0"/>
        <w:spacing w:line="360" w:lineRule="auto"/>
        <w:outlineLvl w:val="1"/>
        <w:rPr>
          <w:sz w:val="24"/>
        </w:rPr>
      </w:pPr>
      <w:r>
        <w:rPr>
          <w:sz w:val="24"/>
        </w:rPr>
        <w:t>1 满足《中华人民共和国政府采购法》第二十二条规定</w:t>
      </w:r>
    </w:p>
    <w:p>
      <w:pPr>
        <w:spacing w:line="360" w:lineRule="auto"/>
        <w:outlineLvl w:val="2"/>
        <w:rPr>
          <w:color w:val="000000"/>
          <w:sz w:val="24"/>
        </w:rPr>
      </w:pPr>
      <w:r>
        <w:rPr>
          <w:color w:val="000000"/>
          <w:sz w:val="24"/>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5"/>
        <w:rPr>
          <w:rFonts w:ascii="Times New Roman"/>
          <w:b w:val="0"/>
          <w:bCs/>
          <w:color w:val="000000"/>
          <w:szCs w:val="24"/>
          <w:u w:val="none"/>
        </w:rPr>
      </w:pPr>
      <w:r>
        <w:rPr>
          <w:rFonts w:ascii="Times New Roman"/>
          <w:b w:val="0"/>
          <w:color w:val="000000"/>
          <w:szCs w:val="24"/>
          <w:u w:val="none"/>
        </w:rPr>
        <w:t>1-2 供应商资格声明书</w:t>
      </w:r>
    </w:p>
    <w:p>
      <w:pPr>
        <w:jc w:val="center"/>
        <w:rPr>
          <w:b/>
          <w:color w:val="000000"/>
          <w:sz w:val="36"/>
          <w:szCs w:val="36"/>
        </w:rPr>
      </w:pPr>
      <w:r>
        <w:rPr>
          <w:b/>
          <w:color w:val="000000"/>
          <w:sz w:val="36"/>
          <w:szCs w:val="36"/>
        </w:rPr>
        <w:t>供应商资格声明书</w:t>
      </w:r>
    </w:p>
    <w:p>
      <w:pPr>
        <w:tabs>
          <w:tab w:val="left" w:pos="5580"/>
        </w:tabs>
        <w:spacing w:line="360" w:lineRule="auto"/>
        <w:rPr>
          <w:sz w:val="24"/>
        </w:rPr>
      </w:pPr>
    </w:p>
    <w:p>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pPr>
        <w:spacing w:line="360" w:lineRule="auto"/>
        <w:ind w:firstLine="480" w:firstLineChars="200"/>
        <w:rPr>
          <w:sz w:val="24"/>
        </w:rPr>
      </w:pPr>
      <w:r>
        <w:rPr>
          <w:sz w:val="24"/>
        </w:rPr>
        <w:t>在参与本次项目磋商中，我单位承诺：</w:t>
      </w:r>
    </w:p>
    <w:p>
      <w:pPr>
        <w:numPr>
          <w:ilvl w:val="0"/>
          <w:numId w:val="17"/>
        </w:numPr>
        <w:spacing w:line="360" w:lineRule="auto"/>
        <w:ind w:left="1134"/>
        <w:rPr>
          <w:sz w:val="24"/>
          <w:szCs w:val="22"/>
        </w:rPr>
      </w:pPr>
      <w:r>
        <w:rPr>
          <w:sz w:val="24"/>
          <w:szCs w:val="22"/>
        </w:rPr>
        <w:t>具有良好的商业信誉和健全的财务会计制度；</w:t>
      </w:r>
    </w:p>
    <w:p>
      <w:pPr>
        <w:numPr>
          <w:ilvl w:val="0"/>
          <w:numId w:val="17"/>
        </w:numPr>
        <w:spacing w:line="360" w:lineRule="auto"/>
        <w:ind w:left="1134"/>
        <w:rPr>
          <w:sz w:val="24"/>
          <w:szCs w:val="22"/>
        </w:rPr>
      </w:pPr>
      <w:r>
        <w:rPr>
          <w:sz w:val="24"/>
          <w:szCs w:val="22"/>
        </w:rPr>
        <w:t>具有履行合同所必需的设备和专业技术能力；</w:t>
      </w:r>
    </w:p>
    <w:p>
      <w:pPr>
        <w:numPr>
          <w:ilvl w:val="0"/>
          <w:numId w:val="17"/>
        </w:numPr>
        <w:spacing w:line="360" w:lineRule="auto"/>
        <w:ind w:left="1134"/>
        <w:rPr>
          <w:sz w:val="24"/>
          <w:szCs w:val="22"/>
        </w:rPr>
      </w:pPr>
      <w:r>
        <w:rPr>
          <w:sz w:val="24"/>
          <w:szCs w:val="22"/>
        </w:rPr>
        <w:t>有依法缴纳税收和社会保障资金的良好记录；</w:t>
      </w:r>
    </w:p>
    <w:p>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序号</w:t>
            </w:r>
          </w:p>
        </w:tc>
        <w:tc>
          <w:tcPr>
            <w:tcW w:w="4574" w:type="dxa"/>
            <w:noWrap w:val="0"/>
            <w:vAlign w:val="center"/>
          </w:tcPr>
          <w:p>
            <w:pPr>
              <w:jc w:val="center"/>
              <w:rPr>
                <w:sz w:val="24"/>
              </w:rPr>
            </w:pPr>
            <w:r>
              <w:rPr>
                <w:sz w:val="24"/>
              </w:rPr>
              <w:t>单位名称</w:t>
            </w:r>
          </w:p>
        </w:tc>
        <w:tc>
          <w:tcPr>
            <w:tcW w:w="2976" w:type="dxa"/>
            <w:noWrap w:val="0"/>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1</w:t>
            </w:r>
          </w:p>
        </w:tc>
        <w:tc>
          <w:tcPr>
            <w:tcW w:w="4574" w:type="dxa"/>
            <w:noWrap w:val="0"/>
            <w:vAlign w:val="center"/>
          </w:tcPr>
          <w:p>
            <w:pPr>
              <w:jc w:val="center"/>
              <w:rPr>
                <w:sz w:val="24"/>
              </w:rPr>
            </w:pPr>
          </w:p>
        </w:tc>
        <w:tc>
          <w:tcPr>
            <w:tcW w:w="297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2</w:t>
            </w:r>
          </w:p>
        </w:tc>
        <w:tc>
          <w:tcPr>
            <w:tcW w:w="4574" w:type="dxa"/>
            <w:noWrap w:val="0"/>
            <w:vAlign w:val="center"/>
          </w:tcPr>
          <w:p>
            <w:pPr>
              <w:jc w:val="center"/>
              <w:rPr>
                <w:sz w:val="24"/>
              </w:rPr>
            </w:pPr>
          </w:p>
        </w:tc>
        <w:tc>
          <w:tcPr>
            <w:tcW w:w="297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w:t>
            </w:r>
          </w:p>
        </w:tc>
        <w:tc>
          <w:tcPr>
            <w:tcW w:w="4574" w:type="dxa"/>
            <w:noWrap w:val="0"/>
            <w:vAlign w:val="center"/>
          </w:tcPr>
          <w:p>
            <w:pPr>
              <w:jc w:val="center"/>
              <w:rPr>
                <w:sz w:val="24"/>
              </w:rPr>
            </w:pPr>
          </w:p>
        </w:tc>
        <w:tc>
          <w:tcPr>
            <w:tcW w:w="2976" w:type="dxa"/>
            <w:noWrap w:val="0"/>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pPr>
        <w:spacing w:line="360" w:lineRule="auto"/>
        <w:ind w:right="360" w:firstLine="480"/>
        <w:jc w:val="right"/>
        <w:rPr>
          <w:sz w:val="24"/>
        </w:rPr>
      </w:pPr>
      <w:r>
        <w:rPr>
          <w:color w:val="000000"/>
          <w:sz w:val="24"/>
          <w:szCs w:val="20"/>
        </w:rPr>
        <w:t xml:space="preserve">日期：____年____月____日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rPr>
      </w:pPr>
      <w:r>
        <w:rPr>
          <w:sz w:val="24"/>
        </w:rPr>
        <w:t>2 落实政府采购政策需满足的资格要求</w:t>
      </w:r>
      <w:r>
        <w:rPr>
          <w:b/>
          <w:bCs/>
          <w:color w:val="FF0000"/>
          <w:sz w:val="24"/>
        </w:rPr>
        <w:t>（如有）</w:t>
      </w:r>
    </w:p>
    <w:p>
      <w:pPr>
        <w:spacing w:line="360" w:lineRule="auto"/>
        <w:outlineLvl w:val="2"/>
        <w:rPr>
          <w:color w:val="000000"/>
          <w:sz w:val="24"/>
          <w:szCs w:val="20"/>
        </w:rPr>
      </w:pPr>
      <w:r>
        <w:rPr>
          <w:color w:val="000000"/>
          <w:sz w:val="24"/>
          <w:szCs w:val="20"/>
        </w:rPr>
        <w:t>2-1 中小企业</w:t>
      </w:r>
      <w:r>
        <w:rPr>
          <w:rFonts w:hint="eastAsia"/>
          <w:color w:val="000000"/>
          <w:sz w:val="24"/>
          <w:szCs w:val="20"/>
        </w:rPr>
        <w:t>政策</w:t>
      </w:r>
      <w:r>
        <w:rPr>
          <w:color w:val="000000"/>
          <w:sz w:val="24"/>
          <w:szCs w:val="20"/>
        </w:rPr>
        <w:t>证明文件</w:t>
      </w:r>
    </w:p>
    <w:p>
      <w:pPr>
        <w:tabs>
          <w:tab w:val="left" w:pos="5580"/>
        </w:tabs>
        <w:spacing w:line="360" w:lineRule="auto"/>
        <w:rPr>
          <w:sz w:val="24"/>
        </w:rPr>
      </w:pPr>
      <w:r>
        <w:rPr>
          <w:sz w:val="24"/>
        </w:rPr>
        <w:t>说明：</w:t>
      </w:r>
    </w:p>
    <w:p>
      <w:pPr>
        <w:tabs>
          <w:tab w:val="left" w:pos="5580"/>
        </w:tabs>
        <w:spacing w:line="360" w:lineRule="auto"/>
        <w:rPr>
          <w:b/>
          <w:bCs/>
          <w:sz w:val="24"/>
          <w:u w:val="single"/>
        </w:rPr>
      </w:pPr>
      <w:r>
        <w:rPr>
          <w:b/>
          <w:bCs/>
          <w:sz w:val="24"/>
        </w:rPr>
        <w:t>（1）如本项目（包）不专门面向中小企业预留采购份额，供应商无须提供《中小企业声明函》或《残疾人福利性单位声明函》或由省级以上监狱管理局、戒毒管理局（含新疆生产建设兵团）出具的属于监狱企业的证明文件；</w:t>
      </w:r>
      <w:r>
        <w:rPr>
          <w:b/>
          <w:bCs/>
          <w:sz w:val="24"/>
          <w:u w:val="single"/>
        </w:rPr>
        <w:t>当供应商拟享受中小企业扶持政策时，仍应提供上述证明文件，</w:t>
      </w:r>
      <w:r>
        <w:rPr>
          <w:b/>
          <w:bCs/>
          <w:color w:val="000000"/>
          <w:sz w:val="24"/>
          <w:u w:val="single"/>
        </w:rPr>
        <w:t>否则不享受相关中小企业扶持政策</w:t>
      </w:r>
      <w:r>
        <w:rPr>
          <w:b/>
          <w:bCs/>
          <w:sz w:val="24"/>
          <w:u w:val="single"/>
        </w:rPr>
        <w:t>。</w:t>
      </w:r>
    </w:p>
    <w:p>
      <w:pPr>
        <w:tabs>
          <w:tab w:val="left" w:pos="5580"/>
        </w:tabs>
        <w:spacing w:line="360" w:lineRule="auto"/>
        <w:rPr>
          <w:sz w:val="24"/>
        </w:rPr>
      </w:pPr>
      <w:r>
        <w:rPr>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sz w:val="24"/>
        </w:rPr>
        <w:t>（4）中小企业声明函填写注意事项</w:t>
      </w:r>
    </w:p>
    <w:p>
      <w:pPr>
        <w:tabs>
          <w:tab w:val="left" w:pos="5580"/>
        </w:tabs>
        <w:spacing w:line="360" w:lineRule="auto"/>
        <w:rPr>
          <w:sz w:val="24"/>
        </w:rPr>
      </w:pPr>
      <w:r>
        <w:rPr>
          <w:sz w:val="24"/>
        </w:rPr>
        <w:t>1）《中小企业声明函》由参加政府采购活动的供应商出具。联合体参与的，《中小企业声明函》可由牵头人出具。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pPr>
        <w:widowControl w:val="0"/>
        <w:tabs>
          <w:tab w:val="left" w:pos="5580"/>
        </w:tabs>
        <w:spacing w:line="360" w:lineRule="auto"/>
        <w:jc w:val="both"/>
        <w:rPr>
          <w:b/>
          <w:bCs/>
          <w:color w:val="000000"/>
          <w:sz w:val="36"/>
          <w:szCs w:val="36"/>
        </w:rPr>
      </w:pPr>
      <w:r>
        <w:rPr>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pStyle w:val="6"/>
        <w:rPr>
          <w:rFonts w:ascii="Times New Roman" w:hAnsi="Times New Roman" w:eastAsia="宋体"/>
          <w:sz w:val="24"/>
          <w:szCs w:val="24"/>
        </w:rPr>
      </w:pPr>
      <w:r>
        <w:rPr>
          <w:rFonts w:ascii="Times New Roman" w:hAnsi="Times New Roman" w:eastAsia="宋体"/>
          <w:sz w:val="24"/>
          <w:szCs w:val="24"/>
        </w:rPr>
        <w:t>2-1-1 中小企业</w:t>
      </w:r>
      <w:r>
        <w:rPr>
          <w:rFonts w:hint="eastAsia" w:ascii="Times New Roman" w:hAnsi="Times New Roman" w:eastAsia="宋体"/>
          <w:sz w:val="24"/>
          <w:szCs w:val="24"/>
        </w:rPr>
        <w:t>证明文件</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noWrap w:val="0"/>
            <w:vAlign w:val="top"/>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noWrap w:val="0"/>
            <w:vAlign w:val="top"/>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ind w:right="360" w:firstLine="480"/>
        <w:jc w:val="right"/>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pPr>
        <w:widowControl/>
        <w:jc w:val="left"/>
        <w:rPr>
          <w:color w:val="000000"/>
          <w:sz w:val="24"/>
          <w:szCs w:val="20"/>
        </w:rPr>
      </w:pPr>
      <w:r>
        <w:rPr>
          <w:color w:val="000000"/>
          <w:sz w:val="24"/>
          <w:szCs w:val="20"/>
        </w:rPr>
        <w:br w:type="page"/>
      </w:r>
    </w:p>
    <w:p>
      <w:pPr>
        <w:pStyle w:val="6"/>
        <w:rPr>
          <w:rFonts w:ascii="Times New Roman" w:hAnsi="Times New Roman" w:eastAsia="宋体"/>
          <w:b w:val="0"/>
          <w:color w:val="000000"/>
          <w:sz w:val="24"/>
        </w:rPr>
      </w:pPr>
      <w:r>
        <w:rPr>
          <w:rFonts w:ascii="Times New Roman" w:hAnsi="Times New Roman" w:eastAsia="宋体"/>
          <w:b w:val="0"/>
          <w:color w:val="000000"/>
          <w:sz w:val="24"/>
        </w:rPr>
        <w:t>2-1-2 拟分包情况说明及分包意向协议</w:t>
      </w:r>
    </w:p>
    <w:p>
      <w:pPr>
        <w:tabs>
          <w:tab w:val="left" w:pos="5580"/>
        </w:tabs>
        <w:spacing w:line="360" w:lineRule="auto"/>
        <w:rPr>
          <w:sz w:val="24"/>
        </w:rPr>
      </w:pPr>
      <w:r>
        <w:rPr>
          <w:sz w:val="24"/>
        </w:rPr>
        <w:t>说明：</w:t>
      </w:r>
    </w:p>
    <w:p>
      <w:pPr>
        <w:tabs>
          <w:tab w:val="left" w:pos="5580"/>
        </w:tabs>
        <w:spacing w:line="360" w:lineRule="auto"/>
        <w:rPr>
          <w:sz w:val="24"/>
        </w:rPr>
      </w:pPr>
      <w:r>
        <w:rPr>
          <w:sz w:val="24"/>
        </w:rPr>
        <w:t>如本项目（包）允许分包，且供应商拟进行分包时</w:t>
      </w:r>
      <w:r>
        <w:rPr>
          <w:rFonts w:hint="eastAsia"/>
          <w:sz w:val="24"/>
        </w:rPr>
        <w:t>：</w:t>
      </w:r>
    </w:p>
    <w:p>
      <w:pPr>
        <w:tabs>
          <w:tab w:val="left" w:pos="5580"/>
        </w:tabs>
        <w:spacing w:line="360" w:lineRule="auto"/>
        <w:rPr>
          <w:sz w:val="24"/>
        </w:rPr>
      </w:pPr>
      <w:r>
        <w:rPr>
          <w:sz w:val="24"/>
        </w:rPr>
        <w:t>（1）响应文件中须提供《拟分包情况说明》，否则</w:t>
      </w:r>
      <w:r>
        <w:rPr>
          <w:b/>
          <w:sz w:val="24"/>
        </w:rPr>
        <w:t>响应无效</w:t>
      </w:r>
      <w:r>
        <w:rPr>
          <w:sz w:val="24"/>
        </w:rPr>
        <w:t>；</w:t>
      </w:r>
    </w:p>
    <w:p>
      <w:pPr>
        <w:tabs>
          <w:tab w:val="left" w:pos="5580"/>
        </w:tabs>
        <w:spacing w:line="360" w:lineRule="auto"/>
        <w:rPr>
          <w:sz w:val="24"/>
        </w:rPr>
      </w:pPr>
      <w:r>
        <w:rPr>
          <w:sz w:val="24"/>
        </w:rPr>
        <w:t>（2）当同时符合下列情形时，响应文件还须提供《分包意向协议》，否则</w:t>
      </w:r>
      <w:r>
        <w:rPr>
          <w:b/>
          <w:sz w:val="24"/>
        </w:rPr>
        <w:t>响应无效</w:t>
      </w:r>
      <w:r>
        <w:rPr>
          <w:sz w:val="24"/>
        </w:rPr>
        <w:t>：</w:t>
      </w:r>
    </w:p>
    <w:p>
      <w:pPr>
        <w:tabs>
          <w:tab w:val="left" w:pos="5580"/>
        </w:tabs>
        <w:spacing w:line="360" w:lineRule="auto"/>
        <w:ind w:left="567" w:leftChars="270"/>
        <w:rPr>
          <w:sz w:val="24"/>
        </w:rPr>
      </w:pPr>
      <w:r>
        <w:rPr>
          <w:sz w:val="24"/>
        </w:rPr>
        <w:t>A. 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sz w:val="24"/>
        </w:rPr>
      </w:pPr>
      <w:r>
        <w:rPr>
          <w:sz w:val="24"/>
        </w:rPr>
        <w:t>B. 供应商通过分包方式满足中小企业政策要求的。</w:t>
      </w:r>
    </w:p>
    <w:p>
      <w:pPr>
        <w:autoSpaceDE w:val="0"/>
        <w:autoSpaceDN w:val="0"/>
        <w:adjustRightInd w:val="0"/>
        <w:rPr>
          <w:color w:val="000000"/>
          <w:sz w:val="30"/>
          <w:szCs w:val="30"/>
        </w:rPr>
      </w:pPr>
    </w:p>
    <w:p>
      <w:pPr>
        <w:widowControl/>
        <w:jc w:val="left"/>
        <w:rPr>
          <w:b/>
          <w:color w:val="000000"/>
          <w:sz w:val="36"/>
          <w:szCs w:val="36"/>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pPr>
        <w:adjustRightInd w:val="0"/>
        <w:snapToGrid w:val="0"/>
        <w:spacing w:line="360" w:lineRule="auto"/>
        <w:ind w:firstLine="480" w:firstLineChars="200"/>
        <w:jc w:val="left"/>
        <w:rPr>
          <w:sz w:val="24"/>
        </w:rPr>
      </w:pPr>
      <w:r>
        <w:rPr>
          <w:sz w:val="24"/>
        </w:rPr>
        <w:t>我单位参加贵单位组织采购的</w:t>
      </w:r>
      <w:r>
        <w:rPr>
          <w:rFonts w:hint="eastAsia"/>
          <w:sz w:val="24"/>
        </w:rPr>
        <w:t>采购编号</w:t>
      </w:r>
      <w:r>
        <w:rPr>
          <w:sz w:val="24"/>
        </w:rPr>
        <w:t>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2"/>
        <w:tblW w:w="9000"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分包承担</w:t>
            </w:r>
          </w:p>
          <w:p>
            <w:pPr>
              <w:pStyle w:val="82"/>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分包承担</w:t>
            </w:r>
          </w:p>
          <w:p>
            <w:pPr>
              <w:pStyle w:val="82"/>
              <w:jc w:val="center"/>
              <w:rPr>
                <w:rFonts w:ascii="Times New Roman" w:hAnsi="Times New Roman" w:cs="Times New Roman"/>
                <w:sz w:val="24"/>
                <w:lang w:eastAsia="zh-CN"/>
              </w:rPr>
            </w:pPr>
            <w:r>
              <w:rPr>
                <w:rFonts w:ascii="Times New Roman" w:hAnsi="Times New Roman" w:cs="Times New Roman"/>
                <w:sz w:val="24"/>
                <w:lang w:eastAsia="zh-CN"/>
              </w:rPr>
              <w:t>主体类型</w:t>
            </w:r>
          </w:p>
          <w:p>
            <w:pPr>
              <w:pStyle w:val="82"/>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拟分包</w:t>
            </w:r>
          </w:p>
          <w:p>
            <w:pPr>
              <w:pStyle w:val="82"/>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拟分包</w:t>
            </w:r>
          </w:p>
          <w:p>
            <w:pPr>
              <w:pStyle w:val="82"/>
              <w:jc w:val="center"/>
              <w:rPr>
                <w:rFonts w:ascii="Times New Roman" w:hAnsi="Times New Roman" w:cs="Times New Roman"/>
                <w:sz w:val="24"/>
                <w:lang w:eastAsia="zh-CN"/>
              </w:rPr>
            </w:pPr>
            <w:r>
              <w:rPr>
                <w:rFonts w:ascii="Times New Roman" w:hAnsi="Times New Roman" w:cs="Times New Roman"/>
                <w:sz w:val="24"/>
                <w:lang w:eastAsia="zh-CN"/>
              </w:rPr>
              <w:t>合同金额</w:t>
            </w:r>
          </w:p>
          <w:p>
            <w:pPr>
              <w:pStyle w:val="82"/>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占该采购包</w:t>
            </w:r>
          </w:p>
          <w:p>
            <w:pPr>
              <w:pStyle w:val="82"/>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pPr>
              <w:pStyle w:val="82"/>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jc w:val="center"/>
              <w:rPr>
                <w:rFonts w:ascii="Times New Roman" w:hAnsi="Times New Roman" w:cs="Times New Roman"/>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82"/>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r>
    </w:tbl>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pPr>
        <w:adjustRightInd w:val="0"/>
        <w:snapToGrid w:val="0"/>
        <w:spacing w:line="360" w:lineRule="auto"/>
        <w:jc w:val="left"/>
        <w:rPr>
          <w:sz w:val="24"/>
        </w:rPr>
      </w:pP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（1）当供应商属于本部分说明中第（1）类情形，如未提供《拟分包情况说明》，或提供了《拟分包情况说明》但未填写分包承担主体名称、拟分包合同内容、拟分包合同金额，其</w:t>
      </w:r>
      <w:r>
        <w:rPr>
          <w:b/>
          <w:sz w:val="24"/>
        </w:rPr>
        <w:t>响应无效</w:t>
      </w:r>
      <w:r>
        <w:rPr>
          <w:sz w:val="24"/>
        </w:rPr>
        <w:t>；</w:t>
      </w:r>
    </w:p>
    <w:p>
      <w:pPr>
        <w:adjustRightInd w:val="0"/>
        <w:snapToGrid w:val="0"/>
        <w:spacing w:line="360" w:lineRule="auto"/>
        <w:jc w:val="left"/>
        <w:rPr>
          <w:sz w:val="24"/>
        </w:rPr>
      </w:pPr>
      <w:r>
        <w:rPr>
          <w:sz w:val="24"/>
        </w:rPr>
        <w:t>（2）当供应商属于本部分说明中第（2）类情形，如未提供《拟分包情况说明》，或提供了《拟分包情况说明》但未填写分包承担主体名称、分包承担主体类型、拟分包合同内容、拟分包合同金额，其</w:t>
      </w:r>
      <w:r>
        <w:rPr>
          <w:b/>
          <w:sz w:val="24"/>
        </w:rPr>
        <w:t>响应无效</w:t>
      </w:r>
      <w:r>
        <w:rPr>
          <w:sz w:val="24"/>
        </w:rPr>
        <w:t>；</w:t>
      </w:r>
    </w:p>
    <w:p>
      <w:pPr>
        <w:adjustRightInd w:val="0"/>
        <w:snapToGrid w:val="0"/>
        <w:spacing w:line="360" w:lineRule="auto"/>
        <w:jc w:val="left"/>
        <w:rPr>
          <w:sz w:val="24"/>
        </w:rPr>
      </w:pPr>
      <w:r>
        <w:rPr>
          <w:sz w:val="24"/>
        </w:rPr>
        <w:t>（3）如本采购文件《供应商须知资料表》载明本项目分包承担主体应具备的相应资质条件，则供应商须在本表中列明分包承担主体的资质等级，并后附资质证书电子件，否则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甲方（供应商）：______</w:t>
      </w:r>
    </w:p>
    <w:p>
      <w:pPr>
        <w:adjustRightInd w:val="0"/>
        <w:snapToGrid w:val="0"/>
        <w:spacing w:line="360" w:lineRule="auto"/>
        <w:ind w:firstLine="480" w:firstLineChars="200"/>
        <w:jc w:val="left"/>
        <w:rPr>
          <w:sz w:val="24"/>
        </w:rPr>
      </w:pPr>
      <w:r>
        <w:rPr>
          <w:sz w:val="24"/>
        </w:rPr>
        <w:t>乙方（拟分包单位）：______</w:t>
      </w:r>
    </w:p>
    <w:p>
      <w:pPr>
        <w:adjustRightInd w:val="0"/>
        <w:snapToGrid w:val="0"/>
        <w:spacing w:line="360" w:lineRule="auto"/>
        <w:ind w:firstLine="480" w:firstLineChars="200"/>
        <w:jc w:val="left"/>
        <w:rPr>
          <w:sz w:val="24"/>
        </w:rPr>
      </w:pPr>
      <w:r>
        <w:rPr>
          <w:sz w:val="24"/>
        </w:rPr>
        <w:t>甲方承诺，一旦在______（采购项目名称）（</w:t>
      </w:r>
      <w:r>
        <w:rPr>
          <w:rFonts w:hint="eastAsia"/>
          <w:sz w:val="24"/>
        </w:rPr>
        <w:t>采购编号</w:t>
      </w:r>
      <w:r>
        <w:rPr>
          <w:sz w:val="24"/>
        </w:rPr>
        <w:t>/包号为：______）采购项目中获得采购合同，将按照下述约定将合同项下部分内容分包给乙方：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1.分包内容：______。</w:t>
      </w:r>
    </w:p>
    <w:p>
      <w:pPr>
        <w:adjustRightInd w:val="0"/>
        <w:snapToGrid w:val="0"/>
        <w:spacing w:line="360" w:lineRule="auto"/>
        <w:ind w:firstLine="480" w:firstLineChars="200"/>
        <w:jc w:val="left"/>
        <w:rPr>
          <w:sz w:val="24"/>
        </w:rPr>
      </w:pPr>
      <w:r>
        <w:rPr>
          <w:sz w:val="24"/>
        </w:rPr>
        <w:t>2.分包金额：______，该金额占该采购包合同金额的比例为______%。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color w:val="000000"/>
          <w:sz w:val="24"/>
        </w:rPr>
        <w:t>（1）</w:t>
      </w:r>
      <w:r>
        <w:rPr>
          <w:sz w:val="24"/>
        </w:rPr>
        <w:t>当供应商属于本部分说明中第（2）类情形，必须提供，否则</w:t>
      </w:r>
      <w:r>
        <w:rPr>
          <w:b/>
          <w:sz w:val="24"/>
        </w:rPr>
        <w:t>响应无效；</w:t>
      </w:r>
      <w:r>
        <w:rPr>
          <w:sz w:val="24"/>
        </w:rPr>
        <w:t xml:space="preserve">其他情形无须提供； </w:t>
      </w:r>
    </w:p>
    <w:p>
      <w:pPr>
        <w:tabs>
          <w:tab w:val="left" w:pos="8280"/>
        </w:tabs>
        <w:spacing w:line="360" w:lineRule="auto"/>
        <w:rPr>
          <w:color w:val="000000"/>
          <w:sz w:val="24"/>
        </w:rPr>
      </w:pPr>
      <w:r>
        <w:rPr>
          <w:color w:val="000000"/>
          <w:sz w:val="24"/>
        </w:rPr>
        <w:t>（2）供应商须与所有拟分包单位分别签订《分包意向协议》，每单位签订一份，并在响应文件中提交全部协议原件的电子件，否则</w:t>
      </w:r>
      <w:r>
        <w:rPr>
          <w:b/>
          <w:color w:val="000000"/>
          <w:sz w:val="24"/>
        </w:rPr>
        <w:t>响应无效</w:t>
      </w:r>
      <w:r>
        <w:rPr>
          <w:color w:val="000000"/>
          <w:sz w:val="24"/>
        </w:rPr>
        <w:t>。</w:t>
      </w:r>
    </w:p>
    <w:p>
      <w:pPr>
        <w:tabs>
          <w:tab w:val="left" w:pos="8280"/>
        </w:tabs>
        <w:spacing w:line="360" w:lineRule="auto"/>
        <w:rPr>
          <w:color w:val="000000"/>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b/>
          <w:bCs/>
          <w:color w:val="FF0000"/>
          <w:sz w:val="24"/>
          <w:szCs w:val="20"/>
        </w:rPr>
        <w:t>（如有）</w:t>
      </w:r>
    </w:p>
    <w:p>
      <w:pPr>
        <w:widowControl/>
        <w:jc w:val="left"/>
        <w:rPr>
          <w:sz w:val="24"/>
        </w:rPr>
      </w:pPr>
    </w:p>
    <w:p>
      <w:pPr>
        <w:widowControl/>
        <w:jc w:val="left"/>
        <w:rPr>
          <w:sz w:val="24"/>
        </w:rPr>
      </w:pPr>
      <w:r>
        <w:rPr>
          <w:sz w:val="24"/>
        </w:rPr>
        <w:br w:type="page"/>
      </w:r>
    </w:p>
    <w:p>
      <w:pPr>
        <w:tabs>
          <w:tab w:val="left" w:pos="360"/>
        </w:tabs>
        <w:snapToGrid w:val="0"/>
        <w:spacing w:line="360" w:lineRule="auto"/>
        <w:outlineLvl w:val="1"/>
        <w:rPr>
          <w:sz w:val="24"/>
        </w:rPr>
      </w:pPr>
      <w:r>
        <w:rPr>
          <w:sz w:val="24"/>
        </w:rPr>
        <w:t>3 本项目的特定资格要求</w:t>
      </w:r>
      <w:r>
        <w:rPr>
          <w:b/>
          <w:bCs/>
          <w:color w:val="FF0000"/>
          <w:sz w:val="24"/>
        </w:rPr>
        <w:t>（如有）</w:t>
      </w:r>
    </w:p>
    <w:p>
      <w:pPr>
        <w:spacing w:line="360" w:lineRule="auto"/>
        <w:outlineLvl w:val="2"/>
        <w:rPr>
          <w:color w:val="000000"/>
          <w:sz w:val="24"/>
          <w:szCs w:val="20"/>
        </w:rPr>
      </w:pPr>
      <w:r>
        <w:rPr>
          <w:color w:val="000000"/>
          <w:sz w:val="24"/>
          <w:szCs w:val="20"/>
        </w:rPr>
        <w:t>3-1 联合协议</w:t>
      </w:r>
      <w:r>
        <w:rPr>
          <w:b/>
          <w:bCs/>
          <w:color w:val="FF0000"/>
          <w:sz w:val="24"/>
          <w:szCs w:val="20"/>
        </w:rPr>
        <w:t>（如有）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pPr>
        <w:numPr>
          <w:ilvl w:val="0"/>
          <w:numId w:val="18"/>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pPr>
        <w:numPr>
          <w:ilvl w:val="0"/>
          <w:numId w:val="18"/>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pPr>
        <w:numPr>
          <w:ilvl w:val="0"/>
          <w:numId w:val="18"/>
        </w:numPr>
        <w:spacing w:line="360" w:lineRule="auto"/>
        <w:rPr>
          <w:bCs/>
          <w:color w:val="000000"/>
          <w:sz w:val="24"/>
        </w:rPr>
      </w:pPr>
      <w:r>
        <w:rPr>
          <w:bCs/>
          <w:color w:val="000000"/>
          <w:sz w:val="24"/>
        </w:rPr>
        <w:t>联合体各方均同意由牵头人代表其他联合体成员单位按竞争性磋商文件要求出具《授权委托书》。</w:t>
      </w:r>
    </w:p>
    <w:p>
      <w:pPr>
        <w:numPr>
          <w:ilvl w:val="0"/>
          <w:numId w:val="18"/>
        </w:numPr>
        <w:spacing w:line="360" w:lineRule="auto"/>
        <w:rPr>
          <w:bCs/>
          <w:color w:val="000000"/>
          <w:sz w:val="24"/>
        </w:rPr>
      </w:pPr>
      <w:r>
        <w:rPr>
          <w:bCs/>
          <w:color w:val="000000"/>
          <w:sz w:val="24"/>
        </w:rPr>
        <w:t>牵头人为项目的总负责单位；组织各参加方进行项目实施工作。</w:t>
      </w:r>
    </w:p>
    <w:p>
      <w:pPr>
        <w:numPr>
          <w:ilvl w:val="0"/>
          <w:numId w:val="18"/>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pPr>
        <w:numPr>
          <w:ilvl w:val="0"/>
          <w:numId w:val="18"/>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pPr>
        <w:numPr>
          <w:ilvl w:val="0"/>
          <w:numId w:val="18"/>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pPr>
        <w:numPr>
          <w:ilvl w:val="0"/>
          <w:numId w:val="18"/>
        </w:numPr>
        <w:spacing w:line="360" w:lineRule="auto"/>
        <w:rPr>
          <w:sz w:val="24"/>
        </w:rPr>
      </w:pPr>
      <w:r>
        <w:rPr>
          <w:sz w:val="24"/>
        </w:rPr>
        <w:t>本项目联合协议合同总额为______元，联合体各成员按照如下比例分摊（按联合体成员分别列明）：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pPr>
        <w:numPr>
          <w:ilvl w:val="0"/>
          <w:numId w:val="18"/>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pPr>
        <w:numPr>
          <w:ilvl w:val="0"/>
          <w:numId w:val="18"/>
        </w:numPr>
        <w:spacing w:line="360" w:lineRule="auto"/>
        <w:rPr>
          <w:bCs/>
          <w:color w:val="000000"/>
          <w:sz w:val="24"/>
        </w:rPr>
      </w:pPr>
      <w:r>
        <w:rPr>
          <w:bCs/>
          <w:color w:val="000000"/>
          <w:sz w:val="24"/>
        </w:rPr>
        <w:t>其他约定（如有）：</w:t>
      </w:r>
      <w:r>
        <w:rPr>
          <w:sz w:val="24"/>
        </w:rPr>
        <w:t>______。</w:t>
      </w:r>
    </w:p>
    <w:p>
      <w:pPr>
        <w:tabs>
          <w:tab w:val="left" w:pos="780"/>
        </w:tabs>
        <w:spacing w:line="360" w:lineRule="auto"/>
        <w:ind w:left="180" w:firstLine="480" w:firstLineChars="200"/>
        <w:rPr>
          <w:color w:val="000000"/>
          <w:sz w:val="24"/>
        </w:rPr>
      </w:pPr>
      <w:r>
        <w:rPr>
          <w:bCs/>
          <w:color w:val="000000"/>
          <w:sz w:val="24"/>
        </w:rPr>
        <w:t>本协议自各方盖章后生效，采购合同履行完毕后自动失效。如未成交，本协议自动终止。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响应无效</w:t>
      </w:r>
      <w:r>
        <w:rPr>
          <w:color w:val="000000"/>
          <w:sz w:val="24"/>
        </w:rPr>
        <w:t>。</w:t>
      </w:r>
    </w:p>
    <w:p>
      <w:pPr>
        <w:spacing w:line="360" w:lineRule="auto"/>
        <w:ind w:left="719" w:leftChars="228" w:hanging="240" w:hangingChars="100"/>
        <w:rPr>
          <w:color w:val="000000"/>
          <w:sz w:val="24"/>
        </w:rPr>
      </w:pPr>
      <w:r>
        <w:rPr>
          <w:color w:val="000000"/>
          <w:sz w:val="24"/>
        </w:rPr>
        <w:t>2. 联合体各方成员</w:t>
      </w:r>
      <w:r>
        <w:rPr>
          <w:rFonts w:hint="eastAsia"/>
          <w:color w:val="000000"/>
          <w:sz w:val="24"/>
        </w:rPr>
        <w:t>须</w:t>
      </w:r>
      <w:r>
        <w:rPr>
          <w:color w:val="000000"/>
          <w:sz w:val="24"/>
        </w:rPr>
        <w:t>在本协议上共同盖章。</w:t>
      </w:r>
    </w:p>
    <w:p>
      <w:pPr>
        <w:widowControl/>
        <w:jc w:val="left"/>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tabs>
          <w:tab w:val="left" w:pos="5580"/>
        </w:tabs>
        <w:spacing w:line="360" w:lineRule="auto"/>
        <w:rPr>
          <w:sz w:val="24"/>
        </w:rPr>
      </w:pPr>
    </w:p>
    <w:p>
      <w:pPr>
        <w:widowControl/>
        <w:jc w:val="left"/>
        <w:rPr>
          <w:sz w:val="24"/>
          <w:szCs w:val="20"/>
        </w:rPr>
      </w:pPr>
      <w:r>
        <w:rPr>
          <w:sz w:val="24"/>
          <w:szCs w:val="20"/>
        </w:rPr>
        <w:br w:type="page"/>
      </w:r>
    </w:p>
    <w:p>
      <w:pPr>
        <w:widowControl/>
        <w:jc w:val="left"/>
        <w:rPr>
          <w:kern w:val="0"/>
          <w:sz w:val="24"/>
          <w:szCs w:val="20"/>
        </w:rPr>
      </w:pPr>
    </w:p>
    <w:p>
      <w:pPr>
        <w:tabs>
          <w:tab w:val="left" w:pos="360"/>
        </w:tabs>
        <w:snapToGrid w:val="0"/>
        <w:spacing w:line="360" w:lineRule="auto"/>
        <w:outlineLvl w:val="1"/>
        <w:rPr>
          <w:sz w:val="24"/>
        </w:rPr>
      </w:pPr>
      <w:bookmarkStart w:id="669" w:name="_Hlt520274407"/>
      <w:bookmarkEnd w:id="669"/>
      <w:bookmarkStart w:id="670" w:name="_Hlt520343392"/>
      <w:bookmarkEnd w:id="670"/>
      <w:bookmarkStart w:id="671" w:name="_Hlt520355504"/>
      <w:bookmarkEnd w:id="671"/>
      <w:bookmarkStart w:id="672" w:name="_Hlt520274065"/>
      <w:bookmarkEnd w:id="672"/>
      <w:bookmarkStart w:id="673" w:name="_Hlt520273711"/>
      <w:bookmarkEnd w:id="673"/>
      <w:bookmarkStart w:id="674" w:name="_Hlt520350918"/>
      <w:bookmarkEnd w:id="674"/>
      <w:bookmarkStart w:id="675" w:name="_Hlt520274393"/>
      <w:bookmarkEnd w:id="675"/>
      <w:bookmarkStart w:id="676" w:name="_Hlt520343000"/>
      <w:bookmarkEnd w:id="676"/>
      <w:bookmarkStart w:id="677" w:name="_Hlt520271212"/>
      <w:bookmarkEnd w:id="677"/>
      <w:bookmarkStart w:id="678" w:name="_Hlt520274121"/>
      <w:bookmarkEnd w:id="678"/>
      <w:bookmarkStart w:id="679" w:name="_Toc480942349"/>
      <w:bookmarkStart w:id="680" w:name="_Ref467988698"/>
      <w:bookmarkStart w:id="681" w:name="_Toc150774761"/>
      <w:bookmarkStart w:id="682" w:name="_Toc127151556"/>
      <w:bookmarkStart w:id="683" w:name="_Toc142311058"/>
      <w:bookmarkStart w:id="684" w:name="_Toc226337252"/>
      <w:bookmarkStart w:id="685" w:name="_Toc520356217"/>
      <w:bookmarkStart w:id="686" w:name="_Toc226965746"/>
      <w:bookmarkStart w:id="687" w:name="_Toc195842921"/>
      <w:bookmarkStart w:id="688" w:name="_Toc150480794"/>
      <w:bookmarkStart w:id="689" w:name="_Toc226965829"/>
      <w:bookmarkStart w:id="690" w:name="_Toc226309800"/>
      <w:r>
        <w:rPr>
          <w:rFonts w:hint="eastAsia"/>
          <w:sz w:val="24"/>
        </w:rPr>
        <w:t>4</w:t>
      </w:r>
      <w:r>
        <w:rPr>
          <w:sz w:val="24"/>
        </w:rPr>
        <w:t xml:space="preserve">  </w:t>
      </w:r>
      <w:bookmarkEnd w:id="679"/>
      <w:bookmarkEnd w:id="680"/>
      <w:r>
        <w:rPr>
          <w:sz w:val="24"/>
        </w:rPr>
        <w:t>响应书</w:t>
      </w:r>
      <w:bookmarkEnd w:id="681"/>
      <w:bookmarkEnd w:id="682"/>
      <w:bookmarkEnd w:id="683"/>
      <w:bookmarkEnd w:id="684"/>
      <w:bookmarkEnd w:id="685"/>
      <w:bookmarkEnd w:id="686"/>
      <w:bookmarkEnd w:id="687"/>
      <w:bookmarkEnd w:id="688"/>
      <w:bookmarkEnd w:id="689"/>
      <w:bookmarkEnd w:id="690"/>
      <w:r>
        <w:rPr>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响应书</w:t>
      </w:r>
    </w:p>
    <w:p>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w:t>
      </w:r>
      <w:r>
        <w:rPr>
          <w:rFonts w:hint="eastAsia"/>
          <w:color w:val="000000"/>
          <w:sz w:val="24"/>
          <w:szCs w:val="20"/>
        </w:rPr>
        <w:t>采购编号</w:t>
      </w:r>
      <w:r>
        <w:rPr>
          <w:color w:val="000000"/>
          <w:sz w:val="24"/>
          <w:szCs w:val="20"/>
        </w:rPr>
        <w:t>/包号）组织的采购活动，并对此项目进行磋商。</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rFonts w:hint="eastAsia"/>
          <w:sz w:val="24"/>
        </w:rPr>
        <w:t>180</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sz w:val="24"/>
        </w:rPr>
        <w:t>______</w:t>
      </w:r>
      <w:r>
        <w:rPr>
          <w:color w:val="000000"/>
          <w:sz w:val="24"/>
        </w:rPr>
        <w:t>。</w:t>
      </w:r>
    </w:p>
    <w:p>
      <w:pPr>
        <w:spacing w:line="360" w:lineRule="auto"/>
        <w:ind w:firstLine="480" w:firstLineChars="200"/>
        <w:rPr>
          <w:color w:val="000000"/>
          <w:sz w:val="24"/>
        </w:rPr>
      </w:pPr>
      <w:r>
        <w:rPr>
          <w:color w:val="000000"/>
          <w:sz w:val="24"/>
        </w:rPr>
        <w:t>与本磋商有关的一切正式往来信函请寄：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pPr>
        <w:tabs>
          <w:tab w:val="left" w:pos="5580"/>
        </w:tabs>
        <w:spacing w:line="360" w:lineRule="auto"/>
        <w:ind w:left="420"/>
        <w:jc w:val="left"/>
        <w:rPr>
          <w:color w:val="000000"/>
          <w:sz w:val="24"/>
          <w:szCs w:val="20"/>
        </w:rPr>
      </w:pPr>
    </w:p>
    <w:p>
      <w:pPr>
        <w:widowControl/>
        <w:jc w:val="left"/>
        <w:rPr>
          <w:b/>
          <w:color w:val="000000"/>
          <w:sz w:val="24"/>
          <w:szCs w:val="20"/>
        </w:rPr>
      </w:pPr>
      <w:r>
        <w:rPr>
          <w:b/>
          <w:color w:val="000000"/>
          <w:sz w:val="24"/>
          <w:szCs w:val="20"/>
        </w:rPr>
        <w:br w:type="page"/>
      </w:r>
    </w:p>
    <w:p>
      <w:pPr>
        <w:tabs>
          <w:tab w:val="left" w:pos="360"/>
        </w:tabs>
        <w:snapToGrid w:val="0"/>
        <w:spacing w:line="360" w:lineRule="auto"/>
        <w:outlineLvl w:val="1"/>
        <w:rPr>
          <w:sz w:val="24"/>
        </w:rPr>
      </w:pPr>
      <w:bookmarkStart w:id="691" w:name="_Hlt520355938"/>
      <w:bookmarkEnd w:id="691"/>
      <w:bookmarkStart w:id="692" w:name="_Hlt520356243"/>
      <w:bookmarkEnd w:id="692"/>
      <w:bookmarkStart w:id="693" w:name="_Toc520356218"/>
      <w:bookmarkStart w:id="694" w:name="_Toc226965830"/>
      <w:bookmarkStart w:id="695" w:name="_Toc265228395"/>
      <w:bookmarkStart w:id="696" w:name="_Toc127151557"/>
      <w:bookmarkStart w:id="697" w:name="_Toc142311059"/>
      <w:bookmarkStart w:id="698" w:name="_Toc305158825"/>
      <w:bookmarkStart w:id="699" w:name="_Toc226309801"/>
      <w:bookmarkStart w:id="700" w:name="_Toc226337253"/>
      <w:bookmarkStart w:id="701" w:name="_Ref467988705"/>
      <w:bookmarkStart w:id="702" w:name="_Toc264969247"/>
      <w:bookmarkStart w:id="703" w:name="_Toc305158899"/>
      <w:bookmarkStart w:id="704" w:name="_Toc480942350"/>
      <w:bookmarkStart w:id="705" w:name="_Toc226965747"/>
      <w:bookmarkStart w:id="706" w:name="_Toc195842922"/>
      <w:bookmarkStart w:id="707" w:name="_Toc150480795"/>
      <w:bookmarkStart w:id="708" w:name="_Toc150774762"/>
      <w:r>
        <w:rPr>
          <w:rFonts w:hint="eastAsia"/>
          <w:sz w:val="24"/>
        </w:rPr>
        <w:t>5</w:t>
      </w:r>
      <w:r>
        <w:rPr>
          <w:sz w:val="24"/>
        </w:rPr>
        <w:t xml:space="preserve">  授权委托书（实质性格式）</w:t>
      </w:r>
    </w:p>
    <w:p>
      <w:pPr>
        <w:autoSpaceDE w:val="0"/>
        <w:autoSpaceDN w:val="0"/>
        <w:adjustRightInd w:val="0"/>
        <w:spacing w:line="360" w:lineRule="auto"/>
        <w:jc w:val="center"/>
        <w:rPr>
          <w:b/>
          <w:color w:val="000000"/>
          <w:sz w:val="36"/>
          <w:szCs w:val="36"/>
        </w:rPr>
      </w:pPr>
      <w:r>
        <w:rPr>
          <w:b/>
          <w:color w:val="000000"/>
          <w:sz w:val="36"/>
          <w:szCs w:val="36"/>
        </w:rPr>
        <w:t>授权委托书</w:t>
      </w:r>
    </w:p>
    <w:p>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委托期限：自本授权委托书签署之日起至响应有效期届满之日止。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pPr>
        <w:spacing w:line="360" w:lineRule="auto"/>
        <w:rPr>
          <w:color w:val="000000"/>
          <w:sz w:val="24"/>
          <w:szCs w:val="20"/>
        </w:rPr>
      </w:pPr>
      <w:r>
        <w:rPr>
          <w:color w:val="000000"/>
          <w:sz w:val="24"/>
          <w:szCs w:val="20"/>
        </w:rPr>
        <w:t>法定代表人（单位负责人）（签字或签章）：______________</w:t>
      </w:r>
    </w:p>
    <w:p>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autoSpaceDE w:val="0"/>
        <w:autoSpaceDN w:val="0"/>
        <w:adjustRightInd w:val="0"/>
        <w:spacing w:line="360" w:lineRule="auto"/>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sz w:val="24"/>
        </w:rPr>
      </w:pPr>
      <w:r>
        <w:rPr>
          <w:sz w:val="24"/>
        </w:rPr>
        <w:t>致：</w:t>
      </w:r>
      <w:r>
        <w:rPr>
          <w:rFonts w:hint="eastAsia"/>
          <w:sz w:val="24"/>
          <w:u w:val="single"/>
        </w:rPr>
        <w:t xml:space="preserve">              </w:t>
      </w:r>
      <w:r>
        <w:rPr>
          <w:rFonts w:hint="eastAsia"/>
          <w:b/>
          <w:bCs/>
          <w:sz w:val="24"/>
        </w:rPr>
        <w:t>（请供应商填写“采购人名称”）</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17"/>
        <w:kinsoku w:val="0"/>
        <w:overflowPunct w:val="0"/>
        <w:spacing w:line="583" w:lineRule="auto"/>
        <w:ind w:right="4305"/>
        <w:rPr>
          <w:rFonts w:ascii="Times New Roman" w:hAnsi="Times New Roman"/>
          <w:spacing w:val="-3"/>
        </w:rPr>
      </w:pPr>
    </w:p>
    <w:p>
      <w:pPr>
        <w:pStyle w:val="17"/>
        <w:kinsoku w:val="0"/>
        <w:overflowPunct w:val="0"/>
        <w:spacing w:line="583" w:lineRule="auto"/>
        <w:ind w:right="4305"/>
        <w:rPr>
          <w:rFonts w:ascii="Times New Roman" w:hAnsi="Times New Roman"/>
          <w:spacing w:val="-3"/>
        </w:rPr>
      </w:pPr>
    </w:p>
    <w:p>
      <w:pPr>
        <w:pStyle w:val="17"/>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Pr>
          <w:sz w:val="24"/>
        </w:rPr>
        <w:t>______</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Pr>
        <w:autoSpaceDE w:val="0"/>
        <w:autoSpaceDN w:val="0"/>
        <w:adjustRightInd w:val="0"/>
        <w:snapToGrid w:val="0"/>
        <w:spacing w:before="25" w:after="25" w:line="360" w:lineRule="auto"/>
        <w:rPr>
          <w:rFonts w:hint="eastAsia"/>
          <w:color w:val="000000"/>
          <w:sz w:val="24"/>
          <w:szCs w:val="20"/>
        </w:rPr>
      </w:pPr>
      <w:r>
        <w:rPr>
          <w:rFonts w:hint="eastAsia"/>
          <w:color w:val="000000"/>
          <w:sz w:val="24"/>
          <w:szCs w:val="20"/>
        </w:rPr>
        <w:t>6</w:t>
      </w:r>
      <w:r>
        <w:rPr>
          <w:color w:val="000000"/>
          <w:sz w:val="24"/>
          <w:szCs w:val="20"/>
        </w:rPr>
        <w:t xml:space="preserve">  </w:t>
      </w:r>
      <w:r>
        <w:rPr>
          <w:rFonts w:hint="eastAsia"/>
          <w:color w:val="000000"/>
          <w:sz w:val="24"/>
          <w:szCs w:val="20"/>
        </w:rPr>
        <w:t>项目报价表</w:t>
      </w:r>
    </w:p>
    <w:p>
      <w:pPr>
        <w:autoSpaceDE w:val="0"/>
        <w:autoSpaceDN w:val="0"/>
        <w:adjustRightInd w:val="0"/>
        <w:snapToGrid w:val="0"/>
        <w:spacing w:before="25" w:after="25" w:line="360" w:lineRule="auto"/>
        <w:ind w:firstLine="480" w:firstLineChars="200"/>
        <w:rPr>
          <w:color w:val="000000"/>
          <w:sz w:val="24"/>
          <w:lang w:val="zh-CN"/>
        </w:rPr>
      </w:pPr>
      <w:r>
        <w:rPr>
          <w:color w:val="000000"/>
          <w:sz w:val="24"/>
          <w:szCs w:val="20"/>
        </w:rPr>
        <w:t>按照</w:t>
      </w:r>
      <w:r>
        <w:rPr>
          <w:rFonts w:hint="eastAsia"/>
          <w:color w:val="000000"/>
          <w:sz w:val="24"/>
          <w:szCs w:val="20"/>
        </w:rPr>
        <w:t>北京市公共资源交易中心政府采购全流程电子化招投标系统</w:t>
      </w:r>
      <w:r>
        <w:rPr>
          <w:color w:val="000000"/>
          <w:sz w:val="24"/>
          <w:szCs w:val="20"/>
        </w:rPr>
        <w:t>电子投标客户端制作并生成，加盖</w:t>
      </w:r>
      <w:r>
        <w:rPr>
          <w:rFonts w:hint="eastAsia"/>
          <w:color w:val="000000"/>
          <w:sz w:val="24"/>
          <w:szCs w:val="20"/>
        </w:rPr>
        <w:t>供应商</w:t>
      </w:r>
      <w:r>
        <w:rPr>
          <w:color w:val="000000"/>
          <w:sz w:val="24"/>
          <w:szCs w:val="20"/>
        </w:rPr>
        <w:t>电子签章。客户端填写分项报价后，</w:t>
      </w:r>
      <w:r>
        <w:rPr>
          <w:rFonts w:hint="eastAsia"/>
          <w:color w:val="000000"/>
          <w:sz w:val="24"/>
          <w:szCs w:val="20"/>
        </w:rPr>
        <w:t>项目</w:t>
      </w:r>
      <w:r>
        <w:rPr>
          <w:color w:val="000000"/>
          <w:sz w:val="24"/>
          <w:szCs w:val="20"/>
        </w:rPr>
        <w:t>报价表自动生成在客户端内与电子</w:t>
      </w:r>
      <w:r>
        <w:rPr>
          <w:rFonts w:hint="eastAsia"/>
          <w:color w:val="000000"/>
          <w:sz w:val="24"/>
          <w:szCs w:val="20"/>
        </w:rPr>
        <w:t>响应</w:t>
      </w:r>
      <w:r>
        <w:rPr>
          <w:color w:val="000000"/>
          <w:sz w:val="24"/>
          <w:szCs w:val="20"/>
        </w:rPr>
        <w:t xml:space="preserve">文件一同加密上传。  </w:t>
      </w:r>
    </w:p>
    <w:p>
      <w:pPr>
        <w:tabs>
          <w:tab w:val="left" w:pos="360"/>
        </w:tabs>
        <w:snapToGrid w:val="0"/>
        <w:spacing w:line="360" w:lineRule="auto"/>
        <w:outlineLvl w:val="1"/>
        <w:rPr>
          <w:color w:val="000000"/>
          <w:sz w:val="24"/>
          <w:szCs w:val="20"/>
        </w:rPr>
      </w:pPr>
      <w:bookmarkStart w:id="709" w:name="_Toc264969249"/>
      <w:bookmarkStart w:id="710" w:name="_Toc127151558"/>
      <w:bookmarkStart w:id="711" w:name="_Toc265228397"/>
      <w:bookmarkStart w:id="712" w:name="_Toc305158901"/>
      <w:bookmarkStart w:id="713" w:name="_Toc226965749"/>
      <w:bookmarkStart w:id="714" w:name="_Toc142311060"/>
      <w:bookmarkStart w:id="715" w:name="_Toc195842924"/>
      <w:bookmarkStart w:id="716" w:name="_Toc226965832"/>
      <w:bookmarkStart w:id="717" w:name="_Toc150480796"/>
      <w:bookmarkStart w:id="718" w:name="_Toc226309803"/>
      <w:bookmarkStart w:id="719" w:name="_Toc226337255"/>
      <w:bookmarkStart w:id="720" w:name="_Toc305158827"/>
      <w:bookmarkStart w:id="721" w:name="_Toc150774763"/>
      <w:r>
        <w:rPr>
          <w:sz w:val="24"/>
        </w:rPr>
        <w:br w:type="page"/>
      </w:r>
      <w:bookmarkEnd w:id="709"/>
      <w:bookmarkEnd w:id="710"/>
      <w:bookmarkEnd w:id="711"/>
      <w:bookmarkEnd w:id="712"/>
      <w:bookmarkEnd w:id="713"/>
      <w:bookmarkEnd w:id="714"/>
      <w:bookmarkEnd w:id="715"/>
      <w:bookmarkEnd w:id="716"/>
      <w:bookmarkEnd w:id="717"/>
      <w:bookmarkEnd w:id="718"/>
      <w:bookmarkEnd w:id="719"/>
      <w:bookmarkEnd w:id="720"/>
      <w:bookmarkEnd w:id="721"/>
      <w:bookmarkStart w:id="722" w:name="_Toc142311062"/>
      <w:bookmarkStart w:id="723" w:name="_Toc265228400"/>
      <w:bookmarkStart w:id="724" w:name="_Toc226965752"/>
      <w:bookmarkStart w:id="725" w:name="_Toc226337258"/>
      <w:bookmarkStart w:id="726" w:name="_Toc127151562"/>
      <w:bookmarkStart w:id="727" w:name="_Toc195842927"/>
      <w:bookmarkStart w:id="728" w:name="_Toc264969252"/>
      <w:bookmarkStart w:id="729" w:name="_Toc226309806"/>
      <w:bookmarkStart w:id="730" w:name="_Toc305158830"/>
      <w:bookmarkStart w:id="731" w:name="_Toc305158904"/>
      <w:bookmarkStart w:id="732" w:name="_Toc226965835"/>
      <w:bookmarkStart w:id="733" w:name="_Toc150774765"/>
      <w:bookmarkStart w:id="734" w:name="_Toc150480798"/>
      <w:bookmarkStart w:id="735" w:name="_Toc226965751"/>
      <w:bookmarkStart w:id="736" w:name="_Toc264969251"/>
      <w:bookmarkStart w:id="737" w:name="_Toc226965834"/>
      <w:bookmarkStart w:id="738" w:name="_Toc195842926"/>
      <w:bookmarkStart w:id="739" w:name="_Toc265228399"/>
      <w:bookmarkStart w:id="740" w:name="_Toc150480797"/>
      <w:bookmarkStart w:id="741" w:name="_Toc226309805"/>
      <w:bookmarkStart w:id="742" w:name="_Toc305158903"/>
      <w:bookmarkStart w:id="743" w:name="_Toc142311061"/>
      <w:bookmarkStart w:id="744" w:name="_Toc150774764"/>
      <w:bookmarkStart w:id="745" w:name="_Toc226337257"/>
      <w:bookmarkStart w:id="746" w:name="_Toc127151561"/>
      <w:bookmarkStart w:id="747" w:name="_Toc305158829"/>
      <w:r>
        <w:rPr>
          <w:rFonts w:hint="eastAsia"/>
          <w:sz w:val="24"/>
        </w:rPr>
        <w:t>7</w:t>
      </w:r>
      <w:r>
        <w:rPr>
          <w:sz w:val="24"/>
        </w:rPr>
        <w:t xml:space="preserve">  合同条款偏离表</w:t>
      </w:r>
      <w:bookmarkEnd w:id="722"/>
      <w:bookmarkEnd w:id="723"/>
      <w:bookmarkEnd w:id="724"/>
      <w:bookmarkEnd w:id="725"/>
      <w:bookmarkEnd w:id="726"/>
      <w:bookmarkEnd w:id="727"/>
      <w:bookmarkEnd w:id="728"/>
      <w:bookmarkEnd w:id="729"/>
      <w:bookmarkEnd w:id="730"/>
      <w:bookmarkEnd w:id="731"/>
      <w:bookmarkEnd w:id="732"/>
      <w:bookmarkEnd w:id="733"/>
      <w:bookmarkEnd w:id="734"/>
      <w:r>
        <w:rPr>
          <w:sz w:val="24"/>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rFonts w:hint="eastAsia"/>
          <w:color w:val="000000"/>
          <w:sz w:val="24"/>
        </w:rPr>
        <w:t>采购编号</w:t>
      </w:r>
      <w:r>
        <w:rPr>
          <w:color w:val="000000"/>
          <w:sz w:val="24"/>
        </w:rPr>
        <w:t>/包号：_______________     项目名称：_______________</w:t>
      </w:r>
    </w:p>
    <w:tbl>
      <w:tblPr>
        <w:tblStyle w:val="42"/>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89" w:type="dxa"/>
            <w:noWrap w:val="0"/>
            <w:vAlign w:val="center"/>
          </w:tcPr>
          <w:p>
            <w:pPr>
              <w:adjustRightInd w:val="0"/>
              <w:snapToGrid w:val="0"/>
              <w:jc w:val="center"/>
              <w:rPr>
                <w:color w:val="000000"/>
                <w:sz w:val="24"/>
              </w:rPr>
            </w:pPr>
            <w:r>
              <w:rPr>
                <w:color w:val="000000"/>
                <w:sz w:val="24"/>
              </w:rPr>
              <w:t>序号</w:t>
            </w:r>
          </w:p>
        </w:tc>
        <w:tc>
          <w:tcPr>
            <w:tcW w:w="1529" w:type="dxa"/>
            <w:noWrap w:val="0"/>
            <w:vAlign w:val="center"/>
          </w:tcPr>
          <w:p>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noWrap w:val="0"/>
            <w:vAlign w:val="center"/>
          </w:tcPr>
          <w:p>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noWrap w:val="0"/>
            <w:vAlign w:val="center"/>
          </w:tcPr>
          <w:p>
            <w:pPr>
              <w:adjustRightInd w:val="0"/>
              <w:snapToGrid w:val="0"/>
              <w:jc w:val="center"/>
              <w:rPr>
                <w:color w:val="000000"/>
                <w:sz w:val="24"/>
              </w:rPr>
            </w:pPr>
            <w:r>
              <w:rPr>
                <w:color w:val="000000"/>
                <w:sz w:val="24"/>
              </w:rPr>
              <w:t>响应文件内容</w:t>
            </w:r>
          </w:p>
        </w:tc>
        <w:tc>
          <w:tcPr>
            <w:tcW w:w="2122" w:type="dxa"/>
            <w:noWrap w:val="0"/>
            <w:vAlign w:val="center"/>
          </w:tcPr>
          <w:p>
            <w:pPr>
              <w:adjustRightInd w:val="0"/>
              <w:snapToGrid w:val="0"/>
              <w:jc w:val="center"/>
              <w:rPr>
                <w:color w:val="000000"/>
                <w:sz w:val="24"/>
              </w:rPr>
            </w:pPr>
            <w:r>
              <w:rPr>
                <w:color w:val="000000"/>
                <w:sz w:val="24"/>
              </w:rPr>
              <w:t>偏离情况</w:t>
            </w:r>
          </w:p>
        </w:tc>
        <w:tc>
          <w:tcPr>
            <w:tcW w:w="961" w:type="dxa"/>
            <w:noWrap w:val="0"/>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062" w:type="dxa"/>
            <w:gridSpan w:val="6"/>
            <w:noWrap w:val="0"/>
            <w:vAlign w:val="center"/>
          </w:tcPr>
          <w:p>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pPr>
              <w:adjustRightInd w:val="0"/>
              <w:snapToGrid w:val="0"/>
              <w:jc w:val="left"/>
              <w:rPr>
                <w:b/>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89" w:type="dxa"/>
            <w:noWrap w:val="0"/>
            <w:vAlign w:val="center"/>
          </w:tcPr>
          <w:p>
            <w:pPr>
              <w:adjustRightInd w:val="0"/>
              <w:snapToGrid w:val="0"/>
              <w:jc w:val="center"/>
              <w:rPr>
                <w:color w:val="000000"/>
                <w:sz w:val="24"/>
              </w:rPr>
            </w:pPr>
          </w:p>
        </w:tc>
        <w:tc>
          <w:tcPr>
            <w:tcW w:w="1529" w:type="dxa"/>
            <w:noWrap w:val="0"/>
            <w:vAlign w:val="center"/>
          </w:tcPr>
          <w:p>
            <w:pPr>
              <w:adjustRightInd w:val="0"/>
              <w:snapToGrid w:val="0"/>
              <w:jc w:val="center"/>
              <w:rPr>
                <w:color w:val="000000"/>
                <w:sz w:val="24"/>
              </w:rPr>
            </w:pPr>
          </w:p>
        </w:tc>
        <w:tc>
          <w:tcPr>
            <w:tcW w:w="1730" w:type="dxa"/>
            <w:noWrap w:val="0"/>
            <w:vAlign w:val="center"/>
          </w:tcPr>
          <w:p>
            <w:pPr>
              <w:adjustRightInd w:val="0"/>
              <w:snapToGrid w:val="0"/>
              <w:jc w:val="center"/>
              <w:rPr>
                <w:color w:val="000000"/>
                <w:sz w:val="24"/>
              </w:rPr>
            </w:pPr>
          </w:p>
        </w:tc>
        <w:tc>
          <w:tcPr>
            <w:tcW w:w="1731" w:type="dxa"/>
            <w:noWrap w:val="0"/>
            <w:vAlign w:val="center"/>
          </w:tcPr>
          <w:p>
            <w:pPr>
              <w:adjustRightInd w:val="0"/>
              <w:snapToGrid w:val="0"/>
              <w:jc w:val="center"/>
              <w:rPr>
                <w:color w:val="000000"/>
                <w:sz w:val="24"/>
              </w:rPr>
            </w:pPr>
          </w:p>
        </w:tc>
        <w:tc>
          <w:tcPr>
            <w:tcW w:w="2122" w:type="dxa"/>
            <w:noWrap w:val="0"/>
            <w:vAlign w:val="center"/>
          </w:tcPr>
          <w:p>
            <w:pPr>
              <w:adjustRightInd w:val="0"/>
              <w:snapToGrid w:val="0"/>
              <w:jc w:val="center"/>
              <w:rPr>
                <w:color w:val="000000"/>
                <w:sz w:val="24"/>
              </w:rPr>
            </w:pPr>
          </w:p>
        </w:tc>
        <w:tc>
          <w:tcPr>
            <w:tcW w:w="961"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89" w:type="dxa"/>
            <w:noWrap w:val="0"/>
            <w:vAlign w:val="center"/>
          </w:tcPr>
          <w:p>
            <w:pPr>
              <w:adjustRightInd w:val="0"/>
              <w:snapToGrid w:val="0"/>
              <w:jc w:val="center"/>
              <w:rPr>
                <w:color w:val="000000"/>
                <w:sz w:val="24"/>
              </w:rPr>
            </w:pPr>
          </w:p>
        </w:tc>
        <w:tc>
          <w:tcPr>
            <w:tcW w:w="1529" w:type="dxa"/>
            <w:noWrap w:val="0"/>
            <w:vAlign w:val="center"/>
          </w:tcPr>
          <w:p>
            <w:pPr>
              <w:adjustRightInd w:val="0"/>
              <w:snapToGrid w:val="0"/>
              <w:jc w:val="center"/>
              <w:rPr>
                <w:color w:val="000000"/>
                <w:sz w:val="24"/>
              </w:rPr>
            </w:pPr>
          </w:p>
        </w:tc>
        <w:tc>
          <w:tcPr>
            <w:tcW w:w="1730" w:type="dxa"/>
            <w:noWrap w:val="0"/>
            <w:vAlign w:val="center"/>
          </w:tcPr>
          <w:p>
            <w:pPr>
              <w:adjustRightInd w:val="0"/>
              <w:snapToGrid w:val="0"/>
              <w:jc w:val="center"/>
              <w:rPr>
                <w:color w:val="000000"/>
                <w:sz w:val="24"/>
              </w:rPr>
            </w:pPr>
          </w:p>
        </w:tc>
        <w:tc>
          <w:tcPr>
            <w:tcW w:w="1731" w:type="dxa"/>
            <w:noWrap w:val="0"/>
            <w:vAlign w:val="center"/>
          </w:tcPr>
          <w:p>
            <w:pPr>
              <w:adjustRightInd w:val="0"/>
              <w:snapToGrid w:val="0"/>
              <w:jc w:val="center"/>
              <w:rPr>
                <w:color w:val="000000"/>
                <w:sz w:val="24"/>
              </w:rPr>
            </w:pPr>
          </w:p>
        </w:tc>
        <w:tc>
          <w:tcPr>
            <w:tcW w:w="2122" w:type="dxa"/>
            <w:noWrap w:val="0"/>
            <w:vAlign w:val="center"/>
          </w:tcPr>
          <w:p>
            <w:pPr>
              <w:adjustRightInd w:val="0"/>
              <w:snapToGrid w:val="0"/>
              <w:jc w:val="center"/>
              <w:rPr>
                <w:color w:val="000000"/>
                <w:sz w:val="24"/>
              </w:rPr>
            </w:pPr>
          </w:p>
        </w:tc>
        <w:tc>
          <w:tcPr>
            <w:tcW w:w="961"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89" w:type="dxa"/>
            <w:noWrap w:val="0"/>
            <w:vAlign w:val="center"/>
          </w:tcPr>
          <w:p>
            <w:pPr>
              <w:adjustRightInd w:val="0"/>
              <w:snapToGrid w:val="0"/>
              <w:jc w:val="center"/>
              <w:rPr>
                <w:color w:val="000000"/>
                <w:sz w:val="24"/>
              </w:rPr>
            </w:pPr>
          </w:p>
        </w:tc>
        <w:tc>
          <w:tcPr>
            <w:tcW w:w="1529" w:type="dxa"/>
            <w:noWrap w:val="0"/>
            <w:vAlign w:val="center"/>
          </w:tcPr>
          <w:p>
            <w:pPr>
              <w:adjustRightInd w:val="0"/>
              <w:snapToGrid w:val="0"/>
              <w:jc w:val="center"/>
              <w:rPr>
                <w:color w:val="000000"/>
                <w:sz w:val="24"/>
              </w:rPr>
            </w:pPr>
          </w:p>
        </w:tc>
        <w:tc>
          <w:tcPr>
            <w:tcW w:w="1730" w:type="dxa"/>
            <w:noWrap w:val="0"/>
            <w:vAlign w:val="center"/>
          </w:tcPr>
          <w:p>
            <w:pPr>
              <w:adjustRightInd w:val="0"/>
              <w:snapToGrid w:val="0"/>
              <w:jc w:val="center"/>
              <w:rPr>
                <w:color w:val="000000"/>
                <w:sz w:val="24"/>
              </w:rPr>
            </w:pPr>
          </w:p>
        </w:tc>
        <w:tc>
          <w:tcPr>
            <w:tcW w:w="1731" w:type="dxa"/>
            <w:noWrap w:val="0"/>
            <w:vAlign w:val="center"/>
          </w:tcPr>
          <w:p>
            <w:pPr>
              <w:adjustRightInd w:val="0"/>
              <w:snapToGrid w:val="0"/>
              <w:jc w:val="center"/>
              <w:rPr>
                <w:color w:val="000000"/>
                <w:sz w:val="24"/>
              </w:rPr>
            </w:pPr>
          </w:p>
        </w:tc>
        <w:tc>
          <w:tcPr>
            <w:tcW w:w="2122" w:type="dxa"/>
            <w:noWrap w:val="0"/>
            <w:vAlign w:val="center"/>
          </w:tcPr>
          <w:p>
            <w:pPr>
              <w:adjustRightInd w:val="0"/>
              <w:snapToGrid w:val="0"/>
              <w:jc w:val="center"/>
              <w:rPr>
                <w:color w:val="000000"/>
                <w:sz w:val="24"/>
              </w:rPr>
            </w:pPr>
          </w:p>
        </w:tc>
        <w:tc>
          <w:tcPr>
            <w:tcW w:w="961"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89" w:type="dxa"/>
            <w:noWrap w:val="0"/>
            <w:vAlign w:val="center"/>
          </w:tcPr>
          <w:p>
            <w:pPr>
              <w:adjustRightInd w:val="0"/>
              <w:snapToGrid w:val="0"/>
              <w:jc w:val="center"/>
              <w:rPr>
                <w:color w:val="000000"/>
                <w:sz w:val="24"/>
              </w:rPr>
            </w:pPr>
          </w:p>
        </w:tc>
        <w:tc>
          <w:tcPr>
            <w:tcW w:w="1529" w:type="dxa"/>
            <w:noWrap w:val="0"/>
            <w:vAlign w:val="center"/>
          </w:tcPr>
          <w:p>
            <w:pPr>
              <w:adjustRightInd w:val="0"/>
              <w:snapToGrid w:val="0"/>
              <w:jc w:val="center"/>
              <w:rPr>
                <w:color w:val="000000"/>
                <w:sz w:val="24"/>
              </w:rPr>
            </w:pPr>
          </w:p>
        </w:tc>
        <w:tc>
          <w:tcPr>
            <w:tcW w:w="1730" w:type="dxa"/>
            <w:noWrap w:val="0"/>
            <w:vAlign w:val="center"/>
          </w:tcPr>
          <w:p>
            <w:pPr>
              <w:adjustRightInd w:val="0"/>
              <w:snapToGrid w:val="0"/>
              <w:jc w:val="center"/>
              <w:rPr>
                <w:color w:val="000000"/>
                <w:sz w:val="24"/>
              </w:rPr>
            </w:pPr>
          </w:p>
        </w:tc>
        <w:tc>
          <w:tcPr>
            <w:tcW w:w="1731" w:type="dxa"/>
            <w:noWrap w:val="0"/>
            <w:vAlign w:val="center"/>
          </w:tcPr>
          <w:p>
            <w:pPr>
              <w:adjustRightInd w:val="0"/>
              <w:snapToGrid w:val="0"/>
              <w:jc w:val="center"/>
              <w:rPr>
                <w:color w:val="000000"/>
                <w:sz w:val="24"/>
              </w:rPr>
            </w:pPr>
          </w:p>
        </w:tc>
        <w:tc>
          <w:tcPr>
            <w:tcW w:w="2122" w:type="dxa"/>
            <w:noWrap w:val="0"/>
            <w:vAlign w:val="center"/>
          </w:tcPr>
          <w:p>
            <w:pPr>
              <w:adjustRightInd w:val="0"/>
              <w:snapToGrid w:val="0"/>
              <w:jc w:val="center"/>
              <w:rPr>
                <w:color w:val="000000"/>
                <w:sz w:val="24"/>
              </w:rPr>
            </w:pPr>
          </w:p>
        </w:tc>
        <w:tc>
          <w:tcPr>
            <w:tcW w:w="961"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89" w:type="dxa"/>
            <w:noWrap w:val="0"/>
            <w:vAlign w:val="center"/>
          </w:tcPr>
          <w:p>
            <w:pPr>
              <w:adjustRightInd w:val="0"/>
              <w:snapToGrid w:val="0"/>
              <w:jc w:val="center"/>
              <w:rPr>
                <w:color w:val="000000"/>
                <w:sz w:val="24"/>
              </w:rPr>
            </w:pPr>
          </w:p>
        </w:tc>
        <w:tc>
          <w:tcPr>
            <w:tcW w:w="1529" w:type="dxa"/>
            <w:noWrap w:val="0"/>
            <w:vAlign w:val="center"/>
          </w:tcPr>
          <w:p>
            <w:pPr>
              <w:adjustRightInd w:val="0"/>
              <w:snapToGrid w:val="0"/>
              <w:jc w:val="center"/>
              <w:rPr>
                <w:color w:val="000000"/>
                <w:sz w:val="24"/>
              </w:rPr>
            </w:pPr>
          </w:p>
        </w:tc>
        <w:tc>
          <w:tcPr>
            <w:tcW w:w="1730" w:type="dxa"/>
            <w:noWrap w:val="0"/>
            <w:vAlign w:val="center"/>
          </w:tcPr>
          <w:p>
            <w:pPr>
              <w:adjustRightInd w:val="0"/>
              <w:snapToGrid w:val="0"/>
              <w:jc w:val="center"/>
              <w:rPr>
                <w:color w:val="000000"/>
                <w:sz w:val="24"/>
              </w:rPr>
            </w:pPr>
          </w:p>
        </w:tc>
        <w:tc>
          <w:tcPr>
            <w:tcW w:w="1731" w:type="dxa"/>
            <w:noWrap w:val="0"/>
            <w:vAlign w:val="center"/>
          </w:tcPr>
          <w:p>
            <w:pPr>
              <w:adjustRightInd w:val="0"/>
              <w:snapToGrid w:val="0"/>
              <w:jc w:val="center"/>
              <w:rPr>
                <w:color w:val="000000"/>
                <w:sz w:val="24"/>
              </w:rPr>
            </w:pPr>
          </w:p>
        </w:tc>
        <w:tc>
          <w:tcPr>
            <w:tcW w:w="2122" w:type="dxa"/>
            <w:noWrap w:val="0"/>
            <w:vAlign w:val="center"/>
          </w:tcPr>
          <w:p>
            <w:pPr>
              <w:adjustRightInd w:val="0"/>
              <w:snapToGrid w:val="0"/>
              <w:jc w:val="center"/>
              <w:rPr>
                <w:color w:val="000000"/>
                <w:sz w:val="24"/>
              </w:rPr>
            </w:pPr>
          </w:p>
        </w:tc>
        <w:tc>
          <w:tcPr>
            <w:tcW w:w="961" w:type="dxa"/>
            <w:noWrap w:val="0"/>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pPr>
        <w:tabs>
          <w:tab w:val="left" w:pos="360"/>
        </w:tabs>
        <w:snapToGrid w:val="0"/>
        <w:spacing w:line="360" w:lineRule="auto"/>
        <w:outlineLvl w:val="1"/>
        <w:rPr>
          <w:color w:val="000000"/>
          <w:sz w:val="24"/>
          <w:szCs w:val="20"/>
        </w:rPr>
      </w:pPr>
      <w:r>
        <w:rPr>
          <w:color w:val="000000"/>
          <w:sz w:val="24"/>
          <w:szCs w:val="20"/>
        </w:rPr>
        <w:br w:type="page"/>
      </w:r>
      <w:r>
        <w:rPr>
          <w:rFonts w:hint="eastAsia"/>
          <w:sz w:val="24"/>
        </w:rPr>
        <w:t>8</w:t>
      </w:r>
      <w:r>
        <w:rPr>
          <w:sz w:val="24"/>
        </w:rPr>
        <w:t xml:space="preserve">  </w:t>
      </w:r>
      <w:bookmarkEnd w:id="735"/>
      <w:bookmarkEnd w:id="736"/>
      <w:bookmarkEnd w:id="737"/>
      <w:bookmarkEnd w:id="738"/>
      <w:bookmarkEnd w:id="739"/>
      <w:bookmarkEnd w:id="740"/>
      <w:bookmarkEnd w:id="741"/>
      <w:bookmarkEnd w:id="742"/>
      <w:bookmarkEnd w:id="743"/>
      <w:bookmarkEnd w:id="744"/>
      <w:bookmarkEnd w:id="745"/>
      <w:bookmarkEnd w:id="746"/>
      <w:bookmarkEnd w:id="747"/>
      <w:r>
        <w:rPr>
          <w:sz w:val="24"/>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rPr>
      </w:pPr>
      <w:r>
        <w:rPr>
          <w:rFonts w:hint="eastAsia"/>
          <w:color w:val="000000"/>
          <w:sz w:val="24"/>
        </w:rPr>
        <w:t>采购编号</w:t>
      </w:r>
      <w:r>
        <w:rPr>
          <w:color w:val="000000"/>
          <w:sz w:val="24"/>
        </w:rPr>
        <w:t>/包号：_______________     项目名称：_______________</w:t>
      </w:r>
    </w:p>
    <w:tbl>
      <w:tblPr>
        <w:tblStyle w:val="42"/>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noWrap w:val="0"/>
            <w:vAlign w:val="center"/>
          </w:tcPr>
          <w:p>
            <w:pPr>
              <w:adjustRightInd w:val="0"/>
              <w:snapToGrid w:val="0"/>
              <w:jc w:val="center"/>
              <w:rPr>
                <w:color w:val="000000"/>
                <w:sz w:val="24"/>
              </w:rPr>
            </w:pPr>
            <w:r>
              <w:rPr>
                <w:color w:val="000000"/>
                <w:sz w:val="24"/>
              </w:rPr>
              <w:t>序号</w:t>
            </w:r>
          </w:p>
        </w:tc>
        <w:tc>
          <w:tcPr>
            <w:tcW w:w="1482" w:type="dxa"/>
            <w:noWrap w:val="0"/>
            <w:vAlign w:val="center"/>
          </w:tcPr>
          <w:p>
            <w:pPr>
              <w:adjustRightInd w:val="0"/>
              <w:snapToGrid w:val="0"/>
              <w:jc w:val="center"/>
              <w:rPr>
                <w:color w:val="000000"/>
                <w:sz w:val="24"/>
              </w:rPr>
            </w:pPr>
            <w:r>
              <w:rPr>
                <w:color w:val="000000"/>
                <w:sz w:val="24"/>
              </w:rPr>
              <w:t>竞争性磋商文件条目号(页码)</w:t>
            </w:r>
          </w:p>
        </w:tc>
        <w:tc>
          <w:tcPr>
            <w:tcW w:w="2384" w:type="dxa"/>
            <w:noWrap w:val="0"/>
            <w:vAlign w:val="center"/>
          </w:tcPr>
          <w:p>
            <w:pPr>
              <w:adjustRightInd w:val="0"/>
              <w:snapToGrid w:val="0"/>
              <w:jc w:val="center"/>
              <w:rPr>
                <w:color w:val="000000"/>
                <w:sz w:val="24"/>
              </w:rPr>
            </w:pPr>
            <w:r>
              <w:rPr>
                <w:color w:val="000000"/>
                <w:sz w:val="24"/>
              </w:rPr>
              <w:t>竞争性磋商文件要求</w:t>
            </w:r>
          </w:p>
        </w:tc>
        <w:tc>
          <w:tcPr>
            <w:tcW w:w="2126" w:type="dxa"/>
            <w:noWrap w:val="0"/>
            <w:vAlign w:val="center"/>
          </w:tcPr>
          <w:p>
            <w:pPr>
              <w:adjustRightInd w:val="0"/>
              <w:snapToGrid w:val="0"/>
              <w:jc w:val="center"/>
              <w:rPr>
                <w:color w:val="000000"/>
                <w:sz w:val="24"/>
              </w:rPr>
            </w:pPr>
            <w:r>
              <w:rPr>
                <w:color w:val="000000"/>
                <w:sz w:val="24"/>
              </w:rPr>
              <w:t>响应内容</w:t>
            </w:r>
          </w:p>
        </w:tc>
        <w:tc>
          <w:tcPr>
            <w:tcW w:w="1875" w:type="dxa"/>
            <w:noWrap w:val="0"/>
            <w:vAlign w:val="center"/>
          </w:tcPr>
          <w:p>
            <w:pPr>
              <w:adjustRightInd w:val="0"/>
              <w:snapToGrid w:val="0"/>
              <w:jc w:val="center"/>
              <w:rPr>
                <w:color w:val="000000"/>
                <w:sz w:val="24"/>
              </w:rPr>
            </w:pPr>
            <w:r>
              <w:rPr>
                <w:color w:val="000000"/>
                <w:sz w:val="24"/>
              </w:rPr>
              <w:t>偏离情况</w:t>
            </w:r>
          </w:p>
        </w:tc>
        <w:tc>
          <w:tcPr>
            <w:tcW w:w="1009" w:type="dxa"/>
            <w:noWrap w:val="0"/>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384" w:type="dxa"/>
            <w:noWrap w:val="0"/>
            <w:vAlign w:val="center"/>
          </w:tcPr>
          <w:p>
            <w:pPr>
              <w:adjustRightInd w:val="0"/>
              <w:snapToGrid w:val="0"/>
              <w:jc w:val="center"/>
              <w:rPr>
                <w:color w:val="000000"/>
                <w:sz w:val="24"/>
              </w:rPr>
            </w:pPr>
          </w:p>
        </w:tc>
        <w:tc>
          <w:tcPr>
            <w:tcW w:w="2126"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384" w:type="dxa"/>
            <w:noWrap w:val="0"/>
            <w:vAlign w:val="center"/>
          </w:tcPr>
          <w:p>
            <w:pPr>
              <w:adjustRightInd w:val="0"/>
              <w:snapToGrid w:val="0"/>
              <w:jc w:val="center"/>
              <w:rPr>
                <w:color w:val="000000"/>
                <w:sz w:val="24"/>
              </w:rPr>
            </w:pPr>
          </w:p>
        </w:tc>
        <w:tc>
          <w:tcPr>
            <w:tcW w:w="2126"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384" w:type="dxa"/>
            <w:noWrap w:val="0"/>
            <w:vAlign w:val="center"/>
          </w:tcPr>
          <w:p>
            <w:pPr>
              <w:adjustRightInd w:val="0"/>
              <w:snapToGrid w:val="0"/>
              <w:jc w:val="center"/>
              <w:rPr>
                <w:color w:val="000000"/>
                <w:sz w:val="24"/>
              </w:rPr>
            </w:pPr>
          </w:p>
        </w:tc>
        <w:tc>
          <w:tcPr>
            <w:tcW w:w="2126"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384" w:type="dxa"/>
            <w:noWrap w:val="0"/>
            <w:vAlign w:val="center"/>
          </w:tcPr>
          <w:p>
            <w:pPr>
              <w:adjustRightInd w:val="0"/>
              <w:snapToGrid w:val="0"/>
              <w:jc w:val="center"/>
              <w:rPr>
                <w:color w:val="000000"/>
                <w:sz w:val="24"/>
              </w:rPr>
            </w:pPr>
          </w:p>
        </w:tc>
        <w:tc>
          <w:tcPr>
            <w:tcW w:w="2126"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384" w:type="dxa"/>
            <w:noWrap w:val="0"/>
            <w:vAlign w:val="center"/>
          </w:tcPr>
          <w:p>
            <w:pPr>
              <w:adjustRightInd w:val="0"/>
              <w:snapToGrid w:val="0"/>
              <w:jc w:val="center"/>
              <w:rPr>
                <w:color w:val="000000"/>
                <w:sz w:val="24"/>
              </w:rPr>
            </w:pPr>
          </w:p>
        </w:tc>
        <w:tc>
          <w:tcPr>
            <w:tcW w:w="2126"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384" w:type="dxa"/>
            <w:noWrap w:val="0"/>
            <w:vAlign w:val="center"/>
          </w:tcPr>
          <w:p>
            <w:pPr>
              <w:adjustRightInd w:val="0"/>
              <w:snapToGrid w:val="0"/>
              <w:jc w:val="center"/>
              <w:rPr>
                <w:color w:val="000000"/>
                <w:sz w:val="24"/>
              </w:rPr>
            </w:pPr>
          </w:p>
        </w:tc>
        <w:tc>
          <w:tcPr>
            <w:tcW w:w="2126"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pPr>
        <w:tabs>
          <w:tab w:val="left" w:pos="360"/>
        </w:tabs>
        <w:snapToGrid w:val="0"/>
        <w:spacing w:line="360" w:lineRule="auto"/>
        <w:outlineLvl w:val="1"/>
        <w:rPr>
          <w:color w:val="000000"/>
          <w:sz w:val="24"/>
          <w:szCs w:val="20"/>
        </w:rPr>
      </w:pPr>
      <w:r>
        <w:rPr>
          <w:color w:val="000000"/>
          <w:sz w:val="24"/>
          <w:szCs w:val="20"/>
        </w:rPr>
        <w:br w:type="page"/>
      </w:r>
      <w:r>
        <w:rPr>
          <w:rFonts w:hint="eastAsia"/>
          <w:sz w:val="24"/>
        </w:rPr>
        <w:t>9</w:t>
      </w:r>
      <w:r>
        <w:rPr>
          <w:sz w:val="24"/>
        </w:rPr>
        <w:t xml:space="preserve">  竞争性磋商文件要求提供或供应商认为应附的其他材料</w:t>
      </w:r>
    </w:p>
    <w:p>
      <w:pPr>
        <w:widowControl/>
        <w:jc w:val="left"/>
        <w:rPr>
          <w:rFonts w:hint="eastAsia"/>
          <w:color w:val="000000"/>
          <w:sz w:val="24"/>
          <w:szCs w:val="20"/>
        </w:rPr>
      </w:pPr>
      <w:r>
        <w:rPr>
          <w:rFonts w:hint="eastAsia"/>
          <w:color w:val="000000"/>
          <w:sz w:val="24"/>
          <w:szCs w:val="20"/>
        </w:rPr>
        <w:t>9</w:t>
      </w:r>
      <w:r>
        <w:rPr>
          <w:color w:val="000000"/>
          <w:sz w:val="24"/>
          <w:szCs w:val="20"/>
        </w:rPr>
        <w:t>-1</w:t>
      </w:r>
      <w:r>
        <w:rPr>
          <w:rFonts w:hint="eastAsia"/>
          <w:color w:val="000000"/>
          <w:sz w:val="24"/>
          <w:szCs w:val="20"/>
        </w:rPr>
        <w:t>申请人信息采集表</w:t>
      </w:r>
    </w:p>
    <w:tbl>
      <w:tblPr>
        <w:tblStyle w:val="42"/>
        <w:tblW w:w="80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8096" w:type="dxa"/>
            <w:gridSpan w:val="2"/>
            <w:noWrap w:val="0"/>
            <w:vAlign w:val="center"/>
          </w:tcPr>
          <w:p>
            <w:pPr>
              <w:jc w:val="center"/>
              <w:rPr>
                <w:rFonts w:hint="eastAsia"/>
                <w:b/>
                <w:bCs/>
                <w:sz w:val="24"/>
              </w:rPr>
            </w:pPr>
            <w:r>
              <w:rPr>
                <w:rFonts w:hint="eastAsia"/>
                <w:b/>
                <w:bCs/>
                <w:sz w:val="24"/>
              </w:rPr>
              <w:t>申请人信息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jc w:val="center"/>
              <w:rPr>
                <w:rFonts w:hint="eastAsia"/>
                <w:b/>
                <w:bCs/>
                <w:sz w:val="24"/>
              </w:rPr>
            </w:pPr>
            <w:r>
              <w:rPr>
                <w:rFonts w:hint="eastAsia"/>
                <w:b/>
                <w:bCs/>
                <w:sz w:val="24"/>
              </w:rPr>
              <w:t>申请人名称</w:t>
            </w:r>
          </w:p>
        </w:tc>
        <w:tc>
          <w:tcPr>
            <w:tcW w:w="5216" w:type="dxa"/>
            <w:noWrap w:val="0"/>
            <w:vAlign w:val="center"/>
          </w:tcPr>
          <w:p>
            <w:pPr>
              <w:jc w:val="center"/>
              <w:rPr>
                <w:rFonts w:hint="eastAsia"/>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pStyle w:val="23"/>
              <w:tabs>
                <w:tab w:val="left" w:pos="5580"/>
              </w:tabs>
              <w:spacing w:line="300" w:lineRule="auto"/>
              <w:jc w:val="center"/>
              <w:rPr>
                <w:rFonts w:hint="default" w:hAnsi="宋体"/>
                <w:b/>
                <w:bCs/>
                <w:sz w:val="24"/>
                <w:szCs w:val="24"/>
              </w:rPr>
            </w:pPr>
            <w:r>
              <w:rPr>
                <w:rFonts w:ascii="Times New Roman" w:hAnsi="Times New Roman"/>
                <w:b/>
                <w:bCs/>
                <w:sz w:val="24"/>
              </w:rPr>
              <w:t>申请人统一</w:t>
            </w:r>
            <w:r>
              <w:rPr>
                <w:rFonts w:hAnsi="宋体"/>
                <w:b/>
                <w:bCs/>
                <w:sz w:val="24"/>
                <w:szCs w:val="24"/>
              </w:rPr>
              <w:t>社会信用代码</w:t>
            </w:r>
          </w:p>
        </w:tc>
        <w:tc>
          <w:tcPr>
            <w:tcW w:w="521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pStyle w:val="23"/>
              <w:tabs>
                <w:tab w:val="left" w:pos="5580"/>
              </w:tabs>
              <w:spacing w:line="300" w:lineRule="auto"/>
              <w:jc w:val="center"/>
              <w:rPr>
                <w:rFonts w:hint="default" w:hAnsi="宋体"/>
                <w:b/>
                <w:bCs/>
                <w:sz w:val="24"/>
                <w:szCs w:val="24"/>
              </w:rPr>
            </w:pPr>
            <w:r>
              <w:rPr>
                <w:rFonts w:ascii="Times New Roman" w:hAnsi="Times New Roman"/>
                <w:b/>
                <w:bCs/>
                <w:sz w:val="24"/>
              </w:rPr>
              <w:t>申请人</w:t>
            </w:r>
            <w:r>
              <w:rPr>
                <w:rFonts w:hAnsi="宋体"/>
                <w:b/>
                <w:bCs/>
                <w:sz w:val="24"/>
                <w:szCs w:val="24"/>
              </w:rPr>
              <w:t>地址</w:t>
            </w:r>
          </w:p>
        </w:tc>
        <w:tc>
          <w:tcPr>
            <w:tcW w:w="521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pStyle w:val="23"/>
              <w:tabs>
                <w:tab w:val="left" w:pos="5580"/>
              </w:tabs>
              <w:spacing w:line="300" w:lineRule="auto"/>
              <w:jc w:val="center"/>
              <w:rPr>
                <w:rFonts w:hAnsi="宋体"/>
                <w:b/>
                <w:bCs/>
                <w:sz w:val="24"/>
                <w:szCs w:val="24"/>
              </w:rPr>
            </w:pPr>
            <w:r>
              <w:rPr>
                <w:rFonts w:ascii="Times New Roman" w:hAnsi="Times New Roman"/>
                <w:b/>
                <w:bCs/>
                <w:sz w:val="24"/>
              </w:rPr>
              <w:t>申请人</w:t>
            </w:r>
            <w:r>
              <w:rPr>
                <w:rFonts w:hAnsi="宋体"/>
                <w:b/>
                <w:bCs/>
                <w:sz w:val="24"/>
                <w:szCs w:val="24"/>
              </w:rPr>
              <w:t>性质</w:t>
            </w:r>
          </w:p>
        </w:tc>
        <w:tc>
          <w:tcPr>
            <w:tcW w:w="521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pStyle w:val="23"/>
              <w:tabs>
                <w:tab w:val="left" w:pos="5580"/>
              </w:tabs>
              <w:spacing w:line="300" w:lineRule="auto"/>
              <w:jc w:val="center"/>
              <w:rPr>
                <w:rFonts w:ascii="Times New Roman" w:hAnsi="Times New Roman"/>
                <w:b/>
                <w:bCs/>
                <w:sz w:val="24"/>
              </w:rPr>
            </w:pPr>
            <w:r>
              <w:rPr>
                <w:rFonts w:ascii="Times New Roman" w:hAnsi="Times New Roman"/>
                <w:b/>
                <w:bCs/>
                <w:sz w:val="24"/>
              </w:rPr>
              <w:t>申请人规模</w:t>
            </w:r>
          </w:p>
        </w:tc>
        <w:tc>
          <w:tcPr>
            <w:tcW w:w="521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0" w:hRule="exact"/>
        </w:trPr>
        <w:tc>
          <w:tcPr>
            <w:tcW w:w="2880" w:type="dxa"/>
            <w:noWrap w:val="0"/>
            <w:vAlign w:val="center"/>
          </w:tcPr>
          <w:p>
            <w:pPr>
              <w:jc w:val="center"/>
              <w:rPr>
                <w:b/>
                <w:bCs/>
                <w:sz w:val="24"/>
              </w:rPr>
            </w:pPr>
            <w:r>
              <w:rPr>
                <w:rFonts w:hint="eastAsia"/>
                <w:b/>
                <w:bCs/>
                <w:sz w:val="24"/>
              </w:rPr>
              <w:t>申请人绝对所有权拥有者所属性别</w:t>
            </w:r>
          </w:p>
        </w:tc>
        <w:tc>
          <w:tcPr>
            <w:tcW w:w="521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jc w:val="center"/>
              <w:rPr>
                <w:b/>
                <w:bCs/>
                <w:sz w:val="24"/>
              </w:rPr>
            </w:pPr>
            <w:r>
              <w:rPr>
                <w:rFonts w:hint="eastAsia"/>
                <w:b/>
                <w:bCs/>
                <w:sz w:val="24"/>
              </w:rPr>
              <w:t>外商投资类型</w:t>
            </w:r>
          </w:p>
        </w:tc>
        <w:tc>
          <w:tcPr>
            <w:tcW w:w="521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jc w:val="center"/>
              <w:rPr>
                <w:b/>
                <w:bCs/>
                <w:sz w:val="24"/>
              </w:rPr>
            </w:pPr>
            <w:r>
              <w:rPr>
                <w:rFonts w:hint="eastAsia"/>
                <w:b/>
                <w:bCs/>
                <w:sz w:val="24"/>
              </w:rPr>
              <w:t>外商投资国别</w:t>
            </w:r>
          </w:p>
        </w:tc>
        <w:tc>
          <w:tcPr>
            <w:tcW w:w="521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8096" w:type="dxa"/>
            <w:gridSpan w:val="2"/>
            <w:noWrap w:val="0"/>
            <w:vAlign w:val="center"/>
          </w:tcPr>
          <w:p>
            <w:pPr>
              <w:jc w:val="center"/>
              <w:rPr>
                <w:sz w:val="24"/>
              </w:rPr>
            </w:pPr>
            <w:r>
              <w:rPr>
                <w:rFonts w:hint="eastAsia" w:hAnsi="宋体"/>
                <w:b/>
                <w:bCs/>
                <w:sz w:val="24"/>
              </w:rPr>
              <w:t>委托代理人信息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pStyle w:val="23"/>
              <w:tabs>
                <w:tab w:val="left" w:pos="5580"/>
              </w:tabs>
              <w:spacing w:line="300" w:lineRule="auto"/>
              <w:jc w:val="center"/>
              <w:rPr>
                <w:rFonts w:hint="default" w:hAnsi="宋体"/>
                <w:b/>
                <w:bCs/>
                <w:sz w:val="24"/>
                <w:szCs w:val="24"/>
              </w:rPr>
            </w:pPr>
            <w:r>
              <w:rPr>
                <w:rFonts w:hAnsi="宋体"/>
                <w:b/>
                <w:bCs/>
                <w:sz w:val="24"/>
                <w:szCs w:val="24"/>
              </w:rPr>
              <w:t>委托代理人姓名</w:t>
            </w:r>
          </w:p>
        </w:tc>
        <w:tc>
          <w:tcPr>
            <w:tcW w:w="521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pStyle w:val="23"/>
              <w:tabs>
                <w:tab w:val="left" w:pos="5580"/>
              </w:tabs>
              <w:spacing w:line="300" w:lineRule="auto"/>
              <w:jc w:val="center"/>
              <w:rPr>
                <w:rFonts w:hint="default" w:hAnsi="宋体"/>
                <w:b/>
                <w:bCs/>
                <w:sz w:val="24"/>
                <w:szCs w:val="24"/>
              </w:rPr>
            </w:pPr>
            <w:r>
              <w:rPr>
                <w:b/>
                <w:bCs/>
                <w:color w:val="000000"/>
                <w:sz w:val="24"/>
              </w:rPr>
              <w:t>委托代理人</w:t>
            </w:r>
            <w:r>
              <w:rPr>
                <w:rFonts w:hAnsi="宋体"/>
                <w:b/>
                <w:bCs/>
                <w:sz w:val="24"/>
                <w:szCs w:val="24"/>
              </w:rPr>
              <w:t>手机号</w:t>
            </w:r>
          </w:p>
        </w:tc>
        <w:tc>
          <w:tcPr>
            <w:tcW w:w="521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2880" w:type="dxa"/>
            <w:noWrap w:val="0"/>
            <w:vAlign w:val="center"/>
          </w:tcPr>
          <w:p>
            <w:pPr>
              <w:pStyle w:val="23"/>
              <w:tabs>
                <w:tab w:val="left" w:pos="5580"/>
              </w:tabs>
              <w:spacing w:line="300" w:lineRule="auto"/>
              <w:jc w:val="center"/>
              <w:rPr>
                <w:rFonts w:hint="default" w:hAnsi="宋体"/>
                <w:b/>
                <w:bCs/>
                <w:sz w:val="24"/>
                <w:szCs w:val="24"/>
              </w:rPr>
            </w:pPr>
            <w:r>
              <w:rPr>
                <w:b/>
                <w:bCs/>
                <w:color w:val="000000"/>
                <w:sz w:val="24"/>
              </w:rPr>
              <w:t>委托代理人</w:t>
            </w:r>
            <w:r>
              <w:rPr>
                <w:rFonts w:hAnsi="宋体"/>
                <w:b/>
                <w:bCs/>
                <w:sz w:val="24"/>
                <w:szCs w:val="24"/>
              </w:rPr>
              <w:t>邮箱</w:t>
            </w:r>
          </w:p>
        </w:tc>
        <w:tc>
          <w:tcPr>
            <w:tcW w:w="5216" w:type="dxa"/>
            <w:noWrap w:val="0"/>
            <w:vAlign w:val="center"/>
          </w:tcPr>
          <w:p>
            <w:pPr>
              <w:jc w:val="center"/>
              <w:rPr>
                <w:sz w:val="24"/>
              </w:rPr>
            </w:pPr>
          </w:p>
        </w:tc>
      </w:tr>
    </w:tbl>
    <w:p>
      <w:pPr>
        <w:tabs>
          <w:tab w:val="left" w:pos="1800"/>
          <w:tab w:val="left" w:pos="5580"/>
        </w:tabs>
        <w:jc w:val="left"/>
        <w:rPr>
          <w:rFonts w:hint="eastAsia"/>
          <w:color w:val="000000"/>
          <w:sz w:val="24"/>
          <w:szCs w:val="20"/>
        </w:rPr>
      </w:pPr>
      <w:r>
        <w:rPr>
          <w:color w:val="000000"/>
          <w:sz w:val="24"/>
        </w:rPr>
        <w:t>注：</w:t>
      </w:r>
      <w:r>
        <w:rPr>
          <w:rFonts w:hint="eastAsia"/>
          <w:color w:val="000000"/>
          <w:sz w:val="24"/>
          <w:szCs w:val="20"/>
        </w:rPr>
        <w:t>1.申请人如为联合体，则应填写联合体各成员信息。</w:t>
      </w:r>
    </w:p>
    <w:p>
      <w:pPr>
        <w:tabs>
          <w:tab w:val="left" w:pos="1800"/>
          <w:tab w:val="left" w:pos="5580"/>
        </w:tabs>
        <w:ind w:firstLine="480" w:firstLineChars="200"/>
        <w:jc w:val="left"/>
        <w:rPr>
          <w:rFonts w:hint="eastAsia"/>
          <w:color w:val="000000"/>
          <w:sz w:val="24"/>
          <w:szCs w:val="20"/>
        </w:rPr>
      </w:pPr>
      <w:r>
        <w:rPr>
          <w:rFonts w:hint="eastAsia"/>
          <w:color w:val="000000"/>
          <w:sz w:val="24"/>
          <w:szCs w:val="20"/>
        </w:rPr>
        <w:t>2.申请人性质请填写：“企业”、“社会组织”、 “公益二类事业单位”、“从事生产经营活动事业单位”、“农村集体经济组织”、“基层群众性自治组织”或“个人”。</w:t>
      </w:r>
    </w:p>
    <w:p>
      <w:pPr>
        <w:tabs>
          <w:tab w:val="left" w:pos="1800"/>
          <w:tab w:val="left" w:pos="5580"/>
        </w:tabs>
        <w:ind w:firstLine="480" w:firstLineChars="200"/>
        <w:jc w:val="left"/>
        <w:rPr>
          <w:rFonts w:hint="eastAsia"/>
          <w:color w:val="000000"/>
          <w:sz w:val="24"/>
          <w:szCs w:val="20"/>
        </w:rPr>
      </w:pPr>
      <w:r>
        <w:rPr>
          <w:rFonts w:hint="eastAsia"/>
          <w:color w:val="000000"/>
          <w:sz w:val="24"/>
          <w:szCs w:val="20"/>
        </w:rPr>
        <w:t>3.申请人规模请填写：“大型”、“中型”、“小型”、“微型”或 “其他”，且不应与《中小企业声明函》或《拟分包情况说明》中内容矛盾。</w:t>
      </w:r>
    </w:p>
    <w:p>
      <w:pPr>
        <w:tabs>
          <w:tab w:val="left" w:pos="1800"/>
          <w:tab w:val="left" w:pos="5580"/>
        </w:tabs>
        <w:ind w:firstLine="480" w:firstLineChars="200"/>
        <w:jc w:val="left"/>
        <w:rPr>
          <w:rFonts w:hint="eastAsia"/>
          <w:color w:val="000000"/>
          <w:sz w:val="24"/>
          <w:szCs w:val="20"/>
        </w:rPr>
      </w:pPr>
      <w:r>
        <w:rPr>
          <w:rFonts w:hint="eastAsia"/>
          <w:color w:val="000000"/>
          <w:sz w:val="24"/>
          <w:szCs w:val="20"/>
        </w:rPr>
        <w:t>4.申请人所属性别请填写：“男”或“女”，指拥有申请人51%以上绝对所有权的性别；绝对所有权拥有者可以是一个人，也可以是多人合计计算。</w:t>
      </w:r>
    </w:p>
    <w:p>
      <w:pPr>
        <w:tabs>
          <w:tab w:val="left" w:pos="1800"/>
          <w:tab w:val="left" w:pos="5580"/>
        </w:tabs>
        <w:ind w:firstLine="480" w:firstLineChars="200"/>
        <w:jc w:val="left"/>
        <w:rPr>
          <w:rFonts w:hint="eastAsia"/>
          <w:color w:val="000000"/>
          <w:sz w:val="24"/>
          <w:szCs w:val="20"/>
        </w:rPr>
      </w:pPr>
      <w:r>
        <w:rPr>
          <w:rFonts w:hint="eastAsia"/>
          <w:color w:val="000000"/>
          <w:sz w:val="24"/>
          <w:szCs w:val="20"/>
        </w:rPr>
        <w:t>5.外商投资类型请填写：“外商单独投资”、“外商部分投资”或“内资”。</w:t>
      </w:r>
    </w:p>
    <w:p>
      <w:pPr>
        <w:tabs>
          <w:tab w:val="left" w:pos="1800"/>
          <w:tab w:val="left" w:pos="5580"/>
        </w:tabs>
        <w:ind w:firstLine="480" w:firstLineChars="200"/>
        <w:jc w:val="left"/>
        <w:rPr>
          <w:rFonts w:hint="eastAsia"/>
          <w:color w:val="000000"/>
          <w:sz w:val="24"/>
          <w:szCs w:val="20"/>
        </w:rPr>
      </w:pPr>
      <w:r>
        <w:rPr>
          <w:rFonts w:hint="eastAsia"/>
          <w:color w:val="000000"/>
          <w:sz w:val="24"/>
          <w:szCs w:val="20"/>
        </w:rPr>
        <w:t>6.属于“内资”的，无需填写“外商投资国别”。属于“外商单独投资”、“外商部分投资”的，外商投资国别请填写：“欧资企业”、“美资企业”、“日资企业”、“其他”。</w:t>
      </w:r>
    </w:p>
    <w:p>
      <w:pPr>
        <w:tabs>
          <w:tab w:val="left" w:pos="1800"/>
          <w:tab w:val="left" w:pos="5580"/>
        </w:tabs>
        <w:ind w:firstLine="480" w:firstLineChars="200"/>
        <w:jc w:val="left"/>
        <w:rPr>
          <w:rFonts w:hint="eastAsia"/>
          <w:color w:val="000000"/>
          <w:sz w:val="24"/>
          <w:szCs w:val="20"/>
        </w:rPr>
      </w:pPr>
      <w:r>
        <w:rPr>
          <w:rFonts w:hint="eastAsia"/>
          <w:color w:val="000000"/>
          <w:sz w:val="24"/>
          <w:szCs w:val="20"/>
        </w:rPr>
        <w:t>7</w:t>
      </w:r>
      <w:r>
        <w:rPr>
          <w:color w:val="000000"/>
          <w:sz w:val="24"/>
          <w:szCs w:val="20"/>
        </w:rPr>
        <w:t>.请</w:t>
      </w:r>
      <w:r>
        <w:rPr>
          <w:rFonts w:hint="eastAsia"/>
          <w:color w:val="000000"/>
          <w:sz w:val="24"/>
          <w:szCs w:val="20"/>
        </w:rPr>
        <w:t>申请人</w:t>
      </w:r>
      <w:r>
        <w:rPr>
          <w:color w:val="000000"/>
          <w:sz w:val="24"/>
          <w:szCs w:val="20"/>
        </w:rPr>
        <w:t>按要求填写，该信息采集表不作为实质性格式</w:t>
      </w:r>
      <w:r>
        <w:rPr>
          <w:rFonts w:hint="eastAsia"/>
          <w:color w:val="000000"/>
          <w:sz w:val="24"/>
          <w:szCs w:val="20"/>
        </w:rPr>
        <w:t>和内容</w:t>
      </w:r>
      <w:r>
        <w:rPr>
          <w:color w:val="000000"/>
          <w:sz w:val="24"/>
          <w:szCs w:val="20"/>
        </w:rPr>
        <w:t>进行评审使用。</w:t>
      </w:r>
    </w:p>
    <w:p>
      <w:pPr>
        <w:widowControl/>
        <w:jc w:val="left"/>
        <w:rPr>
          <w:rFonts w:hint="eastAsia"/>
          <w:color w:val="000000"/>
          <w:sz w:val="24"/>
          <w:szCs w:val="20"/>
        </w:rPr>
      </w:pPr>
    </w:p>
    <w:p>
      <w:pPr>
        <w:widowControl/>
        <w:jc w:val="left"/>
        <w:rPr>
          <w:rFonts w:hint="eastAsia"/>
          <w:color w:val="000000"/>
          <w:sz w:val="24"/>
          <w:szCs w:val="20"/>
        </w:rPr>
      </w:pPr>
    </w:p>
    <w:p>
      <w:pPr>
        <w:widowControl/>
        <w:jc w:val="left"/>
        <w:rPr>
          <w:rFonts w:hint="eastAsia"/>
          <w:color w:val="000000"/>
          <w:sz w:val="24"/>
          <w:szCs w:val="20"/>
        </w:rPr>
      </w:pPr>
    </w:p>
    <w:p>
      <w:pPr>
        <w:widowControl/>
        <w:jc w:val="left"/>
        <w:rPr>
          <w:rFonts w:hint="eastAsia"/>
          <w:color w:val="000000"/>
          <w:sz w:val="24"/>
          <w:szCs w:val="20"/>
        </w:rPr>
      </w:pPr>
    </w:p>
    <w:p>
      <w:pPr>
        <w:widowControl/>
        <w:jc w:val="left"/>
        <w:rPr>
          <w:rFonts w:hint="eastAsia"/>
          <w:color w:val="000000"/>
          <w:sz w:val="24"/>
          <w:szCs w:val="20"/>
        </w:rPr>
      </w:pPr>
    </w:p>
    <w:p>
      <w:pPr>
        <w:widowControl/>
        <w:jc w:val="left"/>
        <w:rPr>
          <w:rFonts w:hint="eastAsia"/>
          <w:color w:val="000000"/>
          <w:sz w:val="24"/>
          <w:szCs w:val="20"/>
        </w:rPr>
      </w:pPr>
    </w:p>
    <w:p>
      <w:pPr>
        <w:widowControl/>
        <w:jc w:val="left"/>
        <w:rPr>
          <w:rFonts w:hint="eastAsia"/>
          <w:color w:val="000000"/>
          <w:sz w:val="24"/>
          <w:szCs w:val="20"/>
        </w:rPr>
      </w:pPr>
    </w:p>
    <w:p>
      <w:pPr>
        <w:widowControl/>
        <w:jc w:val="left"/>
        <w:rPr>
          <w:rFonts w:hint="eastAsia"/>
          <w:color w:val="000000"/>
          <w:sz w:val="24"/>
          <w:szCs w:val="20"/>
        </w:rPr>
      </w:pPr>
    </w:p>
    <w:p>
      <w:pPr>
        <w:widowControl/>
        <w:jc w:val="left"/>
        <w:rPr>
          <w:rFonts w:hint="eastAsia"/>
          <w:color w:val="000000"/>
          <w:sz w:val="24"/>
          <w:szCs w:val="20"/>
        </w:rPr>
      </w:pPr>
    </w:p>
    <w:p>
      <w:pPr>
        <w:widowControl/>
        <w:jc w:val="left"/>
        <w:rPr>
          <w:rFonts w:hint="eastAsia"/>
          <w:color w:val="000000"/>
          <w:sz w:val="24"/>
          <w:szCs w:val="20"/>
        </w:rPr>
      </w:pPr>
    </w:p>
    <w:p>
      <w:pPr>
        <w:widowControl/>
        <w:jc w:val="left"/>
        <w:rPr>
          <w:rFonts w:hint="eastAsia"/>
          <w:color w:val="000000"/>
          <w:sz w:val="24"/>
          <w:szCs w:val="20"/>
        </w:rPr>
      </w:pPr>
      <w:r>
        <w:rPr>
          <w:rFonts w:hint="eastAsia"/>
          <w:color w:val="000000"/>
          <w:sz w:val="24"/>
          <w:szCs w:val="20"/>
        </w:rPr>
        <w:t>9-2制造商信息采集表（货物类采购项目需填写）</w:t>
      </w:r>
    </w:p>
    <w:tbl>
      <w:tblPr>
        <w:tblStyle w:val="42"/>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890"/>
        <w:gridCol w:w="746"/>
        <w:gridCol w:w="1468"/>
        <w:gridCol w:w="746"/>
        <w:gridCol w:w="2479"/>
        <w:gridCol w:w="117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01" w:type="dxa"/>
            <w:noWrap w:val="0"/>
            <w:vAlign w:val="center"/>
          </w:tcPr>
          <w:p>
            <w:pPr>
              <w:adjustRightInd w:val="0"/>
              <w:snapToGrid w:val="0"/>
              <w:jc w:val="center"/>
              <w:rPr>
                <w:b/>
                <w:color w:val="000000"/>
                <w:sz w:val="24"/>
              </w:rPr>
            </w:pPr>
            <w:r>
              <w:rPr>
                <w:b/>
                <w:color w:val="000000"/>
                <w:sz w:val="24"/>
              </w:rPr>
              <w:t>序号</w:t>
            </w:r>
          </w:p>
        </w:tc>
        <w:tc>
          <w:tcPr>
            <w:tcW w:w="890" w:type="dxa"/>
            <w:noWrap w:val="0"/>
            <w:vAlign w:val="center"/>
          </w:tcPr>
          <w:p>
            <w:pPr>
              <w:adjustRightInd w:val="0"/>
              <w:snapToGrid w:val="0"/>
              <w:jc w:val="center"/>
              <w:rPr>
                <w:b/>
                <w:color w:val="000000"/>
                <w:sz w:val="24"/>
              </w:rPr>
            </w:pPr>
            <w:r>
              <w:rPr>
                <w:rFonts w:hint="eastAsia"/>
                <w:b/>
                <w:color w:val="000000"/>
                <w:sz w:val="24"/>
              </w:rPr>
              <w:t>分项</w:t>
            </w:r>
            <w:r>
              <w:rPr>
                <w:b/>
                <w:color w:val="000000"/>
                <w:sz w:val="24"/>
              </w:rPr>
              <w:t>名称</w:t>
            </w:r>
          </w:p>
        </w:tc>
        <w:tc>
          <w:tcPr>
            <w:tcW w:w="746" w:type="dxa"/>
            <w:noWrap w:val="0"/>
            <w:vAlign w:val="center"/>
          </w:tcPr>
          <w:p>
            <w:pPr>
              <w:adjustRightInd w:val="0"/>
              <w:snapToGrid w:val="0"/>
              <w:jc w:val="center"/>
              <w:rPr>
                <w:b/>
                <w:color w:val="000000"/>
                <w:sz w:val="24"/>
              </w:rPr>
            </w:pPr>
            <w:r>
              <w:rPr>
                <w:b/>
                <w:color w:val="000000"/>
                <w:sz w:val="24"/>
              </w:rPr>
              <w:t>制造商</w:t>
            </w:r>
          </w:p>
        </w:tc>
        <w:tc>
          <w:tcPr>
            <w:tcW w:w="1468" w:type="dxa"/>
            <w:noWrap w:val="0"/>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746" w:type="dxa"/>
            <w:noWrap w:val="0"/>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2479" w:type="dxa"/>
            <w:noWrap w:val="0"/>
            <w:vAlign w:val="center"/>
          </w:tcPr>
          <w:p>
            <w:pPr>
              <w:adjustRightInd w:val="0"/>
              <w:snapToGrid w:val="0"/>
              <w:jc w:val="center"/>
              <w:rPr>
                <w:b/>
                <w:color w:val="000000"/>
                <w:sz w:val="24"/>
              </w:rPr>
            </w:pPr>
            <w:r>
              <w:rPr>
                <w:b/>
                <w:color w:val="000000"/>
                <w:sz w:val="24"/>
              </w:rPr>
              <w:t>制造商</w:t>
            </w:r>
            <w:r>
              <w:rPr>
                <w:rFonts w:hint="eastAsia"/>
                <w:b/>
                <w:color w:val="000000"/>
                <w:sz w:val="24"/>
              </w:rPr>
              <w:t>绝对所有权拥有者</w:t>
            </w:r>
            <w:r>
              <w:rPr>
                <w:b/>
                <w:color w:val="000000"/>
                <w:sz w:val="24"/>
              </w:rPr>
              <w:t>所属性别</w:t>
            </w:r>
          </w:p>
        </w:tc>
        <w:tc>
          <w:tcPr>
            <w:tcW w:w="1179" w:type="dxa"/>
            <w:noWrap w:val="0"/>
            <w:vAlign w:val="center"/>
          </w:tcPr>
          <w:p>
            <w:pPr>
              <w:adjustRightInd w:val="0"/>
              <w:snapToGrid w:val="0"/>
              <w:jc w:val="center"/>
              <w:rPr>
                <w:b/>
                <w:color w:val="000000"/>
                <w:sz w:val="24"/>
              </w:rPr>
            </w:pPr>
            <w:r>
              <w:rPr>
                <w:b/>
                <w:color w:val="000000"/>
                <w:sz w:val="24"/>
              </w:rPr>
              <w:t>外商投资类型</w:t>
            </w:r>
          </w:p>
        </w:tc>
        <w:tc>
          <w:tcPr>
            <w:tcW w:w="1179" w:type="dxa"/>
            <w:noWrap w:val="0"/>
            <w:vAlign w:val="center"/>
          </w:tcPr>
          <w:p>
            <w:pPr>
              <w:adjustRightInd w:val="0"/>
              <w:snapToGrid w:val="0"/>
              <w:jc w:val="center"/>
              <w:rPr>
                <w:b/>
                <w:color w:val="000000"/>
                <w:sz w:val="24"/>
              </w:rPr>
            </w:pPr>
            <w:r>
              <w:rPr>
                <w:rFonts w:hint="eastAsia"/>
                <w:b/>
                <w:bCs/>
                <w:sz w:val="24"/>
              </w:rPr>
              <w:t>外商投资国别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01" w:type="dxa"/>
            <w:noWrap w:val="0"/>
            <w:vAlign w:val="center"/>
          </w:tcPr>
          <w:p>
            <w:pPr>
              <w:adjustRightInd w:val="0"/>
              <w:snapToGrid w:val="0"/>
              <w:jc w:val="left"/>
              <w:rPr>
                <w:color w:val="000000"/>
                <w:sz w:val="24"/>
              </w:rPr>
            </w:pPr>
            <w:r>
              <w:rPr>
                <w:color w:val="000000"/>
                <w:sz w:val="24"/>
              </w:rPr>
              <w:t>1</w:t>
            </w:r>
          </w:p>
        </w:tc>
        <w:tc>
          <w:tcPr>
            <w:tcW w:w="890" w:type="dxa"/>
            <w:noWrap w:val="0"/>
            <w:vAlign w:val="center"/>
          </w:tcPr>
          <w:p>
            <w:pPr>
              <w:adjustRightInd w:val="0"/>
              <w:snapToGrid w:val="0"/>
              <w:jc w:val="left"/>
              <w:rPr>
                <w:color w:val="000000"/>
                <w:sz w:val="24"/>
              </w:rPr>
            </w:pPr>
          </w:p>
        </w:tc>
        <w:tc>
          <w:tcPr>
            <w:tcW w:w="746" w:type="dxa"/>
            <w:noWrap w:val="0"/>
            <w:vAlign w:val="center"/>
          </w:tcPr>
          <w:p>
            <w:pPr>
              <w:adjustRightInd w:val="0"/>
              <w:snapToGrid w:val="0"/>
              <w:jc w:val="left"/>
              <w:rPr>
                <w:color w:val="000000"/>
                <w:sz w:val="24"/>
              </w:rPr>
            </w:pPr>
          </w:p>
        </w:tc>
        <w:tc>
          <w:tcPr>
            <w:tcW w:w="1468" w:type="dxa"/>
            <w:noWrap w:val="0"/>
            <w:vAlign w:val="center"/>
          </w:tcPr>
          <w:p>
            <w:pPr>
              <w:adjustRightInd w:val="0"/>
              <w:snapToGrid w:val="0"/>
              <w:jc w:val="center"/>
              <w:rPr>
                <w:color w:val="000000"/>
                <w:sz w:val="24"/>
              </w:rPr>
            </w:pPr>
          </w:p>
        </w:tc>
        <w:tc>
          <w:tcPr>
            <w:tcW w:w="746" w:type="dxa"/>
            <w:noWrap w:val="0"/>
            <w:vAlign w:val="center"/>
          </w:tcPr>
          <w:p>
            <w:pPr>
              <w:adjustRightInd w:val="0"/>
              <w:snapToGrid w:val="0"/>
              <w:jc w:val="center"/>
              <w:rPr>
                <w:color w:val="000000"/>
                <w:sz w:val="24"/>
              </w:rPr>
            </w:pPr>
          </w:p>
        </w:tc>
        <w:tc>
          <w:tcPr>
            <w:tcW w:w="2479" w:type="dxa"/>
            <w:noWrap w:val="0"/>
            <w:vAlign w:val="top"/>
          </w:tcPr>
          <w:p>
            <w:pPr>
              <w:adjustRightInd w:val="0"/>
              <w:snapToGrid w:val="0"/>
              <w:jc w:val="center"/>
              <w:rPr>
                <w:color w:val="000000"/>
                <w:sz w:val="24"/>
              </w:rPr>
            </w:pPr>
          </w:p>
        </w:tc>
        <w:tc>
          <w:tcPr>
            <w:tcW w:w="1179" w:type="dxa"/>
            <w:noWrap w:val="0"/>
            <w:vAlign w:val="top"/>
          </w:tcPr>
          <w:p>
            <w:pPr>
              <w:adjustRightInd w:val="0"/>
              <w:snapToGrid w:val="0"/>
              <w:jc w:val="center"/>
              <w:rPr>
                <w:color w:val="000000"/>
                <w:sz w:val="24"/>
              </w:rPr>
            </w:pPr>
          </w:p>
        </w:tc>
        <w:tc>
          <w:tcPr>
            <w:tcW w:w="117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01" w:type="dxa"/>
            <w:noWrap w:val="0"/>
            <w:vAlign w:val="center"/>
          </w:tcPr>
          <w:p>
            <w:pPr>
              <w:adjustRightInd w:val="0"/>
              <w:snapToGrid w:val="0"/>
              <w:jc w:val="left"/>
              <w:rPr>
                <w:color w:val="000000"/>
                <w:sz w:val="24"/>
              </w:rPr>
            </w:pPr>
            <w:r>
              <w:rPr>
                <w:color w:val="000000"/>
                <w:sz w:val="24"/>
              </w:rPr>
              <w:t>2</w:t>
            </w:r>
          </w:p>
        </w:tc>
        <w:tc>
          <w:tcPr>
            <w:tcW w:w="890" w:type="dxa"/>
            <w:noWrap w:val="0"/>
            <w:vAlign w:val="center"/>
          </w:tcPr>
          <w:p>
            <w:pPr>
              <w:adjustRightInd w:val="0"/>
              <w:snapToGrid w:val="0"/>
              <w:jc w:val="left"/>
              <w:rPr>
                <w:color w:val="000000"/>
                <w:sz w:val="24"/>
              </w:rPr>
            </w:pPr>
          </w:p>
        </w:tc>
        <w:tc>
          <w:tcPr>
            <w:tcW w:w="746" w:type="dxa"/>
            <w:noWrap w:val="0"/>
            <w:vAlign w:val="center"/>
          </w:tcPr>
          <w:p>
            <w:pPr>
              <w:adjustRightInd w:val="0"/>
              <w:snapToGrid w:val="0"/>
              <w:jc w:val="left"/>
              <w:rPr>
                <w:color w:val="000000"/>
                <w:sz w:val="24"/>
              </w:rPr>
            </w:pPr>
          </w:p>
        </w:tc>
        <w:tc>
          <w:tcPr>
            <w:tcW w:w="1468" w:type="dxa"/>
            <w:noWrap w:val="0"/>
            <w:vAlign w:val="center"/>
          </w:tcPr>
          <w:p>
            <w:pPr>
              <w:adjustRightInd w:val="0"/>
              <w:snapToGrid w:val="0"/>
              <w:jc w:val="center"/>
              <w:rPr>
                <w:color w:val="000000"/>
                <w:sz w:val="24"/>
              </w:rPr>
            </w:pPr>
          </w:p>
        </w:tc>
        <w:tc>
          <w:tcPr>
            <w:tcW w:w="746" w:type="dxa"/>
            <w:noWrap w:val="0"/>
            <w:vAlign w:val="center"/>
          </w:tcPr>
          <w:p>
            <w:pPr>
              <w:adjustRightInd w:val="0"/>
              <w:snapToGrid w:val="0"/>
              <w:jc w:val="center"/>
              <w:rPr>
                <w:color w:val="000000"/>
                <w:sz w:val="24"/>
              </w:rPr>
            </w:pPr>
          </w:p>
        </w:tc>
        <w:tc>
          <w:tcPr>
            <w:tcW w:w="2479" w:type="dxa"/>
            <w:noWrap w:val="0"/>
            <w:vAlign w:val="top"/>
          </w:tcPr>
          <w:p>
            <w:pPr>
              <w:adjustRightInd w:val="0"/>
              <w:snapToGrid w:val="0"/>
              <w:jc w:val="center"/>
              <w:rPr>
                <w:color w:val="000000"/>
                <w:sz w:val="24"/>
              </w:rPr>
            </w:pPr>
          </w:p>
        </w:tc>
        <w:tc>
          <w:tcPr>
            <w:tcW w:w="1179" w:type="dxa"/>
            <w:noWrap w:val="0"/>
            <w:vAlign w:val="top"/>
          </w:tcPr>
          <w:p>
            <w:pPr>
              <w:adjustRightInd w:val="0"/>
              <w:snapToGrid w:val="0"/>
              <w:jc w:val="center"/>
              <w:rPr>
                <w:color w:val="000000"/>
                <w:sz w:val="24"/>
              </w:rPr>
            </w:pPr>
          </w:p>
        </w:tc>
        <w:tc>
          <w:tcPr>
            <w:tcW w:w="117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01" w:type="dxa"/>
            <w:noWrap w:val="0"/>
            <w:vAlign w:val="center"/>
          </w:tcPr>
          <w:p>
            <w:pPr>
              <w:adjustRightInd w:val="0"/>
              <w:snapToGrid w:val="0"/>
              <w:jc w:val="left"/>
              <w:rPr>
                <w:color w:val="000000"/>
                <w:sz w:val="24"/>
              </w:rPr>
            </w:pPr>
            <w:r>
              <w:rPr>
                <w:color w:val="000000"/>
                <w:sz w:val="24"/>
              </w:rPr>
              <w:t>3</w:t>
            </w:r>
          </w:p>
        </w:tc>
        <w:tc>
          <w:tcPr>
            <w:tcW w:w="890" w:type="dxa"/>
            <w:noWrap w:val="0"/>
            <w:vAlign w:val="center"/>
          </w:tcPr>
          <w:p>
            <w:pPr>
              <w:adjustRightInd w:val="0"/>
              <w:snapToGrid w:val="0"/>
              <w:jc w:val="left"/>
              <w:rPr>
                <w:color w:val="000000"/>
                <w:sz w:val="24"/>
              </w:rPr>
            </w:pPr>
          </w:p>
        </w:tc>
        <w:tc>
          <w:tcPr>
            <w:tcW w:w="746" w:type="dxa"/>
            <w:noWrap w:val="0"/>
            <w:vAlign w:val="center"/>
          </w:tcPr>
          <w:p>
            <w:pPr>
              <w:adjustRightInd w:val="0"/>
              <w:snapToGrid w:val="0"/>
              <w:jc w:val="left"/>
              <w:rPr>
                <w:color w:val="000000"/>
                <w:sz w:val="24"/>
              </w:rPr>
            </w:pPr>
          </w:p>
        </w:tc>
        <w:tc>
          <w:tcPr>
            <w:tcW w:w="1468" w:type="dxa"/>
            <w:noWrap w:val="0"/>
            <w:vAlign w:val="center"/>
          </w:tcPr>
          <w:p>
            <w:pPr>
              <w:adjustRightInd w:val="0"/>
              <w:snapToGrid w:val="0"/>
              <w:jc w:val="center"/>
              <w:rPr>
                <w:color w:val="000000"/>
                <w:sz w:val="24"/>
              </w:rPr>
            </w:pPr>
          </w:p>
        </w:tc>
        <w:tc>
          <w:tcPr>
            <w:tcW w:w="746" w:type="dxa"/>
            <w:noWrap w:val="0"/>
            <w:vAlign w:val="center"/>
          </w:tcPr>
          <w:p>
            <w:pPr>
              <w:adjustRightInd w:val="0"/>
              <w:snapToGrid w:val="0"/>
              <w:jc w:val="center"/>
              <w:rPr>
                <w:color w:val="000000"/>
                <w:sz w:val="24"/>
              </w:rPr>
            </w:pPr>
          </w:p>
        </w:tc>
        <w:tc>
          <w:tcPr>
            <w:tcW w:w="2479" w:type="dxa"/>
            <w:noWrap w:val="0"/>
            <w:vAlign w:val="top"/>
          </w:tcPr>
          <w:p>
            <w:pPr>
              <w:adjustRightInd w:val="0"/>
              <w:snapToGrid w:val="0"/>
              <w:jc w:val="center"/>
              <w:rPr>
                <w:color w:val="000000"/>
                <w:sz w:val="24"/>
              </w:rPr>
            </w:pPr>
          </w:p>
        </w:tc>
        <w:tc>
          <w:tcPr>
            <w:tcW w:w="1179" w:type="dxa"/>
            <w:noWrap w:val="0"/>
            <w:vAlign w:val="top"/>
          </w:tcPr>
          <w:p>
            <w:pPr>
              <w:adjustRightInd w:val="0"/>
              <w:snapToGrid w:val="0"/>
              <w:jc w:val="center"/>
              <w:rPr>
                <w:color w:val="000000"/>
                <w:sz w:val="24"/>
              </w:rPr>
            </w:pPr>
          </w:p>
        </w:tc>
        <w:tc>
          <w:tcPr>
            <w:tcW w:w="117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01" w:type="dxa"/>
            <w:noWrap w:val="0"/>
            <w:vAlign w:val="center"/>
          </w:tcPr>
          <w:p>
            <w:pPr>
              <w:adjustRightInd w:val="0"/>
              <w:snapToGrid w:val="0"/>
              <w:jc w:val="left"/>
              <w:rPr>
                <w:color w:val="000000"/>
                <w:sz w:val="24"/>
              </w:rPr>
            </w:pPr>
            <w:r>
              <w:rPr>
                <w:color w:val="000000"/>
                <w:sz w:val="24"/>
              </w:rPr>
              <w:t>4</w:t>
            </w:r>
          </w:p>
        </w:tc>
        <w:tc>
          <w:tcPr>
            <w:tcW w:w="890" w:type="dxa"/>
            <w:noWrap w:val="0"/>
            <w:vAlign w:val="center"/>
          </w:tcPr>
          <w:p>
            <w:pPr>
              <w:adjustRightInd w:val="0"/>
              <w:snapToGrid w:val="0"/>
              <w:jc w:val="left"/>
              <w:rPr>
                <w:color w:val="000000"/>
                <w:sz w:val="24"/>
              </w:rPr>
            </w:pPr>
          </w:p>
        </w:tc>
        <w:tc>
          <w:tcPr>
            <w:tcW w:w="746" w:type="dxa"/>
            <w:noWrap w:val="0"/>
            <w:vAlign w:val="center"/>
          </w:tcPr>
          <w:p>
            <w:pPr>
              <w:adjustRightInd w:val="0"/>
              <w:snapToGrid w:val="0"/>
              <w:jc w:val="left"/>
              <w:rPr>
                <w:color w:val="000000"/>
                <w:sz w:val="24"/>
              </w:rPr>
            </w:pPr>
          </w:p>
        </w:tc>
        <w:tc>
          <w:tcPr>
            <w:tcW w:w="1468" w:type="dxa"/>
            <w:noWrap w:val="0"/>
            <w:vAlign w:val="center"/>
          </w:tcPr>
          <w:p>
            <w:pPr>
              <w:adjustRightInd w:val="0"/>
              <w:snapToGrid w:val="0"/>
              <w:jc w:val="center"/>
              <w:rPr>
                <w:color w:val="000000"/>
                <w:sz w:val="24"/>
              </w:rPr>
            </w:pPr>
          </w:p>
        </w:tc>
        <w:tc>
          <w:tcPr>
            <w:tcW w:w="746" w:type="dxa"/>
            <w:noWrap w:val="0"/>
            <w:vAlign w:val="center"/>
          </w:tcPr>
          <w:p>
            <w:pPr>
              <w:adjustRightInd w:val="0"/>
              <w:snapToGrid w:val="0"/>
              <w:jc w:val="center"/>
              <w:rPr>
                <w:color w:val="000000"/>
                <w:sz w:val="24"/>
              </w:rPr>
            </w:pPr>
          </w:p>
        </w:tc>
        <w:tc>
          <w:tcPr>
            <w:tcW w:w="2479" w:type="dxa"/>
            <w:noWrap w:val="0"/>
            <w:vAlign w:val="top"/>
          </w:tcPr>
          <w:p>
            <w:pPr>
              <w:adjustRightInd w:val="0"/>
              <w:snapToGrid w:val="0"/>
              <w:jc w:val="center"/>
              <w:rPr>
                <w:color w:val="000000"/>
                <w:sz w:val="24"/>
              </w:rPr>
            </w:pPr>
          </w:p>
        </w:tc>
        <w:tc>
          <w:tcPr>
            <w:tcW w:w="1179" w:type="dxa"/>
            <w:noWrap w:val="0"/>
            <w:vAlign w:val="top"/>
          </w:tcPr>
          <w:p>
            <w:pPr>
              <w:adjustRightInd w:val="0"/>
              <w:snapToGrid w:val="0"/>
              <w:jc w:val="center"/>
              <w:rPr>
                <w:color w:val="000000"/>
                <w:sz w:val="24"/>
              </w:rPr>
            </w:pPr>
          </w:p>
        </w:tc>
        <w:tc>
          <w:tcPr>
            <w:tcW w:w="117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601" w:type="dxa"/>
            <w:noWrap w:val="0"/>
            <w:vAlign w:val="center"/>
          </w:tcPr>
          <w:p>
            <w:pPr>
              <w:adjustRightInd w:val="0"/>
              <w:snapToGrid w:val="0"/>
              <w:jc w:val="left"/>
              <w:rPr>
                <w:color w:val="000000"/>
                <w:sz w:val="24"/>
              </w:rPr>
            </w:pPr>
            <w:r>
              <w:rPr>
                <w:color w:val="000000"/>
                <w:sz w:val="24"/>
              </w:rPr>
              <w:t>…</w:t>
            </w:r>
          </w:p>
        </w:tc>
        <w:tc>
          <w:tcPr>
            <w:tcW w:w="890" w:type="dxa"/>
            <w:noWrap w:val="0"/>
            <w:vAlign w:val="center"/>
          </w:tcPr>
          <w:p>
            <w:pPr>
              <w:adjustRightInd w:val="0"/>
              <w:snapToGrid w:val="0"/>
              <w:jc w:val="left"/>
              <w:rPr>
                <w:color w:val="000000"/>
                <w:sz w:val="24"/>
              </w:rPr>
            </w:pPr>
          </w:p>
        </w:tc>
        <w:tc>
          <w:tcPr>
            <w:tcW w:w="746" w:type="dxa"/>
            <w:noWrap w:val="0"/>
            <w:vAlign w:val="center"/>
          </w:tcPr>
          <w:p>
            <w:pPr>
              <w:adjustRightInd w:val="0"/>
              <w:snapToGrid w:val="0"/>
              <w:jc w:val="left"/>
              <w:rPr>
                <w:color w:val="000000"/>
                <w:sz w:val="24"/>
              </w:rPr>
            </w:pPr>
          </w:p>
        </w:tc>
        <w:tc>
          <w:tcPr>
            <w:tcW w:w="1468" w:type="dxa"/>
            <w:noWrap w:val="0"/>
            <w:vAlign w:val="center"/>
          </w:tcPr>
          <w:p>
            <w:pPr>
              <w:adjustRightInd w:val="0"/>
              <w:snapToGrid w:val="0"/>
              <w:jc w:val="center"/>
              <w:rPr>
                <w:color w:val="000000"/>
                <w:sz w:val="24"/>
              </w:rPr>
            </w:pPr>
          </w:p>
        </w:tc>
        <w:tc>
          <w:tcPr>
            <w:tcW w:w="746" w:type="dxa"/>
            <w:noWrap w:val="0"/>
            <w:vAlign w:val="center"/>
          </w:tcPr>
          <w:p>
            <w:pPr>
              <w:adjustRightInd w:val="0"/>
              <w:snapToGrid w:val="0"/>
              <w:jc w:val="center"/>
              <w:rPr>
                <w:color w:val="000000"/>
                <w:sz w:val="24"/>
              </w:rPr>
            </w:pPr>
          </w:p>
        </w:tc>
        <w:tc>
          <w:tcPr>
            <w:tcW w:w="2479" w:type="dxa"/>
            <w:noWrap w:val="0"/>
            <w:vAlign w:val="top"/>
          </w:tcPr>
          <w:p>
            <w:pPr>
              <w:adjustRightInd w:val="0"/>
              <w:snapToGrid w:val="0"/>
              <w:jc w:val="center"/>
              <w:rPr>
                <w:color w:val="000000"/>
                <w:sz w:val="24"/>
              </w:rPr>
            </w:pPr>
          </w:p>
        </w:tc>
        <w:tc>
          <w:tcPr>
            <w:tcW w:w="1179" w:type="dxa"/>
            <w:noWrap w:val="0"/>
            <w:vAlign w:val="top"/>
          </w:tcPr>
          <w:p>
            <w:pPr>
              <w:adjustRightInd w:val="0"/>
              <w:snapToGrid w:val="0"/>
              <w:jc w:val="center"/>
              <w:rPr>
                <w:color w:val="000000"/>
                <w:sz w:val="24"/>
              </w:rPr>
            </w:pPr>
          </w:p>
        </w:tc>
        <w:tc>
          <w:tcPr>
            <w:tcW w:w="1179" w:type="dxa"/>
            <w:noWrap w:val="0"/>
            <w:vAlign w:val="center"/>
          </w:tcPr>
          <w:p>
            <w:pPr>
              <w:adjustRightInd w:val="0"/>
              <w:snapToGrid w:val="0"/>
              <w:jc w:val="center"/>
              <w:rPr>
                <w:color w:val="000000"/>
                <w:sz w:val="24"/>
              </w:rPr>
            </w:pPr>
          </w:p>
        </w:tc>
      </w:tr>
    </w:tbl>
    <w:p>
      <w:pPr>
        <w:adjustRightInd w:val="0"/>
        <w:snapToGrid w:val="0"/>
        <w:jc w:val="left"/>
        <w:rPr>
          <w:rFonts w:hint="eastAsia"/>
          <w:color w:val="000000"/>
          <w:sz w:val="24"/>
          <w:szCs w:val="20"/>
        </w:rPr>
      </w:pPr>
      <w:r>
        <w:rPr>
          <w:rFonts w:hint="eastAsia"/>
          <w:color w:val="000000"/>
          <w:sz w:val="24"/>
          <w:szCs w:val="20"/>
        </w:rPr>
        <w:t>注：1.制造商规模请填写：“大型”、“中型”、“小型”、“微型”或 “其他”，中小企业的定义见第二章《供应商须知》。</w:t>
      </w:r>
    </w:p>
    <w:p>
      <w:pPr>
        <w:tabs>
          <w:tab w:val="left" w:pos="1800"/>
          <w:tab w:val="left" w:pos="5580"/>
        </w:tabs>
        <w:adjustRightInd w:val="0"/>
        <w:snapToGrid w:val="0"/>
        <w:ind w:firstLine="480" w:firstLineChars="200"/>
        <w:jc w:val="left"/>
        <w:rPr>
          <w:rFonts w:hint="eastAsia"/>
          <w:color w:val="000000"/>
          <w:sz w:val="24"/>
          <w:szCs w:val="20"/>
        </w:rPr>
      </w:pPr>
      <w:r>
        <w:rPr>
          <w:rFonts w:hint="eastAsia"/>
          <w:color w:val="000000"/>
          <w:sz w:val="24"/>
          <w:szCs w:val="20"/>
        </w:rPr>
        <w:t>2.制造商绝对所有权拥有者所属性别请填写：“男”或“女”， 指拥有制造商51%以上绝对所有权的性别；绝对所有权拥有者可以是一个人，也可以是多人合计计算。</w:t>
      </w:r>
    </w:p>
    <w:p>
      <w:pPr>
        <w:tabs>
          <w:tab w:val="left" w:pos="1800"/>
          <w:tab w:val="left" w:pos="5580"/>
        </w:tabs>
        <w:adjustRightInd w:val="0"/>
        <w:snapToGrid w:val="0"/>
        <w:ind w:firstLine="480" w:firstLineChars="200"/>
        <w:jc w:val="left"/>
        <w:rPr>
          <w:rFonts w:hint="eastAsia"/>
          <w:color w:val="000000"/>
          <w:sz w:val="24"/>
          <w:szCs w:val="20"/>
        </w:rPr>
      </w:pPr>
      <w:r>
        <w:rPr>
          <w:rFonts w:hint="eastAsia"/>
          <w:color w:val="000000"/>
          <w:sz w:val="24"/>
          <w:szCs w:val="20"/>
        </w:rPr>
        <w:t>3.外商投资类型请填写：“外商单独投资”、“外商部分投资”或“内资”。</w:t>
      </w:r>
    </w:p>
    <w:p>
      <w:pPr>
        <w:tabs>
          <w:tab w:val="left" w:pos="1800"/>
          <w:tab w:val="left" w:pos="5580"/>
        </w:tabs>
        <w:adjustRightInd w:val="0"/>
        <w:snapToGrid w:val="0"/>
        <w:ind w:firstLine="480" w:firstLineChars="200"/>
        <w:jc w:val="left"/>
        <w:rPr>
          <w:rFonts w:hint="eastAsia"/>
          <w:color w:val="000000"/>
          <w:sz w:val="24"/>
          <w:szCs w:val="20"/>
        </w:rPr>
      </w:pPr>
      <w:r>
        <w:rPr>
          <w:rFonts w:hint="eastAsia"/>
          <w:color w:val="000000"/>
          <w:sz w:val="24"/>
          <w:szCs w:val="20"/>
        </w:rPr>
        <w:t>4.属于“内资”的，无需填写“外商投资国别”。属于“外商单独投资”、“外商部分投资”的，外商投资国别请填写：“欧资企业”、“美资企业”、“日资企业”、“其他”。</w:t>
      </w:r>
    </w:p>
    <w:p>
      <w:pPr>
        <w:snapToGrid w:val="0"/>
        <w:ind w:firstLine="480" w:firstLineChars="200"/>
        <w:rPr>
          <w:rFonts w:hint="eastAsia"/>
          <w:color w:val="000000"/>
          <w:sz w:val="24"/>
          <w:szCs w:val="20"/>
        </w:rPr>
      </w:pPr>
      <w:r>
        <w:rPr>
          <w:rFonts w:hint="eastAsia"/>
          <w:color w:val="000000"/>
          <w:sz w:val="24"/>
          <w:szCs w:val="20"/>
        </w:rPr>
        <w:t>5.请申请人按要求填写，该信息采集表不作为实质性格式和内容进行评审使用。</w:t>
      </w:r>
    </w:p>
    <w:p>
      <w:pPr>
        <w:adjustRightInd w:val="0"/>
        <w:snapToGrid w:val="0"/>
        <w:spacing w:before="240" w:beforeLines="100" w:after="240" w:afterLines="100"/>
        <w:jc w:val="left"/>
        <w:rPr>
          <w:b/>
          <w:i/>
          <w:color w:val="FF0000"/>
          <w:sz w:val="24"/>
        </w:rPr>
      </w:pPr>
    </w:p>
    <w:p>
      <w:pPr>
        <w:adjustRightInd w:val="0"/>
        <w:snapToGrid w:val="0"/>
        <w:spacing w:before="240" w:beforeLines="100" w:after="240" w:afterLines="100"/>
        <w:jc w:val="left"/>
        <w:rPr>
          <w:rFonts w:hint="eastAsia"/>
          <w:b/>
          <w:i/>
          <w:color w:val="FF0000"/>
          <w:sz w:val="24"/>
        </w:rPr>
        <w:sectPr>
          <w:pgSz w:w="11907" w:h="16840"/>
          <w:pgMar w:top="1418" w:right="1134" w:bottom="1418" w:left="1701" w:header="851" w:footer="851" w:gutter="0"/>
          <w:cols w:space="720" w:num="1"/>
          <w:docGrid w:linePitch="462" w:charSpace="0"/>
        </w:sectPr>
      </w:pPr>
    </w:p>
    <w:p>
      <w:pPr>
        <w:widowControl/>
        <w:jc w:val="left"/>
        <w:rPr>
          <w:color w:val="000000"/>
          <w:sz w:val="24"/>
          <w:szCs w:val="20"/>
        </w:rPr>
      </w:pPr>
      <w:r>
        <w:rPr>
          <w:rFonts w:hint="eastAsia"/>
          <w:color w:val="000000"/>
          <w:sz w:val="24"/>
          <w:szCs w:val="20"/>
        </w:rPr>
        <w:t>9</w:t>
      </w:r>
      <w:r>
        <w:rPr>
          <w:color w:val="000000"/>
          <w:sz w:val="24"/>
          <w:szCs w:val="20"/>
        </w:rPr>
        <w:t>-</w:t>
      </w:r>
      <w:r>
        <w:rPr>
          <w:rFonts w:hint="eastAsia"/>
          <w:color w:val="000000"/>
          <w:sz w:val="24"/>
          <w:szCs w:val="20"/>
        </w:rPr>
        <w:t>3</w:t>
      </w:r>
      <w:r>
        <w:rPr>
          <w:color w:val="000000"/>
          <w:sz w:val="24"/>
          <w:szCs w:val="20"/>
        </w:rPr>
        <w:t>操作系统、CPU信息采集表（计算机、服务器采购项目需填写）</w:t>
      </w:r>
    </w:p>
    <w:tbl>
      <w:tblPr>
        <w:tblStyle w:val="42"/>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1464"/>
        <w:gridCol w:w="1464"/>
        <w:gridCol w:w="2363"/>
        <w:gridCol w:w="2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9288" w:type="dxa"/>
            <w:gridSpan w:val="5"/>
            <w:noWrap w:val="0"/>
            <w:vAlign w:val="center"/>
          </w:tcPr>
          <w:p>
            <w:pPr>
              <w:jc w:val="center"/>
              <w:rPr>
                <w:rFonts w:hint="eastAsia"/>
                <w:b/>
                <w:bCs/>
                <w:sz w:val="24"/>
              </w:rPr>
            </w:pPr>
            <w:r>
              <w:rPr>
                <w:rFonts w:hint="eastAsia"/>
                <w:b/>
                <w:bCs/>
                <w:sz w:val="24"/>
              </w:rPr>
              <w:t>计算机信息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1463" w:type="dxa"/>
            <w:noWrap w:val="0"/>
            <w:vAlign w:val="center"/>
          </w:tcPr>
          <w:p>
            <w:pPr>
              <w:jc w:val="center"/>
              <w:rPr>
                <w:b/>
                <w:bCs/>
                <w:sz w:val="24"/>
              </w:rPr>
            </w:pPr>
            <w:r>
              <w:rPr>
                <w:rFonts w:hint="eastAsia"/>
                <w:b/>
                <w:bCs/>
                <w:sz w:val="24"/>
              </w:rPr>
              <w:t>商品名称</w:t>
            </w:r>
          </w:p>
        </w:tc>
        <w:tc>
          <w:tcPr>
            <w:tcW w:w="1464" w:type="dxa"/>
            <w:noWrap w:val="0"/>
            <w:vAlign w:val="center"/>
          </w:tcPr>
          <w:p>
            <w:pPr>
              <w:jc w:val="center"/>
              <w:rPr>
                <w:rFonts w:hint="eastAsia"/>
                <w:b/>
                <w:bCs/>
                <w:sz w:val="24"/>
              </w:rPr>
            </w:pPr>
            <w:r>
              <w:rPr>
                <w:rFonts w:hint="eastAsia"/>
                <w:b/>
                <w:bCs/>
                <w:sz w:val="24"/>
              </w:rPr>
              <w:t>商品品牌</w:t>
            </w:r>
          </w:p>
        </w:tc>
        <w:tc>
          <w:tcPr>
            <w:tcW w:w="1464" w:type="dxa"/>
            <w:noWrap w:val="0"/>
            <w:vAlign w:val="center"/>
          </w:tcPr>
          <w:p>
            <w:pPr>
              <w:jc w:val="center"/>
              <w:rPr>
                <w:b/>
                <w:bCs/>
                <w:sz w:val="24"/>
              </w:rPr>
            </w:pPr>
            <w:r>
              <w:rPr>
                <w:rFonts w:hint="eastAsia"/>
                <w:b/>
                <w:bCs/>
                <w:sz w:val="24"/>
              </w:rPr>
              <w:t>商品型号</w:t>
            </w:r>
          </w:p>
        </w:tc>
        <w:tc>
          <w:tcPr>
            <w:tcW w:w="2363" w:type="dxa"/>
            <w:noWrap w:val="0"/>
            <w:vAlign w:val="center"/>
          </w:tcPr>
          <w:p>
            <w:pPr>
              <w:jc w:val="center"/>
              <w:rPr>
                <w:rFonts w:hint="eastAsia"/>
                <w:b/>
                <w:bCs/>
                <w:sz w:val="24"/>
              </w:rPr>
            </w:pPr>
            <w:r>
              <w:rPr>
                <w:rFonts w:hint="eastAsia"/>
                <w:b/>
                <w:bCs/>
                <w:sz w:val="24"/>
              </w:rPr>
              <w:t>计算机操作系统</w:t>
            </w:r>
          </w:p>
        </w:tc>
        <w:tc>
          <w:tcPr>
            <w:tcW w:w="2534" w:type="dxa"/>
            <w:noWrap w:val="0"/>
            <w:vAlign w:val="center"/>
          </w:tcPr>
          <w:p>
            <w:pPr>
              <w:jc w:val="center"/>
              <w:rPr>
                <w:rFonts w:hint="eastAsia"/>
                <w:b/>
                <w:bCs/>
                <w:sz w:val="24"/>
              </w:rPr>
            </w:pPr>
            <w:r>
              <w:rPr>
                <w:rFonts w:hint="eastAsia"/>
                <w:b/>
                <w:bCs/>
                <w:sz w:val="24"/>
              </w:rPr>
              <w:t>计算机CPU型号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1463" w:type="dxa"/>
            <w:noWrap w:val="0"/>
            <w:vAlign w:val="center"/>
          </w:tcPr>
          <w:p>
            <w:pPr>
              <w:jc w:val="center"/>
              <w:rPr>
                <w:sz w:val="24"/>
              </w:rPr>
            </w:pPr>
          </w:p>
        </w:tc>
        <w:tc>
          <w:tcPr>
            <w:tcW w:w="1464" w:type="dxa"/>
            <w:noWrap w:val="0"/>
            <w:vAlign w:val="center"/>
          </w:tcPr>
          <w:p>
            <w:pPr>
              <w:jc w:val="center"/>
              <w:rPr>
                <w:sz w:val="24"/>
              </w:rPr>
            </w:pPr>
          </w:p>
        </w:tc>
        <w:tc>
          <w:tcPr>
            <w:tcW w:w="1464" w:type="dxa"/>
            <w:noWrap w:val="0"/>
            <w:vAlign w:val="center"/>
          </w:tcPr>
          <w:p>
            <w:pPr>
              <w:jc w:val="center"/>
              <w:rPr>
                <w:sz w:val="24"/>
              </w:rPr>
            </w:pPr>
          </w:p>
        </w:tc>
        <w:tc>
          <w:tcPr>
            <w:tcW w:w="2363" w:type="dxa"/>
            <w:noWrap w:val="0"/>
            <w:vAlign w:val="center"/>
          </w:tcPr>
          <w:p>
            <w:pPr>
              <w:jc w:val="center"/>
              <w:rPr>
                <w:sz w:val="24"/>
              </w:rPr>
            </w:pPr>
          </w:p>
        </w:tc>
        <w:tc>
          <w:tcPr>
            <w:tcW w:w="2534"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1463" w:type="dxa"/>
            <w:noWrap w:val="0"/>
            <w:vAlign w:val="center"/>
          </w:tcPr>
          <w:p>
            <w:pPr>
              <w:jc w:val="center"/>
              <w:rPr>
                <w:sz w:val="24"/>
              </w:rPr>
            </w:pPr>
          </w:p>
        </w:tc>
        <w:tc>
          <w:tcPr>
            <w:tcW w:w="1464" w:type="dxa"/>
            <w:noWrap w:val="0"/>
            <w:vAlign w:val="center"/>
          </w:tcPr>
          <w:p>
            <w:pPr>
              <w:jc w:val="center"/>
              <w:rPr>
                <w:sz w:val="24"/>
              </w:rPr>
            </w:pPr>
          </w:p>
        </w:tc>
        <w:tc>
          <w:tcPr>
            <w:tcW w:w="1464" w:type="dxa"/>
            <w:noWrap w:val="0"/>
            <w:vAlign w:val="center"/>
          </w:tcPr>
          <w:p>
            <w:pPr>
              <w:jc w:val="center"/>
              <w:rPr>
                <w:sz w:val="24"/>
              </w:rPr>
            </w:pPr>
          </w:p>
        </w:tc>
        <w:tc>
          <w:tcPr>
            <w:tcW w:w="2363" w:type="dxa"/>
            <w:noWrap w:val="0"/>
            <w:vAlign w:val="center"/>
          </w:tcPr>
          <w:p>
            <w:pPr>
              <w:jc w:val="center"/>
              <w:rPr>
                <w:sz w:val="24"/>
              </w:rPr>
            </w:pPr>
          </w:p>
        </w:tc>
        <w:tc>
          <w:tcPr>
            <w:tcW w:w="2534" w:type="dxa"/>
            <w:noWrap w:val="0"/>
            <w:vAlign w:val="center"/>
          </w:tcPr>
          <w:p>
            <w:pPr>
              <w:jc w:val="center"/>
              <w:rPr>
                <w:sz w:val="24"/>
              </w:rPr>
            </w:pPr>
          </w:p>
        </w:tc>
      </w:tr>
      <w:tr>
        <w:tblPrEx>
          <w:tblLayout w:type="fixed"/>
          <w:tblCellMar>
            <w:top w:w="0" w:type="dxa"/>
            <w:left w:w="108" w:type="dxa"/>
            <w:bottom w:w="0" w:type="dxa"/>
            <w:right w:w="108" w:type="dxa"/>
          </w:tblCellMar>
        </w:tblPrEx>
        <w:trPr>
          <w:trHeight w:val="533" w:hRule="exact"/>
        </w:trPr>
        <w:tc>
          <w:tcPr>
            <w:tcW w:w="1463" w:type="dxa"/>
            <w:noWrap w:val="0"/>
            <w:vAlign w:val="center"/>
          </w:tcPr>
          <w:p>
            <w:pPr>
              <w:jc w:val="center"/>
              <w:rPr>
                <w:sz w:val="24"/>
              </w:rPr>
            </w:pPr>
          </w:p>
        </w:tc>
        <w:tc>
          <w:tcPr>
            <w:tcW w:w="1464" w:type="dxa"/>
            <w:noWrap w:val="0"/>
            <w:vAlign w:val="center"/>
          </w:tcPr>
          <w:p>
            <w:pPr>
              <w:jc w:val="center"/>
              <w:rPr>
                <w:sz w:val="24"/>
              </w:rPr>
            </w:pPr>
          </w:p>
        </w:tc>
        <w:tc>
          <w:tcPr>
            <w:tcW w:w="1464" w:type="dxa"/>
            <w:noWrap w:val="0"/>
            <w:vAlign w:val="center"/>
          </w:tcPr>
          <w:p>
            <w:pPr>
              <w:jc w:val="center"/>
              <w:rPr>
                <w:sz w:val="24"/>
              </w:rPr>
            </w:pPr>
          </w:p>
        </w:tc>
        <w:tc>
          <w:tcPr>
            <w:tcW w:w="2363" w:type="dxa"/>
            <w:noWrap w:val="0"/>
            <w:vAlign w:val="center"/>
          </w:tcPr>
          <w:p>
            <w:pPr>
              <w:jc w:val="center"/>
              <w:rPr>
                <w:sz w:val="24"/>
              </w:rPr>
            </w:pPr>
          </w:p>
        </w:tc>
        <w:tc>
          <w:tcPr>
            <w:tcW w:w="2534" w:type="dxa"/>
            <w:noWrap w:val="0"/>
            <w:vAlign w:val="center"/>
          </w:tcPr>
          <w:p>
            <w:pPr>
              <w:jc w:val="center"/>
              <w:rPr>
                <w:sz w:val="24"/>
              </w:rPr>
            </w:pPr>
          </w:p>
        </w:tc>
      </w:tr>
      <w:tr>
        <w:tblPrEx>
          <w:tblLayout w:type="fixed"/>
          <w:tblCellMar>
            <w:top w:w="0" w:type="dxa"/>
            <w:left w:w="108" w:type="dxa"/>
            <w:bottom w:w="0" w:type="dxa"/>
            <w:right w:w="108" w:type="dxa"/>
          </w:tblCellMar>
        </w:tblPrEx>
        <w:trPr>
          <w:trHeight w:val="533" w:hRule="exact"/>
        </w:trPr>
        <w:tc>
          <w:tcPr>
            <w:tcW w:w="9288" w:type="dxa"/>
            <w:gridSpan w:val="5"/>
            <w:noWrap w:val="0"/>
            <w:vAlign w:val="center"/>
          </w:tcPr>
          <w:p>
            <w:pPr>
              <w:jc w:val="center"/>
              <w:rPr>
                <w:rFonts w:hint="eastAsia"/>
                <w:b/>
                <w:bCs/>
                <w:sz w:val="24"/>
              </w:rPr>
            </w:pPr>
            <w:r>
              <w:rPr>
                <w:rFonts w:hint="eastAsia"/>
                <w:b/>
                <w:bCs/>
                <w:sz w:val="24"/>
              </w:rPr>
              <w:t>服务器信息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1463" w:type="dxa"/>
            <w:noWrap w:val="0"/>
            <w:vAlign w:val="center"/>
          </w:tcPr>
          <w:p>
            <w:pPr>
              <w:jc w:val="center"/>
              <w:rPr>
                <w:sz w:val="24"/>
              </w:rPr>
            </w:pPr>
            <w:r>
              <w:rPr>
                <w:rFonts w:hint="eastAsia"/>
                <w:b/>
                <w:bCs/>
                <w:sz w:val="24"/>
              </w:rPr>
              <w:t>商品名称</w:t>
            </w:r>
          </w:p>
        </w:tc>
        <w:tc>
          <w:tcPr>
            <w:tcW w:w="1464" w:type="dxa"/>
            <w:noWrap w:val="0"/>
            <w:vAlign w:val="center"/>
          </w:tcPr>
          <w:p>
            <w:pPr>
              <w:jc w:val="center"/>
              <w:rPr>
                <w:rFonts w:hint="eastAsia"/>
                <w:b/>
                <w:bCs/>
                <w:sz w:val="24"/>
              </w:rPr>
            </w:pPr>
            <w:r>
              <w:rPr>
                <w:rFonts w:hint="eastAsia"/>
                <w:b/>
                <w:bCs/>
                <w:sz w:val="24"/>
              </w:rPr>
              <w:t>商品品牌</w:t>
            </w:r>
          </w:p>
        </w:tc>
        <w:tc>
          <w:tcPr>
            <w:tcW w:w="1464" w:type="dxa"/>
            <w:noWrap w:val="0"/>
            <w:vAlign w:val="center"/>
          </w:tcPr>
          <w:p>
            <w:pPr>
              <w:jc w:val="center"/>
              <w:rPr>
                <w:rFonts w:hint="eastAsia"/>
                <w:b/>
                <w:bCs/>
                <w:sz w:val="24"/>
              </w:rPr>
            </w:pPr>
            <w:r>
              <w:rPr>
                <w:rFonts w:hint="eastAsia"/>
                <w:b/>
                <w:bCs/>
                <w:sz w:val="24"/>
              </w:rPr>
              <w:t>商品型号</w:t>
            </w:r>
          </w:p>
        </w:tc>
        <w:tc>
          <w:tcPr>
            <w:tcW w:w="2363" w:type="dxa"/>
            <w:noWrap w:val="0"/>
            <w:vAlign w:val="center"/>
          </w:tcPr>
          <w:p>
            <w:pPr>
              <w:jc w:val="center"/>
              <w:rPr>
                <w:sz w:val="24"/>
              </w:rPr>
            </w:pPr>
            <w:r>
              <w:rPr>
                <w:rFonts w:hint="eastAsia"/>
                <w:b/>
                <w:bCs/>
                <w:sz w:val="24"/>
              </w:rPr>
              <w:t>服务器操作系统</w:t>
            </w:r>
          </w:p>
        </w:tc>
        <w:tc>
          <w:tcPr>
            <w:tcW w:w="2534" w:type="dxa"/>
            <w:noWrap w:val="0"/>
            <w:vAlign w:val="center"/>
          </w:tcPr>
          <w:p>
            <w:pPr>
              <w:jc w:val="center"/>
              <w:rPr>
                <w:sz w:val="24"/>
              </w:rPr>
            </w:pPr>
            <w:r>
              <w:rPr>
                <w:rFonts w:hint="eastAsia"/>
                <w:b/>
                <w:bCs/>
                <w:sz w:val="24"/>
              </w:rPr>
              <w:t>服务器CPU型号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1463" w:type="dxa"/>
            <w:noWrap w:val="0"/>
            <w:vAlign w:val="center"/>
          </w:tcPr>
          <w:p>
            <w:pPr>
              <w:rPr>
                <w:sz w:val="24"/>
              </w:rPr>
            </w:pPr>
          </w:p>
        </w:tc>
        <w:tc>
          <w:tcPr>
            <w:tcW w:w="1464" w:type="dxa"/>
            <w:noWrap w:val="0"/>
            <w:vAlign w:val="center"/>
          </w:tcPr>
          <w:p>
            <w:pPr>
              <w:rPr>
                <w:sz w:val="24"/>
              </w:rPr>
            </w:pPr>
          </w:p>
        </w:tc>
        <w:tc>
          <w:tcPr>
            <w:tcW w:w="1464" w:type="dxa"/>
            <w:noWrap w:val="0"/>
            <w:vAlign w:val="center"/>
          </w:tcPr>
          <w:p>
            <w:pPr>
              <w:rPr>
                <w:sz w:val="24"/>
              </w:rPr>
            </w:pPr>
          </w:p>
        </w:tc>
        <w:tc>
          <w:tcPr>
            <w:tcW w:w="2363" w:type="dxa"/>
            <w:noWrap w:val="0"/>
            <w:vAlign w:val="center"/>
          </w:tcPr>
          <w:p>
            <w:pPr>
              <w:rPr>
                <w:sz w:val="24"/>
              </w:rPr>
            </w:pPr>
          </w:p>
        </w:tc>
        <w:tc>
          <w:tcPr>
            <w:tcW w:w="2534" w:type="dxa"/>
            <w:noWrap w:val="0"/>
            <w:vAlign w:val="center"/>
          </w:tcPr>
          <w:p>
            <w:pPr>
              <w:rPr>
                <w:sz w:val="24"/>
              </w:rPr>
            </w:pPr>
          </w:p>
        </w:tc>
      </w:tr>
      <w:tr>
        <w:tblPrEx>
          <w:tblLayout w:type="fixed"/>
          <w:tblCellMar>
            <w:top w:w="0" w:type="dxa"/>
            <w:left w:w="108" w:type="dxa"/>
            <w:bottom w:w="0" w:type="dxa"/>
            <w:right w:w="108" w:type="dxa"/>
          </w:tblCellMar>
        </w:tblPrEx>
        <w:trPr>
          <w:trHeight w:val="533" w:hRule="exact"/>
        </w:trPr>
        <w:tc>
          <w:tcPr>
            <w:tcW w:w="1463" w:type="dxa"/>
            <w:noWrap w:val="0"/>
            <w:vAlign w:val="center"/>
          </w:tcPr>
          <w:p>
            <w:pPr>
              <w:rPr>
                <w:sz w:val="24"/>
              </w:rPr>
            </w:pPr>
          </w:p>
        </w:tc>
        <w:tc>
          <w:tcPr>
            <w:tcW w:w="1464" w:type="dxa"/>
            <w:noWrap w:val="0"/>
            <w:vAlign w:val="center"/>
          </w:tcPr>
          <w:p>
            <w:pPr>
              <w:rPr>
                <w:sz w:val="24"/>
              </w:rPr>
            </w:pPr>
          </w:p>
        </w:tc>
        <w:tc>
          <w:tcPr>
            <w:tcW w:w="1464" w:type="dxa"/>
            <w:noWrap w:val="0"/>
            <w:vAlign w:val="center"/>
          </w:tcPr>
          <w:p>
            <w:pPr>
              <w:rPr>
                <w:sz w:val="24"/>
              </w:rPr>
            </w:pPr>
          </w:p>
        </w:tc>
        <w:tc>
          <w:tcPr>
            <w:tcW w:w="2363" w:type="dxa"/>
            <w:noWrap w:val="0"/>
            <w:vAlign w:val="center"/>
          </w:tcPr>
          <w:p>
            <w:pPr>
              <w:rPr>
                <w:sz w:val="24"/>
              </w:rPr>
            </w:pPr>
          </w:p>
        </w:tc>
        <w:tc>
          <w:tcPr>
            <w:tcW w:w="2534" w:type="dxa"/>
            <w:noWrap w:val="0"/>
            <w:vAlign w:val="center"/>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trPr>
        <w:tc>
          <w:tcPr>
            <w:tcW w:w="1463" w:type="dxa"/>
            <w:noWrap w:val="0"/>
            <w:vAlign w:val="center"/>
          </w:tcPr>
          <w:p>
            <w:pPr>
              <w:rPr>
                <w:sz w:val="24"/>
              </w:rPr>
            </w:pPr>
          </w:p>
        </w:tc>
        <w:tc>
          <w:tcPr>
            <w:tcW w:w="1464" w:type="dxa"/>
            <w:noWrap w:val="0"/>
            <w:vAlign w:val="center"/>
          </w:tcPr>
          <w:p>
            <w:pPr>
              <w:rPr>
                <w:sz w:val="24"/>
              </w:rPr>
            </w:pPr>
          </w:p>
        </w:tc>
        <w:tc>
          <w:tcPr>
            <w:tcW w:w="1464" w:type="dxa"/>
            <w:noWrap w:val="0"/>
            <w:vAlign w:val="center"/>
          </w:tcPr>
          <w:p>
            <w:pPr>
              <w:rPr>
                <w:sz w:val="24"/>
              </w:rPr>
            </w:pPr>
          </w:p>
        </w:tc>
        <w:tc>
          <w:tcPr>
            <w:tcW w:w="2363" w:type="dxa"/>
            <w:noWrap w:val="0"/>
            <w:vAlign w:val="center"/>
          </w:tcPr>
          <w:p>
            <w:pPr>
              <w:rPr>
                <w:sz w:val="24"/>
              </w:rPr>
            </w:pPr>
          </w:p>
        </w:tc>
        <w:tc>
          <w:tcPr>
            <w:tcW w:w="2534" w:type="dxa"/>
            <w:noWrap w:val="0"/>
            <w:vAlign w:val="center"/>
          </w:tcPr>
          <w:p>
            <w:pPr>
              <w:rPr>
                <w:sz w:val="24"/>
              </w:rPr>
            </w:pPr>
          </w:p>
        </w:tc>
      </w:tr>
    </w:tbl>
    <w:p>
      <w:pPr>
        <w:widowControl/>
        <w:tabs>
          <w:tab w:val="left" w:pos="1800"/>
          <w:tab w:val="left" w:pos="5580"/>
        </w:tabs>
        <w:jc w:val="left"/>
        <w:rPr>
          <w:rFonts w:hint="eastAsia"/>
          <w:color w:val="000000"/>
          <w:sz w:val="24"/>
          <w:szCs w:val="20"/>
        </w:rPr>
      </w:pPr>
      <w:r>
        <w:rPr>
          <w:color w:val="000000"/>
          <w:sz w:val="24"/>
        </w:rPr>
        <w:t>注：请</w:t>
      </w:r>
      <w:r>
        <w:rPr>
          <w:rFonts w:hint="eastAsia"/>
          <w:color w:val="000000"/>
          <w:sz w:val="24"/>
        </w:rPr>
        <w:t>申请人</w:t>
      </w:r>
      <w:r>
        <w:rPr>
          <w:color w:val="000000"/>
          <w:sz w:val="24"/>
        </w:rPr>
        <w:t>按要求填写，该信息采集表不作为实质性格式</w:t>
      </w:r>
      <w:r>
        <w:rPr>
          <w:rFonts w:hint="eastAsia"/>
          <w:color w:val="000000"/>
          <w:sz w:val="24"/>
        </w:rPr>
        <w:t>和内容</w:t>
      </w:r>
      <w:r>
        <w:rPr>
          <w:color w:val="000000"/>
          <w:sz w:val="24"/>
        </w:rPr>
        <w:t>进行评审使用。</w:t>
      </w:r>
    </w:p>
    <w:p>
      <w:pPr>
        <w:widowControl/>
        <w:jc w:val="left"/>
        <w:rPr>
          <w:b/>
          <w:sz w:val="36"/>
          <w:szCs w:val="36"/>
        </w:rPr>
      </w:pPr>
      <w:r>
        <w:rPr>
          <w:b/>
          <w:sz w:val="36"/>
          <w:szCs w:val="36"/>
        </w:rPr>
        <w:br w:type="page"/>
      </w:r>
    </w:p>
    <w:p>
      <w:pPr>
        <w:tabs>
          <w:tab w:val="left" w:pos="360"/>
        </w:tabs>
        <w:snapToGrid w:val="0"/>
        <w:spacing w:line="360" w:lineRule="auto"/>
        <w:outlineLvl w:val="1"/>
        <w:rPr>
          <w:rFonts w:hint="eastAsia"/>
          <w:sz w:val="24"/>
        </w:rPr>
      </w:pPr>
      <w:r>
        <w:rPr>
          <w:rFonts w:hint="eastAsia"/>
          <w:sz w:val="24"/>
        </w:rPr>
        <w:t>10</w:t>
      </w:r>
      <w:r>
        <w:rPr>
          <w:sz w:val="24"/>
        </w:rPr>
        <w:t xml:space="preserve">  </w:t>
      </w:r>
      <w:r>
        <w:rPr>
          <w:rFonts w:hint="eastAsia"/>
          <w:sz w:val="24"/>
        </w:rPr>
        <w:t>最后报价及投标最后报价表（磋商后提交）</w:t>
      </w:r>
    </w:p>
    <w:p>
      <w:pPr>
        <w:widowControl/>
        <w:tabs>
          <w:tab w:val="left" w:pos="360"/>
        </w:tabs>
        <w:ind w:firstLine="480" w:firstLineChars="200"/>
        <w:jc w:val="left"/>
        <w:rPr>
          <w:rFonts w:hint="eastAsia"/>
          <w:color w:val="000000"/>
          <w:sz w:val="24"/>
        </w:rPr>
      </w:pPr>
      <w:r>
        <w:rPr>
          <w:rFonts w:hint="eastAsia"/>
          <w:color w:val="000000"/>
          <w:sz w:val="24"/>
        </w:rPr>
        <w:t>磋商结束后，</w:t>
      </w:r>
      <w:r>
        <w:rPr>
          <w:color w:val="000000"/>
          <w:sz w:val="24"/>
        </w:rPr>
        <w:t>按照</w:t>
      </w:r>
      <w:r>
        <w:rPr>
          <w:rFonts w:hint="eastAsia"/>
          <w:color w:val="000000"/>
          <w:sz w:val="24"/>
          <w:lang w:bidi="ar"/>
        </w:rPr>
        <w:t>北京市公共资源交易中心政府采购全流程电子化招投标系统</w:t>
      </w:r>
      <w:r>
        <w:rPr>
          <w:rFonts w:hint="eastAsia"/>
          <w:color w:val="000000"/>
          <w:sz w:val="24"/>
        </w:rPr>
        <w:t>要求填写最后报价后</w:t>
      </w:r>
      <w:r>
        <w:rPr>
          <w:color w:val="000000"/>
          <w:sz w:val="24"/>
        </w:rPr>
        <w:t>制作</w:t>
      </w:r>
      <w:r>
        <w:rPr>
          <w:rFonts w:hint="eastAsia"/>
          <w:color w:val="000000"/>
          <w:sz w:val="24"/>
        </w:rPr>
        <w:t>、</w:t>
      </w:r>
      <w:r>
        <w:rPr>
          <w:color w:val="000000"/>
          <w:sz w:val="24"/>
        </w:rPr>
        <w:t>生成</w:t>
      </w:r>
      <w:r>
        <w:rPr>
          <w:rFonts w:hint="eastAsia"/>
          <w:color w:val="000000"/>
          <w:sz w:val="24"/>
        </w:rPr>
        <w:t>并上传</w:t>
      </w:r>
      <w:r>
        <w:rPr>
          <w:color w:val="000000"/>
          <w:sz w:val="24"/>
        </w:rPr>
        <w:t>，加盖</w:t>
      </w:r>
      <w:r>
        <w:rPr>
          <w:rFonts w:hint="eastAsia"/>
          <w:color w:val="000000"/>
          <w:sz w:val="24"/>
        </w:rPr>
        <w:t>供应商</w:t>
      </w:r>
      <w:r>
        <w:rPr>
          <w:color w:val="000000"/>
          <w:sz w:val="24"/>
        </w:rPr>
        <w:t>电子签章</w:t>
      </w:r>
      <w:r>
        <w:rPr>
          <w:rFonts w:hint="eastAsia"/>
          <w:color w:val="000000"/>
          <w:sz w:val="24"/>
        </w:rPr>
        <w:t>。</w:t>
      </w:r>
    </w:p>
    <w:p>
      <w:pPr>
        <w:widowControl/>
        <w:jc w:val="left"/>
        <w:rPr>
          <w:color w:val="000000"/>
          <w:sz w:val="24"/>
          <w:szCs w:val="20"/>
        </w:rPr>
      </w:pPr>
    </w:p>
    <w:p>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pPr>
        <w:widowControl/>
        <w:tabs>
          <w:tab w:val="left" w:pos="360"/>
        </w:tabs>
        <w:jc w:val="left"/>
        <w:rPr>
          <w:sz w:val="24"/>
        </w:rPr>
      </w:pPr>
      <w:r>
        <w:rPr>
          <w:sz w:val="24"/>
        </w:rPr>
        <w:t>1</w:t>
      </w:r>
      <w:r>
        <w:rPr>
          <w:rFonts w:hint="eastAsia"/>
          <w:sz w:val="24"/>
        </w:rPr>
        <w:t>1</w:t>
      </w:r>
      <w:r>
        <w:rPr>
          <w:sz w:val="24"/>
        </w:rPr>
        <w:t xml:space="preserve">  最后报价构成表（</w:t>
      </w:r>
      <w:r>
        <w:rPr>
          <w:rFonts w:hint="eastAsia"/>
          <w:sz w:val="24"/>
        </w:rPr>
        <w:t>如有，磋商后提交</w:t>
      </w:r>
      <w:r>
        <w:rPr>
          <w:sz w:val="24"/>
        </w:rPr>
        <w:t>）</w:t>
      </w:r>
    </w:p>
    <w:p>
      <w:pPr>
        <w:tabs>
          <w:tab w:val="left" w:pos="1800"/>
          <w:tab w:val="left" w:pos="5580"/>
        </w:tabs>
        <w:jc w:val="left"/>
        <w:rPr>
          <w:color w:val="000000"/>
          <w:sz w:val="24"/>
        </w:rPr>
      </w:pPr>
      <w:r>
        <w:rPr>
          <w:color w:val="000000"/>
          <w:sz w:val="24"/>
        </w:rPr>
        <w:t>1</w:t>
      </w:r>
      <w:r>
        <w:rPr>
          <w:rFonts w:hint="eastAsia"/>
          <w:color w:val="000000"/>
          <w:sz w:val="24"/>
        </w:rPr>
        <w:t>1</w:t>
      </w:r>
      <w:r>
        <w:rPr>
          <w:color w:val="000000"/>
          <w:sz w:val="24"/>
        </w:rPr>
        <w:t>-1 最</w:t>
      </w:r>
      <w:r>
        <w:rPr>
          <w:rFonts w:hint="eastAsia"/>
          <w:color w:val="000000"/>
          <w:sz w:val="24"/>
        </w:rPr>
        <w:t>后</w:t>
      </w:r>
      <w:r>
        <w:rPr>
          <w:color w:val="000000"/>
          <w:sz w:val="24"/>
        </w:rPr>
        <w:t>报价中分包情况说明</w:t>
      </w:r>
    </w:p>
    <w:tbl>
      <w:tblPr>
        <w:tblStyle w:val="42"/>
        <w:tblW w:w="8675"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分包承担主体名称</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pPr>
              <w:pStyle w:val="82"/>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pPr>
              <w:pStyle w:val="82"/>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1</w:t>
      </w:r>
      <w:r>
        <w:rPr>
          <w:rFonts w:hint="eastAsia"/>
          <w:color w:val="000000"/>
          <w:sz w:val="24"/>
        </w:rPr>
        <w:t>1</w:t>
      </w:r>
      <w:r>
        <w:rPr>
          <w:color w:val="000000"/>
          <w:sz w:val="24"/>
        </w:rPr>
        <w:t>-2 联合体最</w:t>
      </w:r>
      <w:r>
        <w:rPr>
          <w:rFonts w:hint="eastAsia"/>
          <w:color w:val="000000"/>
          <w:sz w:val="24"/>
        </w:rPr>
        <w:t>后</w:t>
      </w:r>
      <w:r>
        <w:rPr>
          <w:color w:val="000000"/>
          <w:sz w:val="24"/>
        </w:rPr>
        <w:t>报价情况说明</w:t>
      </w:r>
    </w:p>
    <w:tbl>
      <w:tblPr>
        <w:tblStyle w:val="42"/>
        <w:tblW w:w="8675"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pPr>
              <w:pStyle w:val="82"/>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合同金额</w:t>
            </w:r>
          </w:p>
          <w:p>
            <w:pPr>
              <w:pStyle w:val="82"/>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jc w:val="center"/>
              <w:rPr>
                <w:rFonts w:ascii="Times New Roman" w:hAnsi="Times New Roman" w:cs="Times New Roman"/>
                <w:sz w:val="24"/>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82"/>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pStyle w:val="82"/>
              <w:jc w:val="center"/>
              <w:rPr>
                <w:rFonts w:ascii="Times New Roman" w:hAnsi="Times New Roman" w:cs="Times New Roman"/>
                <w:sz w:val="30"/>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1.</w:t>
      </w:r>
      <w:r>
        <w:rPr>
          <w:rFonts w:hint="eastAsia"/>
          <w:sz w:val="24"/>
        </w:rPr>
        <w:t xml:space="preserve"> </w:t>
      </w:r>
      <w:bookmarkStart w:id="748" w:name="_Hlk176775226"/>
      <w:r>
        <w:rPr>
          <w:rFonts w:hint="eastAsia"/>
          <w:sz w:val="24"/>
        </w:rPr>
        <w:t>如供应商为联合体或拟进行合同分包，则必须选择一种表格填报，否则</w:t>
      </w:r>
      <w:r>
        <w:rPr>
          <w:rFonts w:hint="eastAsia"/>
          <w:b/>
          <w:bCs/>
          <w:sz w:val="24"/>
        </w:rPr>
        <w:t>响应无效</w:t>
      </w:r>
      <w:bookmarkEnd w:id="748"/>
      <w:r>
        <w:rPr>
          <w:rFonts w:hint="eastAsia"/>
          <w:color w:val="000000"/>
          <w:sz w:val="24"/>
        </w:rPr>
        <w:t>。</w:t>
      </w:r>
    </w:p>
    <w:p>
      <w:pPr>
        <w:tabs>
          <w:tab w:val="left" w:pos="1800"/>
          <w:tab w:val="left" w:pos="5580"/>
        </w:tabs>
        <w:ind w:firstLine="480" w:firstLineChars="200"/>
        <w:jc w:val="left"/>
        <w:rPr>
          <w:color w:val="000000"/>
          <w:sz w:val="24"/>
        </w:rPr>
      </w:pPr>
      <w:r>
        <w:rPr>
          <w:color w:val="000000"/>
          <w:sz w:val="24"/>
        </w:rPr>
        <w:t>2.本表应按包分别填写。</w:t>
      </w:r>
    </w:p>
    <w:p>
      <w:pPr>
        <w:tabs>
          <w:tab w:val="left" w:pos="1800"/>
          <w:tab w:val="left" w:pos="5580"/>
        </w:tabs>
        <w:ind w:firstLine="480" w:firstLineChars="200"/>
        <w:jc w:val="left"/>
        <w:rPr>
          <w:sz w:val="24"/>
        </w:rPr>
      </w:pPr>
      <w:r>
        <w:rPr>
          <w:color w:val="000000"/>
          <w:sz w:val="24"/>
        </w:rPr>
        <w:t>3</w:t>
      </w:r>
      <w:r>
        <w:rPr>
          <w:sz w:val="24"/>
        </w:rPr>
        <w:t>.此表无需在响应文件中提交，磋商后供应商按磋商小组要求</w:t>
      </w:r>
      <w:r>
        <w:rPr>
          <w:rFonts w:hint="eastAsia"/>
          <w:sz w:val="24"/>
        </w:rPr>
        <w:t>，在北京市公共资源交易中心政府采购全流程电子化招投标系统中填报最后报价时以附件形式</w:t>
      </w:r>
      <w:r>
        <w:rPr>
          <w:sz w:val="24"/>
        </w:rPr>
        <w:t>提交。</w:t>
      </w:r>
    </w:p>
    <w:p>
      <w:pPr>
        <w:tabs>
          <w:tab w:val="left" w:pos="1800"/>
          <w:tab w:val="left" w:pos="5580"/>
        </w:tabs>
        <w:jc w:val="left"/>
        <w:rPr>
          <w:color w:val="000000"/>
          <w:sz w:val="24"/>
        </w:rPr>
      </w:pPr>
    </w:p>
    <w:p>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pPr>
        <w:autoSpaceDE w:val="0"/>
        <w:autoSpaceDN w:val="0"/>
        <w:adjustRightInd w:val="0"/>
        <w:snapToGrid w:val="0"/>
        <w:spacing w:before="25" w:after="25" w:line="360" w:lineRule="auto"/>
        <w:rPr>
          <w:color w:val="000000"/>
          <w:sz w:val="24"/>
        </w:rPr>
      </w:pPr>
      <w:r>
        <w:rPr>
          <w:color w:val="000000"/>
          <w:sz w:val="24"/>
          <w:szCs w:val="20"/>
        </w:rPr>
        <w:t xml:space="preserve">日期：____年____月____日   </w:t>
      </w:r>
    </w:p>
    <w:p>
      <w:pPr>
        <w:tabs>
          <w:tab w:val="left" w:pos="1800"/>
          <w:tab w:val="left" w:pos="5580"/>
        </w:tabs>
        <w:jc w:val="left"/>
        <w:rPr>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00"/>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44</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end"/>
    </w:r>
  </w:p>
  <w:p>
    <w:pPr>
      <w:pStyle w:val="28"/>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jc w:val="right"/>
    </w:pP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9E049F"/>
    <w:multiLevelType w:val="singleLevel"/>
    <w:tmpl w:val="A89E049F"/>
    <w:lvl w:ilvl="0" w:tentative="0">
      <w:start w:val="2"/>
      <w:numFmt w:val="decimal"/>
      <w:suff w:val="nothing"/>
      <w:lvlText w:val="%1．"/>
      <w:lvlJc w:val="left"/>
    </w:lvl>
  </w:abstractNum>
  <w:abstractNum w:abstractNumId="1">
    <w:nsid w:val="EEEFCB10"/>
    <w:multiLevelType w:val="singleLevel"/>
    <w:tmpl w:val="EEEFCB10"/>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1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95"/>
      <w:lvlText w:val="%1."/>
      <w:lvlJc w:val="left"/>
      <w:pPr>
        <w:tabs>
          <w:tab w:val="left" w:pos="360"/>
        </w:tabs>
        <w:ind w:left="360" w:hanging="360"/>
      </w:pPr>
      <w:rPr>
        <w:rFonts w:hint="default"/>
      </w:rPr>
    </w:lvl>
  </w:abstractNum>
  <w:abstractNum w:abstractNumId="6">
    <w:nsid w:val="00000014"/>
    <w:multiLevelType w:val="multilevel"/>
    <w:tmpl w:val="00000014"/>
    <w:lvl w:ilvl="0" w:tentative="0">
      <w:start w:val="1"/>
      <w:numFmt w:val="decimal"/>
      <w:pStyle w:val="15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6"/>
    <w:multiLevelType w:val="multilevel"/>
    <w:tmpl w:val="00000026"/>
    <w:lvl w:ilvl="0" w:tentative="0">
      <w:start w:val="1"/>
      <w:numFmt w:val="decimal"/>
      <w:pStyle w:val="8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8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7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5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9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107"/>
      <w:lvlText w:val="%1"/>
      <w:lvlJc w:val="left"/>
      <w:pPr>
        <w:ind w:left="680" w:hanging="680"/>
      </w:pPr>
      <w:rPr>
        <w:rFonts w:hint="eastAsia" w:ascii="宋体" w:hAnsi="宋体" w:eastAsia="宋体"/>
      </w:rPr>
    </w:lvl>
    <w:lvl w:ilvl="1" w:tentative="0">
      <w:start w:val="1"/>
      <w:numFmt w:val="decimal"/>
      <w:pStyle w:val="175"/>
      <w:lvlText w:val="%1.%2"/>
      <w:lvlJc w:val="left"/>
      <w:pPr>
        <w:ind w:left="851" w:hanging="851"/>
      </w:pPr>
      <w:rPr>
        <w:rFonts w:hint="eastAsia" w:ascii="宋体" w:hAnsi="宋体" w:eastAsia="宋体"/>
        <w:color w:val="auto"/>
      </w:rPr>
    </w:lvl>
    <w:lvl w:ilvl="2" w:tentative="0">
      <w:start w:val="1"/>
      <w:numFmt w:val="decimal"/>
      <w:pStyle w:val="6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FF767E1"/>
    <w:multiLevelType w:val="singleLevel"/>
    <w:tmpl w:val="2FF767E1"/>
    <w:lvl w:ilvl="0" w:tentative="0">
      <w:start w:val="2"/>
      <w:numFmt w:val="chineseCounting"/>
      <w:suff w:val="nothing"/>
      <w:lvlText w:val="%1、"/>
      <w:lvlJc w:val="left"/>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7706AB61"/>
    <w:multiLevelType w:val="singleLevel"/>
    <w:tmpl w:val="7706AB61"/>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7"/>
  </w:num>
  <w:num w:numId="3">
    <w:abstractNumId w:val="8"/>
  </w:num>
  <w:num w:numId="4">
    <w:abstractNumId w:val="5"/>
  </w:num>
  <w:num w:numId="5">
    <w:abstractNumId w:val="10"/>
  </w:num>
  <w:num w:numId="6">
    <w:abstractNumId w:val="3"/>
  </w:num>
  <w:num w:numId="7">
    <w:abstractNumId w:val="4"/>
  </w:num>
  <w:num w:numId="8">
    <w:abstractNumId w:val="6"/>
  </w:num>
  <w:num w:numId="9">
    <w:abstractNumId w:val="17"/>
  </w:num>
  <w:num w:numId="10">
    <w:abstractNumId w:val="9"/>
  </w:num>
  <w:num w:numId="11">
    <w:abstractNumId w:val="13"/>
  </w:num>
  <w:num w:numId="12">
    <w:abstractNumId w:val="2"/>
  </w:num>
  <w:num w:numId="13">
    <w:abstractNumId w:val="12"/>
  </w:num>
  <w:num w:numId="14">
    <w:abstractNumId w:val="14"/>
  </w:num>
  <w:num w:numId="15">
    <w:abstractNumId w:val="0"/>
  </w:num>
  <w:num w:numId="16">
    <w:abstractNumId w:val="1"/>
  </w:num>
  <w:num w:numId="17">
    <w:abstractNumId w:val="15"/>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陈">
    <w15:presenceInfo w15:providerId="None" w15:userId="赵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33"/>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4DE5"/>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56"/>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1E"/>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07B"/>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3F66"/>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89B"/>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9"/>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3C"/>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372"/>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19C3"/>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C02"/>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1F78"/>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16"/>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BF"/>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53"/>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3AC"/>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DB0"/>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97B"/>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AF"/>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53"/>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080"/>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2"/>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3A"/>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B2"/>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874"/>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CA9"/>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2A6"/>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B38"/>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8E0"/>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A"/>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B61744"/>
    <w:rsid w:val="04187D58"/>
    <w:rsid w:val="05DB36AB"/>
    <w:rsid w:val="062218DF"/>
    <w:rsid w:val="074326F7"/>
    <w:rsid w:val="07D1485D"/>
    <w:rsid w:val="0998178E"/>
    <w:rsid w:val="0A161AD4"/>
    <w:rsid w:val="0AC64BDE"/>
    <w:rsid w:val="0B660C1A"/>
    <w:rsid w:val="0BF008F5"/>
    <w:rsid w:val="0BFF45A3"/>
    <w:rsid w:val="0C006EB6"/>
    <w:rsid w:val="0CC421DC"/>
    <w:rsid w:val="105E0646"/>
    <w:rsid w:val="10A95253"/>
    <w:rsid w:val="10AB4DF1"/>
    <w:rsid w:val="111F780A"/>
    <w:rsid w:val="112E544D"/>
    <w:rsid w:val="11FE2538"/>
    <w:rsid w:val="13077BF5"/>
    <w:rsid w:val="135616F8"/>
    <w:rsid w:val="16B429E6"/>
    <w:rsid w:val="175A487A"/>
    <w:rsid w:val="17B401B3"/>
    <w:rsid w:val="17F93E0B"/>
    <w:rsid w:val="182757CA"/>
    <w:rsid w:val="18755102"/>
    <w:rsid w:val="19C257F2"/>
    <w:rsid w:val="1A7550B9"/>
    <w:rsid w:val="1B2D7109"/>
    <w:rsid w:val="1C455CA5"/>
    <w:rsid w:val="1D2C69D2"/>
    <w:rsid w:val="1D90433D"/>
    <w:rsid w:val="1E4A13D2"/>
    <w:rsid w:val="1ECD0178"/>
    <w:rsid w:val="1F1C4DC5"/>
    <w:rsid w:val="1F813A0D"/>
    <w:rsid w:val="20BF40C6"/>
    <w:rsid w:val="225050C3"/>
    <w:rsid w:val="239E00B4"/>
    <w:rsid w:val="23AF030B"/>
    <w:rsid w:val="247C299E"/>
    <w:rsid w:val="24E008BD"/>
    <w:rsid w:val="251E74A4"/>
    <w:rsid w:val="26286440"/>
    <w:rsid w:val="27843CE5"/>
    <w:rsid w:val="27D66568"/>
    <w:rsid w:val="280B5E9B"/>
    <w:rsid w:val="28642AA8"/>
    <w:rsid w:val="28A954A5"/>
    <w:rsid w:val="292D3B9F"/>
    <w:rsid w:val="294623B3"/>
    <w:rsid w:val="29FA346D"/>
    <w:rsid w:val="2CB4024D"/>
    <w:rsid w:val="2D752F81"/>
    <w:rsid w:val="2DF15D83"/>
    <w:rsid w:val="2ED646C7"/>
    <w:rsid w:val="2F5F3244"/>
    <w:rsid w:val="300F0AA9"/>
    <w:rsid w:val="30BA1E8B"/>
    <w:rsid w:val="31586882"/>
    <w:rsid w:val="32EB653A"/>
    <w:rsid w:val="337B10C3"/>
    <w:rsid w:val="33F64577"/>
    <w:rsid w:val="345804A5"/>
    <w:rsid w:val="361B69D4"/>
    <w:rsid w:val="37060F75"/>
    <w:rsid w:val="393D5301"/>
    <w:rsid w:val="3BB243C1"/>
    <w:rsid w:val="3BCB6780"/>
    <w:rsid w:val="3D751752"/>
    <w:rsid w:val="3DFCAB83"/>
    <w:rsid w:val="3F2BB4F5"/>
    <w:rsid w:val="3FB45515"/>
    <w:rsid w:val="40467A65"/>
    <w:rsid w:val="411D45F2"/>
    <w:rsid w:val="42CD0A98"/>
    <w:rsid w:val="42F246C4"/>
    <w:rsid w:val="431A0C09"/>
    <w:rsid w:val="44671965"/>
    <w:rsid w:val="44A608F3"/>
    <w:rsid w:val="458C0826"/>
    <w:rsid w:val="47BB359F"/>
    <w:rsid w:val="480E2158"/>
    <w:rsid w:val="492313AD"/>
    <w:rsid w:val="496C08D4"/>
    <w:rsid w:val="4A2E0DD7"/>
    <w:rsid w:val="4B65373A"/>
    <w:rsid w:val="4BAA20C4"/>
    <w:rsid w:val="4BFF7196"/>
    <w:rsid w:val="4CB30465"/>
    <w:rsid w:val="4D00163A"/>
    <w:rsid w:val="4DB57B5F"/>
    <w:rsid w:val="4E9C3BAC"/>
    <w:rsid w:val="4EB96403"/>
    <w:rsid w:val="4F0F5BE3"/>
    <w:rsid w:val="501E3EE6"/>
    <w:rsid w:val="503C6A16"/>
    <w:rsid w:val="504B619B"/>
    <w:rsid w:val="50A05D70"/>
    <w:rsid w:val="52422029"/>
    <w:rsid w:val="528D0988"/>
    <w:rsid w:val="52C33BAE"/>
    <w:rsid w:val="546C4921"/>
    <w:rsid w:val="55040901"/>
    <w:rsid w:val="56DF05DE"/>
    <w:rsid w:val="573470E3"/>
    <w:rsid w:val="579D240F"/>
    <w:rsid w:val="57FC6189"/>
    <w:rsid w:val="595E0345"/>
    <w:rsid w:val="5B7E19D8"/>
    <w:rsid w:val="5BE80E01"/>
    <w:rsid w:val="5BF52D71"/>
    <w:rsid w:val="5CFF0D7B"/>
    <w:rsid w:val="5D3F0143"/>
    <w:rsid w:val="5D9C58DF"/>
    <w:rsid w:val="5DE00EE8"/>
    <w:rsid w:val="5DE8771B"/>
    <w:rsid w:val="5ECA1CD8"/>
    <w:rsid w:val="5F073306"/>
    <w:rsid w:val="5F5F73B9"/>
    <w:rsid w:val="609D03DA"/>
    <w:rsid w:val="61ED37D5"/>
    <w:rsid w:val="62C03B65"/>
    <w:rsid w:val="63396B92"/>
    <w:rsid w:val="63B30B93"/>
    <w:rsid w:val="6486064A"/>
    <w:rsid w:val="654642CF"/>
    <w:rsid w:val="6571605D"/>
    <w:rsid w:val="66D5151E"/>
    <w:rsid w:val="66DA071A"/>
    <w:rsid w:val="6709010D"/>
    <w:rsid w:val="6838144E"/>
    <w:rsid w:val="68550D7D"/>
    <w:rsid w:val="685A618C"/>
    <w:rsid w:val="68AA7398"/>
    <w:rsid w:val="695C1DE4"/>
    <w:rsid w:val="69A26BFB"/>
    <w:rsid w:val="6B4B0CAC"/>
    <w:rsid w:val="6BBF72CB"/>
    <w:rsid w:val="6C6E360B"/>
    <w:rsid w:val="6E281771"/>
    <w:rsid w:val="6FE31AB0"/>
    <w:rsid w:val="6FFBB353"/>
    <w:rsid w:val="70232D36"/>
    <w:rsid w:val="706C415E"/>
    <w:rsid w:val="71417520"/>
    <w:rsid w:val="71E35C89"/>
    <w:rsid w:val="7258197D"/>
    <w:rsid w:val="72D338BD"/>
    <w:rsid w:val="72E33E3E"/>
    <w:rsid w:val="742C597A"/>
    <w:rsid w:val="747DEF57"/>
    <w:rsid w:val="75EF5E97"/>
    <w:rsid w:val="76E94264"/>
    <w:rsid w:val="76F748E3"/>
    <w:rsid w:val="79BF7FA7"/>
    <w:rsid w:val="79D51B05"/>
    <w:rsid w:val="7A1B1B3B"/>
    <w:rsid w:val="7A6578C3"/>
    <w:rsid w:val="7B630BF9"/>
    <w:rsid w:val="7C2E1F48"/>
    <w:rsid w:val="7DAB2F29"/>
    <w:rsid w:val="7E9263C6"/>
    <w:rsid w:val="7EDF1553"/>
    <w:rsid w:val="7F0F40ED"/>
    <w:rsid w:val="7F76560B"/>
    <w:rsid w:val="7FABDCFD"/>
    <w:rsid w:val="7FB5EE7E"/>
    <w:rsid w:val="7FBFF7DD"/>
    <w:rsid w:val="9F0BC59B"/>
    <w:rsid w:val="AFFF619A"/>
    <w:rsid w:val="DCDEFCFF"/>
    <w:rsid w:val="DFD739C2"/>
    <w:rsid w:val="EDD5AACF"/>
    <w:rsid w:val="EEC5F3E6"/>
    <w:rsid w:val="EEFF920E"/>
    <w:rsid w:val="FBFF5558"/>
    <w:rsid w:val="FFEF0D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22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9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20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0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0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88"/>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Style w:val="42"/>
      <w:tblLayout w:type="fixed"/>
      <w:tblCellMar>
        <w:top w:w="0" w:type="dxa"/>
        <w:left w:w="108" w:type="dxa"/>
        <w:bottom w:w="0" w:type="dxa"/>
        <w:right w:w="108" w:type="dxa"/>
      </w:tblCellMar>
    </w:tblPr>
  </w:style>
  <w:style w:type="paragraph" w:styleId="2">
    <w:name w:val="Normal Indent"/>
    <w:basedOn w:val="1"/>
    <w:link w:val="21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47"/>
    <w:qFormat/>
    <w:uiPriority w:val="0"/>
    <w:pPr>
      <w:shd w:val="clear" w:color="auto" w:fill="000080"/>
    </w:pPr>
  </w:style>
  <w:style w:type="paragraph" w:styleId="15">
    <w:name w:val="annotation text"/>
    <w:basedOn w:val="1"/>
    <w:link w:val="201"/>
    <w:qFormat/>
    <w:uiPriority w:val="99"/>
    <w:pPr>
      <w:jc w:val="left"/>
    </w:pPr>
  </w:style>
  <w:style w:type="paragraph" w:styleId="16">
    <w:name w:val="Body Text 3"/>
    <w:basedOn w:val="1"/>
    <w:link w:val="206"/>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231"/>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4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10"/>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34"/>
    <w:qFormat/>
    <w:uiPriority w:val="0"/>
    <w:rPr>
      <w:sz w:val="18"/>
      <w:szCs w:val="18"/>
    </w:rPr>
  </w:style>
  <w:style w:type="paragraph" w:styleId="28">
    <w:name w:val="footer"/>
    <w:basedOn w:val="1"/>
    <w:link w:val="20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18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3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1"/>
    <w:qFormat/>
    <w:uiPriority w:val="0"/>
    <w:pPr>
      <w:jc w:val="center"/>
      <w:outlineLvl w:val="0"/>
    </w:pPr>
    <w:rPr>
      <w:b/>
      <w:sz w:val="32"/>
      <w:szCs w:val="20"/>
    </w:rPr>
  </w:style>
  <w:style w:type="paragraph" w:styleId="40">
    <w:name w:val="annotation subject"/>
    <w:basedOn w:val="15"/>
    <w:next w:val="15"/>
    <w:link w:val="198"/>
    <w:qFormat/>
    <w:uiPriority w:val="0"/>
    <w:rPr>
      <w:b/>
      <w:bCs/>
    </w:rPr>
  </w:style>
  <w:style w:type="paragraph" w:styleId="41">
    <w:name w:val="Body Text First Indent 2"/>
    <w:basedOn w:val="18"/>
    <w:link w:val="207"/>
    <w:qFormat/>
    <w:uiPriority w:val="0"/>
    <w:pPr>
      <w:spacing w:after="120" w:line="480" w:lineRule="exact"/>
      <w:ind w:left="420" w:leftChars="200" w:firstLine="420" w:firstLineChars="200"/>
    </w:pPr>
    <w:rPr>
      <w:szCs w:val="20"/>
    </w:rPr>
  </w:style>
  <w:style w:type="table" w:styleId="43">
    <w:name w:val="Table Grid"/>
    <w:basedOn w:val="42"/>
    <w:qFormat/>
    <w:uiPriority w:val="39"/>
    <w:tblPr>
      <w:tblStyle w:val="4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44">
    <w:name w:val="Medium Grid 1 Accent 2"/>
    <w:basedOn w:val="42"/>
    <w:qFormat/>
    <w:uiPriority w:val="0"/>
    <w:rPr>
      <w:kern w:val="2"/>
      <w:sz w:val="21"/>
      <w:szCs w:val="24"/>
    </w:rPr>
    <w:tblPr>
      <w:tblStyle w:val="42"/>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Pr>
        <w:tblStyle w:val="42"/>
        <w:tblLayout w:type="fixed"/>
      </w:tblPr>
    </w:tblStylePr>
    <w:tblStylePr w:type="lastRow">
      <w:rPr>
        <w:b/>
        <w:bCs/>
      </w:rPr>
      <w:tblPr>
        <w:tblStyle w:val="42"/>
        <w:tblLayout w:type="fixed"/>
      </w:tblPr>
      <w:tcPr>
        <w:tcBorders>
          <w:top w:val="single" w:color="CF7B79" w:sz="18" w:space="0"/>
          <w:left w:val="nil"/>
          <w:bottom w:val="nil"/>
          <w:right w:val="nil"/>
          <w:insideH w:val="nil"/>
          <w:insideV w:val="nil"/>
          <w:tl2br w:val="nil"/>
          <w:tr2bl w:val="nil"/>
        </w:tcBorders>
      </w:tcPr>
    </w:tblStylePr>
    <w:tblStylePr w:type="firstCol">
      <w:rPr>
        <w:b/>
        <w:bCs/>
      </w:rPr>
      <w:tblPr>
        <w:tblStyle w:val="42"/>
        <w:tblLayout w:type="fixed"/>
      </w:tblPr>
    </w:tblStylePr>
    <w:tblStylePr w:type="lastCol">
      <w:rPr>
        <w:b/>
        <w:bCs/>
      </w:rPr>
      <w:tblPr>
        <w:tblStyle w:val="42"/>
        <w:tblLayout w:type="fixed"/>
      </w:tblPr>
    </w:tblStylePr>
    <w:tblStylePr w:type="band1Vert">
      <w:tblPr>
        <w:tblStyle w:val="42"/>
        <w:tblLayout w:type="fixed"/>
      </w:tblPr>
      <w:tcPr>
        <w:shd w:val="clear" w:color="auto" w:fill="DFA7A6"/>
      </w:tcPr>
    </w:tblStylePr>
    <w:tblStylePr w:type="band1Horz">
      <w:tblPr>
        <w:tblStyle w:val="42"/>
        <w:tblLayout w:type="fixed"/>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54">
    <w:name w:val="Char Char Char1 Char1"/>
    <w:basedOn w:val="1"/>
    <w:qFormat/>
    <w:uiPriority w:val="0"/>
    <w:rPr>
      <w:rFonts w:ascii="Tahoma" w:hAnsi="Tahoma"/>
      <w:sz w:val="24"/>
      <w:szCs w:val="20"/>
    </w:rPr>
  </w:style>
  <w:style w:type="paragraph" w:customStyle="1" w:styleId="55">
    <w:name w:val="修订1"/>
    <w:qFormat/>
    <w:uiPriority w:val="0"/>
    <w:rPr>
      <w:kern w:val="2"/>
      <w:sz w:val="21"/>
      <w:szCs w:val="24"/>
      <w:lang w:val="en-US" w:eastAsia="zh-CN" w:bidi="ar-SA"/>
    </w:rPr>
  </w:style>
  <w:style w:type="paragraph" w:customStyle="1" w:styleId="56">
    <w:name w:val="项目符号1"/>
    <w:basedOn w:val="57"/>
    <w:qFormat/>
    <w:uiPriority w:val="0"/>
    <w:pPr>
      <w:ind w:left="-25" w:firstLine="0"/>
    </w:pPr>
  </w:style>
  <w:style w:type="paragraph" w:customStyle="1" w:styleId="57">
    <w:name w:val="正文文本样式"/>
    <w:basedOn w:val="1"/>
    <w:qFormat/>
    <w:uiPriority w:val="0"/>
    <w:pPr>
      <w:spacing w:line="360" w:lineRule="auto"/>
      <w:ind w:firstLine="482"/>
    </w:pPr>
    <w:rPr>
      <w:rFonts w:cs="宋体"/>
      <w:sz w:val="24"/>
      <w:szCs w:val="20"/>
    </w:rPr>
  </w:style>
  <w:style w:type="paragraph" w:customStyle="1" w:styleId="5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59">
    <w:name w:val="Char Char1"/>
    <w:basedOn w:val="14"/>
    <w:qFormat/>
    <w:uiPriority w:val="0"/>
    <w:rPr>
      <w:rFonts w:ascii="Tahoma" w:hAnsi="Tahoma"/>
      <w:sz w:val="24"/>
    </w:rPr>
  </w:style>
  <w:style w:type="paragraph" w:customStyle="1" w:styleId="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6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62">
    <w:name w:val="列出段落2"/>
    <w:basedOn w:val="1"/>
    <w:qFormat/>
    <w:uiPriority w:val="0"/>
    <w:pPr>
      <w:ind w:firstLine="420" w:firstLineChars="200"/>
    </w:pPr>
    <w:rPr>
      <w:rFonts w:ascii="Calibri" w:hAnsi="Calibri"/>
      <w:szCs w:val="22"/>
    </w:rPr>
  </w:style>
  <w:style w:type="paragraph" w:customStyle="1" w:styleId="63">
    <w:name w:val="正文须知-3级"/>
    <w:basedOn w:val="1"/>
    <w:qFormat/>
    <w:uiPriority w:val="0"/>
    <w:pPr>
      <w:numPr>
        <w:ilvl w:val="2"/>
        <w:numId w:val="1"/>
      </w:numPr>
      <w:adjustRightInd w:val="0"/>
      <w:snapToGrid w:val="0"/>
      <w:spacing w:line="300" w:lineRule="auto"/>
      <w:ind w:hanging="355" w:hangingChars="355"/>
    </w:pPr>
    <w:rPr>
      <w:rFonts w:ascii="宋体" w:hAnsi="Calibri"/>
      <w:sz w:val="24"/>
      <w:szCs w:val="21"/>
    </w:rPr>
  </w:style>
  <w:style w:type="paragraph" w:customStyle="1" w:styleId="6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66">
    <w:name w:val="无标题条"/>
    <w:next w:val="1"/>
    <w:qFormat/>
    <w:uiPriority w:val="0"/>
    <w:pPr>
      <w:jc w:val="both"/>
    </w:pPr>
    <w:rPr>
      <w:sz w:val="21"/>
      <w:lang w:val="en-US" w:eastAsia="zh-CN" w:bidi="ar-SA"/>
    </w:rPr>
  </w:style>
  <w:style w:type="paragraph" w:customStyle="1" w:styleId="67">
    <w:name w:val="Char3 Char Char Char"/>
    <w:basedOn w:val="1"/>
    <w:qFormat/>
    <w:uiPriority w:val="0"/>
    <w:rPr>
      <w:rFonts w:ascii="Tahoma" w:hAnsi="Tahoma"/>
      <w:sz w:val="24"/>
      <w:szCs w:val="20"/>
    </w:rPr>
  </w:style>
  <w:style w:type="paragraph" w:styleId="68">
    <w:name w:val="No Spacing"/>
    <w:qFormat/>
    <w:uiPriority w:val="0"/>
    <w:pPr>
      <w:widowControl w:val="0"/>
      <w:jc w:val="both"/>
    </w:pPr>
    <w:rPr>
      <w:kern w:val="2"/>
      <w:sz w:val="21"/>
      <w:szCs w:val="24"/>
      <w:lang w:val="en-US" w:eastAsia="zh-CN" w:bidi="ar-SA"/>
    </w:rPr>
  </w:style>
  <w:style w:type="paragraph" w:customStyle="1" w:styleId="6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7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71">
    <w:name w:val="Char21"/>
    <w:basedOn w:val="1"/>
    <w:qFormat/>
    <w:uiPriority w:val="0"/>
    <w:rPr>
      <w:rFonts w:ascii="Tahoma" w:hAnsi="Tahoma"/>
      <w:sz w:val="24"/>
      <w:szCs w:val="20"/>
    </w:rPr>
  </w:style>
  <w:style w:type="paragraph" w:customStyle="1" w:styleId="7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7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5">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76">
    <w:name w:val="Char Char Char"/>
    <w:basedOn w:val="1"/>
    <w:qFormat/>
    <w:uiPriority w:val="0"/>
    <w:rPr>
      <w:rFonts w:ascii="Tahoma" w:hAnsi="Tahoma"/>
      <w:sz w:val="24"/>
      <w:szCs w:val="20"/>
    </w:rPr>
  </w:style>
  <w:style w:type="paragraph" w:customStyle="1" w:styleId="77">
    <w:name w:val="Char22"/>
    <w:basedOn w:val="1"/>
    <w:qFormat/>
    <w:uiPriority w:val="0"/>
    <w:rPr>
      <w:rFonts w:ascii="Tahoma" w:hAnsi="Tahoma"/>
      <w:sz w:val="24"/>
      <w:szCs w:val="20"/>
    </w:rPr>
  </w:style>
  <w:style w:type="paragraph" w:customStyle="1" w:styleId="78">
    <w:name w:val="Char Char Char Char Char Char Char Char Char Char"/>
    <w:basedOn w:val="1"/>
    <w:qFormat/>
    <w:uiPriority w:val="0"/>
  </w:style>
  <w:style w:type="paragraph" w:customStyle="1" w:styleId="7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81">
    <w:name w:val="Char Char Char1 Char2"/>
    <w:basedOn w:val="1"/>
    <w:qFormat/>
    <w:uiPriority w:val="0"/>
    <w:rPr>
      <w:rFonts w:ascii="Tahoma" w:hAnsi="Tahoma"/>
      <w:sz w:val="24"/>
      <w:szCs w:val="20"/>
    </w:rPr>
  </w:style>
  <w:style w:type="paragraph" w:customStyle="1" w:styleId="8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83">
    <w:name w:val="font8"/>
    <w:basedOn w:val="1"/>
    <w:qFormat/>
    <w:uiPriority w:val="0"/>
    <w:pPr>
      <w:widowControl/>
      <w:spacing w:before="100" w:beforeAutospacing="1" w:after="100" w:afterAutospacing="1"/>
      <w:jc w:val="left"/>
    </w:pPr>
    <w:rPr>
      <w:kern w:val="0"/>
      <w:sz w:val="36"/>
      <w:szCs w:val="36"/>
    </w:rPr>
  </w:style>
  <w:style w:type="paragraph" w:customStyle="1" w:styleId="8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85">
    <w:name w:val="图中文字"/>
    <w:basedOn w:val="1"/>
    <w:qFormat/>
    <w:uiPriority w:val="0"/>
    <w:pPr>
      <w:adjustRightInd w:val="0"/>
      <w:snapToGrid w:val="0"/>
      <w:spacing w:line="0" w:lineRule="atLeast"/>
      <w:jc w:val="center"/>
    </w:pPr>
    <w:rPr>
      <w:sz w:val="24"/>
      <w:szCs w:val="20"/>
    </w:rPr>
  </w:style>
  <w:style w:type="paragraph" w:customStyle="1" w:styleId="86">
    <w:name w:val="二级条标题"/>
    <w:basedOn w:val="8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87">
    <w:name w:val="一级条标题"/>
    <w:basedOn w:val="88"/>
    <w:next w:val="1"/>
    <w:qFormat/>
    <w:uiPriority w:val="0"/>
    <w:pPr>
      <w:numPr>
        <w:ilvl w:val="1"/>
      </w:numPr>
      <w:tabs>
        <w:tab w:val="left" w:pos="360"/>
        <w:tab w:val="left" w:pos="840"/>
      </w:tabs>
      <w:ind w:left="0" w:hanging="840"/>
      <w:outlineLvl w:val="1"/>
    </w:pPr>
  </w:style>
  <w:style w:type="paragraph" w:customStyle="1" w:styleId="88">
    <w:name w:val="章标题"/>
    <w:next w:val="1"/>
    <w:qFormat/>
    <w:uiPriority w:val="0"/>
    <w:pPr>
      <w:numPr>
        <w:ilvl w:val="0"/>
        <w:numId w:val="2"/>
      </w:numPr>
      <w:spacing w:before="156" w:beforeLines="50" w:after="156" w:afterLines="50" w:line="460" w:lineRule="exact"/>
      <w:ind w:left="0"/>
      <w:jc w:val="both"/>
      <w:outlineLvl w:val="0"/>
    </w:pPr>
    <w:rPr>
      <w:rFonts w:ascii="黑体" w:eastAsia="黑体"/>
      <w:b/>
      <w:sz w:val="28"/>
      <w:lang w:val="en-US" w:eastAsia="zh-CN" w:bidi="ar-SA"/>
    </w:rPr>
  </w:style>
  <w:style w:type="paragraph" w:customStyle="1" w:styleId="8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0">
    <w:name w:val="文档正文"/>
    <w:basedOn w:val="1"/>
    <w:qFormat/>
    <w:uiPriority w:val="0"/>
    <w:pPr>
      <w:snapToGrid w:val="0"/>
      <w:spacing w:before="120" w:after="120" w:line="180" w:lineRule="auto"/>
    </w:pPr>
    <w:rPr>
      <w:rFonts w:ascii="Arial" w:hAnsi="Arial"/>
      <w:szCs w:val="20"/>
    </w:rPr>
  </w:style>
  <w:style w:type="paragraph" w:customStyle="1" w:styleId="91">
    <w:name w:val="图例"/>
    <w:basedOn w:val="1"/>
    <w:qFormat/>
    <w:uiPriority w:val="0"/>
    <w:pPr>
      <w:spacing w:before="120" w:after="120" w:line="360" w:lineRule="auto"/>
      <w:jc w:val="center"/>
    </w:pPr>
    <w:rPr>
      <w:rFonts w:eastAsia="仿宋_GB2312"/>
      <w:b/>
      <w:sz w:val="24"/>
      <w:szCs w:val="20"/>
    </w:rPr>
  </w:style>
  <w:style w:type="paragraph" w:customStyle="1" w:styleId="92">
    <w:name w:val="正文 + 楷体_GB2312"/>
    <w:basedOn w:val="1"/>
    <w:qFormat/>
    <w:uiPriority w:val="0"/>
    <w:pPr>
      <w:widowControl/>
      <w:jc w:val="left"/>
    </w:pPr>
    <w:rPr>
      <w:rFonts w:ascii="楷体_GB2312" w:eastAsia="楷体_GB2312" w:cs="Arial"/>
      <w:kern w:val="0"/>
      <w:sz w:val="24"/>
    </w:rPr>
  </w:style>
  <w:style w:type="paragraph" w:customStyle="1" w:styleId="93">
    <w:name w:val="样式 标题 2 + 宋体 五号 行距: 单倍行距"/>
    <w:basedOn w:val="4"/>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94">
    <w:name w:val="Char Char Char Char Char Char Char Char Char Char1"/>
    <w:basedOn w:val="1"/>
    <w:qFormat/>
    <w:uiPriority w:val="0"/>
    <w:rPr>
      <w:rFonts w:ascii="宋体" w:hAnsi="宋体" w:cs="Courier New"/>
      <w:sz w:val="32"/>
      <w:szCs w:val="32"/>
    </w:rPr>
  </w:style>
  <w:style w:type="paragraph" w:customStyle="1" w:styleId="95">
    <w:name w:val="1名"/>
    <w:basedOn w:val="1"/>
    <w:qFormat/>
    <w:uiPriority w:val="0"/>
    <w:pPr>
      <w:numPr>
        <w:ilvl w:val="0"/>
        <w:numId w:val="4"/>
      </w:numPr>
      <w:spacing w:before="120"/>
    </w:pPr>
    <w:rPr>
      <w:rFonts w:ascii="宋体"/>
      <w:sz w:val="28"/>
      <w:szCs w:val="20"/>
    </w:rPr>
  </w:style>
  <w:style w:type="paragraph" w:customStyle="1" w:styleId="96">
    <w:name w:val="Char2 Char Char Char Char Char Char1"/>
    <w:basedOn w:val="1"/>
    <w:qFormat/>
    <w:uiPriority w:val="0"/>
    <w:pPr>
      <w:widowControl/>
      <w:spacing w:line="400" w:lineRule="exact"/>
      <w:jc w:val="center"/>
    </w:pPr>
  </w:style>
  <w:style w:type="paragraph" w:customStyle="1" w:styleId="97">
    <w:name w:val="项目编号2"/>
    <w:basedOn w:val="98"/>
    <w:qFormat/>
    <w:uiPriority w:val="0"/>
    <w:pPr>
      <w:numPr>
        <w:numId w:val="5"/>
      </w:numPr>
    </w:pPr>
  </w:style>
  <w:style w:type="paragraph" w:customStyle="1" w:styleId="98">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9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00">
    <w:name w:val="??"/>
    <w:qFormat/>
    <w:uiPriority w:val="0"/>
    <w:pPr>
      <w:widowControl w:val="0"/>
      <w:overflowPunct w:val="0"/>
      <w:autoSpaceDE w:val="0"/>
      <w:autoSpaceDN w:val="0"/>
      <w:adjustRightInd w:val="0"/>
      <w:jc w:val="both"/>
    </w:pPr>
    <w:rPr>
      <w:kern w:val="2"/>
      <w:sz w:val="21"/>
      <w:lang w:val="en-US" w:eastAsia="en-US" w:bidi="ar-SA"/>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3">
    <w:name w:val="样式2"/>
    <w:basedOn w:val="38"/>
    <w:qFormat/>
    <w:uiPriority w:val="0"/>
    <w:pPr>
      <w:spacing w:line="360" w:lineRule="auto"/>
      <w:jc w:val="center"/>
    </w:pPr>
    <w:rPr>
      <w:sz w:val="24"/>
    </w:rPr>
  </w:style>
  <w:style w:type="paragraph" w:customStyle="1" w:styleId="104">
    <w:name w:val="正文表格"/>
    <w:basedOn w:val="1"/>
    <w:link w:val="211"/>
    <w:qFormat/>
    <w:uiPriority w:val="0"/>
    <w:pPr>
      <w:adjustRightInd w:val="0"/>
      <w:snapToGrid w:val="0"/>
      <w:jc w:val="left"/>
    </w:pPr>
    <w:rPr>
      <w:rFonts w:ascii="宋体" w:hAnsi="宋体"/>
      <w:color w:val="000000"/>
      <w:szCs w:val="21"/>
    </w:rPr>
  </w:style>
  <w:style w:type="paragraph" w:customStyle="1" w:styleId="105">
    <w:name w:val="默认段落字体 Para Char Char Char Char"/>
    <w:basedOn w:val="1"/>
    <w:qFormat/>
    <w:uiPriority w:val="0"/>
    <w:rPr>
      <w:rFonts w:ascii="Arial" w:hAnsi="Arial" w:cs="Arial"/>
      <w:szCs w:val="21"/>
    </w:rPr>
  </w:style>
  <w:style w:type="paragraph" w:customStyle="1" w:styleId="106">
    <w:name w:val="标书正文"/>
    <w:basedOn w:val="1"/>
    <w:qFormat/>
    <w:uiPriority w:val="0"/>
    <w:pPr>
      <w:suppressAutoHyphens/>
      <w:adjustRightInd/>
      <w:spacing w:line="360" w:lineRule="auto"/>
      <w:ind w:firstLine="200" w:firstLineChars="200"/>
      <w:jc w:val="both"/>
      <w:textAlignment w:val="auto"/>
    </w:pPr>
    <w:rPr>
      <w:rFonts w:ascii="Calibri" w:hAnsi="Calibri"/>
      <w:kern w:val="2"/>
      <w:szCs w:val="24"/>
    </w:rPr>
  </w:style>
  <w:style w:type="paragraph" w:customStyle="1" w:styleId="107">
    <w:name w:val="正文须知-1级"/>
    <w:basedOn w:val="1"/>
    <w:next w:val="1"/>
    <w:qFormat/>
    <w:uiPriority w:val="0"/>
    <w:pPr>
      <w:numPr>
        <w:ilvl w:val="0"/>
        <w:numId w:val="1"/>
      </w:numPr>
      <w:adjustRightInd w:val="0"/>
      <w:snapToGrid w:val="0"/>
      <w:spacing w:line="300" w:lineRule="auto"/>
    </w:pPr>
    <w:rPr>
      <w:rFonts w:ascii="宋体" w:hAnsi="Calibri"/>
      <w:sz w:val="24"/>
      <w:szCs w:val="21"/>
    </w:rPr>
  </w:style>
  <w:style w:type="paragraph" w:customStyle="1" w:styleId="108">
    <w:name w:val="正文重点"/>
    <w:basedOn w:val="1"/>
    <w:link w:val="223"/>
    <w:qFormat/>
    <w:uiPriority w:val="0"/>
    <w:pPr>
      <w:adjustRightInd w:val="0"/>
      <w:spacing w:line="360" w:lineRule="auto"/>
      <w:ind w:firstLine="482" w:firstLineChars="200"/>
      <w:jc w:val="left"/>
      <w:textAlignment w:val="baseline"/>
    </w:pPr>
    <w:rPr>
      <w:b/>
      <w:kern w:val="0"/>
      <w:sz w:val="24"/>
      <w:szCs w:val="20"/>
    </w:rPr>
  </w:style>
  <w:style w:type="paragraph" w:customStyle="1" w:styleId="109">
    <w:name w:val="正文小标题"/>
    <w:basedOn w:val="1"/>
    <w:next w:val="2"/>
    <w:link w:val="24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11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1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1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1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1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四级条标题"/>
    <w:basedOn w:val="116"/>
    <w:next w:val="1"/>
    <w:qFormat/>
    <w:uiPriority w:val="0"/>
    <w:pPr>
      <w:numPr>
        <w:ilvl w:val="4"/>
      </w:numPr>
      <w:tabs>
        <w:tab w:val="left" w:pos="360"/>
        <w:tab w:val="left" w:pos="840"/>
      </w:tabs>
      <w:ind w:left="0" w:hanging="840"/>
      <w:outlineLvl w:val="4"/>
    </w:pPr>
  </w:style>
  <w:style w:type="paragraph" w:customStyle="1" w:styleId="116">
    <w:name w:val="三级条标题"/>
    <w:basedOn w:val="86"/>
    <w:next w:val="1"/>
    <w:qFormat/>
    <w:uiPriority w:val="0"/>
    <w:pPr>
      <w:numPr>
        <w:ilvl w:val="3"/>
        <w:numId w:val="2"/>
      </w:numPr>
      <w:ind w:left="0" w:hanging="840"/>
      <w:outlineLvl w:val="3"/>
    </w:pPr>
  </w:style>
  <w:style w:type="paragraph" w:customStyle="1" w:styleId="117">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118">
    <w:name w:val="项目编号3"/>
    <w:basedOn w:val="57"/>
    <w:qFormat/>
    <w:uiPriority w:val="0"/>
    <w:pPr>
      <w:numPr>
        <w:ilvl w:val="0"/>
        <w:numId w:val="7"/>
      </w:numPr>
    </w:p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0">
    <w:name w:val="Char2 Char Char Char Char Char Char"/>
    <w:basedOn w:val="1"/>
    <w:qFormat/>
    <w:uiPriority w:val="0"/>
    <w:pPr>
      <w:widowControl/>
      <w:spacing w:line="400" w:lineRule="exact"/>
      <w:jc w:val="center"/>
    </w:pPr>
  </w:style>
  <w:style w:type="paragraph" w:customStyle="1" w:styleId="121">
    <w:name w:val="1 Char Char Char Char"/>
    <w:basedOn w:val="1"/>
    <w:qFormat/>
    <w:uiPriority w:val="0"/>
    <w:rPr>
      <w:rFonts w:ascii="Tahoma" w:hAnsi="Tahoma"/>
      <w:sz w:val="24"/>
      <w:szCs w:val="20"/>
    </w:rPr>
  </w:style>
  <w:style w:type="paragraph" w:customStyle="1" w:styleId="122">
    <w:name w:val="Char Char Char2"/>
    <w:basedOn w:val="1"/>
    <w:qFormat/>
    <w:uiPriority w:val="0"/>
    <w:rPr>
      <w:rFonts w:ascii="Tahoma" w:hAnsi="Tahoma"/>
      <w:sz w:val="24"/>
      <w:szCs w:val="20"/>
    </w:rPr>
  </w:style>
  <w:style w:type="paragraph" w:customStyle="1" w:styleId="12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1 Char"/>
    <w:basedOn w:val="1"/>
    <w:qFormat/>
    <w:uiPriority w:val="0"/>
    <w:rPr>
      <w:rFonts w:ascii="Tahoma" w:hAnsi="Tahoma"/>
      <w:sz w:val="24"/>
      <w:szCs w:val="20"/>
    </w:rPr>
  </w:style>
  <w:style w:type="paragraph" w:customStyle="1" w:styleId="127">
    <w:name w:val="Char"/>
    <w:basedOn w:val="1"/>
    <w:qFormat/>
    <w:uiPriority w:val="0"/>
    <w:pPr>
      <w:tabs>
        <w:tab w:val="left" w:pos="360"/>
      </w:tabs>
    </w:pPr>
    <w:rPr>
      <w:sz w:val="24"/>
    </w:rPr>
  </w:style>
  <w:style w:type="paragraph" w:customStyle="1" w:styleId="128">
    <w:name w:val="Char Char Char1"/>
    <w:basedOn w:val="1"/>
    <w:qFormat/>
    <w:uiPriority w:val="0"/>
    <w:rPr>
      <w:rFonts w:ascii="Tahoma" w:hAnsi="Tahoma"/>
      <w:sz w:val="24"/>
      <w:szCs w:val="20"/>
    </w:rPr>
  </w:style>
  <w:style w:type="paragraph" w:customStyle="1" w:styleId="1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0">
    <w:name w:val="字元 字元2"/>
    <w:basedOn w:val="1"/>
    <w:qFormat/>
    <w:uiPriority w:val="0"/>
    <w:rPr>
      <w:rFonts w:ascii="Tahoma" w:hAnsi="Tahoma"/>
      <w:sz w:val="24"/>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正文文本缩进1"/>
    <w:basedOn w:val="1"/>
    <w:link w:val="220"/>
    <w:qFormat/>
    <w:uiPriority w:val="0"/>
    <w:pPr>
      <w:spacing w:line="480" w:lineRule="exact"/>
      <w:ind w:firstLine="480" w:firstLineChars="200"/>
    </w:pPr>
    <w:rPr>
      <w:rFonts w:ascii="宋体" w:hAnsi="宋体"/>
      <w:kern w:val="0"/>
      <w:sz w:val="24"/>
    </w:rPr>
  </w:style>
  <w:style w:type="paragraph" w:customStyle="1" w:styleId="1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5">
    <w:name w:val="字元 字元"/>
    <w:basedOn w:val="1"/>
    <w:qFormat/>
    <w:uiPriority w:val="0"/>
    <w:rPr>
      <w:rFonts w:ascii="Tahoma" w:hAnsi="Tahoma"/>
      <w:sz w:val="24"/>
      <w:szCs w:val="20"/>
    </w:rPr>
  </w:style>
  <w:style w:type="paragraph" w:customStyle="1" w:styleId="136">
    <w:name w:val="字元 字元1"/>
    <w:basedOn w:val="1"/>
    <w:qFormat/>
    <w:uiPriority w:val="0"/>
    <w:rPr>
      <w:rFonts w:ascii="Tahoma" w:hAnsi="Tahoma"/>
      <w:sz w:val="24"/>
      <w:szCs w:val="20"/>
    </w:rPr>
  </w:style>
  <w:style w:type="paragraph" w:customStyle="1" w:styleId="137">
    <w:name w:val="正文大标题"/>
    <w:basedOn w:val="109"/>
    <w:next w:val="2"/>
    <w:link w:val="224"/>
    <w:qFormat/>
    <w:uiPriority w:val="0"/>
    <w:pPr>
      <w:jc w:val="center"/>
    </w:pPr>
    <w:rPr>
      <w:i w:val="0"/>
      <w:color w:val="000000"/>
      <w:sz w:val="28"/>
      <w:szCs w:val="21"/>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1">
    <w:name w:val="正文格式"/>
    <w:basedOn w:val="1"/>
    <w:link w:val="237"/>
    <w:qFormat/>
    <w:uiPriority w:val="0"/>
    <w:pPr>
      <w:spacing w:beforeLines="50" w:line="360" w:lineRule="auto"/>
      <w:ind w:firstLine="480" w:firstLineChars="200"/>
    </w:pPr>
    <w:rPr>
      <w:rFonts w:ascii="宋体" w:hAnsi="宋体"/>
      <w:kern w:val="0"/>
      <w:sz w:val="24"/>
      <w:lang w:val="en-GB"/>
    </w:rPr>
  </w:style>
  <w:style w:type="paragraph" w:customStyle="1" w:styleId="1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标题1-附件"/>
    <w:basedOn w:val="3"/>
    <w:qFormat/>
    <w:uiPriority w:val="0"/>
    <w:pPr>
      <w:jc w:val="left"/>
    </w:pPr>
    <w:rPr>
      <w:sz w:val="24"/>
      <w:szCs w:val="24"/>
    </w:rPr>
  </w:style>
  <w:style w:type="paragraph" w:customStyle="1" w:styleId="145">
    <w:name w:val="Char Char Char Char Char Char Char Char Char Char2"/>
    <w:basedOn w:val="1"/>
    <w:qFormat/>
    <w:uiPriority w:val="0"/>
    <w:rPr>
      <w:rFonts w:ascii="宋体" w:hAnsi="宋体" w:cs="Courier New"/>
      <w:sz w:val="32"/>
      <w:szCs w:val="32"/>
    </w:rPr>
  </w:style>
  <w:style w:type="paragraph" w:customStyle="1" w:styleId="146">
    <w:name w:val="1"/>
    <w:link w:val="235"/>
    <w:qFormat/>
    <w:uiPriority w:val="0"/>
    <w:rPr>
      <w:kern w:val="2"/>
      <w:sz w:val="21"/>
      <w:szCs w:val="24"/>
      <w:lang w:val="zh-CN" w:eastAsia="zh-CN" w:bidi="ar-SA"/>
    </w:rPr>
  </w:style>
  <w:style w:type="paragraph" w:customStyle="1" w:styleId="147">
    <w:name w:val="Char1"/>
    <w:basedOn w:val="1"/>
    <w:qFormat/>
    <w:uiPriority w:val="0"/>
    <w:pPr>
      <w:tabs>
        <w:tab w:val="left" w:pos="360"/>
      </w:tabs>
    </w:pPr>
    <w:rPr>
      <w:sz w:val="24"/>
    </w:rPr>
  </w:style>
  <w:style w:type="paragraph" w:styleId="148">
    <w:name w:val="List Paragraph"/>
    <w:basedOn w:val="1"/>
    <w:link w:val="243"/>
    <w:qFormat/>
    <w:uiPriority w:val="34"/>
    <w:pPr>
      <w:ind w:firstLine="420" w:firstLineChars="200"/>
    </w:pPr>
    <w:rPr>
      <w:rFonts w:ascii="Calibri" w:hAnsi="Calibri"/>
      <w:szCs w:val="22"/>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样式1"/>
    <w:basedOn w:val="1"/>
    <w:qFormat/>
    <w:uiPriority w:val="0"/>
    <w:pPr>
      <w:numPr>
        <w:ilvl w:val="0"/>
        <w:numId w:val="8"/>
      </w:numPr>
      <w:spacing w:line="240" w:lineRule="auto"/>
      <w:jc w:val="both"/>
    </w:pPr>
    <w:rPr>
      <w:rFonts w:ascii="宋体" w:hAnsi="宋体"/>
      <w:sz w:val="21"/>
      <w:szCs w:val="21"/>
    </w:rPr>
  </w:style>
  <w:style w:type="paragraph" w:customStyle="1" w:styleId="1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Char3 Char Char Char2"/>
    <w:basedOn w:val="1"/>
    <w:qFormat/>
    <w:uiPriority w:val="0"/>
    <w:rPr>
      <w:rFonts w:ascii="Tahoma" w:hAnsi="Tahoma"/>
      <w:sz w:val="24"/>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55">
    <w:name w:val="_Style 160"/>
    <w:qFormat/>
    <w:uiPriority w:val="0"/>
    <w:rPr>
      <w:kern w:val="2"/>
      <w:sz w:val="21"/>
      <w:szCs w:val="24"/>
      <w:lang w:val="en-US" w:eastAsia="zh-CN" w:bidi="ar-SA"/>
    </w:rPr>
  </w:style>
  <w:style w:type="paragraph" w:customStyle="1" w:styleId="15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8">
    <w:name w:val="正文+缩进"/>
    <w:basedOn w:val="1"/>
    <w:qFormat/>
    <w:uiPriority w:val="0"/>
    <w:pPr>
      <w:spacing w:line="360" w:lineRule="auto"/>
      <w:ind w:firstLine="200" w:firstLineChars="200"/>
    </w:pPr>
    <w:rPr>
      <w:rFonts w:ascii="宋体" w:hAnsi="宋体" w:cs="仿宋_GB2312"/>
      <w:szCs w:val="24"/>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1">
    <w:name w:val="正文文本样式 加粗"/>
    <w:basedOn w:val="57"/>
    <w:qFormat/>
    <w:uiPriority w:val="0"/>
    <w:rPr>
      <w:b/>
    </w:rPr>
  </w:style>
  <w:style w:type="paragraph" w:customStyle="1" w:styleId="162">
    <w:name w:val="Char Char4"/>
    <w:basedOn w:val="1"/>
    <w:qFormat/>
    <w:uiPriority w:val="0"/>
    <w:pPr>
      <w:widowControl/>
      <w:spacing w:line="400" w:lineRule="exact"/>
      <w:jc w:val="center"/>
    </w:pPr>
  </w:style>
  <w:style w:type="paragraph" w:customStyle="1" w:styleId="16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注释"/>
    <w:basedOn w:val="1"/>
    <w:link w:val="249"/>
    <w:qFormat/>
    <w:uiPriority w:val="0"/>
    <w:pPr>
      <w:adjustRightInd w:val="0"/>
      <w:snapToGrid w:val="0"/>
      <w:ind w:left="420" w:hanging="420" w:hangingChars="200"/>
      <w:jc w:val="left"/>
    </w:pPr>
    <w:rPr>
      <w:rFonts w:ascii="宋体" w:hAnsi="宋体"/>
      <w:szCs w:val="21"/>
    </w:rPr>
  </w:style>
  <w:style w:type="paragraph" w:customStyle="1" w:styleId="16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7">
    <w:name w:val="缺省文本"/>
    <w:basedOn w:val="1"/>
    <w:qFormat/>
    <w:uiPriority w:val="0"/>
    <w:pPr>
      <w:autoSpaceDE w:val="0"/>
      <w:autoSpaceDN w:val="0"/>
      <w:adjustRightInd w:val="0"/>
      <w:jc w:val="left"/>
    </w:pPr>
    <w:rPr>
      <w:kern w:val="0"/>
      <w:sz w:val="24"/>
    </w:rPr>
  </w:style>
  <w:style w:type="paragraph" w:customStyle="1" w:styleId="168">
    <w:name w:val="Char3 Char Char Char1"/>
    <w:basedOn w:val="1"/>
    <w:qFormat/>
    <w:uiPriority w:val="0"/>
    <w:rPr>
      <w:rFonts w:ascii="Tahoma" w:hAnsi="Tahoma"/>
      <w:sz w:val="24"/>
      <w:szCs w:val="20"/>
    </w:rPr>
  </w:style>
  <w:style w:type="paragraph" w:customStyle="1" w:styleId="169">
    <w:name w:val="Char1 Char Char Char1"/>
    <w:basedOn w:val="1"/>
    <w:qFormat/>
    <w:uiPriority w:val="0"/>
    <w:rPr>
      <w:rFonts w:ascii="Tahoma" w:hAnsi="Tahoma" w:cs="仿宋_GB2312"/>
      <w:sz w:val="24"/>
      <w:szCs w:val="28"/>
    </w:rPr>
  </w:style>
  <w:style w:type="paragraph" w:customStyle="1" w:styleId="170">
    <w:name w:val="Char3"/>
    <w:basedOn w:val="1"/>
    <w:qFormat/>
    <w:uiPriority w:val="0"/>
    <w:pPr>
      <w:tabs>
        <w:tab w:val="left" w:pos="360"/>
      </w:tabs>
    </w:pPr>
    <w:rPr>
      <w:sz w:val="24"/>
    </w:rPr>
  </w:style>
  <w:style w:type="paragraph" w:customStyle="1" w:styleId="17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3">
    <w:name w:val="Char Char41"/>
    <w:basedOn w:val="1"/>
    <w:qFormat/>
    <w:uiPriority w:val="0"/>
    <w:pPr>
      <w:widowControl/>
      <w:spacing w:line="400" w:lineRule="exact"/>
      <w:jc w:val="center"/>
    </w:pPr>
  </w:style>
  <w:style w:type="paragraph" w:customStyle="1" w:styleId="174">
    <w:name w:val="Default"/>
    <w:qFormat/>
    <w:uiPriority w:val="0"/>
    <w:pPr>
      <w:widowControl w:val="0"/>
      <w:autoSpaceDE w:val="0"/>
      <w:autoSpaceDN w:val="0"/>
      <w:adjustRightInd w:val="0"/>
    </w:pPr>
    <w:rPr>
      <w:rFonts w:ascii="Symbol" w:hAnsi="Symbol" w:cs="Symbol"/>
      <w:color w:val="000000"/>
      <w:sz w:val="24"/>
      <w:szCs w:val="24"/>
      <w:lang w:val="en-US" w:eastAsia="zh-CN" w:bidi="ar-SA"/>
    </w:rPr>
  </w:style>
  <w:style w:type="paragraph" w:customStyle="1" w:styleId="175">
    <w:name w:val="正文须知-2级"/>
    <w:basedOn w:val="1"/>
    <w:qFormat/>
    <w:uiPriority w:val="0"/>
    <w:pPr>
      <w:numPr>
        <w:ilvl w:val="1"/>
        <w:numId w:val="1"/>
      </w:numPr>
      <w:adjustRightInd w:val="0"/>
      <w:snapToGrid w:val="0"/>
      <w:spacing w:line="300" w:lineRule="auto"/>
    </w:pPr>
    <w:rPr>
      <w:rFonts w:ascii="宋体" w:hAnsi="Calibri"/>
      <w:sz w:val="24"/>
      <w:szCs w:val="21"/>
    </w:rPr>
  </w:style>
  <w:style w:type="paragraph" w:customStyle="1" w:styleId="176">
    <w:name w:val="正文缩进1"/>
    <w:basedOn w:val="1"/>
    <w:link w:val="240"/>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Char2"/>
    <w:basedOn w:val="1"/>
    <w:qFormat/>
    <w:uiPriority w:val="0"/>
    <w:rPr>
      <w:rFonts w:ascii="Tahoma" w:hAnsi="Tahoma"/>
      <w:sz w:val="24"/>
      <w:szCs w:val="20"/>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80">
    <w:name w:val="表格1"/>
    <w:basedOn w:val="1"/>
    <w:qFormat/>
    <w:uiPriority w:val="0"/>
    <w:pPr>
      <w:ind w:firstLine="480" w:firstLineChars="200"/>
      <w:jc w:val="center"/>
    </w:pPr>
    <w:rPr>
      <w:sz w:val="24"/>
      <w:szCs w:val="20"/>
    </w:rPr>
  </w:style>
  <w:style w:type="paragraph" w:customStyle="1" w:styleId="1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8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86">
    <w:name w:val="五级条标题"/>
    <w:basedOn w:val="115"/>
    <w:next w:val="1"/>
    <w:qFormat/>
    <w:uiPriority w:val="0"/>
    <w:pPr>
      <w:numPr>
        <w:ilvl w:val="5"/>
      </w:numPr>
      <w:ind w:left="0" w:hanging="840"/>
      <w:outlineLvl w:val="5"/>
    </w:pPr>
  </w:style>
  <w:style w:type="character" w:customStyle="1" w:styleId="187">
    <w:name w:val="页眉 字符"/>
    <w:link w:val="29"/>
    <w:qFormat/>
    <w:uiPriority w:val="99"/>
    <w:rPr>
      <w:rFonts w:eastAsia="宋体"/>
      <w:kern w:val="2"/>
      <w:sz w:val="18"/>
      <w:szCs w:val="18"/>
      <w:lang w:val="en-US" w:eastAsia="zh-CN" w:bidi="ar-SA"/>
    </w:rPr>
  </w:style>
  <w:style w:type="character" w:customStyle="1" w:styleId="188">
    <w:name w:val="标题 7 字符"/>
    <w:link w:val="9"/>
    <w:qFormat/>
    <w:uiPriority w:val="0"/>
    <w:rPr>
      <w:b/>
      <w:sz w:val="24"/>
    </w:rPr>
  </w:style>
  <w:style w:type="character" w:customStyle="1" w:styleId="189">
    <w:name w:val="批注文字 字符"/>
    <w:qFormat/>
    <w:uiPriority w:val="99"/>
    <w:rPr>
      <w:rFonts w:ascii="Times New Roman" w:hAnsi="Times New Roman" w:eastAsia="宋体" w:cs="Times New Roman"/>
      <w:sz w:val="24"/>
      <w:lang w:val="en-US" w:eastAsia="zh-CN" w:bidi="ar-SA"/>
    </w:rPr>
  </w:style>
  <w:style w:type="character" w:customStyle="1" w:styleId="190">
    <w:name w:val="标题 6 字符"/>
    <w:link w:val="8"/>
    <w:qFormat/>
    <w:uiPriority w:val="0"/>
    <w:rPr>
      <w:rFonts w:ascii="Arial" w:hAnsi="Arial" w:eastAsia="黑体"/>
      <w:b/>
      <w:sz w:val="24"/>
    </w:rPr>
  </w:style>
  <w:style w:type="character" w:customStyle="1" w:styleId="191">
    <w:name w:val="标题 字符"/>
    <w:link w:val="39"/>
    <w:qFormat/>
    <w:uiPriority w:val="0"/>
    <w:rPr>
      <w:b/>
      <w:kern w:val="2"/>
      <w:sz w:val="32"/>
    </w:rPr>
  </w:style>
  <w:style w:type="character" w:customStyle="1" w:styleId="192">
    <w:name w:val="标题 2 字符"/>
    <w:link w:val="4"/>
    <w:qFormat/>
    <w:uiPriority w:val="0"/>
    <w:rPr>
      <w:rFonts w:ascii="Arial" w:hAnsi="Arial" w:eastAsia="黑体"/>
      <w:b/>
      <w:sz w:val="30"/>
      <w:lang w:val="en-US" w:eastAsia="zh-CN" w:bidi="ar-SA"/>
    </w:rPr>
  </w:style>
  <w:style w:type="character" w:customStyle="1" w:styleId="193">
    <w:name w:val="标题 2 Char Char"/>
    <w:qFormat/>
    <w:uiPriority w:val="0"/>
    <w:rPr>
      <w:rFonts w:ascii="Arial" w:hAnsi="Arial" w:eastAsia="黑体"/>
      <w:b/>
      <w:bCs/>
      <w:kern w:val="2"/>
      <w:sz w:val="32"/>
      <w:szCs w:val="32"/>
      <w:lang w:val="en-US" w:eastAsia="zh-CN" w:bidi="ar-SA"/>
    </w:rPr>
  </w:style>
  <w:style w:type="character" w:customStyle="1" w:styleId="194">
    <w:name w:val="txt"/>
    <w:qFormat/>
    <w:uiPriority w:val="0"/>
  </w:style>
  <w:style w:type="character" w:customStyle="1" w:styleId="195">
    <w:name w:val="纯文本 Char1"/>
    <w:qFormat/>
    <w:uiPriority w:val="0"/>
    <w:rPr>
      <w:rFonts w:ascii="宋体" w:hAnsi="Courier New" w:eastAsia="宋体"/>
      <w:kern w:val="2"/>
      <w:sz w:val="21"/>
      <w:lang w:val="en-US" w:eastAsia="zh-CN" w:bidi="ar-SA"/>
    </w:rPr>
  </w:style>
  <w:style w:type="character" w:customStyle="1" w:styleId="196">
    <w:name w:val="chanpin1"/>
    <w:qFormat/>
    <w:uiPriority w:val="0"/>
    <w:rPr>
      <w:rFonts w:hint="default" w:ascii="ˎ̥" w:hAnsi="ˎ̥"/>
      <w:color w:val="000000"/>
      <w:sz w:val="20"/>
      <w:szCs w:val="20"/>
      <w:u w:val="none"/>
    </w:rPr>
  </w:style>
  <w:style w:type="character" w:customStyle="1" w:styleId="197">
    <w:name w:val="标题 8 字符"/>
    <w:link w:val="10"/>
    <w:qFormat/>
    <w:uiPriority w:val="0"/>
    <w:rPr>
      <w:rFonts w:ascii="Arial" w:hAnsi="Arial" w:eastAsia="黑体"/>
      <w:sz w:val="24"/>
    </w:rPr>
  </w:style>
  <w:style w:type="character" w:customStyle="1" w:styleId="198">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199">
    <w:name w:val="标题 9 字符"/>
    <w:link w:val="11"/>
    <w:qFormat/>
    <w:uiPriority w:val="0"/>
    <w:rPr>
      <w:rFonts w:ascii="Arial" w:hAnsi="Arial" w:eastAsia="黑体"/>
      <w:sz w:val="21"/>
    </w:rPr>
  </w:style>
  <w:style w:type="character" w:customStyle="1" w:styleId="200">
    <w:name w:val="纯文本 字符1"/>
    <w:qFormat/>
    <w:uiPriority w:val="0"/>
    <w:rPr>
      <w:rFonts w:ascii="宋体" w:hAnsi="Courier New"/>
    </w:rPr>
  </w:style>
  <w:style w:type="character" w:customStyle="1" w:styleId="201">
    <w:name w:val="批注文字 字符1"/>
    <w:link w:val="15"/>
    <w:qFormat/>
    <w:uiPriority w:val="99"/>
    <w:rPr>
      <w:kern w:val="2"/>
      <w:sz w:val="21"/>
      <w:szCs w:val="24"/>
    </w:rPr>
  </w:style>
  <w:style w:type="character" w:customStyle="1" w:styleId="202">
    <w:name w:val="标题 3 字符"/>
    <w:link w:val="5"/>
    <w:qFormat/>
    <w:uiPriority w:val="0"/>
    <w:rPr>
      <w:rFonts w:ascii="宋体" w:eastAsia="宋体"/>
      <w:b/>
      <w:sz w:val="24"/>
      <w:u w:val="single"/>
      <w:lang w:val="en-US" w:eastAsia="zh-CN" w:bidi="ar-SA"/>
    </w:rPr>
  </w:style>
  <w:style w:type="character" w:customStyle="1" w:styleId="203">
    <w:name w:val="标题 5 字符"/>
    <w:link w:val="7"/>
    <w:qFormat/>
    <w:uiPriority w:val="0"/>
    <w:rPr>
      <w:b/>
      <w:sz w:val="28"/>
    </w:rPr>
  </w:style>
  <w:style w:type="character" w:customStyle="1" w:styleId="204">
    <w:name w:val="bjh-p"/>
    <w:qFormat/>
    <w:uiPriority w:val="0"/>
  </w:style>
  <w:style w:type="character" w:customStyle="1" w:styleId="205">
    <w:name w:val="标题 4 字符"/>
    <w:link w:val="6"/>
    <w:qFormat/>
    <w:uiPriority w:val="0"/>
    <w:rPr>
      <w:rFonts w:ascii="Arial" w:hAnsi="Arial" w:eastAsia="黑体"/>
      <w:b/>
      <w:sz w:val="28"/>
    </w:rPr>
  </w:style>
  <w:style w:type="character" w:customStyle="1" w:styleId="206">
    <w:name w:val="正文文本 3 字符"/>
    <w:link w:val="16"/>
    <w:qFormat/>
    <w:uiPriority w:val="0"/>
    <w:rPr>
      <w:kern w:val="2"/>
      <w:sz w:val="16"/>
      <w:szCs w:val="16"/>
    </w:rPr>
  </w:style>
  <w:style w:type="character" w:customStyle="1" w:styleId="207">
    <w:name w:val="正文首行缩进 2 字符"/>
    <w:link w:val="41"/>
    <w:qFormat/>
    <w:uiPriority w:val="0"/>
    <w:rPr>
      <w:rFonts w:eastAsia="宋体"/>
      <w:kern w:val="2"/>
      <w:sz w:val="24"/>
      <w:szCs w:val="24"/>
      <w:lang w:val="en-US" w:eastAsia="zh-CN" w:bidi="ar-SA"/>
    </w:rPr>
  </w:style>
  <w:style w:type="character" w:customStyle="1" w:styleId="208">
    <w:name w:val="页脚 字符"/>
    <w:link w:val="28"/>
    <w:qFormat/>
    <w:uiPriority w:val="99"/>
    <w:rPr>
      <w:rFonts w:ascii="宋体" w:eastAsia="宋体"/>
      <w:sz w:val="18"/>
      <w:lang w:val="en-US" w:eastAsia="zh-CN" w:bidi="ar-SA"/>
    </w:rPr>
  </w:style>
  <w:style w:type="character" w:customStyle="1" w:styleId="209">
    <w:name w:val="普通文字1 Char1"/>
    <w:qFormat/>
    <w:uiPriority w:val="0"/>
    <w:rPr>
      <w:rFonts w:ascii="宋体" w:hAnsi="Courier New" w:eastAsia="宋体"/>
      <w:kern w:val="2"/>
      <w:sz w:val="21"/>
      <w:lang w:val="en-US" w:eastAsia="zh-CN" w:bidi="ar-SA"/>
    </w:rPr>
  </w:style>
  <w:style w:type="character" w:customStyle="1" w:styleId="210">
    <w:name w:val="日期 字符"/>
    <w:link w:val="25"/>
    <w:qFormat/>
    <w:uiPriority w:val="0"/>
    <w:rPr>
      <w:rFonts w:ascii="仿宋_GB2312" w:hAnsi="宋体" w:eastAsia="仿宋_GB2312"/>
      <w:color w:val="000000"/>
      <w:kern w:val="2"/>
      <w:sz w:val="24"/>
      <w:szCs w:val="24"/>
    </w:rPr>
  </w:style>
  <w:style w:type="character" w:customStyle="1" w:styleId="211">
    <w:name w:val="正文表格 Char"/>
    <w:link w:val="104"/>
    <w:qFormat/>
    <w:uiPriority w:val="0"/>
    <w:rPr>
      <w:rFonts w:ascii="宋体" w:hAnsi="宋体"/>
      <w:color w:val="000000"/>
      <w:kern w:val="2"/>
      <w:sz w:val="21"/>
      <w:szCs w:val="21"/>
    </w:rPr>
  </w:style>
  <w:style w:type="character" w:customStyle="1" w:styleId="212">
    <w:name w:val="chanpin拷贝"/>
    <w:qFormat/>
    <w:uiPriority w:val="0"/>
  </w:style>
  <w:style w:type="character" w:customStyle="1" w:styleId="213">
    <w:name w:val="Char Char111"/>
    <w:qFormat/>
    <w:uiPriority w:val="0"/>
    <w:rPr>
      <w:rFonts w:ascii="宋体" w:eastAsia="宋体"/>
      <w:b/>
      <w:sz w:val="24"/>
      <w:u w:val="single"/>
      <w:lang w:val="en-US" w:eastAsia="zh-CN" w:bidi="ar-SA"/>
    </w:rPr>
  </w:style>
  <w:style w:type="character" w:customStyle="1" w:styleId="214">
    <w:name w:val="列出段落 Char"/>
    <w:qFormat/>
    <w:uiPriority w:val="0"/>
    <w:rPr>
      <w:rFonts w:ascii="Calibri" w:hAnsi="Calibri" w:eastAsia="宋体"/>
      <w:kern w:val="2"/>
      <w:sz w:val="21"/>
      <w:szCs w:val="22"/>
      <w:lang w:val="en-US" w:eastAsia="zh-CN" w:bidi="ar-SA"/>
    </w:rPr>
  </w:style>
  <w:style w:type="character" w:customStyle="1" w:styleId="215">
    <w:name w:val="Char Char11"/>
    <w:qFormat/>
    <w:uiPriority w:val="0"/>
    <w:rPr>
      <w:rFonts w:ascii="宋体" w:eastAsia="宋体"/>
      <w:b/>
      <w:sz w:val="24"/>
      <w:u w:val="single"/>
      <w:lang w:val="en-US" w:eastAsia="zh-CN" w:bidi="ar-SA"/>
    </w:rPr>
  </w:style>
  <w:style w:type="character" w:customStyle="1" w:styleId="216">
    <w:name w:val="正文缩进 字符"/>
    <w:link w:val="2"/>
    <w:qFormat/>
    <w:uiPriority w:val="0"/>
    <w:rPr>
      <w:rFonts w:ascii="宋体" w:eastAsia="宋体"/>
      <w:kern w:val="2"/>
      <w:sz w:val="24"/>
      <w:szCs w:val="24"/>
      <w:lang w:val="en-US" w:eastAsia="zh-CN" w:bidi="ar-SA"/>
    </w:rPr>
  </w:style>
  <w:style w:type="character" w:customStyle="1" w:styleId="217">
    <w:name w:val="c21"/>
    <w:qFormat/>
    <w:uiPriority w:val="0"/>
    <w:rPr>
      <w:rFonts w:hint="default" w:ascii="ˎ̥" w:hAnsi="ˎ̥"/>
      <w:color w:val="000000"/>
      <w:sz w:val="20"/>
      <w:szCs w:val="20"/>
      <w:u w:val="none"/>
    </w:rPr>
  </w:style>
  <w:style w:type="character" w:customStyle="1" w:styleId="218">
    <w:name w:val="street-address"/>
    <w:qFormat/>
    <w:uiPriority w:val="0"/>
  </w:style>
  <w:style w:type="character" w:customStyle="1" w:styleId="219">
    <w:name w:val="纯文本 字符"/>
    <w:qFormat/>
    <w:uiPriority w:val="99"/>
    <w:rPr>
      <w:rFonts w:ascii="宋体" w:hAnsi="Courier New" w:eastAsia="宋体" w:cs="Times New Roman"/>
      <w:kern w:val="2"/>
      <w:sz w:val="21"/>
      <w:szCs w:val="21"/>
      <w:lang w:val="en-US" w:eastAsia="zh-CN" w:bidi="ar-SA"/>
    </w:rPr>
  </w:style>
  <w:style w:type="character" w:customStyle="1" w:styleId="220">
    <w:name w:val="正文文本缩进 Char1"/>
    <w:link w:val="133"/>
    <w:qFormat/>
    <w:uiPriority w:val="0"/>
    <w:rPr>
      <w:rFonts w:ascii="宋体" w:hAnsi="宋体" w:eastAsia="宋体"/>
      <w:sz w:val="24"/>
      <w:szCs w:val="24"/>
      <w:lang w:bidi="ar-SA"/>
    </w:rPr>
  </w:style>
  <w:style w:type="character" w:customStyle="1" w:styleId="221">
    <w:name w:val="批注文字 Char"/>
    <w:qFormat/>
    <w:uiPriority w:val="99"/>
    <w:rPr>
      <w:kern w:val="2"/>
      <w:sz w:val="21"/>
      <w:szCs w:val="24"/>
    </w:rPr>
  </w:style>
  <w:style w:type="character" w:customStyle="1" w:styleId="222">
    <w:name w:val="段1 Char"/>
    <w:qFormat/>
    <w:uiPriority w:val="0"/>
    <w:rPr>
      <w:rFonts w:ascii="宋体" w:eastAsia="宋体"/>
      <w:sz w:val="24"/>
      <w:lang w:val="en-US" w:eastAsia="zh-CN" w:bidi="ar-SA"/>
    </w:rPr>
  </w:style>
  <w:style w:type="character" w:customStyle="1" w:styleId="223">
    <w:name w:val="正文重点 Char"/>
    <w:link w:val="108"/>
    <w:qFormat/>
    <w:uiPriority w:val="0"/>
    <w:rPr>
      <w:b/>
      <w:sz w:val="24"/>
    </w:rPr>
  </w:style>
  <w:style w:type="character" w:customStyle="1" w:styleId="224">
    <w:name w:val="正文大标题 Char"/>
    <w:link w:val="137"/>
    <w:qFormat/>
    <w:uiPriority w:val="0"/>
    <w:rPr>
      <w:rFonts w:ascii="宋体" w:hAnsi="宋体"/>
      <w:b/>
      <w:color w:val="000000"/>
      <w:kern w:val="2"/>
      <w:sz w:val="28"/>
      <w:szCs w:val="21"/>
    </w:rPr>
  </w:style>
  <w:style w:type="character" w:customStyle="1" w:styleId="225">
    <w:name w:val="页脚 Char"/>
    <w:qFormat/>
    <w:uiPriority w:val="0"/>
    <w:rPr>
      <w:rFonts w:ascii="宋体" w:eastAsia="宋体"/>
      <w:sz w:val="18"/>
      <w:lang w:val="en-US" w:eastAsia="zh-CN" w:bidi="ar-SA"/>
    </w:rPr>
  </w:style>
  <w:style w:type="character" w:customStyle="1" w:styleId="226">
    <w:name w:val="HTML 预设格式 字符"/>
    <w:link w:val="36"/>
    <w:qFormat/>
    <w:uiPriority w:val="0"/>
    <w:rPr>
      <w:rFonts w:ascii="宋体" w:hAnsi="宋体" w:cs="宋体"/>
      <w:sz w:val="24"/>
      <w:szCs w:val="24"/>
    </w:rPr>
  </w:style>
  <w:style w:type="character" w:customStyle="1" w:styleId="227">
    <w:name w:val="标题 1 字符"/>
    <w:link w:val="3"/>
    <w:qFormat/>
    <w:uiPriority w:val="0"/>
    <w:rPr>
      <w:rFonts w:ascii="宋体"/>
      <w:b/>
      <w:kern w:val="44"/>
      <w:sz w:val="32"/>
    </w:rPr>
  </w:style>
  <w:style w:type="character" w:customStyle="1" w:styleId="228">
    <w:name w:val="title4"/>
    <w:qFormat/>
    <w:uiPriority w:val="0"/>
    <w:rPr>
      <w:b/>
      <w:bCs/>
      <w:color w:val="1D87B3"/>
      <w:sz w:val="15"/>
      <w:szCs w:val="15"/>
    </w:rPr>
  </w:style>
  <w:style w:type="character" w:customStyle="1" w:styleId="229">
    <w:name w:val="标题 3 Char"/>
    <w:qFormat/>
    <w:uiPriority w:val="0"/>
    <w:rPr>
      <w:rFonts w:ascii="宋体" w:eastAsia="宋体"/>
      <w:b/>
      <w:sz w:val="24"/>
      <w:u w:val="single"/>
      <w:lang w:val="en-US" w:eastAsia="zh-CN" w:bidi="ar-SA"/>
    </w:rPr>
  </w:style>
  <w:style w:type="character" w:customStyle="1" w:styleId="230">
    <w:name w:val="black1"/>
    <w:qFormat/>
    <w:uiPriority w:val="0"/>
    <w:rPr>
      <w:color w:val="000000"/>
    </w:rPr>
  </w:style>
  <w:style w:type="character" w:customStyle="1" w:styleId="231">
    <w:name w:val="正文文本缩进 字符"/>
    <w:link w:val="18"/>
    <w:qFormat/>
    <w:uiPriority w:val="0"/>
    <w:rPr>
      <w:rFonts w:eastAsia="宋体"/>
      <w:kern w:val="2"/>
      <w:sz w:val="24"/>
      <w:szCs w:val="24"/>
      <w:lang w:val="en-US" w:eastAsia="zh-CN" w:bidi="ar-SA"/>
    </w:rPr>
  </w:style>
  <w:style w:type="character" w:customStyle="1" w:styleId="232">
    <w:name w:val="标题 2 Char"/>
    <w:qFormat/>
    <w:uiPriority w:val="0"/>
    <w:rPr>
      <w:rFonts w:ascii="Arial" w:hAnsi="Arial" w:eastAsia="黑体"/>
      <w:b/>
      <w:sz w:val="30"/>
      <w:lang w:val="en-US" w:eastAsia="zh-CN" w:bidi="ar-SA"/>
    </w:rPr>
  </w:style>
  <w:style w:type="character" w:customStyle="1" w:styleId="233">
    <w:name w:val="apple-style-span"/>
    <w:qFormat/>
    <w:uiPriority w:val="0"/>
    <w:rPr>
      <w:rFonts w:cs="Times New Roman"/>
    </w:rPr>
  </w:style>
  <w:style w:type="character" w:customStyle="1" w:styleId="234">
    <w:name w:val="批注框文本 字符"/>
    <w:link w:val="27"/>
    <w:qFormat/>
    <w:uiPriority w:val="0"/>
    <w:rPr>
      <w:kern w:val="2"/>
      <w:sz w:val="18"/>
      <w:szCs w:val="18"/>
    </w:rPr>
  </w:style>
  <w:style w:type="character" w:customStyle="1" w:styleId="235">
    <w:name w:val="中等深浅网格 1 - 强调文字颜色 2 Char"/>
    <w:link w:val="146"/>
    <w:qFormat/>
    <w:uiPriority w:val="0"/>
    <w:rPr>
      <w:kern w:val="2"/>
      <w:sz w:val="21"/>
      <w:szCs w:val="24"/>
      <w:lang w:val="zh-CN" w:eastAsia="zh-CN"/>
    </w:rPr>
  </w:style>
  <w:style w:type="character" w:customStyle="1" w:styleId="236">
    <w:name w:val="locality"/>
    <w:qFormat/>
    <w:uiPriority w:val="0"/>
  </w:style>
  <w:style w:type="character" w:customStyle="1" w:styleId="237">
    <w:name w:val="正文格式 Char"/>
    <w:link w:val="141"/>
    <w:qFormat/>
    <w:locked/>
    <w:uiPriority w:val="0"/>
    <w:rPr>
      <w:rFonts w:ascii="宋体" w:hAnsi="宋体"/>
      <w:sz w:val="24"/>
      <w:szCs w:val="24"/>
      <w:lang w:val="en-GB"/>
    </w:rPr>
  </w:style>
  <w:style w:type="character" w:customStyle="1" w:styleId="238">
    <w:name w:val="正文文本缩进 3 字符"/>
    <w:link w:val="33"/>
    <w:qFormat/>
    <w:uiPriority w:val="0"/>
    <w:rPr>
      <w:rFonts w:ascii="宋体"/>
      <w:sz w:val="24"/>
    </w:rPr>
  </w:style>
  <w:style w:type="character" w:customStyle="1" w:styleId="239">
    <w:name w:val="标题 3 Char Char"/>
    <w:qFormat/>
    <w:uiPriority w:val="0"/>
    <w:rPr>
      <w:rFonts w:eastAsia="宋体"/>
      <w:b/>
      <w:bCs/>
      <w:kern w:val="2"/>
      <w:sz w:val="32"/>
      <w:szCs w:val="32"/>
      <w:lang w:val="en-US" w:eastAsia="zh-CN" w:bidi="ar-SA"/>
    </w:rPr>
  </w:style>
  <w:style w:type="character" w:customStyle="1" w:styleId="240">
    <w:name w:val="正文缩进 Char Char"/>
    <w:link w:val="176"/>
    <w:qFormat/>
    <w:uiPriority w:val="0"/>
    <w:rPr>
      <w:rFonts w:ascii="宋体" w:eastAsia="宋体"/>
      <w:snapToGrid w:val="0"/>
      <w:color w:val="000000"/>
      <w:kern w:val="28"/>
      <w:sz w:val="28"/>
      <w:lang w:bidi="ar-SA"/>
    </w:rPr>
  </w:style>
  <w:style w:type="character" w:customStyle="1" w:styleId="241">
    <w:name w:val="正文文本 字符"/>
    <w:link w:val="17"/>
    <w:qFormat/>
    <w:uiPriority w:val="0"/>
    <w:rPr>
      <w:rFonts w:ascii="宋体" w:hAnsi="宋体"/>
      <w:kern w:val="2"/>
      <w:sz w:val="24"/>
      <w:szCs w:val="24"/>
    </w:rPr>
  </w:style>
  <w:style w:type="character" w:customStyle="1" w:styleId="242">
    <w:name w:val="正文文本缩进 2 字符"/>
    <w:link w:val="26"/>
    <w:qFormat/>
    <w:uiPriority w:val="0"/>
    <w:rPr>
      <w:rFonts w:ascii="仿宋_GB2312" w:eastAsia="仿宋_GB2312"/>
      <w:kern w:val="2"/>
      <w:sz w:val="24"/>
      <w:szCs w:val="24"/>
    </w:rPr>
  </w:style>
  <w:style w:type="character" w:customStyle="1" w:styleId="243">
    <w:name w:val="列出段落 字符"/>
    <w:link w:val="148"/>
    <w:qFormat/>
    <w:uiPriority w:val="34"/>
    <w:rPr>
      <w:rFonts w:ascii="Calibri" w:hAnsi="Calibri" w:eastAsia="宋体"/>
      <w:kern w:val="2"/>
      <w:sz w:val="21"/>
      <w:szCs w:val="22"/>
      <w:lang w:val="en-US" w:eastAsia="zh-CN" w:bidi="ar-SA"/>
    </w:rPr>
  </w:style>
  <w:style w:type="character" w:customStyle="1" w:styleId="244">
    <w:name w:val="标题 Char"/>
    <w:qFormat/>
    <w:uiPriority w:val="0"/>
    <w:rPr>
      <w:b/>
      <w:kern w:val="2"/>
      <w:sz w:val="32"/>
    </w:rPr>
  </w:style>
  <w:style w:type="character" w:customStyle="1" w:styleId="245">
    <w:name w:val="正文小标题 Char"/>
    <w:link w:val="109"/>
    <w:qFormat/>
    <w:uiPriority w:val="0"/>
    <w:rPr>
      <w:rFonts w:ascii="宋体" w:hAnsi="宋体"/>
      <w:b/>
      <w:i/>
      <w:color w:val="FF0000"/>
      <w:kern w:val="2"/>
      <w:sz w:val="24"/>
    </w:rPr>
  </w:style>
  <w:style w:type="character" w:customStyle="1" w:styleId="246">
    <w:name w:val="正文缩进 Char"/>
    <w:qFormat/>
    <w:uiPriority w:val="0"/>
    <w:rPr>
      <w:rFonts w:ascii="宋体" w:eastAsia="宋体"/>
      <w:kern w:val="2"/>
      <w:sz w:val="24"/>
      <w:szCs w:val="24"/>
      <w:lang w:val="en-US" w:eastAsia="zh-CN" w:bidi="ar-SA"/>
    </w:rPr>
  </w:style>
  <w:style w:type="character" w:customStyle="1" w:styleId="247">
    <w:name w:val="文档结构图 字符"/>
    <w:link w:val="14"/>
    <w:qFormat/>
    <w:uiPriority w:val="0"/>
    <w:rPr>
      <w:kern w:val="2"/>
      <w:sz w:val="21"/>
      <w:szCs w:val="24"/>
      <w:shd w:val="clear" w:color="auto" w:fill="000080"/>
    </w:rPr>
  </w:style>
  <w:style w:type="character" w:customStyle="1" w:styleId="248">
    <w:name w:val="纯文本 字符2"/>
    <w:link w:val="23"/>
    <w:qFormat/>
    <w:uiPriority w:val="0"/>
    <w:rPr>
      <w:rFonts w:hint="eastAsia" w:ascii="宋体" w:hAnsi="Courier New" w:eastAsia="宋体" w:cs="宋体"/>
      <w:kern w:val="2"/>
      <w:sz w:val="21"/>
    </w:rPr>
  </w:style>
  <w:style w:type="character" w:customStyle="1" w:styleId="249">
    <w:name w:val="注释 Char"/>
    <w:link w:val="165"/>
    <w:qFormat/>
    <w:uiPriority w:val="0"/>
    <w:rPr>
      <w:rFonts w:ascii="宋体" w:hAnsi="宋体"/>
      <w:kern w:val="2"/>
      <w:sz w:val="21"/>
      <w:szCs w:val="21"/>
    </w:rPr>
  </w:style>
  <w:style w:type="character" w:customStyle="1" w:styleId="250">
    <w:name w:val="页眉 Char"/>
    <w:qFormat/>
    <w:uiPriority w:val="0"/>
    <w:rPr>
      <w:rFonts w:eastAsia="宋体"/>
      <w:kern w:val="2"/>
      <w:sz w:val="18"/>
      <w:szCs w:val="18"/>
      <w:lang w:val="en-US" w:eastAsia="zh-CN" w:bidi="ar-SA"/>
    </w:rPr>
  </w:style>
  <w:style w:type="character" w:customStyle="1" w:styleId="251">
    <w:name w:val="正文文本缩进 Char"/>
    <w:qFormat/>
    <w:uiPriority w:val="0"/>
    <w:rPr>
      <w:rFonts w:eastAsia="宋体"/>
      <w:kern w:val="2"/>
      <w:sz w:val="24"/>
      <w:szCs w:val="24"/>
      <w:lang w:val="en-US" w:eastAsia="zh-CN" w:bidi="ar-SA"/>
    </w:rPr>
  </w:style>
  <w:style w:type="table" w:customStyle="1" w:styleId="252">
    <w:name w:val="Table Normal"/>
    <w:semiHidden/>
    <w:qFormat/>
    <w:uiPriority w:val="2"/>
    <w:pPr>
      <w:widowControl w:val="0"/>
      <w:autoSpaceDE w:val="0"/>
      <w:autoSpaceDN w:val="0"/>
    </w:pPr>
    <w:rPr>
      <w:rFonts w:ascii="Calibri" w:hAnsi="Calibri"/>
      <w:sz w:val="22"/>
      <w:szCs w:val="22"/>
      <w:lang w:val="en-US" w:eastAsia="en-US" w:bidi="ar-SA"/>
    </w:rPr>
    <w:tblPr>
      <w:tblStyle w:val="42"/>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6924</Words>
  <Characters>39469</Characters>
  <Lines>328</Lines>
  <Paragraphs>92</Paragraphs>
  <TotalTime>6.33333333333333</TotalTime>
  <ScaleCrop>false</ScaleCrop>
  <LinksUpToDate>false</LinksUpToDate>
  <CharactersWithSpaces>46301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2024-06-06T14:21:00Z</dcterms:created>
  <dc:creator>Yin Hao</dc:creator>
  <cp:lastModifiedBy>Admin</cp:lastModifiedBy>
  <cp:lastPrinted>2020-04-03T03:13:00Z</cp:lastPrinted>
  <dcterms:modified xsi:type="dcterms:W3CDTF">2025-10-27T01:04:08Z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135B481E5FAF4CB4BDBB5E402BC73CC9_13</vt:lpwstr>
  </property>
  <property fmtid="{D5CDD505-2E9C-101B-9397-08002B2CF9AE}" pid="4" name="KSOTemplateDocerSaveRecord">
    <vt:lpwstr>eyJoZGlkIjoiZGUyZDIxOWVmZjQ4NmU5NjE5ODUyZmZhYTkxMTE0OGQiLCJ1c2VySWQiOiI1NjU0OTIxNzIifQ==</vt:lpwstr>
  </property>
</Properties>
</file>