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D1EC0">
      <w:pPr>
        <w:outlineLvl w:val="9"/>
        <w:rPr>
          <w:rFonts w:ascii="宋体" w:hAnsi="宋体"/>
          <w:b/>
          <w:bCs/>
          <w:color w:val="auto"/>
          <w:sz w:val="28"/>
          <w:szCs w:val="28"/>
          <w:highlight w:val="none"/>
        </w:rPr>
      </w:pPr>
      <w:bookmarkStart w:id="0" w:name="_Toc14805"/>
      <w:bookmarkStart w:id="1" w:name="_Toc26489"/>
      <w:bookmarkStart w:id="2" w:name="_Toc99301418"/>
    </w:p>
    <w:p w14:paraId="1386780A">
      <w:pPr>
        <w:outlineLvl w:val="9"/>
        <w:rPr>
          <w:rFonts w:ascii="宋体" w:hAnsi="宋体"/>
          <w:b/>
          <w:bCs/>
          <w:color w:val="auto"/>
          <w:sz w:val="28"/>
          <w:szCs w:val="28"/>
          <w:highlight w:val="none"/>
        </w:rPr>
      </w:pPr>
    </w:p>
    <w:bookmarkEnd w:id="0"/>
    <w:bookmarkEnd w:id="1"/>
    <w:p w14:paraId="2E550E80">
      <w:pPr>
        <w:pStyle w:val="17"/>
        <w:rPr>
          <w:color w:val="auto"/>
          <w:highlight w:val="none"/>
        </w:rPr>
      </w:pPr>
    </w:p>
    <w:p w14:paraId="2977A0B7">
      <w:pPr>
        <w:pStyle w:val="17"/>
        <w:rPr>
          <w:color w:val="auto"/>
          <w:highlight w:val="none"/>
        </w:rPr>
      </w:pPr>
    </w:p>
    <w:p w14:paraId="6C0A8B81">
      <w:pPr>
        <w:pStyle w:val="17"/>
        <w:spacing w:before="1"/>
        <w:rPr>
          <w:color w:val="auto"/>
          <w:highlight w:val="none"/>
        </w:rPr>
      </w:pPr>
    </w:p>
    <w:p w14:paraId="71773CF5">
      <w:pPr>
        <w:jc w:val="center"/>
        <w:outlineLvl w:val="9"/>
        <w:rPr>
          <w:rFonts w:ascii="宋体" w:hAnsi="宋体"/>
          <w:b/>
          <w:bCs/>
          <w:color w:val="auto"/>
          <w:sz w:val="48"/>
          <w:szCs w:val="48"/>
          <w:highlight w:val="none"/>
        </w:rPr>
      </w:pPr>
      <w:bookmarkStart w:id="3" w:name="_Toc4875"/>
      <w:bookmarkStart w:id="4" w:name="_Toc11452"/>
      <w:r>
        <w:rPr>
          <w:rFonts w:hint="eastAsia" w:ascii="宋体" w:hAnsi="宋体"/>
          <w:b/>
          <w:bCs/>
          <w:color w:val="auto"/>
          <w:sz w:val="48"/>
          <w:szCs w:val="48"/>
          <w:highlight w:val="none"/>
        </w:rPr>
        <w:t>北京城市副中心绿地养护</w:t>
      </w:r>
      <w:r>
        <w:rPr>
          <w:rFonts w:hint="eastAsia" w:ascii="宋体" w:hAnsi="宋体"/>
          <w:b/>
          <w:bCs/>
          <w:color w:val="auto"/>
          <w:sz w:val="48"/>
          <w:szCs w:val="48"/>
          <w:highlight w:val="none"/>
          <w:lang w:val="en-US" w:eastAsia="zh-CN"/>
        </w:rPr>
        <w:t>项目招标文件</w:t>
      </w:r>
      <w:bookmarkEnd w:id="3"/>
      <w:bookmarkEnd w:id="4"/>
    </w:p>
    <w:p w14:paraId="42582EC0">
      <w:pPr>
        <w:jc w:val="center"/>
        <w:rPr>
          <w:rFonts w:ascii="宋体" w:hAnsi="宋体"/>
          <w:color w:val="auto"/>
          <w:sz w:val="24"/>
          <w:highlight w:val="none"/>
        </w:rPr>
      </w:pPr>
    </w:p>
    <w:p w14:paraId="64D3E2F9">
      <w:pPr>
        <w:jc w:val="center"/>
        <w:rPr>
          <w:rFonts w:ascii="宋体" w:hAnsi="宋体"/>
          <w:color w:val="auto"/>
          <w:sz w:val="24"/>
          <w:highlight w:val="none"/>
        </w:rPr>
      </w:pPr>
    </w:p>
    <w:p w14:paraId="3EBCAB38">
      <w:pPr>
        <w:jc w:val="center"/>
        <w:rPr>
          <w:rFonts w:ascii="宋体" w:hAnsi="宋体"/>
          <w:color w:val="auto"/>
          <w:sz w:val="24"/>
          <w:highlight w:val="none"/>
        </w:rPr>
      </w:pPr>
    </w:p>
    <w:p w14:paraId="13AF9E91">
      <w:pPr>
        <w:rPr>
          <w:rFonts w:ascii="宋体" w:hAnsi="宋体"/>
          <w:color w:val="auto"/>
          <w:sz w:val="24"/>
          <w:highlight w:val="none"/>
        </w:rPr>
      </w:pPr>
    </w:p>
    <w:p w14:paraId="5539348A">
      <w:pPr>
        <w:rPr>
          <w:rFonts w:ascii="宋体" w:hAnsi="宋体"/>
          <w:color w:val="auto"/>
          <w:sz w:val="32"/>
          <w:szCs w:val="32"/>
          <w:highlight w:val="none"/>
        </w:rPr>
      </w:pPr>
    </w:p>
    <w:p w14:paraId="37ABEBC6">
      <w:pPr>
        <w:rPr>
          <w:color w:val="auto"/>
          <w:highlight w:val="none"/>
        </w:rPr>
      </w:pPr>
    </w:p>
    <w:p w14:paraId="0C6B09D2">
      <w:pPr>
        <w:rPr>
          <w:color w:val="auto"/>
          <w:highlight w:val="none"/>
        </w:rPr>
      </w:pPr>
    </w:p>
    <w:p w14:paraId="785AF086">
      <w:pPr>
        <w:rPr>
          <w:color w:val="auto"/>
          <w:highlight w:val="none"/>
        </w:rPr>
      </w:pPr>
    </w:p>
    <w:p w14:paraId="09AF4995">
      <w:pPr>
        <w:rPr>
          <w:color w:val="auto"/>
          <w:highlight w:val="none"/>
        </w:rPr>
      </w:pPr>
    </w:p>
    <w:p w14:paraId="560C0BC3">
      <w:pPr>
        <w:rPr>
          <w:color w:val="auto"/>
          <w:highlight w:val="none"/>
        </w:rPr>
      </w:pPr>
    </w:p>
    <w:p w14:paraId="67C73CD0">
      <w:pPr>
        <w:rPr>
          <w:color w:val="auto"/>
          <w:highlight w:val="none"/>
        </w:rPr>
      </w:pPr>
    </w:p>
    <w:p w14:paraId="4CEC27E4">
      <w:pPr>
        <w:rPr>
          <w:rFonts w:hint="eastAsia"/>
          <w:color w:val="auto"/>
          <w:highlight w:val="none"/>
        </w:rPr>
      </w:pPr>
    </w:p>
    <w:p w14:paraId="48354258">
      <w:pPr>
        <w:rPr>
          <w:rFonts w:hint="default" w:ascii="宋体" w:hAnsi="宋体"/>
          <w:color w:val="auto"/>
          <w:sz w:val="32"/>
          <w:szCs w:val="32"/>
          <w:highlight w:val="none"/>
          <w:lang w:val="en-US" w:eastAsia="zh-CN"/>
        </w:rPr>
      </w:pPr>
      <w:r>
        <w:rPr>
          <w:rFonts w:ascii="宋体" w:hAnsi="宋体"/>
          <w:color w:val="auto"/>
          <w:sz w:val="32"/>
          <w:szCs w:val="32"/>
          <w:highlight w:val="none"/>
        </w:rPr>
        <w:t>项目名称：</w:t>
      </w:r>
      <w:r>
        <w:rPr>
          <w:rFonts w:hint="eastAsia" w:ascii="宋体" w:hAnsi="宋体"/>
          <w:color w:val="auto"/>
          <w:sz w:val="32"/>
          <w:szCs w:val="32"/>
          <w:highlight w:val="none"/>
          <w:lang w:eastAsia="zh-CN"/>
        </w:rPr>
        <w:t>北京城市副中心绿地养护</w:t>
      </w:r>
      <w:r>
        <w:rPr>
          <w:rFonts w:hint="eastAsia" w:ascii="宋体" w:hAnsi="宋体"/>
          <w:color w:val="auto"/>
          <w:sz w:val="32"/>
          <w:szCs w:val="32"/>
          <w:highlight w:val="none"/>
          <w:lang w:val="en-US" w:eastAsia="zh-CN"/>
        </w:rPr>
        <w:t>项目</w:t>
      </w:r>
    </w:p>
    <w:p w14:paraId="52A8C3B7">
      <w:pPr>
        <w:rPr>
          <w:rFonts w:hint="eastAsia" w:ascii="宋体" w:hAnsi="宋体" w:eastAsia="宋体"/>
          <w:color w:val="auto"/>
          <w:sz w:val="32"/>
          <w:szCs w:val="32"/>
          <w:highlight w:val="none"/>
          <w:lang w:eastAsia="zh-CN"/>
        </w:rPr>
      </w:pPr>
      <w:r>
        <w:rPr>
          <w:rFonts w:ascii="宋体" w:hAnsi="宋体"/>
          <w:color w:val="auto"/>
          <w:sz w:val="32"/>
          <w:szCs w:val="32"/>
          <w:highlight w:val="none"/>
        </w:rPr>
        <w:t>项目编号</w:t>
      </w:r>
      <w:r>
        <w:rPr>
          <w:rFonts w:hint="eastAsia" w:ascii="宋体" w:hAnsi="宋体"/>
          <w:color w:val="auto"/>
          <w:sz w:val="32"/>
          <w:szCs w:val="32"/>
          <w:highlight w:val="none"/>
          <w:lang w:eastAsia="zh-CN"/>
        </w:rPr>
        <w:t>：11000025210200158650-XM001</w:t>
      </w:r>
    </w:p>
    <w:p w14:paraId="36B88883">
      <w:pPr>
        <w:rPr>
          <w:rFonts w:ascii="宋体" w:hAnsi="宋体"/>
          <w:color w:val="auto"/>
          <w:sz w:val="32"/>
          <w:szCs w:val="32"/>
          <w:highlight w:val="none"/>
        </w:rPr>
      </w:pPr>
      <w:r>
        <w:rPr>
          <w:rFonts w:ascii="宋体" w:hAnsi="宋体"/>
          <w:color w:val="auto"/>
          <w:sz w:val="32"/>
          <w:szCs w:val="32"/>
          <w:highlight w:val="none"/>
        </w:rPr>
        <w:t>采购人：</w:t>
      </w:r>
      <w:r>
        <w:rPr>
          <w:rFonts w:hint="eastAsia"/>
          <w:color w:val="auto"/>
          <w:sz w:val="32"/>
          <w:szCs w:val="32"/>
          <w:highlight w:val="none"/>
          <w:lang w:val="en-US" w:eastAsia="zh-CN"/>
        </w:rPr>
        <w:t>北京市绿地养护管理事务中心</w:t>
      </w:r>
    </w:p>
    <w:p w14:paraId="7093F24C">
      <w:pPr>
        <w:rPr>
          <w:rFonts w:ascii="宋体" w:hAnsi="宋体"/>
          <w:color w:val="auto"/>
          <w:sz w:val="32"/>
          <w:szCs w:val="32"/>
          <w:highlight w:val="none"/>
        </w:rPr>
      </w:pPr>
      <w:r>
        <w:rPr>
          <w:rFonts w:ascii="宋体" w:hAnsi="宋体"/>
          <w:color w:val="auto"/>
          <w:sz w:val="32"/>
          <w:szCs w:val="32"/>
          <w:highlight w:val="none"/>
        </w:rPr>
        <w:t>采购代理机构：</w:t>
      </w:r>
      <w:r>
        <w:rPr>
          <w:rFonts w:hint="eastAsia" w:ascii="宋体" w:hAnsi="宋体"/>
          <w:color w:val="auto"/>
          <w:sz w:val="32"/>
          <w:szCs w:val="32"/>
          <w:highlight w:val="none"/>
        </w:rPr>
        <w:t>北京</w:t>
      </w:r>
      <w:r>
        <w:rPr>
          <w:rFonts w:hint="eastAsia" w:ascii="宋体" w:hAnsi="宋体"/>
          <w:color w:val="auto"/>
          <w:sz w:val="32"/>
          <w:szCs w:val="32"/>
          <w:highlight w:val="none"/>
          <w:lang w:val="en-US" w:eastAsia="zh-CN"/>
        </w:rPr>
        <w:t>华建联造价工程师事务所有限公司</w:t>
      </w:r>
    </w:p>
    <w:p w14:paraId="076F8927">
      <w:pPr>
        <w:jc w:val="center"/>
        <w:rPr>
          <w:rFonts w:ascii="宋体" w:hAnsi="宋体"/>
          <w:color w:val="auto"/>
          <w:sz w:val="24"/>
          <w:highlight w:val="none"/>
        </w:rPr>
      </w:pPr>
    </w:p>
    <w:p w14:paraId="6F123D77">
      <w:pPr>
        <w:jc w:val="center"/>
        <w:rPr>
          <w:rFonts w:ascii="宋体" w:hAnsi="宋体"/>
          <w:color w:val="auto"/>
          <w:sz w:val="24"/>
          <w:highlight w:val="none"/>
        </w:rPr>
        <w:sectPr>
          <w:headerReference r:id="rId3" w:type="default"/>
          <w:footerReference r:id="rId4" w:type="default"/>
          <w:type w:val="nextColumn"/>
          <w:pgSz w:w="11906" w:h="16838"/>
          <w:pgMar w:top="1440" w:right="1800" w:bottom="1440" w:left="1800" w:header="851" w:footer="992" w:gutter="0"/>
          <w:pgNumType w:start="1"/>
          <w:cols w:space="720" w:num="1"/>
          <w:docGrid w:type="lines" w:linePitch="312" w:charSpace="0"/>
        </w:sectPr>
      </w:pPr>
    </w:p>
    <w:p w14:paraId="673D8ADA">
      <w:pPr>
        <w:pStyle w:val="44"/>
        <w:ind w:firstLine="480"/>
        <w:rPr>
          <w:rFonts w:ascii="宋体" w:hAnsi="宋体"/>
          <w:color w:val="auto"/>
          <w:szCs w:val="24"/>
          <w:highlight w:val="none"/>
        </w:rPr>
      </w:pPr>
    </w:p>
    <w:p w14:paraId="2C8A9221">
      <w:pPr>
        <w:spacing w:line="360" w:lineRule="auto"/>
        <w:jc w:val="center"/>
        <w:outlineLvl w:val="9"/>
        <w:rPr>
          <w:rFonts w:ascii="宋体" w:hAnsi="宋体"/>
          <w:color w:val="auto"/>
          <w:sz w:val="24"/>
          <w:highlight w:val="none"/>
        </w:rPr>
      </w:pPr>
    </w:p>
    <w:p w14:paraId="76B6CEFB">
      <w:pPr>
        <w:tabs>
          <w:tab w:val="center" w:pos="4212"/>
          <w:tab w:val="left" w:pos="7581"/>
        </w:tabs>
        <w:spacing w:line="360" w:lineRule="auto"/>
        <w:jc w:val="left"/>
        <w:outlineLvl w:val="9"/>
        <w:rPr>
          <w:rFonts w:ascii="宋体" w:hAnsi="宋体"/>
          <w:b/>
          <w:color w:val="auto"/>
          <w:sz w:val="24"/>
          <w:highlight w:val="none"/>
        </w:rPr>
      </w:pPr>
      <w:r>
        <w:rPr>
          <w:rFonts w:hint="eastAsia" w:ascii="宋体" w:hAnsi="宋体"/>
          <w:b/>
          <w:color w:val="auto"/>
          <w:sz w:val="24"/>
          <w:highlight w:val="none"/>
        </w:rPr>
        <w:tab/>
      </w:r>
      <w:bookmarkEnd w:id="2"/>
      <w:r>
        <w:rPr>
          <w:rFonts w:hint="eastAsia" w:ascii="宋体" w:hAnsi="宋体"/>
          <w:b/>
          <w:color w:val="auto"/>
          <w:sz w:val="24"/>
          <w:highlight w:val="none"/>
        </w:rPr>
        <w:tab/>
      </w:r>
    </w:p>
    <w:p w14:paraId="2CD8129A">
      <w:pPr>
        <w:rPr>
          <w:rFonts w:ascii="宋体" w:hAnsi="宋体"/>
          <w:color w:val="auto"/>
          <w:sz w:val="24"/>
          <w:highlight w:val="none"/>
        </w:rPr>
      </w:pPr>
    </w:p>
    <w:sdt>
      <w:sdtPr>
        <w:rPr>
          <w:rFonts w:ascii="宋体" w:hAnsi="宋体"/>
          <w:b/>
          <w:color w:val="auto"/>
          <w:sz w:val="24"/>
          <w:highlight w:val="none"/>
          <w:lang w:val="en-US" w:eastAsia="zh-CN"/>
        </w:rPr>
        <w:id w:val="147481246"/>
        <w15:color w:val="DBDBDB"/>
        <w:docPartObj>
          <w:docPartGallery w:val="Table of Contents"/>
          <w:docPartUnique/>
        </w:docPartObj>
      </w:sdtPr>
      <w:sdtEndPr>
        <w:rPr>
          <w:rFonts w:ascii="宋体" w:hAnsi="宋体" w:eastAsia="宋体" w:cs="Times New Roman"/>
          <w:b/>
          <w:color w:val="auto"/>
          <w:kern w:val="2"/>
          <w:sz w:val="21"/>
          <w:szCs w:val="24"/>
          <w:highlight w:val="none"/>
          <w:lang w:val="en-US" w:eastAsia="zh-CN" w:bidi="ar-SA"/>
        </w:rPr>
      </w:sdtEndPr>
      <w:sdtContent>
        <w:p w14:paraId="5C9F1FF3">
          <w:pPr>
            <w:spacing w:before="0" w:beforeLines="0" w:after="0" w:afterLines="0" w:line="240" w:lineRule="auto"/>
            <w:ind w:left="0" w:leftChars="0" w:right="0" w:rightChars="0" w:firstLine="0" w:firstLineChars="0"/>
            <w:jc w:val="center"/>
            <w:rPr>
              <w:b w:val="0"/>
              <w:bCs/>
              <w:color w:val="auto"/>
              <w:sz w:val="30"/>
              <w:szCs w:val="30"/>
              <w:highlight w:val="none"/>
            </w:rPr>
          </w:pPr>
          <w:r>
            <w:rPr>
              <w:rFonts w:ascii="宋体" w:hAnsi="宋体"/>
              <w:b w:val="0"/>
              <w:bCs/>
              <w:color w:val="auto"/>
              <w:sz w:val="30"/>
              <w:szCs w:val="30"/>
              <w:highlight w:val="none"/>
            </w:rPr>
            <w:t>目录</w:t>
          </w:r>
          <w:r>
            <w:rPr>
              <w:rFonts w:ascii="宋体" w:hAnsi="宋体"/>
              <w:b w:val="0"/>
              <w:bCs/>
              <w:color w:val="auto"/>
              <w:sz w:val="30"/>
              <w:szCs w:val="30"/>
              <w:highlight w:val="none"/>
            </w:rPr>
            <w:fldChar w:fldCharType="begin"/>
          </w:r>
          <w:r>
            <w:rPr>
              <w:rFonts w:ascii="宋体" w:hAnsi="宋体"/>
              <w:b w:val="0"/>
              <w:bCs/>
              <w:color w:val="auto"/>
              <w:sz w:val="30"/>
              <w:szCs w:val="30"/>
              <w:highlight w:val="none"/>
            </w:rPr>
            <w:instrText xml:space="preserve">TOC \o "1-1" \h \u </w:instrText>
          </w:r>
          <w:r>
            <w:rPr>
              <w:rFonts w:ascii="宋体" w:hAnsi="宋体"/>
              <w:b w:val="0"/>
              <w:bCs/>
              <w:color w:val="auto"/>
              <w:sz w:val="30"/>
              <w:szCs w:val="30"/>
              <w:highlight w:val="none"/>
            </w:rPr>
            <w:fldChar w:fldCharType="separate"/>
          </w:r>
        </w:p>
        <w:p w14:paraId="4AAA72AB">
          <w:pPr>
            <w:pStyle w:val="256"/>
            <w:tabs>
              <w:tab w:val="right" w:leader="dot" w:pos="8306"/>
            </w:tabs>
            <w:rPr>
              <w:rFonts w:ascii="宋体" w:hAnsi="宋体" w:eastAsia="宋体" w:cs="Times New Roman"/>
              <w:b w:val="0"/>
              <w:bCs/>
              <w:color w:val="auto"/>
              <w:kern w:val="2"/>
              <w:sz w:val="30"/>
              <w:szCs w:val="30"/>
              <w:highlight w:val="none"/>
              <w:lang w:val="en-US" w:eastAsia="zh-CN" w:bidi="ar-SA"/>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_Toc10043 </w:instrText>
          </w:r>
          <w:r>
            <w:rPr>
              <w:rFonts w:ascii="宋体" w:hAnsi="宋体" w:eastAsia="宋体" w:cs="Times New Roman"/>
              <w:b w:val="0"/>
              <w:bCs/>
              <w:color w:val="auto"/>
              <w:kern w:val="2"/>
              <w:sz w:val="30"/>
              <w:szCs w:val="30"/>
              <w:highlight w:val="none"/>
              <w:lang w:val="en-US" w:eastAsia="zh-CN" w:bidi="ar-SA"/>
            </w:rPr>
            <w:fldChar w:fldCharType="separate"/>
          </w:r>
          <w:r>
            <w:rPr>
              <w:rFonts w:hint="eastAsia" w:ascii="宋体" w:hAnsi="宋体" w:eastAsia="宋体" w:cs="Times New Roman"/>
              <w:b w:val="0"/>
              <w:bCs/>
              <w:color w:val="auto"/>
              <w:kern w:val="2"/>
              <w:sz w:val="30"/>
              <w:szCs w:val="30"/>
              <w:highlight w:val="none"/>
              <w:lang w:val="en-US" w:eastAsia="zh-CN" w:bidi="ar-SA"/>
            </w:rPr>
            <w:t xml:space="preserve">第一章 </w:t>
          </w:r>
          <w:r>
            <w:rPr>
              <w:rFonts w:hint="eastAsia" w:ascii="宋体" w:hAnsi="宋体" w:cs="Times New Roman"/>
              <w:b w:val="0"/>
              <w:bCs/>
              <w:color w:val="auto"/>
              <w:kern w:val="2"/>
              <w:sz w:val="30"/>
              <w:szCs w:val="30"/>
              <w:highlight w:val="none"/>
              <w:lang w:val="en-US" w:eastAsia="zh-CN" w:bidi="ar-SA"/>
            </w:rPr>
            <w:t xml:space="preserve">  </w:t>
          </w:r>
          <w:r>
            <w:rPr>
              <w:rFonts w:ascii="宋体" w:hAnsi="宋体" w:eastAsia="宋体" w:cs="Times New Roman"/>
              <w:b w:val="0"/>
              <w:bCs/>
              <w:color w:val="auto"/>
              <w:kern w:val="2"/>
              <w:sz w:val="30"/>
              <w:szCs w:val="30"/>
              <w:highlight w:val="none"/>
              <w:lang w:val="en-US" w:eastAsia="zh-CN" w:bidi="ar-SA"/>
            </w:rPr>
            <w:t>投标邀请</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_Toc10043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1</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36444689">
          <w:pPr>
            <w:pStyle w:val="256"/>
            <w:tabs>
              <w:tab w:val="right" w:leader="dot" w:pos="8306"/>
            </w:tabs>
            <w:rPr>
              <w:rFonts w:ascii="宋体" w:hAnsi="宋体" w:eastAsia="宋体" w:cs="Times New Roman"/>
              <w:b w:val="0"/>
              <w:bCs/>
              <w:color w:val="auto"/>
              <w:kern w:val="2"/>
              <w:sz w:val="30"/>
              <w:szCs w:val="30"/>
              <w:highlight w:val="none"/>
              <w:lang w:val="en-US" w:eastAsia="zh-CN" w:bidi="ar-SA"/>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_Toc13534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第二章   投标人须知</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_Toc13534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7</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3E856593">
          <w:pPr>
            <w:pStyle w:val="256"/>
            <w:tabs>
              <w:tab w:val="right" w:leader="dot" w:pos="8306"/>
            </w:tabs>
            <w:rPr>
              <w:rFonts w:ascii="宋体" w:hAnsi="宋体" w:eastAsia="宋体" w:cs="Times New Roman"/>
              <w:b w:val="0"/>
              <w:bCs/>
              <w:color w:val="auto"/>
              <w:kern w:val="2"/>
              <w:sz w:val="30"/>
              <w:szCs w:val="30"/>
              <w:highlight w:val="none"/>
              <w:lang w:val="en-US" w:eastAsia="zh-CN" w:bidi="ar-SA"/>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_Toc3761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第三章   资格审查</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_Toc3761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23</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7DA79BA5">
          <w:pPr>
            <w:pStyle w:val="256"/>
            <w:tabs>
              <w:tab w:val="right" w:leader="dot" w:pos="8306"/>
            </w:tabs>
            <w:rPr>
              <w:rFonts w:ascii="宋体" w:hAnsi="宋体" w:eastAsia="宋体" w:cs="Times New Roman"/>
              <w:b w:val="0"/>
              <w:bCs/>
              <w:color w:val="auto"/>
              <w:kern w:val="2"/>
              <w:sz w:val="30"/>
              <w:szCs w:val="30"/>
              <w:highlight w:val="none"/>
              <w:lang w:val="en-US" w:eastAsia="zh-CN" w:bidi="ar-SA"/>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_Toc27514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第四章   评标程序、评标方法和评标标准</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_Toc27514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27</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12B04E67">
          <w:pPr>
            <w:pStyle w:val="256"/>
            <w:tabs>
              <w:tab w:val="right" w:leader="dot" w:pos="8306"/>
            </w:tabs>
            <w:rPr>
              <w:rFonts w:ascii="宋体" w:hAnsi="宋体" w:eastAsia="宋体" w:cs="Times New Roman"/>
              <w:b w:val="0"/>
              <w:bCs/>
              <w:color w:val="auto"/>
              <w:kern w:val="2"/>
              <w:sz w:val="30"/>
              <w:szCs w:val="30"/>
              <w:highlight w:val="none"/>
              <w:lang w:val="en-US" w:eastAsia="zh-CN" w:bidi="ar-SA"/>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_Toc32518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 xml:space="preserve">第五章   </w:t>
          </w:r>
          <w:r>
            <w:rPr>
              <w:rFonts w:hint="eastAsia" w:ascii="宋体" w:hAnsi="宋体" w:eastAsia="宋体" w:cs="Times New Roman"/>
              <w:b w:val="0"/>
              <w:bCs/>
              <w:color w:val="auto"/>
              <w:kern w:val="2"/>
              <w:sz w:val="30"/>
              <w:szCs w:val="30"/>
              <w:highlight w:val="none"/>
              <w:lang w:val="en-US" w:eastAsia="zh-CN" w:bidi="ar-SA"/>
            </w:rPr>
            <w:t>采购</w:t>
          </w:r>
          <w:r>
            <w:rPr>
              <w:rFonts w:ascii="宋体" w:hAnsi="宋体" w:eastAsia="宋体" w:cs="Times New Roman"/>
              <w:b w:val="0"/>
              <w:bCs/>
              <w:color w:val="auto"/>
              <w:kern w:val="2"/>
              <w:sz w:val="30"/>
              <w:szCs w:val="30"/>
              <w:highlight w:val="none"/>
              <w:lang w:val="en-US" w:eastAsia="zh-CN" w:bidi="ar-SA"/>
            </w:rPr>
            <w:t>需求</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_Toc32518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51</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59419D21">
          <w:pPr>
            <w:pStyle w:val="256"/>
            <w:tabs>
              <w:tab w:val="right" w:leader="dot" w:pos="8306"/>
            </w:tabs>
            <w:rPr>
              <w:rFonts w:ascii="宋体" w:hAnsi="宋体" w:eastAsia="宋体" w:cs="Times New Roman"/>
              <w:b w:val="0"/>
              <w:bCs/>
              <w:color w:val="auto"/>
              <w:kern w:val="2"/>
              <w:sz w:val="30"/>
              <w:szCs w:val="30"/>
              <w:highlight w:val="none"/>
              <w:lang w:val="en-US" w:eastAsia="zh-CN" w:bidi="ar-SA"/>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_Toc19608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第六章   拟签订的合同文本</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_Toc19608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56</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5C5FD27A">
          <w:pPr>
            <w:pStyle w:val="256"/>
            <w:tabs>
              <w:tab w:val="right" w:leader="dot" w:pos="8306"/>
            </w:tabs>
            <w:rPr>
              <w:b w:val="0"/>
              <w:bCs/>
              <w:color w:val="auto"/>
              <w:sz w:val="30"/>
              <w:szCs w:val="30"/>
              <w:highlight w:val="none"/>
            </w:rPr>
          </w:pP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HYPERLINK \l _Toc31090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第七章   投标文件格式</w:t>
          </w:r>
          <w:r>
            <w:rPr>
              <w:rFonts w:ascii="宋体" w:hAnsi="宋体" w:eastAsia="宋体" w:cs="Times New Roman"/>
              <w:b w:val="0"/>
              <w:bCs/>
              <w:color w:val="auto"/>
              <w:kern w:val="2"/>
              <w:sz w:val="30"/>
              <w:szCs w:val="30"/>
              <w:highlight w:val="none"/>
              <w:lang w:val="en-US" w:eastAsia="zh-CN" w:bidi="ar-SA"/>
            </w:rPr>
            <w:tab/>
          </w:r>
          <w:r>
            <w:rPr>
              <w:rFonts w:ascii="宋体" w:hAnsi="宋体" w:eastAsia="宋体" w:cs="Times New Roman"/>
              <w:b w:val="0"/>
              <w:bCs/>
              <w:color w:val="auto"/>
              <w:kern w:val="2"/>
              <w:sz w:val="30"/>
              <w:szCs w:val="30"/>
              <w:highlight w:val="none"/>
              <w:lang w:val="en-US" w:eastAsia="zh-CN" w:bidi="ar-SA"/>
            </w:rPr>
            <w:fldChar w:fldCharType="begin"/>
          </w:r>
          <w:r>
            <w:rPr>
              <w:rFonts w:ascii="宋体" w:hAnsi="宋体" w:eastAsia="宋体" w:cs="Times New Roman"/>
              <w:b w:val="0"/>
              <w:bCs/>
              <w:color w:val="auto"/>
              <w:kern w:val="2"/>
              <w:sz w:val="30"/>
              <w:szCs w:val="30"/>
              <w:highlight w:val="none"/>
              <w:lang w:val="en-US" w:eastAsia="zh-CN" w:bidi="ar-SA"/>
            </w:rPr>
            <w:instrText xml:space="preserve"> PAGEREF _Toc31090 \h </w:instrText>
          </w:r>
          <w:r>
            <w:rPr>
              <w:rFonts w:ascii="宋体" w:hAnsi="宋体" w:eastAsia="宋体" w:cs="Times New Roman"/>
              <w:b w:val="0"/>
              <w:bCs/>
              <w:color w:val="auto"/>
              <w:kern w:val="2"/>
              <w:sz w:val="30"/>
              <w:szCs w:val="30"/>
              <w:highlight w:val="none"/>
              <w:lang w:val="en-US" w:eastAsia="zh-CN" w:bidi="ar-SA"/>
            </w:rPr>
            <w:fldChar w:fldCharType="separate"/>
          </w:r>
          <w:r>
            <w:rPr>
              <w:rFonts w:ascii="宋体" w:hAnsi="宋体" w:eastAsia="宋体" w:cs="Times New Roman"/>
              <w:b w:val="0"/>
              <w:bCs/>
              <w:color w:val="auto"/>
              <w:kern w:val="2"/>
              <w:sz w:val="30"/>
              <w:szCs w:val="30"/>
              <w:highlight w:val="none"/>
              <w:lang w:val="en-US" w:eastAsia="zh-CN" w:bidi="ar-SA"/>
            </w:rPr>
            <w:t>65</w:t>
          </w:r>
          <w:r>
            <w:rPr>
              <w:rFonts w:ascii="宋体" w:hAnsi="宋体" w:eastAsia="宋体" w:cs="Times New Roman"/>
              <w:b w:val="0"/>
              <w:bCs/>
              <w:color w:val="auto"/>
              <w:kern w:val="2"/>
              <w:sz w:val="30"/>
              <w:szCs w:val="30"/>
              <w:highlight w:val="none"/>
              <w:lang w:val="en-US" w:eastAsia="zh-CN" w:bidi="ar-SA"/>
            </w:rPr>
            <w:fldChar w:fldCharType="end"/>
          </w:r>
          <w:r>
            <w:rPr>
              <w:rFonts w:ascii="宋体" w:hAnsi="宋体" w:eastAsia="宋体" w:cs="Times New Roman"/>
              <w:b w:val="0"/>
              <w:bCs/>
              <w:color w:val="auto"/>
              <w:kern w:val="2"/>
              <w:sz w:val="30"/>
              <w:szCs w:val="30"/>
              <w:highlight w:val="none"/>
              <w:lang w:val="en-US" w:eastAsia="zh-CN" w:bidi="ar-SA"/>
            </w:rPr>
            <w:fldChar w:fldCharType="end"/>
          </w:r>
        </w:p>
        <w:p w14:paraId="055EEDF6">
          <w:pPr>
            <w:rPr>
              <w:b w:val="0"/>
              <w:color w:val="auto"/>
              <w:highlight w:val="none"/>
            </w:rPr>
          </w:pPr>
          <w:r>
            <w:rPr>
              <w:rFonts w:ascii="宋体" w:hAnsi="宋体"/>
              <w:b w:val="0"/>
              <w:bCs/>
              <w:color w:val="auto"/>
              <w:sz w:val="30"/>
              <w:szCs w:val="30"/>
              <w:highlight w:val="none"/>
            </w:rPr>
            <w:fldChar w:fldCharType="end"/>
          </w:r>
        </w:p>
      </w:sdtContent>
    </w:sdt>
    <w:p w14:paraId="678E150A">
      <w:pPr>
        <w:spacing w:line="360" w:lineRule="auto"/>
        <w:jc w:val="center"/>
        <w:outlineLvl w:val="9"/>
        <w:rPr>
          <w:rFonts w:ascii="宋体" w:hAnsi="宋体"/>
          <w:b/>
          <w:color w:val="auto"/>
          <w:sz w:val="24"/>
          <w:highlight w:val="none"/>
        </w:rPr>
      </w:pPr>
      <w:bookmarkStart w:id="5" w:name="_Toc99301419"/>
    </w:p>
    <w:p w14:paraId="2B791ECF">
      <w:pPr>
        <w:rPr>
          <w:rFonts w:ascii="Times New Roman" w:hAnsi="Times New Roman" w:eastAsia="宋体" w:cs="Times New Roman"/>
          <w:color w:val="auto"/>
          <w:kern w:val="2"/>
          <w:sz w:val="21"/>
          <w:szCs w:val="24"/>
          <w:highlight w:val="none"/>
          <w:lang w:val="en-US" w:eastAsia="zh-CN" w:bidi="ar-SA"/>
        </w:rPr>
      </w:pPr>
    </w:p>
    <w:p w14:paraId="7D7159DC">
      <w:pPr>
        <w:tabs>
          <w:tab w:val="left" w:pos="5897"/>
        </w:tabs>
        <w:rPr>
          <w:color w:val="auto"/>
          <w:highlight w:val="none"/>
          <w:lang w:val="en-US" w:eastAsia="zh-CN"/>
        </w:rPr>
      </w:pPr>
      <w:r>
        <w:rPr>
          <w:rFonts w:hint="eastAsia"/>
          <w:color w:val="auto"/>
          <w:highlight w:val="none"/>
          <w:lang w:val="en-US" w:eastAsia="zh-CN"/>
        </w:rPr>
        <w:tab/>
      </w:r>
    </w:p>
    <w:p w14:paraId="68F8C895">
      <w:pPr>
        <w:rPr>
          <w:color w:val="auto"/>
          <w:highlight w:val="none"/>
          <w:lang w:val="en-US" w:eastAsia="zh-CN"/>
        </w:rPr>
      </w:pPr>
    </w:p>
    <w:p w14:paraId="38D47721">
      <w:pPr>
        <w:rPr>
          <w:color w:val="auto"/>
          <w:highlight w:val="none"/>
          <w:lang w:val="en-US" w:eastAsia="zh-CN"/>
        </w:rPr>
      </w:pPr>
    </w:p>
    <w:p w14:paraId="603BC3C0">
      <w:pPr>
        <w:rPr>
          <w:color w:val="auto"/>
          <w:highlight w:val="none"/>
          <w:lang w:val="en-US" w:eastAsia="zh-CN"/>
        </w:rPr>
      </w:pPr>
    </w:p>
    <w:p w14:paraId="37D89F77">
      <w:pPr>
        <w:rPr>
          <w:color w:val="auto"/>
          <w:highlight w:val="none"/>
          <w:lang w:val="en-US" w:eastAsia="zh-CN"/>
        </w:rPr>
      </w:pPr>
    </w:p>
    <w:p w14:paraId="12ABAEB0">
      <w:pPr>
        <w:tabs>
          <w:tab w:val="left" w:pos="5572"/>
        </w:tabs>
        <w:jc w:val="left"/>
        <w:rPr>
          <w:color w:val="auto"/>
          <w:highlight w:val="none"/>
          <w:lang w:val="en-US" w:eastAsia="zh-CN"/>
        </w:rPr>
        <w:sectPr>
          <w:pgSz w:w="11906" w:h="16838"/>
          <w:pgMar w:top="1440" w:right="1800" w:bottom="1440" w:left="1800" w:header="851" w:footer="992" w:gutter="0"/>
          <w:pgNumType w:start="1"/>
          <w:cols w:space="720" w:num="1"/>
          <w:docGrid w:type="lines" w:linePitch="312" w:charSpace="0"/>
        </w:sectPr>
      </w:pPr>
      <w:r>
        <w:rPr>
          <w:rFonts w:hint="eastAsia"/>
          <w:color w:val="auto"/>
          <w:highlight w:val="none"/>
          <w:lang w:val="en-US" w:eastAsia="zh-CN"/>
        </w:rPr>
        <w:tab/>
      </w:r>
    </w:p>
    <w:p w14:paraId="5AD42079">
      <w:pPr>
        <w:numPr>
          <w:ilvl w:val="0"/>
          <w:numId w:val="8"/>
        </w:numPr>
        <w:spacing w:line="360" w:lineRule="auto"/>
        <w:jc w:val="center"/>
        <w:outlineLvl w:val="0"/>
        <w:rPr>
          <w:rFonts w:ascii="宋体" w:hAnsi="宋体"/>
          <w:b/>
          <w:color w:val="auto"/>
          <w:sz w:val="24"/>
          <w:highlight w:val="none"/>
        </w:rPr>
      </w:pPr>
      <w:r>
        <w:rPr>
          <w:rFonts w:ascii="宋体" w:hAnsi="宋体"/>
          <w:b/>
          <w:color w:val="auto"/>
          <w:sz w:val="24"/>
          <w:highlight w:val="none"/>
        </w:rPr>
        <w:t xml:space="preserve">  </w:t>
      </w:r>
      <w:bookmarkStart w:id="6" w:name="_Toc28106"/>
      <w:bookmarkStart w:id="7" w:name="_Toc10043"/>
      <w:r>
        <w:rPr>
          <w:rFonts w:ascii="宋体" w:hAnsi="宋体"/>
          <w:b/>
          <w:color w:val="auto"/>
          <w:sz w:val="24"/>
          <w:highlight w:val="none"/>
        </w:rPr>
        <w:t>投标邀请</w:t>
      </w:r>
      <w:bookmarkEnd w:id="5"/>
      <w:bookmarkEnd w:id="6"/>
      <w:bookmarkEnd w:id="7"/>
    </w:p>
    <w:p w14:paraId="79DF27AB">
      <w:pPr>
        <w:pStyle w:val="2"/>
        <w:spacing w:line="360" w:lineRule="auto"/>
        <w:jc w:val="both"/>
        <w:rPr>
          <w:rFonts w:ascii="宋体" w:hAnsi="宋体" w:eastAsia="宋体" w:cs="宋体"/>
          <w:b w:val="0"/>
          <w:color w:val="auto"/>
          <w:sz w:val="24"/>
          <w:szCs w:val="24"/>
          <w:highlight w:val="none"/>
        </w:rPr>
      </w:pPr>
      <w:bookmarkStart w:id="8" w:name="_Toc28359079"/>
      <w:bookmarkStart w:id="9" w:name="_Toc35393790"/>
      <w:bookmarkStart w:id="10" w:name="_Toc35393621"/>
      <w:bookmarkStart w:id="11" w:name="_Toc28359002"/>
      <w:bookmarkStart w:id="12" w:name="_Hlk24379207"/>
      <w:r>
        <w:rPr>
          <w:rFonts w:hint="eastAsia" w:ascii="宋体" w:hAnsi="宋体" w:eastAsia="宋体" w:cs="仿宋"/>
          <w:color w:val="auto"/>
          <w:sz w:val="24"/>
          <w:szCs w:val="24"/>
          <w:highlight w:val="none"/>
        </w:rPr>
        <w:t>一、项目基本情况</w:t>
      </w:r>
      <w:bookmarkEnd w:id="8"/>
      <w:bookmarkEnd w:id="9"/>
      <w:bookmarkEnd w:id="10"/>
      <w:bookmarkEnd w:id="11"/>
    </w:p>
    <w:p w14:paraId="7A5C83F8">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项目编号：11000025210200158650-XM001</w:t>
      </w:r>
    </w:p>
    <w:p w14:paraId="5ED97FEA">
      <w:pPr>
        <w:spacing w:line="360" w:lineRule="auto"/>
        <w:ind w:firstLine="480" w:firstLineChars="200"/>
        <w:rPr>
          <w:rFonts w:hint="default"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项目名称：</w:t>
      </w:r>
      <w:bookmarkEnd w:id="12"/>
      <w:r>
        <w:rPr>
          <w:rFonts w:hint="eastAsia" w:ascii="宋体" w:hAnsi="宋体" w:cs="宋体"/>
          <w:color w:val="auto"/>
          <w:sz w:val="24"/>
          <w:highlight w:val="none"/>
          <w:shd w:val="clear" w:color="auto" w:fill="FFFFFF"/>
          <w:lang w:eastAsia="zh-CN"/>
        </w:rPr>
        <w:t>北京城市副中心绿地养护</w:t>
      </w:r>
      <w:r>
        <w:rPr>
          <w:rFonts w:hint="eastAsia" w:ascii="宋体" w:hAnsi="宋体" w:cs="宋体"/>
          <w:color w:val="auto"/>
          <w:sz w:val="24"/>
          <w:highlight w:val="none"/>
          <w:shd w:val="clear" w:color="auto" w:fill="FFFFFF"/>
          <w:lang w:val="en-US" w:eastAsia="zh-CN"/>
        </w:rPr>
        <w:t>项目</w:t>
      </w:r>
    </w:p>
    <w:p w14:paraId="60867BBA">
      <w:pPr>
        <w:spacing w:line="360" w:lineRule="auto"/>
        <w:ind w:firstLine="480" w:firstLineChars="200"/>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预算金额：</w:t>
      </w:r>
      <w:r>
        <w:rPr>
          <w:rFonts w:hint="eastAsia" w:ascii="宋体" w:hAnsi="宋体" w:cs="宋体"/>
          <w:color w:val="auto"/>
          <w:sz w:val="24"/>
          <w:highlight w:val="none"/>
          <w:shd w:val="clear" w:color="auto" w:fill="FFFFFF"/>
          <w:lang w:eastAsia="zh-CN"/>
        </w:rPr>
        <w:t>13159.426233</w:t>
      </w:r>
      <w:r>
        <w:rPr>
          <w:rFonts w:hint="eastAsia" w:ascii="宋体" w:hAnsi="宋体" w:cs="宋体"/>
          <w:color w:val="auto"/>
          <w:sz w:val="24"/>
          <w:highlight w:val="none"/>
          <w:shd w:val="clear" w:color="auto" w:fill="FFFFFF"/>
          <w:lang w:val="en-US" w:eastAsia="zh-CN"/>
        </w:rPr>
        <w:t>万元。项目最高限价：</w:t>
      </w:r>
      <w:r>
        <w:rPr>
          <w:rFonts w:hint="eastAsia" w:ascii="宋体" w:hAnsi="宋体" w:cs="宋体"/>
          <w:color w:val="auto"/>
          <w:sz w:val="24"/>
          <w:highlight w:val="none"/>
          <w:shd w:val="clear" w:color="auto" w:fill="FFFFFF"/>
          <w:lang w:eastAsia="zh-CN"/>
        </w:rPr>
        <w:t>13159.426233</w:t>
      </w:r>
      <w:r>
        <w:rPr>
          <w:rFonts w:hint="eastAsia" w:ascii="宋体" w:hAnsi="宋体" w:cs="宋体"/>
          <w:color w:val="auto"/>
          <w:sz w:val="24"/>
          <w:highlight w:val="none"/>
          <w:shd w:val="clear" w:color="auto" w:fill="FFFFFF"/>
          <w:lang w:val="en-US" w:eastAsia="zh-CN"/>
        </w:rPr>
        <w:t>万元。具体包号金额见采购需求表。</w:t>
      </w:r>
      <w:r>
        <w:rPr>
          <w:rFonts w:hint="eastAsia" w:ascii="宋体" w:hAnsi="宋体"/>
          <w:b w:val="0"/>
          <w:bCs w:val="0"/>
          <w:color w:val="auto"/>
          <w:sz w:val="24"/>
          <w:highlight w:val="none"/>
          <w:lang w:val="en-US" w:eastAsia="zh-CN"/>
        </w:rPr>
        <w:t>其中：（特级绿地养护管理费限价为26.70元/平方米·年。一级绿地养护管理费限价为20.55元/平方米·年。二级绿地养护管理费限价为10.88元/平方米·年。）</w:t>
      </w:r>
    </w:p>
    <w:p w14:paraId="614B7F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采购需求：</w:t>
      </w:r>
    </w:p>
    <w:tbl>
      <w:tblPr>
        <w:tblStyle w:val="250"/>
        <w:tblW w:w="55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892"/>
        <w:gridCol w:w="1397"/>
        <w:gridCol w:w="878"/>
        <w:gridCol w:w="878"/>
        <w:gridCol w:w="4349"/>
      </w:tblGrid>
      <w:tr w14:paraId="2CFB6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blHeader/>
          <w:jc w:val="center"/>
        </w:trPr>
        <w:tc>
          <w:tcPr>
            <w:tcW w:w="346" w:type="pct"/>
            <w:vAlign w:val="center"/>
          </w:tcPr>
          <w:p w14:paraId="3C97640B">
            <w:pPr>
              <w:pStyle w:val="251"/>
              <w:spacing w:before="137"/>
              <w:ind w:left="118" w:right="114"/>
              <w:jc w:val="center"/>
              <w:rPr>
                <w:color w:val="auto"/>
                <w:sz w:val="24"/>
                <w:szCs w:val="24"/>
                <w:highlight w:val="none"/>
              </w:rPr>
            </w:pPr>
            <w:r>
              <w:rPr>
                <w:color w:val="auto"/>
                <w:sz w:val="24"/>
                <w:szCs w:val="24"/>
                <w:highlight w:val="none"/>
              </w:rPr>
              <w:t>包号</w:t>
            </w:r>
          </w:p>
        </w:tc>
        <w:tc>
          <w:tcPr>
            <w:tcW w:w="937" w:type="pct"/>
            <w:vAlign w:val="center"/>
          </w:tcPr>
          <w:p w14:paraId="19F975E6">
            <w:pPr>
              <w:pStyle w:val="251"/>
              <w:spacing w:before="137"/>
              <w:ind w:left="358"/>
              <w:jc w:val="both"/>
              <w:rPr>
                <w:color w:val="auto"/>
                <w:sz w:val="24"/>
                <w:szCs w:val="24"/>
                <w:highlight w:val="none"/>
              </w:rPr>
            </w:pPr>
            <w:r>
              <w:rPr>
                <w:color w:val="auto"/>
                <w:sz w:val="24"/>
                <w:szCs w:val="24"/>
                <w:highlight w:val="none"/>
              </w:rPr>
              <w:t>标的名称</w:t>
            </w:r>
          </w:p>
        </w:tc>
        <w:tc>
          <w:tcPr>
            <w:tcW w:w="692" w:type="pct"/>
            <w:vAlign w:val="center"/>
          </w:tcPr>
          <w:p w14:paraId="740B36B0">
            <w:pPr>
              <w:pStyle w:val="251"/>
              <w:spacing w:before="3"/>
              <w:ind w:left="95" w:right="87"/>
              <w:jc w:val="center"/>
              <w:rPr>
                <w:color w:val="auto"/>
                <w:sz w:val="24"/>
                <w:szCs w:val="24"/>
                <w:highlight w:val="none"/>
                <w:lang w:eastAsia="zh-CN"/>
              </w:rPr>
            </w:pPr>
            <w:r>
              <w:rPr>
                <w:color w:val="auto"/>
                <w:sz w:val="24"/>
                <w:szCs w:val="24"/>
                <w:highlight w:val="none"/>
                <w:lang w:eastAsia="zh-CN"/>
              </w:rPr>
              <w:t>采购包预算金额</w:t>
            </w:r>
            <w:r>
              <w:rPr>
                <w:rFonts w:hint="eastAsia"/>
                <w:color w:val="auto"/>
                <w:sz w:val="24"/>
                <w:szCs w:val="24"/>
                <w:highlight w:val="none"/>
                <w:lang w:val="en-US" w:eastAsia="zh-CN"/>
              </w:rPr>
              <w:t>/最高限价</w:t>
            </w:r>
            <w:r>
              <w:rPr>
                <w:color w:val="auto"/>
                <w:sz w:val="24"/>
                <w:szCs w:val="24"/>
                <w:highlight w:val="none"/>
                <w:lang w:eastAsia="zh-CN"/>
              </w:rPr>
              <w:t>（万元）</w:t>
            </w:r>
          </w:p>
        </w:tc>
        <w:tc>
          <w:tcPr>
            <w:tcW w:w="434" w:type="pct"/>
            <w:vAlign w:val="center"/>
          </w:tcPr>
          <w:p w14:paraId="02C017BF">
            <w:pPr>
              <w:pStyle w:val="251"/>
              <w:spacing w:before="137"/>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服务年限（年）</w:t>
            </w:r>
          </w:p>
        </w:tc>
        <w:tc>
          <w:tcPr>
            <w:tcW w:w="434" w:type="pct"/>
            <w:vAlign w:val="center"/>
          </w:tcPr>
          <w:p w14:paraId="01E8E959">
            <w:pPr>
              <w:pStyle w:val="251"/>
              <w:spacing w:before="137"/>
              <w:jc w:val="center"/>
              <w:rPr>
                <w:color w:val="auto"/>
                <w:sz w:val="24"/>
                <w:szCs w:val="24"/>
                <w:highlight w:val="none"/>
              </w:rPr>
            </w:pPr>
            <w:r>
              <w:rPr>
                <w:color w:val="auto"/>
                <w:sz w:val="24"/>
                <w:szCs w:val="24"/>
                <w:highlight w:val="none"/>
              </w:rPr>
              <w:t>数量</w:t>
            </w:r>
          </w:p>
        </w:tc>
        <w:tc>
          <w:tcPr>
            <w:tcW w:w="2154" w:type="pct"/>
            <w:vAlign w:val="center"/>
          </w:tcPr>
          <w:p w14:paraId="67C326F4">
            <w:pPr>
              <w:pStyle w:val="251"/>
              <w:spacing w:before="137"/>
              <w:jc w:val="center"/>
              <w:rPr>
                <w:color w:val="auto"/>
                <w:sz w:val="24"/>
                <w:szCs w:val="24"/>
                <w:highlight w:val="none"/>
                <w:lang w:eastAsia="zh-CN"/>
              </w:rPr>
            </w:pPr>
            <w:r>
              <w:rPr>
                <w:color w:val="auto"/>
                <w:sz w:val="24"/>
                <w:szCs w:val="24"/>
                <w:highlight w:val="none"/>
                <w:lang w:eastAsia="zh-CN"/>
              </w:rPr>
              <w:t>简要技术需求或服务要求</w:t>
            </w:r>
          </w:p>
        </w:tc>
      </w:tr>
      <w:tr w14:paraId="562C5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346" w:type="pct"/>
            <w:vAlign w:val="center"/>
          </w:tcPr>
          <w:p w14:paraId="146A9EB9">
            <w:pPr>
              <w:pStyle w:val="251"/>
              <w:spacing w:before="102"/>
              <w:ind w:left="118" w:right="109"/>
              <w:jc w:val="center"/>
              <w:rPr>
                <w:color w:val="auto"/>
                <w:sz w:val="24"/>
                <w:szCs w:val="24"/>
                <w:highlight w:val="none"/>
              </w:rPr>
            </w:pPr>
            <w:r>
              <w:rPr>
                <w:color w:val="auto"/>
                <w:sz w:val="24"/>
                <w:szCs w:val="24"/>
                <w:highlight w:val="none"/>
              </w:rPr>
              <w:t>1</w:t>
            </w:r>
          </w:p>
        </w:tc>
        <w:tc>
          <w:tcPr>
            <w:tcW w:w="937" w:type="pct"/>
            <w:vAlign w:val="center"/>
          </w:tcPr>
          <w:p w14:paraId="4D4D9D7B">
            <w:pPr>
              <w:autoSpaceDE w:val="0"/>
              <w:autoSpaceDN w:val="0"/>
              <w:spacing w:line="360" w:lineRule="auto"/>
              <w:rPr>
                <w:rFonts w:hint="eastAsia" w:eastAsia="宋体"/>
                <w:color w:val="auto"/>
                <w:sz w:val="24"/>
                <w:szCs w:val="24"/>
                <w:highlight w:val="none"/>
                <w:lang w:eastAsia="zh-CN"/>
              </w:rPr>
            </w:pPr>
            <w:r>
              <w:rPr>
                <w:rFonts w:hint="eastAsia" w:ascii="宋体" w:hAnsi="宋体" w:cs="宋体"/>
                <w:color w:val="auto"/>
                <w:sz w:val="24"/>
                <w:highlight w:val="none"/>
                <w:shd w:val="clear" w:color="auto" w:fill="FFFFFF"/>
                <w:lang w:eastAsia="zh-CN"/>
              </w:rPr>
              <w:t>北京城市副中心绿地养护北京城市副中心行政办公区南区绿地(一标段)</w:t>
            </w:r>
          </w:p>
        </w:tc>
        <w:tc>
          <w:tcPr>
            <w:tcW w:w="692" w:type="pct"/>
            <w:vAlign w:val="center"/>
          </w:tcPr>
          <w:p w14:paraId="0B0F4161">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 xml:space="preserve">3468.674430 </w:t>
            </w:r>
            <w:r>
              <w:rPr>
                <w:rFonts w:hint="eastAsia"/>
                <w:color w:val="auto"/>
                <w:sz w:val="24"/>
                <w:szCs w:val="24"/>
                <w:highlight w:val="none"/>
                <w:lang w:eastAsia="zh-CN"/>
              </w:rPr>
              <w:t xml:space="preserve"> </w:t>
            </w:r>
          </w:p>
          <w:p w14:paraId="0017C18C">
            <w:pPr>
              <w:pStyle w:val="251"/>
              <w:jc w:val="center"/>
              <w:rPr>
                <w:color w:val="auto"/>
                <w:sz w:val="24"/>
                <w:szCs w:val="24"/>
                <w:highlight w:val="none"/>
                <w:lang w:eastAsia="zh-CN"/>
              </w:rPr>
            </w:pPr>
          </w:p>
        </w:tc>
        <w:tc>
          <w:tcPr>
            <w:tcW w:w="434" w:type="pct"/>
            <w:vAlign w:val="center"/>
          </w:tcPr>
          <w:p w14:paraId="6280BE86">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67990DD5">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3D8330A1">
            <w:pPr>
              <w:autoSpaceDE w:val="0"/>
              <w:autoSpaceDN w:val="0"/>
              <w:spacing w:line="360" w:lineRule="auto"/>
              <w:rPr>
                <w:rFonts w:hint="default" w:ascii="宋体" w:hAnsi="宋体"/>
                <w:color w:val="auto"/>
                <w:sz w:val="24"/>
                <w:highlight w:val="none"/>
                <w:lang w:val="en-US" w:eastAsia="zh-CN"/>
              </w:rPr>
            </w:pPr>
            <w:r>
              <w:rPr>
                <w:rFonts w:hint="eastAsia" w:ascii="宋体" w:hAnsi="宋体" w:cs="宋体"/>
                <w:color w:val="auto"/>
                <w:sz w:val="24"/>
                <w:highlight w:val="none"/>
                <w:shd w:val="clear" w:color="auto" w:fill="FFFFFF"/>
                <w:lang w:eastAsia="zh-CN"/>
              </w:rPr>
              <w:t>北京城市副中心绿地养护北京城市副中心行政办公区南区绿地(一标段)</w:t>
            </w:r>
            <w:r>
              <w:rPr>
                <w:rFonts w:hint="eastAsia" w:ascii="宋体" w:hAnsi="宋体" w:eastAsia="宋体" w:cs="Times New Roman"/>
                <w:color w:val="auto"/>
                <w:kern w:val="2"/>
                <w:sz w:val="24"/>
                <w:szCs w:val="24"/>
                <w:highlight w:val="none"/>
                <w:lang w:val="en-US" w:eastAsia="zh-CN" w:bidi="ar"/>
              </w:rPr>
              <w:t>特级养护绿化面积433043平方米；具体服务内容详见招标文件第五章采购需求。</w:t>
            </w:r>
          </w:p>
        </w:tc>
      </w:tr>
      <w:tr w14:paraId="72B46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346" w:type="pct"/>
            <w:vAlign w:val="center"/>
          </w:tcPr>
          <w:p w14:paraId="0188B3C8">
            <w:pPr>
              <w:pStyle w:val="251"/>
              <w:tabs>
                <w:tab w:val="left" w:pos="330"/>
              </w:tabs>
              <w:spacing w:before="102"/>
              <w:ind w:left="118" w:right="109"/>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2</w:t>
            </w:r>
          </w:p>
        </w:tc>
        <w:tc>
          <w:tcPr>
            <w:tcW w:w="937" w:type="pct"/>
            <w:vAlign w:val="center"/>
          </w:tcPr>
          <w:p w14:paraId="18DFE270">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北京城市副中心绿地养护北京城市副中心行政办公区北区绿地(二标段)</w:t>
            </w:r>
          </w:p>
        </w:tc>
        <w:tc>
          <w:tcPr>
            <w:tcW w:w="692" w:type="pct"/>
            <w:vAlign w:val="center"/>
          </w:tcPr>
          <w:p w14:paraId="0364F766">
            <w:pPr>
              <w:pStyle w:val="251"/>
              <w:jc w:val="center"/>
              <w:rPr>
                <w:rFonts w:hint="eastAsia"/>
                <w:color w:val="auto"/>
                <w:sz w:val="24"/>
                <w:szCs w:val="24"/>
                <w:highlight w:val="none"/>
                <w:lang w:val="en-US" w:eastAsia="zh-CN"/>
              </w:rPr>
            </w:pPr>
          </w:p>
          <w:p w14:paraId="28A99E18">
            <w:pPr>
              <w:pStyle w:val="251"/>
              <w:jc w:val="center"/>
              <w:rPr>
                <w:rFonts w:hint="eastAsia"/>
                <w:color w:val="auto"/>
                <w:sz w:val="24"/>
                <w:szCs w:val="24"/>
                <w:highlight w:val="none"/>
                <w:lang w:val="en-US" w:eastAsia="zh-CN"/>
              </w:rPr>
            </w:pPr>
          </w:p>
          <w:p w14:paraId="6AF8CD52">
            <w:pPr>
              <w:pStyle w:val="251"/>
              <w:jc w:val="center"/>
              <w:rPr>
                <w:rFonts w:hint="eastAsia"/>
                <w:color w:val="auto"/>
                <w:sz w:val="24"/>
                <w:szCs w:val="24"/>
                <w:highlight w:val="none"/>
                <w:lang w:val="en-US" w:eastAsia="zh-CN"/>
              </w:rPr>
            </w:pPr>
          </w:p>
          <w:p w14:paraId="077E6ED5">
            <w:pPr>
              <w:pStyle w:val="251"/>
              <w:jc w:val="center"/>
              <w:rPr>
                <w:rFonts w:hint="eastAsia"/>
                <w:color w:val="auto"/>
                <w:sz w:val="24"/>
                <w:szCs w:val="24"/>
                <w:highlight w:val="none"/>
                <w:lang w:val="en-US" w:eastAsia="zh-CN"/>
              </w:rPr>
            </w:pPr>
          </w:p>
          <w:p w14:paraId="67185F89">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 xml:space="preserve">2006.011578 </w:t>
            </w:r>
            <w:r>
              <w:rPr>
                <w:rFonts w:hint="eastAsia"/>
                <w:color w:val="auto"/>
                <w:sz w:val="24"/>
                <w:szCs w:val="24"/>
                <w:highlight w:val="none"/>
                <w:lang w:eastAsia="zh-CN"/>
              </w:rPr>
              <w:t xml:space="preserve"> </w:t>
            </w:r>
          </w:p>
          <w:p w14:paraId="070626E1">
            <w:pPr>
              <w:pStyle w:val="251"/>
              <w:jc w:val="center"/>
              <w:rPr>
                <w:rFonts w:hint="eastAsia"/>
                <w:color w:val="auto"/>
                <w:sz w:val="24"/>
                <w:szCs w:val="24"/>
                <w:highlight w:val="none"/>
                <w:lang w:eastAsia="zh-CN"/>
              </w:rPr>
            </w:pPr>
          </w:p>
          <w:p w14:paraId="5D8F0E16">
            <w:pPr>
              <w:pStyle w:val="251"/>
              <w:jc w:val="center"/>
              <w:rPr>
                <w:rFonts w:hint="eastAsia"/>
                <w:color w:val="auto"/>
                <w:sz w:val="24"/>
                <w:szCs w:val="24"/>
                <w:highlight w:val="none"/>
                <w:lang w:eastAsia="zh-CN"/>
              </w:rPr>
            </w:pPr>
          </w:p>
          <w:p w14:paraId="04035B66">
            <w:pPr>
              <w:pStyle w:val="251"/>
              <w:jc w:val="center"/>
              <w:rPr>
                <w:rFonts w:hint="eastAsia"/>
                <w:color w:val="auto"/>
                <w:sz w:val="24"/>
                <w:szCs w:val="24"/>
                <w:highlight w:val="none"/>
                <w:lang w:eastAsia="zh-CN"/>
              </w:rPr>
            </w:pPr>
          </w:p>
          <w:p w14:paraId="7EA0999A">
            <w:pPr>
              <w:pStyle w:val="251"/>
              <w:jc w:val="center"/>
              <w:rPr>
                <w:rFonts w:hint="eastAsia"/>
                <w:color w:val="auto"/>
                <w:sz w:val="24"/>
                <w:szCs w:val="24"/>
                <w:highlight w:val="none"/>
                <w:lang w:eastAsia="zh-CN"/>
              </w:rPr>
            </w:pPr>
          </w:p>
        </w:tc>
        <w:tc>
          <w:tcPr>
            <w:tcW w:w="434" w:type="pct"/>
            <w:vAlign w:val="center"/>
          </w:tcPr>
          <w:p w14:paraId="335BEAA5">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2B5EA2B5">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216EE47D">
            <w:pPr>
              <w:autoSpaceDE w:val="0"/>
              <w:autoSpaceDN w:val="0"/>
              <w:spacing w:line="360" w:lineRule="auto"/>
              <w:rPr>
                <w:rFonts w:hint="eastAsia" w:ascii="宋体" w:hAnsi="宋体" w:cs="宋体"/>
                <w:color w:val="auto"/>
                <w:sz w:val="24"/>
                <w:highlight w:val="none"/>
                <w:shd w:val="clear" w:color="auto" w:fill="FFFFFF"/>
                <w:lang w:eastAsia="en-US"/>
              </w:rPr>
            </w:pPr>
            <w:r>
              <w:rPr>
                <w:rFonts w:hint="eastAsia" w:cs="宋体"/>
                <w:color w:val="auto"/>
                <w:sz w:val="24"/>
                <w:highlight w:val="none"/>
                <w:shd w:val="clear" w:color="auto" w:fill="FFFFFF"/>
                <w:lang w:eastAsia="zh-CN"/>
              </w:rPr>
              <w:t>北京城市副中心绿地养护北京城市副中心行政办公区北区绿地(二标段)</w:t>
            </w:r>
            <w:r>
              <w:rPr>
                <w:rFonts w:hint="eastAsia" w:ascii="宋体" w:hAnsi="宋体" w:eastAsia="宋体" w:cs="Times New Roman"/>
                <w:color w:val="auto"/>
                <w:kern w:val="2"/>
                <w:sz w:val="24"/>
                <w:szCs w:val="24"/>
                <w:highlight w:val="none"/>
                <w:lang w:val="en-US" w:eastAsia="zh-CN" w:bidi="ar"/>
              </w:rPr>
              <w:t>绿地养护面积：291143㎡，其中：</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222444平方米；二级养护绿化面积68699平方米；</w:t>
            </w:r>
            <w:r>
              <w:rPr>
                <w:rFonts w:hint="eastAsia" w:ascii="宋体" w:hAnsi="宋体"/>
                <w:color w:val="auto"/>
                <w:sz w:val="24"/>
                <w:highlight w:val="none"/>
                <w:lang w:val="en-US" w:eastAsia="zh-CN"/>
              </w:rPr>
              <w:t>具体服务内容详见招标文件第五章采购需求</w:t>
            </w:r>
            <w:r>
              <w:rPr>
                <w:rFonts w:hint="eastAsia" w:ascii="宋体" w:hAnsi="宋体"/>
                <w:color w:val="auto"/>
                <w:sz w:val="24"/>
                <w:highlight w:val="none"/>
                <w:lang w:eastAsia="zh-CN"/>
              </w:rPr>
              <w:t>。</w:t>
            </w:r>
          </w:p>
        </w:tc>
      </w:tr>
      <w:tr w14:paraId="7DFA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7" w:hRule="atLeast"/>
          <w:jc w:val="center"/>
        </w:trPr>
        <w:tc>
          <w:tcPr>
            <w:tcW w:w="346" w:type="pct"/>
            <w:vAlign w:val="center"/>
          </w:tcPr>
          <w:p w14:paraId="4CA802A8">
            <w:pPr>
              <w:pStyle w:val="251"/>
              <w:spacing w:before="102"/>
              <w:ind w:left="118" w:right="109"/>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3</w:t>
            </w:r>
          </w:p>
        </w:tc>
        <w:tc>
          <w:tcPr>
            <w:tcW w:w="937" w:type="pct"/>
            <w:vAlign w:val="center"/>
          </w:tcPr>
          <w:p w14:paraId="5508F6F8">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北京城市副中心绿地养护北京城市副中心行政办公区东区绿地（三标段）</w:t>
            </w:r>
          </w:p>
        </w:tc>
        <w:tc>
          <w:tcPr>
            <w:tcW w:w="692" w:type="pct"/>
            <w:vAlign w:val="center"/>
          </w:tcPr>
          <w:p w14:paraId="43794C05">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1654.210710</w:t>
            </w:r>
          </w:p>
          <w:p w14:paraId="28FF2ECB">
            <w:pPr>
              <w:pStyle w:val="251"/>
              <w:jc w:val="center"/>
              <w:rPr>
                <w:rFonts w:hint="eastAsia"/>
                <w:color w:val="auto"/>
                <w:sz w:val="24"/>
                <w:szCs w:val="24"/>
                <w:highlight w:val="none"/>
                <w:lang w:eastAsia="zh-CN"/>
              </w:rPr>
            </w:pPr>
          </w:p>
        </w:tc>
        <w:tc>
          <w:tcPr>
            <w:tcW w:w="434" w:type="pct"/>
            <w:vAlign w:val="center"/>
          </w:tcPr>
          <w:p w14:paraId="6508E0AB">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6655B3B1">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7D7B0322">
            <w:pPr>
              <w:widowControl/>
              <w:numPr>
                <w:ilvl w:val="-1"/>
                <w:numId w:val="0"/>
              </w:numPr>
              <w:autoSpaceDE/>
              <w:autoSpaceDN/>
              <w:spacing w:line="360" w:lineRule="auto"/>
              <w:jc w:val="left"/>
              <w:rPr>
                <w:rFonts w:hint="eastAsia" w:ascii="宋体" w:hAnsi="宋体" w:cs="宋体"/>
                <w:color w:val="auto"/>
                <w:sz w:val="24"/>
                <w:highlight w:val="none"/>
                <w:shd w:val="clear" w:color="auto" w:fill="FFFFFF"/>
                <w:lang w:eastAsia="en-US"/>
              </w:rPr>
            </w:pPr>
            <w:r>
              <w:rPr>
                <w:rFonts w:hint="eastAsia" w:cs="宋体"/>
                <w:color w:val="auto"/>
                <w:sz w:val="24"/>
                <w:highlight w:val="none"/>
                <w:shd w:val="clear" w:color="auto" w:fill="FFFFFF"/>
                <w:lang w:eastAsia="zh-CN"/>
              </w:rPr>
              <w:t>北京城市副中心绿地养护北京城市副中心行政办公区东区绿地（三标段）</w:t>
            </w:r>
            <w:r>
              <w:rPr>
                <w:rFonts w:hint="eastAsia" w:ascii="宋体" w:hAnsi="宋体" w:eastAsia="宋体" w:cs="Times New Roman"/>
                <w:color w:val="auto"/>
                <w:kern w:val="2"/>
                <w:sz w:val="24"/>
                <w:szCs w:val="24"/>
                <w:highlight w:val="none"/>
                <w:lang w:val="en-US" w:eastAsia="zh-CN" w:bidi="ar"/>
              </w:rPr>
              <w:t>绿地养护面积：210930.3㎡，其中：</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191775.29平方米；一级养护绿化面积19155.01平方米；</w:t>
            </w:r>
            <w:r>
              <w:rPr>
                <w:rFonts w:hint="eastAsia" w:ascii="宋体" w:hAnsi="宋体"/>
                <w:color w:val="auto"/>
                <w:sz w:val="24"/>
                <w:highlight w:val="none"/>
                <w:lang w:val="en-US" w:eastAsia="zh-CN"/>
              </w:rPr>
              <w:t>具体服务内容详见招标文件第五章采购需求</w:t>
            </w:r>
            <w:r>
              <w:rPr>
                <w:rFonts w:hint="eastAsia" w:ascii="宋体" w:hAnsi="宋体"/>
                <w:color w:val="auto"/>
                <w:sz w:val="24"/>
                <w:highlight w:val="none"/>
                <w:lang w:eastAsia="zh-CN"/>
              </w:rPr>
              <w:t>。</w:t>
            </w:r>
          </w:p>
        </w:tc>
      </w:tr>
      <w:tr w14:paraId="5401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346" w:type="pct"/>
            <w:vAlign w:val="center"/>
          </w:tcPr>
          <w:p w14:paraId="686127F8">
            <w:pPr>
              <w:pStyle w:val="251"/>
              <w:spacing w:before="102"/>
              <w:ind w:left="118" w:right="109"/>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4</w:t>
            </w:r>
          </w:p>
        </w:tc>
        <w:tc>
          <w:tcPr>
            <w:tcW w:w="937" w:type="pct"/>
            <w:vAlign w:val="center"/>
          </w:tcPr>
          <w:p w14:paraId="19EF1D22">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北京城市副中心绿地养护北京城市副中心行政办公区西区绿地（四标段）</w:t>
            </w:r>
          </w:p>
        </w:tc>
        <w:tc>
          <w:tcPr>
            <w:tcW w:w="692" w:type="pct"/>
            <w:vAlign w:val="center"/>
          </w:tcPr>
          <w:p w14:paraId="18A06DE7">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 xml:space="preserve">1213.127313 </w:t>
            </w:r>
            <w:r>
              <w:rPr>
                <w:rFonts w:hint="eastAsia"/>
                <w:color w:val="auto"/>
                <w:sz w:val="24"/>
                <w:szCs w:val="24"/>
                <w:highlight w:val="none"/>
                <w:lang w:eastAsia="zh-CN"/>
              </w:rPr>
              <w:t xml:space="preserve"> </w:t>
            </w:r>
          </w:p>
          <w:p w14:paraId="71AB3586">
            <w:pPr>
              <w:pStyle w:val="251"/>
              <w:jc w:val="center"/>
              <w:rPr>
                <w:rFonts w:hint="eastAsia"/>
                <w:color w:val="auto"/>
                <w:sz w:val="24"/>
                <w:szCs w:val="24"/>
                <w:highlight w:val="none"/>
                <w:lang w:eastAsia="zh-CN"/>
              </w:rPr>
            </w:pPr>
          </w:p>
          <w:p w14:paraId="7636D048">
            <w:pPr>
              <w:pStyle w:val="251"/>
              <w:jc w:val="center"/>
              <w:rPr>
                <w:rFonts w:hint="eastAsia"/>
                <w:color w:val="auto"/>
                <w:sz w:val="24"/>
                <w:szCs w:val="24"/>
                <w:highlight w:val="none"/>
                <w:lang w:eastAsia="zh-CN"/>
              </w:rPr>
            </w:pPr>
          </w:p>
        </w:tc>
        <w:tc>
          <w:tcPr>
            <w:tcW w:w="434" w:type="pct"/>
            <w:vAlign w:val="center"/>
          </w:tcPr>
          <w:p w14:paraId="736A4ABC">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31587DD6">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3F45973C">
            <w:pPr>
              <w:widowControl/>
              <w:numPr>
                <w:ilvl w:val="-1"/>
                <w:numId w:val="0"/>
              </w:numPr>
              <w:autoSpaceDE/>
              <w:autoSpaceDN/>
              <w:spacing w:line="360" w:lineRule="auto"/>
              <w:jc w:val="left"/>
              <w:rPr>
                <w:rFonts w:hint="default" w:ascii="宋体" w:hAnsi="宋体" w:cs="宋体"/>
                <w:color w:val="auto"/>
                <w:sz w:val="24"/>
                <w:highlight w:val="none"/>
                <w:shd w:val="clear" w:color="auto" w:fill="FFFFFF"/>
                <w:lang w:val="en-US" w:eastAsia="zh-CN"/>
              </w:rPr>
            </w:pPr>
            <w:r>
              <w:rPr>
                <w:rFonts w:hint="eastAsia" w:cs="宋体"/>
                <w:color w:val="auto"/>
                <w:sz w:val="24"/>
                <w:highlight w:val="none"/>
                <w:shd w:val="clear" w:color="auto" w:fill="FFFFFF"/>
                <w:lang w:eastAsia="zh-CN"/>
              </w:rPr>
              <w:t>北京城市副中心绿地养护北京城市副中心行政办公区西区绿地（四标段）</w:t>
            </w:r>
            <w:r>
              <w:rPr>
                <w:rFonts w:hint="eastAsia" w:ascii="宋体" w:hAnsi="宋体" w:eastAsia="宋体" w:cs="Times New Roman"/>
                <w:color w:val="auto"/>
                <w:kern w:val="2"/>
                <w:sz w:val="24"/>
                <w:szCs w:val="24"/>
                <w:highlight w:val="none"/>
                <w:lang w:val="en-US" w:eastAsia="zh-CN" w:bidi="ar"/>
              </w:rPr>
              <w:t>绿地养护面积：157756.34㎡，其中：</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130384.54平方米；一级养护绿化面积27371.80平方米；</w:t>
            </w:r>
            <w:r>
              <w:rPr>
                <w:rFonts w:hint="eastAsia" w:ascii="宋体" w:hAnsi="宋体"/>
                <w:color w:val="auto"/>
                <w:sz w:val="24"/>
                <w:highlight w:val="none"/>
                <w:lang w:val="en-US" w:eastAsia="zh-CN"/>
              </w:rPr>
              <w:t>具体服务内容详见招标文件第五章采购需求</w:t>
            </w:r>
            <w:r>
              <w:rPr>
                <w:rFonts w:hint="eastAsia" w:ascii="宋体" w:hAnsi="宋体"/>
                <w:color w:val="auto"/>
                <w:sz w:val="24"/>
                <w:highlight w:val="none"/>
                <w:lang w:eastAsia="zh-CN"/>
              </w:rPr>
              <w:t>。</w:t>
            </w:r>
          </w:p>
        </w:tc>
      </w:tr>
      <w:tr w14:paraId="1ADB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346" w:type="pct"/>
            <w:vAlign w:val="center"/>
          </w:tcPr>
          <w:p w14:paraId="4813C769">
            <w:pPr>
              <w:pStyle w:val="251"/>
              <w:spacing w:before="102"/>
              <w:ind w:left="118" w:right="109"/>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5</w:t>
            </w:r>
          </w:p>
        </w:tc>
        <w:tc>
          <w:tcPr>
            <w:tcW w:w="937" w:type="pct"/>
            <w:vAlign w:val="center"/>
          </w:tcPr>
          <w:p w14:paraId="63A4FD9E">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北京城市副中心绿地养护千年城市守望林绿地（五标段）</w:t>
            </w:r>
          </w:p>
        </w:tc>
        <w:tc>
          <w:tcPr>
            <w:tcW w:w="692" w:type="pct"/>
            <w:vAlign w:val="center"/>
          </w:tcPr>
          <w:p w14:paraId="5512FC8B">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 xml:space="preserve">2905.920000 </w:t>
            </w:r>
            <w:r>
              <w:rPr>
                <w:rFonts w:hint="eastAsia"/>
                <w:color w:val="auto"/>
                <w:sz w:val="24"/>
                <w:szCs w:val="24"/>
                <w:highlight w:val="none"/>
                <w:lang w:eastAsia="zh-CN"/>
              </w:rPr>
              <w:t xml:space="preserve"> </w:t>
            </w:r>
          </w:p>
          <w:p w14:paraId="5E5C8316">
            <w:pPr>
              <w:pStyle w:val="251"/>
              <w:jc w:val="center"/>
              <w:rPr>
                <w:rFonts w:hint="eastAsia"/>
                <w:color w:val="auto"/>
                <w:sz w:val="24"/>
                <w:szCs w:val="24"/>
                <w:highlight w:val="none"/>
                <w:lang w:eastAsia="zh-CN"/>
              </w:rPr>
            </w:pPr>
          </w:p>
        </w:tc>
        <w:tc>
          <w:tcPr>
            <w:tcW w:w="434" w:type="pct"/>
            <w:vAlign w:val="center"/>
          </w:tcPr>
          <w:p w14:paraId="5B76D70E">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7E0E1E93">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15791866">
            <w:pPr>
              <w:keepNext w:val="0"/>
              <w:keepLines w:val="0"/>
              <w:widowControl/>
              <w:suppressLineNumbers w:val="0"/>
              <w:autoSpaceDE w:val="0"/>
              <w:autoSpaceDN w:val="0"/>
              <w:spacing w:line="360" w:lineRule="auto"/>
              <w:jc w:val="left"/>
              <w:rPr>
                <w:rFonts w:hint="default" w:ascii="宋体" w:hAnsi="宋体" w:eastAsia="宋体" w:cs="宋体"/>
                <w:color w:val="auto"/>
                <w:sz w:val="24"/>
                <w:highlight w:val="none"/>
                <w:shd w:val="clear" w:color="auto" w:fill="FFFFFF"/>
                <w:lang w:val="en-US" w:eastAsia="zh-CN"/>
              </w:rPr>
            </w:pPr>
            <w:r>
              <w:rPr>
                <w:rFonts w:hint="eastAsia" w:cs="宋体"/>
                <w:color w:val="auto"/>
                <w:sz w:val="24"/>
                <w:highlight w:val="none"/>
                <w:shd w:val="clear" w:color="auto" w:fill="FFFFFF"/>
                <w:lang w:eastAsia="zh-CN"/>
              </w:rPr>
              <w:t>北京城市副中心绿地养护千年城市守望林绿地（五标段）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339000平方米；服务范围内零星绿化用工约12人次/天/工作12个月。</w:t>
            </w:r>
            <w:r>
              <w:rPr>
                <w:rFonts w:hint="eastAsia" w:ascii="宋体" w:hAnsi="宋体"/>
                <w:color w:val="auto"/>
                <w:sz w:val="24"/>
                <w:highlight w:val="none"/>
                <w:lang w:val="en-US" w:eastAsia="zh-CN"/>
              </w:rPr>
              <w:t>具体服务内容详见招标文件第五章采购需求</w:t>
            </w:r>
            <w:r>
              <w:rPr>
                <w:rFonts w:hint="eastAsia" w:ascii="宋体" w:hAnsi="宋体"/>
                <w:color w:val="auto"/>
                <w:sz w:val="24"/>
                <w:highlight w:val="none"/>
                <w:lang w:eastAsia="zh-CN"/>
              </w:rPr>
              <w:t>。</w:t>
            </w:r>
          </w:p>
        </w:tc>
      </w:tr>
      <w:tr w14:paraId="556CA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jc w:val="center"/>
        </w:trPr>
        <w:tc>
          <w:tcPr>
            <w:tcW w:w="346" w:type="pct"/>
            <w:vAlign w:val="center"/>
          </w:tcPr>
          <w:p w14:paraId="1835A02B">
            <w:pPr>
              <w:pStyle w:val="251"/>
              <w:spacing w:before="102"/>
              <w:ind w:left="118" w:right="109"/>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6</w:t>
            </w:r>
          </w:p>
        </w:tc>
        <w:tc>
          <w:tcPr>
            <w:tcW w:w="937" w:type="pct"/>
            <w:vAlign w:val="center"/>
          </w:tcPr>
          <w:p w14:paraId="18B25DF9">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北京城市副中心绿地养护A5区域绿地（六标段）</w:t>
            </w:r>
          </w:p>
        </w:tc>
        <w:tc>
          <w:tcPr>
            <w:tcW w:w="692" w:type="pct"/>
            <w:vAlign w:val="center"/>
          </w:tcPr>
          <w:p w14:paraId="75130431">
            <w:pPr>
              <w:pStyle w:val="251"/>
              <w:jc w:val="center"/>
              <w:rPr>
                <w:rFonts w:hint="eastAsia"/>
                <w:color w:val="auto"/>
                <w:sz w:val="24"/>
                <w:szCs w:val="24"/>
                <w:highlight w:val="none"/>
                <w:lang w:val="en-US" w:eastAsia="zh-CN"/>
              </w:rPr>
            </w:pPr>
          </w:p>
          <w:p w14:paraId="5048AAD9">
            <w:pPr>
              <w:pStyle w:val="251"/>
              <w:jc w:val="center"/>
              <w:rPr>
                <w:rFonts w:hint="eastAsia"/>
                <w:color w:val="auto"/>
                <w:sz w:val="24"/>
                <w:szCs w:val="24"/>
                <w:highlight w:val="none"/>
                <w:lang w:val="en-US" w:eastAsia="zh-CN"/>
              </w:rPr>
            </w:pPr>
          </w:p>
          <w:p w14:paraId="36AC0DC3">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 xml:space="preserve">743.145132 </w:t>
            </w:r>
            <w:r>
              <w:rPr>
                <w:rFonts w:hint="eastAsia"/>
                <w:color w:val="auto"/>
                <w:sz w:val="24"/>
                <w:szCs w:val="24"/>
                <w:highlight w:val="none"/>
                <w:lang w:eastAsia="zh-CN"/>
              </w:rPr>
              <w:t xml:space="preserve"> </w:t>
            </w:r>
          </w:p>
          <w:p w14:paraId="3041F08D">
            <w:pPr>
              <w:pStyle w:val="251"/>
              <w:jc w:val="center"/>
              <w:rPr>
                <w:rFonts w:hint="eastAsia"/>
                <w:color w:val="auto"/>
                <w:sz w:val="24"/>
                <w:szCs w:val="24"/>
                <w:highlight w:val="none"/>
                <w:lang w:eastAsia="zh-CN"/>
              </w:rPr>
            </w:pPr>
          </w:p>
          <w:p w14:paraId="6F58D9A2">
            <w:pPr>
              <w:pStyle w:val="251"/>
              <w:jc w:val="center"/>
              <w:rPr>
                <w:rFonts w:hint="eastAsia"/>
                <w:color w:val="auto"/>
                <w:sz w:val="24"/>
                <w:szCs w:val="24"/>
                <w:highlight w:val="none"/>
                <w:lang w:eastAsia="zh-CN"/>
              </w:rPr>
            </w:pPr>
          </w:p>
          <w:p w14:paraId="7C31D1E6">
            <w:pPr>
              <w:pStyle w:val="251"/>
              <w:jc w:val="center"/>
              <w:rPr>
                <w:rFonts w:hint="eastAsia"/>
                <w:color w:val="auto"/>
                <w:sz w:val="24"/>
                <w:szCs w:val="24"/>
                <w:highlight w:val="none"/>
                <w:lang w:eastAsia="zh-CN"/>
              </w:rPr>
            </w:pPr>
          </w:p>
        </w:tc>
        <w:tc>
          <w:tcPr>
            <w:tcW w:w="434" w:type="pct"/>
            <w:vAlign w:val="center"/>
          </w:tcPr>
          <w:p w14:paraId="736B95EB">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14088389">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7EFA5F3A">
            <w:pPr>
              <w:widowControl/>
              <w:numPr>
                <w:ilvl w:val="-1"/>
                <w:numId w:val="0"/>
              </w:numPr>
              <w:autoSpaceDE/>
              <w:autoSpaceDN/>
              <w:spacing w:line="360" w:lineRule="auto"/>
              <w:jc w:val="left"/>
              <w:rPr>
                <w:rFonts w:hint="default" w:ascii="宋体" w:hAnsi="宋体" w:eastAsia="宋体" w:cs="宋体"/>
                <w:color w:val="auto"/>
                <w:sz w:val="24"/>
                <w:highlight w:val="none"/>
                <w:shd w:val="clear" w:color="auto" w:fill="FFFFFF"/>
                <w:lang w:val="en-US" w:eastAsia="zh-CN"/>
              </w:rPr>
            </w:pPr>
            <w:r>
              <w:rPr>
                <w:rFonts w:hint="eastAsia" w:cs="宋体"/>
                <w:color w:val="auto"/>
                <w:sz w:val="24"/>
                <w:highlight w:val="none"/>
                <w:shd w:val="clear" w:color="auto" w:fill="FFFFFF"/>
                <w:lang w:eastAsia="zh-CN"/>
              </w:rPr>
              <w:t>北京城市副中心绿地养护A5区域绿地（六标段）</w:t>
            </w:r>
            <w:r>
              <w:rPr>
                <w:rFonts w:hint="eastAsia" w:ascii="宋体" w:hAnsi="宋体" w:eastAsia="宋体" w:cs="Times New Roman"/>
                <w:color w:val="auto"/>
                <w:kern w:val="2"/>
                <w:sz w:val="24"/>
                <w:szCs w:val="24"/>
                <w:highlight w:val="none"/>
                <w:lang w:val="en-US" w:eastAsia="zh-CN" w:bidi="ar"/>
              </w:rPr>
              <w:t>全年</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92777.17平方米。</w:t>
            </w:r>
            <w:r>
              <w:rPr>
                <w:rFonts w:hint="eastAsia" w:ascii="宋体" w:hAnsi="宋体"/>
                <w:color w:val="auto"/>
                <w:sz w:val="24"/>
                <w:highlight w:val="none"/>
                <w:lang w:val="en-US" w:eastAsia="zh-CN"/>
              </w:rPr>
              <w:t>具体服务内容详见招标文件第五章采购需求。</w:t>
            </w:r>
          </w:p>
        </w:tc>
      </w:tr>
      <w:tr w14:paraId="085E1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46" w:type="pct"/>
            <w:vAlign w:val="center"/>
          </w:tcPr>
          <w:p w14:paraId="2BD16E99">
            <w:pPr>
              <w:pStyle w:val="251"/>
              <w:spacing w:before="102"/>
              <w:ind w:left="118" w:right="109"/>
              <w:jc w:val="center"/>
              <w:rPr>
                <w:rFonts w:hint="default"/>
                <w:color w:val="auto"/>
                <w:sz w:val="24"/>
                <w:szCs w:val="24"/>
                <w:highlight w:val="none"/>
                <w:lang w:val="en-US" w:eastAsia="zh-CN"/>
              </w:rPr>
            </w:pPr>
            <w:r>
              <w:rPr>
                <w:rFonts w:hint="eastAsia"/>
                <w:color w:val="auto"/>
                <w:sz w:val="24"/>
                <w:szCs w:val="24"/>
                <w:highlight w:val="none"/>
                <w:lang w:val="en-US" w:eastAsia="zh-CN"/>
              </w:rPr>
              <w:t>7</w:t>
            </w:r>
          </w:p>
        </w:tc>
        <w:tc>
          <w:tcPr>
            <w:tcW w:w="937" w:type="pct"/>
            <w:vAlign w:val="center"/>
          </w:tcPr>
          <w:p w14:paraId="4F09DD3A">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北京城市副中心绿地养护潞城中心公园(七标段)</w:t>
            </w:r>
          </w:p>
        </w:tc>
        <w:tc>
          <w:tcPr>
            <w:tcW w:w="692" w:type="pct"/>
            <w:vAlign w:val="center"/>
          </w:tcPr>
          <w:p w14:paraId="17B107ED">
            <w:pPr>
              <w:pStyle w:val="251"/>
              <w:jc w:val="center"/>
              <w:rPr>
                <w:rFonts w:hint="eastAsia"/>
                <w:color w:val="auto"/>
                <w:sz w:val="24"/>
                <w:szCs w:val="24"/>
                <w:highlight w:val="none"/>
                <w:lang w:eastAsia="zh-CN"/>
              </w:rPr>
            </w:pPr>
            <w:r>
              <w:rPr>
                <w:rFonts w:hint="eastAsia"/>
                <w:color w:val="auto"/>
                <w:sz w:val="24"/>
                <w:szCs w:val="24"/>
                <w:highlight w:val="none"/>
                <w:lang w:val="en-US" w:eastAsia="zh-CN"/>
              </w:rPr>
              <w:t xml:space="preserve">936.842070 </w:t>
            </w:r>
            <w:r>
              <w:rPr>
                <w:rFonts w:hint="eastAsia"/>
                <w:color w:val="auto"/>
                <w:sz w:val="24"/>
                <w:szCs w:val="24"/>
                <w:highlight w:val="none"/>
                <w:lang w:eastAsia="zh-CN"/>
              </w:rPr>
              <w:t xml:space="preserve"> </w:t>
            </w:r>
          </w:p>
          <w:p w14:paraId="687D0858">
            <w:pPr>
              <w:pStyle w:val="251"/>
              <w:jc w:val="center"/>
              <w:rPr>
                <w:rFonts w:hint="eastAsia"/>
                <w:color w:val="auto"/>
                <w:sz w:val="24"/>
                <w:szCs w:val="24"/>
                <w:highlight w:val="none"/>
                <w:lang w:eastAsia="zh-CN"/>
              </w:rPr>
            </w:pPr>
          </w:p>
        </w:tc>
        <w:tc>
          <w:tcPr>
            <w:tcW w:w="434" w:type="pct"/>
            <w:vAlign w:val="center"/>
          </w:tcPr>
          <w:p w14:paraId="3161E85D">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4C23FA23">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1FCB9387">
            <w:pPr>
              <w:widowControl/>
              <w:numPr>
                <w:ilvl w:val="-1"/>
                <w:numId w:val="0"/>
              </w:numPr>
              <w:autoSpaceDE/>
              <w:autoSpaceDN/>
              <w:spacing w:line="360" w:lineRule="auto"/>
              <w:jc w:val="left"/>
              <w:rPr>
                <w:rFonts w:hint="default" w:ascii="宋体" w:hAnsi="宋体" w:cs="宋体"/>
                <w:color w:val="auto"/>
                <w:sz w:val="24"/>
                <w:highlight w:val="none"/>
                <w:shd w:val="clear" w:color="auto" w:fill="FFFFFF"/>
                <w:lang w:val="en-US" w:eastAsia="zh-CN"/>
              </w:rPr>
            </w:pPr>
            <w:r>
              <w:rPr>
                <w:rFonts w:hint="eastAsia" w:cs="宋体"/>
                <w:color w:val="auto"/>
                <w:sz w:val="24"/>
                <w:highlight w:val="none"/>
                <w:shd w:val="clear" w:color="auto" w:fill="FFFFFF"/>
                <w:lang w:eastAsia="zh-CN"/>
              </w:rPr>
              <w:t>北京城市副中心绿地养护潞城中心公园(七标段)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116959.06平方米</w:t>
            </w:r>
            <w:r>
              <w:rPr>
                <w:rFonts w:hint="eastAsia" w:ascii="宋体" w:hAnsi="宋体" w:cs="Times New Roman"/>
                <w:color w:val="auto"/>
                <w:kern w:val="2"/>
                <w:sz w:val="24"/>
                <w:szCs w:val="24"/>
                <w:highlight w:val="none"/>
                <w:u w:val="none"/>
                <w:lang w:val="en-US" w:eastAsia="zh-CN" w:bidi="ar"/>
              </w:rPr>
              <w:t>；</w:t>
            </w:r>
            <w:r>
              <w:rPr>
                <w:rFonts w:hint="eastAsia" w:ascii="宋体" w:hAnsi="宋体"/>
                <w:color w:val="auto"/>
                <w:sz w:val="24"/>
                <w:highlight w:val="none"/>
                <w:u w:val="none"/>
                <w:lang w:val="en-US" w:eastAsia="zh-CN"/>
              </w:rPr>
              <w:t>具</w:t>
            </w:r>
            <w:r>
              <w:rPr>
                <w:rFonts w:hint="eastAsia" w:ascii="宋体" w:hAnsi="宋体"/>
                <w:color w:val="auto"/>
                <w:sz w:val="24"/>
                <w:highlight w:val="none"/>
                <w:lang w:val="en-US" w:eastAsia="zh-CN"/>
              </w:rPr>
              <w:t>体服务内容详见招标文件第五章采购需求。</w:t>
            </w:r>
          </w:p>
        </w:tc>
      </w:tr>
      <w:tr w14:paraId="418EF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46" w:type="pct"/>
            <w:vAlign w:val="center"/>
          </w:tcPr>
          <w:p w14:paraId="18100AED">
            <w:pPr>
              <w:pStyle w:val="251"/>
              <w:spacing w:before="102"/>
              <w:ind w:left="118" w:right="109"/>
              <w:jc w:val="center"/>
              <w:rPr>
                <w:rFonts w:hint="default"/>
                <w:color w:val="auto"/>
                <w:sz w:val="24"/>
                <w:szCs w:val="24"/>
                <w:highlight w:val="none"/>
                <w:lang w:val="en-US" w:eastAsia="zh-CN"/>
              </w:rPr>
            </w:pPr>
            <w:r>
              <w:rPr>
                <w:rFonts w:hint="eastAsia"/>
                <w:color w:val="auto"/>
                <w:sz w:val="24"/>
                <w:szCs w:val="24"/>
                <w:highlight w:val="none"/>
                <w:lang w:val="en-US" w:eastAsia="zh-CN"/>
              </w:rPr>
              <w:t>8</w:t>
            </w:r>
          </w:p>
        </w:tc>
        <w:tc>
          <w:tcPr>
            <w:tcW w:w="937" w:type="pct"/>
            <w:vAlign w:val="center"/>
          </w:tcPr>
          <w:p w14:paraId="5043A60B">
            <w:pPr>
              <w:pStyle w:val="251"/>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北京城市副中心绿地养护监理服务（</w:t>
            </w:r>
            <w:r>
              <w:rPr>
                <w:rFonts w:hint="eastAsia" w:cs="宋体"/>
                <w:color w:val="auto"/>
                <w:sz w:val="24"/>
                <w:highlight w:val="none"/>
                <w:shd w:val="clear" w:color="auto" w:fill="FFFFFF"/>
                <w:lang w:val="en-US" w:eastAsia="zh-CN"/>
              </w:rPr>
              <w:t>八标段</w:t>
            </w:r>
            <w:r>
              <w:rPr>
                <w:rFonts w:hint="eastAsia" w:cs="宋体"/>
                <w:color w:val="auto"/>
                <w:sz w:val="24"/>
                <w:highlight w:val="none"/>
                <w:shd w:val="clear" w:color="auto" w:fill="FFFFFF"/>
                <w:lang w:eastAsia="zh-CN"/>
              </w:rPr>
              <w:t>）</w:t>
            </w:r>
          </w:p>
        </w:tc>
        <w:tc>
          <w:tcPr>
            <w:tcW w:w="692" w:type="pct"/>
            <w:vAlign w:val="center"/>
          </w:tcPr>
          <w:p w14:paraId="391F3292">
            <w:pPr>
              <w:pStyle w:val="251"/>
              <w:jc w:val="center"/>
              <w:rPr>
                <w:rFonts w:hint="default"/>
                <w:color w:val="auto"/>
                <w:sz w:val="24"/>
                <w:szCs w:val="24"/>
                <w:highlight w:val="none"/>
                <w:lang w:val="en-US" w:eastAsia="zh-CN"/>
              </w:rPr>
            </w:pPr>
            <w:r>
              <w:rPr>
                <w:rFonts w:hint="eastAsia"/>
                <w:color w:val="auto"/>
                <w:sz w:val="24"/>
                <w:szCs w:val="24"/>
                <w:highlight w:val="none"/>
                <w:lang w:eastAsia="zh-CN"/>
              </w:rPr>
              <w:t>231</w:t>
            </w:r>
            <w:r>
              <w:rPr>
                <w:rFonts w:hint="eastAsia"/>
                <w:color w:val="auto"/>
                <w:sz w:val="24"/>
                <w:szCs w:val="24"/>
                <w:highlight w:val="none"/>
                <w:lang w:val="en-US" w:eastAsia="zh-CN"/>
              </w:rPr>
              <w:t>.</w:t>
            </w:r>
            <w:r>
              <w:rPr>
                <w:rFonts w:hint="eastAsia"/>
                <w:color w:val="auto"/>
                <w:sz w:val="24"/>
                <w:szCs w:val="24"/>
                <w:highlight w:val="none"/>
                <w:lang w:eastAsia="zh-CN"/>
              </w:rPr>
              <w:t>4950</w:t>
            </w:r>
            <w:r>
              <w:rPr>
                <w:rFonts w:hint="eastAsia"/>
                <w:color w:val="auto"/>
                <w:sz w:val="24"/>
                <w:szCs w:val="24"/>
                <w:highlight w:val="none"/>
                <w:lang w:val="en-US" w:eastAsia="zh-CN"/>
              </w:rPr>
              <w:t>00</w:t>
            </w:r>
          </w:p>
        </w:tc>
        <w:tc>
          <w:tcPr>
            <w:tcW w:w="434" w:type="pct"/>
            <w:vAlign w:val="center"/>
          </w:tcPr>
          <w:p w14:paraId="5940A6F4">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434" w:type="pct"/>
            <w:vAlign w:val="center"/>
          </w:tcPr>
          <w:p w14:paraId="667BAC0F">
            <w:pPr>
              <w:pStyle w:val="251"/>
              <w:jc w:val="center"/>
              <w:rPr>
                <w:rFonts w:hint="default"/>
                <w:color w:val="auto"/>
                <w:sz w:val="24"/>
                <w:szCs w:val="24"/>
                <w:highlight w:val="none"/>
                <w:lang w:val="en-US" w:eastAsia="zh-CN"/>
              </w:rPr>
            </w:pPr>
            <w:r>
              <w:rPr>
                <w:rFonts w:hint="eastAsia"/>
                <w:color w:val="auto"/>
                <w:sz w:val="24"/>
                <w:szCs w:val="24"/>
                <w:highlight w:val="none"/>
                <w:lang w:val="en-US" w:eastAsia="zh-CN"/>
              </w:rPr>
              <w:t>1</w:t>
            </w:r>
          </w:p>
        </w:tc>
        <w:tc>
          <w:tcPr>
            <w:tcW w:w="2154" w:type="pct"/>
            <w:vAlign w:val="center"/>
          </w:tcPr>
          <w:p w14:paraId="4ECDD6D8">
            <w:pPr>
              <w:widowControl/>
              <w:numPr>
                <w:ilvl w:val="-1"/>
                <w:numId w:val="0"/>
              </w:numPr>
              <w:autoSpaceDE/>
              <w:autoSpaceDN/>
              <w:spacing w:line="360" w:lineRule="auto"/>
              <w:jc w:val="left"/>
              <w:rPr>
                <w:rFonts w:hint="eastAsia" w:cs="宋体"/>
                <w:color w:val="auto"/>
                <w:sz w:val="24"/>
                <w:highlight w:val="none"/>
                <w:shd w:val="clear" w:color="auto" w:fill="FFFFFF"/>
                <w:lang w:eastAsia="zh-CN"/>
              </w:rPr>
            </w:pPr>
            <w:r>
              <w:rPr>
                <w:rFonts w:hint="eastAsia" w:ascii="宋体" w:hAnsi="宋体" w:eastAsia="宋体" w:cs="宋体"/>
                <w:color w:val="auto"/>
                <w:sz w:val="24"/>
                <w:szCs w:val="24"/>
                <w:highlight w:val="none"/>
              </w:rPr>
              <w:t>对北京城市副中心绿地养护服务范围进行监理服务；具体服务内容详见招标文件第五章采购需求。</w:t>
            </w:r>
          </w:p>
        </w:tc>
      </w:tr>
    </w:tbl>
    <w:p w14:paraId="782FD468">
      <w:pPr>
        <w:spacing w:line="360" w:lineRule="auto"/>
        <w:rPr>
          <w:rFonts w:hint="default" w:ascii="宋体" w:hAnsi="宋体"/>
          <w:b/>
          <w:bCs/>
          <w:color w:val="auto"/>
          <w:sz w:val="36"/>
          <w:szCs w:val="36"/>
          <w:highlight w:val="none"/>
          <w:lang w:val="en-US" w:eastAsia="zh-CN"/>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1-8包，2026年1月1日起至2028年12月31日止，为期三年。</w:t>
      </w:r>
    </w:p>
    <w:p w14:paraId="12427FA2">
      <w:pPr>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本项目是否接受联合体投标：□是</w:t>
      </w:r>
      <w:r>
        <w:rPr>
          <w:rFonts w:hint="eastAsia" w:ascii="宋体" w:hAnsi="宋体" w:cs="宋体"/>
          <w:color w:val="auto"/>
          <w:sz w:val="24"/>
          <w:highlight w:val="none"/>
        </w:rPr>
        <w:tab/>
      </w:r>
      <w:r>
        <w:rPr>
          <w:rFonts w:ascii="Segoe UI Symbol" w:hAnsi="Segoe UI Symbol" w:cs="Segoe UI Symbol"/>
          <w:color w:val="auto"/>
          <w:sz w:val="24"/>
          <w:highlight w:val="none"/>
        </w:rPr>
        <w:t>☑</w:t>
      </w:r>
      <w:r>
        <w:rPr>
          <w:rFonts w:hint="eastAsia" w:ascii="宋体" w:hAnsi="宋体" w:cs="宋体"/>
          <w:color w:val="auto"/>
          <w:sz w:val="24"/>
          <w:highlight w:val="none"/>
        </w:rPr>
        <w:t>否。</w:t>
      </w:r>
      <w:bookmarkStart w:id="13" w:name="_Toc28359080"/>
      <w:bookmarkStart w:id="14" w:name="_Toc35393622"/>
      <w:bookmarkStart w:id="15" w:name="_Toc35393791"/>
      <w:bookmarkStart w:id="16" w:name="_Toc28359003"/>
    </w:p>
    <w:p w14:paraId="6B421889">
      <w:pPr>
        <w:spacing w:line="360" w:lineRule="auto"/>
        <w:rPr>
          <w:rFonts w:ascii="宋体" w:hAnsi="宋体" w:cs="仿宋"/>
          <w:b/>
          <w:color w:val="auto"/>
          <w:sz w:val="24"/>
          <w:highlight w:val="none"/>
        </w:rPr>
      </w:pPr>
      <w:r>
        <w:rPr>
          <w:rFonts w:hint="eastAsia" w:ascii="宋体" w:hAnsi="宋体" w:cs="仿宋"/>
          <w:b/>
          <w:color w:val="auto"/>
          <w:sz w:val="24"/>
          <w:highlight w:val="none"/>
        </w:rPr>
        <w:t>二、申请人的资格要求</w:t>
      </w:r>
      <w:bookmarkEnd w:id="13"/>
      <w:bookmarkEnd w:id="14"/>
      <w:bookmarkEnd w:id="15"/>
      <w:bookmarkEnd w:id="16"/>
      <w:bookmarkStart w:id="17" w:name="_Toc226965856"/>
      <w:bookmarkStart w:id="18" w:name="_Toc264969275"/>
      <w:bookmarkStart w:id="19" w:name="_Toc150774783"/>
      <w:bookmarkStart w:id="20" w:name="_Toc305158854"/>
      <w:bookmarkStart w:id="21" w:name="_Toc512937850"/>
      <w:bookmarkStart w:id="22" w:name="_Toc305158928"/>
      <w:bookmarkStart w:id="23" w:name="_Toc99301420"/>
      <w:bookmarkStart w:id="24" w:name="_Toc265228423"/>
      <w:bookmarkStart w:id="25" w:name="_Toc353825548"/>
      <w:bookmarkStart w:id="26" w:name="_Toc127151777"/>
      <w:bookmarkStart w:id="27" w:name="_Toc353873938"/>
      <w:bookmarkStart w:id="28" w:name="_Toc127161488"/>
      <w:bookmarkStart w:id="29" w:name="_Toc195842950"/>
      <w:r>
        <w:rPr>
          <w:rFonts w:hint="eastAsia" w:ascii="宋体" w:hAnsi="宋体" w:cs="仿宋"/>
          <w:b/>
          <w:color w:val="auto"/>
          <w:sz w:val="24"/>
          <w:highlight w:val="none"/>
        </w:rPr>
        <w:t>：</w:t>
      </w:r>
      <w:bookmarkStart w:id="30" w:name="_Toc28359004"/>
      <w:bookmarkStart w:id="31" w:name="_Toc28359081"/>
      <w:bookmarkStart w:id="32" w:name="_Toc35393623"/>
      <w:bookmarkStart w:id="33" w:name="_Toc35393792"/>
    </w:p>
    <w:p w14:paraId="748413FC">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1.满足《中华人民共和国政府采购法》第二十二条规定；</w:t>
      </w:r>
    </w:p>
    <w:p w14:paraId="71EE20E5">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2.落实政府采购政策需满足的资格要求：</w:t>
      </w:r>
    </w:p>
    <w:p w14:paraId="339CB1F8">
      <w:pPr>
        <w:spacing w:line="360" w:lineRule="auto"/>
        <w:rPr>
          <w:rFonts w:hint="eastAsia"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2.1中小企业政策</w:t>
      </w:r>
    </w:p>
    <w:p w14:paraId="320FE9E7">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本项目不专门面向中小企业预留采购份额。</w:t>
      </w:r>
    </w:p>
    <w:p w14:paraId="32FE0083">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本项目专门面向</w:t>
      </w:r>
      <w:r>
        <w:rPr>
          <w:rFonts w:hint="eastAsia" w:ascii="宋体" w:hAnsi="宋体" w:cs="宋体"/>
          <w:bCs/>
          <w:color w:val="auto"/>
          <w:sz w:val="24"/>
          <w:highlight w:val="none"/>
          <w:shd w:val="clear" w:color="auto" w:fill="FFFFFF"/>
        </w:rPr>
        <w:tab/>
      </w: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 xml:space="preserve">中小 </w:t>
      </w:r>
      <w:r>
        <w:rPr>
          <w:rFonts w:hint="eastAsia" w:ascii="Segoe UI Symbol" w:hAnsi="Segoe UI Symbol" w:cs="Segoe UI Symbol"/>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小微企业</w:t>
      </w:r>
      <w:r>
        <w:rPr>
          <w:rFonts w:hint="eastAsia" w:ascii="宋体" w:hAnsi="宋体" w:cs="宋体"/>
          <w:bCs/>
          <w:color w:val="auto"/>
          <w:sz w:val="24"/>
          <w:highlight w:val="none"/>
          <w:shd w:val="clear" w:color="auto" w:fill="FFFFFF"/>
        </w:rPr>
        <w:tab/>
      </w:r>
      <w:r>
        <w:rPr>
          <w:rFonts w:hint="eastAsia" w:ascii="宋体" w:hAnsi="宋体" w:cs="宋体"/>
          <w:bCs/>
          <w:color w:val="auto"/>
          <w:sz w:val="24"/>
          <w:highlight w:val="none"/>
          <w:shd w:val="clear" w:color="auto" w:fill="FFFFFF"/>
        </w:rPr>
        <w:t>采购。即：提供的货物全部由符合政策要求的中小/小微企业制造、服务全部由符合政策要求的中小/小微企业承接。</w:t>
      </w:r>
    </w:p>
    <w:p w14:paraId="43BDD648">
      <w:pPr>
        <w:spacing w:line="360" w:lineRule="auto"/>
        <w:rPr>
          <w:rFonts w:hint="eastAsia" w:ascii="宋体" w:hAnsi="宋体" w:cs="宋体"/>
          <w:bCs/>
          <w:color w:val="auto"/>
          <w:sz w:val="24"/>
          <w:highlight w:val="none"/>
          <w:u w:val="single"/>
          <w:shd w:val="clear" w:color="auto" w:fill="FFFFFF"/>
          <w:lang w:eastAsia="zh-CN"/>
        </w:rPr>
      </w:pPr>
      <w:r>
        <w:rPr>
          <w:rFonts w:hint="eastAsia" w:ascii="宋体" w:hAnsi="宋体" w:cs="宋体"/>
          <w:bCs/>
          <w:color w:val="auto"/>
          <w:sz w:val="24"/>
          <w:highlight w:val="none"/>
          <w:shd w:val="clear" w:color="auto" w:fill="FFFFFF"/>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bCs/>
          <w:color w:val="auto"/>
          <w:sz w:val="24"/>
          <w:highlight w:val="none"/>
          <w:u w:val="single"/>
          <w:shd w:val="clear" w:color="auto" w:fill="FFFFFF"/>
        </w:rPr>
        <w:t xml:space="preserve"> / </w:t>
      </w:r>
      <w:r>
        <w:rPr>
          <w:rFonts w:hint="eastAsia" w:ascii="宋体" w:hAnsi="宋体" w:cs="宋体"/>
          <w:bCs/>
          <w:color w:val="auto"/>
          <w:sz w:val="24"/>
          <w:highlight w:val="none"/>
          <w:u w:val="single"/>
          <w:shd w:val="clear" w:color="auto" w:fill="FFFFFF"/>
          <w:lang w:eastAsia="zh-CN"/>
        </w:rPr>
        <w:t>。</w:t>
      </w:r>
    </w:p>
    <w:p w14:paraId="5F774B17">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2.2其它落实政府采购政策的资格要求（如有）：</w:t>
      </w:r>
      <w:r>
        <w:rPr>
          <w:rFonts w:hint="eastAsia" w:ascii="宋体" w:hAnsi="宋体" w:cs="宋体"/>
          <w:bCs/>
          <w:color w:val="auto"/>
          <w:sz w:val="24"/>
          <w:highlight w:val="none"/>
          <w:u w:val="single"/>
          <w:shd w:val="clear" w:color="auto" w:fill="FFFFFF"/>
        </w:rPr>
        <w:t xml:space="preserve"> / </w:t>
      </w:r>
      <w:r>
        <w:rPr>
          <w:rFonts w:hint="eastAsia" w:ascii="宋体" w:hAnsi="宋体" w:cs="宋体"/>
          <w:bCs/>
          <w:color w:val="auto"/>
          <w:sz w:val="24"/>
          <w:highlight w:val="none"/>
          <w:shd w:val="clear" w:color="auto" w:fill="FFFFFF"/>
        </w:rPr>
        <w:t>。</w:t>
      </w:r>
    </w:p>
    <w:p w14:paraId="65FCDBBD">
      <w:pPr>
        <w:numPr>
          <w:ilvl w:val="0"/>
          <w:numId w:val="9"/>
        </w:num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本项目的特定资格要求：</w:t>
      </w:r>
    </w:p>
    <w:p w14:paraId="287ED0F5">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rPr>
        <w:t>3.1本项目是否属于政府购买服务：</w:t>
      </w:r>
    </w:p>
    <w:p w14:paraId="18BF699C">
      <w:pPr>
        <w:spacing w:line="360" w:lineRule="auto"/>
        <w:rPr>
          <w:rFonts w:ascii="宋体" w:hAnsi="宋体" w:cs="宋体"/>
          <w:bCs/>
          <w:color w:val="auto"/>
          <w:sz w:val="24"/>
          <w:highlight w:val="none"/>
          <w:shd w:val="clear" w:color="auto" w:fill="FFFFFF"/>
        </w:rPr>
      </w:pPr>
      <w:r>
        <w:rPr>
          <w:rFonts w:hint="eastAsia" w:ascii="Segoe UI Symbol" w:hAnsi="Segoe UI Symbol" w:cs="Segoe UI Symbol"/>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否</w:t>
      </w:r>
    </w:p>
    <w:p w14:paraId="5FBFCFA6">
      <w:pPr>
        <w:spacing w:line="360" w:lineRule="auto"/>
        <w:rPr>
          <w:rFonts w:ascii="宋体" w:hAnsi="宋体" w:cs="宋体"/>
          <w:bCs/>
          <w:color w:val="auto"/>
          <w:sz w:val="24"/>
          <w:highlight w:val="none"/>
          <w:shd w:val="clear" w:color="auto" w:fill="FFFFFF"/>
        </w:rPr>
      </w:pPr>
      <w:r>
        <w:rPr>
          <w:rFonts w:hint="eastAsia" w:ascii="宋体" w:hAnsi="宋体" w:cs="宋体"/>
          <w:bCs/>
          <w:color w:val="auto"/>
          <w:sz w:val="24"/>
          <w:highlight w:val="none"/>
          <w:shd w:val="clear" w:color="auto" w:fill="FFFFFF"/>
          <w:lang w:eastAsia="zh-CN"/>
        </w:rPr>
        <w:t>☑</w:t>
      </w:r>
      <w:r>
        <w:rPr>
          <w:rFonts w:hint="eastAsia" w:ascii="宋体" w:hAnsi="宋体" w:cs="宋体"/>
          <w:bCs/>
          <w:color w:val="auto"/>
          <w:sz w:val="24"/>
          <w:highlight w:val="none"/>
          <w:shd w:val="clear" w:color="auto" w:fill="FFFFFF"/>
        </w:rPr>
        <w:t>是，公益一类事业单位、使用事业编制且由财政拨款保障的群团组织，不得作为承接主体；</w:t>
      </w:r>
    </w:p>
    <w:p w14:paraId="1D9C32B6">
      <w:pPr>
        <w:pStyle w:val="2"/>
        <w:spacing w:line="360" w:lineRule="auto"/>
        <w:jc w:val="both"/>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b w:val="0"/>
          <w:bCs/>
          <w:color w:val="auto"/>
          <w:sz w:val="24"/>
          <w:szCs w:val="24"/>
          <w:highlight w:val="none"/>
          <w:shd w:val="clear" w:color="auto" w:fill="FFFFFF"/>
        </w:rPr>
        <w:t>3.2其他特定资格要求：</w:t>
      </w:r>
    </w:p>
    <w:p w14:paraId="2ABA3586">
      <w:pPr>
        <w:pStyle w:val="2"/>
        <w:spacing w:line="360" w:lineRule="auto"/>
        <w:jc w:val="both"/>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1-7包特定资格要求：</w:t>
      </w:r>
    </w:p>
    <w:p w14:paraId="56607ADE">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）投标人未被列入信用中国网站( www.creditchina.gov.cn)、中国政府采购网(www.ccgp.gov.cn)渠道信用记录失信被执行人、</w:t>
      </w:r>
      <w:r>
        <w:rPr>
          <w:rFonts w:hint="eastAsia" w:ascii="宋体" w:hAnsi="宋体" w:cs="宋体"/>
          <w:color w:val="auto"/>
          <w:sz w:val="24"/>
          <w:highlight w:val="none"/>
          <w:shd w:val="clear" w:color="auto" w:fill="FFFFFF"/>
          <w:lang w:eastAsia="zh-CN"/>
        </w:rPr>
        <w:t>重大税收违法失信主体名单</w:t>
      </w:r>
      <w:r>
        <w:rPr>
          <w:rFonts w:hint="eastAsia" w:ascii="宋体" w:hAnsi="宋体" w:cs="宋体"/>
          <w:color w:val="auto"/>
          <w:sz w:val="24"/>
          <w:highlight w:val="none"/>
          <w:shd w:val="clear" w:color="auto" w:fill="FFFFFF"/>
        </w:rPr>
        <w:t>、政府采购严重违法失信行为记录名单。</w:t>
      </w:r>
    </w:p>
    <w:p w14:paraId="0B9F8D62">
      <w:pPr>
        <w:spacing w:line="360" w:lineRule="auto"/>
        <w:ind w:firstLine="480" w:firstLineChars="200"/>
        <w:rPr>
          <w:rFonts w:ascii="宋体" w:hAnsi="宋体" w:cs="宋体"/>
          <w:color w:val="auto"/>
          <w:sz w:val="24"/>
          <w:highlight w:val="none"/>
          <w:shd w:val="clear" w:color="auto" w:fill="FFFFFF"/>
          <w:lang w:val="zh-TW"/>
        </w:rPr>
      </w:pPr>
      <w:r>
        <w:rPr>
          <w:rFonts w:hint="eastAsia" w:ascii="宋体" w:hAnsi="宋体" w:cs="宋体"/>
          <w:color w:val="auto"/>
          <w:sz w:val="24"/>
          <w:highlight w:val="none"/>
          <w:shd w:val="clear" w:color="auto" w:fill="FFFFFF"/>
        </w:rPr>
        <w:t>（</w:t>
      </w:r>
      <w:r>
        <w:rPr>
          <w:rFonts w:ascii="宋体" w:hAnsi="宋体" w:cs="宋体"/>
          <w:color w:val="auto"/>
          <w:sz w:val="24"/>
          <w:highlight w:val="none"/>
          <w:shd w:val="clear" w:color="auto" w:fill="FFFFFF"/>
        </w:rPr>
        <w:t>2</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zh-TW" w:eastAsia="zh-TW"/>
        </w:rPr>
        <w:t>单位负责人为同一人或者存在控股、管理关系的不同单位</w:t>
      </w:r>
      <w:r>
        <w:rPr>
          <w:rFonts w:hint="eastAsia" w:ascii="宋体" w:hAnsi="宋体" w:cs="宋体"/>
          <w:color w:val="auto"/>
          <w:sz w:val="24"/>
          <w:highlight w:val="none"/>
          <w:shd w:val="clear" w:color="auto" w:fill="FFFFFF"/>
          <w:lang w:val="zh-TW"/>
        </w:rPr>
        <w:t>，</w:t>
      </w:r>
      <w:r>
        <w:rPr>
          <w:rFonts w:hint="eastAsia" w:ascii="宋体" w:hAnsi="宋体" w:cs="宋体"/>
          <w:color w:val="auto"/>
          <w:sz w:val="24"/>
          <w:highlight w:val="none"/>
          <w:shd w:val="clear" w:color="auto" w:fill="FFFFFF"/>
          <w:lang w:val="zh-TW" w:eastAsia="zh-TW"/>
        </w:rPr>
        <w:t>不得同时参加投标</w:t>
      </w:r>
      <w:r>
        <w:rPr>
          <w:rFonts w:hint="eastAsia" w:ascii="宋体" w:hAnsi="宋体" w:cs="宋体"/>
          <w:color w:val="auto"/>
          <w:sz w:val="24"/>
          <w:highlight w:val="none"/>
          <w:shd w:val="clear" w:color="auto" w:fill="FFFFFF"/>
          <w:lang w:val="zh-TW"/>
        </w:rPr>
        <w:t>；</w:t>
      </w:r>
    </w:p>
    <w:p w14:paraId="51A696E2">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）本项目不接受联合体投标。</w:t>
      </w:r>
    </w:p>
    <w:p w14:paraId="233B9232">
      <w:pPr>
        <w:pStyle w:val="2"/>
        <w:spacing w:line="360" w:lineRule="auto"/>
        <w:jc w:val="both"/>
        <w:rPr>
          <w:rFonts w:hint="default"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8包特定资格要求：</w:t>
      </w:r>
    </w:p>
    <w:p w14:paraId="4244BDDC">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投标人</w:t>
      </w:r>
      <w:r>
        <w:rPr>
          <w:rFonts w:hint="eastAsia" w:ascii="宋体" w:hAnsi="宋体" w:cs="宋体"/>
          <w:color w:val="auto"/>
          <w:sz w:val="24"/>
          <w:highlight w:val="none"/>
          <w:shd w:val="clear" w:color="auto" w:fill="FFFFFF"/>
        </w:rPr>
        <w:t>未被列入信用中国网站( www.creditchina.gov.cn)、中国政府采购网(www.ccgp.gov.cn)渠道信用记录失信被执行人、重大税收违法案件当事人名单、政府采购严重违法失信行为记录名单。</w:t>
      </w:r>
    </w:p>
    <w:p w14:paraId="11F4FBFE">
      <w:pPr>
        <w:spacing w:line="360" w:lineRule="auto"/>
        <w:ind w:firstLine="480" w:firstLineChars="200"/>
        <w:rPr>
          <w:rFonts w:ascii="宋体" w:hAnsi="宋体" w:cs="宋体"/>
          <w:color w:val="auto"/>
          <w:sz w:val="24"/>
          <w:highlight w:val="none"/>
          <w:shd w:val="clear" w:color="auto" w:fill="FFFFFF"/>
          <w:lang w:val="zh-TW"/>
        </w:rPr>
      </w:pPr>
      <w:r>
        <w:rPr>
          <w:rFonts w:hint="eastAsia" w:ascii="宋体" w:hAnsi="宋体" w:cs="宋体"/>
          <w:color w:val="auto"/>
          <w:sz w:val="24"/>
          <w:highlight w:val="none"/>
          <w:shd w:val="clear" w:color="auto" w:fill="FFFFFF"/>
        </w:rPr>
        <w:t>（</w:t>
      </w:r>
      <w:r>
        <w:rPr>
          <w:rFonts w:ascii="宋体" w:hAnsi="宋体" w:cs="宋体"/>
          <w:color w:val="auto"/>
          <w:sz w:val="24"/>
          <w:highlight w:val="none"/>
          <w:shd w:val="clear" w:color="auto" w:fill="FFFFFF"/>
        </w:rPr>
        <w:t>2</w:t>
      </w: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zh-TW" w:eastAsia="zh-TW"/>
        </w:rPr>
        <w:t>单位负责人为同一人或者存在控股、管理关系的不同单位</w:t>
      </w:r>
      <w:r>
        <w:rPr>
          <w:rFonts w:hint="eastAsia" w:ascii="宋体" w:hAnsi="宋体" w:cs="宋体"/>
          <w:color w:val="auto"/>
          <w:sz w:val="24"/>
          <w:highlight w:val="none"/>
          <w:shd w:val="clear" w:color="auto" w:fill="FFFFFF"/>
          <w:lang w:val="zh-TW"/>
        </w:rPr>
        <w:t>，</w:t>
      </w:r>
      <w:r>
        <w:rPr>
          <w:rFonts w:hint="eastAsia" w:ascii="宋体" w:hAnsi="宋体" w:cs="宋体"/>
          <w:color w:val="auto"/>
          <w:sz w:val="24"/>
          <w:highlight w:val="none"/>
          <w:shd w:val="clear" w:color="auto" w:fill="FFFFFF"/>
          <w:lang w:val="zh-TW" w:eastAsia="zh-TW"/>
        </w:rPr>
        <w:t>不得同时参加投标</w:t>
      </w:r>
      <w:r>
        <w:rPr>
          <w:rFonts w:hint="eastAsia" w:ascii="宋体" w:hAnsi="宋体" w:cs="宋体"/>
          <w:color w:val="auto"/>
          <w:sz w:val="24"/>
          <w:highlight w:val="none"/>
          <w:shd w:val="clear" w:color="auto" w:fill="FFFFFF"/>
          <w:lang w:val="zh-TW"/>
        </w:rPr>
        <w:t>；</w:t>
      </w:r>
    </w:p>
    <w:p w14:paraId="0850E65C">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）具有国家建设行政主管部门核发的市政公用工程监理甲级(含以上)资质证书；</w:t>
      </w:r>
    </w:p>
    <w:p w14:paraId="1B7FCDF8">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）总监理工程师需具有市政公用工程专业注册监理工程师资格，且注册单位与投标单位一致；</w:t>
      </w:r>
    </w:p>
    <w:p w14:paraId="5E536BB2">
      <w:pPr>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本项目不接受联合体</w:t>
      </w:r>
      <w:r>
        <w:rPr>
          <w:rFonts w:hint="eastAsia" w:ascii="宋体" w:hAnsi="宋体" w:cs="宋体"/>
          <w:color w:val="auto"/>
          <w:sz w:val="24"/>
          <w:highlight w:val="none"/>
          <w:shd w:val="clear" w:color="auto" w:fill="FFFFFF"/>
          <w:lang w:val="en-US" w:eastAsia="zh-CN"/>
        </w:rPr>
        <w:t>投标。</w:t>
      </w:r>
    </w:p>
    <w:p w14:paraId="0D8E243A">
      <w:pPr>
        <w:pStyle w:val="2"/>
        <w:spacing w:line="360" w:lineRule="auto"/>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三、获取招标文件</w:t>
      </w:r>
      <w:bookmarkEnd w:id="30"/>
      <w:bookmarkEnd w:id="31"/>
      <w:bookmarkEnd w:id="32"/>
      <w:bookmarkEnd w:id="33"/>
    </w:p>
    <w:p w14:paraId="7A5614B0">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时间：202</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12</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10</w:t>
      </w:r>
      <w:r>
        <w:rPr>
          <w:rFonts w:hint="eastAsia" w:ascii="宋体" w:hAnsi="宋体" w:cs="宋体"/>
          <w:color w:val="auto"/>
          <w:sz w:val="24"/>
          <w:highlight w:val="none"/>
          <w:shd w:val="clear" w:color="auto" w:fill="FFFFFF"/>
        </w:rPr>
        <w:t>日9:00至202</w:t>
      </w:r>
      <w:r>
        <w:rPr>
          <w:rFonts w:hint="eastAsia" w:ascii="宋体" w:hAnsi="宋体" w:cs="宋体"/>
          <w:color w:val="auto"/>
          <w:sz w:val="24"/>
          <w:highlight w:val="none"/>
          <w:shd w:val="clear" w:color="auto" w:fill="FFFFFF"/>
          <w:lang w:val="en-US" w:eastAsia="zh-CN"/>
        </w:rPr>
        <w:t>5</w:t>
      </w:r>
      <w:r>
        <w:rPr>
          <w:rFonts w:hint="eastAsia" w:ascii="宋体" w:hAnsi="宋体" w:cs="宋体"/>
          <w:color w:val="auto"/>
          <w:sz w:val="24"/>
          <w:highlight w:val="none"/>
          <w:shd w:val="clear" w:color="auto" w:fill="FFFFFF"/>
        </w:rPr>
        <w:t>年</w:t>
      </w:r>
      <w:r>
        <w:rPr>
          <w:rFonts w:hint="eastAsia" w:ascii="宋体" w:hAnsi="宋体" w:cs="宋体"/>
          <w:color w:val="auto"/>
          <w:sz w:val="24"/>
          <w:highlight w:val="none"/>
          <w:shd w:val="clear" w:color="auto" w:fill="FFFFFF"/>
          <w:lang w:val="en-US" w:eastAsia="zh-CN"/>
        </w:rPr>
        <w:t>12</w:t>
      </w:r>
      <w:r>
        <w:rPr>
          <w:rFonts w:hint="eastAsia" w:ascii="宋体" w:hAnsi="宋体" w:cs="宋体"/>
          <w:color w:val="auto"/>
          <w:sz w:val="24"/>
          <w:highlight w:val="none"/>
          <w:shd w:val="clear" w:color="auto" w:fill="FFFFFF"/>
        </w:rPr>
        <w:t>月</w:t>
      </w:r>
      <w:r>
        <w:rPr>
          <w:rFonts w:hint="eastAsia" w:ascii="宋体" w:hAnsi="宋体" w:cs="宋体"/>
          <w:color w:val="auto"/>
          <w:sz w:val="24"/>
          <w:highlight w:val="none"/>
          <w:shd w:val="clear" w:color="auto" w:fill="FFFFFF"/>
          <w:lang w:val="en-US" w:eastAsia="zh-CN"/>
        </w:rPr>
        <w:t>16</w:t>
      </w:r>
      <w:r>
        <w:rPr>
          <w:rFonts w:hint="eastAsia" w:ascii="宋体" w:hAnsi="宋体" w:cs="宋体"/>
          <w:color w:val="auto"/>
          <w:sz w:val="24"/>
          <w:highlight w:val="none"/>
          <w:shd w:val="clear" w:color="auto" w:fill="FFFFFF"/>
        </w:rPr>
        <w:t>日1</w:t>
      </w:r>
      <w:r>
        <w:rPr>
          <w:rFonts w:hint="eastAsia" w:ascii="宋体" w:hAnsi="宋体" w:cs="宋体"/>
          <w:color w:val="auto"/>
          <w:sz w:val="24"/>
          <w:highlight w:val="none"/>
          <w:shd w:val="clear" w:color="auto" w:fill="FFFFFF"/>
          <w:lang w:val="en-US" w:eastAsia="zh-CN"/>
        </w:rPr>
        <w:t>7</w:t>
      </w:r>
      <w:r>
        <w:rPr>
          <w:rFonts w:hint="eastAsia" w:ascii="宋体" w:hAnsi="宋体" w:cs="宋体"/>
          <w:color w:val="auto"/>
          <w:sz w:val="24"/>
          <w:highlight w:val="none"/>
          <w:shd w:val="clear" w:color="auto" w:fill="FFFFFF"/>
        </w:rPr>
        <w:t>:00（北京时间）。</w:t>
      </w:r>
    </w:p>
    <w:p w14:paraId="1BC7851D">
      <w:pPr>
        <w:spacing w:line="360" w:lineRule="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地点</w:t>
      </w:r>
      <w:r>
        <w:rPr>
          <w:rFonts w:hint="eastAsia" w:ascii="宋体" w:hAnsi="宋体" w:cs="宋体"/>
          <w:color w:val="auto"/>
          <w:sz w:val="24"/>
          <w:highlight w:val="none"/>
          <w:shd w:val="clear" w:color="auto" w:fill="FFFFFF"/>
          <w:lang w:eastAsia="zh-CN"/>
        </w:rPr>
        <w:t>：北京市政府采购电子交易平台</w:t>
      </w:r>
    </w:p>
    <w:p w14:paraId="21541454">
      <w:pPr>
        <w:spacing w:line="360" w:lineRule="auto"/>
        <w:ind w:right="111" w:rightChars="53" w:firstLine="0" w:firstLineChars="0"/>
        <w:jc w:val="left"/>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 xml:space="preserve">方式: </w:t>
      </w:r>
      <w:r>
        <w:rPr>
          <w:rFonts w:hint="eastAsia" w:ascii="宋体" w:hAnsi="宋体" w:eastAsia="宋体" w:cs="宋体"/>
          <w:color w:val="auto"/>
          <w:sz w:val="24"/>
          <w:szCs w:val="24"/>
          <w:highlight w:val="none"/>
          <w:lang w:bidi="ar"/>
        </w:rPr>
        <w:t>供应商使用CA数字证书或电子营业执照登录北京市政府采购电子交易平台（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"http://zbcg-bjzc.zhongcy.com/bjczj-portal-site/index.html" \l "/home"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bidi="ar"/>
        </w:rPr>
        <w:t>http://zbcg-bjzc.zhongcy.com/bjczj-portal-site/index.html#/home</w:t>
      </w:r>
      <w:r>
        <w:rPr>
          <w:rFonts w:hint="eastAsia" w:ascii="宋体" w:hAnsi="宋体" w:eastAsia="宋体" w:cs="宋体"/>
          <w:color w:val="auto"/>
          <w:sz w:val="24"/>
          <w:szCs w:val="24"/>
          <w:highlight w:val="none"/>
          <w:lang w:bidi="ar"/>
        </w:rPr>
        <w:fldChar w:fldCharType="end"/>
      </w:r>
      <w:r>
        <w:rPr>
          <w:rFonts w:hint="eastAsia" w:ascii="宋体" w:hAnsi="宋体" w:eastAsia="宋体" w:cs="宋体"/>
          <w:color w:val="auto"/>
          <w:sz w:val="24"/>
          <w:szCs w:val="24"/>
          <w:highlight w:val="none"/>
          <w:lang w:bidi="ar"/>
        </w:rPr>
        <w:t>）获取电子版招标文件。</w:t>
      </w:r>
    </w:p>
    <w:p w14:paraId="4E806FD4">
      <w:pPr>
        <w:spacing w:line="360" w:lineRule="auto"/>
        <w:ind w:right="111" w:rightChars="53" w:firstLine="0" w:firstLineChars="0"/>
        <w:jc w:val="left"/>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售价：</w:t>
      </w:r>
      <w:r>
        <w:rPr>
          <w:rFonts w:hint="eastAsia" w:ascii="宋体" w:hAnsi="宋体"/>
          <w:color w:val="auto"/>
          <w:sz w:val="24"/>
          <w:highlight w:val="none"/>
          <w:lang w:val="en-US" w:eastAsia="zh-CN"/>
        </w:rPr>
        <w:t>0</w:t>
      </w:r>
      <w:r>
        <w:rPr>
          <w:rFonts w:hint="eastAsia" w:ascii="宋体" w:hAnsi="宋体"/>
          <w:color w:val="auto"/>
          <w:sz w:val="24"/>
          <w:highlight w:val="none"/>
        </w:rPr>
        <w:t>元。</w:t>
      </w:r>
    </w:p>
    <w:p w14:paraId="79388075">
      <w:pPr>
        <w:pStyle w:val="2"/>
        <w:numPr>
          <w:ilvl w:val="0"/>
          <w:numId w:val="10"/>
        </w:numPr>
        <w:spacing w:line="360" w:lineRule="auto"/>
        <w:jc w:val="both"/>
        <w:rPr>
          <w:rFonts w:ascii="宋体" w:hAnsi="宋体" w:eastAsia="宋体" w:cs="仿宋"/>
          <w:color w:val="auto"/>
          <w:sz w:val="24"/>
          <w:szCs w:val="24"/>
          <w:highlight w:val="none"/>
        </w:rPr>
      </w:pPr>
      <w:bookmarkStart w:id="34" w:name="_Toc28359005"/>
      <w:bookmarkStart w:id="35" w:name="_Toc28359082"/>
      <w:bookmarkStart w:id="36" w:name="_Toc35393793"/>
      <w:bookmarkStart w:id="37" w:name="_Toc35393624"/>
      <w:r>
        <w:rPr>
          <w:rFonts w:hint="eastAsia" w:ascii="宋体" w:hAnsi="宋体" w:eastAsia="宋体" w:cs="仿宋"/>
          <w:color w:val="auto"/>
          <w:sz w:val="24"/>
          <w:szCs w:val="24"/>
          <w:highlight w:val="none"/>
        </w:rPr>
        <w:t>提交投标文件</w:t>
      </w:r>
      <w:bookmarkEnd w:id="34"/>
      <w:bookmarkEnd w:id="35"/>
      <w:r>
        <w:rPr>
          <w:rFonts w:hint="eastAsia" w:ascii="宋体" w:hAnsi="宋体" w:eastAsia="宋体" w:cs="仿宋"/>
          <w:color w:val="auto"/>
          <w:sz w:val="24"/>
          <w:szCs w:val="24"/>
          <w:highlight w:val="none"/>
        </w:rPr>
        <w:t>截止时间、开标时间和地点</w:t>
      </w:r>
      <w:bookmarkEnd w:id="36"/>
      <w:bookmarkEnd w:id="37"/>
    </w:p>
    <w:p w14:paraId="23B48C84">
      <w:pPr>
        <w:spacing w:line="360" w:lineRule="auto"/>
        <w:ind w:right="111" w:rightChars="53"/>
        <w:jc w:val="left"/>
        <w:rPr>
          <w:rFonts w:ascii="宋体" w:hAnsi="宋体"/>
          <w:color w:val="auto"/>
          <w:sz w:val="24"/>
          <w:highlight w:val="none"/>
        </w:rPr>
      </w:pPr>
      <w:r>
        <w:rPr>
          <w:rFonts w:hint="eastAsia" w:ascii="宋体" w:hAnsi="宋体"/>
          <w:color w:val="auto"/>
          <w:sz w:val="24"/>
          <w:highlight w:val="none"/>
        </w:rPr>
        <w:t>提交投标截止时间、开标时间：202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30</w:t>
      </w:r>
      <w:r>
        <w:rPr>
          <w:rFonts w:hint="eastAsia" w:ascii="宋体" w:hAnsi="宋体"/>
          <w:color w:val="auto"/>
          <w:sz w:val="24"/>
          <w:highlight w:val="none"/>
        </w:rPr>
        <w:t>日9:</w:t>
      </w:r>
      <w:r>
        <w:rPr>
          <w:rFonts w:hint="eastAsia" w:ascii="宋体" w:hAnsi="宋体"/>
          <w:color w:val="auto"/>
          <w:sz w:val="24"/>
          <w:highlight w:val="none"/>
          <w:lang w:val="en-US" w:eastAsia="zh-CN"/>
        </w:rPr>
        <w:t>00</w:t>
      </w:r>
      <w:r>
        <w:rPr>
          <w:rFonts w:hint="eastAsia" w:ascii="宋体" w:hAnsi="宋体"/>
          <w:color w:val="auto"/>
          <w:sz w:val="24"/>
          <w:highlight w:val="none"/>
        </w:rPr>
        <w:t>时（北京时间）</w:t>
      </w:r>
      <w:bookmarkStart w:id="38" w:name="_Toc35393794"/>
      <w:bookmarkStart w:id="39" w:name="_Toc28359084"/>
      <w:bookmarkStart w:id="40" w:name="_Toc35393625"/>
      <w:bookmarkStart w:id="41" w:name="_Toc28359007"/>
    </w:p>
    <w:p w14:paraId="2EC8E2BC">
      <w:pPr>
        <w:spacing w:line="360" w:lineRule="auto"/>
        <w:ind w:right="111" w:rightChars="53"/>
        <w:jc w:val="left"/>
        <w:rPr>
          <w:rFonts w:hint="eastAsia" w:ascii="宋体" w:hAnsi="宋体" w:eastAsia="宋体"/>
          <w:color w:val="auto"/>
          <w:sz w:val="24"/>
          <w:highlight w:val="none"/>
          <w:lang w:eastAsia="zh-CN"/>
        </w:rPr>
      </w:pPr>
      <w:r>
        <w:rPr>
          <w:rFonts w:hint="eastAsia" w:ascii="宋体" w:hAnsi="宋体"/>
          <w:color w:val="auto"/>
          <w:sz w:val="24"/>
          <w:highlight w:val="none"/>
        </w:rPr>
        <w:t>开标地点：北京市政府采购电子交易平台</w:t>
      </w:r>
      <w:r>
        <w:rPr>
          <w:rFonts w:hint="eastAsia" w:ascii="宋体" w:hAnsi="宋体"/>
          <w:color w:val="auto"/>
          <w:sz w:val="24"/>
          <w:highlight w:val="none"/>
          <w:lang w:eastAsia="zh-CN"/>
        </w:rPr>
        <w:t>。</w:t>
      </w:r>
      <w:r>
        <w:rPr>
          <w:rFonts w:hint="eastAsia" w:ascii="宋体" w:hAnsi="宋体"/>
          <w:color w:val="auto"/>
          <w:sz w:val="24"/>
          <w:highlight w:val="none"/>
        </w:rPr>
        <w:t>（http://zbcg-bjzc.zhongcy.com/bjczj-portal-site/index.html#/home ）递交电子投标文件）</w:t>
      </w:r>
    </w:p>
    <w:p w14:paraId="37681EBF">
      <w:pPr>
        <w:spacing w:line="360" w:lineRule="auto"/>
        <w:ind w:right="111" w:rightChars="53"/>
        <w:jc w:val="left"/>
        <w:rPr>
          <w:rFonts w:ascii="宋体" w:hAnsi="宋体" w:cs="仿宋"/>
          <w:b/>
          <w:color w:val="auto"/>
          <w:sz w:val="24"/>
          <w:highlight w:val="none"/>
        </w:rPr>
      </w:pPr>
      <w:r>
        <w:rPr>
          <w:rFonts w:hint="eastAsia" w:ascii="宋体" w:hAnsi="宋体" w:cs="仿宋"/>
          <w:b/>
          <w:color w:val="auto"/>
          <w:sz w:val="24"/>
          <w:highlight w:val="none"/>
        </w:rPr>
        <w:t>五、公告期限</w:t>
      </w:r>
      <w:bookmarkEnd w:id="38"/>
      <w:bookmarkEnd w:id="39"/>
      <w:bookmarkEnd w:id="40"/>
      <w:bookmarkEnd w:id="41"/>
    </w:p>
    <w:p w14:paraId="75E2267E">
      <w:pPr>
        <w:spacing w:line="360" w:lineRule="auto"/>
        <w:ind w:right="111" w:rightChars="53"/>
        <w:jc w:val="left"/>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5E5D2A69">
      <w:pPr>
        <w:pStyle w:val="2"/>
        <w:numPr>
          <w:ilvl w:val="0"/>
          <w:numId w:val="11"/>
        </w:numPr>
        <w:spacing w:line="360" w:lineRule="auto"/>
        <w:jc w:val="both"/>
        <w:rPr>
          <w:rFonts w:ascii="宋体" w:hAnsi="宋体" w:eastAsia="宋体" w:cs="仿宋"/>
          <w:color w:val="auto"/>
          <w:sz w:val="24"/>
          <w:szCs w:val="24"/>
          <w:highlight w:val="none"/>
        </w:rPr>
      </w:pPr>
      <w:bookmarkStart w:id="42" w:name="_Toc35393795"/>
      <w:bookmarkStart w:id="43" w:name="_Toc35393626"/>
      <w:r>
        <w:rPr>
          <w:rFonts w:hint="eastAsia" w:ascii="宋体" w:hAnsi="宋体" w:eastAsia="宋体" w:cs="仿宋"/>
          <w:color w:val="auto"/>
          <w:sz w:val="24"/>
          <w:szCs w:val="24"/>
          <w:highlight w:val="none"/>
        </w:rPr>
        <w:t>其他补充事宜</w:t>
      </w:r>
      <w:bookmarkEnd w:id="42"/>
      <w:bookmarkEnd w:id="43"/>
    </w:p>
    <w:p w14:paraId="5C2281F6">
      <w:pPr>
        <w:spacing w:line="360" w:lineRule="auto"/>
        <w:ind w:firstLine="480" w:firstLineChars="200"/>
        <w:rPr>
          <w:rFonts w:hint="eastAsia" w:ascii="宋体" w:hAnsi="宋体" w:eastAsia="宋体" w:cs="宋体"/>
          <w:color w:val="auto"/>
          <w:sz w:val="24"/>
          <w:szCs w:val="24"/>
          <w:highlight w:val="none"/>
        </w:rPr>
      </w:pPr>
      <w:bookmarkStart w:id="44" w:name="_Toc28359008"/>
      <w:bookmarkStart w:id="45" w:name="_Toc35393627"/>
      <w:bookmarkStart w:id="46" w:name="_Toc35393796"/>
      <w:bookmarkStart w:id="47" w:name="_Toc28359085"/>
      <w:r>
        <w:rPr>
          <w:rFonts w:hint="eastAsia" w:ascii="宋体" w:hAnsi="宋体" w:eastAsia="宋体" w:cs="宋体"/>
          <w:color w:val="auto"/>
          <w:sz w:val="24"/>
          <w:szCs w:val="24"/>
          <w:highlight w:val="none"/>
        </w:rPr>
        <w:t>1.本项目需要落实的政府采购政策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如有最新按照最新文件执行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1A781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1.1执行《关于印发环境标志产品政府采购品目清单的通知》（财库[2019]18号）；</w:t>
      </w:r>
    </w:p>
    <w:p w14:paraId="622DF9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1.2《财政部 发展改革委关于印发节能产品政府采购品目清单的通知》（财库[2019]19号）；</w:t>
      </w:r>
    </w:p>
    <w:p w14:paraId="18B9C0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1.3执行《政府采购促进中小企业发展管理办法》（财库[2020]46号）；</w:t>
      </w:r>
    </w:p>
    <w:p w14:paraId="29100E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1.4《关于进一步加大政府采购支持中小企业力度的通知》（财库〔2022〕19号）；</w:t>
      </w:r>
    </w:p>
    <w:p w14:paraId="6809C6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1.5执行《财政部、司法部关于政府采购支持监狱企业发展有关问题的通知》（财库[2014]68号）；</w:t>
      </w:r>
    </w:p>
    <w:p w14:paraId="5A12F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1.6执行《关于促进残疾人就业政府采购政策的通知》（财库〔2017〕141号）；</w:t>
      </w:r>
    </w:p>
    <w:p w14:paraId="25CB36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1.7执行《财政部关于在政府采购活动中查询及使用信用记录有关问题的通知》（财库[2016]125号）；</w:t>
      </w:r>
    </w:p>
    <w:p w14:paraId="503C65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1.8《北京市财政局关于持续深化政府采购营商环境改革的通知》（京财采购〔2022〕672号）；</w:t>
      </w:r>
    </w:p>
    <w:p w14:paraId="7FC7C9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1.9执行《关于印发中小企业划型标准规定的通知》（工信部联企业〔2011〕300号）；</w:t>
      </w:r>
    </w:p>
    <w:p w14:paraId="7FFF22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1.10执行政府采购信用担保政策。</w:t>
      </w:r>
    </w:p>
    <w:p w14:paraId="1A9DE5D7">
      <w:pPr>
        <w:spacing w:line="360" w:lineRule="auto"/>
        <w:ind w:firstLine="476" w:firstLineChars="200"/>
        <w:rPr>
          <w:rFonts w:hint="eastAsia" w:ascii="宋体" w:hAnsi="宋体" w:eastAsia="宋体" w:cs="宋体"/>
          <w:color w:val="auto"/>
          <w:spacing w:val="-1"/>
          <w:position w:val="17"/>
          <w:sz w:val="24"/>
          <w:szCs w:val="24"/>
          <w:highlight w:val="none"/>
        </w:rPr>
      </w:pPr>
      <w:r>
        <w:rPr>
          <w:rFonts w:hint="eastAsia" w:ascii="宋体" w:hAnsi="宋体" w:eastAsia="宋体" w:cs="宋体"/>
          <w:color w:val="auto"/>
          <w:spacing w:val="-1"/>
          <w:position w:val="17"/>
          <w:sz w:val="24"/>
          <w:szCs w:val="24"/>
          <w:highlight w:val="none"/>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6871983">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CA数字证书服务热线010-58511086</w:t>
      </w:r>
    </w:p>
    <w:p w14:paraId="77EA771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电子营业执照服务热线400-699-7000</w:t>
      </w:r>
    </w:p>
    <w:p w14:paraId="78E80957">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技术支持服务热线010-86483801</w:t>
      </w:r>
    </w:p>
    <w:p w14:paraId="78BB5A32">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2.1办理CA数字证书或电子营业执照</w:t>
      </w:r>
    </w:p>
    <w:p w14:paraId="4680194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供应商登录北京市政府采购电子交易平台查阅“用户指南”—“操作指南”—“市场主体CA办理操作流程指引”/“电子营业执照使用指南”，按照程序要求办理。</w:t>
      </w:r>
    </w:p>
    <w:p w14:paraId="6B28D265">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2.2注册</w:t>
      </w:r>
    </w:p>
    <w:p w14:paraId="3B56FFB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供应商登录北京市政府采购电子交易平台“用户指南”—“操作指南”—“市场主体注册入库操作流程指引”进行自助注册绑定。</w:t>
      </w:r>
    </w:p>
    <w:p w14:paraId="139D663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2.3驱动、客户端下载</w:t>
      </w:r>
    </w:p>
    <w:p w14:paraId="617D3A6E">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供应商登录北京市政府采购电子交易平台“用户指南”—“工具下载”—“招标采购系统文件驱动安装包”下载相关驱动。</w:t>
      </w:r>
    </w:p>
    <w:p w14:paraId="186788E1">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供应商登录北京市政府采购电子交易平台“用户指南”—“工具下载”—“投标文件编制工具”下载相关客户端。</w:t>
      </w:r>
    </w:p>
    <w:p w14:paraId="56FACFFE">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2.4获取电子招标文件</w:t>
      </w:r>
    </w:p>
    <w:p w14:paraId="6F0A1C36">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供应商使用CA数字证书或电子营业执照登录北京市政府采购电子交易平台获取电子招标文件。</w:t>
      </w:r>
    </w:p>
    <w:p w14:paraId="71E934C2">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79B54A">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2.5编制电子投标文件</w:t>
      </w:r>
    </w:p>
    <w:p w14:paraId="1A99DB1C">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AF3AFD6">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2.6提交电子投标文件</w:t>
      </w:r>
    </w:p>
    <w:p w14:paraId="1B77728D">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供应商应于投标截止时间前在北京市政府采购电子交易平台提交电子投标文件，上传电子投标文件过程中请保持与互联网的连接畅通。</w:t>
      </w:r>
    </w:p>
    <w:p w14:paraId="50725999">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2.7电子开标</w:t>
      </w:r>
    </w:p>
    <w:p w14:paraId="27623E0C">
      <w:pPr>
        <w:pStyle w:val="17"/>
        <w:spacing w:before="65" w:line="360" w:lineRule="auto"/>
        <w:ind w:right="154" w:firstLine="302"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供应商在开标地点使用CA数字证书或电子营业执照登录北京市政府采购电子交易平台进行电子开标。</w:t>
      </w:r>
    </w:p>
    <w:p w14:paraId="29CC1F6B">
      <w:pPr>
        <w:pStyle w:val="17"/>
        <w:spacing w:before="65" w:line="360" w:lineRule="auto"/>
        <w:ind w:right="154" w:firstLine="304" w:firstLineChars="127"/>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3. 本项目在中国政府采购网http://www.ccgp.gov.cn/ （由北京市政府采购网推送）、北京市政府采购网http://www.ccgp-beijing.gov.cn/上同时发布。</w:t>
      </w:r>
    </w:p>
    <w:p w14:paraId="4833DAE0">
      <w:pPr>
        <w:pStyle w:val="2"/>
        <w:spacing w:line="360" w:lineRule="auto"/>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七、对本次招标提出询问，请按以下方式联系。</w:t>
      </w:r>
    </w:p>
    <w:p w14:paraId="146AEA0F">
      <w:pPr>
        <w:pStyle w:val="2"/>
        <w:spacing w:line="360" w:lineRule="auto"/>
        <w:jc w:val="both"/>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1.采购人信息</w:t>
      </w:r>
    </w:p>
    <w:p w14:paraId="1B4C77D7">
      <w:pPr>
        <w:spacing w:line="360" w:lineRule="auto"/>
        <w:jc w:val="left"/>
        <w:rPr>
          <w:rFonts w:hint="eastAsia" w:ascii="宋体" w:hAnsi="宋体" w:cs="宋体"/>
          <w:color w:val="auto"/>
          <w:sz w:val="24"/>
          <w:highlight w:val="none"/>
        </w:rPr>
      </w:pPr>
      <w:bookmarkStart w:id="48" w:name="_Toc28359009"/>
      <w:bookmarkStart w:id="49" w:name="_Toc28359086"/>
      <w:r>
        <w:rPr>
          <w:rFonts w:hint="eastAsia" w:ascii="宋体" w:hAnsi="宋体" w:cs="宋体"/>
          <w:color w:val="auto"/>
          <w:sz w:val="24"/>
          <w:highlight w:val="none"/>
        </w:rPr>
        <w:t>名    称：北京市绿地养护管理事务中心</w:t>
      </w:r>
    </w:p>
    <w:p w14:paraId="54E26C2F">
      <w:pPr>
        <w:spacing w:line="360" w:lineRule="auto"/>
        <w:jc w:val="left"/>
        <w:rPr>
          <w:rFonts w:hint="eastAsia" w:ascii="宋体" w:hAnsi="宋体" w:cs="宋体"/>
          <w:bCs/>
          <w:color w:val="auto"/>
          <w:sz w:val="24"/>
          <w:highlight w:val="none"/>
        </w:rPr>
      </w:pPr>
      <w:r>
        <w:rPr>
          <w:rFonts w:hint="eastAsia" w:ascii="宋体" w:hAnsi="宋体" w:cs="宋体"/>
          <w:color w:val="auto"/>
          <w:sz w:val="24"/>
          <w:highlight w:val="none"/>
        </w:rPr>
        <w:t>地    址：</w:t>
      </w:r>
      <w:r>
        <w:rPr>
          <w:rFonts w:hint="eastAsia" w:ascii="宋体" w:hAnsi="宋体" w:cs="宋体"/>
          <w:bCs/>
          <w:color w:val="auto"/>
          <w:sz w:val="24"/>
          <w:highlight w:val="none"/>
        </w:rPr>
        <w:t>北京市通州区宋庄南大街211号院</w:t>
      </w:r>
    </w:p>
    <w:p w14:paraId="73D6F7AA">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李老师，010-55536115</w:t>
      </w:r>
    </w:p>
    <w:p w14:paraId="7B66D2A3">
      <w:pPr>
        <w:spacing w:line="360" w:lineRule="auto"/>
        <w:jc w:val="left"/>
        <w:rPr>
          <w:rFonts w:ascii="宋体" w:hAnsi="宋体" w:cs="仿宋"/>
          <w:b/>
          <w:color w:val="auto"/>
          <w:sz w:val="24"/>
          <w:highlight w:val="none"/>
        </w:rPr>
      </w:pPr>
      <w:r>
        <w:rPr>
          <w:rFonts w:hint="eastAsia" w:ascii="宋体" w:hAnsi="宋体" w:cs="仿宋"/>
          <w:b/>
          <w:color w:val="auto"/>
          <w:sz w:val="24"/>
          <w:highlight w:val="none"/>
        </w:rPr>
        <w:t>2.采购代理机构信息</w:t>
      </w:r>
      <w:bookmarkEnd w:id="48"/>
      <w:bookmarkEnd w:id="49"/>
    </w:p>
    <w:p w14:paraId="2B673CA2">
      <w:pPr>
        <w:spacing w:line="360" w:lineRule="auto"/>
        <w:jc w:val="left"/>
        <w:rPr>
          <w:rFonts w:hint="eastAsia" w:ascii="宋体" w:hAnsi="宋体" w:eastAsia="宋体" w:cs="宋体"/>
          <w:color w:val="auto"/>
          <w:sz w:val="24"/>
          <w:szCs w:val="24"/>
          <w:highlight w:val="none"/>
        </w:rPr>
      </w:pPr>
      <w:bookmarkStart w:id="50" w:name="_Toc28359087"/>
      <w:bookmarkStart w:id="51" w:name="_Toc28359010"/>
      <w:r>
        <w:rPr>
          <w:rFonts w:hint="eastAsia" w:ascii="宋体" w:hAnsi="宋体" w:eastAsia="宋体" w:cs="宋体"/>
          <w:color w:val="auto"/>
          <w:sz w:val="24"/>
          <w:szCs w:val="24"/>
          <w:highlight w:val="none"/>
        </w:rPr>
        <w:t>名    称：北京华建联造价工程师事务所有限公司</w:t>
      </w:r>
    </w:p>
    <w:p w14:paraId="328DD1D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址：北京市朝阳区高碑店乡半壁店村惠河南街1131号5层5020室</w:t>
      </w:r>
    </w:p>
    <w:p w14:paraId="05B9024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联系方式：张春艳，13693051588</w:t>
      </w:r>
    </w:p>
    <w:p w14:paraId="2598FBFE">
      <w:pPr>
        <w:spacing w:line="360" w:lineRule="auto"/>
        <w:jc w:val="left"/>
        <w:rPr>
          <w:rFonts w:hint="eastAsia" w:ascii="宋体" w:hAnsi="宋体" w:eastAsia="宋体" w:cs="仿宋"/>
          <w:b/>
          <w:color w:val="auto"/>
          <w:kern w:val="2"/>
          <w:sz w:val="24"/>
          <w:szCs w:val="24"/>
          <w:highlight w:val="none"/>
          <w:lang w:val="en-US" w:eastAsia="zh-CN" w:bidi="ar-SA"/>
        </w:rPr>
      </w:pPr>
      <w:r>
        <w:rPr>
          <w:rFonts w:hint="eastAsia" w:ascii="宋体" w:hAnsi="宋体" w:eastAsia="宋体" w:cs="仿宋"/>
          <w:b/>
          <w:color w:val="auto"/>
          <w:kern w:val="2"/>
          <w:sz w:val="24"/>
          <w:szCs w:val="24"/>
          <w:highlight w:val="none"/>
          <w:lang w:val="en-US" w:eastAsia="zh-CN" w:bidi="ar-SA"/>
        </w:rPr>
        <w:t>3.项目联系方式</w:t>
      </w:r>
    </w:p>
    <w:p w14:paraId="7907FA7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项目联系人：张春艳</w:t>
      </w:r>
    </w:p>
    <w:p w14:paraId="4220941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话：13693051588 </w:t>
      </w:r>
      <w:r>
        <w:rPr>
          <w:rFonts w:hint="eastAsia" w:ascii="宋体" w:hAnsi="宋体" w:cs="宋体"/>
          <w:color w:val="auto"/>
          <w:sz w:val="24"/>
          <w:szCs w:val="24"/>
          <w:highlight w:val="none"/>
          <w:lang w:val="en-US" w:eastAsia="zh-CN"/>
        </w:rPr>
        <w:t xml:space="preserve"> 办公电话：010-53389933</w:t>
      </w:r>
    </w:p>
    <w:bookmarkEnd w:id="44"/>
    <w:bookmarkEnd w:id="45"/>
    <w:bookmarkEnd w:id="46"/>
    <w:bookmarkEnd w:id="47"/>
    <w:bookmarkEnd w:id="50"/>
    <w:bookmarkEnd w:id="51"/>
    <w:p w14:paraId="5DE21733">
      <w:pPr>
        <w:spacing w:line="360" w:lineRule="auto"/>
        <w:jc w:val="center"/>
        <w:outlineLvl w:val="0"/>
        <w:rPr>
          <w:rFonts w:ascii="宋体" w:hAnsi="宋体"/>
          <w:b/>
          <w:color w:val="auto"/>
          <w:sz w:val="24"/>
          <w:highlight w:val="none"/>
        </w:rPr>
        <w:sectPr>
          <w:headerReference r:id="rId5" w:type="first"/>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bookmarkStart w:id="52" w:name="_Toc13534"/>
      <w:bookmarkStart w:id="53" w:name="_Toc28308"/>
    </w:p>
    <w:p w14:paraId="249030BE">
      <w:pPr>
        <w:spacing w:line="360" w:lineRule="auto"/>
        <w:jc w:val="center"/>
        <w:outlineLvl w:val="0"/>
        <w:rPr>
          <w:rFonts w:ascii="宋体" w:hAnsi="宋体"/>
          <w:b/>
          <w:color w:val="auto"/>
          <w:sz w:val="24"/>
          <w:highlight w:val="none"/>
        </w:rPr>
      </w:pPr>
      <w:r>
        <w:rPr>
          <w:rFonts w:ascii="宋体" w:hAnsi="宋体"/>
          <w:b/>
          <w:color w:val="auto"/>
          <w:sz w:val="24"/>
          <w:highlight w:val="none"/>
        </w:rPr>
        <w:t>第二章   投标人须知</w:t>
      </w:r>
      <w:bookmarkEnd w:id="17"/>
      <w:bookmarkEnd w:id="18"/>
      <w:bookmarkEnd w:id="19"/>
      <w:bookmarkEnd w:id="20"/>
      <w:bookmarkEnd w:id="21"/>
      <w:bookmarkEnd w:id="22"/>
      <w:bookmarkEnd w:id="23"/>
      <w:bookmarkEnd w:id="24"/>
      <w:bookmarkEnd w:id="25"/>
      <w:bookmarkEnd w:id="26"/>
      <w:bookmarkEnd w:id="27"/>
      <w:bookmarkEnd w:id="28"/>
      <w:bookmarkEnd w:id="29"/>
      <w:bookmarkEnd w:id="52"/>
      <w:bookmarkEnd w:id="53"/>
    </w:p>
    <w:p w14:paraId="7E4C90E2">
      <w:pPr>
        <w:pStyle w:val="2"/>
        <w:tabs>
          <w:tab w:val="center" w:pos="4592"/>
          <w:tab w:val="left" w:pos="7860"/>
        </w:tabs>
        <w:spacing w:before="0" w:line="360" w:lineRule="auto"/>
        <w:rPr>
          <w:rFonts w:ascii="宋体" w:hAnsi="宋体" w:eastAsia="宋体"/>
          <w:color w:val="auto"/>
          <w:sz w:val="24"/>
          <w:szCs w:val="24"/>
          <w:highlight w:val="none"/>
        </w:rPr>
      </w:pPr>
      <w:bookmarkStart w:id="54" w:name="_Toc226337215"/>
      <w:bookmarkStart w:id="55" w:name="_Toc149720812"/>
      <w:bookmarkStart w:id="56" w:name="_Toc150774724"/>
      <w:bookmarkStart w:id="57" w:name="_Toc142311021"/>
      <w:bookmarkStart w:id="58" w:name="_Toc151193907"/>
      <w:bookmarkStart w:id="59" w:name="_Toc164351613"/>
      <w:bookmarkStart w:id="60" w:name="_Toc195842884"/>
      <w:bookmarkStart w:id="61" w:name="_Toc150480757"/>
      <w:bookmarkStart w:id="62" w:name="_Toc226965709"/>
      <w:bookmarkStart w:id="63" w:name="_Toc151193617"/>
      <w:bookmarkStart w:id="64" w:name="_Toc151193761"/>
      <w:bookmarkStart w:id="65" w:name="_Toc150509270"/>
      <w:bookmarkStart w:id="66" w:name="_Toc164229360"/>
      <w:bookmarkStart w:id="67" w:name="_Toc127151519"/>
      <w:bookmarkStart w:id="68" w:name="_Toc164608633"/>
      <w:bookmarkStart w:id="69" w:name="_Toc151193833"/>
      <w:bookmarkStart w:id="70" w:name="_Toc226309763"/>
      <w:bookmarkStart w:id="71" w:name="_Toc127161433"/>
      <w:bookmarkStart w:id="72" w:name="_Toc164608788"/>
      <w:bookmarkStart w:id="73" w:name="_Toc151193689"/>
      <w:bookmarkStart w:id="74" w:name="_Toc127151720"/>
      <w:bookmarkStart w:id="75" w:name="_Toc151190146"/>
      <w:bookmarkStart w:id="76" w:name="_Toc150774619"/>
      <w:bookmarkStart w:id="77" w:name="_Toc164229214"/>
      <w:bookmarkStart w:id="78" w:name="_Toc226965792"/>
      <w:bookmarkStart w:id="79" w:name="_Toc520356144"/>
      <w:r>
        <w:rPr>
          <w:rFonts w:ascii="宋体" w:hAnsi="宋体" w:eastAsia="宋体"/>
          <w:color w:val="auto"/>
          <w:sz w:val="24"/>
          <w:szCs w:val="24"/>
          <w:highlight w:val="none"/>
        </w:rPr>
        <w:t>投标人须知资料表</w:t>
      </w:r>
    </w:p>
    <w:p w14:paraId="6831788A">
      <w:pPr>
        <w:jc w:val="center"/>
        <w:rPr>
          <w:rFonts w:ascii="宋体" w:hAnsi="宋体"/>
          <w:b/>
          <w:color w:val="auto"/>
          <w:sz w:val="24"/>
          <w:highlight w:val="none"/>
        </w:rPr>
      </w:pPr>
    </w:p>
    <w:p w14:paraId="34278181">
      <w:pPr>
        <w:spacing w:line="360" w:lineRule="auto"/>
        <w:ind w:firstLine="480"/>
        <w:rPr>
          <w:rFonts w:ascii="宋体" w:hAnsi="宋体"/>
          <w:color w:val="auto"/>
          <w:sz w:val="24"/>
          <w:highlight w:val="none"/>
        </w:rPr>
      </w:pPr>
      <w:r>
        <w:rPr>
          <w:rFonts w:ascii="宋体" w:hAnsi="宋体"/>
          <w:color w:val="auto"/>
          <w:sz w:val="24"/>
          <w:highlight w:val="none"/>
        </w:rPr>
        <w:t>本表是对投标人须知的具体补充和修改，如有矛盾，均以本资料表为准。标记“</w:t>
      </w:r>
      <w:r>
        <w:rPr>
          <w:rFonts w:ascii="Segoe UI Symbol" w:hAnsi="Segoe UI Symbol" w:cs="Segoe UI Symbol"/>
          <w:color w:val="auto"/>
          <w:sz w:val="24"/>
          <w:highlight w:val="none"/>
        </w:rPr>
        <w:t>☑</w:t>
      </w:r>
      <w:r>
        <w:rPr>
          <w:rFonts w:ascii="宋体" w:hAnsi="宋体"/>
          <w:color w:val="auto"/>
          <w:sz w:val="24"/>
          <w:highlight w:val="none"/>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346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9660866">
            <w:pPr>
              <w:jc w:val="center"/>
              <w:rPr>
                <w:rFonts w:ascii="宋体" w:hAnsi="宋体"/>
                <w:b/>
                <w:bCs/>
                <w:color w:val="auto"/>
                <w:sz w:val="24"/>
                <w:highlight w:val="none"/>
              </w:rPr>
            </w:pPr>
            <w:r>
              <w:rPr>
                <w:rFonts w:ascii="宋体" w:hAnsi="宋体"/>
                <w:b/>
                <w:color w:val="auto"/>
                <w:sz w:val="24"/>
                <w:highlight w:val="none"/>
              </w:rPr>
              <w:t>条款号</w:t>
            </w:r>
          </w:p>
        </w:tc>
        <w:tc>
          <w:tcPr>
            <w:tcW w:w="1701" w:type="dxa"/>
            <w:vAlign w:val="center"/>
          </w:tcPr>
          <w:p w14:paraId="5D23B326">
            <w:pPr>
              <w:jc w:val="center"/>
              <w:rPr>
                <w:rFonts w:ascii="宋体" w:hAnsi="宋体"/>
                <w:b/>
                <w:bCs/>
                <w:color w:val="auto"/>
                <w:sz w:val="24"/>
                <w:highlight w:val="none"/>
              </w:rPr>
            </w:pPr>
            <w:r>
              <w:rPr>
                <w:rFonts w:ascii="宋体" w:hAnsi="宋体"/>
                <w:b/>
                <w:bCs/>
                <w:color w:val="auto"/>
                <w:sz w:val="24"/>
                <w:highlight w:val="none"/>
              </w:rPr>
              <w:t>条目</w:t>
            </w:r>
          </w:p>
        </w:tc>
        <w:tc>
          <w:tcPr>
            <w:tcW w:w="7540" w:type="dxa"/>
            <w:vAlign w:val="center"/>
          </w:tcPr>
          <w:p w14:paraId="5E32DBAD">
            <w:pPr>
              <w:jc w:val="center"/>
              <w:rPr>
                <w:rFonts w:ascii="宋体" w:hAnsi="宋体"/>
                <w:b/>
                <w:bCs/>
                <w:color w:val="auto"/>
                <w:sz w:val="24"/>
                <w:highlight w:val="none"/>
              </w:rPr>
            </w:pPr>
            <w:r>
              <w:rPr>
                <w:rFonts w:ascii="宋体" w:hAnsi="宋体"/>
                <w:b/>
                <w:bCs/>
                <w:color w:val="auto"/>
                <w:sz w:val="24"/>
                <w:highlight w:val="none"/>
              </w:rPr>
              <w:t>内容</w:t>
            </w:r>
          </w:p>
        </w:tc>
      </w:tr>
      <w:tr w14:paraId="378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DA9295">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2.2</w:t>
            </w:r>
          </w:p>
        </w:tc>
        <w:tc>
          <w:tcPr>
            <w:tcW w:w="1701" w:type="dxa"/>
            <w:vAlign w:val="center"/>
          </w:tcPr>
          <w:p w14:paraId="1D8BE1CB">
            <w:pPr>
              <w:jc w:val="center"/>
              <w:rPr>
                <w:rFonts w:ascii="宋体" w:hAnsi="宋体"/>
                <w:color w:val="auto"/>
                <w:sz w:val="24"/>
                <w:highlight w:val="none"/>
              </w:rPr>
            </w:pPr>
            <w:r>
              <w:rPr>
                <w:rFonts w:ascii="宋体" w:hAnsi="宋体"/>
                <w:color w:val="auto"/>
                <w:sz w:val="24"/>
                <w:highlight w:val="none"/>
              </w:rPr>
              <w:t>项目属性</w:t>
            </w:r>
          </w:p>
        </w:tc>
        <w:tc>
          <w:tcPr>
            <w:tcW w:w="7540" w:type="dxa"/>
            <w:vAlign w:val="center"/>
          </w:tcPr>
          <w:p w14:paraId="772A6C4E">
            <w:pPr>
              <w:jc w:val="left"/>
              <w:rPr>
                <w:rFonts w:ascii="宋体" w:hAnsi="宋体"/>
                <w:color w:val="auto"/>
                <w:sz w:val="24"/>
                <w:highlight w:val="none"/>
              </w:rPr>
            </w:pPr>
            <w:r>
              <w:rPr>
                <w:rFonts w:ascii="宋体" w:hAnsi="宋体"/>
                <w:color w:val="auto"/>
                <w:sz w:val="24"/>
                <w:highlight w:val="none"/>
              </w:rPr>
              <w:t>项目属性：</w:t>
            </w:r>
          </w:p>
          <w:p w14:paraId="2CE525E8">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服务</w:t>
            </w:r>
          </w:p>
          <w:p w14:paraId="407A0C36">
            <w:pPr>
              <w:jc w:val="left"/>
              <w:rPr>
                <w:rFonts w:ascii="宋体" w:hAnsi="宋体"/>
                <w:color w:val="auto"/>
                <w:sz w:val="24"/>
                <w:highlight w:val="none"/>
                <w:u w:val="single"/>
              </w:rPr>
            </w:pPr>
            <w:r>
              <w:rPr>
                <w:rFonts w:ascii="宋体" w:hAnsi="宋体"/>
                <w:color w:val="auto"/>
                <w:sz w:val="24"/>
                <w:highlight w:val="none"/>
              </w:rPr>
              <w:t>□货物</w:t>
            </w:r>
          </w:p>
        </w:tc>
      </w:tr>
      <w:tr w14:paraId="4E4C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55E305">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2.3</w:t>
            </w:r>
          </w:p>
        </w:tc>
        <w:tc>
          <w:tcPr>
            <w:tcW w:w="1701" w:type="dxa"/>
            <w:vAlign w:val="center"/>
          </w:tcPr>
          <w:p w14:paraId="684EE707">
            <w:pPr>
              <w:jc w:val="center"/>
              <w:rPr>
                <w:rFonts w:ascii="宋体" w:hAnsi="宋体"/>
                <w:color w:val="auto"/>
                <w:sz w:val="24"/>
                <w:highlight w:val="none"/>
              </w:rPr>
            </w:pPr>
            <w:r>
              <w:rPr>
                <w:rFonts w:ascii="宋体" w:hAnsi="宋体"/>
                <w:color w:val="auto"/>
                <w:sz w:val="24"/>
                <w:highlight w:val="none"/>
              </w:rPr>
              <w:t>科研仪器设备</w:t>
            </w:r>
          </w:p>
        </w:tc>
        <w:tc>
          <w:tcPr>
            <w:tcW w:w="7540" w:type="dxa"/>
            <w:vAlign w:val="center"/>
          </w:tcPr>
          <w:p w14:paraId="69447FBA">
            <w:pPr>
              <w:jc w:val="left"/>
              <w:rPr>
                <w:rFonts w:ascii="宋体" w:hAnsi="宋体"/>
                <w:color w:val="auto"/>
                <w:sz w:val="24"/>
                <w:highlight w:val="none"/>
              </w:rPr>
            </w:pPr>
            <w:r>
              <w:rPr>
                <w:rFonts w:ascii="宋体" w:hAnsi="宋体"/>
                <w:color w:val="auto"/>
                <w:sz w:val="24"/>
                <w:highlight w:val="none"/>
              </w:rPr>
              <w:t>是否属于科研仪器设备采购项目：</w:t>
            </w:r>
          </w:p>
          <w:p w14:paraId="20D349B0">
            <w:pPr>
              <w:jc w:val="left"/>
              <w:rPr>
                <w:rFonts w:ascii="宋体" w:hAnsi="宋体"/>
                <w:color w:val="auto"/>
                <w:sz w:val="24"/>
                <w:highlight w:val="none"/>
              </w:rPr>
            </w:pPr>
            <w:r>
              <w:rPr>
                <w:rFonts w:ascii="宋体" w:hAnsi="宋体"/>
                <w:color w:val="auto"/>
                <w:sz w:val="24"/>
                <w:highlight w:val="none"/>
              </w:rPr>
              <w:t>□是</w:t>
            </w:r>
          </w:p>
          <w:p w14:paraId="14C0224A">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否</w:t>
            </w:r>
          </w:p>
        </w:tc>
      </w:tr>
      <w:tr w14:paraId="1A42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4E2E70">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2.4</w:t>
            </w:r>
          </w:p>
        </w:tc>
        <w:tc>
          <w:tcPr>
            <w:tcW w:w="1701" w:type="dxa"/>
            <w:vAlign w:val="center"/>
          </w:tcPr>
          <w:p w14:paraId="14A480E5">
            <w:pPr>
              <w:jc w:val="center"/>
              <w:rPr>
                <w:rFonts w:ascii="宋体" w:hAnsi="宋体"/>
                <w:color w:val="auto"/>
                <w:sz w:val="24"/>
                <w:highlight w:val="none"/>
              </w:rPr>
            </w:pPr>
            <w:r>
              <w:rPr>
                <w:rFonts w:ascii="宋体" w:hAnsi="宋体"/>
                <w:color w:val="auto"/>
                <w:sz w:val="24"/>
                <w:highlight w:val="none"/>
              </w:rPr>
              <w:t>核心产品</w:t>
            </w:r>
          </w:p>
        </w:tc>
        <w:tc>
          <w:tcPr>
            <w:tcW w:w="7540" w:type="dxa"/>
            <w:vAlign w:val="center"/>
          </w:tcPr>
          <w:p w14:paraId="0BCADBB5">
            <w:pPr>
              <w:pStyle w:val="24"/>
              <w:adjustRightInd w:val="0"/>
              <w:snapToGrid w:val="0"/>
              <w:rPr>
                <w:rFonts w:hint="default" w:hAnsi="宋体"/>
                <w:color w:val="auto"/>
                <w:sz w:val="24"/>
                <w:szCs w:val="24"/>
                <w:highlight w:val="none"/>
              </w:rPr>
            </w:pPr>
            <w:r>
              <w:rPr>
                <w:rFonts w:hint="default" w:ascii="Segoe UI Symbol" w:hAnsi="Segoe UI Symbol" w:cs="Segoe UI Symbol"/>
                <w:color w:val="auto"/>
                <w:sz w:val="24"/>
                <w:szCs w:val="24"/>
                <w:highlight w:val="none"/>
              </w:rPr>
              <w:t>☑</w:t>
            </w:r>
            <w:r>
              <w:rPr>
                <w:rFonts w:hint="default" w:hAnsi="宋体"/>
                <w:color w:val="auto"/>
                <w:sz w:val="24"/>
                <w:szCs w:val="24"/>
                <w:highlight w:val="none"/>
              </w:rPr>
              <w:t>关于核心产品本项目不适用。</w:t>
            </w:r>
          </w:p>
          <w:p w14:paraId="2219100A">
            <w:pPr>
              <w:pStyle w:val="24"/>
              <w:adjustRightInd w:val="0"/>
              <w:snapToGrid w:val="0"/>
              <w:rPr>
                <w:rFonts w:hint="default" w:hAnsi="宋体"/>
                <w:color w:val="auto"/>
                <w:sz w:val="24"/>
                <w:szCs w:val="24"/>
                <w:highlight w:val="none"/>
              </w:rPr>
            </w:pPr>
            <w:r>
              <w:rPr>
                <w:rFonts w:hAnsi="宋体"/>
                <w:color w:val="auto"/>
                <w:sz w:val="24"/>
                <w:szCs w:val="24"/>
                <w:highlight w:val="none"/>
              </w:rPr>
              <w:t>□</w:t>
            </w:r>
            <w:r>
              <w:rPr>
                <w:rFonts w:hint="default" w:hAnsi="宋体"/>
                <w:color w:val="auto"/>
                <w:sz w:val="24"/>
                <w:szCs w:val="24"/>
                <w:highlight w:val="none"/>
              </w:rPr>
              <w:t>本项目__包为单一产品采购项目。</w:t>
            </w:r>
          </w:p>
          <w:p w14:paraId="691521FC">
            <w:pPr>
              <w:jc w:val="left"/>
              <w:rPr>
                <w:rFonts w:ascii="宋体" w:hAnsi="宋体"/>
                <w:color w:val="auto"/>
                <w:sz w:val="24"/>
                <w:highlight w:val="none"/>
              </w:rPr>
            </w:pPr>
            <w:r>
              <w:rPr>
                <w:rFonts w:ascii="宋体" w:hAnsi="宋体"/>
                <w:color w:val="auto"/>
                <w:sz w:val="24"/>
                <w:highlight w:val="none"/>
              </w:rPr>
              <w:t>□本项目__包为非单一产品采购项目，核心产品为：____。</w:t>
            </w:r>
          </w:p>
        </w:tc>
      </w:tr>
      <w:tr w14:paraId="329A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7208C61">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3.1</w:t>
            </w:r>
          </w:p>
        </w:tc>
        <w:tc>
          <w:tcPr>
            <w:tcW w:w="1701" w:type="dxa"/>
            <w:vAlign w:val="center"/>
          </w:tcPr>
          <w:p w14:paraId="255883B9">
            <w:pPr>
              <w:jc w:val="center"/>
              <w:rPr>
                <w:rFonts w:ascii="宋体" w:hAnsi="宋体"/>
                <w:color w:val="auto"/>
                <w:sz w:val="24"/>
                <w:highlight w:val="none"/>
              </w:rPr>
            </w:pPr>
            <w:r>
              <w:rPr>
                <w:rFonts w:ascii="宋体" w:hAnsi="宋体"/>
                <w:color w:val="auto"/>
                <w:sz w:val="24"/>
                <w:highlight w:val="none"/>
              </w:rPr>
              <w:t>现场考察</w:t>
            </w:r>
          </w:p>
        </w:tc>
        <w:tc>
          <w:tcPr>
            <w:tcW w:w="7540" w:type="dxa"/>
            <w:vAlign w:val="center"/>
          </w:tcPr>
          <w:p w14:paraId="3DCD0370">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不组织</w:t>
            </w:r>
          </w:p>
          <w:p w14:paraId="0267FDED">
            <w:pPr>
              <w:jc w:val="left"/>
              <w:rPr>
                <w:rFonts w:ascii="宋体" w:hAnsi="宋体"/>
                <w:bCs/>
                <w:color w:val="auto"/>
                <w:sz w:val="24"/>
                <w:highlight w:val="none"/>
              </w:rPr>
            </w:pPr>
            <w:r>
              <w:rPr>
                <w:rFonts w:ascii="宋体" w:hAnsi="宋体"/>
                <w:color w:val="auto"/>
                <w:sz w:val="24"/>
                <w:highlight w:val="none"/>
              </w:rPr>
              <w:t>□组织，考察时间：__年_月_日_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1A44C28C">
            <w:pPr>
              <w:pStyle w:val="24"/>
              <w:adjustRightInd w:val="0"/>
              <w:snapToGrid w:val="0"/>
              <w:rPr>
                <w:rFonts w:hint="default" w:hAnsi="宋体"/>
                <w:color w:val="auto"/>
                <w:sz w:val="24"/>
                <w:szCs w:val="24"/>
                <w:highlight w:val="none"/>
              </w:rPr>
            </w:pPr>
            <w:r>
              <w:rPr>
                <w:rFonts w:hint="default" w:hAnsi="宋体"/>
                <w:color w:val="auto"/>
                <w:sz w:val="24"/>
                <w:szCs w:val="24"/>
                <w:highlight w:val="none"/>
              </w:rPr>
              <w:t>考察地点：____________</w:t>
            </w:r>
            <w:r>
              <w:rPr>
                <w:rFonts w:hAnsi="宋体"/>
                <w:color w:val="auto"/>
                <w:sz w:val="24"/>
                <w:szCs w:val="24"/>
                <w:highlight w:val="none"/>
              </w:rPr>
              <w:t>。</w:t>
            </w:r>
          </w:p>
        </w:tc>
      </w:tr>
      <w:tr w14:paraId="71D2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3E3B450">
            <w:pPr>
              <w:pStyle w:val="24"/>
              <w:adjustRightInd w:val="0"/>
              <w:snapToGrid w:val="0"/>
              <w:jc w:val="center"/>
              <w:rPr>
                <w:rFonts w:hint="default" w:hAnsi="宋体"/>
                <w:color w:val="auto"/>
                <w:sz w:val="24"/>
                <w:szCs w:val="24"/>
                <w:highlight w:val="none"/>
              </w:rPr>
            </w:pPr>
          </w:p>
        </w:tc>
        <w:tc>
          <w:tcPr>
            <w:tcW w:w="1701" w:type="dxa"/>
            <w:vAlign w:val="center"/>
          </w:tcPr>
          <w:p w14:paraId="65818DC8">
            <w:pPr>
              <w:jc w:val="center"/>
              <w:rPr>
                <w:rFonts w:ascii="宋体" w:hAnsi="宋体"/>
                <w:color w:val="auto"/>
                <w:sz w:val="24"/>
                <w:highlight w:val="none"/>
              </w:rPr>
            </w:pPr>
            <w:r>
              <w:rPr>
                <w:rFonts w:ascii="宋体" w:hAnsi="宋体"/>
                <w:color w:val="auto"/>
                <w:sz w:val="24"/>
                <w:highlight w:val="none"/>
              </w:rPr>
              <w:t>开标前答疑会</w:t>
            </w:r>
          </w:p>
        </w:tc>
        <w:tc>
          <w:tcPr>
            <w:tcW w:w="7540" w:type="dxa"/>
            <w:vAlign w:val="center"/>
          </w:tcPr>
          <w:p w14:paraId="572B4A44">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不召开</w:t>
            </w:r>
          </w:p>
          <w:p w14:paraId="31DFFCAD">
            <w:pPr>
              <w:jc w:val="left"/>
              <w:rPr>
                <w:rFonts w:ascii="宋体" w:hAnsi="宋体"/>
                <w:color w:val="auto"/>
                <w:sz w:val="24"/>
                <w:highlight w:val="none"/>
              </w:rPr>
            </w:pPr>
            <w:r>
              <w:rPr>
                <w:rFonts w:ascii="宋体" w:hAnsi="宋体"/>
                <w:color w:val="auto"/>
                <w:sz w:val="24"/>
                <w:highlight w:val="none"/>
              </w:rPr>
              <w:t>□召开，召开时间：__年_月_日_</w:t>
            </w:r>
            <w:r>
              <w:rPr>
                <w:rFonts w:ascii="宋体" w:hAnsi="宋体"/>
                <w:bCs/>
                <w:color w:val="auto"/>
                <w:sz w:val="24"/>
                <w:highlight w:val="none"/>
              </w:rPr>
              <w:t>点</w:t>
            </w:r>
            <w:r>
              <w:rPr>
                <w:rFonts w:ascii="宋体" w:hAnsi="宋体"/>
                <w:color w:val="auto"/>
                <w:sz w:val="24"/>
                <w:highlight w:val="none"/>
              </w:rPr>
              <w:t>_</w:t>
            </w:r>
            <w:r>
              <w:rPr>
                <w:rFonts w:ascii="宋体" w:hAnsi="宋体"/>
                <w:bCs/>
                <w:color w:val="auto"/>
                <w:sz w:val="24"/>
                <w:highlight w:val="none"/>
              </w:rPr>
              <w:t>分</w:t>
            </w:r>
          </w:p>
          <w:p w14:paraId="505E9FC6">
            <w:pPr>
              <w:jc w:val="left"/>
              <w:rPr>
                <w:rFonts w:ascii="宋体" w:hAnsi="宋体"/>
                <w:color w:val="auto"/>
                <w:sz w:val="24"/>
                <w:highlight w:val="none"/>
              </w:rPr>
            </w:pPr>
            <w:r>
              <w:rPr>
                <w:rFonts w:ascii="宋体" w:hAnsi="宋体"/>
                <w:color w:val="auto"/>
                <w:sz w:val="24"/>
                <w:highlight w:val="none"/>
              </w:rPr>
              <w:t>召开地点：____________</w:t>
            </w:r>
            <w:r>
              <w:rPr>
                <w:rFonts w:hint="eastAsia" w:ascii="宋体" w:hAnsi="宋体"/>
                <w:color w:val="auto"/>
                <w:sz w:val="24"/>
                <w:highlight w:val="none"/>
              </w:rPr>
              <w:t>。</w:t>
            </w:r>
          </w:p>
        </w:tc>
      </w:tr>
      <w:tr w14:paraId="600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43A124">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4.1</w:t>
            </w:r>
          </w:p>
        </w:tc>
        <w:tc>
          <w:tcPr>
            <w:tcW w:w="1701" w:type="dxa"/>
            <w:vAlign w:val="center"/>
          </w:tcPr>
          <w:p w14:paraId="5AF3B341">
            <w:pPr>
              <w:jc w:val="center"/>
              <w:rPr>
                <w:rFonts w:ascii="宋体" w:hAnsi="宋体"/>
                <w:color w:val="auto"/>
                <w:sz w:val="24"/>
                <w:highlight w:val="none"/>
              </w:rPr>
            </w:pPr>
            <w:r>
              <w:rPr>
                <w:rFonts w:ascii="宋体" w:hAnsi="宋体"/>
                <w:color w:val="auto"/>
                <w:sz w:val="24"/>
                <w:highlight w:val="none"/>
              </w:rPr>
              <w:t>样品</w:t>
            </w:r>
          </w:p>
        </w:tc>
        <w:tc>
          <w:tcPr>
            <w:tcW w:w="7540" w:type="dxa"/>
            <w:vAlign w:val="center"/>
          </w:tcPr>
          <w:p w14:paraId="634E52DC">
            <w:pPr>
              <w:jc w:val="left"/>
              <w:rPr>
                <w:rFonts w:ascii="宋体" w:hAnsi="宋体"/>
                <w:color w:val="auto"/>
                <w:sz w:val="24"/>
                <w:highlight w:val="none"/>
              </w:rPr>
            </w:pPr>
            <w:r>
              <w:rPr>
                <w:rFonts w:ascii="宋体" w:hAnsi="宋体"/>
                <w:color w:val="auto"/>
                <w:sz w:val="24"/>
                <w:highlight w:val="none"/>
              </w:rPr>
              <w:t>投标样品递交：</w:t>
            </w:r>
          </w:p>
          <w:p w14:paraId="48207245">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不需要</w:t>
            </w:r>
          </w:p>
          <w:p w14:paraId="6DC793F3">
            <w:pPr>
              <w:jc w:val="left"/>
              <w:rPr>
                <w:rFonts w:ascii="宋体" w:hAnsi="宋体"/>
                <w:color w:val="auto"/>
                <w:sz w:val="24"/>
                <w:highlight w:val="none"/>
              </w:rPr>
            </w:pPr>
            <w:r>
              <w:rPr>
                <w:rFonts w:ascii="宋体" w:hAnsi="宋体"/>
                <w:color w:val="auto"/>
                <w:sz w:val="24"/>
                <w:highlight w:val="none"/>
              </w:rPr>
              <w:t>□需要，具体要求如下：</w:t>
            </w:r>
          </w:p>
          <w:p w14:paraId="621FCCA8">
            <w:pPr>
              <w:jc w:val="left"/>
              <w:rPr>
                <w:rFonts w:ascii="宋体" w:hAnsi="宋体"/>
                <w:color w:val="auto"/>
                <w:sz w:val="24"/>
                <w:highlight w:val="none"/>
                <w:u w:val="single"/>
              </w:rPr>
            </w:pPr>
            <w:r>
              <w:rPr>
                <w:rFonts w:ascii="宋体" w:hAnsi="宋体"/>
                <w:color w:val="auto"/>
                <w:sz w:val="24"/>
                <w:highlight w:val="none"/>
              </w:rPr>
              <w:t>（1）样品制作的标准和要求：_________；</w:t>
            </w:r>
          </w:p>
          <w:p w14:paraId="13F2ED44">
            <w:pPr>
              <w:jc w:val="left"/>
              <w:rPr>
                <w:rFonts w:ascii="宋体" w:hAnsi="宋体"/>
                <w:color w:val="auto"/>
                <w:sz w:val="24"/>
                <w:highlight w:val="none"/>
              </w:rPr>
            </w:pPr>
            <w:r>
              <w:rPr>
                <w:rFonts w:ascii="宋体" w:hAnsi="宋体"/>
                <w:color w:val="auto"/>
                <w:sz w:val="24"/>
                <w:highlight w:val="none"/>
              </w:rPr>
              <w:t>（2）是否需要随样品提交相关检测报告：</w:t>
            </w:r>
          </w:p>
          <w:p w14:paraId="2AD97176">
            <w:pPr>
              <w:ind w:firstLine="600" w:firstLineChars="250"/>
              <w:jc w:val="left"/>
              <w:rPr>
                <w:rFonts w:ascii="宋体" w:hAnsi="宋体"/>
                <w:color w:val="auto"/>
                <w:sz w:val="24"/>
                <w:highlight w:val="none"/>
              </w:rPr>
            </w:pPr>
            <w:r>
              <w:rPr>
                <w:rFonts w:ascii="宋体" w:hAnsi="宋体"/>
                <w:color w:val="auto"/>
                <w:sz w:val="24"/>
                <w:highlight w:val="none"/>
              </w:rPr>
              <w:t>□不需要</w:t>
            </w:r>
          </w:p>
          <w:p w14:paraId="0B3EE785">
            <w:pPr>
              <w:ind w:firstLine="600" w:firstLineChars="250"/>
              <w:jc w:val="left"/>
              <w:rPr>
                <w:rFonts w:ascii="宋体" w:hAnsi="宋体"/>
                <w:color w:val="auto"/>
                <w:sz w:val="24"/>
                <w:highlight w:val="none"/>
              </w:rPr>
            </w:pPr>
            <w:r>
              <w:rPr>
                <w:rFonts w:ascii="宋体" w:hAnsi="宋体"/>
                <w:color w:val="auto"/>
                <w:sz w:val="24"/>
                <w:highlight w:val="none"/>
              </w:rPr>
              <w:t>□需要</w:t>
            </w:r>
          </w:p>
          <w:p w14:paraId="6D7A7405">
            <w:pPr>
              <w:jc w:val="left"/>
              <w:rPr>
                <w:rFonts w:ascii="宋体" w:hAnsi="宋体"/>
                <w:color w:val="auto"/>
                <w:sz w:val="24"/>
                <w:highlight w:val="none"/>
              </w:rPr>
            </w:pPr>
            <w:r>
              <w:rPr>
                <w:rFonts w:ascii="宋体" w:hAnsi="宋体"/>
                <w:color w:val="auto"/>
                <w:sz w:val="24"/>
                <w:highlight w:val="none"/>
              </w:rPr>
              <w:t>（3）样品递交要求：_________；</w:t>
            </w:r>
          </w:p>
          <w:p w14:paraId="368D9ECF">
            <w:pPr>
              <w:jc w:val="left"/>
              <w:rPr>
                <w:rFonts w:ascii="宋体" w:hAnsi="宋体"/>
                <w:color w:val="auto"/>
                <w:sz w:val="24"/>
                <w:highlight w:val="none"/>
              </w:rPr>
            </w:pPr>
            <w:r>
              <w:rPr>
                <w:rFonts w:ascii="宋体" w:hAnsi="宋体"/>
                <w:color w:val="auto"/>
                <w:sz w:val="24"/>
                <w:highlight w:val="none"/>
              </w:rPr>
              <w:t>（4）未中标人样品退还：_________；</w:t>
            </w:r>
          </w:p>
          <w:p w14:paraId="77D8E7F2">
            <w:pPr>
              <w:jc w:val="left"/>
              <w:rPr>
                <w:rFonts w:ascii="宋体" w:hAnsi="宋体"/>
                <w:color w:val="auto"/>
                <w:sz w:val="24"/>
                <w:highlight w:val="none"/>
                <w:u w:val="single"/>
              </w:rPr>
            </w:pPr>
            <w:r>
              <w:rPr>
                <w:rFonts w:ascii="宋体" w:hAnsi="宋体"/>
                <w:color w:val="auto"/>
                <w:sz w:val="24"/>
                <w:highlight w:val="none"/>
              </w:rPr>
              <w:t>（5）中标人样品保管、封存及退还：_________；</w:t>
            </w:r>
          </w:p>
          <w:p w14:paraId="74F7C1A3">
            <w:pPr>
              <w:jc w:val="left"/>
              <w:rPr>
                <w:rFonts w:ascii="宋体" w:hAnsi="宋体"/>
                <w:color w:val="auto"/>
                <w:sz w:val="24"/>
                <w:highlight w:val="none"/>
              </w:rPr>
            </w:pPr>
            <w:r>
              <w:rPr>
                <w:rFonts w:ascii="宋体" w:hAnsi="宋体"/>
                <w:color w:val="auto"/>
                <w:sz w:val="24"/>
                <w:highlight w:val="none"/>
              </w:rPr>
              <w:t>（6）其他要求（如有）：_________。</w:t>
            </w:r>
          </w:p>
        </w:tc>
      </w:tr>
      <w:tr w14:paraId="5EA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5754B79">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5.2.5</w:t>
            </w:r>
          </w:p>
        </w:tc>
        <w:tc>
          <w:tcPr>
            <w:tcW w:w="1701" w:type="dxa"/>
            <w:vAlign w:val="center"/>
          </w:tcPr>
          <w:p w14:paraId="4F53FAFD">
            <w:pPr>
              <w:jc w:val="center"/>
              <w:rPr>
                <w:rFonts w:ascii="宋体" w:hAnsi="宋体"/>
                <w:color w:val="auto"/>
                <w:sz w:val="24"/>
                <w:highlight w:val="none"/>
              </w:rPr>
            </w:pPr>
            <w:r>
              <w:rPr>
                <w:rFonts w:ascii="宋体" w:hAnsi="宋体"/>
                <w:color w:val="auto"/>
                <w:sz w:val="24"/>
                <w:highlight w:val="none"/>
              </w:rPr>
              <w:t>标的所属行业</w:t>
            </w:r>
          </w:p>
        </w:tc>
        <w:tc>
          <w:tcPr>
            <w:tcW w:w="7540" w:type="dxa"/>
            <w:vAlign w:val="center"/>
          </w:tcPr>
          <w:p w14:paraId="25B644D3">
            <w:pPr>
              <w:jc w:val="left"/>
              <w:rPr>
                <w:rFonts w:ascii="宋体" w:hAnsi="宋体"/>
                <w:color w:val="auto"/>
                <w:sz w:val="24"/>
                <w:highlight w:val="none"/>
              </w:rPr>
            </w:pPr>
            <w:r>
              <w:rPr>
                <w:rFonts w:ascii="宋体" w:hAnsi="宋体"/>
                <w:color w:val="auto"/>
                <w:sz w:val="24"/>
                <w:highlight w:val="none"/>
              </w:rPr>
              <w:t>本项目采购标的对应的中小企业划分标准所属行业：</w:t>
            </w:r>
          </w:p>
          <w:tbl>
            <w:tblPr>
              <w:tblStyle w:val="46"/>
              <w:tblW w:w="50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3565"/>
            </w:tblGrid>
            <w:tr w14:paraId="2651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85" w:type="pct"/>
                  <w:tcBorders>
                    <w:top w:val="single" w:color="auto" w:sz="4" w:space="0"/>
                    <w:left w:val="single" w:color="auto" w:sz="4" w:space="0"/>
                    <w:bottom w:val="single" w:color="auto" w:sz="4" w:space="0"/>
                    <w:right w:val="single" w:color="auto" w:sz="4" w:space="0"/>
                  </w:tcBorders>
                  <w:vAlign w:val="center"/>
                </w:tcPr>
                <w:p w14:paraId="0C89383B">
                  <w:pPr>
                    <w:jc w:val="center"/>
                    <w:rPr>
                      <w:rFonts w:ascii="宋体" w:hAnsi="宋体"/>
                      <w:bCs/>
                      <w:color w:val="auto"/>
                      <w:sz w:val="24"/>
                      <w:highlight w:val="none"/>
                    </w:rPr>
                  </w:pPr>
                  <w:r>
                    <w:rPr>
                      <w:rFonts w:ascii="宋体" w:hAnsi="宋体"/>
                      <w:bCs/>
                      <w:color w:val="auto"/>
                      <w:sz w:val="24"/>
                      <w:highlight w:val="none"/>
                    </w:rPr>
                    <w:t>标的名称</w:t>
                  </w:r>
                </w:p>
              </w:tc>
              <w:tc>
                <w:tcPr>
                  <w:tcW w:w="2414" w:type="pct"/>
                  <w:tcBorders>
                    <w:top w:val="single" w:color="auto" w:sz="4" w:space="0"/>
                    <w:left w:val="single" w:color="auto" w:sz="4" w:space="0"/>
                    <w:bottom w:val="single" w:color="auto" w:sz="4" w:space="0"/>
                    <w:right w:val="single" w:color="auto" w:sz="4" w:space="0"/>
                  </w:tcBorders>
                  <w:vAlign w:val="center"/>
                </w:tcPr>
                <w:p w14:paraId="137CD883">
                  <w:pPr>
                    <w:jc w:val="center"/>
                    <w:rPr>
                      <w:rFonts w:ascii="宋体" w:hAnsi="宋体"/>
                      <w:color w:val="auto"/>
                      <w:sz w:val="24"/>
                      <w:highlight w:val="none"/>
                    </w:rPr>
                  </w:pPr>
                  <w:r>
                    <w:rPr>
                      <w:rFonts w:ascii="宋体" w:hAnsi="宋体"/>
                      <w:color w:val="auto"/>
                      <w:sz w:val="24"/>
                      <w:highlight w:val="none"/>
                    </w:rPr>
                    <w:t>中小企业划分标准所属行业</w:t>
                  </w:r>
                </w:p>
              </w:tc>
            </w:tr>
            <w:tr w14:paraId="4E45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7532AC43">
                  <w:pPr>
                    <w:jc w:val="center"/>
                    <w:rPr>
                      <w:rFonts w:ascii="宋体" w:hAnsi="宋体"/>
                      <w:bCs/>
                      <w:color w:val="auto"/>
                      <w:sz w:val="24"/>
                      <w:highlight w:val="none"/>
                    </w:rPr>
                  </w:pPr>
                  <w:r>
                    <w:rPr>
                      <w:rFonts w:hint="eastAsia" w:ascii="宋体" w:hAnsi="宋体" w:cs="宋体"/>
                      <w:color w:val="auto"/>
                      <w:sz w:val="24"/>
                      <w:highlight w:val="none"/>
                      <w:shd w:val="clear" w:color="auto" w:fill="FFFFFF"/>
                      <w:lang w:eastAsia="zh-CN"/>
                    </w:rPr>
                    <w:t>北京城市副中心绿地养护北京城市副中心行政办公区南区绿地(一标段)</w:t>
                  </w:r>
                </w:p>
              </w:tc>
              <w:tc>
                <w:tcPr>
                  <w:tcW w:w="2414" w:type="pct"/>
                  <w:tcBorders>
                    <w:top w:val="single" w:color="auto" w:sz="4" w:space="0"/>
                    <w:left w:val="single" w:color="auto" w:sz="4" w:space="0"/>
                    <w:bottom w:val="single" w:color="auto" w:sz="4" w:space="0"/>
                    <w:right w:val="single" w:color="auto" w:sz="4" w:space="0"/>
                  </w:tcBorders>
                  <w:vAlign w:val="center"/>
                </w:tcPr>
                <w:p w14:paraId="747D7524">
                  <w:pPr>
                    <w:jc w:val="center"/>
                    <w:rPr>
                      <w:rFonts w:ascii="宋体" w:hAnsi="宋体"/>
                      <w:color w:val="auto"/>
                      <w:kern w:val="0"/>
                      <w:sz w:val="24"/>
                      <w:highlight w:val="none"/>
                    </w:rPr>
                  </w:pPr>
                  <w:r>
                    <w:rPr>
                      <w:rFonts w:hint="eastAsia" w:ascii="宋体" w:hAnsi="宋体"/>
                      <w:color w:val="auto"/>
                      <w:kern w:val="0"/>
                      <w:sz w:val="24"/>
                      <w:highlight w:val="none"/>
                      <w:lang w:val="en-US" w:eastAsia="zh-CN"/>
                    </w:rPr>
                    <w:t>其他未列明行业</w:t>
                  </w:r>
                </w:p>
              </w:tc>
            </w:tr>
            <w:tr w14:paraId="1E5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333A62C5">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北京城市副中心绿地养护北京城市副中心行政办公区北区绿地(二标段)</w:t>
                  </w:r>
                </w:p>
              </w:tc>
              <w:tc>
                <w:tcPr>
                  <w:tcW w:w="2414" w:type="pct"/>
                  <w:tcBorders>
                    <w:top w:val="single" w:color="auto" w:sz="4" w:space="0"/>
                    <w:left w:val="single" w:color="auto" w:sz="4" w:space="0"/>
                    <w:bottom w:val="single" w:color="auto" w:sz="4" w:space="0"/>
                    <w:right w:val="single" w:color="auto" w:sz="4" w:space="0"/>
                  </w:tcBorders>
                  <w:vAlign w:val="center"/>
                </w:tcPr>
                <w:p w14:paraId="13151F1E">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5802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16F6E72F">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北京城市副中心绿地养护北京城市副中心行政办公区东区绿地（三标段）</w:t>
                  </w:r>
                </w:p>
              </w:tc>
              <w:tc>
                <w:tcPr>
                  <w:tcW w:w="2414" w:type="pct"/>
                  <w:tcBorders>
                    <w:top w:val="single" w:color="auto" w:sz="4" w:space="0"/>
                    <w:left w:val="single" w:color="auto" w:sz="4" w:space="0"/>
                    <w:bottom w:val="single" w:color="auto" w:sz="4" w:space="0"/>
                    <w:right w:val="single" w:color="auto" w:sz="4" w:space="0"/>
                  </w:tcBorders>
                  <w:vAlign w:val="center"/>
                </w:tcPr>
                <w:p w14:paraId="3A28743D">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58A8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53ED03B7">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北京城市副中心绿地养护北京城市副中心行政办公区西区绿地（四标段）</w:t>
                  </w:r>
                </w:p>
              </w:tc>
              <w:tc>
                <w:tcPr>
                  <w:tcW w:w="2414" w:type="pct"/>
                  <w:tcBorders>
                    <w:top w:val="single" w:color="auto" w:sz="4" w:space="0"/>
                    <w:left w:val="single" w:color="auto" w:sz="4" w:space="0"/>
                    <w:bottom w:val="single" w:color="auto" w:sz="4" w:space="0"/>
                    <w:right w:val="single" w:color="auto" w:sz="4" w:space="0"/>
                  </w:tcBorders>
                  <w:vAlign w:val="center"/>
                </w:tcPr>
                <w:p w14:paraId="7F8BD69A">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0798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50C891ED">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北京城市副中心绿地养护千年城市守望林绿地（五标段）</w:t>
                  </w:r>
                </w:p>
              </w:tc>
              <w:tc>
                <w:tcPr>
                  <w:tcW w:w="2414" w:type="pct"/>
                  <w:tcBorders>
                    <w:top w:val="single" w:color="auto" w:sz="4" w:space="0"/>
                    <w:left w:val="single" w:color="auto" w:sz="4" w:space="0"/>
                    <w:bottom w:val="single" w:color="auto" w:sz="4" w:space="0"/>
                    <w:right w:val="single" w:color="auto" w:sz="4" w:space="0"/>
                  </w:tcBorders>
                  <w:vAlign w:val="center"/>
                </w:tcPr>
                <w:p w14:paraId="5688E2DE">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7884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2F973AEA">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北京城市副中心绿地养护A5区域绿地（六标段）</w:t>
                  </w:r>
                </w:p>
              </w:tc>
              <w:tc>
                <w:tcPr>
                  <w:tcW w:w="2414" w:type="pct"/>
                  <w:tcBorders>
                    <w:top w:val="single" w:color="auto" w:sz="4" w:space="0"/>
                    <w:left w:val="single" w:color="auto" w:sz="4" w:space="0"/>
                    <w:bottom w:val="single" w:color="auto" w:sz="4" w:space="0"/>
                    <w:right w:val="single" w:color="auto" w:sz="4" w:space="0"/>
                  </w:tcBorders>
                  <w:vAlign w:val="center"/>
                </w:tcPr>
                <w:p w14:paraId="5DD3FA06">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5F97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617656E2">
                  <w:pPr>
                    <w:jc w:val="center"/>
                    <w:rPr>
                      <w:rFonts w:hint="eastAsia" w:ascii="宋体" w:hAnsi="宋体"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北京城市副中心绿地养护潞城中心公园(七标段)</w:t>
                  </w:r>
                </w:p>
              </w:tc>
              <w:tc>
                <w:tcPr>
                  <w:tcW w:w="2414" w:type="pct"/>
                  <w:tcBorders>
                    <w:top w:val="single" w:color="auto" w:sz="4" w:space="0"/>
                    <w:left w:val="single" w:color="auto" w:sz="4" w:space="0"/>
                    <w:bottom w:val="single" w:color="auto" w:sz="4" w:space="0"/>
                    <w:right w:val="single" w:color="auto" w:sz="4" w:space="0"/>
                  </w:tcBorders>
                  <w:vAlign w:val="center"/>
                </w:tcPr>
                <w:p w14:paraId="19B53553">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r w14:paraId="7DA9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585" w:type="pct"/>
                  <w:tcBorders>
                    <w:top w:val="single" w:color="auto" w:sz="4" w:space="0"/>
                    <w:left w:val="single" w:color="auto" w:sz="4" w:space="0"/>
                    <w:bottom w:val="single" w:color="auto" w:sz="4" w:space="0"/>
                    <w:right w:val="single" w:color="auto" w:sz="4" w:space="0"/>
                  </w:tcBorders>
                  <w:vAlign w:val="center"/>
                </w:tcPr>
                <w:p w14:paraId="512C9F4A">
                  <w:pPr>
                    <w:jc w:val="center"/>
                    <w:rPr>
                      <w:rFonts w:hint="eastAsia" w:cs="宋体"/>
                      <w:color w:val="auto"/>
                      <w:sz w:val="24"/>
                      <w:highlight w:val="none"/>
                      <w:shd w:val="clear" w:color="auto" w:fill="FFFFFF"/>
                      <w:lang w:eastAsia="zh-CN"/>
                    </w:rPr>
                  </w:pPr>
                  <w:r>
                    <w:rPr>
                      <w:rFonts w:hint="eastAsia" w:cs="宋体"/>
                      <w:color w:val="auto"/>
                      <w:sz w:val="24"/>
                      <w:highlight w:val="none"/>
                      <w:shd w:val="clear" w:color="auto" w:fill="FFFFFF"/>
                      <w:lang w:eastAsia="zh-CN"/>
                    </w:rPr>
                    <w:t>北京城市副中心绿地养护监理服务（八标段）</w:t>
                  </w:r>
                </w:p>
              </w:tc>
              <w:tc>
                <w:tcPr>
                  <w:tcW w:w="2414" w:type="pct"/>
                  <w:tcBorders>
                    <w:top w:val="single" w:color="auto" w:sz="4" w:space="0"/>
                    <w:left w:val="single" w:color="auto" w:sz="4" w:space="0"/>
                    <w:bottom w:val="single" w:color="auto" w:sz="4" w:space="0"/>
                    <w:right w:val="single" w:color="auto" w:sz="4" w:space="0"/>
                  </w:tcBorders>
                  <w:vAlign w:val="center"/>
                </w:tcPr>
                <w:p w14:paraId="056B9790">
                  <w:pPr>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其他未列明行业</w:t>
                  </w:r>
                </w:p>
              </w:tc>
            </w:tr>
          </w:tbl>
          <w:p w14:paraId="3C3162C5">
            <w:pPr>
              <w:jc w:val="left"/>
              <w:rPr>
                <w:rFonts w:ascii="宋体" w:hAnsi="宋体"/>
                <w:color w:val="auto"/>
                <w:sz w:val="24"/>
                <w:highlight w:val="none"/>
              </w:rPr>
            </w:pPr>
          </w:p>
        </w:tc>
      </w:tr>
      <w:tr w14:paraId="2766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D5EA4B9">
            <w:pPr>
              <w:pStyle w:val="24"/>
              <w:adjustRightInd w:val="0"/>
              <w:snapToGrid w:val="0"/>
              <w:jc w:val="center"/>
              <w:rPr>
                <w:rFonts w:hint="default" w:hAnsi="宋体"/>
                <w:color w:val="auto"/>
                <w:sz w:val="24"/>
                <w:szCs w:val="24"/>
                <w:highlight w:val="none"/>
              </w:rPr>
            </w:pPr>
            <w:r>
              <w:rPr>
                <w:rFonts w:hAnsi="宋体"/>
                <w:color w:val="auto"/>
                <w:sz w:val="24"/>
                <w:szCs w:val="24"/>
                <w:highlight w:val="none"/>
              </w:rPr>
              <w:t>1</w:t>
            </w:r>
            <w:r>
              <w:rPr>
                <w:rFonts w:hint="default" w:hAnsi="宋体"/>
                <w:color w:val="auto"/>
                <w:sz w:val="24"/>
                <w:szCs w:val="24"/>
                <w:highlight w:val="none"/>
              </w:rPr>
              <w:t>1.2</w:t>
            </w:r>
          </w:p>
        </w:tc>
        <w:tc>
          <w:tcPr>
            <w:tcW w:w="1701" w:type="dxa"/>
            <w:vAlign w:val="center"/>
          </w:tcPr>
          <w:p w14:paraId="67DA73F5">
            <w:pPr>
              <w:jc w:val="center"/>
              <w:rPr>
                <w:rFonts w:ascii="宋体" w:hAnsi="宋体"/>
                <w:color w:val="auto"/>
                <w:sz w:val="24"/>
                <w:highlight w:val="none"/>
              </w:rPr>
            </w:pPr>
            <w:r>
              <w:rPr>
                <w:rFonts w:hint="eastAsia" w:ascii="宋体" w:hAnsi="宋体"/>
                <w:color w:val="auto"/>
                <w:sz w:val="24"/>
                <w:highlight w:val="none"/>
              </w:rPr>
              <w:t>投标报价</w:t>
            </w:r>
          </w:p>
        </w:tc>
        <w:tc>
          <w:tcPr>
            <w:tcW w:w="7540" w:type="dxa"/>
            <w:vAlign w:val="center"/>
          </w:tcPr>
          <w:p w14:paraId="4837B944">
            <w:pPr>
              <w:jc w:val="left"/>
              <w:rPr>
                <w:rFonts w:ascii="宋体" w:hAnsi="宋体"/>
                <w:color w:val="auto"/>
                <w:sz w:val="24"/>
                <w:highlight w:val="none"/>
              </w:rPr>
            </w:pPr>
            <w:r>
              <w:rPr>
                <w:rFonts w:hint="eastAsia" w:ascii="宋体" w:hAnsi="宋体"/>
                <w:color w:val="auto"/>
                <w:sz w:val="24"/>
                <w:highlight w:val="none"/>
              </w:rPr>
              <w:t>投标报价的特殊规定：</w:t>
            </w:r>
          </w:p>
          <w:p w14:paraId="69D19FC7">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无</w:t>
            </w:r>
          </w:p>
          <w:p w14:paraId="28F5DD68">
            <w:pPr>
              <w:jc w:val="left"/>
              <w:rPr>
                <w:rFonts w:ascii="宋体" w:hAnsi="宋体"/>
                <w:color w:val="auto"/>
                <w:sz w:val="24"/>
                <w:highlight w:val="none"/>
              </w:rPr>
            </w:pPr>
            <w:r>
              <w:rPr>
                <w:rFonts w:ascii="宋体" w:hAnsi="宋体"/>
                <w:color w:val="auto"/>
                <w:sz w:val="24"/>
                <w:highlight w:val="none"/>
              </w:rPr>
              <w:t>□有，具体情形：_____。</w:t>
            </w:r>
          </w:p>
        </w:tc>
      </w:tr>
      <w:tr w14:paraId="70FC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2F53F3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12.1</w:t>
            </w:r>
          </w:p>
        </w:tc>
        <w:tc>
          <w:tcPr>
            <w:tcW w:w="1701" w:type="dxa"/>
            <w:vMerge w:val="restart"/>
            <w:vAlign w:val="center"/>
          </w:tcPr>
          <w:p w14:paraId="52E30C4F">
            <w:pPr>
              <w:jc w:val="center"/>
              <w:rPr>
                <w:rFonts w:ascii="宋体" w:hAnsi="宋体"/>
                <w:color w:val="auto"/>
                <w:sz w:val="24"/>
                <w:highlight w:val="none"/>
              </w:rPr>
            </w:pPr>
            <w:r>
              <w:rPr>
                <w:rFonts w:ascii="宋体" w:hAnsi="宋体"/>
                <w:color w:val="auto"/>
                <w:sz w:val="24"/>
                <w:highlight w:val="none"/>
              </w:rPr>
              <w:t>投标保证金</w:t>
            </w:r>
          </w:p>
        </w:tc>
        <w:tc>
          <w:tcPr>
            <w:tcW w:w="7540" w:type="dxa"/>
            <w:vAlign w:val="center"/>
          </w:tcPr>
          <w:p w14:paraId="0832FF94">
            <w:pPr>
              <w:pStyle w:val="24"/>
              <w:adjustRightInd w:val="0"/>
              <w:snapToGrid w:val="0"/>
              <w:rPr>
                <w:rFonts w:hint="default" w:hAnsi="宋体"/>
                <w:color w:val="auto"/>
                <w:sz w:val="24"/>
                <w:szCs w:val="24"/>
                <w:highlight w:val="none"/>
              </w:rPr>
            </w:pPr>
            <w:r>
              <w:rPr>
                <w:rFonts w:hint="default" w:hAnsi="宋体"/>
                <w:color w:val="auto"/>
                <w:sz w:val="24"/>
                <w:szCs w:val="24"/>
                <w:highlight w:val="none"/>
              </w:rPr>
              <w:t>投标保证金金额：</w:t>
            </w:r>
          </w:p>
          <w:p w14:paraId="6BA353E5">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1包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150000</w:t>
            </w:r>
            <w:r>
              <w:rPr>
                <w:rFonts w:hAnsi="宋体"/>
                <w:color w:val="auto"/>
                <w:sz w:val="24"/>
                <w:szCs w:val="24"/>
                <w:highlight w:val="none"/>
              </w:rPr>
              <w:t xml:space="preserve"> 元。</w:t>
            </w:r>
          </w:p>
          <w:p w14:paraId="29CDEC27">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2包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100000</w:t>
            </w:r>
            <w:r>
              <w:rPr>
                <w:rFonts w:hAnsi="宋体"/>
                <w:color w:val="auto"/>
                <w:sz w:val="24"/>
                <w:szCs w:val="24"/>
                <w:highlight w:val="none"/>
              </w:rPr>
              <w:t xml:space="preserve"> 元。</w:t>
            </w:r>
          </w:p>
          <w:p w14:paraId="7CF9ECAD">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3包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100000</w:t>
            </w:r>
            <w:r>
              <w:rPr>
                <w:rFonts w:hAnsi="宋体"/>
                <w:color w:val="auto"/>
                <w:sz w:val="24"/>
                <w:szCs w:val="24"/>
                <w:highlight w:val="none"/>
              </w:rPr>
              <w:t xml:space="preserve"> 元。</w:t>
            </w:r>
          </w:p>
          <w:p w14:paraId="64EFBBE9">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4包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100000</w:t>
            </w:r>
            <w:r>
              <w:rPr>
                <w:rFonts w:hAnsi="宋体"/>
                <w:color w:val="auto"/>
                <w:sz w:val="24"/>
                <w:szCs w:val="24"/>
                <w:highlight w:val="none"/>
              </w:rPr>
              <w:t xml:space="preserve"> 元。</w:t>
            </w:r>
          </w:p>
          <w:p w14:paraId="55561E05">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5包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150000</w:t>
            </w:r>
            <w:r>
              <w:rPr>
                <w:rFonts w:hAnsi="宋体"/>
                <w:color w:val="auto"/>
                <w:sz w:val="24"/>
                <w:szCs w:val="24"/>
                <w:highlight w:val="none"/>
              </w:rPr>
              <w:t xml:space="preserve"> 元。</w:t>
            </w:r>
          </w:p>
          <w:p w14:paraId="71E759A7">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6包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100000</w:t>
            </w:r>
            <w:r>
              <w:rPr>
                <w:rFonts w:hAnsi="宋体"/>
                <w:color w:val="auto"/>
                <w:sz w:val="24"/>
                <w:szCs w:val="24"/>
                <w:highlight w:val="none"/>
              </w:rPr>
              <w:t xml:space="preserve"> 元。</w:t>
            </w:r>
          </w:p>
          <w:p w14:paraId="39562753">
            <w:pPr>
              <w:pStyle w:val="24"/>
              <w:adjustRightInd w:val="0"/>
              <w:snapToGrid w:val="0"/>
              <w:rPr>
                <w:rFonts w:hAnsi="宋体"/>
                <w:color w:val="auto"/>
                <w:sz w:val="24"/>
                <w:szCs w:val="24"/>
                <w:highlight w:val="none"/>
              </w:rPr>
            </w:pPr>
            <w:r>
              <w:rPr>
                <w:rFonts w:hint="eastAsia" w:hAnsi="宋体"/>
                <w:color w:val="auto"/>
                <w:sz w:val="24"/>
                <w:szCs w:val="24"/>
                <w:highlight w:val="none"/>
                <w:lang w:val="en-US" w:eastAsia="zh-CN"/>
              </w:rPr>
              <w:t>7包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100000</w:t>
            </w:r>
            <w:r>
              <w:rPr>
                <w:rFonts w:hAnsi="宋体"/>
                <w:color w:val="auto"/>
                <w:sz w:val="24"/>
                <w:szCs w:val="24"/>
                <w:highlight w:val="none"/>
              </w:rPr>
              <w:t xml:space="preserve"> 元。</w:t>
            </w:r>
          </w:p>
          <w:p w14:paraId="1F3CC84D">
            <w:pPr>
              <w:pStyle w:val="24"/>
              <w:adjustRightInd w:val="0"/>
              <w:snapToGrid w:val="0"/>
              <w:rPr>
                <w:rFonts w:hint="eastAsia" w:hAnsi="宋体" w:eastAsia="宋体"/>
                <w:color w:val="auto"/>
                <w:sz w:val="24"/>
                <w:szCs w:val="24"/>
                <w:highlight w:val="none"/>
                <w:lang w:eastAsia="zh-CN"/>
              </w:rPr>
            </w:pPr>
            <w:r>
              <w:rPr>
                <w:rFonts w:hint="eastAsia" w:hAnsi="宋体"/>
                <w:color w:val="auto"/>
                <w:sz w:val="24"/>
                <w:szCs w:val="24"/>
                <w:highlight w:val="none"/>
                <w:lang w:val="en-US" w:eastAsia="zh-CN"/>
              </w:rPr>
              <w:t>8包</w:t>
            </w:r>
            <w:r>
              <w:rPr>
                <w:rFonts w:hAnsi="宋体"/>
                <w:color w:val="auto"/>
                <w:sz w:val="24"/>
                <w:szCs w:val="24"/>
                <w:highlight w:val="none"/>
                <w:u w:val="single"/>
              </w:rPr>
              <w:t xml:space="preserve"> </w:t>
            </w:r>
            <w:r>
              <w:rPr>
                <w:rFonts w:hint="eastAsia" w:hAnsi="宋体"/>
                <w:color w:val="auto"/>
                <w:sz w:val="24"/>
                <w:szCs w:val="24"/>
                <w:highlight w:val="none"/>
                <w:u w:val="single"/>
                <w:lang w:val="en-US" w:eastAsia="zh-CN"/>
              </w:rPr>
              <w:t>20000</w:t>
            </w:r>
            <w:r>
              <w:rPr>
                <w:rFonts w:hAnsi="宋体"/>
                <w:color w:val="auto"/>
                <w:sz w:val="24"/>
                <w:szCs w:val="24"/>
                <w:highlight w:val="none"/>
              </w:rPr>
              <w:t xml:space="preserve"> 元</w:t>
            </w:r>
            <w:r>
              <w:rPr>
                <w:rFonts w:hint="eastAsia" w:hAnsi="宋体"/>
                <w:color w:val="auto"/>
                <w:sz w:val="24"/>
                <w:szCs w:val="24"/>
                <w:highlight w:val="none"/>
                <w:lang w:eastAsia="zh-CN"/>
              </w:rPr>
              <w:t>。</w:t>
            </w:r>
          </w:p>
          <w:p w14:paraId="09104DA9">
            <w:pPr>
              <w:pStyle w:val="24"/>
              <w:adjustRightInd w:val="0"/>
              <w:snapToGrid w:val="0"/>
              <w:rPr>
                <w:rFonts w:hint="eastAsia"/>
                <w:color w:val="auto"/>
                <w:sz w:val="24"/>
                <w:highlight w:val="none"/>
              </w:rPr>
            </w:pPr>
            <w:r>
              <w:rPr>
                <w:rFonts w:hint="eastAsia"/>
                <w:color w:val="auto"/>
                <w:sz w:val="24"/>
                <w:highlight w:val="none"/>
              </w:rPr>
              <w:t>投标保证金形式：</w:t>
            </w:r>
          </w:p>
          <w:p w14:paraId="54BD3389">
            <w:pPr>
              <w:pStyle w:val="24"/>
              <w:numPr>
                <w:ilvl w:val="0"/>
                <w:numId w:val="12"/>
              </w:numPr>
              <w:adjustRightInd w:val="0"/>
              <w:snapToGrid w:val="0"/>
              <w:rPr>
                <w:rFonts w:hint="eastAsia"/>
                <w:color w:val="auto"/>
                <w:sz w:val="24"/>
                <w:highlight w:val="none"/>
              </w:rPr>
            </w:pPr>
            <w:r>
              <w:rPr>
                <w:rFonts w:hint="eastAsia"/>
                <w:color w:val="auto"/>
                <w:sz w:val="24"/>
                <w:highlight w:val="none"/>
              </w:rPr>
              <w:t>政府采购法律法规接受的支票、汇票、本票、网上银行支付或者金融机构、担保机构出具的保函等非现金形式。</w:t>
            </w:r>
            <w:r>
              <w:rPr>
                <w:rFonts w:hint="eastAsia"/>
                <w:b/>
                <w:bCs/>
                <w:color w:val="auto"/>
                <w:sz w:val="24"/>
                <w:highlight w:val="none"/>
              </w:rPr>
              <w:t>投标保证金应当从其基本账户转出。</w:t>
            </w:r>
          </w:p>
          <w:p w14:paraId="485EAD7F">
            <w:pPr>
              <w:pStyle w:val="24"/>
              <w:adjustRightInd w:val="0"/>
              <w:snapToGrid w:val="0"/>
              <w:rPr>
                <w:rFonts w:hint="eastAsia"/>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）由具有融资性担保机构经营许可证的试点专业担保机构出具的投标担保函，并附投标保证金说明函。</w:t>
            </w:r>
          </w:p>
          <w:p w14:paraId="4D8DE90A">
            <w:pPr>
              <w:pStyle w:val="24"/>
              <w:adjustRightInd w:val="0"/>
              <w:snapToGrid w:val="0"/>
              <w:rPr>
                <w:rFonts w:hint="eastAsia"/>
                <w:b/>
                <w:bCs/>
                <w:color w:val="auto"/>
                <w:sz w:val="24"/>
                <w:highlight w:val="none"/>
              </w:rPr>
            </w:pPr>
            <w:r>
              <w:rPr>
                <w:rFonts w:hint="eastAsia"/>
                <w:b/>
                <w:bCs/>
                <w:color w:val="auto"/>
                <w:sz w:val="24"/>
                <w:highlight w:val="none"/>
              </w:rPr>
              <w:t>投标保证金收受信息：</w:t>
            </w:r>
          </w:p>
          <w:p w14:paraId="1C9E7226">
            <w:pPr>
              <w:pStyle w:val="24"/>
              <w:adjustRightInd w:val="0"/>
              <w:snapToGrid w:val="0"/>
              <w:rPr>
                <w:rFonts w:hint="eastAsia"/>
                <w:color w:val="auto"/>
                <w:sz w:val="24"/>
                <w:highlight w:val="none"/>
              </w:rPr>
            </w:pPr>
            <w:r>
              <w:rPr>
                <w:rFonts w:hint="eastAsia"/>
                <w:color w:val="auto"/>
                <w:sz w:val="24"/>
                <w:highlight w:val="none"/>
              </w:rPr>
              <w:t xml:space="preserve">账户名称：北京华建联造价工程师事务所有限公司           </w:t>
            </w:r>
          </w:p>
          <w:p w14:paraId="6376EC05">
            <w:pPr>
              <w:pStyle w:val="24"/>
              <w:adjustRightInd w:val="0"/>
              <w:snapToGrid w:val="0"/>
              <w:rPr>
                <w:rFonts w:hint="eastAsia"/>
                <w:color w:val="auto"/>
                <w:sz w:val="24"/>
                <w:highlight w:val="none"/>
              </w:rPr>
            </w:pPr>
            <w:r>
              <w:rPr>
                <w:rFonts w:hint="eastAsia"/>
                <w:color w:val="auto"/>
                <w:sz w:val="24"/>
                <w:highlight w:val="none"/>
              </w:rPr>
              <w:t xml:space="preserve">开户行：招商银行股份有限公司北京甘家口支行  </w:t>
            </w:r>
          </w:p>
          <w:p w14:paraId="574477D6">
            <w:pPr>
              <w:pStyle w:val="24"/>
              <w:adjustRightInd w:val="0"/>
              <w:snapToGrid w:val="0"/>
              <w:rPr>
                <w:rFonts w:hint="eastAsia"/>
                <w:color w:val="auto"/>
                <w:sz w:val="24"/>
                <w:highlight w:val="none"/>
              </w:rPr>
            </w:pPr>
            <w:r>
              <w:rPr>
                <w:rFonts w:hint="eastAsia"/>
                <w:color w:val="auto"/>
                <w:sz w:val="24"/>
                <w:highlight w:val="none"/>
              </w:rPr>
              <w:t xml:space="preserve">账号：860983397410001 </w:t>
            </w:r>
          </w:p>
          <w:p w14:paraId="2BAAD690">
            <w:pPr>
              <w:pStyle w:val="24"/>
              <w:adjustRightInd w:val="0"/>
              <w:snapToGrid w:val="0"/>
              <w:rPr>
                <w:rFonts w:hint="eastAsia"/>
                <w:color w:val="auto"/>
                <w:sz w:val="24"/>
                <w:highlight w:val="none"/>
              </w:rPr>
            </w:pPr>
            <w:r>
              <w:rPr>
                <w:rFonts w:hint="eastAsia"/>
                <w:color w:val="auto"/>
                <w:sz w:val="24"/>
                <w:highlight w:val="none"/>
              </w:rPr>
              <w:t>地址：北京市朝阳区高碑店乡半壁店村惠河南街1131号5层5020室</w:t>
            </w:r>
          </w:p>
          <w:p w14:paraId="70C80334">
            <w:pPr>
              <w:pStyle w:val="24"/>
              <w:adjustRightInd w:val="0"/>
              <w:snapToGrid w:val="0"/>
              <w:rPr>
                <w:rFonts w:hint="eastAsia"/>
                <w:color w:val="auto"/>
                <w:sz w:val="24"/>
                <w:highlight w:val="none"/>
              </w:rPr>
            </w:pPr>
            <w:r>
              <w:rPr>
                <w:rFonts w:hint="eastAsia"/>
                <w:b/>
                <w:bCs/>
                <w:color w:val="auto"/>
                <w:sz w:val="24"/>
                <w:highlight w:val="none"/>
              </w:rPr>
              <w:t>如使用电汇方式递交投标保证金须在电汇凭据附言栏中写明项目名称/标的名称。</w:t>
            </w:r>
          </w:p>
          <w:p w14:paraId="071D306E">
            <w:pPr>
              <w:tabs>
                <w:tab w:val="left" w:pos="3499"/>
              </w:tabs>
              <w:jc w:val="left"/>
              <w:rPr>
                <w:rFonts w:ascii="宋体" w:hAnsi="宋体"/>
                <w:color w:val="auto"/>
                <w:sz w:val="24"/>
                <w:highlight w:val="none"/>
              </w:rPr>
            </w:pPr>
            <w:r>
              <w:rPr>
                <w:rFonts w:hint="eastAsia"/>
                <w:color w:val="auto"/>
                <w:sz w:val="24"/>
                <w:highlight w:val="none"/>
              </w:rPr>
              <w:t>（3）投标保证金于中标通知书发出之日起5个工作日内向未中标单位退还投标保证金。招标人与中标人签订合同之日起5个工作日内，向中标人退还投标保证金。</w:t>
            </w:r>
          </w:p>
        </w:tc>
      </w:tr>
      <w:tr w14:paraId="02BA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5B857">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12.7</w:t>
            </w:r>
          </w:p>
        </w:tc>
        <w:tc>
          <w:tcPr>
            <w:tcW w:w="1701" w:type="dxa"/>
            <w:vMerge w:val="continue"/>
            <w:vAlign w:val="center"/>
          </w:tcPr>
          <w:p w14:paraId="13E50329">
            <w:pPr>
              <w:jc w:val="center"/>
              <w:rPr>
                <w:rFonts w:ascii="宋体" w:hAnsi="宋体"/>
                <w:color w:val="auto"/>
                <w:sz w:val="24"/>
                <w:highlight w:val="none"/>
              </w:rPr>
            </w:pPr>
          </w:p>
        </w:tc>
        <w:tc>
          <w:tcPr>
            <w:tcW w:w="7540" w:type="dxa"/>
            <w:vAlign w:val="center"/>
          </w:tcPr>
          <w:p w14:paraId="038EAE1C">
            <w:pPr>
              <w:jc w:val="left"/>
              <w:rPr>
                <w:rFonts w:ascii="宋体" w:hAnsi="宋体"/>
                <w:color w:val="auto"/>
                <w:sz w:val="24"/>
                <w:highlight w:val="none"/>
              </w:rPr>
            </w:pPr>
            <w:r>
              <w:rPr>
                <w:rFonts w:ascii="宋体" w:hAnsi="宋体"/>
                <w:color w:val="auto"/>
                <w:sz w:val="24"/>
                <w:highlight w:val="none"/>
              </w:rPr>
              <w:t>投标保证金可以不予退还的其他情形：</w:t>
            </w:r>
          </w:p>
          <w:p w14:paraId="3F5FC4F1">
            <w:pPr>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无</w:t>
            </w:r>
          </w:p>
          <w:p w14:paraId="606E19A0">
            <w:pPr>
              <w:pStyle w:val="24"/>
              <w:adjustRightInd w:val="0"/>
              <w:snapToGrid w:val="0"/>
              <w:rPr>
                <w:rFonts w:hint="default" w:hAnsi="宋体"/>
                <w:color w:val="auto"/>
                <w:sz w:val="24"/>
                <w:szCs w:val="24"/>
                <w:highlight w:val="none"/>
              </w:rPr>
            </w:pPr>
            <w:r>
              <w:rPr>
                <w:rFonts w:hint="default" w:ascii="Segoe UI Symbol" w:hAnsi="Segoe UI Symbol" w:cs="Segoe UI Symbol"/>
                <w:color w:val="auto"/>
                <w:sz w:val="24"/>
                <w:szCs w:val="24"/>
                <w:highlight w:val="none"/>
              </w:rPr>
              <w:t>☑</w:t>
            </w:r>
            <w:r>
              <w:rPr>
                <w:rFonts w:hint="default" w:hAnsi="宋体"/>
                <w:color w:val="auto"/>
                <w:sz w:val="24"/>
                <w:szCs w:val="24"/>
                <w:highlight w:val="none"/>
              </w:rPr>
              <w:t>有，具体情形：</w:t>
            </w:r>
          </w:p>
          <w:p w14:paraId="5FB6487A">
            <w:pPr>
              <w:pStyle w:val="24"/>
              <w:adjustRightInd w:val="0"/>
              <w:snapToGrid w:val="0"/>
              <w:rPr>
                <w:rFonts w:hint="default" w:hAnsi="宋体"/>
                <w:color w:val="auto"/>
                <w:sz w:val="24"/>
                <w:szCs w:val="24"/>
                <w:highlight w:val="none"/>
              </w:rPr>
            </w:pPr>
            <w:r>
              <w:rPr>
                <w:rFonts w:hAnsi="宋体"/>
                <w:color w:val="auto"/>
                <w:sz w:val="24"/>
                <w:szCs w:val="24"/>
                <w:highlight w:val="none"/>
              </w:rPr>
              <w:t>1、投标人在提交投标文件截止时间后撤回投标文件的；</w:t>
            </w:r>
          </w:p>
          <w:p w14:paraId="287657E1">
            <w:pPr>
              <w:pStyle w:val="24"/>
              <w:adjustRightInd w:val="0"/>
              <w:snapToGrid w:val="0"/>
              <w:rPr>
                <w:rFonts w:hint="default" w:hAnsi="宋体"/>
                <w:color w:val="auto"/>
                <w:sz w:val="24"/>
                <w:szCs w:val="24"/>
                <w:highlight w:val="none"/>
              </w:rPr>
            </w:pPr>
            <w:r>
              <w:rPr>
                <w:rFonts w:hAnsi="宋体"/>
                <w:color w:val="auto"/>
                <w:sz w:val="24"/>
                <w:szCs w:val="24"/>
                <w:highlight w:val="none"/>
              </w:rPr>
              <w:t>2、投标人在投标文件中提供虚假材料的；</w:t>
            </w:r>
          </w:p>
          <w:p w14:paraId="7F8283EF">
            <w:pPr>
              <w:pStyle w:val="24"/>
              <w:adjustRightInd w:val="0"/>
              <w:snapToGrid w:val="0"/>
              <w:rPr>
                <w:rFonts w:hint="default" w:hAnsi="宋体"/>
                <w:color w:val="auto"/>
                <w:sz w:val="24"/>
                <w:szCs w:val="24"/>
                <w:highlight w:val="none"/>
              </w:rPr>
            </w:pPr>
            <w:r>
              <w:rPr>
                <w:rFonts w:hAnsi="宋体"/>
                <w:color w:val="auto"/>
                <w:sz w:val="24"/>
                <w:szCs w:val="24"/>
                <w:highlight w:val="none"/>
              </w:rPr>
              <w:t>3、除因不可抗力或招标文件认可的情形以外，中标人不与招标人签订合同的；</w:t>
            </w:r>
          </w:p>
          <w:p w14:paraId="15BDD22C">
            <w:pPr>
              <w:pStyle w:val="24"/>
              <w:adjustRightInd w:val="0"/>
              <w:snapToGrid w:val="0"/>
              <w:rPr>
                <w:rFonts w:hint="default" w:hAnsi="宋体"/>
                <w:color w:val="auto"/>
                <w:sz w:val="24"/>
                <w:szCs w:val="24"/>
                <w:highlight w:val="none"/>
              </w:rPr>
            </w:pPr>
            <w:r>
              <w:rPr>
                <w:rFonts w:hAnsi="宋体"/>
                <w:color w:val="auto"/>
                <w:sz w:val="24"/>
                <w:szCs w:val="24"/>
                <w:highlight w:val="none"/>
              </w:rPr>
              <w:t>4、投标人与招标人、其他投标人或者采购代理机构恶意串通的</w:t>
            </w:r>
          </w:p>
        </w:tc>
      </w:tr>
      <w:tr w14:paraId="76CD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BFBDAC">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13.1</w:t>
            </w:r>
          </w:p>
        </w:tc>
        <w:tc>
          <w:tcPr>
            <w:tcW w:w="1701" w:type="dxa"/>
            <w:vAlign w:val="center"/>
          </w:tcPr>
          <w:p w14:paraId="24DD9103">
            <w:pPr>
              <w:jc w:val="center"/>
              <w:rPr>
                <w:rFonts w:ascii="宋体" w:hAnsi="宋体"/>
                <w:color w:val="auto"/>
                <w:sz w:val="24"/>
                <w:highlight w:val="none"/>
              </w:rPr>
            </w:pPr>
            <w:r>
              <w:rPr>
                <w:rFonts w:ascii="宋体" w:hAnsi="宋体"/>
                <w:color w:val="auto"/>
                <w:sz w:val="24"/>
                <w:highlight w:val="none"/>
              </w:rPr>
              <w:t>投标有效期</w:t>
            </w:r>
          </w:p>
        </w:tc>
        <w:tc>
          <w:tcPr>
            <w:tcW w:w="7540" w:type="dxa"/>
            <w:vAlign w:val="center"/>
          </w:tcPr>
          <w:p w14:paraId="48312E4E">
            <w:pPr>
              <w:jc w:val="left"/>
              <w:rPr>
                <w:rFonts w:ascii="宋体" w:hAnsi="宋体"/>
                <w:color w:val="auto"/>
                <w:sz w:val="24"/>
                <w:highlight w:val="none"/>
              </w:rPr>
            </w:pPr>
            <w:r>
              <w:rPr>
                <w:rFonts w:ascii="宋体" w:hAnsi="宋体"/>
                <w:color w:val="auto"/>
                <w:sz w:val="24"/>
                <w:highlight w:val="none"/>
              </w:rPr>
              <w:t>自提交投标文件的截止之日起算</w:t>
            </w:r>
            <w:r>
              <w:rPr>
                <w:rFonts w:hint="eastAsia" w:ascii="宋体" w:hAnsi="宋体"/>
                <w:color w:val="auto"/>
                <w:sz w:val="24"/>
                <w:highlight w:val="none"/>
                <w:u w:val="single"/>
              </w:rPr>
              <w:t xml:space="preserve">  90  </w:t>
            </w:r>
            <w:r>
              <w:rPr>
                <w:rFonts w:ascii="宋体" w:hAnsi="宋体"/>
                <w:color w:val="auto"/>
                <w:sz w:val="24"/>
                <w:highlight w:val="none"/>
              </w:rPr>
              <w:t>日历天。</w:t>
            </w:r>
          </w:p>
        </w:tc>
      </w:tr>
      <w:tr w14:paraId="1E70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1377E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22.1</w:t>
            </w:r>
          </w:p>
        </w:tc>
        <w:tc>
          <w:tcPr>
            <w:tcW w:w="1701" w:type="dxa"/>
            <w:vAlign w:val="center"/>
          </w:tcPr>
          <w:p w14:paraId="2F24A956">
            <w:pPr>
              <w:jc w:val="center"/>
              <w:rPr>
                <w:rFonts w:ascii="宋体" w:hAnsi="宋体"/>
                <w:color w:val="auto"/>
                <w:sz w:val="24"/>
                <w:highlight w:val="none"/>
              </w:rPr>
            </w:pPr>
            <w:r>
              <w:rPr>
                <w:rFonts w:ascii="宋体" w:hAnsi="宋体"/>
                <w:color w:val="auto"/>
                <w:sz w:val="24"/>
                <w:highlight w:val="none"/>
              </w:rPr>
              <w:t>确定中标人</w:t>
            </w:r>
          </w:p>
        </w:tc>
        <w:tc>
          <w:tcPr>
            <w:tcW w:w="7540" w:type="dxa"/>
            <w:vAlign w:val="center"/>
          </w:tcPr>
          <w:p w14:paraId="71587061">
            <w:pPr>
              <w:pStyle w:val="24"/>
              <w:adjustRightInd w:val="0"/>
              <w:snapToGrid w:val="0"/>
              <w:rPr>
                <w:rFonts w:hint="default" w:hAnsi="宋体"/>
                <w:color w:val="auto"/>
                <w:sz w:val="24"/>
                <w:szCs w:val="24"/>
                <w:highlight w:val="none"/>
              </w:rPr>
            </w:pPr>
            <w:r>
              <w:rPr>
                <w:rFonts w:hint="default" w:hAnsi="宋体"/>
                <w:color w:val="auto"/>
                <w:sz w:val="24"/>
                <w:szCs w:val="24"/>
                <w:highlight w:val="none"/>
              </w:rPr>
              <w:t>中标候选人并列的，采购人是否委托评标委员会确定中标人：</w:t>
            </w:r>
          </w:p>
          <w:p w14:paraId="6914A74A">
            <w:pPr>
              <w:pStyle w:val="24"/>
              <w:adjustRightInd w:val="0"/>
              <w:snapToGrid w:val="0"/>
              <w:rPr>
                <w:rFonts w:hint="default" w:hAnsi="宋体"/>
                <w:color w:val="auto"/>
                <w:sz w:val="24"/>
                <w:szCs w:val="24"/>
                <w:highlight w:val="none"/>
              </w:rPr>
            </w:pPr>
            <w:r>
              <w:rPr>
                <w:rFonts w:hint="default" w:ascii="Segoe UI Symbol" w:hAnsi="Segoe UI Symbol" w:cs="Segoe UI Symbol"/>
                <w:color w:val="auto"/>
                <w:sz w:val="24"/>
                <w:szCs w:val="24"/>
                <w:highlight w:val="none"/>
              </w:rPr>
              <w:t>☑</w:t>
            </w:r>
            <w:r>
              <w:rPr>
                <w:rFonts w:hint="default" w:hAnsi="宋体"/>
                <w:color w:val="auto"/>
                <w:sz w:val="24"/>
                <w:szCs w:val="24"/>
                <w:highlight w:val="none"/>
              </w:rPr>
              <w:t>否</w:t>
            </w:r>
          </w:p>
          <w:p w14:paraId="0D90DB53">
            <w:pPr>
              <w:pStyle w:val="24"/>
              <w:adjustRightInd w:val="0"/>
              <w:snapToGrid w:val="0"/>
              <w:rPr>
                <w:rFonts w:hint="default" w:hAnsi="宋体"/>
                <w:color w:val="auto"/>
                <w:sz w:val="24"/>
                <w:szCs w:val="24"/>
                <w:highlight w:val="none"/>
              </w:rPr>
            </w:pPr>
            <w:r>
              <w:rPr>
                <w:rFonts w:hAnsi="宋体"/>
                <w:color w:val="auto"/>
                <w:sz w:val="24"/>
                <w:szCs w:val="24"/>
                <w:highlight w:val="none"/>
              </w:rPr>
              <w:t>□</w:t>
            </w:r>
            <w:r>
              <w:rPr>
                <w:rFonts w:hint="default" w:hAnsi="宋体"/>
                <w:color w:val="auto"/>
                <w:sz w:val="24"/>
                <w:szCs w:val="24"/>
                <w:highlight w:val="none"/>
              </w:rPr>
              <w:t>是</w:t>
            </w:r>
          </w:p>
          <w:p w14:paraId="06915965">
            <w:pPr>
              <w:tabs>
                <w:tab w:val="left" w:pos="1080"/>
                <w:tab w:val="left" w:pos="1589"/>
                <w:tab w:val="left" w:pos="2035"/>
              </w:tabs>
              <w:snapToGrid w:val="0"/>
              <w:spacing w:line="360" w:lineRule="auto"/>
              <w:rPr>
                <w:rFonts w:ascii="宋体" w:hAnsi="宋体"/>
                <w:color w:val="auto"/>
                <w:sz w:val="24"/>
                <w:highlight w:val="none"/>
              </w:rPr>
            </w:pPr>
            <w:r>
              <w:rPr>
                <w:rFonts w:ascii="宋体" w:hAnsi="宋体"/>
                <w:color w:val="auto"/>
                <w:sz w:val="24"/>
                <w:highlight w:val="none"/>
              </w:rPr>
              <w:t>本项目采用的评标方法为：</w:t>
            </w:r>
          </w:p>
          <w:p w14:paraId="663E8BF7">
            <w:pPr>
              <w:tabs>
                <w:tab w:val="left" w:pos="900"/>
                <w:tab w:val="left" w:pos="1589"/>
                <w:tab w:val="left" w:pos="1701"/>
              </w:tabs>
              <w:snapToGrid w:val="0"/>
              <w:spacing w:line="360" w:lineRule="auto"/>
              <w:rPr>
                <w:rFonts w:hint="eastAsia" w:ascii="宋体" w:hAnsi="宋体" w:eastAsia="宋体"/>
                <w:color w:val="auto"/>
                <w:sz w:val="24"/>
                <w:highlight w:val="none"/>
                <w:u w:val="single"/>
                <w:lang w:val="en-US" w:eastAsia="zh-CN"/>
              </w:rPr>
            </w:pPr>
            <w:r>
              <w:rPr>
                <w:rFonts w:ascii="Segoe UI Symbol" w:hAnsi="Segoe UI Symbol" w:cs="Segoe UI Symbol"/>
                <w:color w:val="auto"/>
                <w:sz w:val="24"/>
                <w:highlight w:val="none"/>
              </w:rPr>
              <w:t>☑</w:t>
            </w:r>
            <w:r>
              <w:rPr>
                <w:rFonts w:ascii="宋体" w:hAnsi="宋体"/>
                <w:color w:val="auto"/>
                <w:sz w:val="24"/>
                <w:highlight w:val="none"/>
              </w:rPr>
              <w:t>综合评分法，指投标文件满足招标文件全部实质性要求，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4"/>
                <w:highlight w:val="none"/>
                <w:lang w:eastAsia="zh-CN"/>
              </w:rPr>
              <w:t>。</w:t>
            </w:r>
          </w:p>
        </w:tc>
      </w:tr>
      <w:tr w14:paraId="5A13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445F69F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25.5</w:t>
            </w:r>
          </w:p>
        </w:tc>
        <w:tc>
          <w:tcPr>
            <w:tcW w:w="1701" w:type="dxa"/>
            <w:vAlign w:val="center"/>
          </w:tcPr>
          <w:p w14:paraId="0DAAD0DA">
            <w:pPr>
              <w:jc w:val="center"/>
              <w:rPr>
                <w:rFonts w:ascii="宋体" w:hAnsi="宋体"/>
                <w:color w:val="auto"/>
                <w:sz w:val="24"/>
                <w:highlight w:val="none"/>
              </w:rPr>
            </w:pPr>
            <w:r>
              <w:rPr>
                <w:rFonts w:ascii="宋体" w:hAnsi="宋体"/>
                <w:color w:val="auto"/>
                <w:sz w:val="24"/>
                <w:highlight w:val="none"/>
              </w:rPr>
              <w:t>分包</w:t>
            </w:r>
          </w:p>
        </w:tc>
        <w:tc>
          <w:tcPr>
            <w:tcW w:w="7540" w:type="dxa"/>
            <w:vAlign w:val="center"/>
          </w:tcPr>
          <w:p w14:paraId="5FAF9984">
            <w:pPr>
              <w:jc w:val="left"/>
              <w:rPr>
                <w:rFonts w:ascii="宋体" w:hAnsi="宋体"/>
                <w:color w:val="auto"/>
                <w:sz w:val="24"/>
                <w:highlight w:val="none"/>
              </w:rPr>
            </w:pPr>
            <w:r>
              <w:rPr>
                <w:rFonts w:ascii="宋体" w:hAnsi="宋体"/>
                <w:color w:val="auto"/>
                <w:sz w:val="24"/>
                <w:highlight w:val="none"/>
              </w:rPr>
              <w:t xml:space="preserve">本项目的非主体、非关键性工作是否允许分包： </w:t>
            </w:r>
          </w:p>
          <w:p w14:paraId="715D310C">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不允许</w:t>
            </w:r>
          </w:p>
          <w:p w14:paraId="4C985B9C">
            <w:pPr>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允许，具体要求：</w:t>
            </w:r>
          </w:p>
          <w:p w14:paraId="4FE3F32D">
            <w:pPr>
              <w:jc w:val="left"/>
              <w:rPr>
                <w:rFonts w:ascii="宋体" w:hAnsi="宋体"/>
                <w:color w:val="auto"/>
                <w:sz w:val="24"/>
                <w:highlight w:val="none"/>
              </w:rPr>
            </w:pPr>
            <w:r>
              <w:rPr>
                <w:rFonts w:ascii="宋体" w:hAnsi="宋体"/>
                <w:color w:val="auto"/>
                <w:sz w:val="24"/>
                <w:highlight w:val="none"/>
              </w:rPr>
              <w:t>（1）可以分包履行的具体内容：_____；</w:t>
            </w:r>
          </w:p>
          <w:p w14:paraId="1C711413">
            <w:pPr>
              <w:jc w:val="left"/>
              <w:rPr>
                <w:rFonts w:ascii="宋体" w:hAnsi="宋体"/>
                <w:color w:val="auto"/>
                <w:sz w:val="24"/>
                <w:highlight w:val="none"/>
              </w:rPr>
            </w:pPr>
            <w:r>
              <w:rPr>
                <w:rFonts w:ascii="宋体" w:hAnsi="宋体"/>
                <w:color w:val="auto"/>
                <w:sz w:val="24"/>
                <w:highlight w:val="none"/>
              </w:rPr>
              <w:t>（2）允许分包的金额或者比例：_____；</w:t>
            </w:r>
          </w:p>
          <w:p w14:paraId="436D10CD">
            <w:pPr>
              <w:jc w:val="left"/>
              <w:rPr>
                <w:rFonts w:ascii="宋体" w:hAnsi="宋体"/>
                <w:color w:val="auto"/>
                <w:sz w:val="24"/>
                <w:highlight w:val="none"/>
                <w:u w:val="single"/>
              </w:rPr>
            </w:pPr>
            <w:r>
              <w:rPr>
                <w:rFonts w:ascii="宋体" w:hAnsi="宋体"/>
                <w:color w:val="auto"/>
                <w:sz w:val="24"/>
                <w:highlight w:val="none"/>
              </w:rPr>
              <w:t>（3）其他要求：_____。</w:t>
            </w:r>
          </w:p>
        </w:tc>
      </w:tr>
      <w:tr w14:paraId="68F5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7C9058B1">
            <w:pPr>
              <w:jc w:val="center"/>
              <w:rPr>
                <w:rFonts w:hint="default" w:hAnsi="宋体"/>
                <w:color w:val="auto"/>
                <w:sz w:val="24"/>
                <w:szCs w:val="24"/>
                <w:highlight w:val="none"/>
              </w:rPr>
            </w:pPr>
            <w:r>
              <w:rPr>
                <w:color w:val="auto"/>
                <w:sz w:val="24"/>
                <w:highlight w:val="none"/>
              </w:rPr>
              <w:t>25.6</w:t>
            </w:r>
          </w:p>
        </w:tc>
        <w:tc>
          <w:tcPr>
            <w:tcW w:w="1701" w:type="dxa"/>
            <w:vAlign w:val="center"/>
          </w:tcPr>
          <w:p w14:paraId="31D12462">
            <w:pPr>
              <w:jc w:val="center"/>
              <w:rPr>
                <w:rFonts w:ascii="宋体" w:hAnsi="宋体"/>
                <w:color w:val="auto"/>
                <w:sz w:val="24"/>
                <w:highlight w:val="none"/>
              </w:rPr>
            </w:pPr>
            <w:r>
              <w:rPr>
                <w:color w:val="auto"/>
                <w:sz w:val="24"/>
                <w:highlight w:val="none"/>
              </w:rPr>
              <w:t>政采贷</w:t>
            </w:r>
          </w:p>
        </w:tc>
        <w:tc>
          <w:tcPr>
            <w:tcW w:w="7540" w:type="dxa"/>
            <w:vAlign w:val="center"/>
          </w:tcPr>
          <w:p w14:paraId="745F3E43">
            <w:pPr>
              <w:jc w:val="left"/>
              <w:rPr>
                <w:rFonts w:ascii="宋体" w:hAnsi="宋体"/>
                <w:color w:val="auto"/>
                <w:sz w:val="24"/>
                <w:highlight w:val="none"/>
              </w:rPr>
            </w:pPr>
            <w:r>
              <w:rPr>
                <w:color w:val="auto"/>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AB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0B15A57C">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26.1.1</w:t>
            </w:r>
          </w:p>
        </w:tc>
        <w:tc>
          <w:tcPr>
            <w:tcW w:w="1701" w:type="dxa"/>
            <w:vAlign w:val="center"/>
          </w:tcPr>
          <w:p w14:paraId="4E57A10A">
            <w:pPr>
              <w:jc w:val="center"/>
              <w:rPr>
                <w:rFonts w:ascii="宋体" w:hAnsi="宋体"/>
                <w:color w:val="auto"/>
                <w:sz w:val="24"/>
                <w:highlight w:val="none"/>
              </w:rPr>
            </w:pPr>
            <w:r>
              <w:rPr>
                <w:rFonts w:ascii="宋体" w:hAnsi="宋体"/>
                <w:color w:val="auto"/>
                <w:sz w:val="24"/>
                <w:highlight w:val="none"/>
              </w:rPr>
              <w:t>询问</w:t>
            </w:r>
          </w:p>
        </w:tc>
        <w:tc>
          <w:tcPr>
            <w:tcW w:w="7540" w:type="dxa"/>
            <w:vAlign w:val="center"/>
          </w:tcPr>
          <w:p w14:paraId="378FB34E">
            <w:pPr>
              <w:jc w:val="left"/>
              <w:rPr>
                <w:rFonts w:ascii="宋体" w:hAnsi="宋体"/>
                <w:color w:val="auto"/>
                <w:sz w:val="24"/>
                <w:highlight w:val="none"/>
              </w:rPr>
            </w:pPr>
            <w:r>
              <w:rPr>
                <w:rFonts w:ascii="宋体" w:hAnsi="宋体"/>
                <w:color w:val="auto"/>
                <w:sz w:val="24"/>
                <w:highlight w:val="none"/>
              </w:rPr>
              <w:t>询问送达形式：</w:t>
            </w:r>
            <w:r>
              <w:rPr>
                <w:rFonts w:hint="eastAsia" w:ascii="宋体" w:hAnsi="宋体"/>
                <w:color w:val="auto"/>
                <w:sz w:val="24"/>
                <w:highlight w:val="none"/>
              </w:rPr>
              <w:t>对招标文件提出质疑的，为收到招标文件之日至开标期限届满之日；加盖单位公章后以书面、传真或邮件</w:t>
            </w:r>
            <w:r>
              <w:rPr>
                <w:rFonts w:ascii="宋体" w:hAnsi="宋体"/>
                <w:color w:val="auto"/>
                <w:sz w:val="24"/>
                <w:highlight w:val="none"/>
              </w:rPr>
              <w:t>给招标代理机构</w:t>
            </w:r>
            <w:r>
              <w:rPr>
                <w:rFonts w:hint="eastAsia" w:ascii="宋体" w:hAnsi="宋体"/>
                <w:color w:val="auto"/>
                <w:sz w:val="24"/>
                <w:highlight w:val="none"/>
              </w:rPr>
              <w:t>。</w:t>
            </w:r>
          </w:p>
        </w:tc>
      </w:tr>
      <w:tr w14:paraId="7E68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5263DD">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26.3</w:t>
            </w:r>
          </w:p>
        </w:tc>
        <w:tc>
          <w:tcPr>
            <w:tcW w:w="1701" w:type="dxa"/>
            <w:vAlign w:val="center"/>
          </w:tcPr>
          <w:p w14:paraId="15947C15">
            <w:pPr>
              <w:jc w:val="center"/>
              <w:rPr>
                <w:rFonts w:ascii="宋体" w:hAnsi="宋体"/>
                <w:color w:val="auto"/>
                <w:sz w:val="24"/>
                <w:highlight w:val="none"/>
              </w:rPr>
            </w:pPr>
            <w:r>
              <w:rPr>
                <w:rFonts w:ascii="宋体" w:hAnsi="宋体"/>
                <w:color w:val="auto"/>
                <w:sz w:val="24"/>
                <w:highlight w:val="none"/>
              </w:rPr>
              <w:t>联系方式</w:t>
            </w:r>
          </w:p>
        </w:tc>
        <w:tc>
          <w:tcPr>
            <w:tcW w:w="7540" w:type="dxa"/>
            <w:vAlign w:val="center"/>
          </w:tcPr>
          <w:p w14:paraId="727BFAEC">
            <w:pPr>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2BC5AF49">
            <w:pPr>
              <w:rPr>
                <w:rFonts w:ascii="宋体" w:hAnsi="宋体" w:cs="宋体"/>
                <w:color w:val="auto"/>
                <w:sz w:val="24"/>
                <w:highlight w:val="none"/>
              </w:rPr>
            </w:pPr>
            <w:r>
              <w:rPr>
                <w:rFonts w:hint="eastAsia" w:ascii="宋体" w:hAnsi="宋体" w:cs="宋体"/>
                <w:color w:val="auto"/>
                <w:sz w:val="24"/>
                <w:highlight w:val="none"/>
              </w:rPr>
              <w:t>联系部门：招标部；</w:t>
            </w:r>
          </w:p>
          <w:p w14:paraId="5C46B7C5">
            <w:pPr>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eastAsia="宋体" w:cs="宋体"/>
                <w:color w:val="auto"/>
                <w:sz w:val="24"/>
                <w:szCs w:val="24"/>
                <w:highlight w:val="none"/>
              </w:rPr>
              <w:t>13693051588</w:t>
            </w:r>
          </w:p>
          <w:p w14:paraId="1F9C50C6">
            <w:pPr>
              <w:rPr>
                <w:rFonts w:ascii="宋体" w:hAnsi="宋体"/>
                <w:color w:val="auto"/>
                <w:sz w:val="24"/>
                <w:highlight w:val="none"/>
              </w:rPr>
            </w:pPr>
            <w:r>
              <w:rPr>
                <w:rFonts w:ascii="宋体" w:hAnsi="宋体"/>
                <w:color w:val="auto"/>
                <w:sz w:val="24"/>
                <w:highlight w:val="none"/>
              </w:rPr>
              <w:t>通</w:t>
            </w:r>
            <w:r>
              <w:rPr>
                <w:rFonts w:hint="eastAsia" w:ascii="宋体" w:hAnsi="宋体" w:cs="宋体"/>
                <w:color w:val="auto"/>
                <w:sz w:val="24"/>
                <w:highlight w:val="none"/>
              </w:rPr>
              <w:t>讯地址：</w:t>
            </w:r>
            <w:r>
              <w:rPr>
                <w:rFonts w:hint="eastAsia" w:ascii="宋体" w:hAnsi="宋体" w:eastAsia="宋体" w:cs="宋体"/>
                <w:color w:val="auto"/>
                <w:sz w:val="24"/>
                <w:szCs w:val="24"/>
                <w:highlight w:val="none"/>
              </w:rPr>
              <w:t>北京市朝阳区高碑店乡半壁店村惠河南街1131号5层5020室</w:t>
            </w:r>
          </w:p>
        </w:tc>
      </w:tr>
      <w:tr w14:paraId="20F8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7341FE">
            <w:pPr>
              <w:pStyle w:val="24"/>
              <w:adjustRightInd w:val="0"/>
              <w:snapToGrid w:val="0"/>
              <w:jc w:val="center"/>
              <w:rPr>
                <w:rFonts w:hint="default" w:hAnsi="宋体"/>
                <w:color w:val="auto"/>
                <w:sz w:val="24"/>
                <w:szCs w:val="24"/>
                <w:highlight w:val="none"/>
              </w:rPr>
            </w:pPr>
            <w:r>
              <w:rPr>
                <w:rFonts w:hint="default" w:hAnsi="宋体"/>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D2F31E1">
            <w:pPr>
              <w:jc w:val="center"/>
              <w:rPr>
                <w:rFonts w:ascii="宋体" w:hAnsi="宋体"/>
                <w:color w:val="auto"/>
                <w:sz w:val="24"/>
                <w:highlight w:val="none"/>
              </w:rPr>
            </w:pPr>
            <w:r>
              <w:rPr>
                <w:rFonts w:ascii="宋体" w:hAnsi="宋体"/>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4EDFC9F">
            <w:pPr>
              <w:jc w:val="left"/>
              <w:rPr>
                <w:rFonts w:ascii="宋体" w:hAnsi="宋体"/>
                <w:color w:val="auto"/>
                <w:sz w:val="24"/>
                <w:highlight w:val="none"/>
              </w:rPr>
            </w:pPr>
            <w:r>
              <w:rPr>
                <w:rFonts w:ascii="宋体" w:hAnsi="宋体"/>
                <w:color w:val="auto"/>
                <w:sz w:val="24"/>
                <w:highlight w:val="none"/>
              </w:rPr>
              <w:t>收费对象：</w:t>
            </w:r>
          </w:p>
          <w:p w14:paraId="385C2BF8">
            <w:pPr>
              <w:jc w:val="left"/>
              <w:rPr>
                <w:rFonts w:ascii="宋体" w:hAnsi="宋体"/>
                <w:color w:val="auto"/>
                <w:sz w:val="24"/>
                <w:highlight w:val="none"/>
              </w:rPr>
            </w:pPr>
            <w:r>
              <w:rPr>
                <w:rFonts w:hint="eastAsia" w:ascii="宋体" w:hAnsi="宋体"/>
                <w:color w:val="auto"/>
                <w:sz w:val="24"/>
                <w:highlight w:val="none"/>
                <w:lang w:eastAsia="zh-CN"/>
              </w:rPr>
              <w:t>□</w:t>
            </w:r>
            <w:r>
              <w:rPr>
                <w:rFonts w:ascii="宋体" w:hAnsi="宋体"/>
                <w:color w:val="auto"/>
                <w:sz w:val="24"/>
                <w:highlight w:val="none"/>
              </w:rPr>
              <w:t>采购人</w:t>
            </w:r>
          </w:p>
          <w:p w14:paraId="4CC3793C">
            <w:pPr>
              <w:jc w:val="left"/>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中标人</w:t>
            </w:r>
          </w:p>
          <w:p w14:paraId="23599F7A">
            <w:pPr>
              <w:jc w:val="left"/>
              <w:rPr>
                <w:rFonts w:ascii="宋体" w:hAnsi="宋体"/>
                <w:color w:val="auto"/>
                <w:sz w:val="24"/>
                <w:highlight w:val="none"/>
                <w:u w:val="single"/>
              </w:rPr>
            </w:pPr>
            <w:r>
              <w:rPr>
                <w:rFonts w:ascii="宋体" w:hAnsi="宋体"/>
                <w:color w:val="auto"/>
                <w:sz w:val="24"/>
                <w:highlight w:val="none"/>
              </w:rPr>
              <w:t>收费标准：</w:t>
            </w:r>
            <w:r>
              <w:rPr>
                <w:rFonts w:hint="eastAsia" w:ascii="宋体" w:hAnsi="宋体"/>
                <w:color w:val="auto"/>
                <w:sz w:val="24"/>
                <w:highlight w:val="none"/>
                <w:u w:val="single"/>
              </w:rPr>
              <w:t>中标人须承担本项目的招标代理服务费。</w:t>
            </w:r>
          </w:p>
          <w:p w14:paraId="72F5B8E6">
            <w:pPr>
              <w:jc w:val="left"/>
              <w:rPr>
                <w:rFonts w:hint="eastAsia" w:ascii="宋体" w:hAnsi="宋体"/>
                <w:color w:val="auto"/>
                <w:sz w:val="24"/>
                <w:highlight w:val="none"/>
                <w:u w:val="single"/>
                <w:lang w:eastAsia="zh-CN"/>
              </w:rPr>
            </w:pPr>
            <w:r>
              <w:rPr>
                <w:rFonts w:hint="eastAsia" w:ascii="宋体" w:hAnsi="宋体"/>
                <w:color w:val="auto"/>
                <w:sz w:val="24"/>
                <w:highlight w:val="none"/>
                <w:u w:val="single"/>
              </w:rPr>
              <w:t>参照国家发展和改革委员会的《招标代理服务收费 管理暂行办法》(计价格[2011]534 号和[2002]1980 号文件)和《国家发展和改革 委员会办公厅关于招标代理服务收费有关问题的通知》即发改办价格[2003]857号 文件的有关规定，以合同履行期限内的各</w:t>
            </w:r>
            <w:r>
              <w:rPr>
                <w:rFonts w:hint="eastAsia" w:ascii="宋体" w:hAnsi="宋体"/>
                <w:color w:val="auto"/>
                <w:sz w:val="24"/>
                <w:highlight w:val="none"/>
                <w:u w:val="single"/>
                <w:lang w:val="en-US" w:eastAsia="zh-CN"/>
              </w:rPr>
              <w:t>包号</w:t>
            </w:r>
            <w:r>
              <w:rPr>
                <w:rFonts w:hint="eastAsia" w:ascii="宋体" w:hAnsi="宋体"/>
                <w:color w:val="auto"/>
                <w:sz w:val="24"/>
                <w:highlight w:val="none"/>
                <w:u w:val="single"/>
              </w:rPr>
              <w:t>中标总金额为基数，按照差额定率分阶段计取。计取</w:t>
            </w:r>
            <w:r>
              <w:rPr>
                <w:rFonts w:hint="eastAsia" w:ascii="宋体" w:hAnsi="宋体"/>
                <w:color w:val="auto"/>
                <w:sz w:val="24"/>
                <w:highlight w:val="none"/>
                <w:u w:val="single"/>
                <w:lang w:val="en-US" w:eastAsia="zh-CN"/>
              </w:rPr>
              <w:t>各包号</w:t>
            </w:r>
            <w:r>
              <w:rPr>
                <w:rFonts w:hint="eastAsia" w:ascii="宋体" w:hAnsi="宋体"/>
                <w:color w:val="auto"/>
                <w:sz w:val="24"/>
                <w:highlight w:val="none"/>
                <w:u w:val="single"/>
              </w:rPr>
              <w:t>总金额下浮</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收取中标服务费</w:t>
            </w:r>
            <w:r>
              <w:rPr>
                <w:rFonts w:hint="eastAsia" w:ascii="宋体" w:hAnsi="宋体"/>
                <w:color w:val="auto"/>
                <w:sz w:val="24"/>
                <w:highlight w:val="none"/>
                <w:u w:val="single"/>
                <w:lang w:eastAsia="zh-CN"/>
              </w:rPr>
              <w:t>。</w:t>
            </w:r>
          </w:p>
          <w:p w14:paraId="3F0B7C0D">
            <w:pPr>
              <w:jc w:val="left"/>
              <w:rPr>
                <w:rFonts w:ascii="宋体" w:hAnsi="宋体"/>
                <w:color w:val="auto"/>
                <w:sz w:val="24"/>
                <w:highlight w:val="none"/>
              </w:rPr>
            </w:pPr>
            <w:r>
              <w:rPr>
                <w:rFonts w:ascii="宋体" w:hAnsi="宋体"/>
                <w:color w:val="auto"/>
                <w:sz w:val="24"/>
                <w:highlight w:val="none"/>
              </w:rPr>
              <w:t>缴纳时间：</w:t>
            </w:r>
            <w:r>
              <w:rPr>
                <w:rFonts w:hint="eastAsia" w:ascii="宋体" w:hAnsi="宋体"/>
                <w:color w:val="auto"/>
                <w:sz w:val="24"/>
                <w:highlight w:val="none"/>
                <w:u w:val="single"/>
              </w:rPr>
              <w:t>发布中标结果公告后5个工作日内由中标单位向乙方支付。</w:t>
            </w:r>
          </w:p>
        </w:tc>
      </w:tr>
    </w:tbl>
    <w:p w14:paraId="2C63CB03">
      <w:pPr>
        <w:tabs>
          <w:tab w:val="left" w:pos="5580"/>
        </w:tabs>
        <w:adjustRightInd w:val="0"/>
        <w:spacing w:line="360" w:lineRule="auto"/>
        <w:jc w:val="distribute"/>
        <w:rPr>
          <w:rFonts w:ascii="宋体" w:hAnsi="宋体"/>
          <w:color w:val="auto"/>
          <w:sz w:val="24"/>
          <w:highlight w:val="none"/>
        </w:rPr>
        <w:sectPr>
          <w:pgSz w:w="11907" w:h="16840"/>
          <w:pgMar w:top="1418" w:right="1134" w:bottom="1418" w:left="1701" w:header="851" w:footer="851" w:gutter="0"/>
          <w:pgNumType w:fmt="decimal"/>
          <w:cols w:space="720" w:num="1"/>
          <w:titlePg/>
          <w:docGrid w:linePitch="462" w:charSpace="0"/>
        </w:sectPr>
      </w:pPr>
    </w:p>
    <w:p w14:paraId="627DF9F1">
      <w:pPr>
        <w:spacing w:before="240" w:beforeLines="100" w:after="240" w:afterLines="100"/>
        <w:jc w:val="center"/>
        <w:rPr>
          <w:rFonts w:ascii="宋体" w:hAnsi="宋体"/>
          <w:b/>
          <w:color w:val="auto"/>
          <w:sz w:val="24"/>
          <w:highlight w:val="none"/>
        </w:rPr>
      </w:pPr>
      <w:bookmarkStart w:id="80" w:name="_Toc353873662"/>
      <w:bookmarkStart w:id="81" w:name="_Toc150480755"/>
      <w:bookmarkStart w:id="82" w:name="_Toc226965790"/>
      <w:bookmarkStart w:id="83" w:name="_Toc353873932"/>
      <w:bookmarkStart w:id="84" w:name="_Toc142311019"/>
      <w:bookmarkStart w:id="85" w:name="_Toc305158859"/>
      <w:bookmarkStart w:id="86" w:name="_Toc353825542"/>
      <w:bookmarkStart w:id="87" w:name="_Toc264969207"/>
      <w:bookmarkStart w:id="88" w:name="_Toc127151517"/>
      <w:bookmarkStart w:id="89" w:name="_Toc150774722"/>
      <w:bookmarkStart w:id="90" w:name="_Toc226337213"/>
      <w:bookmarkStart w:id="91" w:name="_Toc195842882"/>
      <w:bookmarkStart w:id="92" w:name="_Toc305158785"/>
      <w:bookmarkStart w:id="93" w:name="_Toc265228355"/>
      <w:r>
        <w:rPr>
          <w:rFonts w:ascii="宋体" w:hAnsi="宋体"/>
          <w:b/>
          <w:color w:val="auto"/>
          <w:sz w:val="24"/>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3B93C61">
      <w:pPr>
        <w:pStyle w:val="2"/>
        <w:tabs>
          <w:tab w:val="center" w:pos="4592"/>
          <w:tab w:val="left" w:pos="7860"/>
        </w:tabs>
        <w:spacing w:before="0" w:line="360" w:lineRule="auto"/>
        <w:jc w:val="left"/>
        <w:rPr>
          <w:rFonts w:ascii="宋体" w:hAnsi="宋体" w:eastAsia="宋体"/>
          <w:color w:val="auto"/>
          <w:sz w:val="24"/>
          <w:szCs w:val="24"/>
          <w:highlight w:val="none"/>
        </w:rPr>
      </w:pPr>
      <w:bookmarkStart w:id="94" w:name="_Toc520356143"/>
      <w:bookmarkStart w:id="95" w:name="_Toc127151518"/>
      <w:r>
        <w:rPr>
          <w:rFonts w:ascii="宋体" w:hAnsi="宋体" w:eastAsia="宋体"/>
          <w:color w:val="auto"/>
          <w:sz w:val="24"/>
          <w:szCs w:val="24"/>
          <w:highlight w:val="none"/>
        </w:rPr>
        <w:tab/>
      </w:r>
      <w:bookmarkStart w:id="96" w:name="_Toc150480756"/>
      <w:bookmarkStart w:id="97" w:name="_Toc305158786"/>
      <w:bookmarkStart w:id="98" w:name="_Toc150774723"/>
      <w:bookmarkStart w:id="99" w:name="_Toc195842883"/>
      <w:bookmarkStart w:id="100" w:name="_Toc142311020"/>
      <w:bookmarkStart w:id="101" w:name="_Toc265228356"/>
      <w:bookmarkStart w:id="102" w:name="_Toc226965708"/>
      <w:bookmarkStart w:id="103" w:name="_Toc151193688"/>
      <w:bookmarkStart w:id="104" w:name="_Toc151193616"/>
      <w:bookmarkStart w:id="105" w:name="_Toc305158860"/>
      <w:bookmarkStart w:id="106" w:name="_Toc264969208"/>
      <w:bookmarkStart w:id="107" w:name="_Toc151193760"/>
      <w:bookmarkStart w:id="108" w:name="_Toc151190145"/>
      <w:bookmarkStart w:id="109" w:name="_Toc226965791"/>
      <w:bookmarkStart w:id="110" w:name="_Toc226309762"/>
      <w:bookmarkStart w:id="111" w:name="_Toc151193832"/>
      <w:bookmarkStart w:id="112" w:name="_Toc150509269"/>
      <w:bookmarkStart w:id="113" w:name="_Toc151193906"/>
      <w:bookmarkStart w:id="114" w:name="_Toc226337214"/>
      <w:bookmarkStart w:id="115" w:name="_Toc150774618"/>
      <w:r>
        <w:rPr>
          <w:rFonts w:ascii="宋体" w:hAnsi="宋体" w:eastAsia="宋体"/>
          <w:color w:val="auto"/>
          <w:sz w:val="24"/>
          <w:szCs w:val="24"/>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hAnsi="宋体" w:eastAsia="宋体"/>
          <w:color w:val="auto"/>
          <w:sz w:val="24"/>
          <w:szCs w:val="24"/>
          <w:highlight w:val="none"/>
        </w:rPr>
        <w:tab/>
      </w:r>
    </w:p>
    <w:p w14:paraId="19598709">
      <w:pPr>
        <w:numPr>
          <w:ilvl w:val="0"/>
          <w:numId w:val="13"/>
        </w:numPr>
        <w:tabs>
          <w:tab w:val="left" w:pos="360"/>
          <w:tab w:val="clear" w:pos="900"/>
        </w:tabs>
        <w:snapToGrid w:val="0"/>
        <w:spacing w:line="360" w:lineRule="auto"/>
        <w:ind w:left="357" w:hanging="357"/>
        <w:outlineLvl w:val="1"/>
        <w:rPr>
          <w:rFonts w:ascii="宋体" w:hAnsi="宋体"/>
          <w:color w:val="auto"/>
          <w:sz w:val="24"/>
          <w:highlight w:val="none"/>
        </w:rPr>
      </w:pPr>
      <w:bookmarkStart w:id="116" w:name="_Toc305158787"/>
      <w:bookmarkStart w:id="117" w:name="_Toc265228357"/>
      <w:bookmarkStart w:id="118" w:name="_Toc305158861"/>
      <w:bookmarkStart w:id="119" w:name="_Toc264969209"/>
      <w:r>
        <w:rPr>
          <w:rFonts w:ascii="宋体" w:hAnsi="宋体"/>
          <w:color w:val="auto"/>
          <w:sz w:val="24"/>
          <w:highlight w:val="none"/>
        </w:rPr>
        <w:t>采购人、采购代理机构、投标人</w:t>
      </w:r>
      <w:bookmarkEnd w:id="116"/>
      <w:bookmarkEnd w:id="117"/>
      <w:bookmarkEnd w:id="118"/>
      <w:bookmarkEnd w:id="119"/>
      <w:r>
        <w:rPr>
          <w:rFonts w:hint="eastAsia" w:ascii="宋体" w:hAnsi="宋体"/>
          <w:color w:val="auto"/>
          <w:sz w:val="24"/>
          <w:highlight w:val="none"/>
        </w:rPr>
        <w:t>、联合体</w:t>
      </w:r>
    </w:p>
    <w:p w14:paraId="53CD7CAB">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采购人、采购代理机构：指依法进行政府采购的国家机关、事业单位、团体组织，及其委托的采购代理机构。本项目采购人、采购代理机构见第一章《投标邀请》。</w:t>
      </w:r>
    </w:p>
    <w:p w14:paraId="33A16152">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投标人（也称</w:t>
      </w:r>
      <w:r>
        <w:rPr>
          <w:rFonts w:hint="eastAsia" w:ascii="宋体" w:hAnsi="宋体"/>
          <w:color w:val="auto"/>
          <w:sz w:val="24"/>
          <w:highlight w:val="none"/>
        </w:rPr>
        <w:t>“供应商”、“</w:t>
      </w:r>
      <w:r>
        <w:rPr>
          <w:rFonts w:ascii="宋体" w:hAnsi="宋体"/>
          <w:color w:val="auto"/>
          <w:sz w:val="24"/>
          <w:highlight w:val="none"/>
        </w:rPr>
        <w:t>申请人</w:t>
      </w:r>
      <w:r>
        <w:rPr>
          <w:rFonts w:hint="eastAsia" w:ascii="宋体" w:hAnsi="宋体"/>
          <w:color w:val="auto"/>
          <w:sz w:val="24"/>
          <w:highlight w:val="none"/>
        </w:rPr>
        <w:t>”</w:t>
      </w:r>
      <w:r>
        <w:rPr>
          <w:rFonts w:ascii="宋体" w:hAnsi="宋体"/>
          <w:color w:val="auto"/>
          <w:sz w:val="24"/>
          <w:highlight w:val="none"/>
        </w:rPr>
        <w:t>）：指向采购人提供货物、工程或者服务的法人、其他组织或者自然人。</w:t>
      </w:r>
    </w:p>
    <w:p w14:paraId="01BD3B8E">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hint="eastAsia" w:ascii="宋体" w:hAnsi="宋体"/>
          <w:color w:val="auto"/>
          <w:sz w:val="24"/>
          <w:highlight w:val="none"/>
        </w:rPr>
        <w:t>联合体：指两个以上的自然人、法人或者其他组织组成一个联合体，以一个供应商的身份共同参加政府采购。</w:t>
      </w:r>
    </w:p>
    <w:p w14:paraId="3564B908">
      <w:pPr>
        <w:numPr>
          <w:ilvl w:val="0"/>
          <w:numId w:val="13"/>
        </w:numPr>
        <w:tabs>
          <w:tab w:val="left" w:pos="360"/>
          <w:tab w:val="clear" w:pos="900"/>
        </w:tabs>
        <w:snapToGrid w:val="0"/>
        <w:spacing w:line="360" w:lineRule="auto"/>
        <w:ind w:left="357" w:hanging="357"/>
        <w:outlineLvl w:val="1"/>
        <w:rPr>
          <w:rFonts w:ascii="宋体" w:hAnsi="宋体"/>
          <w:color w:val="auto"/>
          <w:sz w:val="24"/>
          <w:highlight w:val="none"/>
        </w:rPr>
      </w:pPr>
      <w:bookmarkStart w:id="120" w:name="_Toc150509271"/>
      <w:bookmarkStart w:id="121" w:name="_Toc195842885"/>
      <w:bookmarkStart w:id="122" w:name="_Toc164229361"/>
      <w:bookmarkStart w:id="123" w:name="_Toc127151520"/>
      <w:bookmarkStart w:id="124" w:name="_Toc151193762"/>
      <w:bookmarkStart w:id="125" w:name="_Toc151190147"/>
      <w:bookmarkStart w:id="126" w:name="_Toc142311022"/>
      <w:bookmarkStart w:id="127" w:name="_Toc226965710"/>
      <w:bookmarkStart w:id="128" w:name="_Toc127151721"/>
      <w:bookmarkStart w:id="129" w:name="_Toc151193908"/>
      <w:bookmarkStart w:id="130" w:name="_Toc164608634"/>
      <w:bookmarkStart w:id="131" w:name="_Toc150774620"/>
      <w:bookmarkStart w:id="132" w:name="_Toc149720813"/>
      <w:bookmarkStart w:id="133" w:name="_Toc151193618"/>
      <w:bookmarkStart w:id="134" w:name="_Toc264969210"/>
      <w:bookmarkStart w:id="135" w:name="_Toc150480758"/>
      <w:bookmarkStart w:id="136" w:name="_Toc305158788"/>
      <w:bookmarkStart w:id="137" w:name="_Toc226337216"/>
      <w:bookmarkStart w:id="138" w:name="_Toc265228358"/>
      <w:bookmarkStart w:id="139" w:name="_Toc127161434"/>
      <w:bookmarkStart w:id="140" w:name="_Toc226309764"/>
      <w:bookmarkStart w:id="141" w:name="_Toc164608789"/>
      <w:bookmarkStart w:id="142" w:name="_Toc150774725"/>
      <w:bookmarkStart w:id="143" w:name="_Toc151193690"/>
      <w:bookmarkStart w:id="144" w:name="_Toc151193834"/>
      <w:bookmarkStart w:id="145" w:name="_Toc164229215"/>
      <w:bookmarkStart w:id="146" w:name="_Toc226965793"/>
      <w:bookmarkStart w:id="147" w:name="_Toc164351614"/>
      <w:bookmarkStart w:id="148" w:name="_Toc305158862"/>
      <w:r>
        <w:rPr>
          <w:rFonts w:ascii="宋体" w:hAnsi="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color w:val="auto"/>
          <w:sz w:val="24"/>
          <w:highlight w:val="none"/>
        </w:rPr>
        <w:t>、项目属性、科研仪器设备采购、核心产品</w:t>
      </w:r>
    </w:p>
    <w:p w14:paraId="2052279D">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资金来源为财政性资金和/或本项目采购中无法与财政性资金分割的非财政性资金。</w:t>
      </w:r>
    </w:p>
    <w:p w14:paraId="106B3415">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项目属性见《投标人须知资料表》。</w:t>
      </w:r>
    </w:p>
    <w:p w14:paraId="2B74C3F8">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是否属于科研仪器设备采购见《投标人须知资料表》。</w:t>
      </w:r>
    </w:p>
    <w:p w14:paraId="1ABB03FE">
      <w:pPr>
        <w:numPr>
          <w:ilvl w:val="1"/>
          <w:numId w:val="13"/>
        </w:numPr>
        <w:tabs>
          <w:tab w:val="left" w:pos="1080"/>
          <w:tab w:val="left" w:pos="2014"/>
          <w:tab w:val="left" w:pos="5521"/>
        </w:tabs>
        <w:snapToGrid w:val="0"/>
        <w:spacing w:line="360" w:lineRule="auto"/>
        <w:ind w:left="1080" w:hanging="720"/>
        <w:rPr>
          <w:rFonts w:ascii="宋体" w:hAnsi="宋体"/>
          <w:color w:val="auto"/>
          <w:sz w:val="24"/>
          <w:highlight w:val="none"/>
        </w:rPr>
      </w:pPr>
      <w:r>
        <w:rPr>
          <w:rFonts w:ascii="宋体" w:hAnsi="宋体"/>
          <w:color w:val="auto"/>
          <w:sz w:val="24"/>
          <w:highlight w:val="none"/>
        </w:rPr>
        <w:t>核心产品见《投标人须知资料表》。</w:t>
      </w:r>
    </w:p>
    <w:p w14:paraId="522663E4">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现场考察、开标前答疑会</w:t>
      </w:r>
    </w:p>
    <w:p w14:paraId="5C8F5027">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若《投标人须知资料表》中规定了组织现场考察、召开开标前答疑会，则投标人应按要求在规定的时间和地点参加。</w:t>
      </w:r>
      <w:bookmarkStart w:id="149" w:name="_Toc151193764"/>
      <w:bookmarkStart w:id="150" w:name="_Toc226309766"/>
      <w:bookmarkStart w:id="151" w:name="_Toc226337218"/>
      <w:bookmarkStart w:id="152" w:name="_Toc150774727"/>
      <w:bookmarkStart w:id="153" w:name="_Toc142311024"/>
      <w:bookmarkStart w:id="154" w:name="_Toc520356146"/>
      <w:bookmarkStart w:id="155" w:name="_Toc226965795"/>
      <w:bookmarkStart w:id="156" w:name="_Toc265228360"/>
      <w:bookmarkStart w:id="157" w:name="_Toc150774622"/>
      <w:bookmarkStart w:id="158" w:name="_Toc151193620"/>
      <w:bookmarkStart w:id="159" w:name="_Toc151190149"/>
      <w:bookmarkStart w:id="160" w:name="_Toc150509273"/>
      <w:bookmarkStart w:id="161" w:name="_Toc226965712"/>
      <w:bookmarkStart w:id="162" w:name="_Toc150480760"/>
      <w:bookmarkStart w:id="163" w:name="_Toc305158790"/>
      <w:bookmarkStart w:id="164" w:name="_Toc195842887"/>
      <w:bookmarkStart w:id="165" w:name="_Toc305158864"/>
      <w:bookmarkStart w:id="166" w:name="_Toc151193910"/>
      <w:bookmarkStart w:id="167" w:name="_Toc264969212"/>
      <w:bookmarkStart w:id="168" w:name="_Toc151193836"/>
      <w:bookmarkStart w:id="169" w:name="_Toc151193692"/>
      <w:bookmarkStart w:id="170" w:name="_Toc127151522"/>
    </w:p>
    <w:p w14:paraId="741A73FA">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3C526675">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样品</w:t>
      </w:r>
    </w:p>
    <w:p w14:paraId="74E05B56">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color w:val="auto"/>
          <w:sz w:val="24"/>
          <w:highlight w:val="none"/>
        </w:rPr>
        <w:t>。</w:t>
      </w:r>
    </w:p>
    <w:p w14:paraId="54A1F649">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样品的评审方法以及评审标准等内容见第四章《评标方法和评标标准》。</w:t>
      </w:r>
    </w:p>
    <w:p w14:paraId="56FAA421">
      <w:pPr>
        <w:numPr>
          <w:ilvl w:val="0"/>
          <w:numId w:val="13"/>
        </w:numPr>
        <w:tabs>
          <w:tab w:val="left" w:pos="360"/>
          <w:tab w:val="clear" w:pos="90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政府采购政策（包括但不限于下列具体政策要求）</w:t>
      </w:r>
    </w:p>
    <w:p w14:paraId="3B8431FD">
      <w:pPr>
        <w:tabs>
          <w:tab w:val="left" w:pos="2014"/>
        </w:tabs>
        <w:snapToGrid w:val="0"/>
        <w:spacing w:line="360" w:lineRule="auto"/>
        <w:ind w:left="1080"/>
        <w:rPr>
          <w:rFonts w:ascii="宋体" w:hAnsi="宋体"/>
          <w:color w:val="auto"/>
          <w:sz w:val="24"/>
          <w:highlight w:val="none"/>
        </w:rPr>
      </w:pPr>
      <w:r>
        <w:rPr>
          <w:rFonts w:hint="eastAsia" w:ascii="宋体" w:hAnsi="宋体"/>
          <w:color w:val="auto"/>
          <w:sz w:val="24"/>
          <w:highlight w:val="none"/>
        </w:rPr>
        <w:t>5.1采购本国货物、工程和服务</w:t>
      </w:r>
    </w:p>
    <w:p w14:paraId="180C2383">
      <w:pPr>
        <w:tabs>
          <w:tab w:val="left" w:pos="2014"/>
        </w:tabs>
        <w:snapToGrid w:val="0"/>
        <w:spacing w:line="360" w:lineRule="auto"/>
        <w:ind w:left="1080"/>
        <w:rPr>
          <w:rFonts w:ascii="宋体" w:hAnsi="宋体"/>
          <w:color w:val="auto"/>
          <w:sz w:val="24"/>
          <w:highlight w:val="none"/>
        </w:rPr>
      </w:pPr>
      <w:r>
        <w:rPr>
          <w:rFonts w:hint="eastAsia" w:ascii="宋体" w:hAnsi="宋体"/>
          <w:color w:val="auto"/>
          <w:sz w:val="24"/>
          <w:highlight w:val="none"/>
        </w:rPr>
        <w:t>5.1.1政府采购应当采购本国货物、工程和服务。但有《中华人民共和国政府采购法》第十条规定情形的除外</w:t>
      </w:r>
    </w:p>
    <w:p w14:paraId="200B58A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5.1.2本项目如接受非本国货物、工程、服务参与投标，则具体要求见第四章《采购需求》。</w:t>
      </w:r>
    </w:p>
    <w:p w14:paraId="603C2EED">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5.1.3进口产品指通过中国海关报关验放进入中国境内且产自关境外的产品，包括已经进入中国境内的进口产品。关于进口产品的相关规定依据《政府采购进口产品管理办法》（财库〔2007〕119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w:t>
      </w:r>
    </w:p>
    <w:p w14:paraId="5E528492">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5.2中小企业、监狱企业及残疾人福利性单位</w:t>
      </w:r>
    </w:p>
    <w:p w14:paraId="1B86134B">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5.2.1中小企业定义：</w:t>
      </w:r>
    </w:p>
    <w:p w14:paraId="79B98DBE">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5467DE5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5.2.1.2供应商提供的货物、工程或者服务符合下列情形的，享受中小企业扶持政策：</w:t>
      </w:r>
    </w:p>
    <w:p w14:paraId="49B1D85F">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（1）在货物采购项目中，货物由中小企业制造，即货物由中小企业生产且使用该中小企业商号或者注册商标；</w:t>
      </w:r>
    </w:p>
    <w:p w14:paraId="2980117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（2）在工程采购项目中，工程由中小企业承建，即工程施工单位为中小企业；</w:t>
      </w:r>
    </w:p>
    <w:p w14:paraId="1797193E">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（3）在服务采购项目中，服务由中小企业承接，即提供服务的人员为中小企业依照《中华人民共和国劳动合同法》订立劳动合同的从业人员。</w:t>
      </w:r>
    </w:p>
    <w:p w14:paraId="510192D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5.2.1.3在货物采购项目中，供应商提供的货物既有中小企业制造货物，也有大型企业制造货物的，不享受中小企业扶持政策。</w:t>
      </w:r>
    </w:p>
    <w:p w14:paraId="309D41E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5.2.1.4以联合体形式参加政府采购活动，联合体各方均为中小企业的，联合体视同中小企业。其中，联合体各方均为小微企业的，联合体视同小微企业。</w:t>
      </w:r>
    </w:p>
    <w:p w14:paraId="33D90DD1">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027F8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95A9B0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5.2.3.1安置的残疾人占本单位在职职工人数的比例不低于 25%（含 25%），并且安置的残疾人人数不少于 10  人（含 10人）；</w:t>
      </w:r>
    </w:p>
    <w:p w14:paraId="0641D636">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5.2.3.2依法与安置的每位残疾人签订了一年以上（含一年）的劳动合同或服务协议；</w:t>
      </w:r>
    </w:p>
    <w:p w14:paraId="07E9329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5.2.3.3为安置的每位残疾人按月足额缴纳了基本养老保险、基本医疗保险、失业保险、工伤保险和生育保险等社会保险费；</w:t>
      </w:r>
    </w:p>
    <w:p w14:paraId="2912274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5.2.3.4通过银行等金融机构向安置的每位残疾人，按月支付了不低于单位所在区县适用的经省级人民政府批准的月最低工资标准的工资；</w:t>
      </w:r>
    </w:p>
    <w:p w14:paraId="1CC26D88">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5.2.3.5提供本单位制造的货物、承担的工程或者服务（以下简称产品），或者提供其他残疾人福利性单位制造的货物（不包括使用非残疾人福利性单位注册商标的货物）；</w:t>
      </w:r>
    </w:p>
    <w:p w14:paraId="3908B502">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5.2.3.6前款所称残疾人是指法定劳动年龄内，持有《中华人民共和国残疾人证》或者《中华人民共和国残疾军人证（1 至 8 级）》的自然人，包括具有劳动条件和劳动意愿的精神残疾人。在 职职工人数是指与残疾人福利性单位建立劳动关系并依法 签订劳动合同或服务协议的雇员人数。</w:t>
      </w:r>
    </w:p>
    <w:p w14:paraId="72BF1AF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5.2.4本项目是否专门面向中小企业预留采购份额见第一章《投标邀请》。</w:t>
      </w:r>
    </w:p>
    <w:p w14:paraId="1D0C5EC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5.2.5采购标的对应的中小企业划分标准所属行业见《投标人须知资料表》。</w:t>
      </w:r>
    </w:p>
    <w:p w14:paraId="3737379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5.2.6小微企业价格评审优惠的政策调整：见第四章《评标程序、评标方法和评标标准》。</w:t>
      </w:r>
    </w:p>
    <w:p w14:paraId="13A91176">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5.3政府采购节能产品、环境标志产品</w:t>
      </w:r>
    </w:p>
    <w:p w14:paraId="271CF5BC">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A63FC4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5.3.2采购人拟采购的产品属于品目清单范围的，采购人及其委托的采购代 理机构依据国家确定的认证机构出具的、处于有效期之内的节能产品、环境标志产品认证证书，对获得证书的产品实施政府优先采购或强制 采购。关于政府采购节能产品、环境标志产品的相关规定依据《关于 调整优化节能产品、环境标志产品政府采购执行机制的通知》（财库〔2019〕9 号）。</w:t>
      </w:r>
    </w:p>
    <w:p w14:paraId="6EF88FE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5.3.3如本项目采购产品属于实施政府强制采购品目清单范围的节能产品， 则投标人所报产品必须获得国家确定的认证机构出具的、处于有效期之内的节能产品认证证书，否则投标无效；</w:t>
      </w:r>
    </w:p>
    <w:p w14:paraId="266E897D">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5.3.4非政府强制采购的节能产品或环境标志产品，依据品目清单和认证证书实施政府优先采购。优先采购的具体规定见第四章《评标程序、评标方法和评标标准》（如涉及）。</w:t>
      </w:r>
    </w:p>
    <w:p w14:paraId="04D62B30">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5.4正版软件</w:t>
      </w:r>
    </w:p>
    <w:p w14:paraId="4364A54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947F3D7">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691F7D8">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5.5网络安全专用产品</w:t>
      </w:r>
    </w:p>
    <w:p w14:paraId="1FD9A5D1">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66AF77B">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5.6推广使用低挥发性有机化合物（VOCs）</w:t>
      </w:r>
    </w:p>
    <w:p w14:paraId="7B310E08">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5.6.1为全面推进本市挥发性有机物（VOCs）治理，贯彻落实挥发性有机 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号）。本项目中涉及涂料、胶黏剂、油墨、清洗剂等挥发性有机物产品的，属于强制性标准的， 供应商应执行符合本市和国家的 VOCs 含量限制标准（具体标准见第五章《采购需求》），否则投标无效；属于推荐性标准的，优先采购， 具体见第四章《评标程序、评标方法和评标标准》。</w:t>
      </w:r>
    </w:p>
    <w:p w14:paraId="2C7FC21D">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5.7采购需求标准</w:t>
      </w:r>
    </w:p>
    <w:p w14:paraId="47F73DC3">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5.7.1商品包装、快递包装政府采购需求标准（试行）</w:t>
      </w:r>
    </w:p>
    <w:p w14:paraId="73BE111A">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A35DD7F">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5.7.2绿色数据中心政府采购需求标准（试行）</w:t>
      </w:r>
    </w:p>
    <w:p w14:paraId="5BFA3F12">
      <w:pPr>
        <w:tabs>
          <w:tab w:val="left" w:pos="1980"/>
          <w:tab w:val="left" w:pos="2035"/>
          <w:tab w:val="left" w:pos="2885"/>
          <w:tab w:val="left" w:pos="2977"/>
        </w:tabs>
        <w:snapToGrid w:val="0"/>
        <w:spacing w:line="360" w:lineRule="auto"/>
        <w:ind w:left="1197" w:leftChars="570"/>
        <w:rPr>
          <w:rFonts w:ascii="宋体" w:hAnsi="宋体"/>
          <w:color w:val="auto"/>
          <w:sz w:val="24"/>
          <w:highlight w:val="none"/>
        </w:rPr>
      </w:pPr>
      <w:r>
        <w:rPr>
          <w:rFonts w:hint="eastAsia" w:ascii="宋体" w:hAnsi="宋体"/>
          <w:color w:val="auto"/>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16376565">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投标费用</w:t>
      </w:r>
    </w:p>
    <w:p w14:paraId="2C4BA164">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14:paraId="25DEB695">
      <w:pPr>
        <w:pStyle w:val="44"/>
        <w:ind w:left="0" w:leftChars="0" w:firstLine="0" w:firstLineChars="0"/>
        <w:rPr>
          <w:rFonts w:ascii="宋体" w:hAnsi="宋体"/>
          <w:color w:val="auto"/>
          <w:szCs w:val="24"/>
          <w:highlight w:val="none"/>
        </w:rPr>
      </w:pPr>
      <w:bookmarkStart w:id="171" w:name="_1.8_计量单位"/>
      <w:bookmarkEnd w:id="171"/>
    </w:p>
    <w:p w14:paraId="779B4848">
      <w:pPr>
        <w:pStyle w:val="2"/>
        <w:spacing w:before="0" w:line="360" w:lineRule="auto"/>
        <w:rPr>
          <w:rFonts w:ascii="宋体" w:hAnsi="宋体" w:eastAsia="宋体"/>
          <w:color w:val="auto"/>
          <w:sz w:val="24"/>
          <w:szCs w:val="24"/>
          <w:highlight w:val="none"/>
        </w:rPr>
      </w:pPr>
      <w:r>
        <w:rPr>
          <w:rFonts w:ascii="宋体" w:hAnsi="宋体" w:eastAsia="宋体"/>
          <w:color w:val="auto"/>
          <w:sz w:val="24"/>
          <w:szCs w:val="24"/>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D6FEB32">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172" w:name="_Toc151190150"/>
      <w:bookmarkStart w:id="173" w:name="_Toc151193765"/>
      <w:bookmarkStart w:id="174" w:name="_Toc149720816"/>
      <w:bookmarkStart w:id="175" w:name="_Toc150509274"/>
      <w:bookmarkStart w:id="176" w:name="_Toc151193837"/>
      <w:bookmarkStart w:id="177" w:name="_Toc226965713"/>
      <w:bookmarkStart w:id="178" w:name="_Toc226337219"/>
      <w:bookmarkStart w:id="179" w:name="_Toc264969213"/>
      <w:bookmarkStart w:id="180" w:name="_Toc151193621"/>
      <w:bookmarkStart w:id="181" w:name="_Toc226309767"/>
      <w:bookmarkStart w:id="182" w:name="_Toc520356147"/>
      <w:bookmarkStart w:id="183" w:name="_Toc164608792"/>
      <w:bookmarkStart w:id="184" w:name="_Toc127161437"/>
      <w:bookmarkStart w:id="185" w:name="_Toc127151523"/>
      <w:bookmarkStart w:id="186" w:name="_Toc150774623"/>
      <w:bookmarkStart w:id="187" w:name="_Toc150774728"/>
      <w:bookmarkStart w:id="188" w:name="_Toc305158791"/>
      <w:bookmarkStart w:id="189" w:name="_Toc142311025"/>
      <w:bookmarkStart w:id="190" w:name="_Toc164608637"/>
      <w:bookmarkStart w:id="191" w:name="_Toc265228361"/>
      <w:bookmarkStart w:id="192" w:name="_Toc195842888"/>
      <w:bookmarkStart w:id="193" w:name="_Toc305158865"/>
      <w:bookmarkStart w:id="194" w:name="_Toc164229218"/>
      <w:bookmarkStart w:id="195" w:name="_Toc151193911"/>
      <w:bookmarkStart w:id="196" w:name="_Toc127151724"/>
      <w:bookmarkStart w:id="197" w:name="_Toc164229364"/>
      <w:bookmarkStart w:id="198" w:name="_Toc150480761"/>
      <w:bookmarkStart w:id="199" w:name="_Toc164351617"/>
      <w:bookmarkStart w:id="200" w:name="_Toc226965796"/>
      <w:bookmarkStart w:id="201" w:name="_Toc151193693"/>
      <w:r>
        <w:rPr>
          <w:rFonts w:ascii="宋体" w:hAnsi="宋体"/>
          <w:color w:val="auto"/>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color w:val="auto"/>
          <w:sz w:val="24"/>
          <w:highlight w:val="none"/>
        </w:rPr>
        <w:t>成</w:t>
      </w:r>
    </w:p>
    <w:p w14:paraId="0EA33E4A">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招标文件包括以下部分：</w:t>
      </w:r>
    </w:p>
    <w:p w14:paraId="64979840">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投标邀请</w:t>
      </w:r>
    </w:p>
    <w:p w14:paraId="074E5F82">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投标人须知</w:t>
      </w:r>
    </w:p>
    <w:p w14:paraId="13C7DE8B">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资格审查</w:t>
      </w:r>
    </w:p>
    <w:p w14:paraId="3A2C2D2B">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评标程序、评标方法和评标标准</w:t>
      </w:r>
    </w:p>
    <w:p w14:paraId="2678568F">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采购需求</w:t>
      </w:r>
    </w:p>
    <w:p w14:paraId="6129839E">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拟签订的合同文本</w:t>
      </w:r>
    </w:p>
    <w:p w14:paraId="6C037C59">
      <w:pPr>
        <w:numPr>
          <w:ilvl w:val="0"/>
          <w:numId w:val="14"/>
        </w:numPr>
        <w:tabs>
          <w:tab w:val="left" w:pos="1980"/>
          <w:tab w:val="left" w:pos="2520"/>
        </w:tabs>
        <w:snapToGrid w:val="0"/>
        <w:spacing w:line="360" w:lineRule="auto"/>
        <w:ind w:left="1440" w:firstLine="5"/>
        <w:rPr>
          <w:rFonts w:ascii="宋体" w:hAnsi="宋体"/>
          <w:color w:val="auto"/>
          <w:sz w:val="24"/>
          <w:highlight w:val="none"/>
        </w:rPr>
      </w:pPr>
      <w:r>
        <w:rPr>
          <w:rFonts w:ascii="宋体" w:hAnsi="宋体"/>
          <w:color w:val="auto"/>
          <w:sz w:val="24"/>
          <w:highlight w:val="none"/>
        </w:rPr>
        <w:t>投标文件格式</w:t>
      </w:r>
    </w:p>
    <w:p w14:paraId="33F9C1A5">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14:paraId="5B7161BA">
      <w:pPr>
        <w:numPr>
          <w:ilvl w:val="0"/>
          <w:numId w:val="13"/>
        </w:numPr>
        <w:tabs>
          <w:tab w:val="left" w:pos="1080"/>
          <w:tab w:val="left" w:pos="2014"/>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对招标文件的澄清或修改</w:t>
      </w:r>
    </w:p>
    <w:p w14:paraId="421D927F">
      <w:pPr>
        <w:numPr>
          <w:ilvl w:val="1"/>
          <w:numId w:val="13"/>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2E058B07">
      <w:pPr>
        <w:numPr>
          <w:ilvl w:val="1"/>
          <w:numId w:val="13"/>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14:paraId="783E1F8B">
      <w:pPr>
        <w:numPr>
          <w:ilvl w:val="1"/>
          <w:numId w:val="13"/>
        </w:numPr>
        <w:tabs>
          <w:tab w:val="left" w:pos="1080"/>
          <w:tab w:val="left" w:pos="1561"/>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2" w:name="_Toc516367020"/>
      <w:bookmarkStart w:id="203" w:name="_Toc151193768"/>
      <w:bookmarkStart w:id="204" w:name="_Toc150774626"/>
      <w:bookmarkStart w:id="205" w:name="_Toc151193696"/>
      <w:bookmarkStart w:id="206" w:name="_Toc150509277"/>
      <w:bookmarkStart w:id="207" w:name="_Toc305158868"/>
      <w:bookmarkStart w:id="208" w:name="_Toc226965799"/>
      <w:bookmarkStart w:id="209" w:name="_Toc151193840"/>
      <w:bookmarkStart w:id="210" w:name="_Toc142311028"/>
      <w:bookmarkStart w:id="211" w:name="_Toc520356150"/>
      <w:bookmarkStart w:id="212" w:name="_Toc305158794"/>
      <w:bookmarkStart w:id="213" w:name="_Toc226337222"/>
      <w:bookmarkStart w:id="214" w:name="_Toc265228364"/>
      <w:bookmarkStart w:id="215" w:name="_Toc150774731"/>
      <w:bookmarkStart w:id="216" w:name="_Toc150480764"/>
      <w:bookmarkStart w:id="217" w:name="_Toc195842891"/>
      <w:bookmarkStart w:id="218" w:name="_Toc127151526"/>
      <w:bookmarkStart w:id="219" w:name="_Toc226309770"/>
      <w:bookmarkStart w:id="220" w:name="_Toc264969216"/>
      <w:bookmarkStart w:id="221" w:name="_Toc226965716"/>
      <w:bookmarkStart w:id="222" w:name="_Toc151193624"/>
      <w:bookmarkStart w:id="223" w:name="_Toc151190153"/>
      <w:bookmarkStart w:id="224" w:name="_Toc151193914"/>
    </w:p>
    <w:p w14:paraId="35B597CF">
      <w:pPr>
        <w:pStyle w:val="2"/>
        <w:spacing w:before="0" w:line="360" w:lineRule="auto"/>
        <w:rPr>
          <w:rFonts w:ascii="宋体" w:hAnsi="宋体" w:eastAsia="宋体"/>
          <w:color w:val="auto"/>
          <w:sz w:val="24"/>
          <w:szCs w:val="24"/>
          <w:highlight w:val="none"/>
        </w:rPr>
      </w:pPr>
      <w:r>
        <w:rPr>
          <w:rFonts w:ascii="宋体" w:hAnsi="宋体" w:eastAsia="宋体"/>
          <w:color w:val="auto"/>
          <w:sz w:val="24"/>
          <w:szCs w:val="24"/>
          <w:highlight w:val="none"/>
        </w:rPr>
        <w:t>三   投标文件</w:t>
      </w:r>
      <w:bookmarkEnd w:id="202"/>
      <w:r>
        <w:rPr>
          <w:rFonts w:ascii="宋体" w:hAnsi="宋体" w:eastAsia="宋体"/>
          <w:color w:val="auto"/>
          <w:sz w:val="24"/>
          <w:szCs w:val="24"/>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017CE88">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225" w:name="_Toc151193769"/>
      <w:bookmarkStart w:id="226" w:name="_Toc150774732"/>
      <w:bookmarkStart w:id="227" w:name="_Toc164608796"/>
      <w:bookmarkStart w:id="228" w:name="_Toc516367021"/>
      <w:bookmarkStart w:id="229" w:name="_Toc305158869"/>
      <w:bookmarkStart w:id="230" w:name="_Toc149720820"/>
      <w:bookmarkStart w:id="231" w:name="_Toc151193841"/>
      <w:bookmarkStart w:id="232" w:name="_Toc151193697"/>
      <w:bookmarkStart w:id="233" w:name="_Toc265228365"/>
      <w:bookmarkStart w:id="234" w:name="_Toc127161441"/>
      <w:bookmarkStart w:id="235" w:name="_Toc195842892"/>
      <w:bookmarkStart w:id="236" w:name="_Toc127151728"/>
      <w:bookmarkStart w:id="237" w:name="_Toc264969217"/>
      <w:bookmarkStart w:id="238" w:name="_Toc150509278"/>
      <w:bookmarkStart w:id="239" w:name="_Toc226309771"/>
      <w:bookmarkStart w:id="240" w:name="_Toc127151527"/>
      <w:bookmarkStart w:id="241" w:name="_Toc520356151"/>
      <w:bookmarkStart w:id="242" w:name="_Toc164608641"/>
      <w:bookmarkStart w:id="243" w:name="_Toc305158795"/>
      <w:bookmarkStart w:id="244" w:name="_Toc164351621"/>
      <w:bookmarkStart w:id="245" w:name="_Toc226337223"/>
      <w:bookmarkStart w:id="246" w:name="_Toc150774627"/>
      <w:bookmarkStart w:id="247" w:name="_Toc151190154"/>
      <w:bookmarkStart w:id="248" w:name="_Toc142311029"/>
      <w:bookmarkStart w:id="249" w:name="_Toc151193625"/>
      <w:bookmarkStart w:id="250" w:name="_Toc226965717"/>
      <w:bookmarkStart w:id="251" w:name="_Toc151193915"/>
      <w:bookmarkStart w:id="252" w:name="_Toc164229222"/>
      <w:bookmarkStart w:id="253" w:name="_Toc226965800"/>
      <w:bookmarkStart w:id="254" w:name="_Toc164229368"/>
      <w:bookmarkStart w:id="255" w:name="_Toc150480765"/>
      <w:r>
        <w:rPr>
          <w:rFonts w:ascii="宋体" w:hAnsi="宋体"/>
          <w:color w:val="auto"/>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color w:val="auto"/>
          <w:sz w:val="24"/>
          <w:highlight w:val="none"/>
        </w:rPr>
        <w:t>及投标语言</w:t>
      </w:r>
    </w:p>
    <w:p w14:paraId="63F36B92">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14:paraId="6EDE3C49">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14:paraId="25E65025">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8AA743F">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256" w:name="_Ref467306195"/>
      <w:bookmarkStart w:id="257" w:name="_Ref467306676"/>
      <w:bookmarkStart w:id="258" w:name="_Toc516367022"/>
      <w:bookmarkStart w:id="259" w:name="_Toc149720821"/>
      <w:bookmarkStart w:id="260" w:name="_Toc226965718"/>
      <w:bookmarkStart w:id="261" w:name="_Toc305158870"/>
      <w:bookmarkStart w:id="262" w:name="_Toc127161442"/>
      <w:bookmarkStart w:id="263" w:name="_Toc151193842"/>
      <w:bookmarkStart w:id="264" w:name="_Toc150509279"/>
      <w:bookmarkStart w:id="265" w:name="_Toc142311030"/>
      <w:bookmarkStart w:id="266" w:name="_Toc164608797"/>
      <w:bookmarkStart w:id="267" w:name="_Toc264969218"/>
      <w:bookmarkStart w:id="268" w:name="_Toc150480766"/>
      <w:bookmarkStart w:id="269" w:name="_Toc164229223"/>
      <w:bookmarkStart w:id="270" w:name="_Toc164351622"/>
      <w:bookmarkStart w:id="271" w:name="_Toc305158796"/>
      <w:bookmarkStart w:id="272" w:name="_Toc265228366"/>
      <w:bookmarkStart w:id="273" w:name="_Toc151193698"/>
      <w:bookmarkStart w:id="274" w:name="_Toc226309772"/>
      <w:bookmarkStart w:id="275" w:name="_Toc150774733"/>
      <w:bookmarkStart w:id="276" w:name="_Toc195842893"/>
      <w:bookmarkStart w:id="277" w:name="_Toc151193770"/>
      <w:bookmarkStart w:id="278" w:name="_Toc151193916"/>
      <w:bookmarkStart w:id="279" w:name="_Toc150774628"/>
      <w:bookmarkStart w:id="280" w:name="_Toc127151729"/>
      <w:bookmarkStart w:id="281" w:name="_Toc520356152"/>
      <w:bookmarkStart w:id="282" w:name="_Toc127151528"/>
      <w:bookmarkStart w:id="283" w:name="_Toc226965801"/>
      <w:bookmarkStart w:id="284" w:name="_Toc226337224"/>
      <w:bookmarkStart w:id="285" w:name="_Toc151190155"/>
      <w:bookmarkStart w:id="286" w:name="_Toc164608642"/>
      <w:bookmarkStart w:id="287" w:name="_Toc164229369"/>
      <w:bookmarkStart w:id="288" w:name="_Toc151193626"/>
      <w:r>
        <w:rPr>
          <w:rFonts w:ascii="宋体" w:hAnsi="宋体"/>
          <w:color w:val="auto"/>
          <w:sz w:val="24"/>
          <w:highlight w:val="none"/>
        </w:rPr>
        <w:t>投标文件</w:t>
      </w:r>
      <w:bookmarkEnd w:id="256"/>
      <w:bookmarkEnd w:id="257"/>
      <w:bookmarkEnd w:id="258"/>
      <w:r>
        <w:rPr>
          <w:rFonts w:ascii="宋体" w:hAnsi="宋体"/>
          <w:color w:val="auto"/>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7DED71B">
      <w:pPr>
        <w:numPr>
          <w:ilvl w:val="1"/>
          <w:numId w:val="13"/>
        </w:numPr>
        <w:tabs>
          <w:tab w:val="left" w:pos="1080"/>
          <w:tab w:val="left" w:pos="2014"/>
        </w:tabs>
        <w:snapToGrid w:val="0"/>
        <w:spacing w:line="360" w:lineRule="auto"/>
        <w:ind w:left="1077" w:hanging="720"/>
        <w:rPr>
          <w:rFonts w:ascii="宋体" w:hAnsi="宋体"/>
          <w:color w:val="auto"/>
          <w:sz w:val="24"/>
          <w:highlight w:val="none"/>
        </w:rPr>
      </w:pPr>
      <w:bookmarkStart w:id="289" w:name="_Ref467052588"/>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14:paraId="5401F43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14:paraId="6DD713E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第四章《评标程序、评标方法和评标标准》中涉及的证明文件。</w:t>
      </w:r>
    </w:p>
    <w:p w14:paraId="29C40C33">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510E058">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投标人认为应附的其他材料。</w:t>
      </w:r>
      <w:bookmarkEnd w:id="289"/>
    </w:p>
    <w:p w14:paraId="37372B3A">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290" w:name="_Toc150774735"/>
      <w:bookmarkStart w:id="291" w:name="_Toc520356155"/>
      <w:bookmarkStart w:id="292" w:name="_Toc151190157"/>
      <w:bookmarkStart w:id="293" w:name="_Toc164229371"/>
      <w:bookmarkStart w:id="294" w:name="_Toc150480768"/>
      <w:bookmarkStart w:id="295" w:name="_Toc151193772"/>
      <w:bookmarkStart w:id="296" w:name="_Toc151193918"/>
      <w:bookmarkStart w:id="297" w:name="_Toc150774630"/>
      <w:bookmarkStart w:id="298" w:name="_Toc127161444"/>
      <w:bookmarkStart w:id="299" w:name="_Toc164608644"/>
      <w:bookmarkStart w:id="300" w:name="_Toc164229225"/>
      <w:bookmarkStart w:id="301" w:name="_Toc149720823"/>
      <w:bookmarkStart w:id="302" w:name="_Toc150509281"/>
      <w:bookmarkStart w:id="303" w:name="_Toc151193844"/>
      <w:bookmarkStart w:id="304" w:name="_Toc164608799"/>
      <w:bookmarkStart w:id="305" w:name="_Toc164351624"/>
      <w:bookmarkStart w:id="306" w:name="_Toc127151731"/>
      <w:bookmarkStart w:id="307" w:name="_Toc151193628"/>
      <w:bookmarkStart w:id="308" w:name="_Toc127151530"/>
      <w:bookmarkStart w:id="309" w:name="_Toc151193700"/>
      <w:bookmarkStart w:id="310" w:name="_Toc195842895"/>
      <w:bookmarkStart w:id="311" w:name="_Toc142311032"/>
      <w:r>
        <w:rPr>
          <w:rFonts w:ascii="宋体" w:hAnsi="宋体"/>
          <w:color w:val="auto"/>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0648519B">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所有投标均以人民币报价。</w:t>
      </w:r>
    </w:p>
    <w:p w14:paraId="3FFB90F4">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投标人的报价应包括为完成本项目所发生的一切费用和税费，招标人将不再支付报价以外的任何费用。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14:paraId="195FEB11">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BA3733C">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 xml:space="preserve">按照招标文件要求完成本项目的全部相关服务费用。 </w:t>
      </w:r>
    </w:p>
    <w:p w14:paraId="7CA948FA">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采购人不得向供应商索要或者接受其给予的赠品、回扣或者与采购无关的其他商品、服务。</w:t>
      </w:r>
    </w:p>
    <w:p w14:paraId="3B23E519">
      <w:pPr>
        <w:numPr>
          <w:ilvl w:val="1"/>
          <w:numId w:val="13"/>
        </w:numPr>
        <w:tabs>
          <w:tab w:val="left" w:pos="1080"/>
          <w:tab w:val="left" w:pos="2014"/>
        </w:tabs>
        <w:snapToGrid w:val="0"/>
        <w:spacing w:line="360" w:lineRule="auto"/>
        <w:ind w:left="1080" w:hanging="720"/>
        <w:rPr>
          <w:rFonts w:ascii="宋体" w:hAnsi="宋体"/>
          <w:color w:val="auto"/>
          <w:sz w:val="24"/>
          <w:highlight w:val="none"/>
        </w:rPr>
      </w:pPr>
      <w:r>
        <w:rPr>
          <w:rFonts w:ascii="宋体" w:hAnsi="宋体"/>
          <w:color w:val="auto"/>
          <w:sz w:val="24"/>
          <w:highlight w:val="none"/>
        </w:rPr>
        <w:t>投标人不能提供任何有选择性或可调整的报价，否则其</w:t>
      </w:r>
      <w:r>
        <w:rPr>
          <w:rFonts w:ascii="宋体" w:hAnsi="宋体"/>
          <w:b/>
          <w:color w:val="auto"/>
          <w:sz w:val="24"/>
          <w:highlight w:val="none"/>
        </w:rPr>
        <w:t>投标无效</w:t>
      </w:r>
      <w:r>
        <w:rPr>
          <w:rFonts w:ascii="宋体" w:hAnsi="宋体"/>
          <w:color w:val="auto"/>
          <w:sz w:val="24"/>
          <w:highlight w:val="none"/>
        </w:rPr>
        <w:t>。</w:t>
      </w:r>
    </w:p>
    <w:p w14:paraId="43B4454B">
      <w:pPr>
        <w:numPr>
          <w:ilvl w:val="0"/>
          <w:numId w:val="13"/>
        </w:numPr>
        <w:tabs>
          <w:tab w:val="left" w:pos="360"/>
        </w:tabs>
        <w:snapToGrid w:val="0"/>
        <w:spacing w:line="360" w:lineRule="auto"/>
        <w:ind w:left="357" w:hanging="357"/>
        <w:outlineLvl w:val="1"/>
        <w:rPr>
          <w:color w:val="auto"/>
          <w:sz w:val="24"/>
          <w:highlight w:val="none"/>
        </w:rPr>
      </w:pPr>
      <w:bookmarkStart w:id="312" w:name="_Toc151193629"/>
      <w:bookmarkStart w:id="313" w:name="_Toc150774631"/>
      <w:bookmarkStart w:id="314" w:name="_Toc151193845"/>
      <w:bookmarkStart w:id="315" w:name="_Toc195842896"/>
      <w:bookmarkStart w:id="316" w:name="_Toc164608645"/>
      <w:bookmarkStart w:id="317" w:name="_Ref467306513"/>
      <w:bookmarkStart w:id="318" w:name="_Toc264969221"/>
      <w:bookmarkStart w:id="319" w:name="_Toc151190158"/>
      <w:bookmarkStart w:id="320" w:name="_Toc150774736"/>
      <w:bookmarkStart w:id="321" w:name="_Toc127151531"/>
      <w:bookmarkStart w:id="322" w:name="_Toc151193919"/>
      <w:bookmarkStart w:id="323" w:name="_Toc151193701"/>
      <w:bookmarkStart w:id="324" w:name="_Toc164608800"/>
      <w:bookmarkStart w:id="325" w:name="_Toc149720824"/>
      <w:bookmarkStart w:id="326" w:name="_Toc150509282"/>
      <w:bookmarkStart w:id="327" w:name="_Toc265228369"/>
      <w:bookmarkStart w:id="328" w:name="_Toc164351625"/>
      <w:bookmarkStart w:id="329" w:name="_Toc127161445"/>
      <w:bookmarkStart w:id="330" w:name="_Toc150480769"/>
      <w:bookmarkStart w:id="331" w:name="_Toc226965721"/>
      <w:bookmarkStart w:id="332" w:name="_Toc305158873"/>
      <w:bookmarkStart w:id="333" w:name="_Toc151193773"/>
      <w:bookmarkStart w:id="334" w:name="_Toc226337227"/>
      <w:bookmarkStart w:id="335" w:name="_Toc127151732"/>
      <w:bookmarkStart w:id="336" w:name="_Toc305158799"/>
      <w:bookmarkStart w:id="337" w:name="_Toc142311033"/>
      <w:bookmarkStart w:id="338" w:name="_Toc164229372"/>
      <w:bookmarkStart w:id="339" w:name="_Toc226965804"/>
      <w:bookmarkStart w:id="340" w:name="_Toc520356156"/>
      <w:bookmarkStart w:id="341" w:name="_Toc226309775"/>
      <w:bookmarkStart w:id="342" w:name="_Toc164229226"/>
      <w:r>
        <w:rPr>
          <w:color w:val="auto"/>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9476EFB">
      <w:pPr>
        <w:numPr>
          <w:ilvl w:val="1"/>
          <w:numId w:val="13"/>
        </w:numPr>
        <w:tabs>
          <w:tab w:val="left" w:pos="1080"/>
          <w:tab w:val="left" w:pos="2014"/>
        </w:tabs>
        <w:snapToGrid w:val="0"/>
        <w:spacing w:line="360" w:lineRule="auto"/>
        <w:ind w:left="1077" w:hanging="720"/>
        <w:rPr>
          <w:rFonts w:hint="eastAsia"/>
          <w:color w:val="auto"/>
          <w:sz w:val="24"/>
          <w:highlight w:val="none"/>
        </w:rPr>
      </w:pPr>
      <w:bookmarkStart w:id="343" w:name="_Ref467306302"/>
      <w:r>
        <w:rPr>
          <w:color w:val="auto"/>
          <w:sz w:val="24"/>
          <w:highlight w:val="none"/>
        </w:rPr>
        <w:t>投标人应按《投标人须知资料表》中规定的金额及要求交纳投标保证金</w:t>
      </w:r>
      <w:bookmarkEnd w:id="343"/>
      <w:r>
        <w:rPr>
          <w:rFonts w:hint="eastAsia"/>
          <w:color w:val="auto"/>
          <w:sz w:val="24"/>
          <w:highlight w:val="none"/>
          <w:lang w:eastAsia="zh-CN"/>
        </w:rPr>
        <w:t>。</w:t>
      </w:r>
      <w:r>
        <w:rPr>
          <w:rFonts w:hint="eastAsia"/>
          <w:color w:val="auto"/>
          <w:sz w:val="24"/>
          <w:highlight w:val="none"/>
        </w:rPr>
        <w:t>投</w:t>
      </w:r>
    </w:p>
    <w:p w14:paraId="75D31A4C">
      <w:pPr>
        <w:numPr>
          <w:ilvl w:val="0"/>
          <w:numId w:val="0"/>
        </w:numPr>
        <w:tabs>
          <w:tab w:val="left" w:pos="1080"/>
          <w:tab w:val="left" w:pos="2014"/>
        </w:tabs>
        <w:snapToGrid w:val="0"/>
        <w:spacing w:line="360" w:lineRule="auto"/>
        <w:ind w:left="357" w:leftChars="0" w:firstLine="720" w:firstLineChars="300"/>
        <w:rPr>
          <w:color w:val="auto"/>
          <w:sz w:val="24"/>
          <w:highlight w:val="none"/>
        </w:rPr>
      </w:pPr>
      <w:r>
        <w:rPr>
          <w:rFonts w:hint="eastAsia"/>
          <w:color w:val="auto"/>
          <w:sz w:val="24"/>
          <w:highlight w:val="none"/>
        </w:rPr>
        <w:t>标人自愿超额缴纳投标保证金的，投标文件不做无效处理</w:t>
      </w:r>
      <w:r>
        <w:rPr>
          <w:color w:val="auto"/>
          <w:sz w:val="24"/>
          <w:highlight w:val="none"/>
        </w:rPr>
        <w:t>。</w:t>
      </w:r>
    </w:p>
    <w:p w14:paraId="3EA4BD76">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5105286A">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w:t>
      </w:r>
      <w:r>
        <w:rPr>
          <w:rFonts w:hint="eastAsia"/>
          <w:color w:val="auto"/>
          <w:sz w:val="24"/>
          <w:highlight w:val="none"/>
        </w:rPr>
        <w:t>到账</w:t>
      </w:r>
      <w:r>
        <w:rPr>
          <w:color w:val="auto"/>
          <w:sz w:val="24"/>
          <w:highlight w:val="none"/>
        </w:rPr>
        <w:t>；</w:t>
      </w:r>
      <w:r>
        <w:rPr>
          <w:rFonts w:hint="eastAsia"/>
          <w:color w:val="auto"/>
          <w:sz w:val="24"/>
          <w:highlight w:val="none"/>
        </w:rPr>
        <w:t>以</w:t>
      </w:r>
      <w:r>
        <w:rPr>
          <w:color w:val="auto"/>
          <w:sz w:val="24"/>
          <w:highlight w:val="none"/>
        </w:rPr>
        <w:t>金融机构、担保机构出具的</w:t>
      </w:r>
      <w:r>
        <w:rPr>
          <w:rFonts w:hint="eastAsia"/>
          <w:color w:val="auto"/>
          <w:sz w:val="24"/>
          <w:highlight w:val="none"/>
          <w:lang w:val="en-US" w:eastAsia="zh-CN"/>
        </w:rPr>
        <w:t>纸质</w:t>
      </w:r>
      <w:r>
        <w:rPr>
          <w:color w:val="auto"/>
          <w:sz w:val="24"/>
          <w:highlight w:val="none"/>
        </w:rPr>
        <w:t>保函等形式提交投标保证金的，应在投标截止时间前将原件提交至</w:t>
      </w:r>
      <w:r>
        <w:rPr>
          <w:rFonts w:hint="eastAsia"/>
          <w:color w:val="auto"/>
          <w:sz w:val="24"/>
          <w:highlight w:val="none"/>
        </w:rPr>
        <w:t>采购代理机构。以电子保函形式提交投标保证金的，应在投标截止时间前通过北京市政府采购电子交易平台完成电子保函在线办理。未按上述要求缴纳投标保证金的，其</w:t>
      </w:r>
      <w:r>
        <w:rPr>
          <w:rFonts w:hint="eastAsia"/>
          <w:b/>
          <w:bCs/>
          <w:color w:val="auto"/>
          <w:sz w:val="24"/>
          <w:highlight w:val="none"/>
        </w:rPr>
        <w:t>投标无效</w:t>
      </w:r>
      <w:r>
        <w:rPr>
          <w:rFonts w:hint="eastAsia"/>
          <w:color w:val="auto"/>
          <w:sz w:val="24"/>
          <w:highlight w:val="none"/>
        </w:rPr>
        <w:t>。</w:t>
      </w:r>
    </w:p>
    <w:p w14:paraId="14D5EA6C">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投标人除需在投标文件中提供“投标保证金凭证/交款单据电子件”，还需在投标截止时间前，通过电子交易平台上传“投标保证金凭证/交款单据电子件”。</w:t>
      </w:r>
    </w:p>
    <w:p w14:paraId="4DEC4E76">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投标保证金有效期同投标有效期。</w:t>
      </w:r>
    </w:p>
    <w:p w14:paraId="7D8AEA8B">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投标人为联合体投标的，可以由联合体中的一方或者共同提交投标保证金，</w:t>
      </w:r>
      <w:r>
        <w:rPr>
          <w:rFonts w:hint="eastAsia"/>
          <w:color w:val="auto"/>
          <w:sz w:val="24"/>
          <w:highlight w:val="none"/>
        </w:rPr>
        <w:t>其交纳的投标保证金对联合体各方均具有约束力</w:t>
      </w:r>
      <w:r>
        <w:rPr>
          <w:color w:val="auto"/>
          <w:sz w:val="24"/>
          <w:highlight w:val="none"/>
        </w:rPr>
        <w:t>。</w:t>
      </w:r>
    </w:p>
    <w:p w14:paraId="5554C2FE">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采购人、采购代理机构将及时退还投标人的投标保证金，采用银行保函、担保机构担保函等形式递交的</w:t>
      </w:r>
      <w:r>
        <w:rPr>
          <w:rFonts w:hint="eastAsia"/>
          <w:color w:val="auto"/>
          <w:sz w:val="24"/>
          <w:highlight w:val="none"/>
        </w:rPr>
        <w:t>投标</w:t>
      </w:r>
      <w:r>
        <w:rPr>
          <w:color w:val="auto"/>
          <w:sz w:val="24"/>
          <w:highlight w:val="none"/>
        </w:rPr>
        <w:t>保证金，经</w:t>
      </w:r>
      <w:r>
        <w:rPr>
          <w:rFonts w:hint="eastAsia"/>
          <w:color w:val="auto"/>
          <w:sz w:val="24"/>
          <w:highlight w:val="none"/>
          <w:lang w:val="en-US" w:eastAsia="zh-CN"/>
        </w:rPr>
        <w:t>投标人</w:t>
      </w:r>
      <w:r>
        <w:rPr>
          <w:color w:val="auto"/>
          <w:sz w:val="24"/>
          <w:highlight w:val="none"/>
        </w:rPr>
        <w:t>同意后采购人、采购代理机构可以不再退还，但因投标人自身原因导致无法及时退还的除外：</w:t>
      </w:r>
    </w:p>
    <w:p w14:paraId="2FC964B7">
      <w:pPr>
        <w:numPr>
          <w:ilvl w:val="2"/>
          <w:numId w:val="13"/>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5C297D2C">
      <w:pPr>
        <w:numPr>
          <w:ilvl w:val="2"/>
          <w:numId w:val="13"/>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3EB3DFC5">
      <w:pPr>
        <w:numPr>
          <w:ilvl w:val="2"/>
          <w:numId w:val="13"/>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159C59CB">
      <w:pPr>
        <w:numPr>
          <w:ilvl w:val="2"/>
          <w:numId w:val="13"/>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2A2D7054">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2C3B071B">
      <w:pPr>
        <w:numPr>
          <w:ilvl w:val="2"/>
          <w:numId w:val="13"/>
        </w:numPr>
        <w:snapToGrid w:val="0"/>
        <w:spacing w:line="360" w:lineRule="auto"/>
        <w:rPr>
          <w:color w:val="auto"/>
          <w:sz w:val="24"/>
          <w:highlight w:val="none"/>
        </w:rPr>
      </w:pPr>
      <w:r>
        <w:rPr>
          <w:color w:val="auto"/>
          <w:sz w:val="24"/>
          <w:highlight w:val="none"/>
        </w:rPr>
        <w:t>投标有效期内投标人撤销投标文件的；</w:t>
      </w:r>
    </w:p>
    <w:p w14:paraId="4EF193F1">
      <w:pPr>
        <w:numPr>
          <w:ilvl w:val="2"/>
          <w:numId w:val="13"/>
        </w:numPr>
        <w:tabs>
          <w:tab w:val="left" w:pos="900"/>
          <w:tab w:val="left" w:pos="1080"/>
          <w:tab w:val="left" w:pos="2014"/>
        </w:tabs>
        <w:snapToGrid w:val="0"/>
        <w:spacing w:line="360" w:lineRule="auto"/>
        <w:rPr>
          <w:rFonts w:ascii="宋体" w:hAnsi="宋体"/>
          <w:color w:val="auto"/>
          <w:sz w:val="24"/>
          <w:highlight w:val="none"/>
        </w:rPr>
      </w:pPr>
      <w:r>
        <w:rPr>
          <w:color w:val="auto"/>
          <w:sz w:val="24"/>
          <w:highlight w:val="none"/>
        </w:rPr>
        <w:t>《投标人须知资料表》中规定的其他情形。</w:t>
      </w:r>
    </w:p>
    <w:p w14:paraId="046E117C">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344" w:name="_Toc226965805"/>
      <w:bookmarkStart w:id="345" w:name="_Toc127151733"/>
      <w:bookmarkStart w:id="346" w:name="_Toc305158874"/>
      <w:bookmarkStart w:id="347" w:name="_Toc150774632"/>
      <w:bookmarkStart w:id="348" w:name="_Toc151190159"/>
      <w:bookmarkStart w:id="349" w:name="_Toc164608801"/>
      <w:bookmarkStart w:id="350" w:name="_Toc151193702"/>
      <w:bookmarkStart w:id="351" w:name="_Toc151193774"/>
      <w:bookmarkStart w:id="352" w:name="_Toc149720825"/>
      <w:bookmarkStart w:id="353" w:name="_Toc265228370"/>
      <w:bookmarkStart w:id="354" w:name="_Toc150509283"/>
      <w:bookmarkStart w:id="355" w:name="_Toc226309776"/>
      <w:bookmarkStart w:id="356" w:name="_Toc164351626"/>
      <w:bookmarkStart w:id="357" w:name="_Toc264969222"/>
      <w:bookmarkStart w:id="358" w:name="_Toc226965722"/>
      <w:bookmarkStart w:id="359" w:name="_Toc127151532"/>
      <w:bookmarkStart w:id="360" w:name="_Toc164229373"/>
      <w:bookmarkStart w:id="361" w:name="_Toc164608646"/>
      <w:bookmarkStart w:id="362" w:name="_Toc142311034"/>
      <w:bookmarkStart w:id="363" w:name="_Toc151193846"/>
      <w:bookmarkStart w:id="364" w:name="_Toc150480770"/>
      <w:bookmarkStart w:id="365" w:name="_Toc305158800"/>
      <w:bookmarkStart w:id="366" w:name="_Toc150774737"/>
      <w:bookmarkStart w:id="367" w:name="_Toc164229227"/>
      <w:bookmarkStart w:id="368" w:name="_Toc151193920"/>
      <w:bookmarkStart w:id="369" w:name="_Toc151193630"/>
      <w:bookmarkStart w:id="370" w:name="_Toc226337228"/>
      <w:bookmarkStart w:id="371" w:name="_Toc520356157"/>
      <w:bookmarkStart w:id="372" w:name="_Toc127161446"/>
      <w:bookmarkStart w:id="373" w:name="_Toc195842897"/>
      <w:r>
        <w:rPr>
          <w:rFonts w:ascii="宋体" w:hAnsi="宋体"/>
          <w:color w:val="auto"/>
          <w:sz w:val="24"/>
          <w:highlight w:val="none"/>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CF73628">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14:paraId="6DB2D323">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374" w:name="_Toc127151533"/>
      <w:bookmarkStart w:id="375" w:name="_Toc151193775"/>
      <w:bookmarkStart w:id="376" w:name="_Toc150774633"/>
      <w:bookmarkStart w:id="377" w:name="_Toc150480771"/>
      <w:bookmarkStart w:id="378" w:name="_Toc305158875"/>
      <w:bookmarkStart w:id="379" w:name="_Toc520356158"/>
      <w:bookmarkStart w:id="380" w:name="_Toc305158801"/>
      <w:bookmarkStart w:id="381" w:name="_Toc226337229"/>
      <w:bookmarkStart w:id="382" w:name="_Toc149720826"/>
      <w:bookmarkStart w:id="383" w:name="_Toc164351627"/>
      <w:bookmarkStart w:id="384" w:name="_Toc226965806"/>
      <w:bookmarkStart w:id="385" w:name="_Toc226965723"/>
      <w:bookmarkStart w:id="386" w:name="_Toc127161447"/>
      <w:bookmarkStart w:id="387" w:name="_Toc151193921"/>
      <w:bookmarkStart w:id="388" w:name="_Toc264969223"/>
      <w:bookmarkStart w:id="389" w:name="_Toc164608802"/>
      <w:bookmarkStart w:id="390" w:name="_Toc150774738"/>
      <w:bookmarkStart w:id="391" w:name="_Toc195842898"/>
      <w:bookmarkStart w:id="392" w:name="_Toc151193631"/>
      <w:bookmarkStart w:id="393" w:name="_Toc151190160"/>
      <w:bookmarkStart w:id="394" w:name="_Toc265228371"/>
      <w:bookmarkStart w:id="395" w:name="_Toc150509284"/>
      <w:bookmarkStart w:id="396" w:name="_Toc151193847"/>
      <w:bookmarkStart w:id="397" w:name="_Toc127151734"/>
      <w:bookmarkStart w:id="398" w:name="_Toc164608647"/>
      <w:bookmarkStart w:id="399" w:name="_Toc164229228"/>
      <w:bookmarkStart w:id="400" w:name="_Toc226309777"/>
      <w:bookmarkStart w:id="401" w:name="_Toc164229374"/>
      <w:bookmarkStart w:id="402" w:name="_Toc142311035"/>
      <w:bookmarkStart w:id="403" w:name="_Toc151193703"/>
      <w:r>
        <w:rPr>
          <w:rFonts w:ascii="宋体" w:hAnsi="宋体"/>
          <w:color w:val="auto"/>
          <w:sz w:val="24"/>
          <w:highlight w:val="none"/>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宋体" w:hAnsi="宋体"/>
          <w:color w:val="auto"/>
          <w:sz w:val="24"/>
          <w:highlight w:val="none"/>
        </w:rPr>
        <w:t>、盖章</w:t>
      </w:r>
    </w:p>
    <w:p w14:paraId="639F2CAF">
      <w:pPr>
        <w:numPr>
          <w:ilvl w:val="1"/>
          <w:numId w:val="13"/>
        </w:numPr>
        <w:tabs>
          <w:tab w:val="left" w:pos="1080"/>
          <w:tab w:val="left" w:pos="2014"/>
        </w:tabs>
        <w:snapToGrid w:val="0"/>
        <w:spacing w:line="360" w:lineRule="auto"/>
        <w:ind w:left="1077" w:hanging="720"/>
        <w:rPr>
          <w:color w:val="auto"/>
          <w:sz w:val="24"/>
          <w:highlight w:val="none"/>
        </w:rPr>
      </w:pPr>
      <w:bookmarkStart w:id="404" w:name="_Toc265228372"/>
      <w:bookmarkStart w:id="405" w:name="_Toc226337230"/>
      <w:bookmarkStart w:id="406" w:name="_Toc226965807"/>
      <w:bookmarkStart w:id="407" w:name="_Toc150774634"/>
      <w:bookmarkStart w:id="408" w:name="_Toc150509285"/>
      <w:bookmarkStart w:id="409" w:name="_Toc151193848"/>
      <w:bookmarkStart w:id="410" w:name="_Toc150480772"/>
      <w:bookmarkStart w:id="411" w:name="_Toc520356159"/>
      <w:bookmarkStart w:id="412" w:name="_Toc195842899"/>
      <w:bookmarkStart w:id="413" w:name="_Toc151193776"/>
      <w:bookmarkStart w:id="414" w:name="_Toc150774739"/>
      <w:bookmarkStart w:id="415" w:name="_Toc264969224"/>
      <w:bookmarkStart w:id="416" w:name="_Toc142311036"/>
      <w:bookmarkStart w:id="417" w:name="_Toc151190161"/>
      <w:bookmarkStart w:id="418" w:name="_Toc226965724"/>
      <w:bookmarkStart w:id="419" w:name="_Toc127151534"/>
      <w:bookmarkStart w:id="420" w:name="_Toc151193704"/>
      <w:bookmarkStart w:id="421" w:name="_Toc305158876"/>
      <w:bookmarkStart w:id="422" w:name="_Toc151193922"/>
      <w:bookmarkStart w:id="423" w:name="_Toc151193632"/>
      <w:bookmarkStart w:id="424" w:name="_Toc226309778"/>
      <w:bookmarkStart w:id="425" w:name="_Toc305158802"/>
      <w:r>
        <w:rPr>
          <w:color w:val="auto"/>
          <w:sz w:val="24"/>
          <w:highlight w:val="none"/>
        </w:rPr>
        <w:t>招标文件要求签字的内容（如授权委托书等），可以使用电子签章或使用原件的电子件（电子件指</w:t>
      </w:r>
      <w:r>
        <w:rPr>
          <w:rFonts w:hint="eastAsia"/>
          <w:color w:val="auto"/>
          <w:sz w:val="24"/>
          <w:highlight w:val="none"/>
        </w:rPr>
        <w:t>扫描件、照片等形式电子文件）；要求第三方出具的盖章件原件（如联合协议、分包意向协议、制造商授权书等），投标文件中应使用原件的电子件。</w:t>
      </w:r>
    </w:p>
    <w:p w14:paraId="1F540B6A">
      <w:pPr>
        <w:tabs>
          <w:tab w:val="left" w:pos="900"/>
          <w:tab w:val="left" w:pos="1080"/>
        </w:tabs>
        <w:snapToGrid w:val="0"/>
        <w:spacing w:line="360" w:lineRule="auto"/>
        <w:ind w:left="0"/>
        <w:rPr>
          <w:rFonts w:ascii="宋体" w:hAnsi="宋体"/>
          <w:color w:val="auto"/>
          <w:sz w:val="24"/>
          <w:highlight w:val="none"/>
        </w:rPr>
      </w:pPr>
      <w:r>
        <w:rPr>
          <w:rFonts w:hint="eastAsia"/>
          <w:color w:val="auto"/>
          <w:sz w:val="24"/>
          <w:highlight w:val="none"/>
          <w:lang w:val="en-US" w:eastAsia="zh-CN"/>
        </w:rPr>
        <w:t xml:space="preserve">   14.2</w:t>
      </w:r>
      <w:r>
        <w:rPr>
          <w:color w:val="auto"/>
          <w:sz w:val="24"/>
          <w:highlight w:val="none"/>
        </w:rPr>
        <w:t>招标文件要求盖章的内容，一般通过投标文件编制工具加盖电子签章</w:t>
      </w:r>
    </w:p>
    <w:p w14:paraId="2F6C821B">
      <w:pPr>
        <w:pStyle w:val="2"/>
        <w:spacing w:before="0" w:line="360" w:lineRule="auto"/>
        <w:rPr>
          <w:rFonts w:ascii="宋体" w:hAnsi="宋体" w:eastAsia="宋体"/>
          <w:color w:val="auto"/>
          <w:sz w:val="24"/>
          <w:szCs w:val="24"/>
          <w:highlight w:val="none"/>
        </w:rPr>
      </w:pPr>
      <w:r>
        <w:rPr>
          <w:rFonts w:ascii="宋体" w:hAnsi="宋体" w:eastAsia="宋体"/>
          <w:color w:val="auto"/>
          <w:sz w:val="24"/>
          <w:szCs w:val="24"/>
          <w:highlight w:val="none"/>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0415E65">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投标文件的提交</w:t>
      </w:r>
    </w:p>
    <w:p w14:paraId="10445B95">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本项目使用</w:t>
      </w:r>
      <w:r>
        <w:rPr>
          <w:rFonts w:hint="eastAsia"/>
          <w:color w:val="auto"/>
          <w:sz w:val="24"/>
          <w:highlight w:val="none"/>
        </w:rPr>
        <w:t>北京市政府采购电子交易平台</w:t>
      </w:r>
      <w:r>
        <w:rPr>
          <w:color w:val="auto"/>
          <w:sz w:val="24"/>
          <w:highlight w:val="none"/>
        </w:rPr>
        <w:t>。投标人根据招标文件及电子交易平台供应商操作手册要求编制、生成并提交电子投标文件。</w:t>
      </w:r>
    </w:p>
    <w:p w14:paraId="61D30CFA">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采购人及采购代理机构拒绝接受通过电子交易平台以外任何形式提交的投标文件，投标保证金除外。</w:t>
      </w:r>
    </w:p>
    <w:p w14:paraId="3485F6FD">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投标截止时间</w:t>
      </w:r>
    </w:p>
    <w:p w14:paraId="3CBD71A3">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投标人应在招标文件要求提</w:t>
      </w:r>
      <w:r>
        <w:rPr>
          <w:color w:val="auto"/>
          <w:sz w:val="24"/>
          <w:highlight w:val="none"/>
        </w:rPr>
        <w:t>交投标文件截止时间前，将电子投标文件交至电子交易平台。</w:t>
      </w:r>
    </w:p>
    <w:p w14:paraId="19FD1ED4">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投标文件的修改与撤回</w:t>
      </w:r>
    </w:p>
    <w:p w14:paraId="70A6FB4D">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4EB81165">
      <w:pPr>
        <w:numPr>
          <w:ilvl w:val="1"/>
          <w:numId w:val="13"/>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投标人对投标文件的补充、修改的内容应当按照招标文件要求签署、盖章，作为投标文件的组成部分。</w:t>
      </w:r>
    </w:p>
    <w:p w14:paraId="2044C0B5">
      <w:pPr>
        <w:rPr>
          <w:color w:val="auto"/>
          <w:highlight w:val="none"/>
        </w:rPr>
      </w:pPr>
    </w:p>
    <w:p w14:paraId="553407F8">
      <w:pPr>
        <w:pStyle w:val="2"/>
        <w:spacing w:before="0" w:line="360" w:lineRule="auto"/>
        <w:rPr>
          <w:rFonts w:ascii="宋体" w:hAnsi="宋体" w:eastAsia="宋体"/>
          <w:color w:val="auto"/>
          <w:sz w:val="24"/>
          <w:szCs w:val="24"/>
          <w:highlight w:val="none"/>
        </w:rPr>
      </w:pPr>
      <w:bookmarkStart w:id="426" w:name="_Toc226965811"/>
      <w:bookmarkStart w:id="427" w:name="_Toc151193852"/>
      <w:bookmarkStart w:id="428" w:name="_Toc127151538"/>
      <w:bookmarkStart w:id="429" w:name="_Toc520356163"/>
      <w:bookmarkStart w:id="430" w:name="_Toc264969228"/>
      <w:bookmarkStart w:id="431" w:name="_Toc142311040"/>
      <w:bookmarkStart w:id="432" w:name="_Toc150509289"/>
      <w:bookmarkStart w:id="433" w:name="_Toc151193926"/>
      <w:bookmarkStart w:id="434" w:name="_Toc226337234"/>
      <w:bookmarkStart w:id="435" w:name="_Toc150774638"/>
      <w:bookmarkStart w:id="436" w:name="_Toc151193708"/>
      <w:bookmarkStart w:id="437" w:name="_Toc150774743"/>
      <w:bookmarkStart w:id="438" w:name="_Toc151193636"/>
      <w:bookmarkStart w:id="439" w:name="_Toc151193780"/>
      <w:bookmarkStart w:id="440" w:name="_Toc265228376"/>
      <w:bookmarkStart w:id="441" w:name="_Toc151190165"/>
      <w:bookmarkStart w:id="442" w:name="_Toc195842903"/>
      <w:bookmarkStart w:id="443" w:name="_Toc226309782"/>
      <w:bookmarkStart w:id="444" w:name="_Toc305158806"/>
      <w:bookmarkStart w:id="445" w:name="_Toc305158880"/>
      <w:bookmarkStart w:id="446" w:name="_Toc226965728"/>
      <w:bookmarkStart w:id="447" w:name="_Toc150480776"/>
      <w:r>
        <w:rPr>
          <w:rFonts w:ascii="宋体" w:hAnsi="宋体" w:eastAsia="宋体"/>
          <w:color w:val="auto"/>
          <w:sz w:val="24"/>
          <w:szCs w:val="24"/>
          <w:highlight w:val="none"/>
        </w:rPr>
        <w:t>五   开标、资格审查及评标</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2D815350">
      <w:pPr>
        <w:numPr>
          <w:ilvl w:val="0"/>
          <w:numId w:val="13"/>
        </w:numPr>
        <w:tabs>
          <w:tab w:val="left" w:pos="360"/>
        </w:tabs>
        <w:snapToGrid w:val="0"/>
        <w:spacing w:line="360" w:lineRule="auto"/>
        <w:ind w:left="357" w:hanging="357"/>
        <w:outlineLvl w:val="1"/>
        <w:rPr>
          <w:color w:val="auto"/>
          <w:sz w:val="24"/>
          <w:highlight w:val="none"/>
        </w:rPr>
      </w:pPr>
      <w:bookmarkStart w:id="448" w:name="_Toc127161453"/>
      <w:bookmarkStart w:id="449" w:name="_Toc520356164"/>
      <w:bookmarkStart w:id="450" w:name="_Toc265228377"/>
      <w:bookmarkStart w:id="451" w:name="_Toc150480777"/>
      <w:bookmarkStart w:id="452" w:name="_Toc142311041"/>
      <w:bookmarkStart w:id="453" w:name="_Toc195842904"/>
      <w:bookmarkStart w:id="454" w:name="_Toc150509290"/>
      <w:bookmarkStart w:id="455" w:name="_Toc150774744"/>
      <w:bookmarkStart w:id="456" w:name="_Toc164229380"/>
      <w:bookmarkStart w:id="457" w:name="_Toc151193781"/>
      <w:bookmarkStart w:id="458" w:name="_Toc226309783"/>
      <w:bookmarkStart w:id="459" w:name="_Toc149720832"/>
      <w:bookmarkStart w:id="460" w:name="_Toc226965812"/>
      <w:bookmarkStart w:id="461" w:name="_Toc150774639"/>
      <w:bookmarkStart w:id="462" w:name="_Toc305158807"/>
      <w:bookmarkStart w:id="463" w:name="_Toc127151740"/>
      <w:bookmarkStart w:id="464" w:name="_Toc305158881"/>
      <w:bookmarkStart w:id="465" w:name="_Toc226965729"/>
      <w:bookmarkStart w:id="466" w:name="_Toc164351633"/>
      <w:bookmarkStart w:id="467" w:name="_Toc151193637"/>
      <w:bookmarkStart w:id="468" w:name="_Toc151193927"/>
      <w:bookmarkStart w:id="469" w:name="_Toc164608808"/>
      <w:bookmarkStart w:id="470" w:name="_Toc151193853"/>
      <w:bookmarkStart w:id="471" w:name="_Toc264969229"/>
      <w:bookmarkStart w:id="472" w:name="_Toc151193709"/>
      <w:bookmarkStart w:id="473" w:name="_Toc164608653"/>
      <w:bookmarkStart w:id="474" w:name="_Toc151190166"/>
      <w:bookmarkStart w:id="475" w:name="_Toc226337235"/>
      <w:bookmarkStart w:id="476" w:name="_Toc164229234"/>
      <w:bookmarkStart w:id="477" w:name="_Toc127151539"/>
      <w:r>
        <w:rPr>
          <w:color w:val="auto"/>
          <w:sz w:val="24"/>
          <w:highlight w:val="none"/>
        </w:rPr>
        <w:t>开标</w:t>
      </w:r>
    </w:p>
    <w:p w14:paraId="33654D80">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505AFF64">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本项目开标使用北京市政府采购电子交易平台。投标人应在规定的时间内对投标文件进行解密，因非系统原因导致的解密失败，视为</w:t>
      </w:r>
      <w:r>
        <w:rPr>
          <w:b/>
          <w:bCs/>
          <w:color w:val="auto"/>
          <w:sz w:val="24"/>
          <w:highlight w:val="none"/>
        </w:rPr>
        <w:t>投标无效</w:t>
      </w:r>
      <w:r>
        <w:rPr>
          <w:color w:val="auto"/>
          <w:sz w:val="24"/>
          <w:highlight w:val="none"/>
        </w:rPr>
        <w:t>。</w:t>
      </w:r>
    </w:p>
    <w:p w14:paraId="4E048724">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开标过程将使用电子交易平台宣布投标人名称、投标价格和招标文件规定的需要宣布的其他内容并进行记录，并由参加开标的各投标人确认。投标人未在规定时间内</w:t>
      </w:r>
      <w:r>
        <w:rPr>
          <w:rFonts w:hint="eastAsia"/>
          <w:color w:val="auto"/>
          <w:sz w:val="24"/>
          <w:highlight w:val="none"/>
        </w:rPr>
        <w:t>提</w:t>
      </w:r>
      <w:r>
        <w:rPr>
          <w:color w:val="auto"/>
          <w:sz w:val="24"/>
          <w:highlight w:val="none"/>
        </w:rPr>
        <w:t>出疑义或确认一览表的，视同认可开标结果。</w:t>
      </w:r>
    </w:p>
    <w:p w14:paraId="1EC15023">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w:t>
      </w:r>
      <w:r>
        <w:rPr>
          <w:rFonts w:hint="eastAsia"/>
          <w:color w:val="auto"/>
          <w:sz w:val="24"/>
          <w:highlight w:val="none"/>
        </w:rPr>
        <w:t>相关工作人员有需要回避的情形的，应当场提</w:t>
      </w:r>
      <w:r>
        <w:rPr>
          <w:color w:val="auto"/>
          <w:sz w:val="24"/>
          <w:highlight w:val="none"/>
        </w:rPr>
        <w:t>出询问或者回避申请。采购人、采购代理机构对投标人</w:t>
      </w:r>
      <w:r>
        <w:rPr>
          <w:rFonts w:hint="eastAsia"/>
          <w:color w:val="auto"/>
          <w:sz w:val="24"/>
          <w:highlight w:val="none"/>
        </w:rPr>
        <w:t>提</w:t>
      </w:r>
      <w:r>
        <w:rPr>
          <w:color w:val="auto"/>
          <w:sz w:val="24"/>
          <w:highlight w:val="none"/>
        </w:rPr>
        <w:t>出的询问或者回避申请将及时处理。</w:t>
      </w:r>
    </w:p>
    <w:p w14:paraId="792C234E">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17578AA8">
      <w:pPr>
        <w:numPr>
          <w:ilvl w:val="0"/>
          <w:numId w:val="13"/>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146F0642">
      <w:pPr>
        <w:numPr>
          <w:ilvl w:val="1"/>
          <w:numId w:val="13"/>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72F02D05">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478" w:name="_Toc151190167"/>
      <w:bookmarkStart w:id="479" w:name="_Toc226965730"/>
      <w:bookmarkStart w:id="480" w:name="_Toc164351634"/>
      <w:bookmarkStart w:id="481" w:name="_Toc151193638"/>
      <w:bookmarkStart w:id="482" w:name="_Toc150509291"/>
      <w:bookmarkStart w:id="483" w:name="_Toc151193854"/>
      <w:bookmarkStart w:id="484" w:name="_Toc150480778"/>
      <w:bookmarkStart w:id="485" w:name="_Toc226337236"/>
      <w:bookmarkStart w:id="486" w:name="_Toc164229381"/>
      <w:bookmarkStart w:id="487" w:name="_Toc265228378"/>
      <w:bookmarkStart w:id="488" w:name="_Toc226965813"/>
      <w:bookmarkStart w:id="489" w:name="_Toc226309784"/>
      <w:bookmarkStart w:id="490" w:name="_Toc164608654"/>
      <w:bookmarkStart w:id="491" w:name="_Toc151193782"/>
      <w:bookmarkStart w:id="492" w:name="_Toc264969230"/>
      <w:bookmarkStart w:id="493" w:name="_Toc127151540"/>
      <w:bookmarkStart w:id="494" w:name="_Toc149720833"/>
      <w:bookmarkStart w:id="495" w:name="_Toc142311042"/>
      <w:bookmarkStart w:id="496" w:name="_Toc127161454"/>
      <w:bookmarkStart w:id="497" w:name="_Toc127151741"/>
      <w:bookmarkStart w:id="498" w:name="_Toc164608809"/>
      <w:bookmarkStart w:id="499" w:name="_Toc164229235"/>
      <w:bookmarkStart w:id="500" w:name="_Toc150774640"/>
      <w:bookmarkStart w:id="501" w:name="_Toc151193928"/>
      <w:bookmarkStart w:id="502" w:name="_Toc305158808"/>
      <w:bookmarkStart w:id="503" w:name="_Toc195842905"/>
      <w:bookmarkStart w:id="504" w:name="_Toc305158882"/>
      <w:bookmarkStart w:id="505" w:name="_Toc150774745"/>
      <w:bookmarkStart w:id="506" w:name="_Toc151193710"/>
      <w:r>
        <w:rPr>
          <w:rFonts w:ascii="宋体" w:hAnsi="宋体"/>
          <w:color w:val="auto"/>
          <w:sz w:val="24"/>
          <w:highlight w:val="none"/>
        </w:rPr>
        <w:t>评标委员会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48962D7A">
      <w:pPr>
        <w:numPr>
          <w:ilvl w:val="1"/>
          <w:numId w:val="13"/>
        </w:numPr>
        <w:tabs>
          <w:tab w:val="left" w:pos="1080"/>
          <w:tab w:val="left" w:pos="2014"/>
        </w:tabs>
        <w:snapToGrid w:val="0"/>
        <w:spacing w:line="360" w:lineRule="auto"/>
        <w:ind w:left="1077" w:hanging="720"/>
        <w:rPr>
          <w:rFonts w:ascii="宋体" w:hAnsi="宋体" w:eastAsia="宋体"/>
          <w:color w:val="auto"/>
          <w:sz w:val="24"/>
          <w:highlight w:val="none"/>
        </w:rPr>
      </w:pPr>
      <w:r>
        <w:rPr>
          <w:rFonts w:ascii="宋体" w:hAnsi="宋体" w:eastAsia="宋体"/>
          <w:color w:val="auto"/>
          <w:sz w:val="24"/>
          <w:highlight w:val="none"/>
        </w:rPr>
        <w:t>评标委员会根据政府采购有关规定和本次招标采购项目的特点进行组建，并负责具体评标事务，独立履行职责。</w:t>
      </w:r>
      <w:bookmarkStart w:id="507" w:name="_Toc520356166"/>
      <w:r>
        <w:rPr>
          <w:rFonts w:ascii="宋体" w:hAnsi="宋体" w:eastAsia="宋体"/>
          <w:color w:val="auto"/>
          <w:sz w:val="24"/>
          <w:highlight w:val="none"/>
        </w:rPr>
        <w:t>评标委员会根据政府采购有关规定和本次招标采购项目的特点进行组建，并负责具体评标事务，独立履行职责。</w:t>
      </w:r>
      <w:r>
        <w:rPr>
          <w:rFonts w:hint="eastAsia" w:ascii="宋体" w:hAnsi="宋体"/>
          <w:color w:val="auto"/>
          <w:sz w:val="24"/>
          <w:highlight w:val="none"/>
          <w:lang w:val="en-US" w:eastAsia="zh-CN"/>
        </w:rPr>
        <w:t>评标委员会由</w:t>
      </w:r>
      <w:r>
        <w:rPr>
          <w:rFonts w:hint="eastAsia" w:ascii="宋体" w:hAnsi="宋体" w:eastAsia="宋体"/>
          <w:color w:val="auto"/>
          <w:sz w:val="24"/>
          <w:highlight w:val="none"/>
        </w:rPr>
        <w:t>采购人代表、技术、经济专家</w:t>
      </w:r>
      <w:r>
        <w:rPr>
          <w:rFonts w:hint="eastAsia" w:ascii="宋体" w:hAnsi="宋体"/>
          <w:color w:val="auto"/>
          <w:sz w:val="24"/>
          <w:highlight w:val="none"/>
          <w:lang w:val="en-US" w:eastAsia="zh-CN"/>
        </w:rPr>
        <w:t>等组成，其中</w:t>
      </w:r>
      <w:r>
        <w:rPr>
          <w:rFonts w:hint="eastAsia" w:ascii="宋体" w:hAnsi="宋体" w:eastAsia="宋体"/>
          <w:color w:val="auto"/>
          <w:sz w:val="24"/>
          <w:highlight w:val="none"/>
        </w:rPr>
        <w:t>技术、经济专家</w:t>
      </w:r>
      <w:r>
        <w:rPr>
          <w:rFonts w:hint="eastAsia" w:ascii="宋体" w:hAnsi="宋体"/>
          <w:color w:val="auto"/>
          <w:sz w:val="24"/>
          <w:highlight w:val="none"/>
          <w:lang w:val="en-US" w:eastAsia="zh-CN"/>
        </w:rPr>
        <w:t>不低于总人数的2/3</w:t>
      </w:r>
      <w:r>
        <w:rPr>
          <w:rFonts w:hint="eastAsia" w:ascii="宋体" w:hAnsi="宋体" w:eastAsia="宋体"/>
          <w:color w:val="auto"/>
          <w:sz w:val="24"/>
          <w:highlight w:val="none"/>
        </w:rPr>
        <w:t>，专家从北京市评标专家库中随机抽取</w:t>
      </w:r>
      <w:r>
        <w:rPr>
          <w:rFonts w:hint="eastAsia" w:ascii="宋体" w:hAnsi="宋体"/>
          <w:color w:val="auto"/>
          <w:sz w:val="24"/>
          <w:highlight w:val="none"/>
          <w:lang w:eastAsia="zh-CN"/>
        </w:rPr>
        <w:t>。</w:t>
      </w:r>
    </w:p>
    <w:p w14:paraId="70D1FEFE">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7"/>
      <w:bookmarkStart w:id="508" w:name="_Toc520356169"/>
    </w:p>
    <w:p w14:paraId="478DABED">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评标程序、评标方法和评标标准</w:t>
      </w:r>
    </w:p>
    <w:p w14:paraId="6A436348">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见第四章《评标程序、评标方法和评标标准》。</w:t>
      </w:r>
    </w:p>
    <w:p w14:paraId="21EEE6F1">
      <w:pPr>
        <w:tabs>
          <w:tab w:val="left" w:pos="360"/>
          <w:tab w:val="left" w:pos="1080"/>
        </w:tabs>
        <w:snapToGrid w:val="0"/>
        <w:spacing w:line="360" w:lineRule="auto"/>
        <w:ind w:left="1080"/>
        <w:rPr>
          <w:rFonts w:ascii="宋体" w:hAnsi="宋体"/>
          <w:color w:val="auto"/>
          <w:sz w:val="24"/>
          <w:highlight w:val="none"/>
        </w:rPr>
      </w:pPr>
    </w:p>
    <w:p w14:paraId="3DF488B5">
      <w:pPr>
        <w:pStyle w:val="2"/>
        <w:spacing w:before="0" w:line="360" w:lineRule="auto"/>
        <w:rPr>
          <w:rFonts w:ascii="宋体" w:hAnsi="宋体" w:eastAsia="宋体"/>
          <w:color w:val="auto"/>
          <w:sz w:val="24"/>
          <w:szCs w:val="24"/>
          <w:highlight w:val="none"/>
        </w:rPr>
      </w:pPr>
      <w:bookmarkStart w:id="509" w:name="_Toc305158813"/>
      <w:bookmarkStart w:id="510" w:name="_Toc265228383"/>
      <w:bookmarkStart w:id="511" w:name="_Toc151193859"/>
      <w:bookmarkStart w:id="512" w:name="_Toc226965735"/>
      <w:bookmarkStart w:id="513" w:name="_Toc305158887"/>
      <w:bookmarkStart w:id="514" w:name="_Toc226337241"/>
      <w:bookmarkStart w:id="515" w:name="_Toc150774645"/>
      <w:bookmarkStart w:id="516" w:name="_Toc150509296"/>
      <w:bookmarkStart w:id="517" w:name="_Toc151193933"/>
      <w:bookmarkStart w:id="518" w:name="_Toc151193715"/>
      <w:bookmarkStart w:id="519" w:name="_Toc226965818"/>
      <w:bookmarkStart w:id="520" w:name="_Toc151193787"/>
      <w:bookmarkStart w:id="521" w:name="_Toc150480783"/>
      <w:bookmarkStart w:id="522" w:name="_Toc195842910"/>
      <w:bookmarkStart w:id="523" w:name="_Toc150774750"/>
      <w:bookmarkStart w:id="524" w:name="_Toc226309789"/>
      <w:bookmarkStart w:id="525" w:name="_Toc142311047"/>
      <w:bookmarkStart w:id="526" w:name="_Toc264969235"/>
      <w:bookmarkStart w:id="527" w:name="_Toc151193643"/>
      <w:bookmarkStart w:id="528" w:name="_Toc127151545"/>
      <w:bookmarkStart w:id="529" w:name="_Toc151190172"/>
      <w:r>
        <w:rPr>
          <w:rFonts w:ascii="宋体" w:hAnsi="宋体" w:eastAsia="宋体"/>
          <w:color w:val="auto"/>
          <w:sz w:val="24"/>
          <w:szCs w:val="24"/>
          <w:highlight w:val="none"/>
        </w:rPr>
        <w:t xml:space="preserve">六   </w:t>
      </w:r>
      <w:bookmarkEnd w:id="508"/>
      <w:r>
        <w:rPr>
          <w:rFonts w:ascii="宋体" w:hAnsi="宋体" w:eastAsia="宋体"/>
          <w:color w:val="auto"/>
          <w:sz w:val="24"/>
          <w:szCs w:val="24"/>
          <w:highlight w:val="none"/>
        </w:rPr>
        <w:t>确定中标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Start w:id="530" w:name="_Toc305158889"/>
      <w:bookmarkStart w:id="531" w:name="_Toc226309791"/>
      <w:bookmarkStart w:id="532" w:name="_Toc127151547"/>
      <w:bookmarkStart w:id="533" w:name="_Toc151193789"/>
      <w:bookmarkStart w:id="534" w:name="_Toc142311049"/>
      <w:bookmarkStart w:id="535" w:name="_Toc305158815"/>
      <w:bookmarkStart w:id="536" w:name="_Toc149720840"/>
      <w:bookmarkStart w:id="537" w:name="_Toc151193861"/>
      <w:bookmarkStart w:id="538" w:name="_Toc195842912"/>
      <w:bookmarkStart w:id="539" w:name="_Toc151193935"/>
      <w:bookmarkStart w:id="540" w:name="_Toc127161461"/>
      <w:bookmarkStart w:id="541" w:name="_Toc164608661"/>
      <w:bookmarkStart w:id="542" w:name="_Toc151190174"/>
      <w:bookmarkStart w:id="543" w:name="_Toc164351641"/>
      <w:bookmarkStart w:id="544" w:name="_Toc264969237"/>
      <w:bookmarkStart w:id="545" w:name="_Toc150480785"/>
      <w:bookmarkStart w:id="546" w:name="_Toc265228385"/>
      <w:bookmarkStart w:id="547" w:name="_Toc164608816"/>
      <w:bookmarkStart w:id="548" w:name="_Toc151193645"/>
      <w:bookmarkStart w:id="549" w:name="_Toc226965820"/>
      <w:bookmarkStart w:id="550" w:name="_Toc164229242"/>
      <w:bookmarkStart w:id="551" w:name="_Toc150774752"/>
      <w:bookmarkStart w:id="552" w:name="_Toc164229388"/>
      <w:bookmarkStart w:id="553" w:name="_Toc226965737"/>
      <w:bookmarkStart w:id="554" w:name="_Toc127151748"/>
      <w:bookmarkStart w:id="555" w:name="_Toc151193717"/>
      <w:bookmarkStart w:id="556" w:name="_Toc226337243"/>
      <w:bookmarkStart w:id="557" w:name="_Toc150774647"/>
      <w:bookmarkStart w:id="558" w:name="_Toc150509298"/>
    </w:p>
    <w:p w14:paraId="55652239">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确定中标人</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7C48E6BA">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4"/>
          <w:highlight w:val="none"/>
        </w:rPr>
        <w:t>.</w:t>
      </w:r>
    </w:p>
    <w:p w14:paraId="3BCD12E6">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559" w:name="_Toc305158891"/>
      <w:bookmarkStart w:id="560" w:name="_Toc305158817"/>
      <w:bookmarkStart w:id="561" w:name="_Toc151193863"/>
      <w:bookmarkStart w:id="562" w:name="_Toc151193791"/>
      <w:bookmarkStart w:id="563" w:name="_Toc150774649"/>
      <w:bookmarkStart w:id="564" w:name="_Toc226309793"/>
      <w:bookmarkStart w:id="565" w:name="_Toc226337245"/>
      <w:bookmarkStart w:id="566" w:name="_Toc226965822"/>
      <w:bookmarkStart w:id="567" w:name="_Toc127161463"/>
      <w:bookmarkStart w:id="568" w:name="_Toc127151549"/>
      <w:bookmarkStart w:id="569" w:name="_Toc164229244"/>
      <w:bookmarkStart w:id="570" w:name="_Toc265228387"/>
      <w:bookmarkStart w:id="571" w:name="_Toc195842914"/>
      <w:bookmarkStart w:id="572" w:name="_Toc142311051"/>
      <w:bookmarkStart w:id="573" w:name="_Toc150774754"/>
      <w:bookmarkStart w:id="574" w:name="_Toc164608663"/>
      <w:bookmarkStart w:id="575" w:name="_Toc226965739"/>
      <w:bookmarkStart w:id="576" w:name="_Toc264969239"/>
      <w:bookmarkStart w:id="577" w:name="_Toc151193937"/>
      <w:bookmarkStart w:id="578" w:name="_Toc151193647"/>
      <w:bookmarkStart w:id="579" w:name="_Toc149720842"/>
      <w:bookmarkStart w:id="580" w:name="_Toc150480787"/>
      <w:bookmarkStart w:id="581" w:name="_Toc151190176"/>
      <w:bookmarkStart w:id="582" w:name="_Toc164229390"/>
      <w:bookmarkStart w:id="583" w:name="_Toc127151750"/>
      <w:bookmarkStart w:id="584" w:name="_Toc150509300"/>
      <w:bookmarkStart w:id="585" w:name="_Toc164608818"/>
      <w:bookmarkStart w:id="586" w:name="_Toc164351643"/>
      <w:bookmarkStart w:id="587" w:name="_Toc151193719"/>
      <w:bookmarkStart w:id="588" w:name="_Ref467306425"/>
      <w:bookmarkStart w:id="589" w:name="_Toc520356176"/>
      <w:bookmarkStart w:id="590" w:name="_Ref467307090"/>
      <w:r>
        <w:rPr>
          <w:rFonts w:ascii="宋体" w:hAnsi="宋体"/>
          <w:color w:val="auto"/>
          <w:sz w:val="24"/>
          <w:highlight w:val="none"/>
        </w:rPr>
        <w:t>中标公告与中标通知书</w:t>
      </w:r>
      <w:bookmarkEnd w:id="559"/>
      <w:bookmarkEnd w:id="560"/>
    </w:p>
    <w:p w14:paraId="59FE1BE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w:t>
      </w:r>
      <w:r>
        <w:rPr>
          <w:rFonts w:hint="eastAsia" w:ascii="宋体" w:hAnsi="宋体"/>
          <w:color w:val="auto"/>
          <w:kern w:val="0"/>
          <w:sz w:val="24"/>
          <w:highlight w:val="none"/>
        </w:rPr>
        <w:t>北京市政府采购网</w:t>
      </w:r>
      <w:r>
        <w:rPr>
          <w:rFonts w:ascii="宋体" w:hAnsi="宋体"/>
          <w:color w:val="auto"/>
          <w:kern w:val="0"/>
          <w:sz w:val="24"/>
          <w:highlight w:val="none"/>
        </w:rPr>
        <w:t>公告中标结果</w:t>
      </w:r>
      <w:r>
        <w:rPr>
          <w:rFonts w:ascii="宋体" w:hAnsi="宋体"/>
          <w:color w:val="auto"/>
          <w:sz w:val="24"/>
          <w:highlight w:val="none"/>
        </w:rPr>
        <w:t>，</w:t>
      </w:r>
      <w:r>
        <w:rPr>
          <w:rFonts w:hint="eastAsia" w:ascii="宋体" w:hAnsi="宋体"/>
          <w:color w:val="auto"/>
          <w:sz w:val="24"/>
          <w:highlight w:val="none"/>
        </w:rPr>
        <w:t>同时向中标人发出中标通知书，</w:t>
      </w:r>
      <w:r>
        <w:rPr>
          <w:rFonts w:ascii="宋体" w:hAnsi="宋体"/>
          <w:color w:val="auto"/>
          <w:sz w:val="24"/>
          <w:highlight w:val="none"/>
        </w:rPr>
        <w:t>中标公告期限为1个工作日。</w:t>
      </w:r>
    </w:p>
    <w:p w14:paraId="718E8C63">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中标通知书对采购人和中标供应商均具有法律效力。中标通知书发出后，采购人改变中标结果的，或者中标供应商放弃中标项目的，应当依法承担法律责任。</w:t>
      </w:r>
    </w:p>
    <w:p w14:paraId="12523E6E">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废标</w:t>
      </w:r>
    </w:p>
    <w:p w14:paraId="0E0366E0">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在招标采购中，出现下列情形之一的，应予废标：</w:t>
      </w:r>
    </w:p>
    <w:p w14:paraId="34E75221">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符合专业条件的供应商或者对招标文件作实质响应的供应商不足三家的；</w:t>
      </w:r>
    </w:p>
    <w:p w14:paraId="4ED0A091">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出现影响采购公正的违法、违规行为的；</w:t>
      </w:r>
    </w:p>
    <w:p w14:paraId="6F2F2504">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投标人的报价均超过了采购预算，采购人不能支付的；</w:t>
      </w:r>
    </w:p>
    <w:p w14:paraId="20C415EE">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因重大变故，采购任务取消的。</w:t>
      </w:r>
    </w:p>
    <w:p w14:paraId="0BB2127C">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废标后，采购人将废标理由通知所有投标人。</w:t>
      </w:r>
    </w:p>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14:paraId="7A3916DE">
      <w:pPr>
        <w:numPr>
          <w:ilvl w:val="0"/>
          <w:numId w:val="13"/>
        </w:numPr>
        <w:tabs>
          <w:tab w:val="left" w:pos="360"/>
        </w:tabs>
        <w:snapToGrid w:val="0"/>
        <w:spacing w:line="360" w:lineRule="auto"/>
        <w:ind w:left="357" w:hanging="357"/>
        <w:outlineLvl w:val="1"/>
        <w:rPr>
          <w:rFonts w:ascii="宋体" w:hAnsi="宋体"/>
          <w:color w:val="auto"/>
          <w:sz w:val="24"/>
          <w:highlight w:val="none"/>
        </w:rPr>
      </w:pPr>
      <w:bookmarkStart w:id="591" w:name="_Ref467307204"/>
      <w:bookmarkStart w:id="592" w:name="_Toc151193864"/>
      <w:bookmarkStart w:id="593" w:name="_Ref467306978"/>
      <w:bookmarkStart w:id="594" w:name="_Toc150480788"/>
      <w:bookmarkStart w:id="595" w:name="_Toc151193938"/>
      <w:bookmarkStart w:id="596" w:name="_Toc226337246"/>
      <w:bookmarkStart w:id="597" w:name="_Toc265228388"/>
      <w:bookmarkStart w:id="598" w:name="_Toc127161464"/>
      <w:bookmarkStart w:id="599" w:name="_Toc164229391"/>
      <w:bookmarkStart w:id="600" w:name="_Toc226309794"/>
      <w:bookmarkStart w:id="601" w:name="_Toc195842915"/>
      <w:bookmarkStart w:id="602" w:name="_Toc151190177"/>
      <w:bookmarkStart w:id="603" w:name="_Toc164608664"/>
      <w:bookmarkStart w:id="604" w:name="_Toc226965740"/>
      <w:bookmarkStart w:id="605" w:name="_Toc520356175"/>
      <w:bookmarkStart w:id="606" w:name="_Toc226965823"/>
      <w:bookmarkStart w:id="607" w:name="_Toc164608819"/>
      <w:bookmarkStart w:id="608" w:name="_Toc150774755"/>
      <w:bookmarkStart w:id="609" w:name="_Toc149720843"/>
      <w:bookmarkStart w:id="610" w:name="_Toc150509301"/>
      <w:bookmarkStart w:id="611" w:name="_Toc150774650"/>
      <w:bookmarkStart w:id="612" w:name="_Toc151193720"/>
      <w:bookmarkStart w:id="613" w:name="_Ref467307062"/>
      <w:bookmarkStart w:id="614" w:name="_Toc151193792"/>
      <w:bookmarkStart w:id="615" w:name="_Toc164229245"/>
      <w:bookmarkStart w:id="616" w:name="_Toc127151550"/>
      <w:bookmarkStart w:id="617" w:name="_Toc127151751"/>
      <w:bookmarkStart w:id="618" w:name="_Toc151193648"/>
      <w:bookmarkStart w:id="619" w:name="_Toc305158892"/>
      <w:bookmarkStart w:id="620" w:name="_Toc142311052"/>
      <w:bookmarkStart w:id="621" w:name="_Ref467306377"/>
      <w:bookmarkStart w:id="622" w:name="_Toc264969240"/>
      <w:bookmarkStart w:id="623" w:name="_Toc164351644"/>
      <w:bookmarkStart w:id="624" w:name="_Toc305158818"/>
      <w:r>
        <w:rPr>
          <w:rFonts w:ascii="宋体" w:hAnsi="宋体"/>
          <w:color w:val="auto"/>
          <w:sz w:val="24"/>
          <w:highlight w:val="none"/>
        </w:rPr>
        <w:t>签订合同</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A817C95">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F517FA5">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14:paraId="700A0ADE">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14:paraId="12CC4DAF">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政府采购合同不能转包。</w:t>
      </w:r>
    </w:p>
    <w:p w14:paraId="5BCF385C">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。中标人就采购项目和分包项目向采购人负责，分包供应商就分包项目承担责任。</w:t>
      </w:r>
    </w:p>
    <w:p w14:paraId="2C43ABC7">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hint="eastAsia"/>
          <w:color w:val="auto"/>
          <w:sz w:val="24"/>
          <w:highlight w:val="none"/>
        </w:rPr>
        <w:t>“政采贷”融资指引：详见《投标人须知资料表》。</w:t>
      </w:r>
    </w:p>
    <w:bookmarkEnd w:id="588"/>
    <w:bookmarkEnd w:id="589"/>
    <w:bookmarkEnd w:id="590"/>
    <w:p w14:paraId="3554C0EA">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询问与质疑</w:t>
      </w:r>
    </w:p>
    <w:p w14:paraId="4D6B2A41">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询问</w:t>
      </w:r>
    </w:p>
    <w:p w14:paraId="7BC907B5">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投标人对政府采购活动事项有疑问的，可依法提出询问，并按《投标人须知资料表》载明的形式送达采购人或采购代理机构。</w:t>
      </w:r>
    </w:p>
    <w:p w14:paraId="299AD54A">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采购人或采购代理机构对供应商依法提出的询问，在3个工作日内作出答复，但答复的内容不得涉及商业秘密。</w:t>
      </w:r>
    </w:p>
    <w:p w14:paraId="6ADA038B">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质疑</w:t>
      </w:r>
    </w:p>
    <w:p w14:paraId="4DC7A21D">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747453D">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质疑函须使用财政部制定的范本文件。</w:t>
      </w:r>
    </w:p>
    <w:p w14:paraId="0EF624B3">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投标人为自然人的，应当由本人签字；投标人为法人或者其他组织的，应当由法定代表人、主要负责人，或者其授权代表签字或者盖章，并加盖公章。</w:t>
      </w:r>
    </w:p>
    <w:p w14:paraId="58DE1908">
      <w:pPr>
        <w:numPr>
          <w:ilvl w:val="2"/>
          <w:numId w:val="13"/>
        </w:numPr>
        <w:snapToGrid w:val="0"/>
        <w:spacing w:line="360" w:lineRule="auto"/>
        <w:rPr>
          <w:rFonts w:ascii="宋体" w:hAnsi="宋体"/>
          <w:color w:val="auto"/>
          <w:sz w:val="24"/>
          <w:highlight w:val="none"/>
        </w:rPr>
      </w:pP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471BF66C">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color w:val="auto"/>
          <w:sz w:val="24"/>
          <w:highlight w:val="none"/>
        </w:rPr>
        <w:t>。</w:t>
      </w:r>
    </w:p>
    <w:p w14:paraId="7D7631B8">
      <w:pPr>
        <w:numPr>
          <w:ilvl w:val="0"/>
          <w:numId w:val="13"/>
        </w:numPr>
        <w:tabs>
          <w:tab w:val="left" w:pos="360"/>
        </w:tabs>
        <w:snapToGrid w:val="0"/>
        <w:spacing w:line="360" w:lineRule="auto"/>
        <w:ind w:left="357" w:hanging="357"/>
        <w:outlineLvl w:val="1"/>
        <w:rPr>
          <w:rFonts w:ascii="宋体" w:hAnsi="宋体"/>
          <w:color w:val="auto"/>
          <w:sz w:val="24"/>
          <w:highlight w:val="none"/>
        </w:rPr>
      </w:pPr>
      <w:r>
        <w:rPr>
          <w:rFonts w:ascii="宋体" w:hAnsi="宋体"/>
          <w:color w:val="auto"/>
          <w:sz w:val="24"/>
          <w:highlight w:val="none"/>
        </w:rPr>
        <w:t>代理费</w:t>
      </w:r>
    </w:p>
    <w:p w14:paraId="4CE93F7A">
      <w:pPr>
        <w:numPr>
          <w:ilvl w:val="1"/>
          <w:numId w:val="13"/>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收费对象、收费标准及缴纳时间见《投标人须知资料表》。由中标人支付的，中标人须一次性向采购代理机构缴纳代理费，投标报价应包含代理费用。</w:t>
      </w:r>
    </w:p>
    <w:p w14:paraId="1415D909">
      <w:pPr>
        <w:spacing w:line="360" w:lineRule="auto"/>
        <w:jc w:val="center"/>
        <w:outlineLvl w:val="0"/>
        <w:rPr>
          <w:rFonts w:ascii="宋体" w:hAnsi="宋体"/>
          <w:b/>
          <w:color w:val="auto"/>
          <w:sz w:val="24"/>
          <w:highlight w:val="none"/>
        </w:rPr>
      </w:pPr>
      <w:bookmarkStart w:id="625" w:name="_Toc150480792"/>
      <w:bookmarkStart w:id="626" w:name="_Toc226337250"/>
      <w:bookmarkStart w:id="627" w:name="_Toc305158822"/>
      <w:bookmarkStart w:id="628" w:name="_Toc226965827"/>
      <w:bookmarkStart w:id="629" w:name="_Toc305158896"/>
      <w:bookmarkStart w:id="630" w:name="_Toc265228392"/>
      <w:bookmarkStart w:id="631" w:name="_Toc127151554"/>
      <w:bookmarkStart w:id="632" w:name="_Toc142311056"/>
      <w:bookmarkStart w:id="633" w:name="_Toc353873934"/>
      <w:bookmarkStart w:id="634" w:name="_Toc353825544"/>
      <w:bookmarkStart w:id="635" w:name="_Toc353873664"/>
      <w:bookmarkStart w:id="636" w:name="_Toc150774759"/>
      <w:bookmarkStart w:id="637" w:name="_Toc264969244"/>
      <w:bookmarkStart w:id="638" w:name="_Toc99301421"/>
      <w:bookmarkStart w:id="639" w:name="_Toc11413"/>
      <w:bookmarkStart w:id="640" w:name="_Toc3761"/>
      <w:r>
        <w:rPr>
          <w:rFonts w:ascii="宋体" w:hAnsi="宋体"/>
          <w:b/>
          <w:color w:val="auto"/>
          <w:sz w:val="24"/>
          <w:highlight w:val="none"/>
        </w:rPr>
        <w:t xml:space="preserve">第三章   </w:t>
      </w:r>
      <w:bookmarkEnd w:id="625"/>
      <w:bookmarkEnd w:id="626"/>
      <w:bookmarkEnd w:id="627"/>
      <w:bookmarkEnd w:id="628"/>
      <w:bookmarkEnd w:id="629"/>
      <w:bookmarkEnd w:id="630"/>
      <w:bookmarkEnd w:id="631"/>
      <w:bookmarkEnd w:id="632"/>
      <w:bookmarkEnd w:id="633"/>
      <w:bookmarkEnd w:id="634"/>
      <w:bookmarkEnd w:id="635"/>
      <w:bookmarkEnd w:id="636"/>
      <w:bookmarkEnd w:id="637"/>
      <w:r>
        <w:rPr>
          <w:rFonts w:ascii="宋体" w:hAnsi="宋体"/>
          <w:b/>
          <w:color w:val="auto"/>
          <w:sz w:val="24"/>
          <w:highlight w:val="none"/>
        </w:rPr>
        <w:t>资格审查</w:t>
      </w:r>
      <w:bookmarkEnd w:id="638"/>
      <w:bookmarkEnd w:id="639"/>
      <w:bookmarkEnd w:id="640"/>
      <w:bookmarkStart w:id="641" w:name="_Toc487900382"/>
    </w:p>
    <w:p w14:paraId="43724CAB">
      <w:pPr>
        <w:tabs>
          <w:tab w:val="left" w:pos="360"/>
          <w:tab w:val="left" w:pos="900"/>
        </w:tabs>
        <w:snapToGrid w:val="0"/>
        <w:spacing w:line="360" w:lineRule="auto"/>
        <w:jc w:val="center"/>
        <w:outlineLvl w:val="1"/>
        <w:rPr>
          <w:rFonts w:ascii="宋体" w:hAnsi="宋体"/>
          <w:b/>
          <w:color w:val="auto"/>
          <w:sz w:val="24"/>
          <w:highlight w:val="none"/>
        </w:rPr>
      </w:pPr>
      <w:bookmarkStart w:id="642" w:name="_Toc99301422"/>
      <w:r>
        <w:rPr>
          <w:rFonts w:ascii="宋体" w:hAnsi="宋体"/>
          <w:b/>
          <w:color w:val="auto"/>
          <w:sz w:val="24"/>
          <w:highlight w:val="none"/>
        </w:rPr>
        <w:t>一、资格审查程序</w:t>
      </w:r>
      <w:bookmarkEnd w:id="642"/>
    </w:p>
    <w:p w14:paraId="63F2DD03">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开标结束后，采购人或采购代理机构将根据《资格审查要求》中的规定，对投标人进行资格审查，并形成资格审查结果。</w:t>
      </w:r>
    </w:p>
    <w:p w14:paraId="1507A5D7">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《资格审查要求》中对格式有要求的，除招标文件另有规定外，均为“实质性格式”文件。</w:t>
      </w:r>
    </w:p>
    <w:p w14:paraId="5768A6ED">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投标人《资格证明文件》有任何一项不符合《资格审查要求》的，资格审查不合格，其</w:t>
      </w:r>
      <w:r>
        <w:rPr>
          <w:rFonts w:ascii="宋体" w:hAnsi="宋体"/>
          <w:b/>
          <w:color w:val="auto"/>
          <w:sz w:val="24"/>
          <w:highlight w:val="none"/>
        </w:rPr>
        <w:t>投标无效</w:t>
      </w:r>
      <w:r>
        <w:rPr>
          <w:rFonts w:ascii="宋体" w:hAnsi="宋体"/>
          <w:color w:val="auto"/>
          <w:sz w:val="24"/>
          <w:highlight w:val="none"/>
        </w:rPr>
        <w:t>。</w:t>
      </w:r>
    </w:p>
    <w:p w14:paraId="490B7CF0">
      <w:pPr>
        <w:numPr>
          <w:ilvl w:val="0"/>
          <w:numId w:val="15"/>
        </w:numPr>
        <w:tabs>
          <w:tab w:val="left" w:pos="426"/>
          <w:tab w:val="left" w:pos="851"/>
          <w:tab w:val="clear" w:pos="900"/>
        </w:tabs>
        <w:snapToGrid w:val="0"/>
        <w:spacing w:line="360" w:lineRule="auto"/>
        <w:ind w:left="426" w:hanging="426"/>
        <w:outlineLvl w:val="1"/>
        <w:rPr>
          <w:rFonts w:ascii="宋体" w:hAnsi="宋体"/>
          <w:color w:val="auto"/>
          <w:sz w:val="24"/>
          <w:highlight w:val="none"/>
        </w:rPr>
      </w:pPr>
      <w:r>
        <w:rPr>
          <w:rFonts w:ascii="宋体" w:hAnsi="宋体"/>
          <w:color w:val="auto"/>
          <w:sz w:val="24"/>
          <w:highlight w:val="none"/>
        </w:rPr>
        <w:t>资格审查合格的投标人不足3家的，不进行评标。</w:t>
      </w:r>
    </w:p>
    <w:p w14:paraId="38B71482">
      <w:pPr>
        <w:widowControl/>
        <w:jc w:val="left"/>
        <w:rPr>
          <w:rFonts w:ascii="宋体" w:hAnsi="宋体"/>
          <w:color w:val="auto"/>
          <w:sz w:val="24"/>
          <w:highlight w:val="none"/>
        </w:rPr>
      </w:pPr>
    </w:p>
    <w:p w14:paraId="52F2307B">
      <w:pPr>
        <w:tabs>
          <w:tab w:val="left" w:pos="360"/>
          <w:tab w:val="left" w:pos="900"/>
        </w:tabs>
        <w:snapToGrid w:val="0"/>
        <w:spacing w:line="360" w:lineRule="auto"/>
        <w:jc w:val="center"/>
        <w:outlineLvl w:val="1"/>
        <w:rPr>
          <w:rFonts w:ascii="宋体" w:hAnsi="宋体"/>
          <w:b/>
          <w:color w:val="auto"/>
          <w:sz w:val="24"/>
          <w:highlight w:val="none"/>
        </w:rPr>
      </w:pPr>
      <w:r>
        <w:rPr>
          <w:rFonts w:ascii="宋体" w:hAnsi="宋体"/>
          <w:b/>
          <w:color w:val="auto"/>
          <w:sz w:val="24"/>
          <w:highlight w:val="none"/>
        </w:rPr>
        <w:t>二、资格审查要求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2126"/>
        <w:gridCol w:w="4822"/>
        <w:gridCol w:w="1639"/>
      </w:tblGrid>
      <w:tr w14:paraId="7D7A7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377" w:type="pct"/>
            <w:vAlign w:val="center"/>
          </w:tcPr>
          <w:p w14:paraId="6209A4EC">
            <w:pPr>
              <w:tabs>
                <w:tab w:val="left" w:pos="1080"/>
              </w:tabs>
              <w:snapToGrid w:val="0"/>
              <w:jc w:val="center"/>
              <w:rPr>
                <w:rFonts w:ascii="宋体" w:hAnsi="宋体"/>
                <w:b/>
                <w:color w:val="auto"/>
                <w:sz w:val="24"/>
                <w:highlight w:val="none"/>
              </w:rPr>
            </w:pPr>
            <w:bookmarkStart w:id="643" w:name="_Hlt487972895"/>
            <w:bookmarkEnd w:id="643"/>
            <w:r>
              <w:rPr>
                <w:rFonts w:ascii="宋体" w:hAnsi="宋体"/>
                <w:b/>
                <w:color w:val="auto"/>
                <w:sz w:val="24"/>
                <w:highlight w:val="none"/>
              </w:rPr>
              <w:t>序号</w:t>
            </w:r>
          </w:p>
        </w:tc>
        <w:tc>
          <w:tcPr>
            <w:tcW w:w="1144" w:type="pct"/>
            <w:vAlign w:val="center"/>
          </w:tcPr>
          <w:p w14:paraId="441FF79A">
            <w:pPr>
              <w:tabs>
                <w:tab w:val="left" w:pos="1080"/>
              </w:tabs>
              <w:snapToGrid w:val="0"/>
              <w:jc w:val="center"/>
              <w:rPr>
                <w:rFonts w:ascii="宋体" w:hAnsi="宋体"/>
                <w:b/>
                <w:color w:val="auto"/>
                <w:sz w:val="24"/>
                <w:highlight w:val="none"/>
              </w:rPr>
            </w:pPr>
            <w:r>
              <w:rPr>
                <w:rFonts w:ascii="宋体" w:hAnsi="宋体"/>
                <w:b/>
                <w:color w:val="auto"/>
                <w:sz w:val="24"/>
                <w:highlight w:val="none"/>
              </w:rPr>
              <w:t>审查因素</w:t>
            </w:r>
          </w:p>
        </w:tc>
        <w:tc>
          <w:tcPr>
            <w:tcW w:w="2595" w:type="pct"/>
            <w:vAlign w:val="center"/>
          </w:tcPr>
          <w:p w14:paraId="74FC4D97">
            <w:pPr>
              <w:tabs>
                <w:tab w:val="left" w:pos="1080"/>
              </w:tabs>
              <w:snapToGrid w:val="0"/>
              <w:jc w:val="center"/>
              <w:rPr>
                <w:rFonts w:ascii="宋体" w:hAnsi="宋体"/>
                <w:b/>
                <w:color w:val="auto"/>
                <w:sz w:val="24"/>
                <w:highlight w:val="none"/>
              </w:rPr>
            </w:pPr>
            <w:r>
              <w:rPr>
                <w:rFonts w:ascii="宋体" w:hAnsi="宋体"/>
                <w:b/>
                <w:color w:val="auto"/>
                <w:sz w:val="24"/>
                <w:highlight w:val="none"/>
              </w:rPr>
              <w:t>审查内容</w:t>
            </w:r>
          </w:p>
        </w:tc>
        <w:tc>
          <w:tcPr>
            <w:tcW w:w="882" w:type="pct"/>
            <w:vAlign w:val="center"/>
          </w:tcPr>
          <w:p w14:paraId="75B12CD1">
            <w:pPr>
              <w:tabs>
                <w:tab w:val="left" w:pos="1080"/>
              </w:tabs>
              <w:snapToGrid w:val="0"/>
              <w:jc w:val="center"/>
              <w:rPr>
                <w:rFonts w:ascii="宋体" w:hAnsi="宋体"/>
                <w:b/>
                <w:color w:val="auto"/>
                <w:sz w:val="24"/>
                <w:highlight w:val="none"/>
              </w:rPr>
            </w:pPr>
            <w:r>
              <w:rPr>
                <w:rFonts w:ascii="宋体" w:hAnsi="宋体"/>
                <w:b/>
                <w:color w:val="auto"/>
                <w:sz w:val="24"/>
                <w:highlight w:val="none"/>
              </w:rPr>
              <w:t>格式要求</w:t>
            </w:r>
          </w:p>
        </w:tc>
      </w:tr>
      <w:tr w14:paraId="525F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D70AB51">
            <w:pPr>
              <w:tabs>
                <w:tab w:val="left" w:pos="1080"/>
              </w:tabs>
              <w:snapToGrid w:val="0"/>
              <w:jc w:val="center"/>
              <w:rPr>
                <w:rFonts w:ascii="宋体" w:hAnsi="宋体"/>
                <w:color w:val="auto"/>
                <w:sz w:val="24"/>
                <w:highlight w:val="none"/>
              </w:rPr>
            </w:pPr>
            <w:r>
              <w:rPr>
                <w:rFonts w:ascii="宋体" w:hAnsi="宋体"/>
                <w:color w:val="auto"/>
                <w:sz w:val="24"/>
                <w:highlight w:val="none"/>
              </w:rPr>
              <w:t>1</w:t>
            </w:r>
          </w:p>
        </w:tc>
        <w:tc>
          <w:tcPr>
            <w:tcW w:w="1144" w:type="pct"/>
            <w:vAlign w:val="center"/>
          </w:tcPr>
          <w:p w14:paraId="7E5404DB">
            <w:pPr>
              <w:tabs>
                <w:tab w:val="left" w:pos="1080"/>
              </w:tabs>
              <w:snapToGrid w:val="0"/>
              <w:rPr>
                <w:rFonts w:ascii="宋体" w:hAnsi="宋体"/>
                <w:color w:val="auto"/>
                <w:sz w:val="24"/>
                <w:highlight w:val="none"/>
              </w:rPr>
            </w:pPr>
            <w:r>
              <w:rPr>
                <w:rFonts w:ascii="宋体" w:hAnsi="宋体"/>
                <w:color w:val="auto"/>
                <w:sz w:val="24"/>
                <w:highlight w:val="none"/>
              </w:rPr>
              <w:t>满足《中华人民共和国政府采购法》第二十二条规定及法律法规的其他规定</w:t>
            </w:r>
          </w:p>
        </w:tc>
        <w:tc>
          <w:tcPr>
            <w:tcW w:w="2595" w:type="pct"/>
            <w:vAlign w:val="center"/>
          </w:tcPr>
          <w:p w14:paraId="2DCAB0EA">
            <w:pPr>
              <w:tabs>
                <w:tab w:val="left" w:pos="1080"/>
              </w:tabs>
              <w:snapToGrid w:val="0"/>
              <w:rPr>
                <w:rFonts w:ascii="宋体" w:hAnsi="宋体"/>
                <w:color w:val="auto"/>
                <w:sz w:val="24"/>
                <w:highlight w:val="none"/>
              </w:rPr>
            </w:pPr>
            <w:r>
              <w:rPr>
                <w:rFonts w:ascii="宋体" w:hAnsi="宋体"/>
                <w:color w:val="auto"/>
                <w:sz w:val="24"/>
                <w:highlight w:val="none"/>
              </w:rPr>
              <w:t>具体规定见第一章《投标邀请》</w:t>
            </w:r>
          </w:p>
        </w:tc>
        <w:tc>
          <w:tcPr>
            <w:tcW w:w="882" w:type="pct"/>
            <w:vAlign w:val="center"/>
          </w:tcPr>
          <w:p w14:paraId="373A2AC2">
            <w:pPr>
              <w:tabs>
                <w:tab w:val="left" w:pos="1080"/>
              </w:tabs>
              <w:snapToGrid w:val="0"/>
              <w:rPr>
                <w:rFonts w:ascii="宋体" w:hAnsi="宋体"/>
                <w:color w:val="auto"/>
                <w:sz w:val="24"/>
                <w:highlight w:val="none"/>
              </w:rPr>
            </w:pPr>
          </w:p>
        </w:tc>
      </w:tr>
      <w:tr w14:paraId="1C2F7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547283A">
            <w:pPr>
              <w:tabs>
                <w:tab w:val="left" w:pos="1080"/>
              </w:tabs>
              <w:snapToGrid w:val="0"/>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1</w:t>
            </w:r>
          </w:p>
        </w:tc>
        <w:tc>
          <w:tcPr>
            <w:tcW w:w="1144" w:type="pct"/>
            <w:vAlign w:val="center"/>
          </w:tcPr>
          <w:p w14:paraId="454D61CE">
            <w:pPr>
              <w:tabs>
                <w:tab w:val="left" w:pos="1080"/>
              </w:tabs>
              <w:snapToGrid w:val="0"/>
              <w:rPr>
                <w:rFonts w:ascii="宋体" w:hAnsi="宋体"/>
                <w:color w:val="auto"/>
                <w:sz w:val="24"/>
                <w:highlight w:val="none"/>
              </w:rPr>
            </w:pPr>
            <w:r>
              <w:rPr>
                <w:rFonts w:ascii="宋体" w:hAnsi="宋体"/>
                <w:color w:val="auto"/>
                <w:sz w:val="24"/>
                <w:highlight w:val="none"/>
              </w:rPr>
              <w:t>营业执照等证明文件</w:t>
            </w:r>
          </w:p>
        </w:tc>
        <w:tc>
          <w:tcPr>
            <w:tcW w:w="2595" w:type="pct"/>
            <w:vAlign w:val="center"/>
          </w:tcPr>
          <w:p w14:paraId="1D92A307">
            <w:pPr>
              <w:tabs>
                <w:tab w:val="left" w:pos="1080"/>
              </w:tabs>
              <w:snapToGrid w:val="0"/>
              <w:rPr>
                <w:rFonts w:ascii="宋体" w:hAnsi="宋体"/>
                <w:color w:val="auto"/>
                <w:sz w:val="24"/>
                <w:highlight w:val="none"/>
              </w:rPr>
            </w:pPr>
            <w:r>
              <w:rPr>
                <w:rFonts w:ascii="宋体" w:hAnsi="宋体"/>
                <w:color w:val="auto"/>
                <w:sz w:val="24"/>
                <w:highlight w:val="none"/>
              </w:rPr>
              <w:t>投标人为企业（包括合伙企业）的，应提供有效的“营业执照”；</w:t>
            </w:r>
          </w:p>
          <w:p w14:paraId="33DD4C1B">
            <w:pPr>
              <w:tabs>
                <w:tab w:val="left" w:pos="1080"/>
              </w:tabs>
              <w:snapToGrid w:val="0"/>
              <w:rPr>
                <w:rFonts w:ascii="宋体" w:hAnsi="宋体"/>
                <w:color w:val="auto"/>
                <w:sz w:val="24"/>
                <w:highlight w:val="none"/>
              </w:rPr>
            </w:pPr>
            <w:r>
              <w:rPr>
                <w:rFonts w:ascii="宋体" w:hAnsi="宋体"/>
                <w:color w:val="auto"/>
                <w:sz w:val="24"/>
                <w:highlight w:val="none"/>
              </w:rPr>
              <w:t>投标人为事业单位的，应提供有效的“事业单位法人证书”；</w:t>
            </w:r>
          </w:p>
          <w:p w14:paraId="78B42F3F">
            <w:pPr>
              <w:tabs>
                <w:tab w:val="left" w:pos="1080"/>
              </w:tabs>
              <w:snapToGrid w:val="0"/>
              <w:rPr>
                <w:rFonts w:ascii="宋体" w:hAnsi="宋体"/>
                <w:color w:val="auto"/>
                <w:sz w:val="24"/>
                <w:highlight w:val="none"/>
              </w:rPr>
            </w:pPr>
            <w:r>
              <w:rPr>
                <w:rFonts w:hint="eastAsia" w:ascii="宋体" w:hAnsi="宋体"/>
                <w:color w:val="auto"/>
                <w:sz w:val="24"/>
                <w:highlight w:val="none"/>
              </w:rPr>
              <w:t>投标人是非企业机构的，应提供有效的“执业许可证”、“登记证书”等证明文件；</w:t>
            </w:r>
          </w:p>
          <w:p w14:paraId="7F724F5B">
            <w:pPr>
              <w:tabs>
                <w:tab w:val="left" w:pos="1080"/>
              </w:tabs>
              <w:snapToGrid w:val="0"/>
              <w:rPr>
                <w:rFonts w:ascii="宋体" w:hAnsi="宋体"/>
                <w:color w:val="auto"/>
                <w:sz w:val="24"/>
                <w:highlight w:val="none"/>
              </w:rPr>
            </w:pPr>
            <w:r>
              <w:rPr>
                <w:rFonts w:ascii="宋体" w:hAnsi="宋体"/>
                <w:color w:val="auto"/>
                <w:sz w:val="24"/>
                <w:highlight w:val="none"/>
              </w:rPr>
              <w:t>投标人是个体工商户的，应提供有效的“个体工商户营业执照”；</w:t>
            </w:r>
          </w:p>
          <w:p w14:paraId="111FAEE1">
            <w:pPr>
              <w:tabs>
                <w:tab w:val="left" w:pos="1080"/>
              </w:tabs>
              <w:snapToGrid w:val="0"/>
              <w:rPr>
                <w:rFonts w:ascii="宋体" w:hAnsi="宋体"/>
                <w:color w:val="auto"/>
                <w:sz w:val="24"/>
                <w:highlight w:val="none"/>
              </w:rPr>
            </w:pPr>
            <w:r>
              <w:rPr>
                <w:rFonts w:ascii="宋体" w:hAnsi="宋体"/>
                <w:color w:val="auto"/>
                <w:sz w:val="24"/>
                <w:highlight w:val="none"/>
              </w:rPr>
              <w:t>投标人是自然人的，应提供有效的自然人身份证明。</w:t>
            </w:r>
          </w:p>
          <w:p w14:paraId="5D4EE9E0">
            <w:pPr>
              <w:keepNext w:val="0"/>
              <w:keepLines w:val="0"/>
              <w:widowControl/>
              <w:suppressLineNumbers w:val="0"/>
              <w:jc w:val="left"/>
              <w:rPr>
                <w:color w:val="auto"/>
                <w:highlight w:val="none"/>
              </w:rPr>
            </w:pPr>
            <w:r>
              <w:rPr>
                <w:rFonts w:hint="eastAsia" w:ascii="宋体" w:hAnsi="宋体"/>
                <w:color w:val="auto"/>
                <w:sz w:val="24"/>
                <w:highlight w:val="none"/>
              </w:rPr>
              <w:t>若本项目允许分支机构参加投标，则分支机构参加投标的，此处可提供该分支机构或其所属法人或其他组织的相应证明文件。</w:t>
            </w:r>
            <w:r>
              <w:rPr>
                <w:rFonts w:ascii="FZShuSong-Z01" w:hAnsi="FZShuSong-Z01" w:eastAsia="FZShuSong-Z01" w:cs="FZShuSong-Z01"/>
                <w:color w:val="auto"/>
                <w:kern w:val="0"/>
                <w:sz w:val="24"/>
                <w:szCs w:val="24"/>
                <w:highlight w:val="none"/>
                <w:lang w:val="en-US" w:eastAsia="zh-CN" w:bidi="ar"/>
              </w:rPr>
              <w:t xml:space="preserve">同时 </w:t>
            </w:r>
          </w:p>
          <w:p w14:paraId="228BEB00">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还应提供其所属法人</w:t>
            </w:r>
            <w:r>
              <w:rPr>
                <w:rFonts w:ascii="DejaVu Sans" w:hAnsi="DejaVu Sans" w:eastAsia="DejaVu Sans" w:cs="DejaVu Sans"/>
                <w:color w:val="auto"/>
                <w:kern w:val="0"/>
                <w:sz w:val="24"/>
                <w:szCs w:val="24"/>
                <w:highlight w:val="none"/>
                <w:lang w:val="en-US" w:eastAsia="zh-CN" w:bidi="ar"/>
              </w:rPr>
              <w:t>/</w:t>
            </w:r>
            <w:r>
              <w:rPr>
                <w:rFonts w:hint="default" w:ascii="FZShuSong-Z01" w:hAnsi="FZShuSong-Z01" w:eastAsia="FZShuSong-Z01" w:cs="FZShuSong-Z01"/>
                <w:color w:val="auto"/>
                <w:kern w:val="0"/>
                <w:sz w:val="24"/>
                <w:szCs w:val="24"/>
                <w:highlight w:val="none"/>
                <w:lang w:val="en-US" w:eastAsia="zh-CN" w:bidi="ar"/>
              </w:rPr>
              <w:t xml:space="preserve">其他组织出具的授权 </w:t>
            </w:r>
          </w:p>
          <w:p w14:paraId="3E8472E1">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其参与本项目的授权书（格式自拟，须加盖 </w:t>
            </w:r>
          </w:p>
          <w:p w14:paraId="34E30818">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其所属法人</w:t>
            </w:r>
            <w:r>
              <w:rPr>
                <w:rFonts w:hint="default" w:ascii="DejaVu Sans" w:hAnsi="DejaVu Sans" w:eastAsia="DejaVu Sans" w:cs="DejaVu Sans"/>
                <w:color w:val="auto"/>
                <w:kern w:val="0"/>
                <w:sz w:val="24"/>
                <w:szCs w:val="24"/>
                <w:highlight w:val="none"/>
                <w:lang w:val="en-US" w:eastAsia="zh-CN" w:bidi="ar"/>
              </w:rPr>
              <w:t>/</w:t>
            </w:r>
            <w:r>
              <w:rPr>
                <w:rFonts w:hint="default" w:ascii="FZShuSong-Z01" w:hAnsi="FZShuSong-Z01" w:eastAsia="FZShuSong-Z01" w:cs="FZShuSong-Z01"/>
                <w:color w:val="auto"/>
                <w:kern w:val="0"/>
                <w:sz w:val="24"/>
                <w:szCs w:val="24"/>
                <w:highlight w:val="none"/>
                <w:lang w:val="en-US" w:eastAsia="zh-CN" w:bidi="ar"/>
              </w:rPr>
              <w:t xml:space="preserve">其他组织的公章）；对于银行、 </w:t>
            </w:r>
          </w:p>
          <w:p w14:paraId="36551475">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保险、石油石化、电力、电信等行业的分支 </w:t>
            </w:r>
          </w:p>
          <w:p w14:paraId="05B55208">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机构，可以提供上述授权，也可以提供其所 </w:t>
            </w:r>
          </w:p>
          <w:p w14:paraId="3CA49E54">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属法人</w:t>
            </w:r>
            <w:r>
              <w:rPr>
                <w:rFonts w:hint="default" w:ascii="DejaVu Sans" w:hAnsi="DejaVu Sans" w:eastAsia="DejaVu Sans" w:cs="DejaVu Sans"/>
                <w:color w:val="auto"/>
                <w:kern w:val="0"/>
                <w:sz w:val="24"/>
                <w:szCs w:val="24"/>
                <w:highlight w:val="none"/>
                <w:lang w:val="en-US" w:eastAsia="zh-CN" w:bidi="ar"/>
              </w:rPr>
              <w:t>/</w:t>
            </w:r>
            <w:r>
              <w:rPr>
                <w:rFonts w:hint="default" w:ascii="FZShuSong-Z01" w:hAnsi="FZShuSong-Z01" w:eastAsia="FZShuSong-Z01" w:cs="FZShuSong-Z01"/>
                <w:color w:val="auto"/>
                <w:kern w:val="0"/>
                <w:sz w:val="24"/>
                <w:szCs w:val="24"/>
                <w:highlight w:val="none"/>
                <w:lang w:val="en-US" w:eastAsia="zh-CN" w:bidi="ar"/>
              </w:rPr>
              <w:t>其他组织的有关文件或制度等能够</w:t>
            </w:r>
            <w:r>
              <w:rPr>
                <w:rFonts w:ascii="FZShuSong-Z01" w:hAnsi="FZShuSong-Z01" w:eastAsia="FZShuSong-Z01" w:cs="FZShuSong-Z01"/>
                <w:color w:val="auto"/>
                <w:kern w:val="0"/>
                <w:sz w:val="24"/>
                <w:szCs w:val="24"/>
                <w:highlight w:val="none"/>
                <w:lang w:val="en-US" w:eastAsia="zh-CN" w:bidi="ar"/>
              </w:rPr>
              <w:t>证明授权其独立开展业务的证明材料。</w:t>
            </w:r>
          </w:p>
          <w:p w14:paraId="12394FFA">
            <w:pPr>
              <w:keepNext w:val="0"/>
              <w:keepLines w:val="0"/>
              <w:widowControl/>
              <w:suppressLineNumbers w:val="0"/>
              <w:jc w:val="left"/>
              <w:rPr>
                <w:color w:val="auto"/>
                <w:highlight w:val="none"/>
              </w:rPr>
            </w:pPr>
          </w:p>
          <w:p w14:paraId="7D8B52D3">
            <w:pPr>
              <w:tabs>
                <w:tab w:val="left" w:pos="1080"/>
              </w:tabs>
              <w:snapToGrid w:val="0"/>
              <w:rPr>
                <w:rFonts w:ascii="宋体" w:hAnsi="宋体"/>
                <w:color w:val="auto"/>
                <w:sz w:val="24"/>
                <w:highlight w:val="none"/>
              </w:rPr>
            </w:pPr>
          </w:p>
        </w:tc>
        <w:tc>
          <w:tcPr>
            <w:tcW w:w="882" w:type="pct"/>
            <w:vAlign w:val="center"/>
          </w:tcPr>
          <w:p w14:paraId="7AE26C59">
            <w:pPr>
              <w:tabs>
                <w:tab w:val="left" w:pos="108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提供证明文 件的电子件 或电子证照</w:t>
            </w:r>
          </w:p>
          <w:p w14:paraId="697BD3CF">
            <w:pPr>
              <w:tabs>
                <w:tab w:val="left" w:pos="1080"/>
              </w:tabs>
              <w:snapToGrid w:val="0"/>
              <w:rPr>
                <w:rFonts w:ascii="宋体" w:hAnsi="宋体"/>
                <w:color w:val="auto"/>
                <w:sz w:val="24"/>
                <w:highlight w:val="none"/>
              </w:rPr>
            </w:pPr>
          </w:p>
        </w:tc>
      </w:tr>
      <w:tr w14:paraId="01DB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47CD4EDD">
            <w:pPr>
              <w:tabs>
                <w:tab w:val="left" w:pos="1080"/>
              </w:tabs>
              <w:snapToGrid w:val="0"/>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2</w:t>
            </w:r>
          </w:p>
        </w:tc>
        <w:tc>
          <w:tcPr>
            <w:tcW w:w="1144" w:type="pct"/>
            <w:vAlign w:val="center"/>
          </w:tcPr>
          <w:p w14:paraId="0305AB60">
            <w:pPr>
              <w:tabs>
                <w:tab w:val="left" w:pos="1080"/>
              </w:tabs>
              <w:snapToGrid w:val="0"/>
              <w:rPr>
                <w:rFonts w:ascii="宋体" w:hAnsi="宋体"/>
                <w:color w:val="auto"/>
                <w:sz w:val="24"/>
                <w:highlight w:val="none"/>
              </w:rPr>
            </w:pPr>
            <w:r>
              <w:rPr>
                <w:rFonts w:ascii="宋体" w:hAnsi="宋体"/>
                <w:color w:val="auto"/>
                <w:sz w:val="24"/>
                <w:highlight w:val="none"/>
              </w:rPr>
              <w:t>投标人资格声明书</w:t>
            </w:r>
          </w:p>
        </w:tc>
        <w:tc>
          <w:tcPr>
            <w:tcW w:w="2595" w:type="pct"/>
            <w:vAlign w:val="center"/>
          </w:tcPr>
          <w:p w14:paraId="316148C4">
            <w:pPr>
              <w:tabs>
                <w:tab w:val="left" w:pos="1080"/>
              </w:tabs>
              <w:snapToGrid w:val="0"/>
              <w:rPr>
                <w:rFonts w:ascii="宋体" w:hAnsi="宋体"/>
                <w:color w:val="auto"/>
                <w:sz w:val="24"/>
                <w:highlight w:val="none"/>
              </w:rPr>
            </w:pPr>
            <w:r>
              <w:rPr>
                <w:rFonts w:ascii="宋体" w:hAnsi="宋体"/>
                <w:color w:val="auto"/>
                <w:sz w:val="24"/>
                <w:highlight w:val="none"/>
              </w:rPr>
              <w:t>提供了符合招标文件要求的《投标人资格声明书》。</w:t>
            </w:r>
          </w:p>
        </w:tc>
        <w:tc>
          <w:tcPr>
            <w:tcW w:w="882" w:type="pct"/>
            <w:vAlign w:val="center"/>
          </w:tcPr>
          <w:p w14:paraId="724D9B94">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6BF4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3C62A59E">
            <w:pPr>
              <w:tabs>
                <w:tab w:val="left" w:pos="1080"/>
              </w:tabs>
              <w:snapToGrid w:val="0"/>
              <w:jc w:val="center"/>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ascii="宋体" w:hAnsi="宋体"/>
                <w:color w:val="auto"/>
                <w:sz w:val="24"/>
                <w:highlight w:val="none"/>
              </w:rPr>
              <w:t>3</w:t>
            </w:r>
          </w:p>
        </w:tc>
        <w:tc>
          <w:tcPr>
            <w:tcW w:w="1144" w:type="pct"/>
            <w:vAlign w:val="center"/>
          </w:tcPr>
          <w:p w14:paraId="783249E0">
            <w:pPr>
              <w:tabs>
                <w:tab w:val="left" w:pos="1080"/>
              </w:tabs>
              <w:snapToGrid w:val="0"/>
              <w:rPr>
                <w:rFonts w:ascii="宋体" w:hAnsi="宋体"/>
                <w:color w:val="auto"/>
                <w:sz w:val="24"/>
                <w:highlight w:val="none"/>
              </w:rPr>
            </w:pPr>
            <w:r>
              <w:rPr>
                <w:rFonts w:ascii="宋体" w:hAnsi="宋体"/>
                <w:color w:val="auto"/>
                <w:sz w:val="24"/>
                <w:highlight w:val="none"/>
              </w:rPr>
              <w:t>投标人信用记录</w:t>
            </w:r>
          </w:p>
        </w:tc>
        <w:tc>
          <w:tcPr>
            <w:tcW w:w="2595" w:type="pct"/>
            <w:vAlign w:val="center"/>
          </w:tcPr>
          <w:p w14:paraId="0EC7DD30">
            <w:pPr>
              <w:keepNext w:val="0"/>
              <w:keepLines w:val="0"/>
              <w:pageBreakBefore w:val="0"/>
              <w:widowControl w:val="0"/>
              <w:tabs>
                <w:tab w:val="left" w:pos="1080"/>
              </w:tabs>
              <w:kinsoku/>
              <w:wordWrap w:val="0"/>
              <w:overflowPunct/>
              <w:topLinePunct w:val="0"/>
              <w:autoSpaceDE/>
              <w:autoSpaceDN/>
              <w:bidi w:val="0"/>
              <w:adjustRightInd/>
              <w:snapToGrid w:val="0"/>
              <w:textAlignment w:val="auto"/>
              <w:rPr>
                <w:rFonts w:ascii="宋体" w:hAnsi="宋体"/>
                <w:color w:val="auto"/>
                <w:sz w:val="24"/>
                <w:highlight w:val="none"/>
              </w:rPr>
            </w:pPr>
            <w:r>
              <w:rPr>
                <w:rFonts w:ascii="宋体" w:hAnsi="宋体"/>
                <w:color w:val="auto"/>
                <w:sz w:val="24"/>
                <w:highlight w:val="none"/>
              </w:rPr>
              <w:t>查询渠道：信用中国网站和中国政府采购网（www.creditchina.gov.cn、www.ccgp.gov.cn）；</w:t>
            </w:r>
          </w:p>
          <w:p w14:paraId="06C65E1B">
            <w:pPr>
              <w:tabs>
                <w:tab w:val="left" w:pos="900"/>
                <w:tab w:val="left" w:pos="1980"/>
              </w:tabs>
              <w:snapToGrid w:val="0"/>
              <w:rPr>
                <w:rFonts w:ascii="宋体" w:hAnsi="宋体"/>
                <w:color w:val="auto"/>
                <w:sz w:val="24"/>
                <w:highlight w:val="none"/>
              </w:rPr>
            </w:pPr>
            <w:r>
              <w:rPr>
                <w:rFonts w:ascii="宋体" w:hAnsi="宋体"/>
                <w:color w:val="auto"/>
                <w:sz w:val="24"/>
                <w:highlight w:val="none"/>
              </w:rPr>
              <w:t>截止时点：投标截止时间以后、</w:t>
            </w:r>
            <w:r>
              <w:rPr>
                <w:rFonts w:hint="eastAsia" w:ascii="宋体" w:hAnsi="宋体"/>
                <w:color w:val="auto"/>
                <w:sz w:val="24"/>
                <w:highlight w:val="none"/>
              </w:rPr>
              <w:t>资格审查阶段采购人或</w:t>
            </w:r>
            <w:r>
              <w:rPr>
                <w:rFonts w:ascii="宋体" w:hAnsi="宋体"/>
                <w:color w:val="auto"/>
                <w:sz w:val="24"/>
                <w:highlight w:val="none"/>
              </w:rPr>
              <w:t>采购代理机构的实际查询时间；</w:t>
            </w:r>
          </w:p>
          <w:p w14:paraId="284E8CD6">
            <w:pPr>
              <w:tabs>
                <w:tab w:val="left" w:pos="900"/>
                <w:tab w:val="left" w:pos="1980"/>
              </w:tabs>
              <w:snapToGrid w:val="0"/>
              <w:rPr>
                <w:rFonts w:ascii="宋体" w:hAnsi="宋体"/>
                <w:color w:val="auto"/>
                <w:sz w:val="24"/>
                <w:highlight w:val="none"/>
              </w:rPr>
            </w:pPr>
            <w:r>
              <w:rPr>
                <w:rFonts w:ascii="宋体" w:hAnsi="宋体"/>
                <w:color w:val="auto"/>
                <w:sz w:val="24"/>
                <w:highlight w:val="none"/>
              </w:rPr>
              <w:t>信用信息查询记录和证据留存具体方式：查询结果网页打印页作为查询记录和证据，与其他采购文件一并保存；</w:t>
            </w:r>
          </w:p>
          <w:p w14:paraId="77A11F2E">
            <w:pPr>
              <w:tabs>
                <w:tab w:val="left" w:pos="1080"/>
              </w:tabs>
              <w:snapToGrid w:val="0"/>
              <w:rPr>
                <w:rFonts w:ascii="宋体" w:hAnsi="宋体"/>
                <w:color w:val="auto"/>
                <w:sz w:val="24"/>
                <w:highlight w:val="none"/>
              </w:rPr>
            </w:pPr>
            <w:r>
              <w:rPr>
                <w:rFonts w:ascii="宋体" w:hAnsi="宋体"/>
                <w:color w:val="auto"/>
                <w:sz w:val="24"/>
                <w:highlight w:val="none"/>
              </w:rPr>
              <w:t>信用信息的使用原则：经认定的被列入失信被执行人、</w:t>
            </w:r>
            <w:r>
              <w:rPr>
                <w:rFonts w:hint="eastAsia" w:ascii="宋体" w:hAnsi="宋体"/>
                <w:color w:val="auto"/>
                <w:sz w:val="24"/>
                <w:highlight w:val="none"/>
                <w:lang w:eastAsia="zh-CN"/>
              </w:rPr>
              <w:t>重大税收违法失信主体名单</w:t>
            </w:r>
            <w:r>
              <w:rPr>
                <w:rFonts w:ascii="宋体" w:hAnsi="宋体"/>
                <w:color w:val="auto"/>
                <w:sz w:val="24"/>
                <w:highlight w:val="none"/>
              </w:rPr>
              <w:t>、政府采购严重违法失信行为记录名单的投标人，其</w:t>
            </w:r>
            <w:r>
              <w:rPr>
                <w:rFonts w:ascii="宋体" w:hAnsi="宋体"/>
                <w:b/>
                <w:color w:val="auto"/>
                <w:sz w:val="24"/>
                <w:highlight w:val="none"/>
              </w:rPr>
              <w:t>投标无效</w:t>
            </w:r>
            <w:r>
              <w:rPr>
                <w:rFonts w:ascii="宋体" w:hAnsi="宋体"/>
                <w:color w:val="auto"/>
                <w:sz w:val="24"/>
                <w:highlight w:val="none"/>
              </w:rPr>
              <w:t>。联合体形式投标的，联合体成员存在不良信用记录，视同联合体存在不良信用记录。</w:t>
            </w:r>
          </w:p>
        </w:tc>
        <w:tc>
          <w:tcPr>
            <w:tcW w:w="882" w:type="pct"/>
            <w:vAlign w:val="center"/>
          </w:tcPr>
          <w:p w14:paraId="13D85673">
            <w:pPr>
              <w:tabs>
                <w:tab w:val="left" w:pos="1080"/>
              </w:tabs>
              <w:snapToGrid w:val="0"/>
              <w:rPr>
                <w:rFonts w:ascii="宋体" w:hAnsi="宋体"/>
                <w:color w:val="auto"/>
                <w:sz w:val="24"/>
                <w:highlight w:val="none"/>
              </w:rPr>
            </w:pPr>
            <w:r>
              <w:rPr>
                <w:rFonts w:ascii="宋体" w:hAnsi="宋体"/>
                <w:color w:val="auto"/>
                <w:sz w:val="24"/>
                <w:highlight w:val="none"/>
              </w:rPr>
              <w:t>投标人提供，由采购人或采购代理机构查询</w:t>
            </w:r>
            <w:r>
              <w:rPr>
                <w:rFonts w:hint="eastAsia" w:ascii="宋体" w:hAnsi="宋体"/>
                <w:color w:val="auto"/>
                <w:sz w:val="24"/>
                <w:highlight w:val="none"/>
              </w:rPr>
              <w:t>核实</w:t>
            </w:r>
            <w:r>
              <w:rPr>
                <w:rFonts w:ascii="宋体" w:hAnsi="宋体"/>
                <w:color w:val="auto"/>
                <w:sz w:val="24"/>
                <w:highlight w:val="none"/>
              </w:rPr>
              <w:t>。</w:t>
            </w:r>
          </w:p>
        </w:tc>
      </w:tr>
      <w:tr w14:paraId="0A127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BB61641">
            <w:pPr>
              <w:tabs>
                <w:tab w:val="left" w:pos="1080"/>
              </w:tabs>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w:t>
            </w:r>
          </w:p>
        </w:tc>
        <w:tc>
          <w:tcPr>
            <w:tcW w:w="1144" w:type="pct"/>
            <w:vAlign w:val="center"/>
          </w:tcPr>
          <w:p w14:paraId="5EF6CFFD">
            <w:pPr>
              <w:keepNext w:val="0"/>
              <w:keepLines w:val="0"/>
              <w:widowControl/>
              <w:suppressLineNumbers w:val="0"/>
              <w:jc w:val="left"/>
              <w:rPr>
                <w:color w:val="auto"/>
                <w:highlight w:val="none"/>
              </w:rPr>
            </w:pPr>
            <w:r>
              <w:rPr>
                <w:rFonts w:ascii="FZShuSong-Z01" w:hAnsi="FZShuSong-Z01" w:eastAsia="FZShuSong-Z01" w:cs="FZShuSong-Z01"/>
                <w:color w:val="auto"/>
                <w:kern w:val="0"/>
                <w:sz w:val="24"/>
                <w:szCs w:val="24"/>
                <w:highlight w:val="none"/>
                <w:lang w:val="en-US" w:eastAsia="zh-CN" w:bidi="ar"/>
              </w:rPr>
              <w:t xml:space="preserve">法律、行政法规 </w:t>
            </w:r>
          </w:p>
          <w:p w14:paraId="1E8EF62D">
            <w:pPr>
              <w:keepNext w:val="0"/>
              <w:keepLines w:val="0"/>
              <w:widowControl/>
              <w:suppressLineNumbers w:val="0"/>
              <w:jc w:val="left"/>
              <w:rPr>
                <w:rFonts w:ascii="宋体" w:hAnsi="宋体"/>
                <w:color w:val="auto"/>
                <w:sz w:val="24"/>
                <w:highlight w:val="none"/>
              </w:rPr>
            </w:pPr>
            <w:r>
              <w:rPr>
                <w:rFonts w:hint="default" w:ascii="FZShuSong-Z01" w:hAnsi="FZShuSong-Z01" w:eastAsia="FZShuSong-Z01" w:cs="FZShuSong-Z01"/>
                <w:color w:val="auto"/>
                <w:kern w:val="0"/>
                <w:sz w:val="24"/>
                <w:szCs w:val="24"/>
                <w:highlight w:val="none"/>
                <w:lang w:val="en-US" w:eastAsia="zh-CN" w:bidi="ar"/>
              </w:rPr>
              <w:t>规定的其他条件</w:t>
            </w:r>
          </w:p>
        </w:tc>
        <w:tc>
          <w:tcPr>
            <w:tcW w:w="2595" w:type="pct"/>
            <w:vAlign w:val="center"/>
          </w:tcPr>
          <w:p w14:paraId="18E9350F">
            <w:pPr>
              <w:keepNext w:val="0"/>
              <w:keepLines w:val="0"/>
              <w:widowControl/>
              <w:suppressLineNumbers w:val="0"/>
              <w:jc w:val="left"/>
              <w:rPr>
                <w:rFonts w:ascii="FZShuSong-Z01" w:hAnsi="FZShuSong-Z01" w:eastAsia="FZShuSong-Z01" w:cs="FZShuSong-Z01"/>
                <w:color w:val="auto"/>
                <w:kern w:val="0"/>
                <w:sz w:val="24"/>
                <w:szCs w:val="24"/>
                <w:highlight w:val="none"/>
                <w:lang w:val="en-US" w:eastAsia="zh-CN" w:bidi="ar"/>
              </w:rPr>
            </w:pPr>
          </w:p>
          <w:p w14:paraId="37597EB3">
            <w:pPr>
              <w:keepNext w:val="0"/>
              <w:keepLines w:val="0"/>
              <w:widowControl/>
              <w:suppressLineNumbers w:val="0"/>
              <w:jc w:val="left"/>
              <w:rPr>
                <w:color w:val="auto"/>
                <w:highlight w:val="none"/>
              </w:rPr>
            </w:pPr>
            <w:r>
              <w:rPr>
                <w:rFonts w:ascii="FZShuSong-Z01" w:hAnsi="FZShuSong-Z01" w:eastAsia="FZShuSong-Z01" w:cs="FZShuSong-Z01"/>
                <w:color w:val="auto"/>
                <w:kern w:val="0"/>
                <w:sz w:val="24"/>
                <w:szCs w:val="24"/>
                <w:highlight w:val="none"/>
                <w:lang w:val="en-US" w:eastAsia="zh-CN" w:bidi="ar"/>
              </w:rPr>
              <w:t>法律、行政法规</w:t>
            </w:r>
            <w:r>
              <w:rPr>
                <w:rFonts w:hint="default" w:ascii="FZShuSong-Z01" w:hAnsi="FZShuSong-Z01" w:eastAsia="FZShuSong-Z01" w:cs="FZShuSong-Z01"/>
                <w:color w:val="auto"/>
                <w:kern w:val="0"/>
                <w:sz w:val="24"/>
                <w:szCs w:val="24"/>
                <w:highlight w:val="none"/>
                <w:lang w:val="en-US" w:eastAsia="zh-CN" w:bidi="ar"/>
              </w:rPr>
              <w:t>规定的其他条件</w:t>
            </w:r>
          </w:p>
          <w:p w14:paraId="5D4F7B7A">
            <w:pPr>
              <w:tabs>
                <w:tab w:val="left" w:pos="1080"/>
              </w:tabs>
              <w:snapToGrid w:val="0"/>
              <w:rPr>
                <w:rFonts w:ascii="宋体" w:hAnsi="宋体"/>
                <w:color w:val="auto"/>
                <w:sz w:val="24"/>
                <w:highlight w:val="none"/>
              </w:rPr>
            </w:pPr>
          </w:p>
        </w:tc>
        <w:tc>
          <w:tcPr>
            <w:tcW w:w="882" w:type="pct"/>
            <w:vAlign w:val="center"/>
          </w:tcPr>
          <w:p w14:paraId="607129EE">
            <w:pPr>
              <w:tabs>
                <w:tab w:val="left" w:pos="1080"/>
              </w:tabs>
              <w:snapToGrid w:val="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r>
      <w:tr w14:paraId="10C9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0479224B">
            <w:pPr>
              <w:tabs>
                <w:tab w:val="left" w:pos="1080"/>
              </w:tabs>
              <w:snapToGrid w:val="0"/>
              <w:jc w:val="center"/>
              <w:rPr>
                <w:rFonts w:ascii="宋体" w:hAnsi="宋体"/>
                <w:color w:val="auto"/>
                <w:sz w:val="24"/>
                <w:highlight w:val="none"/>
              </w:rPr>
            </w:pPr>
            <w:r>
              <w:rPr>
                <w:rFonts w:ascii="宋体" w:hAnsi="宋体"/>
                <w:color w:val="auto"/>
                <w:sz w:val="24"/>
                <w:highlight w:val="none"/>
              </w:rPr>
              <w:t>2</w:t>
            </w:r>
          </w:p>
        </w:tc>
        <w:tc>
          <w:tcPr>
            <w:tcW w:w="1144" w:type="pct"/>
            <w:vAlign w:val="center"/>
          </w:tcPr>
          <w:p w14:paraId="18282733">
            <w:pPr>
              <w:tabs>
                <w:tab w:val="left" w:pos="1080"/>
              </w:tabs>
              <w:snapToGrid w:val="0"/>
              <w:rPr>
                <w:rFonts w:ascii="宋体" w:hAnsi="宋体"/>
                <w:color w:val="auto"/>
                <w:sz w:val="24"/>
                <w:highlight w:val="none"/>
              </w:rPr>
            </w:pPr>
            <w:r>
              <w:rPr>
                <w:rFonts w:ascii="宋体" w:hAnsi="宋体"/>
                <w:color w:val="auto"/>
                <w:sz w:val="24"/>
                <w:highlight w:val="none"/>
              </w:rPr>
              <w:t>落实政府采购政策需满足的资格要求</w:t>
            </w:r>
          </w:p>
        </w:tc>
        <w:tc>
          <w:tcPr>
            <w:tcW w:w="2595" w:type="pct"/>
            <w:vAlign w:val="center"/>
          </w:tcPr>
          <w:p w14:paraId="253E259D">
            <w:pPr>
              <w:tabs>
                <w:tab w:val="left" w:pos="1080"/>
              </w:tabs>
              <w:snapToGrid w:val="0"/>
              <w:rPr>
                <w:rFonts w:ascii="宋体" w:hAnsi="宋体"/>
                <w:color w:val="auto"/>
                <w:sz w:val="24"/>
                <w:highlight w:val="none"/>
              </w:rPr>
            </w:pPr>
            <w:r>
              <w:rPr>
                <w:rFonts w:ascii="宋体" w:hAnsi="宋体"/>
                <w:color w:val="auto"/>
                <w:sz w:val="24"/>
                <w:highlight w:val="none"/>
              </w:rPr>
              <w:t>具体要求见第一章《投标邀请》</w:t>
            </w:r>
          </w:p>
        </w:tc>
        <w:tc>
          <w:tcPr>
            <w:tcW w:w="882" w:type="pct"/>
            <w:vAlign w:val="center"/>
          </w:tcPr>
          <w:p w14:paraId="472E480C">
            <w:pPr>
              <w:tabs>
                <w:tab w:val="left" w:pos="1080"/>
              </w:tabs>
              <w:snapToGrid w:val="0"/>
              <w:rPr>
                <w:rFonts w:ascii="宋体" w:hAnsi="宋体"/>
                <w:color w:val="auto"/>
                <w:sz w:val="24"/>
                <w:highlight w:val="none"/>
              </w:rPr>
            </w:pPr>
          </w:p>
        </w:tc>
      </w:tr>
      <w:tr w14:paraId="62FFC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526D94EE">
            <w:pPr>
              <w:tabs>
                <w:tab w:val="left" w:pos="1080"/>
              </w:tabs>
              <w:snapToGrid w:val="0"/>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ascii="宋体" w:hAnsi="宋体"/>
                <w:color w:val="auto"/>
                <w:sz w:val="24"/>
                <w:highlight w:val="none"/>
              </w:rPr>
              <w:t>1</w:t>
            </w:r>
          </w:p>
        </w:tc>
        <w:tc>
          <w:tcPr>
            <w:tcW w:w="1144" w:type="pct"/>
            <w:vAlign w:val="center"/>
          </w:tcPr>
          <w:p w14:paraId="2B982BFD">
            <w:pPr>
              <w:tabs>
                <w:tab w:val="left" w:pos="1080"/>
              </w:tabs>
              <w:snapToGrid w:val="0"/>
              <w:rPr>
                <w:rFonts w:hint="default" w:ascii="宋体" w:hAnsi="宋体" w:eastAsia="宋体"/>
                <w:color w:val="auto"/>
                <w:sz w:val="24"/>
                <w:highlight w:val="none"/>
                <w:lang w:val="en-US" w:eastAsia="zh-CN"/>
              </w:rPr>
            </w:pPr>
            <w:r>
              <w:rPr>
                <w:rFonts w:ascii="宋体" w:hAnsi="宋体"/>
                <w:color w:val="auto"/>
                <w:sz w:val="24"/>
                <w:highlight w:val="none"/>
              </w:rPr>
              <w:t>中小企业</w:t>
            </w:r>
            <w:r>
              <w:rPr>
                <w:rFonts w:hint="eastAsia" w:ascii="宋体" w:hAnsi="宋体"/>
                <w:color w:val="auto"/>
                <w:sz w:val="24"/>
                <w:highlight w:val="none"/>
                <w:lang w:val="en-US" w:eastAsia="zh-CN"/>
              </w:rPr>
              <w:t>声明函</w:t>
            </w:r>
          </w:p>
        </w:tc>
        <w:tc>
          <w:tcPr>
            <w:tcW w:w="2595" w:type="pct"/>
            <w:vAlign w:val="center"/>
          </w:tcPr>
          <w:p w14:paraId="6362DD5E">
            <w:pPr>
              <w:tabs>
                <w:tab w:val="left" w:pos="1080"/>
              </w:tabs>
              <w:snapToGrid w:val="0"/>
              <w:rPr>
                <w:rFonts w:ascii="宋体" w:hAnsi="宋体"/>
                <w:color w:val="auto"/>
                <w:sz w:val="24"/>
                <w:highlight w:val="none"/>
              </w:rPr>
            </w:pPr>
            <w:r>
              <w:rPr>
                <w:rFonts w:ascii="宋体" w:hAnsi="宋体"/>
                <w:color w:val="auto"/>
                <w:sz w:val="24"/>
                <w:highlight w:val="none"/>
                <w:lang w:val="en-US" w:eastAsia="zh-CN"/>
              </w:rPr>
              <w:t xml:space="preserve">当本项目（包）涉及预留份额专门面向中小 </w:t>
            </w:r>
          </w:p>
          <w:p w14:paraId="02E8C074">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企业采购，此时建议在《资格证明文件》中 </w:t>
            </w:r>
          </w:p>
          <w:p w14:paraId="1988A664">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提供。 </w:t>
            </w:r>
          </w:p>
          <w:p w14:paraId="1E227034">
            <w:pPr>
              <w:tabs>
                <w:tab w:val="left" w:pos="1080"/>
              </w:tabs>
              <w:snapToGrid w:val="0"/>
              <w:rPr>
                <w:rFonts w:ascii="宋体" w:hAnsi="宋体"/>
                <w:color w:val="auto"/>
                <w:sz w:val="24"/>
                <w:highlight w:val="none"/>
              </w:rPr>
            </w:pPr>
            <w:r>
              <w:rPr>
                <w:rFonts w:ascii="宋体" w:hAnsi="宋体"/>
                <w:color w:val="auto"/>
                <w:sz w:val="24"/>
                <w:highlight w:val="none"/>
                <w:lang w:val="en-US" w:eastAsia="zh-CN"/>
              </w:rPr>
              <w:t>1</w:t>
            </w:r>
            <w:r>
              <w:rPr>
                <w:rFonts w:hint="default" w:ascii="宋体" w:hAnsi="宋体"/>
                <w:color w:val="auto"/>
                <w:sz w:val="24"/>
                <w:highlight w:val="none"/>
                <w:lang w:val="en-US" w:eastAsia="zh-CN"/>
              </w:rPr>
              <w:t xml:space="preserve">、投标人单独投标的，应提供《中小企业声 </w:t>
            </w:r>
          </w:p>
          <w:p w14:paraId="4DB41333">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明函》或《残疾人福利性单位声明函》或由 </w:t>
            </w:r>
          </w:p>
          <w:p w14:paraId="596FE4B8">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省级以上监狱管理局、戒毒管理局（含新疆 </w:t>
            </w:r>
          </w:p>
          <w:p w14:paraId="278EC3FF">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生产建设兵团）出具的属于监狱企业的证明 </w:t>
            </w:r>
          </w:p>
          <w:p w14:paraId="2DDE85F2">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文件。 </w:t>
            </w:r>
          </w:p>
          <w:p w14:paraId="790853CA">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2、如招标文件要求以联合体形式参加或者要 </w:t>
            </w:r>
          </w:p>
          <w:p w14:paraId="698D5328">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求合同分包的，且投标人为联合体或拟进行 </w:t>
            </w:r>
          </w:p>
          <w:p w14:paraId="11FD5126">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合同分包的，则联合体中的中小企业、签订 </w:t>
            </w:r>
          </w:p>
          <w:p w14:paraId="59492780">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分包意向协议的中小企业具体情况须在《中 </w:t>
            </w:r>
          </w:p>
          <w:p w14:paraId="44C35312">
            <w:pPr>
              <w:tabs>
                <w:tab w:val="left" w:pos="1080"/>
              </w:tabs>
              <w:snapToGrid w:val="0"/>
              <w:rPr>
                <w:rFonts w:ascii="宋体" w:hAnsi="宋体"/>
                <w:color w:val="auto"/>
                <w:sz w:val="24"/>
                <w:highlight w:val="none"/>
              </w:rPr>
            </w:pPr>
            <w:r>
              <w:rPr>
                <w:rFonts w:hint="default" w:ascii="宋体" w:hAnsi="宋体"/>
                <w:color w:val="auto"/>
                <w:sz w:val="24"/>
                <w:highlight w:val="none"/>
                <w:lang w:val="en-US" w:eastAsia="zh-CN"/>
              </w:rPr>
              <w:t xml:space="preserve">小企业声明函》或《残疾人福利性单位声明 </w:t>
            </w:r>
          </w:p>
          <w:p w14:paraId="322AEB89">
            <w:pPr>
              <w:keepNext w:val="0"/>
              <w:keepLines w:val="0"/>
              <w:widowControl/>
              <w:suppressLineNumbers w:val="0"/>
              <w:jc w:val="left"/>
              <w:rPr>
                <w:color w:val="auto"/>
                <w:highlight w:val="none"/>
              </w:rPr>
            </w:pPr>
            <w:r>
              <w:rPr>
                <w:rFonts w:hint="default" w:ascii="宋体" w:hAnsi="宋体"/>
                <w:color w:val="auto"/>
                <w:sz w:val="24"/>
                <w:highlight w:val="none"/>
                <w:lang w:val="en-US" w:eastAsia="zh-CN"/>
              </w:rPr>
              <w:t>函》或由省级以上监狱管理局、戒毒管理局</w:t>
            </w:r>
            <w:r>
              <w:rPr>
                <w:rFonts w:ascii="FZShuSong-Z01" w:hAnsi="FZShuSong-Z01" w:eastAsia="FZShuSong-Z01" w:cs="FZShuSong-Z01"/>
                <w:color w:val="auto"/>
                <w:kern w:val="0"/>
                <w:sz w:val="24"/>
                <w:szCs w:val="24"/>
                <w:highlight w:val="none"/>
                <w:lang w:val="en-US" w:eastAsia="zh-CN" w:bidi="ar"/>
              </w:rPr>
              <w:t xml:space="preserve">（含新疆生产建设兵团）出具的属于监狱企 </w:t>
            </w:r>
          </w:p>
          <w:p w14:paraId="6D258E92">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业的证明文件中如实填报，且满足招标文件 </w:t>
            </w:r>
          </w:p>
          <w:p w14:paraId="1513CAA4">
            <w:pPr>
              <w:keepNext w:val="0"/>
              <w:keepLines w:val="0"/>
              <w:widowControl/>
              <w:suppressLineNumbers w:val="0"/>
              <w:jc w:val="left"/>
              <w:rPr>
                <w:rFonts w:ascii="宋体" w:hAnsi="宋体"/>
                <w:color w:val="auto"/>
                <w:sz w:val="24"/>
                <w:highlight w:val="none"/>
              </w:rPr>
            </w:pPr>
            <w:r>
              <w:rPr>
                <w:rFonts w:hint="default" w:ascii="FZShuSong-Z01" w:hAnsi="FZShuSong-Z01" w:eastAsia="FZShuSong-Z01" w:cs="FZShuSong-Z01"/>
                <w:color w:val="auto"/>
                <w:kern w:val="0"/>
                <w:sz w:val="24"/>
                <w:szCs w:val="24"/>
                <w:highlight w:val="none"/>
                <w:lang w:val="en-US" w:eastAsia="zh-CN" w:bidi="ar"/>
              </w:rPr>
              <w:t>关于预留份额的要求。</w:t>
            </w:r>
          </w:p>
          <w:p w14:paraId="3EFF07B1">
            <w:pPr>
              <w:tabs>
                <w:tab w:val="left" w:pos="1080"/>
              </w:tabs>
              <w:snapToGrid w:val="0"/>
              <w:rPr>
                <w:rFonts w:ascii="宋体" w:hAnsi="宋体"/>
                <w:color w:val="auto"/>
                <w:sz w:val="24"/>
                <w:highlight w:val="none"/>
              </w:rPr>
            </w:pPr>
          </w:p>
        </w:tc>
        <w:tc>
          <w:tcPr>
            <w:tcW w:w="882" w:type="pct"/>
            <w:vAlign w:val="center"/>
          </w:tcPr>
          <w:p w14:paraId="11985684">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10B0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523720AC">
            <w:pPr>
              <w:tabs>
                <w:tab w:val="left" w:pos="1080"/>
              </w:tabs>
              <w:snapToGrid w:val="0"/>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ascii="宋体" w:hAnsi="宋体"/>
                <w:color w:val="auto"/>
                <w:sz w:val="24"/>
                <w:highlight w:val="none"/>
              </w:rPr>
              <w:t>2</w:t>
            </w:r>
          </w:p>
        </w:tc>
        <w:tc>
          <w:tcPr>
            <w:tcW w:w="1144" w:type="pct"/>
            <w:vAlign w:val="center"/>
          </w:tcPr>
          <w:p w14:paraId="75EBBA0E">
            <w:pPr>
              <w:tabs>
                <w:tab w:val="left" w:pos="1080"/>
              </w:tabs>
              <w:snapToGrid w:val="0"/>
              <w:rPr>
                <w:rFonts w:ascii="宋体" w:hAnsi="宋体"/>
                <w:color w:val="auto"/>
                <w:sz w:val="24"/>
                <w:highlight w:val="none"/>
              </w:rPr>
            </w:pPr>
            <w:r>
              <w:rPr>
                <w:rFonts w:ascii="宋体" w:hAnsi="宋体"/>
                <w:color w:val="auto"/>
                <w:sz w:val="24"/>
                <w:highlight w:val="none"/>
              </w:rPr>
              <w:t>拟分包情况说明及分包意向协议（类型一）</w:t>
            </w:r>
          </w:p>
        </w:tc>
        <w:tc>
          <w:tcPr>
            <w:tcW w:w="2595" w:type="pct"/>
            <w:vAlign w:val="center"/>
          </w:tcPr>
          <w:p w14:paraId="17CBD5CD">
            <w:pPr>
              <w:tabs>
                <w:tab w:val="left" w:pos="1080"/>
              </w:tabs>
              <w:snapToGrid w:val="0"/>
              <w:rPr>
                <w:rFonts w:ascii="宋体" w:hAnsi="宋体"/>
                <w:color w:val="auto"/>
                <w:sz w:val="24"/>
                <w:highlight w:val="none"/>
              </w:rPr>
            </w:pPr>
            <w:r>
              <w:rPr>
                <w:rFonts w:ascii="宋体" w:hAnsi="宋体"/>
                <w:color w:val="auto"/>
                <w:sz w:val="24"/>
                <w:highlight w:val="none"/>
              </w:rPr>
              <w:t>如本项目（包）要求通过分包措施预留部分采购份额面向中小企业采购、且投标人因落实政府采购政策拟进行分包的，必须提供；否则无须提供。</w:t>
            </w:r>
          </w:p>
          <w:p w14:paraId="346C7E65">
            <w:pPr>
              <w:tabs>
                <w:tab w:val="left" w:pos="1080"/>
              </w:tabs>
              <w:snapToGrid w:val="0"/>
              <w:rPr>
                <w:rFonts w:ascii="宋体" w:hAnsi="宋体"/>
                <w:b/>
                <w:color w:val="auto"/>
                <w:sz w:val="24"/>
                <w:highlight w:val="none"/>
              </w:rPr>
            </w:pPr>
            <w:r>
              <w:rPr>
                <w:rFonts w:ascii="宋体" w:hAnsi="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7CF3ACA">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73B9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75E46EF6">
            <w:pPr>
              <w:tabs>
                <w:tab w:val="left" w:pos="1080"/>
              </w:tabs>
              <w:snapToGrid w:val="0"/>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w:t>
            </w:r>
            <w:r>
              <w:rPr>
                <w:rFonts w:ascii="宋体" w:hAnsi="宋体"/>
                <w:color w:val="auto"/>
                <w:sz w:val="24"/>
                <w:highlight w:val="none"/>
              </w:rPr>
              <w:t>3</w:t>
            </w:r>
          </w:p>
        </w:tc>
        <w:tc>
          <w:tcPr>
            <w:tcW w:w="1144" w:type="pct"/>
            <w:vAlign w:val="center"/>
          </w:tcPr>
          <w:p w14:paraId="7FE7F08C">
            <w:pPr>
              <w:tabs>
                <w:tab w:val="left" w:pos="1080"/>
              </w:tabs>
              <w:snapToGrid w:val="0"/>
              <w:rPr>
                <w:rFonts w:ascii="宋体" w:hAnsi="宋体"/>
                <w:color w:val="auto"/>
                <w:sz w:val="24"/>
                <w:highlight w:val="none"/>
              </w:rPr>
            </w:pPr>
            <w:r>
              <w:rPr>
                <w:rFonts w:ascii="宋体" w:hAnsi="宋体"/>
                <w:color w:val="auto"/>
                <w:sz w:val="24"/>
                <w:highlight w:val="none"/>
              </w:rPr>
              <w:t>其它落实政府采购政策的资格要求</w:t>
            </w:r>
          </w:p>
        </w:tc>
        <w:tc>
          <w:tcPr>
            <w:tcW w:w="2595" w:type="pct"/>
            <w:vAlign w:val="center"/>
          </w:tcPr>
          <w:p w14:paraId="081F132C">
            <w:pPr>
              <w:tabs>
                <w:tab w:val="left" w:pos="1080"/>
              </w:tabs>
              <w:snapToGrid w:val="0"/>
              <w:rPr>
                <w:rFonts w:ascii="宋体" w:hAnsi="宋体"/>
                <w:color w:val="auto"/>
                <w:sz w:val="24"/>
                <w:highlight w:val="none"/>
              </w:rPr>
            </w:pPr>
            <w:r>
              <w:rPr>
                <w:rFonts w:ascii="宋体" w:hAnsi="宋体"/>
                <w:color w:val="auto"/>
                <w:sz w:val="24"/>
                <w:highlight w:val="none"/>
              </w:rPr>
              <w:t>如有，见第一章《投标邀请》</w:t>
            </w:r>
          </w:p>
        </w:tc>
        <w:tc>
          <w:tcPr>
            <w:tcW w:w="882" w:type="pct"/>
            <w:vAlign w:val="center"/>
          </w:tcPr>
          <w:p w14:paraId="214DB049">
            <w:pPr>
              <w:tabs>
                <w:tab w:val="left" w:pos="1080"/>
              </w:tabs>
              <w:snapToGrid w:val="0"/>
              <w:rPr>
                <w:rFonts w:ascii="宋体" w:hAnsi="宋体"/>
                <w:color w:val="auto"/>
                <w:sz w:val="24"/>
                <w:highlight w:val="none"/>
              </w:rPr>
            </w:pPr>
            <w:r>
              <w:rPr>
                <w:rFonts w:hint="eastAsia" w:ascii="宋体" w:hAnsi="宋体" w:eastAsia="宋体" w:cs="宋体"/>
                <w:color w:val="auto"/>
                <w:sz w:val="24"/>
                <w:szCs w:val="24"/>
                <w:highlight w:val="none"/>
                <w:lang w:val="en-US" w:eastAsia="zh-CN"/>
              </w:rPr>
              <w:t>提供证明文 件的电子件 或电子证照</w:t>
            </w:r>
          </w:p>
        </w:tc>
      </w:tr>
      <w:tr w14:paraId="5E42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7FA3F95B">
            <w:pPr>
              <w:tabs>
                <w:tab w:val="left" w:pos="1080"/>
              </w:tabs>
              <w:snapToGrid w:val="0"/>
              <w:jc w:val="center"/>
              <w:rPr>
                <w:rFonts w:ascii="宋体" w:hAnsi="宋体"/>
                <w:color w:val="auto"/>
                <w:sz w:val="24"/>
                <w:highlight w:val="none"/>
              </w:rPr>
            </w:pPr>
            <w:r>
              <w:rPr>
                <w:rFonts w:ascii="宋体" w:hAnsi="宋体"/>
                <w:color w:val="auto"/>
                <w:sz w:val="24"/>
                <w:highlight w:val="none"/>
              </w:rPr>
              <w:t>3</w:t>
            </w:r>
          </w:p>
        </w:tc>
        <w:tc>
          <w:tcPr>
            <w:tcW w:w="1144" w:type="pct"/>
            <w:vAlign w:val="center"/>
          </w:tcPr>
          <w:p w14:paraId="6376F7B7">
            <w:pPr>
              <w:tabs>
                <w:tab w:val="left" w:pos="1080"/>
              </w:tabs>
              <w:snapToGrid w:val="0"/>
              <w:rPr>
                <w:rFonts w:ascii="宋体" w:hAnsi="宋体"/>
                <w:color w:val="auto"/>
                <w:sz w:val="24"/>
                <w:highlight w:val="none"/>
              </w:rPr>
            </w:pPr>
            <w:r>
              <w:rPr>
                <w:rFonts w:ascii="宋体" w:hAnsi="宋体"/>
                <w:color w:val="auto"/>
                <w:sz w:val="24"/>
                <w:highlight w:val="none"/>
              </w:rPr>
              <w:t>本项目的特定资格要求</w:t>
            </w:r>
          </w:p>
        </w:tc>
        <w:tc>
          <w:tcPr>
            <w:tcW w:w="2595" w:type="pct"/>
            <w:vAlign w:val="center"/>
          </w:tcPr>
          <w:p w14:paraId="57D672CF">
            <w:pPr>
              <w:tabs>
                <w:tab w:val="left" w:pos="1080"/>
              </w:tabs>
              <w:snapToGrid w:val="0"/>
              <w:rPr>
                <w:rFonts w:ascii="宋体" w:hAnsi="宋体"/>
                <w:color w:val="auto"/>
                <w:sz w:val="24"/>
                <w:highlight w:val="none"/>
              </w:rPr>
            </w:pPr>
            <w:r>
              <w:rPr>
                <w:rFonts w:ascii="宋体" w:hAnsi="宋体"/>
                <w:color w:val="auto"/>
                <w:sz w:val="24"/>
                <w:highlight w:val="none"/>
              </w:rPr>
              <w:t>如有，见第一章《投标邀请》</w:t>
            </w:r>
          </w:p>
        </w:tc>
        <w:tc>
          <w:tcPr>
            <w:tcW w:w="882" w:type="pct"/>
            <w:vAlign w:val="center"/>
          </w:tcPr>
          <w:p w14:paraId="2E99DCFE">
            <w:pPr>
              <w:tabs>
                <w:tab w:val="left" w:pos="1080"/>
              </w:tabs>
              <w:snapToGrid w:val="0"/>
              <w:rPr>
                <w:rFonts w:ascii="宋体" w:hAnsi="宋体"/>
                <w:color w:val="auto"/>
                <w:sz w:val="24"/>
                <w:highlight w:val="none"/>
              </w:rPr>
            </w:pPr>
          </w:p>
        </w:tc>
      </w:tr>
      <w:tr w14:paraId="6068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377" w:type="pct"/>
            <w:vAlign w:val="center"/>
          </w:tcPr>
          <w:p w14:paraId="056DF742">
            <w:pPr>
              <w:tabs>
                <w:tab w:val="left" w:pos="1080"/>
              </w:tabs>
              <w:snapToGrid w:val="0"/>
              <w:jc w:val="center"/>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w:t>
            </w:r>
            <w:r>
              <w:rPr>
                <w:rFonts w:ascii="宋体" w:hAnsi="宋体"/>
                <w:color w:val="auto"/>
                <w:sz w:val="24"/>
                <w:highlight w:val="none"/>
              </w:rPr>
              <w:t>1</w:t>
            </w:r>
          </w:p>
        </w:tc>
        <w:tc>
          <w:tcPr>
            <w:tcW w:w="1144" w:type="pct"/>
            <w:vAlign w:val="center"/>
          </w:tcPr>
          <w:p w14:paraId="23109581">
            <w:pPr>
              <w:tabs>
                <w:tab w:val="left" w:pos="1080"/>
              </w:tabs>
              <w:snapToGrid w:val="0"/>
              <w:rPr>
                <w:rFonts w:ascii="宋体" w:hAnsi="宋体"/>
                <w:color w:val="auto"/>
                <w:sz w:val="24"/>
                <w:highlight w:val="none"/>
              </w:rPr>
            </w:pPr>
            <w:r>
              <w:rPr>
                <w:rFonts w:ascii="宋体" w:hAnsi="宋体"/>
                <w:color w:val="auto"/>
                <w:sz w:val="24"/>
                <w:highlight w:val="none"/>
              </w:rPr>
              <w:t>是否接受联合体投标</w:t>
            </w:r>
          </w:p>
        </w:tc>
        <w:tc>
          <w:tcPr>
            <w:tcW w:w="2595" w:type="pct"/>
            <w:vAlign w:val="center"/>
          </w:tcPr>
          <w:p w14:paraId="7B52AB51">
            <w:pPr>
              <w:tabs>
                <w:tab w:val="left" w:pos="1080"/>
              </w:tabs>
              <w:snapToGrid w:val="0"/>
              <w:rPr>
                <w:rFonts w:ascii="宋体" w:hAnsi="宋体"/>
                <w:color w:val="auto"/>
                <w:sz w:val="24"/>
                <w:highlight w:val="none"/>
              </w:rPr>
            </w:pPr>
            <w:r>
              <w:rPr>
                <w:rFonts w:ascii="宋体" w:hAnsi="宋体"/>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w:t>
            </w:r>
            <w:r>
              <w:rPr>
                <w:rFonts w:hint="eastAsia" w:ascii="宋体" w:hAnsi="宋体"/>
                <w:color w:val="auto"/>
                <w:sz w:val="24"/>
                <w:highlight w:val="none"/>
              </w:rPr>
              <w:t>牵头</w:t>
            </w:r>
            <w:r>
              <w:rPr>
                <w:rFonts w:ascii="宋体" w:hAnsi="宋体"/>
                <w:color w:val="auto"/>
                <w:sz w:val="24"/>
                <w:highlight w:val="none"/>
              </w:rPr>
              <w:t>、协调工作。该联合协议应当作为投标文件的组成部分，与投标文件其他内容同时递交。</w:t>
            </w:r>
          </w:p>
          <w:p w14:paraId="3AC42C8A">
            <w:pPr>
              <w:tabs>
                <w:tab w:val="left" w:pos="1080"/>
              </w:tabs>
              <w:snapToGrid w:val="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联合体各成员单位均须提供本表中序号1-1、1-2的证明文件。</w:t>
            </w:r>
          </w:p>
          <w:p w14:paraId="105BF85A">
            <w:pPr>
              <w:tabs>
                <w:tab w:val="left" w:pos="1080"/>
              </w:tabs>
              <w:snapToGrid w:val="0"/>
              <w:rPr>
                <w:rFonts w:ascii="宋体" w:hAnsi="宋体"/>
                <w:color w:val="auto"/>
                <w:sz w:val="24"/>
                <w:highlight w:val="none"/>
              </w:rPr>
            </w:pPr>
            <w:r>
              <w:rPr>
                <w:rFonts w:hint="eastAsia" w:ascii="宋体" w:hAnsi="宋体"/>
                <w:color w:val="auto"/>
                <w:sz w:val="24"/>
                <w:highlight w:val="none"/>
              </w:rPr>
              <w:t>3、本表序号3-2项规定的其他特定资格要求中的每一小项要求，联合体各方中至少应当有一方符合本表中其他资格要求并提供证明文件。</w:t>
            </w:r>
          </w:p>
          <w:p w14:paraId="615D2F98">
            <w:pPr>
              <w:tabs>
                <w:tab w:val="left" w:pos="1080"/>
              </w:tabs>
              <w:snapToGrid w:val="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、联合体中有同类资质的供应商按照联合体分工承担相同工作的，应当按照资质等级较低的供应商确定资质等级。</w:t>
            </w:r>
          </w:p>
          <w:p w14:paraId="152E6EA7">
            <w:pPr>
              <w:tabs>
                <w:tab w:val="left" w:pos="1080"/>
              </w:tabs>
              <w:snapToGrid w:val="0"/>
              <w:rPr>
                <w:rFonts w:ascii="宋体" w:hAnsi="宋体"/>
                <w:color w:val="auto"/>
                <w:sz w:val="24"/>
                <w:highlight w:val="none"/>
              </w:rPr>
            </w:pPr>
            <w:r>
              <w:rPr>
                <w:rFonts w:ascii="宋体" w:hAnsi="宋体"/>
                <w:color w:val="auto"/>
                <w:sz w:val="24"/>
                <w:highlight w:val="none"/>
              </w:rPr>
              <w:t>5、以联合体形式参加政府采购活动的，联合体各方不得再单独参加或者与其他供应商另外组成联合体参加同一合同项下的政府采购活动。</w:t>
            </w:r>
          </w:p>
          <w:p w14:paraId="06A4C4C0">
            <w:pPr>
              <w:tabs>
                <w:tab w:val="left" w:pos="1080"/>
              </w:tabs>
              <w:snapToGrid w:val="0"/>
              <w:rPr>
                <w:rFonts w:ascii="宋体" w:hAnsi="宋体"/>
                <w:color w:val="auto"/>
                <w:sz w:val="24"/>
                <w:highlight w:val="none"/>
              </w:rPr>
            </w:pPr>
            <w:r>
              <w:rPr>
                <w:rFonts w:ascii="宋体" w:hAnsi="宋体"/>
                <w:color w:val="auto"/>
                <w:sz w:val="24"/>
                <w:highlight w:val="none"/>
              </w:rPr>
              <w:t>6、若联合体中任一成员单位中途退出，则该联合体的</w:t>
            </w:r>
            <w:r>
              <w:rPr>
                <w:rFonts w:ascii="宋体" w:hAnsi="宋体"/>
                <w:b/>
                <w:color w:val="auto"/>
                <w:sz w:val="24"/>
                <w:highlight w:val="none"/>
              </w:rPr>
              <w:t>投标无效</w:t>
            </w:r>
            <w:r>
              <w:rPr>
                <w:rFonts w:ascii="宋体" w:hAnsi="宋体"/>
                <w:color w:val="auto"/>
                <w:sz w:val="24"/>
                <w:highlight w:val="none"/>
              </w:rPr>
              <w:t>。</w:t>
            </w:r>
          </w:p>
          <w:p w14:paraId="29FF8492">
            <w:pPr>
              <w:tabs>
                <w:tab w:val="left" w:pos="1080"/>
              </w:tabs>
              <w:snapToGrid w:val="0"/>
              <w:rPr>
                <w:rFonts w:ascii="宋体" w:hAnsi="宋体"/>
                <w:color w:val="auto"/>
                <w:sz w:val="24"/>
                <w:highlight w:val="none"/>
              </w:rPr>
            </w:pPr>
            <w:r>
              <w:rPr>
                <w:rFonts w:ascii="宋体" w:hAnsi="宋体"/>
                <w:color w:val="auto"/>
                <w:sz w:val="24"/>
                <w:highlight w:val="none"/>
              </w:rPr>
              <w:t>7、本项目不接受联合体投标</w:t>
            </w:r>
            <w:r>
              <w:rPr>
                <w:rFonts w:hint="eastAsia" w:ascii="宋体" w:hAnsi="宋体"/>
                <w:color w:val="auto"/>
                <w:sz w:val="24"/>
                <w:highlight w:val="none"/>
              </w:rPr>
              <w:t>时</w:t>
            </w:r>
            <w:r>
              <w:rPr>
                <w:rFonts w:ascii="宋体" w:hAnsi="宋体"/>
                <w:color w:val="auto"/>
                <w:sz w:val="24"/>
                <w:highlight w:val="none"/>
              </w:rPr>
              <w:t>，</w:t>
            </w:r>
            <w:r>
              <w:rPr>
                <w:rFonts w:hint="eastAsia" w:ascii="宋体" w:hAnsi="宋体"/>
                <w:color w:val="auto"/>
                <w:sz w:val="24"/>
                <w:highlight w:val="none"/>
              </w:rPr>
              <w:t>投标人不得为联合体</w:t>
            </w:r>
            <w:r>
              <w:rPr>
                <w:rFonts w:ascii="宋体" w:hAnsi="宋体"/>
                <w:color w:val="auto"/>
                <w:sz w:val="24"/>
                <w:highlight w:val="none"/>
              </w:rPr>
              <w:t>。</w:t>
            </w:r>
          </w:p>
        </w:tc>
        <w:tc>
          <w:tcPr>
            <w:tcW w:w="882" w:type="pct"/>
            <w:vAlign w:val="center"/>
          </w:tcPr>
          <w:p w14:paraId="4847287F">
            <w:pPr>
              <w:tabs>
                <w:tab w:val="left" w:pos="1080"/>
              </w:tabs>
              <w:snapToGrid w:val="0"/>
              <w:rPr>
                <w:rFonts w:ascii="宋体" w:hAnsi="宋体"/>
                <w:color w:val="auto"/>
                <w:sz w:val="24"/>
                <w:highlight w:val="none"/>
              </w:rPr>
            </w:pPr>
            <w:r>
              <w:rPr>
                <w:rFonts w:ascii="宋体" w:hAnsi="宋体"/>
                <w:color w:val="auto"/>
                <w:sz w:val="24"/>
                <w:highlight w:val="none"/>
              </w:rPr>
              <w:t>提供《联合协议》</w:t>
            </w:r>
            <w:r>
              <w:rPr>
                <w:rFonts w:hint="eastAsia" w:ascii="宋体" w:hAnsi="宋体"/>
                <w:color w:val="auto"/>
                <w:sz w:val="24"/>
                <w:highlight w:val="none"/>
              </w:rPr>
              <w:t>原</w:t>
            </w:r>
            <w:r>
              <w:rPr>
                <w:rFonts w:ascii="宋体" w:hAnsi="宋体"/>
                <w:color w:val="auto"/>
                <w:sz w:val="24"/>
                <w:highlight w:val="none"/>
              </w:rPr>
              <w:t>件</w:t>
            </w:r>
            <w:r>
              <w:rPr>
                <w:rFonts w:hint="eastAsia" w:ascii="宋体" w:hAnsi="宋体"/>
                <w:color w:val="auto"/>
                <w:sz w:val="24"/>
                <w:highlight w:val="none"/>
              </w:rPr>
              <w:t>；</w:t>
            </w:r>
          </w:p>
          <w:p w14:paraId="194966E2">
            <w:pPr>
              <w:tabs>
                <w:tab w:val="left" w:pos="1080"/>
              </w:tabs>
              <w:snapToGrid w:val="0"/>
              <w:rPr>
                <w:rFonts w:ascii="宋体" w:hAnsi="宋体"/>
                <w:color w:val="auto"/>
                <w:sz w:val="24"/>
                <w:highlight w:val="none"/>
              </w:rPr>
            </w:pPr>
            <w:r>
              <w:rPr>
                <w:rFonts w:ascii="宋体" w:hAnsi="宋体"/>
                <w:color w:val="auto"/>
                <w:sz w:val="24"/>
                <w:highlight w:val="none"/>
              </w:rPr>
              <w:t>格式见《投标文件格式》</w:t>
            </w:r>
          </w:p>
        </w:tc>
      </w:tr>
      <w:tr w14:paraId="13D4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77" w:type="pct"/>
            <w:vAlign w:val="center"/>
          </w:tcPr>
          <w:p w14:paraId="4022B7A2">
            <w:pPr>
              <w:tabs>
                <w:tab w:val="left" w:pos="1080"/>
              </w:tabs>
              <w:snapToGrid w:val="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3.2</w:t>
            </w:r>
          </w:p>
        </w:tc>
        <w:tc>
          <w:tcPr>
            <w:tcW w:w="1144" w:type="pct"/>
            <w:vAlign w:val="center"/>
          </w:tcPr>
          <w:p w14:paraId="70FFA1FC">
            <w:pPr>
              <w:tabs>
                <w:tab w:val="left" w:pos="1080"/>
              </w:tabs>
              <w:snapToGrid w:val="0"/>
              <w:rPr>
                <w:rFonts w:hint="eastAsia" w:ascii="宋体" w:hAnsi="宋体"/>
                <w:color w:val="auto"/>
                <w:sz w:val="24"/>
                <w:highlight w:val="none"/>
              </w:rPr>
            </w:pPr>
            <w:r>
              <w:rPr>
                <w:rFonts w:hint="eastAsia" w:ascii="宋体" w:hAnsi="宋体"/>
                <w:color w:val="auto"/>
                <w:sz w:val="24"/>
                <w:highlight w:val="none"/>
              </w:rPr>
              <w:t>政府购买服务承</w:t>
            </w:r>
          </w:p>
          <w:p w14:paraId="6568959F">
            <w:pPr>
              <w:tabs>
                <w:tab w:val="left" w:pos="1080"/>
              </w:tabs>
              <w:snapToGrid w:val="0"/>
              <w:rPr>
                <w:rFonts w:ascii="宋体" w:hAnsi="宋体"/>
                <w:color w:val="auto"/>
                <w:sz w:val="24"/>
                <w:highlight w:val="none"/>
              </w:rPr>
            </w:pPr>
            <w:r>
              <w:rPr>
                <w:rFonts w:hint="eastAsia" w:ascii="宋体" w:hAnsi="宋体"/>
                <w:color w:val="auto"/>
                <w:sz w:val="24"/>
                <w:highlight w:val="none"/>
              </w:rPr>
              <w:t>接主体的要求</w:t>
            </w:r>
          </w:p>
        </w:tc>
        <w:tc>
          <w:tcPr>
            <w:tcW w:w="2595" w:type="pct"/>
            <w:vAlign w:val="center"/>
          </w:tcPr>
          <w:p w14:paraId="091DD512">
            <w:pPr>
              <w:tabs>
                <w:tab w:val="left" w:pos="1080"/>
              </w:tabs>
              <w:snapToGrid w:val="0"/>
              <w:rPr>
                <w:rFonts w:hint="eastAsia" w:ascii="宋体" w:hAnsi="宋体"/>
                <w:color w:val="auto"/>
                <w:sz w:val="24"/>
                <w:highlight w:val="none"/>
              </w:rPr>
            </w:pPr>
            <w:r>
              <w:rPr>
                <w:rFonts w:hint="eastAsia" w:ascii="宋体" w:hAnsi="宋体"/>
                <w:color w:val="auto"/>
                <w:sz w:val="24"/>
                <w:highlight w:val="none"/>
              </w:rPr>
              <w:t>如本项目属于政府购买服务，投标人不属于</w:t>
            </w:r>
          </w:p>
          <w:p w14:paraId="203C4953">
            <w:pPr>
              <w:tabs>
                <w:tab w:val="left" w:pos="1080"/>
              </w:tabs>
              <w:snapToGrid w:val="0"/>
              <w:rPr>
                <w:rFonts w:hint="eastAsia" w:ascii="宋体" w:hAnsi="宋体"/>
                <w:color w:val="auto"/>
                <w:sz w:val="24"/>
                <w:highlight w:val="none"/>
              </w:rPr>
            </w:pPr>
            <w:r>
              <w:rPr>
                <w:rFonts w:hint="eastAsia" w:ascii="宋体" w:hAnsi="宋体"/>
                <w:color w:val="auto"/>
                <w:sz w:val="24"/>
                <w:highlight w:val="none"/>
              </w:rPr>
              <w:t>公益一类事业单位、使用事业编制且由财政</w:t>
            </w:r>
          </w:p>
          <w:p w14:paraId="76DD11E8">
            <w:pPr>
              <w:tabs>
                <w:tab w:val="left" w:pos="1080"/>
              </w:tabs>
              <w:snapToGrid w:val="0"/>
              <w:rPr>
                <w:rFonts w:ascii="宋体" w:hAnsi="宋体"/>
                <w:color w:val="auto"/>
                <w:sz w:val="24"/>
                <w:highlight w:val="none"/>
              </w:rPr>
            </w:pPr>
            <w:r>
              <w:rPr>
                <w:rFonts w:hint="eastAsia" w:ascii="宋体" w:hAnsi="宋体"/>
                <w:color w:val="auto"/>
                <w:sz w:val="24"/>
                <w:highlight w:val="none"/>
              </w:rPr>
              <w:t>拨款保障的群团组织。</w:t>
            </w:r>
          </w:p>
        </w:tc>
        <w:tc>
          <w:tcPr>
            <w:tcW w:w="882" w:type="pct"/>
            <w:vAlign w:val="center"/>
          </w:tcPr>
          <w:p w14:paraId="4DC0E56D">
            <w:pPr>
              <w:tabs>
                <w:tab w:val="left" w:pos="1080"/>
              </w:tabs>
              <w:snapToGrid w:val="0"/>
              <w:rPr>
                <w:rFonts w:hint="eastAsia" w:ascii="宋体" w:hAnsi="宋体"/>
                <w:color w:val="auto"/>
                <w:sz w:val="24"/>
                <w:highlight w:val="none"/>
              </w:rPr>
            </w:pPr>
            <w:r>
              <w:rPr>
                <w:rFonts w:hint="eastAsia" w:ascii="宋体" w:hAnsi="宋体"/>
                <w:color w:val="auto"/>
                <w:sz w:val="24"/>
                <w:highlight w:val="none"/>
              </w:rPr>
              <w:t>格式见《投标</w:t>
            </w:r>
          </w:p>
          <w:p w14:paraId="0533A3E2">
            <w:pPr>
              <w:keepNext w:val="0"/>
              <w:keepLines w:val="0"/>
              <w:widowControl/>
              <w:suppressLineNumbers w:val="0"/>
              <w:jc w:val="left"/>
              <w:rPr>
                <w:rFonts w:hint="eastAsia" w:ascii="宋体" w:hAnsi="宋体" w:eastAsia="宋体"/>
                <w:color w:val="auto"/>
                <w:sz w:val="24"/>
                <w:highlight w:val="none"/>
                <w:lang w:val="en-US" w:eastAsia="zh-CN"/>
              </w:rPr>
            </w:pPr>
            <w:r>
              <w:rPr>
                <w:rFonts w:hint="eastAsia" w:ascii="宋体" w:hAnsi="宋体"/>
                <w:color w:val="auto"/>
                <w:sz w:val="24"/>
                <w:highlight w:val="none"/>
              </w:rPr>
              <w:t>文件格式》</w:t>
            </w:r>
            <w:r>
              <w:rPr>
                <w:rFonts w:ascii="FZShuSong-Z01" w:hAnsi="FZShuSong-Z01" w:eastAsia="FZShuSong-Z01" w:cs="FZShuSong-Z01"/>
                <w:color w:val="000000"/>
                <w:kern w:val="0"/>
                <w:sz w:val="24"/>
                <w:szCs w:val="24"/>
                <w:lang w:val="en-US" w:eastAsia="zh-CN" w:bidi="ar"/>
              </w:rPr>
              <w:t>投标</w:t>
            </w:r>
            <w:r>
              <w:rPr>
                <w:rFonts w:hint="default" w:ascii="FZShuSong-Z01" w:hAnsi="FZShuSong-Z01" w:eastAsia="FZShuSong-Z01" w:cs="FZShuSong-Z01"/>
                <w:color w:val="000000"/>
                <w:kern w:val="0"/>
                <w:sz w:val="24"/>
                <w:szCs w:val="24"/>
                <w:lang w:val="en-US" w:eastAsia="zh-CN" w:bidi="ar"/>
              </w:rPr>
              <w:t>人资格声明书</w:t>
            </w:r>
          </w:p>
        </w:tc>
      </w:tr>
      <w:tr w14:paraId="7512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377" w:type="pct"/>
            <w:vAlign w:val="center"/>
          </w:tcPr>
          <w:p w14:paraId="28C6AC2C">
            <w:pPr>
              <w:tabs>
                <w:tab w:val="left" w:pos="1080"/>
              </w:tabs>
              <w:snapToGrid w:val="0"/>
              <w:jc w:val="center"/>
              <w:rPr>
                <w:rFonts w:hint="eastAsia" w:ascii="宋体" w:hAnsi="宋体" w:eastAsia="宋体"/>
                <w:color w:val="auto"/>
                <w:sz w:val="24"/>
                <w:highlight w:val="none"/>
                <w:lang w:eastAsia="zh-CN"/>
              </w:rPr>
            </w:pPr>
            <w:r>
              <w:rPr>
                <w:rFonts w:ascii="宋体" w:hAnsi="宋体"/>
                <w:color w:val="auto"/>
                <w:sz w:val="24"/>
                <w:highlight w:val="none"/>
              </w:rPr>
              <w:t>3</w:t>
            </w:r>
            <w:r>
              <w:rPr>
                <w:rFonts w:hint="eastAsia" w:ascii="宋体" w:hAnsi="宋体"/>
                <w:color w:val="auto"/>
                <w:sz w:val="24"/>
                <w:highlight w:val="none"/>
                <w:lang w:val="en-US" w:eastAsia="zh-CN"/>
              </w:rPr>
              <w:t>.3</w:t>
            </w:r>
          </w:p>
        </w:tc>
        <w:tc>
          <w:tcPr>
            <w:tcW w:w="1144" w:type="pct"/>
            <w:vAlign w:val="center"/>
          </w:tcPr>
          <w:p w14:paraId="68A6E19D">
            <w:pPr>
              <w:tabs>
                <w:tab w:val="left" w:pos="1080"/>
              </w:tabs>
              <w:snapToGrid w:val="0"/>
              <w:rPr>
                <w:rFonts w:ascii="宋体" w:hAnsi="宋体"/>
                <w:color w:val="auto"/>
                <w:sz w:val="24"/>
                <w:highlight w:val="none"/>
              </w:rPr>
            </w:pPr>
            <w:r>
              <w:rPr>
                <w:rFonts w:ascii="宋体" w:hAnsi="宋体"/>
                <w:color w:val="auto"/>
                <w:sz w:val="24"/>
                <w:highlight w:val="none"/>
              </w:rPr>
              <w:t>其他特定资格要求</w:t>
            </w:r>
          </w:p>
        </w:tc>
        <w:tc>
          <w:tcPr>
            <w:tcW w:w="2595" w:type="pct"/>
            <w:vAlign w:val="center"/>
          </w:tcPr>
          <w:p w14:paraId="4190B5E7">
            <w:pPr>
              <w:tabs>
                <w:tab w:val="left" w:pos="1080"/>
              </w:tabs>
              <w:snapToGrid w:val="0"/>
              <w:rPr>
                <w:rFonts w:ascii="宋体" w:hAnsi="宋体"/>
                <w:color w:val="auto"/>
                <w:sz w:val="24"/>
                <w:highlight w:val="none"/>
              </w:rPr>
            </w:pPr>
            <w:r>
              <w:rPr>
                <w:rFonts w:ascii="宋体" w:hAnsi="宋体"/>
                <w:color w:val="auto"/>
                <w:sz w:val="24"/>
                <w:highlight w:val="none"/>
              </w:rPr>
              <w:t>见第一章《投标邀请》</w:t>
            </w:r>
          </w:p>
        </w:tc>
        <w:tc>
          <w:tcPr>
            <w:tcW w:w="882" w:type="pct"/>
            <w:vAlign w:val="center"/>
          </w:tcPr>
          <w:p w14:paraId="15EFD186">
            <w:pPr>
              <w:tabs>
                <w:tab w:val="left" w:pos="1080"/>
              </w:tabs>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提供证明文 件的电子件 或电子证照</w:t>
            </w:r>
          </w:p>
          <w:p w14:paraId="0E57C4EF">
            <w:pPr>
              <w:tabs>
                <w:tab w:val="left" w:pos="1080"/>
              </w:tabs>
              <w:snapToGrid w:val="0"/>
              <w:rPr>
                <w:rFonts w:ascii="宋体" w:hAnsi="宋体"/>
                <w:color w:val="auto"/>
                <w:sz w:val="24"/>
                <w:highlight w:val="none"/>
              </w:rPr>
            </w:pPr>
          </w:p>
        </w:tc>
      </w:tr>
      <w:tr w14:paraId="1643D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70CE0338">
            <w:pPr>
              <w:tabs>
                <w:tab w:val="left" w:pos="1080"/>
              </w:tabs>
              <w:snapToGrid w:val="0"/>
              <w:jc w:val="center"/>
              <w:rPr>
                <w:rFonts w:ascii="宋体" w:hAnsi="宋体"/>
                <w:color w:val="auto"/>
                <w:sz w:val="24"/>
                <w:highlight w:val="none"/>
              </w:rPr>
            </w:pPr>
            <w:r>
              <w:rPr>
                <w:rFonts w:ascii="宋体" w:hAnsi="宋体"/>
                <w:color w:val="auto"/>
                <w:sz w:val="24"/>
                <w:highlight w:val="none"/>
              </w:rPr>
              <w:t>4</w:t>
            </w:r>
          </w:p>
        </w:tc>
        <w:tc>
          <w:tcPr>
            <w:tcW w:w="1144" w:type="pct"/>
            <w:vAlign w:val="center"/>
          </w:tcPr>
          <w:p w14:paraId="017EF55C">
            <w:pPr>
              <w:tabs>
                <w:tab w:val="left" w:pos="1080"/>
              </w:tabs>
              <w:snapToGrid w:val="0"/>
              <w:rPr>
                <w:rFonts w:hint="eastAsia" w:ascii="宋体" w:hAnsi="宋体" w:eastAsia="宋体"/>
                <w:color w:val="auto"/>
                <w:sz w:val="24"/>
                <w:highlight w:val="none"/>
                <w:lang w:eastAsia="zh-CN"/>
              </w:rPr>
            </w:pPr>
            <w:r>
              <w:rPr>
                <w:rFonts w:hint="eastAsia" w:ascii="宋体" w:hAnsi="宋体"/>
                <w:color w:val="auto"/>
                <w:sz w:val="24"/>
                <w:highlight w:val="none"/>
              </w:rPr>
              <w:t>投标保证金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p>
        </w:tc>
        <w:tc>
          <w:tcPr>
            <w:tcW w:w="2595" w:type="pct"/>
            <w:vAlign w:val="center"/>
          </w:tcPr>
          <w:p w14:paraId="1B0ED27C">
            <w:pPr>
              <w:tabs>
                <w:tab w:val="left" w:pos="1080"/>
              </w:tabs>
              <w:snapToGrid w:val="0"/>
              <w:rPr>
                <w:rFonts w:ascii="宋体" w:hAnsi="宋体"/>
                <w:color w:val="auto"/>
                <w:sz w:val="24"/>
                <w:highlight w:val="none"/>
              </w:rPr>
            </w:pPr>
            <w:r>
              <w:rPr>
                <w:rFonts w:ascii="宋体" w:hAnsi="宋体"/>
                <w:color w:val="auto"/>
                <w:kern w:val="0"/>
                <w:sz w:val="24"/>
                <w:highlight w:val="none"/>
              </w:rPr>
              <w:t>按照招标文件的规定提交投标保证金</w:t>
            </w:r>
            <w:r>
              <w:rPr>
                <w:rFonts w:hint="eastAsia" w:ascii="宋体" w:hAnsi="宋体"/>
                <w:color w:val="auto"/>
                <w:kern w:val="0"/>
                <w:sz w:val="24"/>
                <w:highlight w:val="none"/>
              </w:rPr>
              <w:t>。</w:t>
            </w:r>
          </w:p>
        </w:tc>
        <w:tc>
          <w:tcPr>
            <w:tcW w:w="882" w:type="pct"/>
            <w:vAlign w:val="center"/>
          </w:tcPr>
          <w:p w14:paraId="0A8FCF26">
            <w:pPr>
              <w:tabs>
                <w:tab w:val="left" w:pos="1080"/>
              </w:tabs>
              <w:snapToGrid w:val="0"/>
              <w:rPr>
                <w:rFonts w:ascii="宋体" w:hAnsi="宋体"/>
                <w:color w:val="auto"/>
                <w:sz w:val="24"/>
                <w:highlight w:val="none"/>
              </w:rPr>
            </w:pPr>
          </w:p>
        </w:tc>
        <w:bookmarkStart w:id="644" w:name="_Hlt522424701"/>
        <w:bookmarkStart w:id="645" w:name="_Hlt487900425"/>
      </w:tr>
      <w:tr w14:paraId="63FB9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7" w:type="pct"/>
            <w:vAlign w:val="center"/>
          </w:tcPr>
          <w:p w14:paraId="6A799AEE">
            <w:pPr>
              <w:tabs>
                <w:tab w:val="left" w:pos="1080"/>
              </w:tabs>
              <w:snapToGrid w:val="0"/>
              <w:jc w:val="center"/>
              <w:rPr>
                <w:rFonts w:hint="eastAsia" w:ascii="宋体" w:hAnsi="宋体" w:eastAsia="宋体"/>
                <w:color w:val="auto"/>
                <w:sz w:val="24"/>
                <w:highlight w:val="none"/>
                <w:lang w:val="en-US" w:eastAsia="zh-CN"/>
              </w:rPr>
            </w:pPr>
            <w:bookmarkStart w:id="646" w:name="_Toc353873940"/>
            <w:bookmarkStart w:id="647" w:name="_Toc127161490"/>
            <w:bookmarkStart w:id="648" w:name="_Toc353825550"/>
            <w:bookmarkStart w:id="649" w:name="_Toc127151779"/>
            <w:bookmarkStart w:id="650" w:name="_Toc226965858"/>
            <w:r>
              <w:rPr>
                <w:rFonts w:hint="eastAsia" w:ascii="宋体" w:hAnsi="宋体"/>
                <w:color w:val="auto"/>
                <w:sz w:val="24"/>
                <w:highlight w:val="none"/>
                <w:lang w:val="en-US" w:eastAsia="zh-CN"/>
              </w:rPr>
              <w:t>5</w:t>
            </w:r>
          </w:p>
        </w:tc>
        <w:tc>
          <w:tcPr>
            <w:tcW w:w="1144" w:type="pct"/>
            <w:vAlign w:val="center"/>
          </w:tcPr>
          <w:p w14:paraId="343677FE">
            <w:pPr>
              <w:tabs>
                <w:tab w:val="left" w:pos="1080"/>
              </w:tabs>
              <w:snapToGrid w:val="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获取招标文件</w:t>
            </w:r>
          </w:p>
        </w:tc>
        <w:tc>
          <w:tcPr>
            <w:tcW w:w="2595" w:type="pct"/>
            <w:vAlign w:val="center"/>
          </w:tcPr>
          <w:p w14:paraId="6B375E9B">
            <w:pPr>
              <w:keepNext w:val="0"/>
              <w:keepLines w:val="0"/>
              <w:widowControl/>
              <w:suppressLineNumbers w:val="0"/>
              <w:jc w:val="left"/>
              <w:rPr>
                <w:color w:val="auto"/>
                <w:highlight w:val="none"/>
              </w:rPr>
            </w:pPr>
            <w:r>
              <w:rPr>
                <w:rFonts w:ascii="FZShuSong-Z01" w:hAnsi="FZShuSong-Z01" w:eastAsia="FZShuSong-Z01" w:cs="FZShuSong-Z01"/>
                <w:color w:val="auto"/>
                <w:kern w:val="0"/>
                <w:sz w:val="24"/>
                <w:szCs w:val="24"/>
                <w:highlight w:val="none"/>
                <w:lang w:val="en-US" w:eastAsia="zh-CN" w:bidi="ar"/>
              </w:rPr>
              <w:t xml:space="preserve">在规定期限内通过北京市政府采购电子交易 </w:t>
            </w:r>
          </w:p>
          <w:p w14:paraId="2CC024CF">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平台获取所参与包的招标文件。 </w:t>
            </w:r>
          </w:p>
          <w:p w14:paraId="504630E5">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注：如本项目接受联合体，且供应商为联合 </w:t>
            </w:r>
          </w:p>
          <w:p w14:paraId="47A3732C">
            <w:pPr>
              <w:keepNext w:val="0"/>
              <w:keepLines w:val="0"/>
              <w:widowControl/>
              <w:suppressLineNumbers w:val="0"/>
              <w:jc w:val="left"/>
              <w:rPr>
                <w:color w:val="auto"/>
                <w:highlight w:val="none"/>
              </w:rPr>
            </w:pPr>
            <w:r>
              <w:rPr>
                <w:rFonts w:hint="default" w:ascii="FZShuSong-Z01" w:hAnsi="FZShuSong-Z01" w:eastAsia="FZShuSong-Z01" w:cs="FZShuSong-Z01"/>
                <w:color w:val="auto"/>
                <w:kern w:val="0"/>
                <w:sz w:val="24"/>
                <w:szCs w:val="24"/>
                <w:highlight w:val="none"/>
                <w:lang w:val="en-US" w:eastAsia="zh-CN" w:bidi="ar"/>
              </w:rPr>
              <w:t xml:space="preserve">体时，联合体中任一成员获取文件即视为满 </w:t>
            </w:r>
          </w:p>
          <w:p w14:paraId="5CE0876B">
            <w:pPr>
              <w:keepNext w:val="0"/>
              <w:keepLines w:val="0"/>
              <w:widowControl/>
              <w:suppressLineNumbers w:val="0"/>
              <w:jc w:val="left"/>
              <w:rPr>
                <w:rFonts w:ascii="宋体" w:hAnsi="宋体"/>
                <w:color w:val="auto"/>
                <w:kern w:val="0"/>
                <w:sz w:val="24"/>
                <w:highlight w:val="none"/>
              </w:rPr>
            </w:pPr>
            <w:r>
              <w:rPr>
                <w:rFonts w:hint="default" w:ascii="FZShuSong-Z01" w:hAnsi="FZShuSong-Z01" w:eastAsia="FZShuSong-Z01" w:cs="FZShuSong-Z01"/>
                <w:color w:val="auto"/>
                <w:kern w:val="0"/>
                <w:sz w:val="24"/>
                <w:szCs w:val="24"/>
                <w:highlight w:val="none"/>
                <w:lang w:val="en-US" w:eastAsia="zh-CN" w:bidi="ar"/>
              </w:rPr>
              <w:t>足要求。</w:t>
            </w:r>
          </w:p>
        </w:tc>
        <w:tc>
          <w:tcPr>
            <w:tcW w:w="882" w:type="pct"/>
            <w:vAlign w:val="center"/>
          </w:tcPr>
          <w:p w14:paraId="7CA9B700">
            <w:pPr>
              <w:tabs>
                <w:tab w:val="left" w:pos="1080"/>
              </w:tabs>
              <w:snapToGrid w:val="0"/>
              <w:rPr>
                <w:rFonts w:ascii="宋体" w:hAnsi="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41"/>
      <w:bookmarkEnd w:id="644"/>
      <w:bookmarkEnd w:id="645"/>
    </w:tbl>
    <w:p w14:paraId="37C36005">
      <w:pPr>
        <w:widowControl/>
        <w:jc w:val="left"/>
        <w:rPr>
          <w:rFonts w:ascii="宋体" w:hAnsi="宋体"/>
          <w:color w:val="auto"/>
          <w:sz w:val="24"/>
          <w:highlight w:val="none"/>
        </w:rPr>
      </w:pPr>
      <w:r>
        <w:rPr>
          <w:rFonts w:ascii="宋体" w:hAnsi="宋体"/>
          <w:color w:val="auto"/>
          <w:sz w:val="24"/>
          <w:highlight w:val="none"/>
        </w:rPr>
        <w:br w:type="page"/>
      </w:r>
    </w:p>
    <w:p w14:paraId="05FF3BD1">
      <w:pPr>
        <w:spacing w:line="360" w:lineRule="auto"/>
        <w:ind w:firstLine="723" w:firstLineChars="300"/>
        <w:jc w:val="center"/>
        <w:outlineLvl w:val="0"/>
        <w:rPr>
          <w:rFonts w:ascii="宋体" w:hAnsi="宋体"/>
          <w:b/>
          <w:color w:val="auto"/>
          <w:sz w:val="24"/>
          <w:highlight w:val="none"/>
        </w:rPr>
      </w:pPr>
      <w:bookmarkStart w:id="651" w:name="_Toc5927"/>
      <w:bookmarkStart w:id="652" w:name="_Toc27514"/>
      <w:bookmarkStart w:id="653" w:name="_Toc99301423"/>
      <w:r>
        <w:rPr>
          <w:rFonts w:ascii="宋体" w:hAnsi="宋体"/>
          <w:b/>
          <w:color w:val="auto"/>
          <w:sz w:val="24"/>
          <w:highlight w:val="none"/>
        </w:rPr>
        <w:t xml:space="preserve">第四章   </w:t>
      </w:r>
      <w:bookmarkEnd w:id="646"/>
      <w:bookmarkEnd w:id="647"/>
      <w:bookmarkEnd w:id="648"/>
      <w:bookmarkEnd w:id="649"/>
      <w:bookmarkEnd w:id="650"/>
      <w:bookmarkStart w:id="654" w:name="_Hlt164229061"/>
      <w:bookmarkEnd w:id="654"/>
      <w:r>
        <w:rPr>
          <w:rFonts w:ascii="宋体" w:hAnsi="宋体"/>
          <w:b/>
          <w:color w:val="auto"/>
          <w:sz w:val="24"/>
          <w:highlight w:val="none"/>
        </w:rPr>
        <w:t>评标程序、评标方法和评标标准</w:t>
      </w:r>
      <w:bookmarkEnd w:id="651"/>
      <w:bookmarkEnd w:id="652"/>
      <w:bookmarkEnd w:id="653"/>
    </w:p>
    <w:p w14:paraId="75D3981F">
      <w:pPr>
        <w:tabs>
          <w:tab w:val="left" w:pos="360"/>
          <w:tab w:val="left" w:pos="900"/>
        </w:tabs>
        <w:snapToGrid w:val="0"/>
        <w:spacing w:line="360" w:lineRule="auto"/>
        <w:jc w:val="left"/>
        <w:outlineLvl w:val="1"/>
        <w:rPr>
          <w:rFonts w:ascii="宋体" w:hAnsi="宋体"/>
          <w:b/>
          <w:color w:val="auto"/>
          <w:sz w:val="24"/>
          <w:highlight w:val="none"/>
        </w:rPr>
      </w:pPr>
      <w:r>
        <w:rPr>
          <w:rFonts w:ascii="宋体" w:hAnsi="宋体"/>
          <w:b/>
          <w:color w:val="auto"/>
          <w:sz w:val="24"/>
          <w:highlight w:val="none"/>
        </w:rPr>
        <w:t>一、评标方法</w:t>
      </w:r>
    </w:p>
    <w:p w14:paraId="072F9A26">
      <w:pPr>
        <w:numPr>
          <w:ilvl w:val="0"/>
          <w:numId w:val="16"/>
        </w:numPr>
        <w:tabs>
          <w:tab w:val="left" w:pos="360"/>
        </w:tabs>
        <w:snapToGrid w:val="0"/>
        <w:spacing w:line="360" w:lineRule="auto"/>
        <w:outlineLvl w:val="1"/>
        <w:rPr>
          <w:rFonts w:ascii="宋体" w:hAnsi="宋体"/>
          <w:color w:val="auto"/>
          <w:sz w:val="24"/>
          <w:highlight w:val="none"/>
        </w:rPr>
      </w:pPr>
      <w:bookmarkStart w:id="655" w:name="_Toc265228379"/>
      <w:bookmarkStart w:id="656" w:name="_Toc164229236"/>
      <w:bookmarkStart w:id="657" w:name="_Toc151190168"/>
      <w:bookmarkStart w:id="658" w:name="_Toc226965731"/>
      <w:bookmarkStart w:id="659" w:name="_Toc226309785"/>
      <w:bookmarkStart w:id="660" w:name="_Toc127151742"/>
      <w:bookmarkStart w:id="661" w:name="_Toc150774641"/>
      <w:bookmarkStart w:id="662" w:name="_Toc226965814"/>
      <w:bookmarkStart w:id="663" w:name="_Toc142311043"/>
      <w:bookmarkStart w:id="664" w:name="_Toc127151541"/>
      <w:bookmarkStart w:id="665" w:name="_Toc151193639"/>
      <w:bookmarkStart w:id="666" w:name="_Toc164608655"/>
      <w:bookmarkStart w:id="667" w:name="_Toc264969231"/>
      <w:bookmarkStart w:id="668" w:name="_Toc150509292"/>
      <w:bookmarkStart w:id="669" w:name="_Toc151193855"/>
      <w:bookmarkStart w:id="670" w:name="_Toc150480779"/>
      <w:bookmarkStart w:id="671" w:name="_Toc127161455"/>
      <w:bookmarkStart w:id="672" w:name="_Toc150774746"/>
      <w:bookmarkStart w:id="673" w:name="_Toc305158809"/>
      <w:bookmarkStart w:id="674" w:name="_Toc151193929"/>
      <w:bookmarkStart w:id="675" w:name="_Toc164608810"/>
      <w:bookmarkStart w:id="676" w:name="_Toc195842906"/>
      <w:bookmarkStart w:id="677" w:name="_Toc164351635"/>
      <w:bookmarkStart w:id="678" w:name="_Toc226337237"/>
      <w:bookmarkStart w:id="679" w:name="_Toc151193711"/>
      <w:bookmarkStart w:id="680" w:name="_Toc305158883"/>
      <w:bookmarkStart w:id="681" w:name="_Toc151193783"/>
      <w:bookmarkStart w:id="682" w:name="_Toc164229382"/>
      <w:bookmarkStart w:id="683" w:name="_Toc149720834"/>
      <w:bookmarkStart w:id="684" w:name="_Toc353825551"/>
      <w:bookmarkStart w:id="685" w:name="_Toc353873941"/>
      <w:bookmarkStart w:id="686" w:name="_Toc195842920"/>
      <w:bookmarkStart w:id="687" w:name="_Toc264969245"/>
      <w:bookmarkStart w:id="688" w:name="_Toc353825545"/>
      <w:bookmarkStart w:id="689" w:name="_Toc127151555"/>
      <w:bookmarkStart w:id="690" w:name="_Toc305158897"/>
      <w:bookmarkStart w:id="691" w:name="_Toc305158823"/>
      <w:bookmarkStart w:id="692" w:name="_Toc226965828"/>
      <w:bookmarkStart w:id="693" w:name="_Toc150480793"/>
      <w:bookmarkStart w:id="694" w:name="_Toc353873665"/>
      <w:bookmarkStart w:id="695" w:name="_Toc142311057"/>
      <w:bookmarkStart w:id="696" w:name="_Toc265228393"/>
      <w:bookmarkStart w:id="697" w:name="_Toc226337251"/>
      <w:bookmarkStart w:id="698" w:name="_Toc353873935"/>
      <w:bookmarkStart w:id="699" w:name="_Toc150774760"/>
      <w:r>
        <w:rPr>
          <w:rFonts w:ascii="宋体" w:hAnsi="宋体"/>
          <w:color w:val="auto"/>
          <w:sz w:val="24"/>
          <w:highlight w:val="none"/>
        </w:rPr>
        <w:t>投标文件的符合性审查</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6CB2648C">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评标委员会对资格审查合格的投标人的投标文件进行符合性审查，以确定其是否满足招标文件的实质性要求。</w:t>
      </w:r>
      <w:bookmarkStart w:id="700" w:name="_Toc520356167"/>
    </w:p>
    <w:p w14:paraId="63B5FEB3">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评标委员会根据《符合性审查</w:t>
      </w:r>
      <w:r>
        <w:rPr>
          <w:rFonts w:hint="eastAsia" w:ascii="宋体" w:hAnsi="宋体"/>
          <w:color w:val="auto"/>
          <w:sz w:val="24"/>
          <w:highlight w:val="none"/>
        </w:rPr>
        <w:t>要求</w:t>
      </w:r>
      <w:r>
        <w:rPr>
          <w:rFonts w:ascii="宋体" w:hAnsi="宋体"/>
          <w:color w:val="auto"/>
          <w:sz w:val="24"/>
          <w:highlight w:val="none"/>
        </w:rPr>
        <w:t>》中规定的审查因素和审查内容，对投标人的投标文件是否实质上响应招标文件进行符合性审查，并形成符合性审查评审结果。</w:t>
      </w:r>
      <w:r>
        <w:rPr>
          <w:rFonts w:hint="eastAsia" w:ascii="宋体" w:hAnsi="宋体"/>
          <w:color w:val="auto"/>
          <w:sz w:val="24"/>
          <w:highlight w:val="none"/>
        </w:rPr>
        <w:t>投标人《商务技术文件》有任何一项不符合</w:t>
      </w:r>
      <w:r>
        <w:rPr>
          <w:rFonts w:ascii="宋体" w:hAnsi="宋体"/>
          <w:color w:val="auto"/>
          <w:sz w:val="24"/>
          <w:highlight w:val="none"/>
        </w:rPr>
        <w:t>《符合性审查</w:t>
      </w:r>
      <w:r>
        <w:rPr>
          <w:rFonts w:hint="eastAsia" w:ascii="宋体" w:hAnsi="宋体"/>
          <w:color w:val="auto"/>
          <w:sz w:val="24"/>
          <w:highlight w:val="none"/>
        </w:rPr>
        <w:t>要求</w:t>
      </w:r>
      <w:r>
        <w:rPr>
          <w:rFonts w:ascii="宋体" w:hAnsi="宋体"/>
          <w:color w:val="auto"/>
          <w:sz w:val="24"/>
          <w:highlight w:val="none"/>
        </w:rPr>
        <w:t>》</w:t>
      </w:r>
      <w:bookmarkEnd w:id="700"/>
      <w:r>
        <w:rPr>
          <w:rFonts w:hint="eastAsia" w:ascii="宋体" w:hAnsi="宋体"/>
          <w:color w:val="auto"/>
          <w:sz w:val="24"/>
          <w:highlight w:val="none"/>
        </w:rPr>
        <w:t>要求的，</w:t>
      </w:r>
      <w:r>
        <w:rPr>
          <w:rFonts w:hint="eastAsia" w:ascii="宋体" w:hAnsi="宋体"/>
          <w:b/>
          <w:color w:val="auto"/>
          <w:sz w:val="24"/>
          <w:highlight w:val="none"/>
        </w:rPr>
        <w:t>投标无效</w:t>
      </w:r>
      <w:r>
        <w:rPr>
          <w:rFonts w:hint="eastAsia" w:ascii="宋体" w:hAnsi="宋体"/>
          <w:color w:val="auto"/>
          <w:sz w:val="24"/>
          <w:highlight w:val="none"/>
        </w:rPr>
        <w:t>。</w:t>
      </w:r>
    </w:p>
    <w:p w14:paraId="5ABAD25A">
      <w:pPr>
        <w:tabs>
          <w:tab w:val="left" w:pos="900"/>
          <w:tab w:val="left" w:pos="1080"/>
          <w:tab w:val="left" w:pos="1589"/>
        </w:tabs>
        <w:snapToGrid w:val="0"/>
        <w:spacing w:line="360" w:lineRule="auto"/>
        <w:ind w:leftChars="-170" w:hanging="357" w:hangingChars="148"/>
        <w:jc w:val="center"/>
        <w:rPr>
          <w:rFonts w:ascii="宋体" w:hAnsi="宋体"/>
          <w:b/>
          <w:color w:val="auto"/>
          <w:sz w:val="24"/>
          <w:highlight w:val="none"/>
        </w:rPr>
      </w:pPr>
      <w:r>
        <w:rPr>
          <w:rFonts w:ascii="宋体" w:hAnsi="宋体"/>
          <w:b/>
          <w:color w:val="auto"/>
          <w:sz w:val="24"/>
          <w:highlight w:val="none"/>
        </w:rPr>
        <w:t>符合性审查</w:t>
      </w:r>
      <w:r>
        <w:rPr>
          <w:rFonts w:hint="eastAsia" w:ascii="宋体" w:hAnsi="宋体"/>
          <w:b/>
          <w:color w:val="auto"/>
          <w:sz w:val="24"/>
          <w:highlight w:val="none"/>
        </w:rPr>
        <w:t>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CB3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2C22CA23">
            <w:pPr>
              <w:widowControl/>
              <w:jc w:val="center"/>
              <w:rPr>
                <w:rFonts w:ascii="宋体" w:hAnsi="宋体"/>
                <w:b/>
                <w:color w:val="auto"/>
                <w:kern w:val="0"/>
                <w:sz w:val="24"/>
                <w:highlight w:val="none"/>
              </w:rPr>
            </w:pPr>
            <w:r>
              <w:rPr>
                <w:rFonts w:ascii="宋体" w:hAnsi="宋体"/>
                <w:b/>
                <w:color w:val="auto"/>
                <w:kern w:val="0"/>
                <w:sz w:val="24"/>
                <w:highlight w:val="none"/>
              </w:rPr>
              <w:t>序号</w:t>
            </w:r>
          </w:p>
        </w:tc>
        <w:tc>
          <w:tcPr>
            <w:tcW w:w="975" w:type="pct"/>
            <w:vAlign w:val="center"/>
          </w:tcPr>
          <w:p w14:paraId="4D99ED45">
            <w:pPr>
              <w:widowControl/>
              <w:jc w:val="center"/>
              <w:rPr>
                <w:rFonts w:ascii="宋体" w:hAnsi="宋体"/>
                <w:b/>
                <w:color w:val="auto"/>
                <w:kern w:val="0"/>
                <w:sz w:val="24"/>
                <w:highlight w:val="none"/>
              </w:rPr>
            </w:pPr>
            <w:r>
              <w:rPr>
                <w:rFonts w:ascii="宋体" w:hAnsi="宋体"/>
                <w:b/>
                <w:color w:val="auto"/>
                <w:kern w:val="0"/>
                <w:sz w:val="24"/>
                <w:highlight w:val="none"/>
              </w:rPr>
              <w:t>审查因素</w:t>
            </w:r>
          </w:p>
        </w:tc>
        <w:tc>
          <w:tcPr>
            <w:tcW w:w="3620" w:type="pct"/>
            <w:vAlign w:val="center"/>
          </w:tcPr>
          <w:p w14:paraId="112B5085">
            <w:pPr>
              <w:widowControl/>
              <w:jc w:val="center"/>
              <w:rPr>
                <w:rFonts w:ascii="宋体" w:hAnsi="宋体"/>
                <w:b/>
                <w:color w:val="auto"/>
                <w:kern w:val="0"/>
                <w:sz w:val="24"/>
                <w:highlight w:val="none"/>
              </w:rPr>
            </w:pPr>
            <w:r>
              <w:rPr>
                <w:rFonts w:ascii="宋体" w:hAnsi="宋体"/>
                <w:b/>
                <w:color w:val="auto"/>
                <w:kern w:val="0"/>
                <w:sz w:val="24"/>
                <w:highlight w:val="none"/>
              </w:rPr>
              <w:t>审查内容</w:t>
            </w:r>
          </w:p>
        </w:tc>
      </w:tr>
      <w:tr w14:paraId="34D4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A854D3F">
            <w:pPr>
              <w:widowControl/>
              <w:jc w:val="center"/>
              <w:rPr>
                <w:rFonts w:ascii="宋体" w:hAnsi="宋体"/>
                <w:color w:val="auto"/>
                <w:kern w:val="0"/>
                <w:sz w:val="24"/>
                <w:highlight w:val="none"/>
              </w:rPr>
            </w:pPr>
            <w:r>
              <w:rPr>
                <w:rFonts w:ascii="宋体" w:hAnsi="宋体"/>
                <w:color w:val="auto"/>
                <w:kern w:val="0"/>
                <w:sz w:val="24"/>
                <w:highlight w:val="none"/>
              </w:rPr>
              <w:t>1</w:t>
            </w:r>
          </w:p>
        </w:tc>
        <w:tc>
          <w:tcPr>
            <w:tcW w:w="975" w:type="pct"/>
            <w:vAlign w:val="center"/>
          </w:tcPr>
          <w:p w14:paraId="3CDE276E">
            <w:pPr>
              <w:widowControl/>
              <w:jc w:val="left"/>
              <w:rPr>
                <w:rFonts w:ascii="宋体" w:hAnsi="宋体"/>
                <w:color w:val="auto"/>
                <w:kern w:val="0"/>
                <w:sz w:val="24"/>
                <w:highlight w:val="none"/>
              </w:rPr>
            </w:pPr>
            <w:r>
              <w:rPr>
                <w:rFonts w:ascii="宋体" w:hAnsi="宋体"/>
                <w:color w:val="auto"/>
                <w:kern w:val="0"/>
                <w:sz w:val="24"/>
                <w:highlight w:val="none"/>
              </w:rPr>
              <w:t>授权委托书</w:t>
            </w:r>
          </w:p>
        </w:tc>
        <w:tc>
          <w:tcPr>
            <w:tcW w:w="3620" w:type="pct"/>
            <w:vAlign w:val="center"/>
          </w:tcPr>
          <w:p w14:paraId="00EA1A3C">
            <w:pPr>
              <w:widowControl/>
              <w:jc w:val="left"/>
              <w:rPr>
                <w:rFonts w:ascii="宋体" w:hAnsi="宋体"/>
                <w:color w:val="auto"/>
                <w:kern w:val="0"/>
                <w:sz w:val="24"/>
                <w:highlight w:val="none"/>
              </w:rPr>
            </w:pPr>
            <w:r>
              <w:rPr>
                <w:rFonts w:ascii="宋体" w:hAnsi="宋体"/>
                <w:color w:val="auto"/>
                <w:kern w:val="0"/>
                <w:sz w:val="24"/>
                <w:highlight w:val="none"/>
              </w:rPr>
              <w:t>按招标文件要求提供授权委托书；</w:t>
            </w:r>
          </w:p>
        </w:tc>
      </w:tr>
      <w:tr w14:paraId="2E2C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D6DD33D">
            <w:pPr>
              <w:widowControl/>
              <w:jc w:val="center"/>
              <w:rPr>
                <w:rFonts w:ascii="宋体" w:hAnsi="宋体"/>
                <w:color w:val="auto"/>
                <w:kern w:val="0"/>
                <w:sz w:val="24"/>
                <w:highlight w:val="none"/>
              </w:rPr>
            </w:pPr>
            <w:r>
              <w:rPr>
                <w:rFonts w:ascii="宋体" w:hAnsi="宋体"/>
                <w:color w:val="auto"/>
                <w:kern w:val="0"/>
                <w:sz w:val="24"/>
                <w:highlight w:val="none"/>
              </w:rPr>
              <w:t>2</w:t>
            </w:r>
          </w:p>
        </w:tc>
        <w:tc>
          <w:tcPr>
            <w:tcW w:w="975" w:type="pct"/>
            <w:vAlign w:val="center"/>
          </w:tcPr>
          <w:p w14:paraId="7017A2D9">
            <w:pPr>
              <w:widowControl/>
              <w:jc w:val="left"/>
              <w:rPr>
                <w:rFonts w:ascii="宋体" w:hAnsi="宋体"/>
                <w:color w:val="auto"/>
                <w:kern w:val="0"/>
                <w:sz w:val="24"/>
                <w:highlight w:val="none"/>
              </w:rPr>
            </w:pPr>
            <w:r>
              <w:rPr>
                <w:rFonts w:ascii="宋体" w:hAnsi="宋体"/>
                <w:color w:val="auto"/>
                <w:kern w:val="0"/>
                <w:sz w:val="24"/>
                <w:highlight w:val="none"/>
              </w:rPr>
              <w:t>投标完整性</w:t>
            </w:r>
          </w:p>
        </w:tc>
        <w:tc>
          <w:tcPr>
            <w:tcW w:w="3620" w:type="pct"/>
            <w:vAlign w:val="center"/>
          </w:tcPr>
          <w:p w14:paraId="24502FDC">
            <w:pPr>
              <w:widowControl/>
              <w:jc w:val="left"/>
              <w:rPr>
                <w:rFonts w:ascii="宋体" w:hAnsi="宋体"/>
                <w:color w:val="auto"/>
                <w:kern w:val="0"/>
                <w:sz w:val="24"/>
                <w:highlight w:val="none"/>
              </w:rPr>
            </w:pPr>
            <w:r>
              <w:rPr>
                <w:rFonts w:hint="eastAsia" w:ascii="宋体" w:hAnsi="宋体"/>
                <w:color w:val="auto"/>
                <w:sz w:val="24"/>
                <w:highlight w:val="none"/>
              </w:rPr>
              <w:t>未</w:t>
            </w:r>
            <w:r>
              <w:rPr>
                <w:rFonts w:ascii="宋体" w:hAnsi="宋体"/>
                <w:color w:val="auto"/>
                <w:sz w:val="24"/>
                <w:highlight w:val="none"/>
              </w:rPr>
              <w:t>将一个采购包中的内容拆开投标；</w:t>
            </w:r>
          </w:p>
        </w:tc>
      </w:tr>
      <w:tr w14:paraId="562A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5E771B7">
            <w:pPr>
              <w:widowControl/>
              <w:jc w:val="center"/>
              <w:rPr>
                <w:rFonts w:ascii="宋体" w:hAnsi="宋体"/>
                <w:color w:val="auto"/>
                <w:kern w:val="0"/>
                <w:sz w:val="24"/>
                <w:highlight w:val="none"/>
              </w:rPr>
            </w:pPr>
            <w:r>
              <w:rPr>
                <w:rFonts w:ascii="宋体" w:hAnsi="宋体"/>
                <w:color w:val="auto"/>
                <w:kern w:val="0"/>
                <w:sz w:val="24"/>
                <w:highlight w:val="none"/>
              </w:rPr>
              <w:t>3</w:t>
            </w:r>
          </w:p>
        </w:tc>
        <w:tc>
          <w:tcPr>
            <w:tcW w:w="975" w:type="pct"/>
            <w:vAlign w:val="center"/>
          </w:tcPr>
          <w:p w14:paraId="7C8FFF81">
            <w:pPr>
              <w:widowControl/>
              <w:jc w:val="left"/>
              <w:rPr>
                <w:rFonts w:ascii="宋体" w:hAnsi="宋体"/>
                <w:color w:val="auto"/>
                <w:kern w:val="0"/>
                <w:sz w:val="24"/>
                <w:highlight w:val="none"/>
              </w:rPr>
            </w:pPr>
            <w:r>
              <w:rPr>
                <w:rFonts w:ascii="宋体" w:hAnsi="宋体"/>
                <w:color w:val="auto"/>
                <w:kern w:val="0"/>
                <w:sz w:val="24"/>
                <w:highlight w:val="none"/>
              </w:rPr>
              <w:t>投标报价</w:t>
            </w:r>
          </w:p>
        </w:tc>
        <w:tc>
          <w:tcPr>
            <w:tcW w:w="3620" w:type="pct"/>
            <w:vAlign w:val="center"/>
          </w:tcPr>
          <w:p w14:paraId="2D328C25">
            <w:pPr>
              <w:widowControl/>
              <w:jc w:val="left"/>
              <w:rPr>
                <w:rFonts w:ascii="宋体" w:hAnsi="宋体"/>
                <w:color w:val="auto"/>
                <w:kern w:val="0"/>
                <w:sz w:val="24"/>
                <w:highlight w:val="none"/>
              </w:rPr>
            </w:pPr>
            <w:r>
              <w:rPr>
                <w:rFonts w:ascii="宋体" w:hAnsi="宋体"/>
                <w:color w:val="auto"/>
                <w:kern w:val="0"/>
                <w:sz w:val="24"/>
                <w:highlight w:val="none"/>
              </w:rPr>
              <w:t>投标报价</w:t>
            </w:r>
            <w:r>
              <w:rPr>
                <w:rFonts w:hint="eastAsia" w:ascii="宋体" w:hAnsi="宋体"/>
                <w:color w:val="auto"/>
                <w:kern w:val="0"/>
                <w:sz w:val="24"/>
                <w:highlight w:val="none"/>
              </w:rPr>
              <w:t>未</w:t>
            </w:r>
            <w:r>
              <w:rPr>
                <w:rFonts w:ascii="宋体" w:hAnsi="宋体"/>
                <w:color w:val="auto"/>
                <w:sz w:val="24"/>
                <w:highlight w:val="none"/>
              </w:rPr>
              <w:t>超过招标文件中规定的项目/采购包预算金额或者项目/采购包最高限价</w:t>
            </w:r>
            <w:r>
              <w:rPr>
                <w:rFonts w:ascii="宋体" w:hAnsi="宋体"/>
                <w:color w:val="auto"/>
                <w:kern w:val="0"/>
                <w:sz w:val="24"/>
                <w:highlight w:val="none"/>
              </w:rPr>
              <w:t>；</w:t>
            </w:r>
          </w:p>
        </w:tc>
      </w:tr>
      <w:tr w14:paraId="5E33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5B0D79">
            <w:pPr>
              <w:widowControl/>
              <w:jc w:val="center"/>
              <w:rPr>
                <w:rFonts w:ascii="宋体" w:hAnsi="宋体"/>
                <w:color w:val="auto"/>
                <w:kern w:val="0"/>
                <w:sz w:val="24"/>
                <w:highlight w:val="none"/>
              </w:rPr>
            </w:pPr>
            <w:r>
              <w:rPr>
                <w:rFonts w:ascii="宋体" w:hAnsi="宋体"/>
                <w:color w:val="auto"/>
                <w:kern w:val="0"/>
                <w:sz w:val="24"/>
                <w:highlight w:val="none"/>
              </w:rPr>
              <w:t>4</w:t>
            </w:r>
          </w:p>
        </w:tc>
        <w:tc>
          <w:tcPr>
            <w:tcW w:w="975" w:type="pct"/>
            <w:vAlign w:val="center"/>
          </w:tcPr>
          <w:p w14:paraId="43AB8733">
            <w:pPr>
              <w:widowControl/>
              <w:jc w:val="left"/>
              <w:rPr>
                <w:rFonts w:ascii="宋体" w:hAnsi="宋体"/>
                <w:color w:val="auto"/>
                <w:kern w:val="0"/>
                <w:sz w:val="24"/>
                <w:highlight w:val="none"/>
              </w:rPr>
            </w:pPr>
            <w:r>
              <w:rPr>
                <w:rFonts w:ascii="宋体" w:hAnsi="宋体"/>
                <w:color w:val="auto"/>
                <w:kern w:val="0"/>
                <w:sz w:val="24"/>
                <w:highlight w:val="none"/>
              </w:rPr>
              <w:t>报价唯一性</w:t>
            </w:r>
          </w:p>
        </w:tc>
        <w:tc>
          <w:tcPr>
            <w:tcW w:w="3620" w:type="pct"/>
            <w:vAlign w:val="center"/>
          </w:tcPr>
          <w:p w14:paraId="58BA21FF">
            <w:pPr>
              <w:widowControl/>
              <w:jc w:val="left"/>
              <w:rPr>
                <w:rFonts w:ascii="宋体" w:hAnsi="宋体"/>
                <w:color w:val="auto"/>
                <w:kern w:val="0"/>
                <w:sz w:val="24"/>
                <w:highlight w:val="none"/>
              </w:rPr>
            </w:pPr>
            <w:r>
              <w:rPr>
                <w:rFonts w:ascii="宋体" w:hAnsi="宋体"/>
                <w:color w:val="auto"/>
                <w:kern w:val="0"/>
                <w:sz w:val="24"/>
                <w:highlight w:val="none"/>
              </w:rPr>
              <w:t>投标文件</w:t>
            </w:r>
            <w:r>
              <w:rPr>
                <w:rFonts w:hint="eastAsia" w:ascii="宋体" w:hAnsi="宋体"/>
                <w:color w:val="auto"/>
                <w:kern w:val="0"/>
                <w:sz w:val="24"/>
                <w:highlight w:val="none"/>
              </w:rPr>
              <w:t>未</w:t>
            </w:r>
            <w:r>
              <w:rPr>
                <w:rFonts w:hint="eastAsia" w:ascii="宋体" w:hAnsi="宋体"/>
                <w:color w:val="auto"/>
                <w:sz w:val="24"/>
                <w:highlight w:val="none"/>
              </w:rPr>
              <w:t>出现可选择性或可调整的报价（招标文件另有规定的除外）</w:t>
            </w:r>
            <w:r>
              <w:rPr>
                <w:rFonts w:ascii="宋体" w:hAnsi="宋体"/>
                <w:color w:val="auto"/>
                <w:kern w:val="0"/>
                <w:sz w:val="24"/>
                <w:highlight w:val="none"/>
              </w:rPr>
              <w:t>；</w:t>
            </w:r>
          </w:p>
        </w:tc>
      </w:tr>
      <w:tr w14:paraId="6B58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533CCB4">
            <w:pPr>
              <w:widowControl/>
              <w:jc w:val="center"/>
              <w:rPr>
                <w:rFonts w:ascii="宋体" w:hAnsi="宋体"/>
                <w:color w:val="auto"/>
                <w:kern w:val="0"/>
                <w:sz w:val="24"/>
                <w:highlight w:val="none"/>
              </w:rPr>
            </w:pPr>
            <w:r>
              <w:rPr>
                <w:rFonts w:ascii="宋体" w:hAnsi="宋体"/>
                <w:color w:val="auto"/>
                <w:kern w:val="0"/>
                <w:sz w:val="24"/>
                <w:highlight w:val="none"/>
              </w:rPr>
              <w:t>5</w:t>
            </w:r>
          </w:p>
        </w:tc>
        <w:tc>
          <w:tcPr>
            <w:tcW w:w="975" w:type="pct"/>
            <w:vAlign w:val="center"/>
          </w:tcPr>
          <w:p w14:paraId="383B8794">
            <w:pPr>
              <w:widowControl/>
              <w:jc w:val="left"/>
              <w:rPr>
                <w:rFonts w:ascii="宋体" w:hAnsi="宋体"/>
                <w:color w:val="auto"/>
                <w:kern w:val="0"/>
                <w:sz w:val="24"/>
                <w:highlight w:val="none"/>
              </w:rPr>
            </w:pPr>
            <w:r>
              <w:rPr>
                <w:rFonts w:ascii="宋体" w:hAnsi="宋体"/>
                <w:color w:val="auto"/>
                <w:kern w:val="0"/>
                <w:sz w:val="24"/>
                <w:highlight w:val="none"/>
              </w:rPr>
              <w:t>投标有效期</w:t>
            </w:r>
          </w:p>
        </w:tc>
        <w:tc>
          <w:tcPr>
            <w:tcW w:w="3620" w:type="pct"/>
            <w:vAlign w:val="center"/>
          </w:tcPr>
          <w:p w14:paraId="73502963">
            <w:pPr>
              <w:widowControl/>
              <w:jc w:val="left"/>
              <w:rPr>
                <w:rFonts w:ascii="宋体" w:hAnsi="宋体"/>
                <w:color w:val="auto"/>
                <w:kern w:val="0"/>
                <w:sz w:val="24"/>
                <w:highlight w:val="none"/>
              </w:rPr>
            </w:pPr>
            <w:r>
              <w:rPr>
                <w:rFonts w:ascii="宋体" w:hAnsi="宋体"/>
                <w:color w:val="auto"/>
                <w:kern w:val="0"/>
                <w:sz w:val="24"/>
                <w:highlight w:val="none"/>
              </w:rPr>
              <w:t>投标文件中承诺的投标有效期</w:t>
            </w:r>
            <w:r>
              <w:rPr>
                <w:rFonts w:hint="eastAsia" w:ascii="宋体" w:hAnsi="宋体"/>
                <w:color w:val="auto"/>
                <w:kern w:val="0"/>
                <w:sz w:val="24"/>
                <w:highlight w:val="none"/>
              </w:rPr>
              <w:t>满足</w:t>
            </w:r>
            <w:r>
              <w:rPr>
                <w:rFonts w:ascii="宋体" w:hAnsi="宋体"/>
                <w:color w:val="auto"/>
                <w:kern w:val="0"/>
                <w:sz w:val="24"/>
                <w:highlight w:val="none"/>
              </w:rPr>
              <w:t>招标文件中载明的投标有效期的；</w:t>
            </w:r>
          </w:p>
        </w:tc>
      </w:tr>
      <w:tr w14:paraId="1386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D41CA4D">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6</w:t>
            </w:r>
          </w:p>
        </w:tc>
        <w:tc>
          <w:tcPr>
            <w:tcW w:w="975" w:type="pct"/>
            <w:vAlign w:val="center"/>
          </w:tcPr>
          <w:p w14:paraId="2719B8D1">
            <w:pPr>
              <w:widowControl/>
              <w:jc w:val="left"/>
              <w:rPr>
                <w:rFonts w:ascii="宋体" w:hAnsi="宋体"/>
                <w:color w:val="auto"/>
                <w:kern w:val="0"/>
                <w:sz w:val="24"/>
                <w:highlight w:val="none"/>
              </w:rPr>
            </w:pPr>
            <w:r>
              <w:rPr>
                <w:rFonts w:hint="eastAsia" w:ascii="宋体" w:hAnsi="宋体"/>
                <w:color w:val="auto"/>
                <w:kern w:val="0"/>
                <w:sz w:val="24"/>
                <w:highlight w:val="none"/>
              </w:rPr>
              <w:t>实质性格式</w:t>
            </w:r>
          </w:p>
        </w:tc>
        <w:tc>
          <w:tcPr>
            <w:tcW w:w="3620" w:type="pct"/>
            <w:vAlign w:val="center"/>
          </w:tcPr>
          <w:p w14:paraId="0A0626FA">
            <w:pPr>
              <w:widowControl/>
              <w:jc w:val="left"/>
              <w:rPr>
                <w:rFonts w:ascii="宋体" w:hAnsi="宋体"/>
                <w:color w:val="auto"/>
                <w:kern w:val="0"/>
                <w:sz w:val="24"/>
                <w:highlight w:val="none"/>
              </w:rPr>
            </w:pPr>
            <w:r>
              <w:rPr>
                <w:rFonts w:hint="eastAsia" w:ascii="宋体" w:hAnsi="宋体"/>
                <w:color w:val="auto"/>
                <w:kern w:val="0"/>
                <w:sz w:val="24"/>
                <w:highlight w:val="none"/>
              </w:rPr>
              <w:t>标记为</w:t>
            </w:r>
            <w:r>
              <w:rPr>
                <w:rFonts w:ascii="宋体" w:hAnsi="宋体"/>
                <w:color w:val="auto"/>
                <w:kern w:val="0"/>
                <w:sz w:val="24"/>
                <w:highlight w:val="none"/>
              </w:rPr>
              <w:t>“实质性格式”的</w:t>
            </w:r>
            <w:r>
              <w:rPr>
                <w:rFonts w:hint="eastAsia" w:ascii="宋体" w:hAnsi="宋体"/>
                <w:color w:val="auto"/>
                <w:kern w:val="0"/>
                <w:sz w:val="24"/>
                <w:highlight w:val="none"/>
              </w:rPr>
              <w:t>文件均按</w:t>
            </w:r>
            <w:r>
              <w:rPr>
                <w:rFonts w:ascii="宋体" w:hAnsi="宋体"/>
                <w:color w:val="auto"/>
                <w:kern w:val="0"/>
                <w:sz w:val="24"/>
                <w:highlight w:val="none"/>
              </w:rPr>
              <w:t>招标文件</w:t>
            </w:r>
            <w:r>
              <w:rPr>
                <w:rFonts w:hint="eastAsia" w:ascii="宋体" w:hAnsi="宋体"/>
                <w:color w:val="auto"/>
                <w:kern w:val="0"/>
                <w:sz w:val="24"/>
                <w:highlight w:val="none"/>
              </w:rPr>
              <w:t>要求提供；</w:t>
            </w:r>
          </w:p>
        </w:tc>
      </w:tr>
      <w:tr w14:paraId="4B0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D3592AC">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7</w:t>
            </w:r>
          </w:p>
        </w:tc>
        <w:tc>
          <w:tcPr>
            <w:tcW w:w="975" w:type="pct"/>
            <w:vAlign w:val="center"/>
          </w:tcPr>
          <w:p w14:paraId="421C2CAA">
            <w:pPr>
              <w:widowControl/>
              <w:jc w:val="left"/>
              <w:rPr>
                <w:rFonts w:ascii="宋体" w:hAnsi="宋体"/>
                <w:color w:val="auto"/>
                <w:kern w:val="0"/>
                <w:sz w:val="24"/>
                <w:highlight w:val="none"/>
              </w:rPr>
            </w:pPr>
            <w:r>
              <w:rPr>
                <w:rFonts w:ascii="宋体" w:hAnsi="宋体"/>
                <w:color w:val="auto"/>
                <w:kern w:val="0"/>
                <w:sz w:val="24"/>
                <w:highlight w:val="none"/>
              </w:rPr>
              <w:t>条款响应</w:t>
            </w:r>
          </w:p>
        </w:tc>
        <w:tc>
          <w:tcPr>
            <w:tcW w:w="3620" w:type="pct"/>
            <w:vAlign w:val="center"/>
          </w:tcPr>
          <w:p w14:paraId="44BA1963">
            <w:pPr>
              <w:widowControl/>
              <w:jc w:val="left"/>
              <w:rPr>
                <w:rFonts w:ascii="宋体" w:hAnsi="宋体"/>
                <w:color w:val="auto"/>
                <w:kern w:val="0"/>
                <w:sz w:val="24"/>
                <w:highlight w:val="none"/>
              </w:rPr>
            </w:pPr>
            <w:r>
              <w:rPr>
                <w:rFonts w:ascii="宋体" w:hAnsi="宋体"/>
                <w:color w:val="auto"/>
                <w:kern w:val="0"/>
                <w:sz w:val="24"/>
                <w:highlight w:val="none"/>
              </w:rPr>
              <w:t>投标文件满足招标文件</w:t>
            </w:r>
            <w:r>
              <w:rPr>
                <w:rFonts w:ascii="宋体" w:hAnsi="宋体"/>
                <w:color w:val="auto"/>
                <w:sz w:val="24"/>
                <w:highlight w:val="none"/>
              </w:rPr>
              <w:t>第五章《采购需求》</w:t>
            </w:r>
            <w:r>
              <w:rPr>
                <w:rFonts w:ascii="宋体" w:hAnsi="宋体"/>
                <w:color w:val="auto"/>
                <w:kern w:val="0"/>
                <w:sz w:val="24"/>
                <w:highlight w:val="none"/>
              </w:rPr>
              <w:t>中条款要求；</w:t>
            </w:r>
          </w:p>
        </w:tc>
      </w:tr>
      <w:tr w14:paraId="0DB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8AC4EFE">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8</w:t>
            </w:r>
          </w:p>
        </w:tc>
        <w:tc>
          <w:tcPr>
            <w:tcW w:w="975" w:type="pct"/>
            <w:vAlign w:val="center"/>
          </w:tcPr>
          <w:p w14:paraId="7DF6EBC5">
            <w:pPr>
              <w:widowControl/>
              <w:jc w:val="left"/>
              <w:rPr>
                <w:rFonts w:ascii="宋体" w:hAnsi="宋体"/>
                <w:color w:val="auto"/>
                <w:kern w:val="0"/>
                <w:sz w:val="24"/>
                <w:highlight w:val="none"/>
              </w:rPr>
            </w:pPr>
            <w:r>
              <w:rPr>
                <w:rFonts w:ascii="宋体" w:hAnsi="宋体"/>
                <w:color w:val="auto"/>
                <w:kern w:val="0"/>
                <w:sz w:val="24"/>
                <w:highlight w:val="none"/>
              </w:rPr>
              <w:t>分包承担主体资质（如有）</w:t>
            </w:r>
          </w:p>
        </w:tc>
        <w:tc>
          <w:tcPr>
            <w:tcW w:w="3620" w:type="pct"/>
            <w:vAlign w:val="center"/>
          </w:tcPr>
          <w:p w14:paraId="4CE7ABFC">
            <w:pPr>
              <w:widowControl/>
              <w:jc w:val="left"/>
              <w:rPr>
                <w:rFonts w:ascii="宋体" w:hAnsi="宋体"/>
                <w:color w:val="auto"/>
                <w:kern w:val="0"/>
                <w:sz w:val="24"/>
                <w:highlight w:val="none"/>
              </w:rPr>
            </w:pPr>
            <w:r>
              <w:rPr>
                <w:rFonts w:ascii="宋体" w:hAnsi="宋体"/>
                <w:color w:val="auto"/>
                <w:sz w:val="24"/>
                <w:highlight w:val="none"/>
              </w:rPr>
              <w:t>分包承担主体具备《投标人须知资料表》载明的资质条件</w:t>
            </w:r>
            <w:r>
              <w:rPr>
                <w:rFonts w:hint="eastAsia" w:ascii="宋体" w:hAnsi="宋体"/>
                <w:color w:val="auto"/>
                <w:sz w:val="24"/>
                <w:highlight w:val="none"/>
              </w:rPr>
              <w:t>且</w:t>
            </w:r>
            <w:r>
              <w:rPr>
                <w:rFonts w:ascii="宋体" w:hAnsi="宋体"/>
                <w:color w:val="auto"/>
                <w:sz w:val="24"/>
                <w:highlight w:val="none"/>
              </w:rPr>
              <w:t>提供</w:t>
            </w:r>
            <w:r>
              <w:rPr>
                <w:rFonts w:hint="eastAsia" w:ascii="宋体" w:hAnsi="宋体"/>
                <w:color w:val="auto"/>
                <w:sz w:val="24"/>
                <w:highlight w:val="none"/>
              </w:rPr>
              <w:t>了</w:t>
            </w:r>
            <w:r>
              <w:rPr>
                <w:rFonts w:ascii="宋体" w:hAnsi="宋体"/>
                <w:color w:val="auto"/>
                <w:sz w:val="24"/>
                <w:highlight w:val="none"/>
              </w:rPr>
              <w:t>资质证书电子件</w:t>
            </w:r>
            <w:r>
              <w:rPr>
                <w:rFonts w:hint="eastAsia" w:ascii="宋体" w:hAnsi="宋体"/>
                <w:color w:val="auto"/>
                <w:sz w:val="24"/>
                <w:highlight w:val="none"/>
              </w:rPr>
              <w:t>（如有）</w:t>
            </w:r>
            <w:r>
              <w:rPr>
                <w:rFonts w:ascii="宋体" w:hAnsi="宋体"/>
                <w:color w:val="auto"/>
                <w:sz w:val="24"/>
                <w:highlight w:val="none"/>
              </w:rPr>
              <w:t>；</w:t>
            </w:r>
          </w:p>
        </w:tc>
      </w:tr>
      <w:tr w14:paraId="0374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8625BB8">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9</w:t>
            </w:r>
          </w:p>
        </w:tc>
        <w:tc>
          <w:tcPr>
            <w:tcW w:w="975" w:type="pct"/>
            <w:vAlign w:val="center"/>
          </w:tcPr>
          <w:p w14:paraId="421AE5C7">
            <w:pPr>
              <w:widowControl/>
              <w:jc w:val="left"/>
              <w:rPr>
                <w:rFonts w:ascii="宋体" w:hAnsi="宋体"/>
                <w:color w:val="auto"/>
                <w:kern w:val="0"/>
                <w:sz w:val="24"/>
                <w:highlight w:val="none"/>
              </w:rPr>
            </w:pPr>
            <w:r>
              <w:rPr>
                <w:rFonts w:ascii="宋体" w:hAnsi="宋体"/>
                <w:color w:val="auto"/>
                <w:kern w:val="0"/>
                <w:sz w:val="24"/>
                <w:highlight w:val="none"/>
              </w:rPr>
              <w:t>分包意向协议</w:t>
            </w:r>
          </w:p>
          <w:p w14:paraId="03861491">
            <w:pPr>
              <w:widowControl/>
              <w:jc w:val="left"/>
              <w:rPr>
                <w:rFonts w:ascii="宋体" w:hAnsi="宋体"/>
                <w:color w:val="auto"/>
                <w:kern w:val="0"/>
                <w:sz w:val="24"/>
                <w:highlight w:val="none"/>
              </w:rPr>
            </w:pPr>
            <w:r>
              <w:rPr>
                <w:rFonts w:ascii="宋体" w:hAnsi="宋体"/>
                <w:color w:val="auto"/>
                <w:kern w:val="0"/>
                <w:sz w:val="24"/>
                <w:highlight w:val="none"/>
              </w:rPr>
              <w:t>（如有）</w:t>
            </w:r>
          </w:p>
        </w:tc>
        <w:tc>
          <w:tcPr>
            <w:tcW w:w="3620" w:type="pct"/>
            <w:vAlign w:val="center"/>
          </w:tcPr>
          <w:p w14:paraId="0A01F32D">
            <w:pPr>
              <w:widowControl/>
              <w:jc w:val="left"/>
              <w:rPr>
                <w:rFonts w:ascii="宋体" w:hAnsi="宋体"/>
                <w:color w:val="auto"/>
                <w:kern w:val="0"/>
                <w:sz w:val="24"/>
                <w:highlight w:val="none"/>
              </w:rPr>
            </w:pPr>
            <w:r>
              <w:rPr>
                <w:rFonts w:ascii="宋体" w:hAnsi="宋体"/>
                <w:color w:val="auto"/>
                <w:kern w:val="0"/>
                <w:sz w:val="24"/>
                <w:highlight w:val="none"/>
              </w:rPr>
              <w:t>按招标文件规定签订并提供分包意向协议原件的电子件的；</w:t>
            </w:r>
            <w:r>
              <w:rPr>
                <w:rFonts w:hint="eastAsia" w:ascii="宋体" w:hAnsi="宋体"/>
                <w:color w:val="auto"/>
                <w:sz w:val="24"/>
                <w:highlight w:val="none"/>
              </w:rPr>
              <w:t>（如有）</w:t>
            </w:r>
          </w:p>
        </w:tc>
      </w:tr>
      <w:tr w14:paraId="2EA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FD48634">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10</w:t>
            </w:r>
          </w:p>
        </w:tc>
        <w:tc>
          <w:tcPr>
            <w:tcW w:w="975" w:type="pct"/>
            <w:vAlign w:val="center"/>
          </w:tcPr>
          <w:p w14:paraId="344C1098">
            <w:pPr>
              <w:widowControl/>
              <w:jc w:val="left"/>
              <w:rPr>
                <w:rFonts w:ascii="宋体" w:hAnsi="宋体"/>
                <w:color w:val="auto"/>
                <w:kern w:val="0"/>
                <w:sz w:val="24"/>
                <w:highlight w:val="none"/>
              </w:rPr>
            </w:pPr>
            <w:r>
              <w:rPr>
                <w:rFonts w:ascii="宋体" w:hAnsi="宋体"/>
                <w:color w:val="auto"/>
                <w:kern w:val="0"/>
                <w:sz w:val="24"/>
                <w:highlight w:val="none"/>
              </w:rPr>
              <w:t>报价的修正（如有）</w:t>
            </w:r>
          </w:p>
        </w:tc>
        <w:tc>
          <w:tcPr>
            <w:tcW w:w="3620" w:type="pct"/>
            <w:vAlign w:val="center"/>
          </w:tcPr>
          <w:p w14:paraId="19E4D3D2">
            <w:pPr>
              <w:widowControl/>
              <w:jc w:val="left"/>
              <w:rPr>
                <w:rFonts w:ascii="宋体" w:hAnsi="宋体"/>
                <w:color w:val="auto"/>
                <w:kern w:val="0"/>
                <w:sz w:val="24"/>
                <w:highlight w:val="none"/>
              </w:rPr>
            </w:pPr>
            <w:r>
              <w:rPr>
                <w:rFonts w:hint="eastAsia" w:ascii="宋体" w:hAnsi="宋体"/>
                <w:color w:val="auto"/>
                <w:kern w:val="0"/>
                <w:sz w:val="24"/>
                <w:highlight w:val="none"/>
              </w:rPr>
              <w:t>不涉及报价修正</w:t>
            </w:r>
            <w:r>
              <w:rPr>
                <w:rFonts w:ascii="宋体" w:hAnsi="宋体"/>
                <w:color w:val="auto"/>
                <w:kern w:val="0"/>
                <w:sz w:val="24"/>
                <w:highlight w:val="none"/>
              </w:rPr>
              <w:t>，或投标文件报价出现前后不一致</w:t>
            </w:r>
            <w:r>
              <w:rPr>
                <w:rFonts w:hint="eastAsia" w:ascii="宋体" w:hAnsi="宋体"/>
                <w:color w:val="auto"/>
                <w:kern w:val="0"/>
                <w:sz w:val="24"/>
                <w:highlight w:val="none"/>
              </w:rPr>
              <w:t>时</w:t>
            </w:r>
            <w:r>
              <w:rPr>
                <w:rFonts w:ascii="宋体" w:hAnsi="宋体"/>
                <w:color w:val="auto"/>
                <w:kern w:val="0"/>
                <w:sz w:val="24"/>
                <w:highlight w:val="none"/>
              </w:rPr>
              <w:t>，投标人对修正后的报价予</w:t>
            </w:r>
            <w:r>
              <w:rPr>
                <w:rFonts w:hint="eastAsia" w:ascii="宋体" w:hAnsi="宋体"/>
                <w:color w:val="auto"/>
                <w:kern w:val="0"/>
                <w:sz w:val="24"/>
                <w:highlight w:val="none"/>
              </w:rPr>
              <w:t>以</w:t>
            </w:r>
            <w:r>
              <w:rPr>
                <w:rFonts w:ascii="宋体" w:hAnsi="宋体"/>
                <w:color w:val="auto"/>
                <w:kern w:val="0"/>
                <w:sz w:val="24"/>
                <w:highlight w:val="none"/>
              </w:rPr>
              <w:t>确认；（如有）</w:t>
            </w:r>
          </w:p>
        </w:tc>
      </w:tr>
      <w:tr w14:paraId="7176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8B61ADC">
            <w:pPr>
              <w:widowControl/>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11</w:t>
            </w:r>
          </w:p>
        </w:tc>
        <w:tc>
          <w:tcPr>
            <w:tcW w:w="975" w:type="pct"/>
            <w:vAlign w:val="center"/>
          </w:tcPr>
          <w:p w14:paraId="5539F9FD">
            <w:pPr>
              <w:widowControl/>
              <w:jc w:val="left"/>
              <w:rPr>
                <w:rFonts w:ascii="宋体" w:hAnsi="宋体"/>
                <w:color w:val="auto"/>
                <w:kern w:val="0"/>
                <w:sz w:val="24"/>
                <w:highlight w:val="none"/>
              </w:rPr>
            </w:pPr>
            <w:r>
              <w:rPr>
                <w:rFonts w:ascii="宋体" w:hAnsi="宋体"/>
                <w:color w:val="auto"/>
                <w:kern w:val="0"/>
                <w:sz w:val="24"/>
                <w:highlight w:val="none"/>
              </w:rPr>
              <w:t>报价合理性</w:t>
            </w:r>
          </w:p>
        </w:tc>
        <w:tc>
          <w:tcPr>
            <w:tcW w:w="3620" w:type="pct"/>
            <w:vAlign w:val="center"/>
          </w:tcPr>
          <w:p w14:paraId="4FD9D757">
            <w:pPr>
              <w:widowControl/>
              <w:jc w:val="left"/>
              <w:rPr>
                <w:rFonts w:ascii="宋体" w:hAnsi="宋体"/>
                <w:color w:val="auto"/>
                <w:kern w:val="0"/>
                <w:sz w:val="24"/>
                <w:highlight w:val="none"/>
              </w:rPr>
            </w:pPr>
            <w:r>
              <w:rPr>
                <w:rFonts w:ascii="宋体" w:hAnsi="宋体"/>
                <w:color w:val="auto"/>
                <w:kern w:val="0"/>
                <w:sz w:val="24"/>
                <w:highlight w:val="none"/>
              </w:rPr>
              <w:t>报价合理，或</w:t>
            </w:r>
            <w:r>
              <w:rPr>
                <w:rFonts w:hint="eastAsia" w:ascii="宋体" w:hAnsi="宋体"/>
                <w:color w:val="auto"/>
                <w:sz w:val="24"/>
                <w:highlight w:val="none"/>
              </w:rPr>
              <w:t>投标人的报价明显低于其他通过符合性审查投标人的报价，</w:t>
            </w:r>
            <w:r>
              <w:rPr>
                <w:rFonts w:ascii="宋体" w:hAnsi="宋体"/>
                <w:color w:val="auto"/>
                <w:sz w:val="24"/>
                <w:highlight w:val="none"/>
              </w:rPr>
              <w:t>有可能影响产品质量或者不能诚信履约的</w:t>
            </w:r>
            <w:r>
              <w:rPr>
                <w:rFonts w:hint="eastAsia" w:ascii="宋体" w:hAnsi="宋体"/>
                <w:color w:val="auto"/>
                <w:sz w:val="24"/>
                <w:highlight w:val="none"/>
              </w:rPr>
              <w:t>，能够应评标委员会要求在规定时间内证明其报价合理性的</w:t>
            </w:r>
            <w:r>
              <w:rPr>
                <w:rFonts w:ascii="宋体" w:hAnsi="宋体"/>
                <w:color w:val="auto"/>
                <w:kern w:val="0"/>
                <w:sz w:val="24"/>
                <w:highlight w:val="none"/>
              </w:rPr>
              <w:t>；</w:t>
            </w:r>
          </w:p>
        </w:tc>
      </w:tr>
      <w:tr w14:paraId="243B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00772A6">
            <w:pPr>
              <w:widowControl/>
              <w:jc w:val="center"/>
              <w:rPr>
                <w:rFonts w:hint="eastAsia" w:ascii="宋体" w:hAnsi="宋体" w:eastAsia="宋体"/>
                <w:color w:val="auto"/>
                <w:kern w:val="0"/>
                <w:sz w:val="24"/>
                <w:highlight w:val="none"/>
                <w:lang w:eastAsia="zh-CN"/>
              </w:rPr>
            </w:pPr>
            <w:r>
              <w:rPr>
                <w:rFonts w:ascii="宋体" w:hAnsi="宋体"/>
                <w:color w:val="auto"/>
                <w:kern w:val="0"/>
                <w:sz w:val="24"/>
                <w:highlight w:val="none"/>
              </w:rPr>
              <w:t>1</w:t>
            </w:r>
            <w:r>
              <w:rPr>
                <w:rFonts w:hint="eastAsia" w:ascii="宋体" w:hAnsi="宋体"/>
                <w:color w:val="auto"/>
                <w:kern w:val="0"/>
                <w:sz w:val="24"/>
                <w:highlight w:val="none"/>
                <w:lang w:val="en-US" w:eastAsia="zh-CN"/>
              </w:rPr>
              <w:t>2</w:t>
            </w:r>
          </w:p>
        </w:tc>
        <w:tc>
          <w:tcPr>
            <w:tcW w:w="975" w:type="pct"/>
            <w:vAlign w:val="center"/>
          </w:tcPr>
          <w:p w14:paraId="64B09698">
            <w:pPr>
              <w:widowControl/>
              <w:jc w:val="left"/>
              <w:rPr>
                <w:rFonts w:ascii="宋体" w:hAnsi="宋体"/>
                <w:color w:val="auto"/>
                <w:kern w:val="0"/>
                <w:sz w:val="24"/>
                <w:highlight w:val="none"/>
              </w:rPr>
            </w:pPr>
            <w:r>
              <w:rPr>
                <w:rFonts w:ascii="宋体" w:hAnsi="宋体"/>
                <w:color w:val="auto"/>
                <w:kern w:val="0"/>
                <w:sz w:val="24"/>
                <w:highlight w:val="none"/>
              </w:rPr>
              <w:t>进口产品</w:t>
            </w:r>
          </w:p>
          <w:p w14:paraId="1F533EB2">
            <w:pPr>
              <w:widowControl/>
              <w:jc w:val="left"/>
              <w:rPr>
                <w:rFonts w:ascii="宋体" w:hAnsi="宋体"/>
                <w:color w:val="auto"/>
                <w:kern w:val="0"/>
                <w:sz w:val="24"/>
                <w:highlight w:val="none"/>
              </w:rPr>
            </w:pPr>
            <w:r>
              <w:rPr>
                <w:rFonts w:ascii="宋体" w:hAnsi="宋体"/>
                <w:color w:val="auto"/>
                <w:kern w:val="0"/>
                <w:sz w:val="24"/>
                <w:highlight w:val="none"/>
              </w:rPr>
              <w:t>（如有）</w:t>
            </w:r>
          </w:p>
        </w:tc>
        <w:tc>
          <w:tcPr>
            <w:tcW w:w="3620" w:type="pct"/>
            <w:vAlign w:val="center"/>
          </w:tcPr>
          <w:p w14:paraId="6F7236DE">
            <w:pPr>
              <w:widowControl/>
              <w:jc w:val="left"/>
              <w:rPr>
                <w:rFonts w:ascii="宋体" w:hAnsi="宋体"/>
                <w:color w:val="auto"/>
                <w:kern w:val="0"/>
                <w:sz w:val="24"/>
                <w:highlight w:val="none"/>
              </w:rPr>
            </w:pPr>
            <w:r>
              <w:rPr>
                <w:rFonts w:hint="eastAsia" w:ascii="宋体" w:hAnsi="宋体"/>
                <w:color w:val="auto"/>
                <w:sz w:val="24"/>
                <w:highlight w:val="none"/>
              </w:rPr>
              <w:t>招标文件</w:t>
            </w:r>
            <w:r>
              <w:rPr>
                <w:rFonts w:ascii="宋体" w:hAnsi="宋体"/>
                <w:color w:val="auto"/>
                <w:sz w:val="24"/>
                <w:highlight w:val="none"/>
              </w:rPr>
              <w:t>不接受进口产品投标</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投标人所投产品非进口产品的；</w:t>
            </w:r>
          </w:p>
        </w:tc>
      </w:tr>
      <w:tr w14:paraId="5348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46CF0D6">
            <w:pPr>
              <w:widowControl/>
              <w:jc w:val="center"/>
              <w:rPr>
                <w:rFonts w:hint="eastAsia" w:ascii="宋体" w:hAnsi="宋体" w:eastAsia="宋体"/>
                <w:color w:val="auto"/>
                <w:kern w:val="0"/>
                <w:sz w:val="24"/>
                <w:highlight w:val="none"/>
                <w:lang w:eastAsia="zh-CN"/>
              </w:rPr>
            </w:pPr>
            <w:r>
              <w:rPr>
                <w:rFonts w:ascii="宋体" w:hAnsi="宋体"/>
                <w:color w:val="auto"/>
                <w:kern w:val="0"/>
                <w:sz w:val="24"/>
                <w:highlight w:val="none"/>
              </w:rPr>
              <w:t>1</w:t>
            </w:r>
            <w:r>
              <w:rPr>
                <w:rFonts w:hint="eastAsia" w:ascii="宋体" w:hAnsi="宋体"/>
                <w:color w:val="auto"/>
                <w:kern w:val="0"/>
                <w:sz w:val="24"/>
                <w:highlight w:val="none"/>
                <w:lang w:val="en-US" w:eastAsia="zh-CN"/>
              </w:rPr>
              <w:t>3</w:t>
            </w:r>
          </w:p>
        </w:tc>
        <w:tc>
          <w:tcPr>
            <w:tcW w:w="975" w:type="pct"/>
            <w:vAlign w:val="center"/>
          </w:tcPr>
          <w:p w14:paraId="48E871EA">
            <w:pPr>
              <w:widowControl/>
              <w:jc w:val="left"/>
              <w:rPr>
                <w:rFonts w:ascii="宋体" w:hAnsi="宋体"/>
                <w:color w:val="auto"/>
                <w:kern w:val="0"/>
                <w:sz w:val="24"/>
                <w:highlight w:val="none"/>
              </w:rPr>
            </w:pPr>
            <w:r>
              <w:rPr>
                <w:rFonts w:ascii="宋体" w:hAnsi="宋体"/>
                <w:color w:val="auto"/>
                <w:kern w:val="0"/>
                <w:sz w:val="24"/>
                <w:highlight w:val="none"/>
              </w:rPr>
              <w:t>国家有关部门对投标人的投标产品有强制性规定或要求的</w:t>
            </w:r>
          </w:p>
        </w:tc>
        <w:tc>
          <w:tcPr>
            <w:tcW w:w="3620" w:type="pct"/>
            <w:vAlign w:val="center"/>
          </w:tcPr>
          <w:p w14:paraId="32B32A6F">
            <w:pPr>
              <w:widowControl/>
              <w:jc w:val="left"/>
              <w:rPr>
                <w:rFonts w:ascii="宋体" w:hAnsi="宋体"/>
                <w:color w:val="auto"/>
                <w:kern w:val="0"/>
                <w:sz w:val="24"/>
                <w:highlight w:val="none"/>
              </w:rPr>
            </w:pPr>
            <w:r>
              <w:rPr>
                <w:rFonts w:ascii="宋体" w:hAnsi="宋体"/>
                <w:color w:val="auto"/>
                <w:kern w:val="0"/>
                <w:sz w:val="24"/>
                <w:highlight w:val="none"/>
              </w:rPr>
              <w:t>国家有关部门对投标人的投标产品有强制性规定或要求的（如相应技术、安全、节能和环保等），投标人的投标产品</w:t>
            </w:r>
            <w:r>
              <w:rPr>
                <w:rFonts w:hint="eastAsia" w:ascii="宋体" w:hAnsi="宋体"/>
                <w:color w:val="auto"/>
                <w:kern w:val="0"/>
                <w:sz w:val="24"/>
                <w:highlight w:val="none"/>
              </w:rPr>
              <w:t>应</w:t>
            </w:r>
            <w:r>
              <w:rPr>
                <w:rFonts w:ascii="宋体" w:hAnsi="宋体"/>
                <w:color w:val="auto"/>
                <w:kern w:val="0"/>
                <w:sz w:val="24"/>
                <w:highlight w:val="none"/>
              </w:rPr>
              <w:t>符合相应规定或要求</w:t>
            </w:r>
            <w:r>
              <w:rPr>
                <w:rFonts w:hint="eastAsia" w:ascii="宋体" w:hAnsi="宋体"/>
                <w:color w:val="auto"/>
                <w:kern w:val="0"/>
                <w:sz w:val="24"/>
                <w:highlight w:val="none"/>
              </w:rPr>
              <w:t>，并提供证明文件电子件：</w:t>
            </w:r>
          </w:p>
          <w:p w14:paraId="33EC8D6C">
            <w:pPr>
              <w:widowControl/>
              <w:jc w:val="lef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采购的产品若属于《节能产品政府采购品目清单》范围中政府强制采购产品，则投标人所报产品必须获得国家确定的认证机构出具的、处于有效期之内的节能产品认证证书；</w:t>
            </w:r>
          </w:p>
          <w:p w14:paraId="62905CC3">
            <w:pPr>
              <w:widowControl/>
              <w:jc w:val="lef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投标产品如涉及计算机信息系统安全专用产品的，须</w:t>
            </w:r>
            <w:r>
              <w:rPr>
                <w:rFonts w:hint="eastAsia" w:ascii="宋体" w:hAnsi="宋体"/>
                <w:color w:val="auto"/>
                <w:kern w:val="0"/>
                <w:sz w:val="24"/>
                <w:highlight w:val="none"/>
              </w:rPr>
              <w:t>提供</w:t>
            </w:r>
            <w:r>
              <w:rPr>
                <w:rFonts w:ascii="宋体" w:hAnsi="宋体"/>
                <w:color w:val="auto"/>
                <w:kern w:val="0"/>
                <w:sz w:val="24"/>
                <w:highlight w:val="none"/>
              </w:rPr>
              <w:t>公安部颁发的计算机信息系统安全专用产品销售许可证；</w:t>
            </w:r>
          </w:p>
          <w:p w14:paraId="30A80E35">
            <w:pPr>
              <w:widowControl/>
              <w:jc w:val="left"/>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w:t>
            </w:r>
            <w:r>
              <w:rPr>
                <w:rFonts w:ascii="宋体" w:hAnsi="宋体"/>
                <w:color w:val="auto"/>
                <w:kern w:val="0"/>
                <w:sz w:val="24"/>
                <w:highlight w:val="none"/>
              </w:rPr>
              <w:t>投标产品如有属于开展国家信息安全产品认证产品范围的，须</w:t>
            </w:r>
            <w:r>
              <w:rPr>
                <w:rFonts w:hint="eastAsia" w:ascii="宋体" w:hAnsi="宋体"/>
                <w:color w:val="auto"/>
                <w:kern w:val="0"/>
                <w:sz w:val="24"/>
                <w:highlight w:val="none"/>
              </w:rPr>
              <w:t>提供</w:t>
            </w:r>
            <w:r>
              <w:rPr>
                <w:rFonts w:ascii="宋体" w:hAnsi="宋体"/>
                <w:color w:val="auto"/>
                <w:kern w:val="0"/>
                <w:sz w:val="24"/>
                <w:highlight w:val="none"/>
              </w:rPr>
              <w:t>由中国网络安全审查技术与认证中心（原中国信息安全认证中心）按国家标准认证颁发的有效认证证书等）；</w:t>
            </w:r>
          </w:p>
          <w:p w14:paraId="0B094BB7">
            <w:pPr>
              <w:widowControl/>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6E2606C">
            <w:pPr>
              <w:widowControl/>
              <w:jc w:val="left"/>
              <w:rPr>
                <w:rFonts w:ascii="宋体" w:hAnsi="宋体"/>
                <w:color w:val="auto"/>
                <w:kern w:val="0"/>
                <w:sz w:val="24"/>
                <w:highlight w:val="none"/>
              </w:rPr>
            </w:pP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项目中涉及涂料、胶黏剂、油墨、清洗剂等挥发性有机物产品，且属于强制性标准的，供应商应执行符合本市和国家的VOCs 含量限制标准</w:t>
            </w:r>
            <w:r>
              <w:rPr>
                <w:rFonts w:hint="eastAsia" w:ascii="宋体" w:hAnsi="宋体"/>
                <w:color w:val="auto"/>
                <w:sz w:val="24"/>
                <w:highlight w:val="none"/>
              </w:rPr>
              <w:t>。</w:t>
            </w:r>
          </w:p>
        </w:tc>
      </w:tr>
      <w:tr w14:paraId="5F2C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EF2C7F">
            <w:pPr>
              <w:widowControl/>
              <w:jc w:val="center"/>
              <w:rPr>
                <w:rFonts w:hint="eastAsia" w:ascii="宋体" w:hAnsi="宋体" w:eastAsia="宋体"/>
                <w:color w:val="auto"/>
                <w:kern w:val="0"/>
                <w:sz w:val="24"/>
                <w:highlight w:val="none"/>
                <w:lang w:eastAsia="zh-CN"/>
              </w:rPr>
            </w:pPr>
            <w:r>
              <w:rPr>
                <w:rFonts w:ascii="宋体" w:hAnsi="宋体"/>
                <w:color w:val="auto"/>
                <w:kern w:val="0"/>
                <w:sz w:val="24"/>
                <w:highlight w:val="none"/>
              </w:rPr>
              <w:t>1</w:t>
            </w:r>
            <w:r>
              <w:rPr>
                <w:rFonts w:hint="eastAsia" w:ascii="宋体" w:hAnsi="宋体"/>
                <w:color w:val="auto"/>
                <w:kern w:val="0"/>
                <w:sz w:val="24"/>
                <w:highlight w:val="none"/>
                <w:lang w:val="en-US" w:eastAsia="zh-CN"/>
              </w:rPr>
              <w:t>4</w:t>
            </w:r>
          </w:p>
        </w:tc>
        <w:tc>
          <w:tcPr>
            <w:tcW w:w="975" w:type="pct"/>
            <w:vAlign w:val="center"/>
          </w:tcPr>
          <w:p w14:paraId="11205C47">
            <w:pPr>
              <w:widowControl/>
              <w:jc w:val="left"/>
              <w:rPr>
                <w:rFonts w:ascii="宋体" w:hAnsi="宋体"/>
                <w:color w:val="auto"/>
                <w:kern w:val="0"/>
                <w:sz w:val="24"/>
                <w:highlight w:val="none"/>
              </w:rPr>
            </w:pPr>
            <w:r>
              <w:rPr>
                <w:rFonts w:ascii="宋体" w:hAnsi="宋体"/>
                <w:color w:val="auto"/>
                <w:kern w:val="0"/>
                <w:sz w:val="24"/>
                <w:highlight w:val="none"/>
              </w:rPr>
              <w:t>公平竞争</w:t>
            </w:r>
          </w:p>
        </w:tc>
        <w:tc>
          <w:tcPr>
            <w:tcW w:w="3620" w:type="pct"/>
            <w:vAlign w:val="center"/>
          </w:tcPr>
          <w:p w14:paraId="7F2A6639">
            <w:pPr>
              <w:widowControl/>
              <w:jc w:val="left"/>
              <w:rPr>
                <w:rFonts w:ascii="宋体" w:hAnsi="宋体"/>
                <w:color w:val="auto"/>
                <w:kern w:val="0"/>
                <w:sz w:val="24"/>
                <w:highlight w:val="none"/>
              </w:rPr>
            </w:pPr>
            <w:r>
              <w:rPr>
                <w:rFonts w:ascii="宋体" w:hAnsi="宋体"/>
                <w:color w:val="auto"/>
                <w:sz w:val="24"/>
                <w:highlight w:val="none"/>
              </w:rPr>
              <w:t>投标人遵循公平竞争的原则，不存在恶意串通，妨碍其他投标人的竞争行为，不存在损害采购人或者其他投标人的合法权益情形的；</w:t>
            </w:r>
          </w:p>
        </w:tc>
      </w:tr>
      <w:tr w14:paraId="52BF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6BACA73">
            <w:pPr>
              <w:widowControl/>
              <w:jc w:val="center"/>
              <w:rPr>
                <w:rFonts w:hint="eastAsia" w:ascii="宋体" w:hAnsi="宋体" w:eastAsia="宋体"/>
                <w:color w:val="auto"/>
                <w:kern w:val="0"/>
                <w:sz w:val="24"/>
                <w:highlight w:val="none"/>
                <w:lang w:eastAsia="zh-CN"/>
              </w:rPr>
            </w:pPr>
            <w:r>
              <w:rPr>
                <w:rFonts w:ascii="宋体" w:hAnsi="宋体"/>
                <w:color w:val="auto"/>
                <w:kern w:val="0"/>
                <w:sz w:val="24"/>
                <w:highlight w:val="none"/>
              </w:rPr>
              <w:t>1</w:t>
            </w:r>
            <w:r>
              <w:rPr>
                <w:rFonts w:hint="eastAsia" w:ascii="宋体" w:hAnsi="宋体"/>
                <w:color w:val="auto"/>
                <w:kern w:val="0"/>
                <w:sz w:val="24"/>
                <w:highlight w:val="none"/>
                <w:lang w:val="en-US" w:eastAsia="zh-CN"/>
              </w:rPr>
              <w:t>5</w:t>
            </w:r>
          </w:p>
        </w:tc>
        <w:tc>
          <w:tcPr>
            <w:tcW w:w="975" w:type="pct"/>
            <w:vAlign w:val="center"/>
          </w:tcPr>
          <w:p w14:paraId="550E6B50">
            <w:pPr>
              <w:widowControl/>
              <w:jc w:val="left"/>
              <w:rPr>
                <w:rFonts w:ascii="宋体" w:hAnsi="宋体"/>
                <w:color w:val="auto"/>
                <w:kern w:val="0"/>
                <w:sz w:val="24"/>
                <w:highlight w:val="none"/>
              </w:rPr>
            </w:pPr>
            <w:r>
              <w:rPr>
                <w:rFonts w:ascii="宋体" w:hAnsi="宋体"/>
                <w:color w:val="auto"/>
                <w:kern w:val="0"/>
                <w:sz w:val="24"/>
                <w:highlight w:val="none"/>
              </w:rPr>
              <w:t>串通投标</w:t>
            </w:r>
          </w:p>
        </w:tc>
        <w:tc>
          <w:tcPr>
            <w:tcW w:w="3620" w:type="pct"/>
            <w:vAlign w:val="center"/>
          </w:tcPr>
          <w:p w14:paraId="63A0E9E3">
            <w:pPr>
              <w:widowControl/>
              <w:jc w:val="left"/>
              <w:rPr>
                <w:rFonts w:ascii="宋体" w:hAnsi="宋体"/>
                <w:color w:val="auto"/>
                <w:kern w:val="0"/>
                <w:sz w:val="24"/>
                <w:highlight w:val="none"/>
              </w:rPr>
            </w:pPr>
            <w:r>
              <w:rPr>
                <w:rFonts w:hint="eastAsia" w:ascii="宋体" w:hAnsi="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auto"/>
                <w:sz w:val="24"/>
                <w:highlight w:val="none"/>
              </w:rPr>
              <w:t>；</w:t>
            </w:r>
          </w:p>
        </w:tc>
      </w:tr>
      <w:tr w14:paraId="132C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5423C63">
            <w:pPr>
              <w:widowControl/>
              <w:jc w:val="center"/>
              <w:rPr>
                <w:rFonts w:hint="eastAsia" w:ascii="宋体" w:hAnsi="宋体" w:eastAsia="宋体"/>
                <w:color w:val="auto"/>
                <w:kern w:val="0"/>
                <w:sz w:val="24"/>
                <w:highlight w:val="none"/>
                <w:lang w:eastAsia="zh-CN"/>
              </w:rPr>
            </w:pPr>
            <w:r>
              <w:rPr>
                <w:rFonts w:ascii="宋体" w:hAnsi="宋体"/>
                <w:color w:val="auto"/>
                <w:kern w:val="0"/>
                <w:sz w:val="24"/>
                <w:highlight w:val="none"/>
              </w:rPr>
              <w:t>1</w:t>
            </w:r>
            <w:r>
              <w:rPr>
                <w:rFonts w:hint="eastAsia" w:ascii="宋体" w:hAnsi="宋体"/>
                <w:color w:val="auto"/>
                <w:kern w:val="0"/>
                <w:sz w:val="24"/>
                <w:highlight w:val="none"/>
                <w:lang w:val="en-US" w:eastAsia="zh-CN"/>
              </w:rPr>
              <w:t>6</w:t>
            </w:r>
          </w:p>
        </w:tc>
        <w:tc>
          <w:tcPr>
            <w:tcW w:w="975" w:type="pct"/>
            <w:vAlign w:val="center"/>
          </w:tcPr>
          <w:p w14:paraId="3880D9F5">
            <w:pPr>
              <w:widowControl/>
              <w:jc w:val="left"/>
              <w:rPr>
                <w:rFonts w:ascii="宋体" w:hAnsi="宋体"/>
                <w:color w:val="auto"/>
                <w:kern w:val="0"/>
                <w:sz w:val="24"/>
                <w:highlight w:val="none"/>
              </w:rPr>
            </w:pPr>
            <w:r>
              <w:rPr>
                <w:rFonts w:ascii="宋体" w:hAnsi="宋体"/>
                <w:color w:val="auto"/>
                <w:kern w:val="0"/>
                <w:sz w:val="24"/>
                <w:highlight w:val="none"/>
              </w:rPr>
              <w:t>附加条件</w:t>
            </w:r>
          </w:p>
        </w:tc>
        <w:tc>
          <w:tcPr>
            <w:tcW w:w="3620" w:type="pct"/>
            <w:vAlign w:val="center"/>
          </w:tcPr>
          <w:p w14:paraId="3B5295F5">
            <w:pPr>
              <w:widowControl/>
              <w:jc w:val="left"/>
              <w:rPr>
                <w:rFonts w:ascii="宋体" w:hAnsi="宋体"/>
                <w:color w:val="auto"/>
                <w:kern w:val="0"/>
                <w:sz w:val="24"/>
                <w:highlight w:val="none"/>
              </w:rPr>
            </w:pPr>
            <w:r>
              <w:rPr>
                <w:rFonts w:ascii="宋体" w:hAnsi="宋体"/>
                <w:color w:val="auto"/>
                <w:kern w:val="0"/>
                <w:sz w:val="24"/>
                <w:highlight w:val="none"/>
              </w:rPr>
              <w:t>投标文件</w:t>
            </w:r>
            <w:r>
              <w:rPr>
                <w:rFonts w:hint="eastAsia" w:ascii="宋体" w:hAnsi="宋体"/>
                <w:color w:val="auto"/>
                <w:kern w:val="0"/>
                <w:sz w:val="24"/>
                <w:highlight w:val="none"/>
              </w:rPr>
              <w:t>未</w:t>
            </w:r>
            <w:r>
              <w:rPr>
                <w:rFonts w:ascii="宋体" w:hAnsi="宋体"/>
                <w:color w:val="auto"/>
                <w:kern w:val="0"/>
                <w:sz w:val="24"/>
                <w:highlight w:val="none"/>
              </w:rPr>
              <w:t>含有采购人不能接受的附加条件的；</w:t>
            </w:r>
          </w:p>
        </w:tc>
      </w:tr>
      <w:tr w14:paraId="245A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42A117C">
            <w:pPr>
              <w:widowControl/>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7</w:t>
            </w:r>
          </w:p>
        </w:tc>
        <w:tc>
          <w:tcPr>
            <w:tcW w:w="975" w:type="pct"/>
            <w:vAlign w:val="center"/>
          </w:tcPr>
          <w:p w14:paraId="1A5BA69E">
            <w:pPr>
              <w:widowControl/>
              <w:jc w:val="left"/>
              <w:rPr>
                <w:rFonts w:ascii="宋体" w:hAnsi="宋体"/>
                <w:color w:val="auto"/>
                <w:kern w:val="0"/>
                <w:sz w:val="24"/>
                <w:highlight w:val="none"/>
              </w:rPr>
            </w:pPr>
            <w:r>
              <w:rPr>
                <w:rFonts w:ascii="宋体" w:hAnsi="宋体"/>
                <w:color w:val="auto"/>
                <w:kern w:val="0"/>
                <w:sz w:val="24"/>
                <w:highlight w:val="none"/>
              </w:rPr>
              <w:t>其他无效情形</w:t>
            </w:r>
          </w:p>
        </w:tc>
        <w:tc>
          <w:tcPr>
            <w:tcW w:w="3620" w:type="pct"/>
            <w:vAlign w:val="center"/>
          </w:tcPr>
          <w:p w14:paraId="73984FBE">
            <w:pPr>
              <w:widowControl/>
              <w:jc w:val="left"/>
              <w:rPr>
                <w:rFonts w:ascii="宋体" w:hAnsi="宋体"/>
                <w:color w:val="auto"/>
                <w:kern w:val="0"/>
                <w:sz w:val="24"/>
                <w:highlight w:val="none"/>
              </w:rPr>
            </w:pPr>
            <w:r>
              <w:rPr>
                <w:rFonts w:ascii="宋体" w:hAnsi="宋体"/>
                <w:color w:val="auto"/>
                <w:sz w:val="24"/>
                <w:highlight w:val="none"/>
              </w:rPr>
              <w:t>投标人、投标文件</w:t>
            </w:r>
            <w:r>
              <w:rPr>
                <w:rFonts w:hint="eastAsia" w:ascii="宋体" w:hAnsi="宋体"/>
                <w:color w:val="auto"/>
                <w:sz w:val="24"/>
                <w:highlight w:val="none"/>
              </w:rPr>
              <w:t>不存在</w:t>
            </w:r>
            <w:r>
              <w:rPr>
                <w:rFonts w:ascii="宋体" w:hAnsi="宋体"/>
                <w:color w:val="auto"/>
                <w:sz w:val="24"/>
                <w:highlight w:val="none"/>
              </w:rPr>
              <w:t>不符合法律、法规和招标文件规定的其他无效情形。</w:t>
            </w:r>
          </w:p>
        </w:tc>
      </w:tr>
    </w:tbl>
    <w:p w14:paraId="6061F41A">
      <w:pPr>
        <w:numPr>
          <w:ilvl w:val="0"/>
          <w:numId w:val="17"/>
        </w:numPr>
        <w:tabs>
          <w:tab w:val="left" w:pos="1080"/>
          <w:tab w:val="left" w:pos="1589"/>
        </w:tabs>
        <w:snapToGrid w:val="0"/>
        <w:spacing w:line="360" w:lineRule="auto"/>
        <w:rPr>
          <w:rFonts w:ascii="宋体" w:hAnsi="宋体"/>
          <w:color w:val="auto"/>
          <w:sz w:val="24"/>
          <w:highlight w:val="none"/>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3AA68F59">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投标文件有关事项的澄清或者说明</w:t>
      </w:r>
    </w:p>
    <w:p w14:paraId="0F7D6D81">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4ED5785">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color w:val="auto"/>
          <w:sz w:val="24"/>
          <w:highlight w:val="none"/>
        </w:rPr>
        <w:t>无效投标处理</w:t>
      </w:r>
      <w:r>
        <w:rPr>
          <w:rFonts w:ascii="宋体" w:hAnsi="宋体"/>
          <w:color w:val="auto"/>
          <w:sz w:val="24"/>
          <w:highlight w:val="none"/>
        </w:rPr>
        <w:t>。</w:t>
      </w:r>
    </w:p>
    <w:p w14:paraId="2992A946">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color w:val="auto"/>
          <w:sz w:val="24"/>
          <w:highlight w:val="none"/>
        </w:rPr>
        <w:t>投标无效</w:t>
      </w:r>
      <w:r>
        <w:rPr>
          <w:rFonts w:ascii="宋体" w:hAnsi="宋体"/>
          <w:color w:val="auto"/>
          <w:sz w:val="24"/>
          <w:highlight w:val="none"/>
        </w:rPr>
        <w:t>。</w:t>
      </w:r>
    </w:p>
    <w:p w14:paraId="49DE676C">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投标文件报价出现前后不一致的，按照下列规定修正：</w:t>
      </w:r>
    </w:p>
    <w:p w14:paraId="74EECBDF">
      <w:pPr>
        <w:numPr>
          <w:ilvl w:val="2"/>
          <w:numId w:val="16"/>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招标文件对于报价修正是否另有规定：</w:t>
      </w:r>
    </w:p>
    <w:p w14:paraId="627F640C">
      <w:pPr>
        <w:tabs>
          <w:tab w:val="left" w:pos="1080"/>
          <w:tab w:val="left" w:pos="1589"/>
          <w:tab w:val="left" w:pos="2035"/>
          <w:tab w:val="left" w:pos="2114"/>
        </w:tabs>
        <w:snapToGrid w:val="0"/>
        <w:spacing w:line="360" w:lineRule="auto"/>
        <w:ind w:left="2035"/>
        <w:rPr>
          <w:rFonts w:ascii="宋体" w:hAnsi="宋体"/>
          <w:color w:val="auto"/>
          <w:sz w:val="24"/>
          <w:highlight w:val="none"/>
          <w:u w:val="single"/>
        </w:rPr>
      </w:pPr>
      <w:r>
        <w:rPr>
          <w:rFonts w:ascii="宋体" w:hAnsi="宋体"/>
          <w:color w:val="auto"/>
          <w:sz w:val="24"/>
          <w:highlight w:val="none"/>
        </w:rPr>
        <w:t>□有，具体规定为：______________</w:t>
      </w:r>
    </w:p>
    <w:p w14:paraId="09BB53B4">
      <w:p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无，按下述2.4.2-2.4.7项规定修正。</w:t>
      </w:r>
    </w:p>
    <w:p w14:paraId="6D211E78">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单独递交的开标一览表（报价表）与投标文件中开标一览表（报价表）内容不一致的，以单独递交的开标一览表（报价表）为准；</w:t>
      </w:r>
    </w:p>
    <w:p w14:paraId="3B10645F">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投标文件中开标一览表（报价表）内容与投标文件中相应内容不一致的，以开标一览表（报价表）为准；</w:t>
      </w:r>
    </w:p>
    <w:p w14:paraId="26EB6B23">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大写金额和小写金额不一致的，以大写金额为准；</w:t>
      </w:r>
    </w:p>
    <w:p w14:paraId="4457C55D">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单价金额小数点或者百分比有明显错位的，以开标一览表的总价为准，并修改单价；</w:t>
      </w:r>
    </w:p>
    <w:p w14:paraId="2C1D08B7">
      <w:pPr>
        <w:numPr>
          <w:ilvl w:val="2"/>
          <w:numId w:val="16"/>
        </w:numPr>
        <w:tabs>
          <w:tab w:val="left" w:pos="2035"/>
          <w:tab w:val="left" w:pos="2114"/>
          <w:tab w:val="left" w:pos="2977"/>
        </w:tabs>
        <w:snapToGrid w:val="0"/>
        <w:spacing w:line="360" w:lineRule="auto"/>
        <w:ind w:left="2035"/>
        <w:rPr>
          <w:rFonts w:ascii="宋体" w:hAnsi="宋体"/>
          <w:color w:val="auto"/>
          <w:sz w:val="24"/>
          <w:highlight w:val="none"/>
        </w:rPr>
      </w:pPr>
      <w:r>
        <w:rPr>
          <w:rFonts w:ascii="宋体" w:hAnsi="宋体"/>
          <w:color w:val="auto"/>
          <w:sz w:val="24"/>
          <w:highlight w:val="none"/>
        </w:rPr>
        <w:t>总价金额与按单价汇总金额不一致的，以单价金额计算结果为准。</w:t>
      </w:r>
    </w:p>
    <w:p w14:paraId="0D170E38">
      <w:pPr>
        <w:numPr>
          <w:ilvl w:val="2"/>
          <w:numId w:val="16"/>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同时出现两种以上不一致的，按照前款规定的顺序修正。</w:t>
      </w:r>
    </w:p>
    <w:p w14:paraId="52825B9E">
      <w:pPr>
        <w:numPr>
          <w:ilvl w:val="2"/>
          <w:numId w:val="16"/>
        </w:numPr>
        <w:tabs>
          <w:tab w:val="left" w:pos="1080"/>
          <w:tab w:val="left" w:pos="1589"/>
          <w:tab w:val="left" w:pos="2035"/>
          <w:tab w:val="left" w:pos="2114"/>
        </w:tabs>
        <w:snapToGrid w:val="0"/>
        <w:spacing w:line="360" w:lineRule="auto"/>
        <w:ind w:left="2035"/>
        <w:rPr>
          <w:rFonts w:ascii="宋体" w:hAnsi="宋体"/>
          <w:color w:val="auto"/>
          <w:sz w:val="24"/>
          <w:highlight w:val="none"/>
        </w:rPr>
      </w:pPr>
      <w:r>
        <w:rPr>
          <w:rFonts w:ascii="宋体" w:hAnsi="宋体"/>
          <w:color w:val="auto"/>
          <w:sz w:val="24"/>
          <w:highlight w:val="none"/>
        </w:rPr>
        <w:t>修正后的报价经投标人书面确认后产生约束力，投标人不确认的，其</w:t>
      </w:r>
      <w:r>
        <w:rPr>
          <w:rFonts w:ascii="宋体" w:hAnsi="宋体"/>
          <w:b/>
          <w:color w:val="auto"/>
          <w:sz w:val="24"/>
          <w:highlight w:val="none"/>
        </w:rPr>
        <w:t>投标无效</w:t>
      </w:r>
      <w:r>
        <w:rPr>
          <w:rFonts w:ascii="宋体" w:hAnsi="宋体"/>
          <w:color w:val="auto"/>
          <w:sz w:val="24"/>
          <w:highlight w:val="none"/>
        </w:rPr>
        <w:t>。</w:t>
      </w:r>
    </w:p>
    <w:p w14:paraId="65B9D4FF">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落实政府采购政策的价格调整：只有符合第二章《投标人须知》5.2条规定情形的，可以享受中小企业扶持政策，用扣除后的价格参加评审；否则，评标时价格不予扣除。</w:t>
      </w:r>
    </w:p>
    <w:p w14:paraId="765D0294">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对于未预留份额专门面向中小企业采购的采购项目，以及预留份额项目中的非预留部分采购包，对小微企业报价给予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10</w:t>
      </w:r>
      <w:r>
        <w:rPr>
          <w:rFonts w:hint="eastAsia" w:ascii="宋体" w:hAnsi="宋体"/>
          <w:color w:val="auto"/>
          <w:sz w:val="24"/>
          <w:highlight w:val="none"/>
          <w:u w:val="single"/>
        </w:rPr>
        <w:t xml:space="preserve">  </w:t>
      </w:r>
      <w:r>
        <w:rPr>
          <w:rFonts w:ascii="宋体" w:hAnsi="宋体"/>
          <w:color w:val="auto"/>
          <w:sz w:val="24"/>
          <w:highlight w:val="none"/>
        </w:rPr>
        <w:t>%的扣除，用扣除后的价格参加评审。</w:t>
      </w:r>
    </w:p>
    <w:p w14:paraId="2F04D857">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olor w:val="auto"/>
          <w:sz w:val="24"/>
          <w:highlight w:val="none"/>
          <w:u w:val="single"/>
        </w:rPr>
        <w:t xml:space="preserve">  /  </w:t>
      </w:r>
      <w:r>
        <w:rPr>
          <w:rFonts w:ascii="宋体" w:hAnsi="宋体"/>
          <w:color w:val="auto"/>
          <w:sz w:val="24"/>
          <w:highlight w:val="none"/>
        </w:rPr>
        <w:t>%的扣除，用扣除后的价格参加评审。</w:t>
      </w:r>
    </w:p>
    <w:p w14:paraId="52899E5F">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组成联合体或者接受分包的小微企业与联合体内其他企业、分包企业之间存在直接控股、管理关系的，不享受价格扣除优惠政策。</w:t>
      </w:r>
    </w:p>
    <w:p w14:paraId="08CBB6DB">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价格扣除比例对小型企业和微型企业同等对待，不作区分。</w:t>
      </w:r>
    </w:p>
    <w:p w14:paraId="211F349F">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中小企业参加政府采购活动，应当按照招标文件给定的格式出具《中小企业声明函》，否则不得享受相关中小企业扶持政策。</w:t>
      </w:r>
    </w:p>
    <w:p w14:paraId="479D809E">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监狱企业提供了由省级以上监狱管理局（北京市含教育矫治局）、戒毒管理局（含新疆生产建设兵团）出具的属于监狱企业的证明文件的，视同小微企业。</w:t>
      </w:r>
    </w:p>
    <w:p w14:paraId="0AA07053">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残疾人福利性单位按招标文件要求提供了《残疾人福利性单位声明函》（见附件）的，视同小微企业。</w:t>
      </w:r>
    </w:p>
    <w:p w14:paraId="0DEDEE50">
      <w:pPr>
        <w:numPr>
          <w:ilvl w:val="2"/>
          <w:numId w:val="16"/>
        </w:numPr>
        <w:tabs>
          <w:tab w:val="left" w:pos="1080"/>
          <w:tab w:val="left" w:pos="1589"/>
          <w:tab w:val="left" w:pos="2014"/>
          <w:tab w:val="clear" w:pos="1980"/>
        </w:tabs>
        <w:snapToGrid w:val="0"/>
        <w:spacing w:line="360" w:lineRule="auto"/>
        <w:ind w:left="2035"/>
        <w:rPr>
          <w:rFonts w:ascii="宋体" w:hAnsi="宋体"/>
          <w:color w:val="auto"/>
          <w:sz w:val="24"/>
          <w:highlight w:val="none"/>
        </w:rPr>
      </w:pPr>
      <w:r>
        <w:rPr>
          <w:rFonts w:ascii="宋体" w:hAnsi="宋体"/>
          <w:color w:val="auto"/>
          <w:sz w:val="24"/>
          <w:highlight w:val="none"/>
        </w:rPr>
        <w:t>若投标人同时属于小型或微型企业、监狱企业、残疾人福利性单位中的两种及以上，将不重复享受小微企业价格扣减的优惠政策。</w:t>
      </w:r>
    </w:p>
    <w:p w14:paraId="31D02B42">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投标文件的比较和评价</w:t>
      </w:r>
      <w:bookmarkEnd w:id="684"/>
      <w:bookmarkEnd w:id="685"/>
    </w:p>
    <w:p w14:paraId="665BF89A">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1E53DE9F">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评标方法和评标标准</w:t>
      </w:r>
    </w:p>
    <w:p w14:paraId="0C2708C4">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本项目采用的评标方法为：</w:t>
      </w:r>
    </w:p>
    <w:p w14:paraId="1D99B067">
      <w:pPr>
        <w:tabs>
          <w:tab w:val="left" w:pos="900"/>
          <w:tab w:val="left" w:pos="1589"/>
          <w:tab w:val="left" w:pos="1701"/>
        </w:tabs>
        <w:snapToGrid w:val="0"/>
        <w:spacing w:line="360" w:lineRule="auto"/>
        <w:ind w:left="1985"/>
        <w:rPr>
          <w:rFonts w:ascii="宋体" w:hAnsi="宋体"/>
          <w:color w:val="auto"/>
          <w:sz w:val="24"/>
          <w:highlight w:val="none"/>
        </w:rPr>
      </w:pPr>
      <w:r>
        <w:rPr>
          <w:rFonts w:ascii="Segoe UI Symbol" w:hAnsi="Segoe UI Symbol" w:cs="Segoe UI Symbol"/>
          <w:color w:val="auto"/>
          <w:sz w:val="24"/>
          <w:highlight w:val="none"/>
        </w:rPr>
        <w:t>☑</w:t>
      </w:r>
      <w:r>
        <w:rPr>
          <w:rFonts w:ascii="宋体" w:hAnsi="宋体"/>
          <w:color w:val="auto"/>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color w:val="auto"/>
          <w:sz w:val="24"/>
          <w:highlight w:val="none"/>
        </w:rPr>
        <w:t>，招标文件中没有规定的评标标准不得作为评审的依据。</w:t>
      </w:r>
    </w:p>
    <w:p w14:paraId="2A76BE0F">
      <w:pPr>
        <w:tabs>
          <w:tab w:val="left" w:pos="900"/>
          <w:tab w:val="left" w:pos="1589"/>
          <w:tab w:val="left" w:pos="1701"/>
        </w:tabs>
        <w:snapToGrid w:val="0"/>
        <w:spacing w:line="360" w:lineRule="auto"/>
        <w:ind w:left="1985"/>
        <w:rPr>
          <w:rFonts w:ascii="宋体" w:hAnsi="宋体"/>
          <w:color w:val="auto"/>
          <w:sz w:val="24"/>
          <w:highlight w:val="none"/>
        </w:rPr>
      </w:pPr>
      <w:r>
        <w:rPr>
          <w:rFonts w:ascii="宋体" w:hAnsi="宋体"/>
          <w:color w:val="auto"/>
          <w:sz w:val="24"/>
          <w:highlight w:val="none"/>
        </w:rPr>
        <w:t>□最低评标价法，指投标文件满足招标文件全部实质性要求，且投标报价最低的投标人为中标候选人的评标方法。</w:t>
      </w:r>
    </w:p>
    <w:p w14:paraId="26EBB8E5">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color w:val="auto"/>
          <w:sz w:val="24"/>
          <w:highlight w:val="none"/>
        </w:rPr>
        <w:t>投标无效</w:t>
      </w:r>
      <w:r>
        <w:rPr>
          <w:rFonts w:ascii="宋体" w:hAnsi="宋体"/>
          <w:color w:val="auto"/>
          <w:sz w:val="24"/>
          <w:highlight w:val="none"/>
        </w:rPr>
        <w:t>。</w:t>
      </w:r>
    </w:p>
    <w:p w14:paraId="0D5E3B9D">
      <w:p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□随机抽取</w:t>
      </w:r>
    </w:p>
    <w:p w14:paraId="2ED7C8AD">
      <w:pPr>
        <w:tabs>
          <w:tab w:val="left" w:pos="1080"/>
          <w:tab w:val="left" w:pos="1589"/>
          <w:tab w:val="left" w:pos="2035"/>
        </w:tabs>
        <w:snapToGrid w:val="0"/>
        <w:spacing w:line="360" w:lineRule="auto"/>
        <w:ind w:left="2035"/>
        <w:rPr>
          <w:rFonts w:ascii="宋体" w:hAnsi="宋体"/>
          <w:color w:val="auto"/>
          <w:sz w:val="24"/>
          <w:highlight w:val="none"/>
          <w:u w:val="single"/>
        </w:rPr>
      </w:pPr>
      <w:r>
        <w:rPr>
          <w:rFonts w:ascii="宋体" w:hAnsi="宋体"/>
          <w:color w:val="auto"/>
          <w:sz w:val="24"/>
          <w:highlight w:val="none"/>
        </w:rPr>
        <w:t>□其他方式，具体要求：</w:t>
      </w:r>
      <w:r>
        <w:rPr>
          <w:rFonts w:hint="eastAsia" w:ascii="宋体" w:hAnsi="宋体"/>
          <w:color w:val="auto"/>
          <w:sz w:val="24"/>
          <w:highlight w:val="none"/>
          <w:u w:val="single"/>
        </w:rPr>
        <w:t xml:space="preserve">    /   </w:t>
      </w:r>
    </w:p>
    <w:p w14:paraId="541271C8">
      <w:pPr>
        <w:numPr>
          <w:ilvl w:val="2"/>
          <w:numId w:val="16"/>
        </w:numPr>
        <w:tabs>
          <w:tab w:val="left" w:pos="1080"/>
          <w:tab w:val="left" w:pos="1589"/>
          <w:tab w:val="left" w:pos="2035"/>
        </w:tabs>
        <w:snapToGrid w:val="0"/>
        <w:spacing w:line="360" w:lineRule="auto"/>
        <w:ind w:left="2035"/>
        <w:rPr>
          <w:rFonts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非政府强制采购的节能产品或环境标志产品，依据品目清单和认证证书实施政府优先采购。优先采购的具体规定（如涉及）</w:t>
      </w:r>
      <w:r>
        <w:rPr>
          <w:rFonts w:hint="eastAsia" w:ascii="宋体" w:hAnsi="宋体"/>
          <w:color w:val="auto"/>
          <w:sz w:val="24"/>
          <w:highlight w:val="none"/>
          <w:u w:val="single"/>
        </w:rPr>
        <w:t xml:space="preserve">  /  </w:t>
      </w:r>
      <w:r>
        <w:rPr>
          <w:rFonts w:ascii="宋体" w:hAnsi="宋体"/>
          <w:color w:val="auto"/>
          <w:sz w:val="24"/>
          <w:highlight w:val="none"/>
        </w:rPr>
        <w:t>。</w:t>
      </w:r>
    </w:p>
    <w:p w14:paraId="656C6AA7">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确定</w:t>
      </w:r>
      <w:bookmarkStart w:id="701" w:name="_Toc150509297"/>
      <w:bookmarkStart w:id="702" w:name="_Toc150774751"/>
      <w:bookmarkStart w:id="703" w:name="_Toc164608660"/>
      <w:bookmarkStart w:id="704" w:name="_Toc151193860"/>
      <w:bookmarkStart w:id="705" w:name="_Ref467307010"/>
      <w:bookmarkStart w:id="706" w:name="_Toc226337242"/>
      <w:bookmarkStart w:id="707" w:name="_Toc164351640"/>
      <w:bookmarkStart w:id="708" w:name="_Toc150480784"/>
      <w:bookmarkStart w:id="709" w:name="_Toc127151546"/>
      <w:bookmarkStart w:id="710" w:name="_Toc164608815"/>
      <w:bookmarkStart w:id="711" w:name="_Toc264969236"/>
      <w:bookmarkStart w:id="712" w:name="_Toc151190173"/>
      <w:bookmarkStart w:id="713" w:name="_Toc149720839"/>
      <w:bookmarkStart w:id="714" w:name="_Toc127161460"/>
      <w:bookmarkStart w:id="715" w:name="_Toc305158888"/>
      <w:bookmarkStart w:id="716" w:name="_Toc151193716"/>
      <w:bookmarkStart w:id="717" w:name="_Toc305158814"/>
      <w:bookmarkStart w:id="718" w:name="_Toc226965736"/>
      <w:bookmarkStart w:id="719" w:name="_Toc151193644"/>
      <w:bookmarkStart w:id="720" w:name="_Toc151193788"/>
      <w:bookmarkStart w:id="721" w:name="_Toc195842911"/>
      <w:bookmarkStart w:id="722" w:name="_Toc226309790"/>
      <w:bookmarkStart w:id="723" w:name="_Toc164229387"/>
      <w:bookmarkStart w:id="724" w:name="_Toc226965819"/>
      <w:bookmarkStart w:id="725" w:name="_Toc127151747"/>
      <w:bookmarkStart w:id="726" w:name="_Toc151193934"/>
      <w:bookmarkStart w:id="727" w:name="_Toc164229241"/>
      <w:bookmarkStart w:id="728" w:name="_Toc150774646"/>
      <w:bookmarkStart w:id="729" w:name="_Toc265228384"/>
      <w:bookmarkStart w:id="730" w:name="_Toc520356170"/>
      <w:bookmarkStart w:id="731" w:name="_Toc142311048"/>
      <w:r>
        <w:rPr>
          <w:rFonts w:ascii="宋体" w:hAnsi="宋体"/>
          <w:color w:val="auto"/>
          <w:sz w:val="24"/>
          <w:highlight w:val="none"/>
        </w:rPr>
        <w:t>中标候选人名单</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1DA4CA70">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85DD79A">
      <w:pPr>
        <w:pStyle w:val="24"/>
        <w:tabs>
          <w:tab w:val="left" w:pos="900"/>
          <w:tab w:val="left" w:pos="2127"/>
        </w:tabs>
        <w:adjustRightInd w:val="0"/>
        <w:snapToGrid w:val="0"/>
        <w:spacing w:line="360" w:lineRule="auto"/>
        <w:ind w:left="993" w:firstLine="136" w:firstLineChars="57"/>
        <w:rPr>
          <w:rFonts w:hint="default" w:hAnsi="宋体"/>
          <w:color w:val="auto"/>
          <w:sz w:val="24"/>
          <w:szCs w:val="24"/>
          <w:highlight w:val="none"/>
        </w:rPr>
      </w:pPr>
      <w:r>
        <w:rPr>
          <w:rFonts w:hint="default" w:hAnsi="宋体"/>
          <w:color w:val="auto"/>
          <w:sz w:val="24"/>
          <w:szCs w:val="24"/>
          <w:highlight w:val="none"/>
        </w:rPr>
        <w:t>□随机抽取</w:t>
      </w:r>
    </w:p>
    <w:p w14:paraId="7C6D1429">
      <w:pPr>
        <w:pStyle w:val="24"/>
        <w:tabs>
          <w:tab w:val="left" w:pos="900"/>
          <w:tab w:val="left" w:pos="2127"/>
        </w:tabs>
        <w:adjustRightInd w:val="0"/>
        <w:snapToGrid w:val="0"/>
        <w:spacing w:line="360" w:lineRule="auto"/>
        <w:ind w:left="993" w:firstLine="136" w:firstLineChars="57"/>
        <w:rPr>
          <w:rFonts w:hint="default" w:hAnsi="宋体"/>
          <w:color w:val="auto"/>
          <w:sz w:val="24"/>
          <w:szCs w:val="24"/>
          <w:highlight w:val="none"/>
        </w:rPr>
      </w:pPr>
      <w:r>
        <w:rPr>
          <w:rFonts w:hint="default" w:hAnsi="宋体"/>
          <w:color w:val="auto"/>
          <w:sz w:val="24"/>
          <w:szCs w:val="24"/>
          <w:highlight w:val="none"/>
        </w:rPr>
        <w:t>□其他方式，具体要求：</w:t>
      </w:r>
      <w:r>
        <w:rPr>
          <w:rFonts w:hAnsi="宋体"/>
          <w:color w:val="auto"/>
          <w:sz w:val="24"/>
          <w:szCs w:val="24"/>
          <w:highlight w:val="none"/>
          <w:u w:val="single"/>
        </w:rPr>
        <w:t xml:space="preserve">  /  </w:t>
      </w:r>
    </w:p>
    <w:p w14:paraId="65494F50">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03B1890">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06233AB">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评标委员会要对评分汇总情况进行复核，特别是对排名第一的、报价最低的、投标或</w:t>
      </w:r>
      <w:r>
        <w:rPr>
          <w:rFonts w:hint="eastAsia" w:ascii="宋体" w:hAnsi="宋体"/>
          <w:color w:val="auto"/>
          <w:sz w:val="24"/>
          <w:highlight w:val="none"/>
        </w:rPr>
        <w:t>响应</w:t>
      </w:r>
      <w:r>
        <w:rPr>
          <w:rFonts w:ascii="宋体" w:hAnsi="宋体"/>
          <w:color w:val="auto"/>
          <w:sz w:val="24"/>
          <w:highlight w:val="none"/>
        </w:rPr>
        <w:t>文件被认定为无效的情形进行重点复核。</w:t>
      </w:r>
    </w:p>
    <w:p w14:paraId="3CB65C3F">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评标委员会将根据各投标人的评标排序，依次推荐本项目（</w:t>
      </w:r>
      <w:r>
        <w:rPr>
          <w:rFonts w:hint="eastAsia" w:ascii="宋体" w:hAnsi="宋体"/>
          <w:color w:val="auto"/>
          <w:sz w:val="24"/>
          <w:highlight w:val="none"/>
        </w:rPr>
        <w:t>各</w:t>
      </w:r>
      <w:r>
        <w:rPr>
          <w:rFonts w:ascii="宋体" w:hAnsi="宋体"/>
          <w:color w:val="auto"/>
          <w:sz w:val="24"/>
          <w:highlight w:val="none"/>
        </w:rPr>
        <w:t>采购包）的中标候选人，起草并签署评标报告。本项目（</w:t>
      </w:r>
      <w:r>
        <w:rPr>
          <w:rFonts w:hint="eastAsia" w:ascii="宋体" w:hAnsi="宋体"/>
          <w:color w:val="auto"/>
          <w:sz w:val="24"/>
          <w:highlight w:val="none"/>
        </w:rPr>
        <w:t>各</w:t>
      </w:r>
      <w:r>
        <w:rPr>
          <w:rFonts w:ascii="宋体" w:hAnsi="宋体"/>
          <w:color w:val="auto"/>
          <w:sz w:val="24"/>
          <w:highlight w:val="none"/>
        </w:rPr>
        <w:t>采购包）评标委员会各推荐</w:t>
      </w:r>
      <w:r>
        <w:rPr>
          <w:rFonts w:hint="eastAsia" w:ascii="宋体" w:hAnsi="宋体"/>
          <w:color w:val="auto"/>
          <w:sz w:val="24"/>
          <w:highlight w:val="none"/>
          <w:u w:val="single"/>
        </w:rPr>
        <w:t xml:space="preserve">  3  </w:t>
      </w:r>
      <w:r>
        <w:rPr>
          <w:rFonts w:ascii="宋体" w:hAnsi="宋体"/>
          <w:color w:val="auto"/>
          <w:sz w:val="24"/>
          <w:highlight w:val="none"/>
        </w:rPr>
        <w:t>名中标候选人。</w:t>
      </w:r>
    </w:p>
    <w:p w14:paraId="6D62C97F">
      <w:pPr>
        <w:numPr>
          <w:ilvl w:val="0"/>
          <w:numId w:val="16"/>
        </w:numPr>
        <w:tabs>
          <w:tab w:val="left" w:pos="360"/>
        </w:tabs>
        <w:snapToGrid w:val="0"/>
        <w:spacing w:line="360" w:lineRule="auto"/>
        <w:outlineLvl w:val="1"/>
        <w:rPr>
          <w:rFonts w:ascii="宋体" w:hAnsi="宋体"/>
          <w:color w:val="auto"/>
          <w:sz w:val="24"/>
          <w:highlight w:val="none"/>
        </w:rPr>
      </w:pPr>
      <w:r>
        <w:rPr>
          <w:rFonts w:ascii="宋体" w:hAnsi="宋体"/>
          <w:color w:val="auto"/>
          <w:sz w:val="24"/>
          <w:highlight w:val="none"/>
        </w:rPr>
        <w:t>报告违法行为</w:t>
      </w:r>
    </w:p>
    <w:p w14:paraId="612F34C1">
      <w:pPr>
        <w:numPr>
          <w:ilvl w:val="1"/>
          <w:numId w:val="16"/>
        </w:numPr>
        <w:tabs>
          <w:tab w:val="left" w:pos="1080"/>
        </w:tabs>
        <w:snapToGrid w:val="0"/>
        <w:spacing w:line="360" w:lineRule="auto"/>
        <w:ind w:left="1077" w:hanging="720"/>
        <w:rPr>
          <w:rFonts w:ascii="宋体" w:hAnsi="宋体"/>
          <w:color w:val="auto"/>
          <w:sz w:val="24"/>
          <w:highlight w:val="none"/>
        </w:rPr>
      </w:pPr>
      <w:r>
        <w:rPr>
          <w:rFonts w:ascii="宋体" w:hAnsi="宋体"/>
          <w:color w:val="auto"/>
          <w:sz w:val="24"/>
          <w:highlight w:val="none"/>
        </w:rPr>
        <w:t>评标委员会在评标过程中发现投标人有行贿、提供虚假材料或者串通等违法行为时，有向采购人、采购代理机构或者有关部门报告的职责。</w:t>
      </w:r>
    </w:p>
    <w:p w14:paraId="33C470E5">
      <w:pPr>
        <w:widowControl/>
        <w:jc w:val="left"/>
        <w:rPr>
          <w:rFonts w:ascii="宋体" w:hAnsi="宋体"/>
          <w:b/>
          <w:color w:val="auto"/>
          <w:sz w:val="24"/>
          <w:highlight w:val="none"/>
        </w:rPr>
      </w:pPr>
      <w:r>
        <w:rPr>
          <w:rFonts w:ascii="宋体" w:hAnsi="宋体"/>
          <w:b/>
          <w:color w:val="auto"/>
          <w:sz w:val="24"/>
          <w:highlight w:val="none"/>
        </w:rPr>
        <w:br w:type="page"/>
      </w:r>
    </w:p>
    <w:p w14:paraId="18315076">
      <w:pPr>
        <w:numPr>
          <w:ilvl w:val="0"/>
          <w:numId w:val="18"/>
        </w:numPr>
        <w:tabs>
          <w:tab w:val="left" w:pos="360"/>
          <w:tab w:val="left" w:pos="900"/>
        </w:tabs>
        <w:snapToGrid w:val="0"/>
        <w:spacing w:line="360" w:lineRule="auto"/>
        <w:jc w:val="both"/>
        <w:outlineLvl w:val="1"/>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评标标准：</w:t>
      </w:r>
    </w:p>
    <w:p w14:paraId="5F34772B">
      <w:pPr>
        <w:numPr>
          <w:ilvl w:val="-1"/>
          <w:numId w:val="0"/>
        </w:numPr>
        <w:tabs>
          <w:tab w:val="left" w:pos="360"/>
          <w:tab w:val="left" w:pos="900"/>
        </w:tabs>
        <w:snapToGrid w:val="0"/>
        <w:spacing w:line="360" w:lineRule="auto"/>
        <w:ind w:firstLine="3132" w:firstLineChars="1300"/>
        <w:jc w:val="both"/>
        <w:outlineLvl w:val="1"/>
        <w:rPr>
          <w:rFonts w:hint="eastAsia" w:ascii="宋体" w:hAnsi="宋体"/>
          <w:b/>
          <w:color w:val="auto"/>
          <w:sz w:val="24"/>
          <w:highlight w:val="none"/>
          <w:lang w:eastAsia="zh-CN"/>
        </w:rPr>
      </w:pPr>
      <w:bookmarkStart w:id="1189" w:name="_GoBack"/>
      <w:bookmarkEnd w:id="1189"/>
      <w:r>
        <w:rPr>
          <w:rFonts w:hint="eastAsia" w:ascii="宋体" w:hAnsi="宋体"/>
          <w:b/>
          <w:color w:val="auto"/>
          <w:sz w:val="24"/>
          <w:highlight w:val="none"/>
          <w:lang w:val="en-US" w:eastAsia="zh-CN"/>
        </w:rPr>
        <w:t>1包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2"/>
        <w:gridCol w:w="1261"/>
        <w:gridCol w:w="6509"/>
        <w:gridCol w:w="726"/>
      </w:tblGrid>
      <w:tr w14:paraId="2D58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8" w:type="pct"/>
            <w:shd w:val="clear" w:color="auto" w:fill="F3F3F3"/>
            <w:tcMar>
              <w:top w:w="57" w:type="dxa"/>
              <w:left w:w="108" w:type="dxa"/>
              <w:bottom w:w="57" w:type="dxa"/>
              <w:right w:w="108" w:type="dxa"/>
            </w:tcMar>
            <w:vAlign w:val="center"/>
          </w:tcPr>
          <w:p w14:paraId="62F29DD2">
            <w:pPr>
              <w:widowControl/>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5" w:type="pct"/>
            <w:shd w:val="clear" w:color="auto" w:fill="F3F3F3"/>
            <w:tcMar>
              <w:top w:w="57" w:type="dxa"/>
              <w:left w:w="108" w:type="dxa"/>
              <w:bottom w:w="57" w:type="dxa"/>
              <w:right w:w="108" w:type="dxa"/>
            </w:tcMar>
            <w:vAlign w:val="center"/>
          </w:tcPr>
          <w:p w14:paraId="6811F76E">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2C2B7E04">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4" w:type="pct"/>
            <w:shd w:val="clear" w:color="auto" w:fill="F3F3F3"/>
            <w:tcMar>
              <w:top w:w="57" w:type="dxa"/>
              <w:left w:w="108" w:type="dxa"/>
              <w:bottom w:w="57" w:type="dxa"/>
              <w:right w:w="108" w:type="dxa"/>
            </w:tcMar>
            <w:vAlign w:val="center"/>
          </w:tcPr>
          <w:p w14:paraId="4B74AFA2">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75C0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260E0C1B">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038A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exact"/>
        </w:trPr>
        <w:tc>
          <w:tcPr>
            <w:tcW w:w="588" w:type="pct"/>
            <w:shd w:val="clear" w:color="auto" w:fill="FFFFFF"/>
            <w:tcMar>
              <w:top w:w="57" w:type="dxa"/>
              <w:left w:w="108" w:type="dxa"/>
              <w:bottom w:w="57" w:type="dxa"/>
              <w:right w:w="108" w:type="dxa"/>
            </w:tcMar>
            <w:vAlign w:val="center"/>
          </w:tcPr>
          <w:p w14:paraId="2E6A279E">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5" w:type="pct"/>
            <w:shd w:val="clear" w:color="auto" w:fill="FFFFFF"/>
            <w:tcMar>
              <w:top w:w="57" w:type="dxa"/>
              <w:left w:w="108" w:type="dxa"/>
              <w:bottom w:w="57" w:type="dxa"/>
              <w:right w:w="108" w:type="dxa"/>
            </w:tcMar>
            <w:vAlign w:val="center"/>
          </w:tcPr>
          <w:p w14:paraId="2F512815">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3E7231EB">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4" w:type="pct"/>
            <w:shd w:val="clear" w:color="auto" w:fill="FFFFFF"/>
            <w:tcMar>
              <w:top w:w="57" w:type="dxa"/>
              <w:left w:w="108" w:type="dxa"/>
              <w:bottom w:w="57" w:type="dxa"/>
              <w:right w:w="108" w:type="dxa"/>
            </w:tcMar>
            <w:vAlign w:val="center"/>
          </w:tcPr>
          <w:p w14:paraId="768593F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5870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4" w:hRule="exact"/>
        </w:trPr>
        <w:tc>
          <w:tcPr>
            <w:tcW w:w="588" w:type="pct"/>
            <w:shd w:val="clear" w:color="auto" w:fill="FFFFFF"/>
            <w:tcMar>
              <w:top w:w="57" w:type="dxa"/>
              <w:left w:w="108" w:type="dxa"/>
              <w:bottom w:w="57" w:type="dxa"/>
              <w:right w:w="108" w:type="dxa"/>
            </w:tcMar>
            <w:vAlign w:val="center"/>
          </w:tcPr>
          <w:p w14:paraId="2246AA0B">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655" w:type="pct"/>
            <w:shd w:val="clear" w:color="auto" w:fill="FFFFFF"/>
            <w:tcMar>
              <w:top w:w="57" w:type="dxa"/>
              <w:left w:w="108" w:type="dxa"/>
              <w:bottom w:w="57" w:type="dxa"/>
              <w:right w:w="108" w:type="dxa"/>
            </w:tcMar>
            <w:vAlign w:val="center"/>
          </w:tcPr>
          <w:p w14:paraId="7F08E14E">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3380" w:type="pct"/>
            <w:shd w:val="clear" w:color="auto" w:fill="FFFFFF"/>
            <w:tcMar>
              <w:top w:w="57" w:type="dxa"/>
              <w:left w:w="108" w:type="dxa"/>
              <w:bottom w:w="57" w:type="dxa"/>
              <w:right w:w="108" w:type="dxa"/>
            </w:tcMar>
            <w:vAlign w:val="center"/>
          </w:tcPr>
          <w:p w14:paraId="3369736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2B1CDE0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639CF33D">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596DE239">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374" w:type="pct"/>
            <w:shd w:val="clear" w:color="auto" w:fill="FFFFFF"/>
            <w:tcMar>
              <w:top w:w="57" w:type="dxa"/>
              <w:left w:w="108" w:type="dxa"/>
              <w:bottom w:w="57" w:type="dxa"/>
              <w:right w:w="108" w:type="dxa"/>
            </w:tcMar>
            <w:vAlign w:val="center"/>
          </w:tcPr>
          <w:p w14:paraId="17B3398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3482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exact"/>
        </w:trPr>
        <w:tc>
          <w:tcPr>
            <w:tcW w:w="588" w:type="pct"/>
            <w:shd w:val="clear" w:color="auto" w:fill="FFFFFF"/>
            <w:tcMar>
              <w:top w:w="57" w:type="dxa"/>
              <w:left w:w="108" w:type="dxa"/>
              <w:bottom w:w="57" w:type="dxa"/>
              <w:right w:w="108" w:type="dxa"/>
            </w:tcMar>
            <w:vAlign w:val="center"/>
          </w:tcPr>
          <w:p w14:paraId="36313F5F">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5" w:type="pct"/>
            <w:shd w:val="clear" w:color="auto" w:fill="FFFFFF"/>
            <w:tcMar>
              <w:top w:w="57" w:type="dxa"/>
              <w:left w:w="108" w:type="dxa"/>
              <w:bottom w:w="57" w:type="dxa"/>
              <w:right w:w="108" w:type="dxa"/>
            </w:tcMar>
            <w:vAlign w:val="center"/>
          </w:tcPr>
          <w:p w14:paraId="6C23D15A">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3380" w:type="pct"/>
            <w:shd w:val="clear" w:color="auto" w:fill="FFFFFF"/>
            <w:tcMar>
              <w:top w:w="57" w:type="dxa"/>
              <w:left w:w="108" w:type="dxa"/>
              <w:bottom w:w="57" w:type="dxa"/>
              <w:right w:w="108" w:type="dxa"/>
            </w:tcMar>
            <w:vAlign w:val="center"/>
          </w:tcPr>
          <w:p w14:paraId="0927152E">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75275390">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w:t>
            </w:r>
            <w:r>
              <w:rPr>
                <w:rFonts w:hint="eastAsia" w:ascii="宋体" w:hAnsi="宋体" w:cs="宋体"/>
                <w:color w:val="auto"/>
                <w:sz w:val="24"/>
                <w:szCs w:val="24"/>
                <w:highlight w:val="none"/>
              </w:rPr>
              <w:t>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374" w:type="pct"/>
            <w:shd w:val="clear" w:color="auto" w:fill="FFFFFF"/>
            <w:tcMar>
              <w:top w:w="57" w:type="dxa"/>
              <w:left w:w="108" w:type="dxa"/>
              <w:bottom w:w="57" w:type="dxa"/>
              <w:right w:w="108" w:type="dxa"/>
            </w:tcMar>
            <w:vAlign w:val="center"/>
          </w:tcPr>
          <w:p w14:paraId="0223005F">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6C30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7BD1C668">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533F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44" w:hRule="exact"/>
        </w:trPr>
        <w:tc>
          <w:tcPr>
            <w:tcW w:w="588" w:type="pct"/>
            <w:shd w:val="clear" w:color="auto" w:fill="FFFFFF"/>
            <w:tcMar>
              <w:top w:w="57" w:type="dxa"/>
              <w:left w:w="108" w:type="dxa"/>
              <w:bottom w:w="57" w:type="dxa"/>
              <w:right w:w="108" w:type="dxa"/>
            </w:tcMar>
            <w:vAlign w:val="center"/>
          </w:tcPr>
          <w:p w14:paraId="1133AED7">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5" w:type="pct"/>
            <w:shd w:val="clear" w:color="auto" w:fill="FFFFFF"/>
            <w:tcMar>
              <w:top w:w="57" w:type="dxa"/>
              <w:left w:w="108" w:type="dxa"/>
              <w:bottom w:w="57" w:type="dxa"/>
              <w:right w:w="108" w:type="dxa"/>
            </w:tcMar>
            <w:vAlign w:val="center"/>
          </w:tcPr>
          <w:p w14:paraId="0C210CA7">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3041F11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074197AB">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3AFD3F2E">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0B1D052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4355551F">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30F888B4">
            <w:pPr>
              <w:widowControl/>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4" w:type="pct"/>
            <w:shd w:val="clear" w:color="auto" w:fill="FFFFFF"/>
            <w:tcMar>
              <w:top w:w="57" w:type="dxa"/>
              <w:left w:w="108" w:type="dxa"/>
              <w:bottom w:w="57" w:type="dxa"/>
              <w:right w:w="108" w:type="dxa"/>
            </w:tcMar>
            <w:vAlign w:val="center"/>
          </w:tcPr>
          <w:p w14:paraId="51A4155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3A9D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8" w:type="pct"/>
            <w:shd w:val="clear" w:color="auto" w:fill="FFFFFF"/>
            <w:tcMar>
              <w:top w:w="57" w:type="dxa"/>
              <w:left w:w="108" w:type="dxa"/>
              <w:bottom w:w="57" w:type="dxa"/>
              <w:right w:w="108" w:type="dxa"/>
            </w:tcMar>
            <w:vAlign w:val="center"/>
          </w:tcPr>
          <w:p w14:paraId="203691C6">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655" w:type="pct"/>
            <w:shd w:val="clear" w:color="auto" w:fill="FFFFFF"/>
            <w:tcMar>
              <w:top w:w="57" w:type="dxa"/>
              <w:left w:w="108" w:type="dxa"/>
              <w:bottom w:w="57" w:type="dxa"/>
              <w:right w:w="108" w:type="dxa"/>
            </w:tcMar>
            <w:vAlign w:val="top"/>
          </w:tcPr>
          <w:p w14:paraId="1CE891A9">
            <w:pPr>
              <w:widowControl/>
              <w:jc w:val="left"/>
              <w:textAlignment w:val="center"/>
              <w:rPr>
                <w:rFonts w:hint="eastAsia" w:ascii="宋体" w:hAnsi="宋体" w:cs="宋体"/>
                <w:color w:val="auto"/>
                <w:sz w:val="24"/>
                <w:szCs w:val="24"/>
                <w:highlight w:val="none"/>
              </w:rPr>
            </w:pPr>
          </w:p>
          <w:p w14:paraId="0D57C37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3380" w:type="pct"/>
            <w:shd w:val="clear" w:color="auto" w:fill="FFFFFF"/>
            <w:tcMar>
              <w:top w:w="57" w:type="dxa"/>
              <w:left w:w="108" w:type="dxa"/>
              <w:bottom w:w="57" w:type="dxa"/>
              <w:right w:w="108" w:type="dxa"/>
            </w:tcMar>
            <w:vAlign w:val="top"/>
          </w:tcPr>
          <w:p w14:paraId="6B6AF65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235E1D0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46AC6E8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311B829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660B08A4">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4" w:type="pct"/>
            <w:shd w:val="clear" w:color="auto" w:fill="FFFFFF"/>
            <w:tcMar>
              <w:top w:w="57" w:type="dxa"/>
              <w:left w:w="108" w:type="dxa"/>
              <w:bottom w:w="57" w:type="dxa"/>
              <w:right w:w="108" w:type="dxa"/>
            </w:tcMar>
            <w:vAlign w:val="top"/>
          </w:tcPr>
          <w:p w14:paraId="18860840">
            <w:pPr>
              <w:widowControl/>
              <w:ind w:firstLine="480" w:firstLineChars="200"/>
              <w:jc w:val="center"/>
              <w:textAlignment w:val="center"/>
              <w:rPr>
                <w:rFonts w:hint="eastAsia" w:ascii="宋体" w:hAnsi="宋体" w:cs="宋体"/>
                <w:color w:val="auto"/>
                <w:sz w:val="24"/>
                <w:szCs w:val="24"/>
                <w:highlight w:val="none"/>
              </w:rPr>
            </w:pPr>
          </w:p>
          <w:p w14:paraId="74F241A5">
            <w:pPr>
              <w:widowControl/>
              <w:ind w:firstLine="480" w:firstLineChars="200"/>
              <w:jc w:val="center"/>
              <w:textAlignment w:val="center"/>
              <w:rPr>
                <w:rFonts w:hint="eastAsia" w:ascii="宋体" w:hAnsi="宋体" w:cs="宋体"/>
                <w:color w:val="auto"/>
                <w:sz w:val="24"/>
                <w:szCs w:val="24"/>
                <w:highlight w:val="none"/>
              </w:rPr>
            </w:pPr>
          </w:p>
          <w:p w14:paraId="6BD60A01">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6323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3" w:hRule="exact"/>
        </w:trPr>
        <w:tc>
          <w:tcPr>
            <w:tcW w:w="588" w:type="pct"/>
            <w:shd w:val="clear" w:color="auto" w:fill="FFFFFF"/>
            <w:tcMar>
              <w:top w:w="57" w:type="dxa"/>
              <w:left w:w="108" w:type="dxa"/>
              <w:bottom w:w="57" w:type="dxa"/>
              <w:right w:w="108" w:type="dxa"/>
            </w:tcMar>
            <w:vAlign w:val="center"/>
          </w:tcPr>
          <w:p w14:paraId="627E7BEC">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5" w:type="pct"/>
            <w:shd w:val="clear" w:color="auto" w:fill="FFFFFF"/>
            <w:tcMar>
              <w:top w:w="57" w:type="dxa"/>
              <w:left w:w="108" w:type="dxa"/>
              <w:bottom w:w="57" w:type="dxa"/>
              <w:right w:w="108" w:type="dxa"/>
            </w:tcMar>
            <w:vAlign w:val="top"/>
          </w:tcPr>
          <w:p w14:paraId="5F1938B2">
            <w:pPr>
              <w:widowControl/>
              <w:jc w:val="left"/>
              <w:textAlignment w:val="center"/>
              <w:rPr>
                <w:rFonts w:hint="eastAsia" w:ascii="宋体" w:hAnsi="宋体" w:cs="宋体"/>
                <w:color w:val="auto"/>
                <w:sz w:val="24"/>
                <w:szCs w:val="24"/>
                <w:highlight w:val="none"/>
              </w:rPr>
            </w:pPr>
          </w:p>
          <w:p w14:paraId="6789A4B3">
            <w:pPr>
              <w:widowControl/>
              <w:jc w:val="left"/>
              <w:textAlignment w:val="center"/>
              <w:rPr>
                <w:rFonts w:hint="eastAsia" w:ascii="宋体" w:hAnsi="宋体" w:cs="宋体"/>
                <w:color w:val="auto"/>
                <w:sz w:val="24"/>
                <w:szCs w:val="24"/>
                <w:highlight w:val="none"/>
              </w:rPr>
            </w:pPr>
          </w:p>
          <w:p w14:paraId="2A21705C">
            <w:pPr>
              <w:widowControl/>
              <w:jc w:val="left"/>
              <w:textAlignment w:val="center"/>
              <w:rPr>
                <w:rFonts w:hint="eastAsia" w:ascii="宋体" w:hAnsi="宋体" w:cs="宋体"/>
                <w:color w:val="auto"/>
                <w:sz w:val="24"/>
                <w:szCs w:val="24"/>
                <w:highlight w:val="none"/>
              </w:rPr>
            </w:pPr>
          </w:p>
          <w:p w14:paraId="1E127909">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50367801">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31E3A3D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7D63C786">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0FDF6CB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754B7806">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4" w:type="pct"/>
            <w:shd w:val="clear" w:color="auto" w:fill="FFFFFF"/>
            <w:tcMar>
              <w:top w:w="57" w:type="dxa"/>
              <w:left w:w="108" w:type="dxa"/>
              <w:bottom w:w="57" w:type="dxa"/>
              <w:right w:w="108" w:type="dxa"/>
            </w:tcMar>
            <w:vAlign w:val="top"/>
          </w:tcPr>
          <w:p w14:paraId="49036464">
            <w:pPr>
              <w:widowControl/>
              <w:ind w:firstLine="480" w:firstLineChars="200"/>
              <w:jc w:val="center"/>
              <w:textAlignment w:val="center"/>
              <w:rPr>
                <w:rFonts w:hint="eastAsia" w:ascii="宋体" w:hAnsi="宋体" w:cs="宋体"/>
                <w:color w:val="auto"/>
                <w:sz w:val="24"/>
                <w:szCs w:val="24"/>
                <w:highlight w:val="none"/>
              </w:rPr>
            </w:pPr>
          </w:p>
          <w:p w14:paraId="55F4F4D4">
            <w:pPr>
              <w:widowControl/>
              <w:ind w:firstLine="480" w:firstLineChars="200"/>
              <w:jc w:val="center"/>
              <w:textAlignment w:val="center"/>
              <w:rPr>
                <w:rFonts w:hint="eastAsia" w:ascii="宋体" w:hAnsi="宋体" w:cs="宋体"/>
                <w:color w:val="auto"/>
                <w:sz w:val="24"/>
                <w:szCs w:val="24"/>
                <w:highlight w:val="none"/>
              </w:rPr>
            </w:pPr>
          </w:p>
          <w:p w14:paraId="310D7D72">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2682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exact"/>
        </w:trPr>
        <w:tc>
          <w:tcPr>
            <w:tcW w:w="588" w:type="pct"/>
            <w:shd w:val="clear" w:color="auto" w:fill="FFFFFF"/>
            <w:tcMar>
              <w:top w:w="57" w:type="dxa"/>
              <w:left w:w="108" w:type="dxa"/>
              <w:bottom w:w="57" w:type="dxa"/>
              <w:right w:w="108" w:type="dxa"/>
            </w:tcMar>
            <w:vAlign w:val="center"/>
          </w:tcPr>
          <w:p w14:paraId="3CF7231A">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5" w:type="pct"/>
            <w:shd w:val="clear" w:color="auto" w:fill="FFFFFF"/>
            <w:tcMar>
              <w:top w:w="57" w:type="dxa"/>
              <w:left w:w="108" w:type="dxa"/>
              <w:bottom w:w="57" w:type="dxa"/>
              <w:right w:w="108" w:type="dxa"/>
            </w:tcMar>
            <w:vAlign w:val="top"/>
          </w:tcPr>
          <w:p w14:paraId="68DC4B97">
            <w:pPr>
              <w:widowControl/>
              <w:jc w:val="left"/>
              <w:textAlignment w:val="center"/>
              <w:rPr>
                <w:rFonts w:hint="eastAsia" w:ascii="宋体" w:hAnsi="宋体" w:cs="宋体"/>
                <w:color w:val="auto"/>
                <w:sz w:val="24"/>
                <w:szCs w:val="24"/>
                <w:highlight w:val="none"/>
              </w:rPr>
            </w:pPr>
          </w:p>
          <w:p w14:paraId="00B06D5E">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7D8FC1D0">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452157A7">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7087B3E0">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22A3D2E6">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4" w:type="pct"/>
            <w:shd w:val="clear" w:color="auto" w:fill="FFFFFF"/>
            <w:tcMar>
              <w:top w:w="57" w:type="dxa"/>
              <w:left w:w="108" w:type="dxa"/>
              <w:bottom w:w="57" w:type="dxa"/>
              <w:right w:w="108" w:type="dxa"/>
            </w:tcMar>
            <w:vAlign w:val="top"/>
          </w:tcPr>
          <w:p w14:paraId="1FE80AB4">
            <w:pPr>
              <w:widowControl/>
              <w:ind w:firstLine="480" w:firstLineChars="200"/>
              <w:jc w:val="center"/>
              <w:textAlignment w:val="center"/>
              <w:rPr>
                <w:rFonts w:hint="eastAsia" w:ascii="宋体" w:hAnsi="宋体" w:cs="宋体"/>
                <w:color w:val="auto"/>
                <w:sz w:val="24"/>
                <w:szCs w:val="24"/>
                <w:highlight w:val="none"/>
              </w:rPr>
            </w:pPr>
          </w:p>
          <w:p w14:paraId="527CCE56">
            <w:pPr>
              <w:widowControl/>
              <w:ind w:firstLine="480" w:firstLineChars="200"/>
              <w:jc w:val="center"/>
              <w:textAlignment w:val="center"/>
              <w:rPr>
                <w:rFonts w:hint="eastAsia" w:ascii="宋体" w:hAnsi="宋体" w:cs="宋体"/>
                <w:color w:val="auto"/>
                <w:sz w:val="24"/>
                <w:szCs w:val="24"/>
                <w:highlight w:val="none"/>
              </w:rPr>
            </w:pPr>
          </w:p>
          <w:p w14:paraId="3F9E52BE">
            <w:pPr>
              <w:widowControl/>
              <w:ind w:firstLine="240" w:firstLineChars="100"/>
              <w:jc w:val="both"/>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420E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exact"/>
        </w:trPr>
        <w:tc>
          <w:tcPr>
            <w:tcW w:w="588" w:type="pct"/>
            <w:shd w:val="clear" w:color="auto" w:fill="FFFFFF"/>
            <w:tcMar>
              <w:top w:w="57" w:type="dxa"/>
              <w:left w:w="108" w:type="dxa"/>
              <w:bottom w:w="57" w:type="dxa"/>
              <w:right w:w="108" w:type="dxa"/>
            </w:tcMar>
            <w:vAlign w:val="center"/>
          </w:tcPr>
          <w:p w14:paraId="4210D10E">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655" w:type="pct"/>
            <w:shd w:val="clear" w:color="auto" w:fill="FFFFFF"/>
            <w:tcMar>
              <w:top w:w="57" w:type="dxa"/>
              <w:left w:w="108" w:type="dxa"/>
              <w:bottom w:w="57" w:type="dxa"/>
              <w:right w:w="108" w:type="dxa"/>
            </w:tcMar>
            <w:vAlign w:val="top"/>
          </w:tcPr>
          <w:p w14:paraId="73F3018C">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4F75F70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2C92D0C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620352F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3D6C17F9">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374" w:type="pct"/>
            <w:shd w:val="clear" w:color="auto" w:fill="FFFFFF"/>
            <w:tcMar>
              <w:top w:w="57" w:type="dxa"/>
              <w:left w:w="108" w:type="dxa"/>
              <w:bottom w:w="57" w:type="dxa"/>
              <w:right w:w="108" w:type="dxa"/>
            </w:tcMar>
            <w:vAlign w:val="top"/>
          </w:tcPr>
          <w:p w14:paraId="76B607A3">
            <w:pPr>
              <w:widowControl/>
              <w:ind w:firstLine="480" w:firstLineChars="200"/>
              <w:jc w:val="center"/>
              <w:textAlignment w:val="center"/>
              <w:rPr>
                <w:rFonts w:hint="eastAsia" w:ascii="宋体" w:hAnsi="宋体" w:cs="宋体"/>
                <w:color w:val="auto"/>
                <w:sz w:val="24"/>
                <w:szCs w:val="24"/>
                <w:highlight w:val="none"/>
              </w:rPr>
            </w:pPr>
          </w:p>
          <w:p w14:paraId="1853EB3D">
            <w:pPr>
              <w:widowControl/>
              <w:ind w:firstLine="480" w:firstLineChars="200"/>
              <w:jc w:val="center"/>
              <w:textAlignment w:val="center"/>
              <w:rPr>
                <w:rFonts w:hint="eastAsia" w:ascii="宋体" w:hAnsi="宋体" w:cs="宋体"/>
                <w:color w:val="auto"/>
                <w:sz w:val="24"/>
                <w:szCs w:val="24"/>
                <w:highlight w:val="none"/>
              </w:rPr>
            </w:pPr>
          </w:p>
          <w:p w14:paraId="0700E5EE">
            <w:pPr>
              <w:widowControl/>
              <w:ind w:firstLine="240" w:firstLineChars="100"/>
              <w:jc w:val="both"/>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49A8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exact"/>
        </w:trPr>
        <w:tc>
          <w:tcPr>
            <w:tcW w:w="588" w:type="pct"/>
            <w:shd w:val="clear" w:color="auto" w:fill="FFFFFF"/>
            <w:tcMar>
              <w:top w:w="57" w:type="dxa"/>
              <w:left w:w="108" w:type="dxa"/>
              <w:bottom w:w="57" w:type="dxa"/>
              <w:right w:w="108" w:type="dxa"/>
            </w:tcMar>
            <w:vAlign w:val="center"/>
          </w:tcPr>
          <w:p w14:paraId="07C4B60D">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5" w:type="pct"/>
            <w:shd w:val="clear" w:color="auto" w:fill="FFFFFF"/>
            <w:tcMar>
              <w:top w:w="57" w:type="dxa"/>
              <w:left w:w="108" w:type="dxa"/>
              <w:bottom w:w="57" w:type="dxa"/>
              <w:right w:w="108" w:type="dxa"/>
            </w:tcMar>
            <w:vAlign w:val="top"/>
          </w:tcPr>
          <w:p w14:paraId="1A652F7C">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4AD482C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792C941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01677CA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0E31424C">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4" w:type="pct"/>
            <w:shd w:val="clear" w:color="auto" w:fill="FFFFFF"/>
            <w:tcMar>
              <w:top w:w="57" w:type="dxa"/>
              <w:left w:w="108" w:type="dxa"/>
              <w:bottom w:w="57" w:type="dxa"/>
              <w:right w:w="108" w:type="dxa"/>
            </w:tcMar>
            <w:vAlign w:val="top"/>
          </w:tcPr>
          <w:p w14:paraId="0134CC6C">
            <w:pPr>
              <w:widowControl/>
              <w:ind w:firstLine="480" w:firstLineChars="200"/>
              <w:jc w:val="center"/>
              <w:textAlignment w:val="center"/>
              <w:rPr>
                <w:rFonts w:hint="eastAsia" w:ascii="宋体" w:hAnsi="宋体" w:cs="宋体"/>
                <w:color w:val="auto"/>
                <w:sz w:val="24"/>
                <w:szCs w:val="24"/>
                <w:highlight w:val="none"/>
              </w:rPr>
            </w:pPr>
          </w:p>
          <w:p w14:paraId="45922C42">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6FA4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4" w:hRule="exact"/>
        </w:trPr>
        <w:tc>
          <w:tcPr>
            <w:tcW w:w="588" w:type="pct"/>
            <w:shd w:val="clear" w:color="auto" w:fill="FFFFFF"/>
            <w:tcMar>
              <w:top w:w="57" w:type="dxa"/>
              <w:left w:w="108" w:type="dxa"/>
              <w:bottom w:w="57" w:type="dxa"/>
              <w:right w:w="108" w:type="dxa"/>
            </w:tcMar>
            <w:vAlign w:val="center"/>
          </w:tcPr>
          <w:p w14:paraId="7ED0E5D6">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5" w:type="pct"/>
            <w:shd w:val="clear" w:color="auto" w:fill="FFFFFF"/>
            <w:tcMar>
              <w:top w:w="57" w:type="dxa"/>
              <w:left w:w="108" w:type="dxa"/>
              <w:bottom w:w="57" w:type="dxa"/>
              <w:right w:w="108" w:type="dxa"/>
            </w:tcMar>
            <w:vAlign w:val="top"/>
          </w:tcPr>
          <w:p w14:paraId="7E9CEC18">
            <w:pPr>
              <w:widowControl/>
              <w:ind w:firstLine="480" w:firstLineChars="200"/>
              <w:jc w:val="left"/>
              <w:textAlignment w:val="center"/>
              <w:rPr>
                <w:rFonts w:hint="eastAsia" w:ascii="宋体" w:hAnsi="宋体" w:cs="宋体"/>
                <w:color w:val="auto"/>
                <w:sz w:val="24"/>
                <w:szCs w:val="24"/>
                <w:highlight w:val="none"/>
              </w:rPr>
            </w:pPr>
          </w:p>
          <w:p w14:paraId="23FAE511">
            <w:pPr>
              <w:widowControl/>
              <w:ind w:firstLine="480" w:firstLineChars="200"/>
              <w:jc w:val="left"/>
              <w:textAlignment w:val="center"/>
              <w:rPr>
                <w:rFonts w:hint="eastAsia" w:ascii="宋体" w:hAnsi="宋体" w:cs="宋体"/>
                <w:color w:val="auto"/>
                <w:sz w:val="24"/>
                <w:szCs w:val="24"/>
                <w:highlight w:val="none"/>
              </w:rPr>
            </w:pPr>
          </w:p>
          <w:p w14:paraId="3E4C9657">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4F7AAC6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199D292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040F2376">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4540250B">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4" w:type="pct"/>
            <w:shd w:val="clear" w:color="auto" w:fill="FFFFFF"/>
            <w:tcMar>
              <w:top w:w="57" w:type="dxa"/>
              <w:left w:w="108" w:type="dxa"/>
              <w:bottom w:w="57" w:type="dxa"/>
              <w:right w:w="108" w:type="dxa"/>
            </w:tcMar>
            <w:vAlign w:val="top"/>
          </w:tcPr>
          <w:p w14:paraId="4A4BA0FA">
            <w:pPr>
              <w:widowControl/>
              <w:ind w:firstLine="480" w:firstLineChars="200"/>
              <w:jc w:val="center"/>
              <w:textAlignment w:val="center"/>
              <w:rPr>
                <w:rFonts w:hint="eastAsia" w:ascii="宋体" w:hAnsi="宋体" w:cs="宋体"/>
                <w:color w:val="auto"/>
                <w:sz w:val="24"/>
                <w:szCs w:val="24"/>
                <w:highlight w:val="none"/>
              </w:rPr>
            </w:pPr>
          </w:p>
          <w:p w14:paraId="004F1ABC">
            <w:pPr>
              <w:widowControl/>
              <w:ind w:firstLine="480" w:firstLineChars="200"/>
              <w:jc w:val="center"/>
              <w:textAlignment w:val="center"/>
              <w:rPr>
                <w:rFonts w:hint="eastAsia" w:ascii="宋体" w:hAnsi="宋体" w:cs="宋体"/>
                <w:color w:val="auto"/>
                <w:sz w:val="24"/>
                <w:szCs w:val="24"/>
                <w:highlight w:val="none"/>
              </w:rPr>
            </w:pPr>
          </w:p>
          <w:p w14:paraId="782B6510">
            <w:pPr>
              <w:widowControl/>
              <w:ind w:firstLine="480" w:firstLineChars="200"/>
              <w:jc w:val="center"/>
              <w:textAlignment w:val="center"/>
              <w:rPr>
                <w:rFonts w:hint="eastAsia" w:ascii="宋体" w:hAnsi="宋体" w:cs="宋体"/>
                <w:color w:val="auto"/>
                <w:sz w:val="24"/>
                <w:szCs w:val="24"/>
                <w:highlight w:val="none"/>
              </w:rPr>
            </w:pPr>
          </w:p>
          <w:p w14:paraId="7C8A491D">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2BC4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8" w:type="pct"/>
            <w:shd w:val="clear" w:color="auto" w:fill="FFFFFF"/>
            <w:tcMar>
              <w:top w:w="57" w:type="dxa"/>
              <w:left w:w="108" w:type="dxa"/>
              <w:bottom w:w="57" w:type="dxa"/>
              <w:right w:w="108" w:type="dxa"/>
            </w:tcMar>
            <w:vAlign w:val="center"/>
          </w:tcPr>
          <w:p w14:paraId="50C5BC6D">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5" w:type="pct"/>
            <w:shd w:val="clear" w:color="auto" w:fill="FFFFFF"/>
            <w:tcMar>
              <w:top w:w="57" w:type="dxa"/>
              <w:left w:w="108" w:type="dxa"/>
              <w:bottom w:w="57" w:type="dxa"/>
              <w:right w:w="108" w:type="dxa"/>
            </w:tcMar>
            <w:vAlign w:val="top"/>
          </w:tcPr>
          <w:p w14:paraId="7978288C">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2DD6CAE5">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3497243E">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09DA329F">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34AE78FD">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4" w:type="pct"/>
            <w:shd w:val="clear" w:color="auto" w:fill="FFFFFF"/>
            <w:tcMar>
              <w:top w:w="57" w:type="dxa"/>
              <w:left w:w="108" w:type="dxa"/>
              <w:bottom w:w="57" w:type="dxa"/>
              <w:right w:w="108" w:type="dxa"/>
            </w:tcMar>
            <w:vAlign w:val="top"/>
          </w:tcPr>
          <w:p w14:paraId="4D3A868B">
            <w:pPr>
              <w:widowControl/>
              <w:ind w:firstLine="480" w:firstLineChars="200"/>
              <w:jc w:val="center"/>
              <w:textAlignment w:val="center"/>
              <w:rPr>
                <w:rFonts w:hint="eastAsia" w:ascii="宋体" w:hAnsi="宋体" w:cs="宋体"/>
                <w:color w:val="auto"/>
                <w:sz w:val="24"/>
                <w:szCs w:val="24"/>
                <w:highlight w:val="none"/>
              </w:rPr>
            </w:pPr>
          </w:p>
          <w:p w14:paraId="22E105A0">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3B57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57440CCB">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5BDC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8" w:type="pct"/>
            <w:shd w:val="clear" w:color="auto" w:fill="FFFFFF"/>
            <w:tcMar>
              <w:top w:w="57" w:type="dxa"/>
              <w:left w:w="108" w:type="dxa"/>
              <w:bottom w:w="57" w:type="dxa"/>
              <w:right w:w="108" w:type="dxa"/>
            </w:tcMar>
            <w:vAlign w:val="center"/>
          </w:tcPr>
          <w:p w14:paraId="6E1AE777">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5" w:type="pct"/>
            <w:shd w:val="clear" w:color="auto" w:fill="FFFFFF"/>
            <w:tcMar>
              <w:top w:w="57" w:type="dxa"/>
              <w:left w:w="108" w:type="dxa"/>
              <w:bottom w:w="57" w:type="dxa"/>
              <w:right w:w="108" w:type="dxa"/>
            </w:tcMar>
            <w:vAlign w:val="center"/>
          </w:tcPr>
          <w:p w14:paraId="2BD10F9D">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56ED8156">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299E5522">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4" w:type="pct"/>
            <w:shd w:val="clear" w:color="auto" w:fill="FFFFFF"/>
            <w:tcMar>
              <w:top w:w="57" w:type="dxa"/>
              <w:left w:w="108" w:type="dxa"/>
              <w:bottom w:w="57" w:type="dxa"/>
              <w:right w:w="108" w:type="dxa"/>
            </w:tcMar>
            <w:vAlign w:val="center"/>
          </w:tcPr>
          <w:p w14:paraId="363A0106">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3E73F0DE">
      <w:pPr>
        <w:numPr>
          <w:ilvl w:val="-1"/>
          <w:numId w:val="0"/>
        </w:numPr>
        <w:tabs>
          <w:tab w:val="left" w:pos="360"/>
          <w:tab w:val="left" w:pos="900"/>
        </w:tabs>
        <w:snapToGrid w:val="0"/>
        <w:spacing w:line="360" w:lineRule="auto"/>
        <w:jc w:val="both"/>
        <w:outlineLvl w:val="9"/>
        <w:rPr>
          <w:rFonts w:hint="default" w:ascii="宋体" w:hAnsi="宋体"/>
          <w:b/>
          <w:color w:val="auto"/>
          <w:sz w:val="24"/>
          <w:highlight w:val="none"/>
          <w:lang w:val="en-US" w:eastAsia="zh-CN"/>
        </w:rPr>
      </w:pPr>
    </w:p>
    <w:p w14:paraId="4C9CE8AE">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b w:val="0"/>
          <w:bCs/>
          <w:color w:val="auto"/>
          <w:sz w:val="24"/>
          <w:highlight w:val="none"/>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2DBCF1D6">
      <w:pPr>
        <w:widowControl/>
        <w:numPr>
          <w:ilvl w:val="0"/>
          <w:numId w:val="19"/>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3B9DEE9B">
      <w:pPr>
        <w:widowControl/>
        <w:tabs>
          <w:tab w:val="left" w:pos="360"/>
          <w:tab w:val="left" w:pos="900"/>
        </w:tabs>
        <w:snapToGrid w:val="0"/>
        <w:spacing w:line="360" w:lineRule="auto"/>
        <w:ind w:firstLine="3132" w:firstLineChars="1300"/>
        <w:jc w:val="both"/>
        <w:outlineLvl w:val="1"/>
        <w:rPr>
          <w:rFonts w:hint="eastAsia" w:ascii="宋体" w:hAnsi="宋体"/>
          <w:b/>
          <w:color w:val="auto"/>
          <w:sz w:val="24"/>
          <w:highlight w:val="none"/>
          <w:lang w:eastAsia="zh-CN"/>
        </w:rPr>
      </w:pPr>
      <w:r>
        <w:rPr>
          <w:rFonts w:hint="eastAsia" w:ascii="宋体" w:hAnsi="宋体"/>
          <w:b/>
          <w:color w:val="auto"/>
          <w:sz w:val="24"/>
          <w:highlight w:val="none"/>
          <w:lang w:val="en-US" w:eastAsia="zh-CN"/>
        </w:rPr>
        <w:t>2包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4"/>
        <w:gridCol w:w="1263"/>
        <w:gridCol w:w="6509"/>
        <w:gridCol w:w="722"/>
      </w:tblGrid>
      <w:tr w14:paraId="0CC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trPr>
        <w:tc>
          <w:tcPr>
            <w:tcW w:w="589" w:type="pct"/>
            <w:shd w:val="clear" w:color="auto" w:fill="F3F3F3"/>
            <w:tcMar>
              <w:top w:w="57" w:type="dxa"/>
              <w:left w:w="108" w:type="dxa"/>
              <w:bottom w:w="57" w:type="dxa"/>
              <w:right w:w="108" w:type="dxa"/>
            </w:tcMar>
            <w:vAlign w:val="center"/>
          </w:tcPr>
          <w:p w14:paraId="1DF832D6">
            <w:pPr>
              <w:widowControl/>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6" w:type="pct"/>
            <w:shd w:val="clear" w:color="auto" w:fill="F3F3F3"/>
            <w:tcMar>
              <w:top w:w="57" w:type="dxa"/>
              <w:left w:w="108" w:type="dxa"/>
              <w:bottom w:w="57" w:type="dxa"/>
              <w:right w:w="108" w:type="dxa"/>
            </w:tcMar>
            <w:vAlign w:val="center"/>
          </w:tcPr>
          <w:p w14:paraId="02F9A5D0">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5B63F57E">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3" w:type="pct"/>
            <w:shd w:val="clear" w:color="auto" w:fill="F3F3F3"/>
            <w:tcMar>
              <w:top w:w="57" w:type="dxa"/>
              <w:left w:w="108" w:type="dxa"/>
              <w:bottom w:w="57" w:type="dxa"/>
              <w:right w:w="108" w:type="dxa"/>
            </w:tcMar>
            <w:vAlign w:val="center"/>
          </w:tcPr>
          <w:p w14:paraId="05E2A709">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56BD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49469491">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63B5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exact"/>
        </w:trPr>
        <w:tc>
          <w:tcPr>
            <w:tcW w:w="589" w:type="pct"/>
            <w:shd w:val="clear" w:color="auto" w:fill="FFFFFF"/>
            <w:tcMar>
              <w:top w:w="57" w:type="dxa"/>
              <w:left w:w="108" w:type="dxa"/>
              <w:bottom w:w="57" w:type="dxa"/>
              <w:right w:w="108" w:type="dxa"/>
            </w:tcMar>
            <w:vAlign w:val="center"/>
          </w:tcPr>
          <w:p w14:paraId="70594EB0">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3E9CDB20">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4FBFA0DD">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3" w:type="pct"/>
            <w:shd w:val="clear" w:color="auto" w:fill="FFFFFF"/>
            <w:tcMar>
              <w:top w:w="57" w:type="dxa"/>
              <w:left w:w="108" w:type="dxa"/>
              <w:bottom w:w="57" w:type="dxa"/>
              <w:right w:w="108" w:type="dxa"/>
            </w:tcMar>
            <w:vAlign w:val="center"/>
          </w:tcPr>
          <w:p w14:paraId="226597F2">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2CB1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4" w:hRule="exact"/>
        </w:trPr>
        <w:tc>
          <w:tcPr>
            <w:tcW w:w="589" w:type="pct"/>
            <w:shd w:val="clear" w:color="auto" w:fill="FFFFFF"/>
            <w:tcMar>
              <w:top w:w="57" w:type="dxa"/>
              <w:left w:w="108" w:type="dxa"/>
              <w:bottom w:w="57" w:type="dxa"/>
              <w:right w:w="108" w:type="dxa"/>
            </w:tcMar>
            <w:vAlign w:val="center"/>
          </w:tcPr>
          <w:p w14:paraId="2F5E3C13">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263" w:type="dxa"/>
            <w:shd w:val="clear" w:color="auto" w:fill="FFFFFF"/>
            <w:tcMar>
              <w:top w:w="57" w:type="dxa"/>
              <w:left w:w="108" w:type="dxa"/>
              <w:bottom w:w="57" w:type="dxa"/>
              <w:right w:w="108" w:type="dxa"/>
            </w:tcMar>
            <w:vAlign w:val="center"/>
          </w:tcPr>
          <w:p w14:paraId="62689D60">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6509" w:type="dxa"/>
            <w:shd w:val="clear" w:color="auto" w:fill="FFFFFF"/>
            <w:tcMar>
              <w:top w:w="57" w:type="dxa"/>
              <w:left w:w="108" w:type="dxa"/>
              <w:bottom w:w="57" w:type="dxa"/>
              <w:right w:w="108" w:type="dxa"/>
            </w:tcMar>
            <w:vAlign w:val="center"/>
          </w:tcPr>
          <w:p w14:paraId="14A13B7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2C99B8B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3453418B">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2A6B5860">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722" w:type="dxa"/>
            <w:shd w:val="clear" w:color="auto" w:fill="FFFFFF"/>
            <w:tcMar>
              <w:top w:w="57" w:type="dxa"/>
              <w:left w:w="108" w:type="dxa"/>
              <w:bottom w:w="57" w:type="dxa"/>
              <w:right w:w="108" w:type="dxa"/>
            </w:tcMar>
            <w:vAlign w:val="center"/>
          </w:tcPr>
          <w:p w14:paraId="6B45B26D">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39B7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4" w:hRule="exact"/>
        </w:trPr>
        <w:tc>
          <w:tcPr>
            <w:tcW w:w="589" w:type="pct"/>
            <w:shd w:val="clear" w:color="auto" w:fill="FFFFFF"/>
            <w:tcMar>
              <w:top w:w="57" w:type="dxa"/>
              <w:left w:w="108" w:type="dxa"/>
              <w:bottom w:w="57" w:type="dxa"/>
              <w:right w:w="108" w:type="dxa"/>
            </w:tcMar>
            <w:vAlign w:val="center"/>
          </w:tcPr>
          <w:p w14:paraId="2F9B6580">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3" w:type="dxa"/>
            <w:shd w:val="clear" w:color="auto" w:fill="FFFFFF"/>
            <w:tcMar>
              <w:top w:w="57" w:type="dxa"/>
              <w:left w:w="108" w:type="dxa"/>
              <w:bottom w:w="57" w:type="dxa"/>
              <w:right w:w="108" w:type="dxa"/>
            </w:tcMar>
            <w:vAlign w:val="center"/>
          </w:tcPr>
          <w:p w14:paraId="55839A1B">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6509" w:type="dxa"/>
            <w:shd w:val="clear" w:color="auto" w:fill="FFFFFF"/>
            <w:tcMar>
              <w:top w:w="57" w:type="dxa"/>
              <w:left w:w="108" w:type="dxa"/>
              <w:bottom w:w="57" w:type="dxa"/>
              <w:right w:w="108" w:type="dxa"/>
            </w:tcMar>
            <w:vAlign w:val="center"/>
          </w:tcPr>
          <w:p w14:paraId="41936E08">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6F5DA8B3">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项目负责人身份承担过类似项目业绩（须以中标通知</w:t>
            </w:r>
            <w:r>
              <w:rPr>
                <w:rFonts w:hint="eastAsia" w:ascii="宋体" w:hAnsi="宋体" w:eastAsia="宋体" w:cs="宋体"/>
                <w:color w:val="auto"/>
                <w:spacing w:val="7"/>
                <w:sz w:val="24"/>
                <w:szCs w:val="24"/>
                <w:highlight w:val="none"/>
              </w:rPr>
              <w:t>书或</w:t>
            </w:r>
            <w:r>
              <w:rPr>
                <w:rFonts w:hint="eastAsia" w:ascii="宋体" w:hAnsi="宋体" w:eastAsia="宋体" w:cs="宋体"/>
                <w:color w:val="auto"/>
                <w:spacing w:val="5"/>
                <w:sz w:val="24"/>
                <w:szCs w:val="24"/>
                <w:highlight w:val="none"/>
              </w:rPr>
              <w:t>相应的服务合同为准</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722" w:type="dxa"/>
            <w:shd w:val="clear" w:color="auto" w:fill="FFFFFF"/>
            <w:tcMar>
              <w:top w:w="57" w:type="dxa"/>
              <w:left w:w="108" w:type="dxa"/>
              <w:bottom w:w="57" w:type="dxa"/>
              <w:right w:w="108" w:type="dxa"/>
            </w:tcMar>
            <w:vAlign w:val="center"/>
          </w:tcPr>
          <w:p w14:paraId="1510D618">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1D4B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5F149369">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642D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0" w:hRule="exact"/>
        </w:trPr>
        <w:tc>
          <w:tcPr>
            <w:tcW w:w="589" w:type="pct"/>
            <w:shd w:val="clear" w:color="auto" w:fill="FFFFFF"/>
            <w:tcMar>
              <w:top w:w="57" w:type="dxa"/>
              <w:left w:w="108" w:type="dxa"/>
              <w:bottom w:w="57" w:type="dxa"/>
              <w:right w:w="108" w:type="dxa"/>
            </w:tcMar>
            <w:vAlign w:val="center"/>
          </w:tcPr>
          <w:p w14:paraId="42F6984E">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21818525">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72EE9AFB">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49B0E03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487BF5F3">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6D4A184B">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00F8DB72">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4DBACF08">
            <w:pPr>
              <w:widowControl/>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center"/>
          </w:tcPr>
          <w:p w14:paraId="3FF028B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676B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9" w:type="pct"/>
            <w:shd w:val="clear" w:color="auto" w:fill="FFFFFF"/>
            <w:tcMar>
              <w:top w:w="57" w:type="dxa"/>
              <w:left w:w="108" w:type="dxa"/>
              <w:bottom w:w="57" w:type="dxa"/>
              <w:right w:w="108" w:type="dxa"/>
            </w:tcMar>
            <w:vAlign w:val="center"/>
          </w:tcPr>
          <w:p w14:paraId="7E2F6919">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263" w:type="dxa"/>
            <w:shd w:val="clear" w:color="auto" w:fill="FFFFFF"/>
            <w:tcMar>
              <w:top w:w="57" w:type="dxa"/>
              <w:left w:w="108" w:type="dxa"/>
              <w:bottom w:w="57" w:type="dxa"/>
              <w:right w:w="108" w:type="dxa"/>
            </w:tcMar>
            <w:vAlign w:val="top"/>
          </w:tcPr>
          <w:p w14:paraId="3F0B99CE">
            <w:pPr>
              <w:widowControl/>
              <w:jc w:val="left"/>
              <w:textAlignment w:val="center"/>
              <w:rPr>
                <w:rFonts w:hint="eastAsia" w:ascii="宋体" w:hAnsi="宋体" w:cs="宋体"/>
                <w:color w:val="auto"/>
                <w:sz w:val="24"/>
                <w:szCs w:val="24"/>
                <w:highlight w:val="none"/>
              </w:rPr>
            </w:pPr>
          </w:p>
          <w:p w14:paraId="7F1A785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shd w:val="clear"/>
              </w:rPr>
              <w:t>项目解读（</w:t>
            </w:r>
            <w:r>
              <w:rPr>
                <w:rFonts w:hint="eastAsia" w:ascii="宋体" w:hAnsi="宋体" w:cs="宋体"/>
                <w:color w:val="auto"/>
                <w:sz w:val="24"/>
                <w:szCs w:val="24"/>
                <w:highlight w:val="none"/>
                <w:shd w:val="clear"/>
                <w:lang w:val="en-US" w:eastAsia="zh-CN"/>
              </w:rPr>
              <w:t>9</w:t>
            </w:r>
            <w:r>
              <w:rPr>
                <w:rFonts w:hint="eastAsia" w:ascii="宋体" w:hAnsi="宋体" w:cs="宋体"/>
                <w:color w:val="auto"/>
                <w:sz w:val="24"/>
                <w:szCs w:val="24"/>
                <w:highlight w:val="none"/>
                <w:shd w:val="clear"/>
              </w:rPr>
              <w:t xml:space="preserve"> 分</w:t>
            </w:r>
            <w:r>
              <w:rPr>
                <w:rFonts w:hint="eastAsia" w:ascii="宋体" w:hAnsi="宋体" w:cs="宋体"/>
                <w:color w:val="auto"/>
                <w:sz w:val="24"/>
                <w:szCs w:val="24"/>
                <w:highlight w:val="none"/>
              </w:rPr>
              <w:t>）</w:t>
            </w:r>
          </w:p>
        </w:tc>
        <w:tc>
          <w:tcPr>
            <w:tcW w:w="6509" w:type="dxa"/>
            <w:shd w:val="clear" w:color="auto" w:fill="FFFFFF"/>
            <w:tcMar>
              <w:top w:w="57" w:type="dxa"/>
              <w:left w:w="108" w:type="dxa"/>
              <w:bottom w:w="57" w:type="dxa"/>
              <w:right w:w="108" w:type="dxa"/>
            </w:tcMar>
            <w:vAlign w:val="top"/>
          </w:tcPr>
          <w:p w14:paraId="23441CF1">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6BBF2D3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0442E47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41A6447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582121FC">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722" w:type="dxa"/>
            <w:shd w:val="clear" w:color="auto" w:fill="FFFFFF"/>
            <w:tcMar>
              <w:top w:w="57" w:type="dxa"/>
              <w:left w:w="108" w:type="dxa"/>
              <w:bottom w:w="57" w:type="dxa"/>
              <w:right w:w="108" w:type="dxa"/>
            </w:tcMar>
            <w:vAlign w:val="top"/>
          </w:tcPr>
          <w:p w14:paraId="33379D94">
            <w:pPr>
              <w:widowControl/>
              <w:ind w:firstLine="480" w:firstLineChars="200"/>
              <w:jc w:val="center"/>
              <w:textAlignment w:val="center"/>
              <w:rPr>
                <w:rFonts w:hint="eastAsia" w:ascii="宋体" w:hAnsi="宋体" w:cs="宋体"/>
                <w:color w:val="auto"/>
                <w:sz w:val="24"/>
                <w:szCs w:val="24"/>
                <w:highlight w:val="none"/>
              </w:rPr>
            </w:pPr>
          </w:p>
          <w:p w14:paraId="13D5208B">
            <w:pPr>
              <w:widowControl/>
              <w:ind w:firstLine="480" w:firstLineChars="200"/>
              <w:jc w:val="center"/>
              <w:textAlignment w:val="center"/>
              <w:rPr>
                <w:rFonts w:hint="eastAsia" w:ascii="宋体" w:hAnsi="宋体" w:cs="宋体"/>
                <w:color w:val="auto"/>
                <w:sz w:val="24"/>
                <w:szCs w:val="24"/>
                <w:highlight w:val="none"/>
              </w:rPr>
            </w:pPr>
          </w:p>
          <w:p w14:paraId="5A9BB02D">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7135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3" w:hRule="exact"/>
        </w:trPr>
        <w:tc>
          <w:tcPr>
            <w:tcW w:w="589" w:type="pct"/>
            <w:shd w:val="clear" w:color="auto" w:fill="FFFFFF"/>
            <w:tcMar>
              <w:top w:w="57" w:type="dxa"/>
              <w:left w:w="108" w:type="dxa"/>
              <w:bottom w:w="57" w:type="dxa"/>
              <w:right w:w="108" w:type="dxa"/>
            </w:tcMar>
            <w:vAlign w:val="center"/>
          </w:tcPr>
          <w:p w14:paraId="3458E300">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6" w:type="pct"/>
            <w:shd w:val="clear" w:color="auto" w:fill="FFFFFF"/>
            <w:tcMar>
              <w:top w:w="57" w:type="dxa"/>
              <w:left w:w="108" w:type="dxa"/>
              <w:bottom w:w="57" w:type="dxa"/>
              <w:right w:w="108" w:type="dxa"/>
            </w:tcMar>
            <w:vAlign w:val="top"/>
          </w:tcPr>
          <w:p w14:paraId="714C9B35">
            <w:pPr>
              <w:widowControl/>
              <w:jc w:val="left"/>
              <w:textAlignment w:val="center"/>
              <w:rPr>
                <w:rFonts w:hint="eastAsia" w:ascii="宋体" w:hAnsi="宋体" w:cs="宋体"/>
                <w:color w:val="auto"/>
                <w:sz w:val="24"/>
                <w:szCs w:val="24"/>
                <w:highlight w:val="none"/>
              </w:rPr>
            </w:pPr>
          </w:p>
          <w:p w14:paraId="11F04AB7">
            <w:pPr>
              <w:widowControl/>
              <w:jc w:val="left"/>
              <w:textAlignment w:val="center"/>
              <w:rPr>
                <w:rFonts w:hint="eastAsia" w:ascii="宋体" w:hAnsi="宋体" w:cs="宋体"/>
                <w:color w:val="auto"/>
                <w:sz w:val="24"/>
                <w:szCs w:val="24"/>
                <w:highlight w:val="none"/>
              </w:rPr>
            </w:pPr>
          </w:p>
          <w:p w14:paraId="0B892D3A">
            <w:pPr>
              <w:widowControl/>
              <w:jc w:val="left"/>
              <w:textAlignment w:val="center"/>
              <w:rPr>
                <w:rFonts w:hint="eastAsia" w:ascii="宋体" w:hAnsi="宋体" w:cs="宋体"/>
                <w:color w:val="auto"/>
                <w:sz w:val="24"/>
                <w:szCs w:val="24"/>
                <w:highlight w:val="none"/>
              </w:rPr>
            </w:pPr>
          </w:p>
          <w:p w14:paraId="40564A63">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1E004EE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2D192D0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707071B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12785D1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4D131F14">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3" w:type="pct"/>
            <w:shd w:val="clear" w:color="auto" w:fill="FFFFFF"/>
            <w:tcMar>
              <w:top w:w="57" w:type="dxa"/>
              <w:left w:w="108" w:type="dxa"/>
              <w:bottom w:w="57" w:type="dxa"/>
              <w:right w:w="108" w:type="dxa"/>
            </w:tcMar>
            <w:vAlign w:val="top"/>
          </w:tcPr>
          <w:p w14:paraId="5CCA7CC3">
            <w:pPr>
              <w:widowControl/>
              <w:ind w:firstLine="480" w:firstLineChars="200"/>
              <w:jc w:val="left"/>
              <w:textAlignment w:val="center"/>
              <w:rPr>
                <w:rFonts w:hint="eastAsia" w:ascii="宋体" w:hAnsi="宋体" w:cs="宋体"/>
                <w:color w:val="auto"/>
                <w:sz w:val="24"/>
                <w:szCs w:val="24"/>
                <w:highlight w:val="none"/>
              </w:rPr>
            </w:pPr>
          </w:p>
          <w:p w14:paraId="6EE3B0C6">
            <w:pPr>
              <w:widowControl/>
              <w:ind w:firstLine="480" w:firstLineChars="200"/>
              <w:jc w:val="left"/>
              <w:textAlignment w:val="center"/>
              <w:rPr>
                <w:rFonts w:hint="eastAsia" w:ascii="宋体" w:hAnsi="宋体" w:cs="宋体"/>
                <w:color w:val="auto"/>
                <w:sz w:val="24"/>
                <w:szCs w:val="24"/>
                <w:highlight w:val="none"/>
              </w:rPr>
            </w:pPr>
          </w:p>
          <w:p w14:paraId="3972C37C">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4C8D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exact"/>
        </w:trPr>
        <w:tc>
          <w:tcPr>
            <w:tcW w:w="589" w:type="pct"/>
            <w:shd w:val="clear" w:color="auto" w:fill="FFFFFF"/>
            <w:tcMar>
              <w:top w:w="57" w:type="dxa"/>
              <w:left w:w="108" w:type="dxa"/>
              <w:bottom w:w="57" w:type="dxa"/>
              <w:right w:w="108" w:type="dxa"/>
            </w:tcMar>
            <w:vAlign w:val="center"/>
          </w:tcPr>
          <w:p w14:paraId="5115C727">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6" w:type="pct"/>
            <w:shd w:val="clear" w:color="auto" w:fill="FFFFFF"/>
            <w:tcMar>
              <w:top w:w="57" w:type="dxa"/>
              <w:left w:w="108" w:type="dxa"/>
              <w:bottom w:w="57" w:type="dxa"/>
              <w:right w:w="108" w:type="dxa"/>
            </w:tcMar>
            <w:vAlign w:val="top"/>
          </w:tcPr>
          <w:p w14:paraId="62475C74">
            <w:pPr>
              <w:widowControl/>
              <w:jc w:val="left"/>
              <w:textAlignment w:val="center"/>
              <w:rPr>
                <w:rFonts w:hint="eastAsia" w:ascii="宋体" w:hAnsi="宋体" w:cs="宋体"/>
                <w:color w:val="auto"/>
                <w:sz w:val="24"/>
                <w:szCs w:val="24"/>
                <w:highlight w:val="none"/>
              </w:rPr>
            </w:pPr>
          </w:p>
          <w:p w14:paraId="61DAE34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7408BD28">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77A40B1D">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1FB96F01">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6B393263">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3" w:type="pct"/>
            <w:shd w:val="clear" w:color="auto" w:fill="FFFFFF"/>
            <w:tcMar>
              <w:top w:w="57" w:type="dxa"/>
              <w:left w:w="108" w:type="dxa"/>
              <w:bottom w:w="57" w:type="dxa"/>
              <w:right w:w="108" w:type="dxa"/>
            </w:tcMar>
            <w:vAlign w:val="top"/>
          </w:tcPr>
          <w:p w14:paraId="792EB9CA">
            <w:pPr>
              <w:widowControl/>
              <w:ind w:firstLine="480" w:firstLineChars="200"/>
              <w:jc w:val="left"/>
              <w:textAlignment w:val="center"/>
              <w:rPr>
                <w:rFonts w:hint="eastAsia" w:ascii="宋体" w:hAnsi="宋体" w:cs="宋体"/>
                <w:color w:val="auto"/>
                <w:sz w:val="24"/>
                <w:szCs w:val="24"/>
                <w:highlight w:val="none"/>
              </w:rPr>
            </w:pPr>
          </w:p>
          <w:p w14:paraId="54D5AF30">
            <w:pPr>
              <w:widowControl/>
              <w:ind w:firstLine="480" w:firstLineChars="200"/>
              <w:jc w:val="left"/>
              <w:textAlignment w:val="center"/>
              <w:rPr>
                <w:rFonts w:hint="eastAsia" w:ascii="宋体" w:hAnsi="宋体" w:cs="宋体"/>
                <w:color w:val="auto"/>
                <w:sz w:val="24"/>
                <w:szCs w:val="24"/>
                <w:highlight w:val="none"/>
              </w:rPr>
            </w:pPr>
          </w:p>
          <w:p w14:paraId="0D5381A7">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55AE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6" w:hRule="exact"/>
        </w:trPr>
        <w:tc>
          <w:tcPr>
            <w:tcW w:w="589" w:type="pct"/>
            <w:shd w:val="clear" w:color="auto" w:fill="FFFFFF"/>
            <w:tcMar>
              <w:top w:w="57" w:type="dxa"/>
              <w:left w:w="108" w:type="dxa"/>
              <w:bottom w:w="57" w:type="dxa"/>
              <w:right w:w="108" w:type="dxa"/>
            </w:tcMar>
            <w:vAlign w:val="center"/>
          </w:tcPr>
          <w:p w14:paraId="5D1971F4">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63" w:type="dxa"/>
            <w:shd w:val="clear" w:color="auto" w:fill="FFFFFF"/>
            <w:tcMar>
              <w:top w:w="57" w:type="dxa"/>
              <w:left w:w="108" w:type="dxa"/>
              <w:bottom w:w="57" w:type="dxa"/>
              <w:right w:w="108" w:type="dxa"/>
            </w:tcMar>
            <w:vAlign w:val="top"/>
          </w:tcPr>
          <w:p w14:paraId="19856E2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509" w:type="dxa"/>
            <w:shd w:val="clear" w:color="auto" w:fill="FFFFFF"/>
            <w:tcMar>
              <w:top w:w="57" w:type="dxa"/>
              <w:left w:w="108" w:type="dxa"/>
              <w:bottom w:w="57" w:type="dxa"/>
              <w:right w:w="108" w:type="dxa"/>
            </w:tcMar>
            <w:vAlign w:val="top"/>
          </w:tcPr>
          <w:p w14:paraId="26D40D2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690ABF5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1DB964A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2030AC56">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722" w:type="dxa"/>
            <w:shd w:val="clear" w:color="auto" w:fill="FFFFFF"/>
            <w:tcMar>
              <w:top w:w="57" w:type="dxa"/>
              <w:left w:w="108" w:type="dxa"/>
              <w:bottom w:w="57" w:type="dxa"/>
              <w:right w:w="108" w:type="dxa"/>
            </w:tcMar>
            <w:vAlign w:val="top"/>
          </w:tcPr>
          <w:p w14:paraId="11BED624">
            <w:pPr>
              <w:widowControl/>
              <w:ind w:firstLine="480" w:firstLineChars="200"/>
              <w:jc w:val="center"/>
              <w:textAlignment w:val="center"/>
              <w:rPr>
                <w:rFonts w:hint="eastAsia" w:ascii="宋体" w:hAnsi="宋体" w:cs="宋体"/>
                <w:color w:val="auto"/>
                <w:sz w:val="24"/>
                <w:szCs w:val="24"/>
                <w:highlight w:val="none"/>
              </w:rPr>
            </w:pPr>
          </w:p>
          <w:p w14:paraId="53E225B5">
            <w:pPr>
              <w:widowControl/>
              <w:ind w:firstLine="480" w:firstLineChars="200"/>
              <w:jc w:val="center"/>
              <w:textAlignment w:val="center"/>
              <w:rPr>
                <w:rFonts w:hint="eastAsia" w:ascii="宋体" w:hAnsi="宋体" w:cs="宋体"/>
                <w:color w:val="auto"/>
                <w:sz w:val="24"/>
                <w:szCs w:val="24"/>
                <w:highlight w:val="none"/>
              </w:rPr>
            </w:pPr>
          </w:p>
          <w:p w14:paraId="7B0E48CB">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261A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4" w:hRule="exact"/>
        </w:trPr>
        <w:tc>
          <w:tcPr>
            <w:tcW w:w="589" w:type="pct"/>
            <w:shd w:val="clear" w:color="auto" w:fill="FFFFFF"/>
            <w:tcMar>
              <w:top w:w="57" w:type="dxa"/>
              <w:left w:w="108" w:type="dxa"/>
              <w:bottom w:w="57" w:type="dxa"/>
              <w:right w:w="108" w:type="dxa"/>
            </w:tcMar>
            <w:vAlign w:val="center"/>
          </w:tcPr>
          <w:p w14:paraId="1B55C770">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6" w:type="pct"/>
            <w:shd w:val="clear" w:color="auto" w:fill="FFFFFF"/>
            <w:tcMar>
              <w:top w:w="57" w:type="dxa"/>
              <w:left w:w="108" w:type="dxa"/>
              <w:bottom w:w="57" w:type="dxa"/>
              <w:right w:w="108" w:type="dxa"/>
            </w:tcMar>
            <w:vAlign w:val="top"/>
          </w:tcPr>
          <w:p w14:paraId="2AB4D1C5">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0194700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3E5349D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7A27B68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5030444E">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415D1B4C">
            <w:pPr>
              <w:widowControl/>
              <w:ind w:firstLine="480" w:firstLineChars="200"/>
              <w:jc w:val="center"/>
              <w:textAlignment w:val="center"/>
              <w:rPr>
                <w:rFonts w:hint="eastAsia" w:ascii="宋体" w:hAnsi="宋体" w:cs="宋体"/>
                <w:color w:val="auto"/>
                <w:sz w:val="24"/>
                <w:szCs w:val="24"/>
                <w:highlight w:val="none"/>
              </w:rPr>
            </w:pPr>
          </w:p>
          <w:p w14:paraId="128BE8CA">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5FDC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4" w:hRule="exact"/>
        </w:trPr>
        <w:tc>
          <w:tcPr>
            <w:tcW w:w="589" w:type="pct"/>
            <w:shd w:val="clear" w:color="auto" w:fill="FFFFFF"/>
            <w:tcMar>
              <w:top w:w="57" w:type="dxa"/>
              <w:left w:w="108" w:type="dxa"/>
              <w:bottom w:w="57" w:type="dxa"/>
              <w:right w:w="108" w:type="dxa"/>
            </w:tcMar>
            <w:vAlign w:val="center"/>
          </w:tcPr>
          <w:p w14:paraId="0F7472A5">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6" w:type="pct"/>
            <w:shd w:val="clear" w:color="auto" w:fill="FFFFFF"/>
            <w:tcMar>
              <w:top w:w="57" w:type="dxa"/>
              <w:left w:w="108" w:type="dxa"/>
              <w:bottom w:w="57" w:type="dxa"/>
              <w:right w:w="108" w:type="dxa"/>
            </w:tcMar>
            <w:vAlign w:val="top"/>
          </w:tcPr>
          <w:p w14:paraId="4E886D38">
            <w:pPr>
              <w:widowControl/>
              <w:ind w:firstLine="480" w:firstLineChars="200"/>
              <w:jc w:val="left"/>
              <w:textAlignment w:val="center"/>
              <w:rPr>
                <w:rFonts w:hint="eastAsia" w:ascii="宋体" w:hAnsi="宋体" w:cs="宋体"/>
                <w:color w:val="auto"/>
                <w:sz w:val="24"/>
                <w:szCs w:val="24"/>
                <w:highlight w:val="none"/>
              </w:rPr>
            </w:pPr>
          </w:p>
          <w:p w14:paraId="45804E12">
            <w:pPr>
              <w:widowControl/>
              <w:ind w:firstLine="480" w:firstLineChars="200"/>
              <w:jc w:val="left"/>
              <w:textAlignment w:val="center"/>
              <w:rPr>
                <w:rFonts w:hint="eastAsia" w:ascii="宋体" w:hAnsi="宋体" w:cs="宋体"/>
                <w:color w:val="auto"/>
                <w:sz w:val="24"/>
                <w:szCs w:val="24"/>
                <w:highlight w:val="none"/>
              </w:rPr>
            </w:pPr>
          </w:p>
          <w:p w14:paraId="48614AF1">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7B27A16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44FC984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17D9978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69F93C18">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15FF9221">
            <w:pPr>
              <w:widowControl/>
              <w:ind w:firstLine="480" w:firstLineChars="200"/>
              <w:jc w:val="center"/>
              <w:textAlignment w:val="center"/>
              <w:rPr>
                <w:rFonts w:hint="eastAsia" w:ascii="宋体" w:hAnsi="宋体" w:cs="宋体"/>
                <w:color w:val="auto"/>
                <w:sz w:val="24"/>
                <w:szCs w:val="24"/>
                <w:highlight w:val="none"/>
              </w:rPr>
            </w:pPr>
          </w:p>
          <w:p w14:paraId="24C3F728">
            <w:pPr>
              <w:widowControl/>
              <w:ind w:firstLine="480" w:firstLineChars="200"/>
              <w:jc w:val="center"/>
              <w:textAlignment w:val="center"/>
              <w:rPr>
                <w:rFonts w:hint="eastAsia" w:ascii="宋体" w:hAnsi="宋体" w:cs="宋体"/>
                <w:color w:val="auto"/>
                <w:sz w:val="24"/>
                <w:szCs w:val="24"/>
                <w:highlight w:val="none"/>
              </w:rPr>
            </w:pPr>
          </w:p>
          <w:p w14:paraId="57314CFC">
            <w:pPr>
              <w:widowControl/>
              <w:ind w:firstLine="480" w:firstLineChars="200"/>
              <w:jc w:val="center"/>
              <w:textAlignment w:val="center"/>
              <w:rPr>
                <w:rFonts w:hint="eastAsia" w:ascii="宋体" w:hAnsi="宋体" w:cs="宋体"/>
                <w:color w:val="auto"/>
                <w:sz w:val="24"/>
                <w:szCs w:val="24"/>
                <w:highlight w:val="none"/>
              </w:rPr>
            </w:pPr>
          </w:p>
          <w:p w14:paraId="4B207774">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5A1D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9" w:type="pct"/>
            <w:shd w:val="clear" w:color="auto" w:fill="FFFFFF"/>
            <w:tcMar>
              <w:top w:w="57" w:type="dxa"/>
              <w:left w:w="108" w:type="dxa"/>
              <w:bottom w:w="57" w:type="dxa"/>
              <w:right w:w="108" w:type="dxa"/>
            </w:tcMar>
            <w:vAlign w:val="center"/>
          </w:tcPr>
          <w:p w14:paraId="02C71C0F">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6" w:type="pct"/>
            <w:shd w:val="clear" w:color="auto" w:fill="FFFFFF"/>
            <w:tcMar>
              <w:top w:w="57" w:type="dxa"/>
              <w:left w:w="108" w:type="dxa"/>
              <w:bottom w:w="57" w:type="dxa"/>
              <w:right w:w="108" w:type="dxa"/>
            </w:tcMar>
            <w:vAlign w:val="top"/>
          </w:tcPr>
          <w:p w14:paraId="55C847CF">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0EE6032C">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25F8C4CF">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78586C3C">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088DE72C">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188F574C">
            <w:pPr>
              <w:widowControl/>
              <w:ind w:firstLine="480" w:firstLineChars="200"/>
              <w:jc w:val="center"/>
              <w:textAlignment w:val="center"/>
              <w:rPr>
                <w:rFonts w:hint="eastAsia" w:ascii="宋体" w:hAnsi="宋体" w:cs="宋体"/>
                <w:color w:val="auto"/>
                <w:sz w:val="24"/>
                <w:szCs w:val="24"/>
                <w:highlight w:val="none"/>
              </w:rPr>
            </w:pPr>
          </w:p>
          <w:p w14:paraId="725EB3B3">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2C60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40F37C50">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10BB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9" w:type="pct"/>
            <w:shd w:val="clear" w:color="auto" w:fill="FFFFFF"/>
            <w:tcMar>
              <w:top w:w="57" w:type="dxa"/>
              <w:left w:w="108" w:type="dxa"/>
              <w:bottom w:w="57" w:type="dxa"/>
              <w:right w:w="108" w:type="dxa"/>
            </w:tcMar>
            <w:vAlign w:val="center"/>
          </w:tcPr>
          <w:p w14:paraId="5AA3DCA8">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6" w:type="pct"/>
            <w:shd w:val="clear" w:color="auto" w:fill="FFFFFF"/>
            <w:tcMar>
              <w:top w:w="57" w:type="dxa"/>
              <w:left w:w="108" w:type="dxa"/>
              <w:bottom w:w="57" w:type="dxa"/>
              <w:right w:w="108" w:type="dxa"/>
            </w:tcMar>
            <w:vAlign w:val="center"/>
          </w:tcPr>
          <w:p w14:paraId="5339CD29">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0616CD2A">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4EBA4FCF">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3" w:type="pct"/>
            <w:shd w:val="clear" w:color="auto" w:fill="FFFFFF"/>
            <w:tcMar>
              <w:top w:w="57" w:type="dxa"/>
              <w:left w:w="108" w:type="dxa"/>
              <w:bottom w:w="57" w:type="dxa"/>
              <w:right w:w="108" w:type="dxa"/>
            </w:tcMar>
            <w:vAlign w:val="center"/>
          </w:tcPr>
          <w:p w14:paraId="33CE2D06">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78D8A3A6">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4983594A">
      <w:pPr>
        <w:widowControl/>
        <w:numPr>
          <w:ilvl w:val="0"/>
          <w:numId w:val="20"/>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4C2CA0E0">
      <w:pPr>
        <w:widowControl/>
        <w:tabs>
          <w:tab w:val="left" w:pos="360"/>
          <w:tab w:val="left" w:pos="900"/>
        </w:tabs>
        <w:snapToGrid w:val="0"/>
        <w:spacing w:line="360" w:lineRule="auto"/>
        <w:ind w:firstLine="3132" w:firstLineChars="1300"/>
        <w:jc w:val="both"/>
        <w:outlineLvl w:val="1"/>
        <w:rPr>
          <w:rFonts w:hint="eastAsia" w:ascii="宋体" w:hAnsi="宋体"/>
          <w:b/>
          <w:color w:val="auto"/>
          <w:sz w:val="24"/>
          <w:highlight w:val="none"/>
        </w:rPr>
      </w:pPr>
      <w:r>
        <w:rPr>
          <w:rFonts w:hint="eastAsia" w:ascii="宋体" w:hAnsi="宋体"/>
          <w:b/>
          <w:color w:val="auto"/>
          <w:sz w:val="24"/>
          <w:highlight w:val="none"/>
          <w:lang w:val="en-US" w:eastAsia="zh-CN"/>
        </w:rPr>
        <w:t>3包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4"/>
        <w:gridCol w:w="1263"/>
        <w:gridCol w:w="6509"/>
        <w:gridCol w:w="722"/>
      </w:tblGrid>
      <w:tr w14:paraId="5FBC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9" w:type="pct"/>
            <w:shd w:val="clear" w:color="auto" w:fill="F3F3F3"/>
            <w:tcMar>
              <w:top w:w="57" w:type="dxa"/>
              <w:left w:w="108" w:type="dxa"/>
              <w:bottom w:w="57" w:type="dxa"/>
              <w:right w:w="108" w:type="dxa"/>
            </w:tcMar>
            <w:vAlign w:val="center"/>
          </w:tcPr>
          <w:p w14:paraId="773193C5">
            <w:pPr>
              <w:widowControl/>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6" w:type="pct"/>
            <w:shd w:val="clear" w:color="auto" w:fill="F3F3F3"/>
            <w:tcMar>
              <w:top w:w="57" w:type="dxa"/>
              <w:left w:w="108" w:type="dxa"/>
              <w:bottom w:w="57" w:type="dxa"/>
              <w:right w:w="108" w:type="dxa"/>
            </w:tcMar>
            <w:vAlign w:val="center"/>
          </w:tcPr>
          <w:p w14:paraId="72B58801">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54AC41D7">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3" w:type="pct"/>
            <w:shd w:val="clear" w:color="auto" w:fill="F3F3F3"/>
            <w:tcMar>
              <w:top w:w="57" w:type="dxa"/>
              <w:left w:w="108" w:type="dxa"/>
              <w:bottom w:w="57" w:type="dxa"/>
              <w:right w:w="108" w:type="dxa"/>
            </w:tcMar>
            <w:vAlign w:val="center"/>
          </w:tcPr>
          <w:p w14:paraId="243FCFD8">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188E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6F3DD09C">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69CF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exact"/>
        </w:trPr>
        <w:tc>
          <w:tcPr>
            <w:tcW w:w="589" w:type="pct"/>
            <w:shd w:val="clear" w:color="auto" w:fill="FFFFFF"/>
            <w:tcMar>
              <w:top w:w="57" w:type="dxa"/>
              <w:left w:w="108" w:type="dxa"/>
              <w:bottom w:w="57" w:type="dxa"/>
              <w:right w:w="108" w:type="dxa"/>
            </w:tcMar>
            <w:vAlign w:val="center"/>
          </w:tcPr>
          <w:p w14:paraId="3F0C5F11">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45139ABA">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41865065">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3" w:type="pct"/>
            <w:shd w:val="clear" w:color="auto" w:fill="FFFFFF"/>
            <w:tcMar>
              <w:top w:w="57" w:type="dxa"/>
              <w:left w:w="108" w:type="dxa"/>
              <w:bottom w:w="57" w:type="dxa"/>
              <w:right w:w="108" w:type="dxa"/>
            </w:tcMar>
            <w:vAlign w:val="center"/>
          </w:tcPr>
          <w:p w14:paraId="04405CA8">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3660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4" w:hRule="exact"/>
        </w:trPr>
        <w:tc>
          <w:tcPr>
            <w:tcW w:w="589" w:type="pct"/>
            <w:shd w:val="clear" w:color="auto" w:fill="FFFFFF"/>
            <w:tcMar>
              <w:top w:w="57" w:type="dxa"/>
              <w:left w:w="108" w:type="dxa"/>
              <w:bottom w:w="57" w:type="dxa"/>
              <w:right w:w="108" w:type="dxa"/>
            </w:tcMar>
            <w:vAlign w:val="center"/>
          </w:tcPr>
          <w:p w14:paraId="2A24F36A">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263" w:type="dxa"/>
            <w:shd w:val="clear" w:color="auto" w:fill="FFFFFF"/>
            <w:tcMar>
              <w:top w:w="57" w:type="dxa"/>
              <w:left w:w="108" w:type="dxa"/>
              <w:bottom w:w="57" w:type="dxa"/>
              <w:right w:w="108" w:type="dxa"/>
            </w:tcMar>
            <w:vAlign w:val="center"/>
          </w:tcPr>
          <w:p w14:paraId="0BE2F19F">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6509" w:type="dxa"/>
            <w:shd w:val="clear" w:color="auto" w:fill="FFFFFF"/>
            <w:tcMar>
              <w:top w:w="57" w:type="dxa"/>
              <w:left w:w="108" w:type="dxa"/>
              <w:bottom w:w="57" w:type="dxa"/>
              <w:right w:w="108" w:type="dxa"/>
            </w:tcMar>
            <w:vAlign w:val="center"/>
          </w:tcPr>
          <w:p w14:paraId="6D24150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628DF50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24E649DF">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5E01C0D7">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722" w:type="dxa"/>
            <w:shd w:val="clear" w:color="auto" w:fill="FFFFFF"/>
            <w:tcMar>
              <w:top w:w="57" w:type="dxa"/>
              <w:left w:w="108" w:type="dxa"/>
              <w:bottom w:w="57" w:type="dxa"/>
              <w:right w:w="108" w:type="dxa"/>
            </w:tcMar>
            <w:vAlign w:val="center"/>
          </w:tcPr>
          <w:p w14:paraId="718E29AF">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3D27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4" w:hRule="exact"/>
        </w:trPr>
        <w:tc>
          <w:tcPr>
            <w:tcW w:w="589" w:type="pct"/>
            <w:shd w:val="clear" w:color="auto" w:fill="FFFFFF"/>
            <w:tcMar>
              <w:top w:w="57" w:type="dxa"/>
              <w:left w:w="108" w:type="dxa"/>
              <w:bottom w:w="57" w:type="dxa"/>
              <w:right w:w="108" w:type="dxa"/>
            </w:tcMar>
            <w:vAlign w:val="center"/>
          </w:tcPr>
          <w:p w14:paraId="40F8C0D8">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3" w:type="dxa"/>
            <w:shd w:val="clear" w:color="auto" w:fill="FFFFFF"/>
            <w:tcMar>
              <w:top w:w="57" w:type="dxa"/>
              <w:left w:w="108" w:type="dxa"/>
              <w:bottom w:w="57" w:type="dxa"/>
              <w:right w:w="108" w:type="dxa"/>
            </w:tcMar>
            <w:vAlign w:val="center"/>
          </w:tcPr>
          <w:p w14:paraId="090675BF">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6509" w:type="dxa"/>
            <w:shd w:val="clear" w:color="auto" w:fill="FFFFFF"/>
            <w:tcMar>
              <w:top w:w="57" w:type="dxa"/>
              <w:left w:w="108" w:type="dxa"/>
              <w:bottom w:w="57" w:type="dxa"/>
              <w:right w:w="108" w:type="dxa"/>
            </w:tcMar>
            <w:vAlign w:val="center"/>
          </w:tcPr>
          <w:p w14:paraId="33419AA2">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2916A428">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项目负责人身份承担过类似项目业绩（须以中标通知</w:t>
            </w:r>
            <w:r>
              <w:rPr>
                <w:rFonts w:hint="eastAsia" w:ascii="宋体" w:hAnsi="宋体" w:eastAsia="宋体" w:cs="宋体"/>
                <w:color w:val="auto"/>
                <w:spacing w:val="7"/>
                <w:sz w:val="24"/>
                <w:szCs w:val="24"/>
                <w:highlight w:val="none"/>
              </w:rPr>
              <w:t>书或</w:t>
            </w:r>
            <w:r>
              <w:rPr>
                <w:rFonts w:hint="eastAsia" w:ascii="宋体" w:hAnsi="宋体" w:eastAsia="宋体" w:cs="宋体"/>
                <w:color w:val="auto"/>
                <w:spacing w:val="5"/>
                <w:sz w:val="24"/>
                <w:szCs w:val="24"/>
                <w:highlight w:val="none"/>
              </w:rPr>
              <w:t>相应的服务合同为准</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722" w:type="dxa"/>
            <w:shd w:val="clear" w:color="auto" w:fill="FFFFFF"/>
            <w:tcMar>
              <w:top w:w="57" w:type="dxa"/>
              <w:left w:w="108" w:type="dxa"/>
              <w:bottom w:w="57" w:type="dxa"/>
              <w:right w:w="108" w:type="dxa"/>
            </w:tcMar>
            <w:vAlign w:val="center"/>
          </w:tcPr>
          <w:p w14:paraId="1DAF247E">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6691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32F251C8">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33F7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27" w:hRule="exact"/>
        </w:trPr>
        <w:tc>
          <w:tcPr>
            <w:tcW w:w="589" w:type="pct"/>
            <w:shd w:val="clear" w:color="auto" w:fill="FFFFFF"/>
            <w:tcMar>
              <w:top w:w="57" w:type="dxa"/>
              <w:left w:w="108" w:type="dxa"/>
              <w:bottom w:w="57" w:type="dxa"/>
              <w:right w:w="108" w:type="dxa"/>
            </w:tcMar>
            <w:vAlign w:val="center"/>
          </w:tcPr>
          <w:p w14:paraId="4478E262">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287A3F76">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66E26ADD">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5C6D47E4">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12F3BFC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5658297B">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3AD611D6">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1E69D1D5">
            <w:pPr>
              <w:widowControl/>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center"/>
          </w:tcPr>
          <w:p w14:paraId="6880E6A8">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6AB0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3" w:hRule="exact"/>
        </w:trPr>
        <w:tc>
          <w:tcPr>
            <w:tcW w:w="589" w:type="pct"/>
            <w:shd w:val="clear" w:color="auto" w:fill="FFFFFF"/>
            <w:tcMar>
              <w:top w:w="57" w:type="dxa"/>
              <w:left w:w="108" w:type="dxa"/>
              <w:bottom w:w="57" w:type="dxa"/>
              <w:right w:w="108" w:type="dxa"/>
            </w:tcMar>
            <w:vAlign w:val="center"/>
          </w:tcPr>
          <w:p w14:paraId="7E62A8E8">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263" w:type="dxa"/>
            <w:shd w:val="clear" w:color="auto" w:fill="FFFFFF"/>
            <w:tcMar>
              <w:top w:w="57" w:type="dxa"/>
              <w:left w:w="108" w:type="dxa"/>
              <w:bottom w:w="57" w:type="dxa"/>
              <w:right w:w="108" w:type="dxa"/>
            </w:tcMar>
            <w:vAlign w:val="top"/>
          </w:tcPr>
          <w:p w14:paraId="4D01783F">
            <w:pPr>
              <w:widowControl/>
              <w:jc w:val="left"/>
              <w:textAlignment w:val="center"/>
              <w:rPr>
                <w:rFonts w:hint="eastAsia" w:ascii="宋体" w:hAnsi="宋体" w:cs="宋体"/>
                <w:color w:val="auto"/>
                <w:sz w:val="24"/>
                <w:szCs w:val="24"/>
                <w:highlight w:val="none"/>
              </w:rPr>
            </w:pPr>
          </w:p>
          <w:p w14:paraId="0CD102C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6509" w:type="dxa"/>
            <w:shd w:val="clear" w:color="auto" w:fill="FFFFFF"/>
            <w:tcMar>
              <w:top w:w="57" w:type="dxa"/>
              <w:left w:w="108" w:type="dxa"/>
              <w:bottom w:w="57" w:type="dxa"/>
              <w:right w:w="108" w:type="dxa"/>
            </w:tcMar>
            <w:vAlign w:val="top"/>
          </w:tcPr>
          <w:p w14:paraId="1E1D6A9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5AA7563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14AB5D9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4B160B1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7116A0EC">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722" w:type="dxa"/>
            <w:shd w:val="clear" w:color="auto" w:fill="FFFFFF"/>
            <w:tcMar>
              <w:top w:w="57" w:type="dxa"/>
              <w:left w:w="108" w:type="dxa"/>
              <w:bottom w:w="57" w:type="dxa"/>
              <w:right w:w="108" w:type="dxa"/>
            </w:tcMar>
            <w:vAlign w:val="top"/>
          </w:tcPr>
          <w:p w14:paraId="423BCB78">
            <w:pPr>
              <w:widowControl/>
              <w:ind w:firstLine="480" w:firstLineChars="200"/>
              <w:jc w:val="center"/>
              <w:textAlignment w:val="center"/>
              <w:rPr>
                <w:rFonts w:hint="eastAsia" w:ascii="宋体" w:hAnsi="宋体" w:cs="宋体"/>
                <w:color w:val="auto"/>
                <w:sz w:val="24"/>
                <w:szCs w:val="24"/>
                <w:highlight w:val="none"/>
              </w:rPr>
            </w:pPr>
          </w:p>
          <w:p w14:paraId="102DAF10">
            <w:pPr>
              <w:widowControl/>
              <w:ind w:firstLine="480" w:firstLineChars="200"/>
              <w:jc w:val="center"/>
              <w:textAlignment w:val="center"/>
              <w:rPr>
                <w:rFonts w:hint="eastAsia" w:ascii="宋体" w:hAnsi="宋体" w:cs="宋体"/>
                <w:color w:val="auto"/>
                <w:sz w:val="24"/>
                <w:szCs w:val="24"/>
                <w:highlight w:val="none"/>
              </w:rPr>
            </w:pPr>
          </w:p>
          <w:p w14:paraId="78024BDD">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0449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3" w:hRule="exact"/>
        </w:trPr>
        <w:tc>
          <w:tcPr>
            <w:tcW w:w="589" w:type="pct"/>
            <w:shd w:val="clear" w:color="auto" w:fill="FFFFFF"/>
            <w:tcMar>
              <w:top w:w="57" w:type="dxa"/>
              <w:left w:w="108" w:type="dxa"/>
              <w:bottom w:w="57" w:type="dxa"/>
              <w:right w:w="108" w:type="dxa"/>
            </w:tcMar>
            <w:vAlign w:val="center"/>
          </w:tcPr>
          <w:p w14:paraId="306CD039">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6" w:type="pct"/>
            <w:shd w:val="clear" w:color="auto" w:fill="FFFFFF"/>
            <w:tcMar>
              <w:top w:w="57" w:type="dxa"/>
              <w:left w:w="108" w:type="dxa"/>
              <w:bottom w:w="57" w:type="dxa"/>
              <w:right w:w="108" w:type="dxa"/>
            </w:tcMar>
            <w:vAlign w:val="top"/>
          </w:tcPr>
          <w:p w14:paraId="53F8DCF6">
            <w:pPr>
              <w:widowControl/>
              <w:jc w:val="left"/>
              <w:textAlignment w:val="center"/>
              <w:rPr>
                <w:rFonts w:hint="eastAsia" w:ascii="宋体" w:hAnsi="宋体" w:cs="宋体"/>
                <w:color w:val="auto"/>
                <w:sz w:val="24"/>
                <w:szCs w:val="24"/>
                <w:highlight w:val="none"/>
              </w:rPr>
            </w:pPr>
          </w:p>
          <w:p w14:paraId="6542778D">
            <w:pPr>
              <w:widowControl/>
              <w:jc w:val="left"/>
              <w:textAlignment w:val="center"/>
              <w:rPr>
                <w:rFonts w:hint="eastAsia" w:ascii="宋体" w:hAnsi="宋体" w:cs="宋体"/>
                <w:color w:val="auto"/>
                <w:sz w:val="24"/>
                <w:szCs w:val="24"/>
                <w:highlight w:val="none"/>
              </w:rPr>
            </w:pPr>
          </w:p>
          <w:p w14:paraId="4AF389C1">
            <w:pPr>
              <w:widowControl/>
              <w:jc w:val="left"/>
              <w:textAlignment w:val="center"/>
              <w:rPr>
                <w:rFonts w:hint="eastAsia" w:ascii="宋体" w:hAnsi="宋体" w:cs="宋体"/>
                <w:color w:val="auto"/>
                <w:sz w:val="24"/>
                <w:szCs w:val="24"/>
                <w:highlight w:val="none"/>
              </w:rPr>
            </w:pPr>
          </w:p>
          <w:p w14:paraId="1B63FEC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04DCA90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0AABEF56">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40F3D18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4FFA044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065C2A27">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3" w:type="pct"/>
            <w:shd w:val="clear" w:color="auto" w:fill="FFFFFF"/>
            <w:tcMar>
              <w:top w:w="57" w:type="dxa"/>
              <w:left w:w="108" w:type="dxa"/>
              <w:bottom w:w="57" w:type="dxa"/>
              <w:right w:w="108" w:type="dxa"/>
            </w:tcMar>
            <w:vAlign w:val="top"/>
          </w:tcPr>
          <w:p w14:paraId="61C691F0">
            <w:pPr>
              <w:widowControl/>
              <w:ind w:firstLine="480" w:firstLineChars="200"/>
              <w:jc w:val="left"/>
              <w:textAlignment w:val="center"/>
              <w:rPr>
                <w:rFonts w:hint="eastAsia" w:ascii="宋体" w:hAnsi="宋体" w:cs="宋体"/>
                <w:color w:val="auto"/>
                <w:sz w:val="24"/>
                <w:szCs w:val="24"/>
                <w:highlight w:val="none"/>
              </w:rPr>
            </w:pPr>
          </w:p>
          <w:p w14:paraId="5C1F41D1">
            <w:pPr>
              <w:widowControl/>
              <w:ind w:firstLine="480" w:firstLineChars="200"/>
              <w:jc w:val="left"/>
              <w:textAlignment w:val="center"/>
              <w:rPr>
                <w:rFonts w:hint="eastAsia" w:ascii="宋体" w:hAnsi="宋体" w:cs="宋体"/>
                <w:color w:val="auto"/>
                <w:sz w:val="24"/>
                <w:szCs w:val="24"/>
                <w:highlight w:val="none"/>
              </w:rPr>
            </w:pPr>
          </w:p>
          <w:p w14:paraId="79DC4D26">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65BB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exact"/>
        </w:trPr>
        <w:tc>
          <w:tcPr>
            <w:tcW w:w="589" w:type="pct"/>
            <w:shd w:val="clear" w:color="auto" w:fill="FFFFFF"/>
            <w:tcMar>
              <w:top w:w="57" w:type="dxa"/>
              <w:left w:w="108" w:type="dxa"/>
              <w:bottom w:w="57" w:type="dxa"/>
              <w:right w:w="108" w:type="dxa"/>
            </w:tcMar>
            <w:vAlign w:val="center"/>
          </w:tcPr>
          <w:p w14:paraId="16C5ED6E">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6" w:type="pct"/>
            <w:shd w:val="clear" w:color="auto" w:fill="FFFFFF"/>
            <w:tcMar>
              <w:top w:w="57" w:type="dxa"/>
              <w:left w:w="108" w:type="dxa"/>
              <w:bottom w:w="57" w:type="dxa"/>
              <w:right w:w="108" w:type="dxa"/>
            </w:tcMar>
            <w:vAlign w:val="top"/>
          </w:tcPr>
          <w:p w14:paraId="41C8311B">
            <w:pPr>
              <w:widowControl/>
              <w:jc w:val="left"/>
              <w:textAlignment w:val="center"/>
              <w:rPr>
                <w:rFonts w:hint="eastAsia" w:ascii="宋体" w:hAnsi="宋体" w:cs="宋体"/>
                <w:color w:val="auto"/>
                <w:sz w:val="24"/>
                <w:szCs w:val="24"/>
                <w:highlight w:val="none"/>
              </w:rPr>
            </w:pPr>
          </w:p>
          <w:p w14:paraId="0368515C">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04E8F53A">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0C81B994">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1F803C20">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2D2F73A5">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3" w:type="pct"/>
            <w:shd w:val="clear" w:color="auto" w:fill="FFFFFF"/>
            <w:tcMar>
              <w:top w:w="57" w:type="dxa"/>
              <w:left w:w="108" w:type="dxa"/>
              <w:bottom w:w="57" w:type="dxa"/>
              <w:right w:w="108" w:type="dxa"/>
            </w:tcMar>
            <w:vAlign w:val="top"/>
          </w:tcPr>
          <w:p w14:paraId="46D06EA0">
            <w:pPr>
              <w:widowControl/>
              <w:ind w:firstLine="480" w:firstLineChars="200"/>
              <w:jc w:val="left"/>
              <w:textAlignment w:val="center"/>
              <w:rPr>
                <w:rFonts w:hint="eastAsia" w:ascii="宋体" w:hAnsi="宋体" w:cs="宋体"/>
                <w:color w:val="auto"/>
                <w:sz w:val="24"/>
                <w:szCs w:val="24"/>
                <w:highlight w:val="none"/>
              </w:rPr>
            </w:pPr>
          </w:p>
          <w:p w14:paraId="3535B423">
            <w:pPr>
              <w:widowControl/>
              <w:ind w:firstLine="480" w:firstLineChars="200"/>
              <w:jc w:val="left"/>
              <w:textAlignment w:val="center"/>
              <w:rPr>
                <w:rFonts w:hint="eastAsia" w:ascii="宋体" w:hAnsi="宋体" w:cs="宋体"/>
                <w:color w:val="auto"/>
                <w:sz w:val="24"/>
                <w:szCs w:val="24"/>
                <w:highlight w:val="none"/>
              </w:rPr>
            </w:pPr>
          </w:p>
          <w:p w14:paraId="582ADD72">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1B87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exact"/>
        </w:trPr>
        <w:tc>
          <w:tcPr>
            <w:tcW w:w="589" w:type="pct"/>
            <w:shd w:val="clear" w:color="auto" w:fill="FFFFFF"/>
            <w:tcMar>
              <w:top w:w="57" w:type="dxa"/>
              <w:left w:w="108" w:type="dxa"/>
              <w:bottom w:w="57" w:type="dxa"/>
              <w:right w:w="108" w:type="dxa"/>
            </w:tcMar>
            <w:vAlign w:val="center"/>
          </w:tcPr>
          <w:p w14:paraId="21B74890">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63" w:type="dxa"/>
            <w:shd w:val="clear" w:color="auto" w:fill="FFFFFF"/>
            <w:tcMar>
              <w:top w:w="57" w:type="dxa"/>
              <w:left w:w="108" w:type="dxa"/>
              <w:bottom w:w="57" w:type="dxa"/>
              <w:right w:w="108" w:type="dxa"/>
            </w:tcMar>
            <w:vAlign w:val="top"/>
          </w:tcPr>
          <w:p w14:paraId="054499F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509" w:type="dxa"/>
            <w:shd w:val="clear" w:color="auto" w:fill="FFFFFF"/>
            <w:tcMar>
              <w:top w:w="57" w:type="dxa"/>
              <w:left w:w="108" w:type="dxa"/>
              <w:bottom w:w="57" w:type="dxa"/>
              <w:right w:w="108" w:type="dxa"/>
            </w:tcMar>
            <w:vAlign w:val="top"/>
          </w:tcPr>
          <w:p w14:paraId="08C8C23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724FF94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3164CE8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5E7BCF82">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722" w:type="dxa"/>
            <w:shd w:val="clear" w:color="auto" w:fill="FFFFFF"/>
            <w:tcMar>
              <w:top w:w="57" w:type="dxa"/>
              <w:left w:w="108" w:type="dxa"/>
              <w:bottom w:w="57" w:type="dxa"/>
              <w:right w:w="108" w:type="dxa"/>
            </w:tcMar>
            <w:vAlign w:val="top"/>
          </w:tcPr>
          <w:p w14:paraId="46C933C8">
            <w:pPr>
              <w:widowControl/>
              <w:ind w:firstLine="480" w:firstLineChars="200"/>
              <w:jc w:val="center"/>
              <w:textAlignment w:val="center"/>
              <w:rPr>
                <w:rFonts w:hint="eastAsia" w:ascii="宋体" w:hAnsi="宋体" w:cs="宋体"/>
                <w:color w:val="auto"/>
                <w:sz w:val="24"/>
                <w:szCs w:val="24"/>
                <w:highlight w:val="none"/>
              </w:rPr>
            </w:pPr>
          </w:p>
          <w:p w14:paraId="6CECED38">
            <w:pPr>
              <w:widowControl/>
              <w:ind w:firstLine="480" w:firstLineChars="200"/>
              <w:jc w:val="center"/>
              <w:textAlignment w:val="center"/>
              <w:rPr>
                <w:rFonts w:hint="eastAsia" w:ascii="宋体" w:hAnsi="宋体" w:cs="宋体"/>
                <w:color w:val="auto"/>
                <w:sz w:val="24"/>
                <w:szCs w:val="24"/>
                <w:highlight w:val="none"/>
              </w:rPr>
            </w:pPr>
          </w:p>
          <w:p w14:paraId="2305A2C3">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397E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exact"/>
        </w:trPr>
        <w:tc>
          <w:tcPr>
            <w:tcW w:w="589" w:type="pct"/>
            <w:shd w:val="clear" w:color="auto" w:fill="FFFFFF"/>
            <w:tcMar>
              <w:top w:w="57" w:type="dxa"/>
              <w:left w:w="108" w:type="dxa"/>
              <w:bottom w:w="57" w:type="dxa"/>
              <w:right w:w="108" w:type="dxa"/>
            </w:tcMar>
            <w:vAlign w:val="center"/>
          </w:tcPr>
          <w:p w14:paraId="7DB9B764">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6" w:type="pct"/>
            <w:shd w:val="clear" w:color="auto" w:fill="FFFFFF"/>
            <w:tcMar>
              <w:top w:w="57" w:type="dxa"/>
              <w:left w:w="108" w:type="dxa"/>
              <w:bottom w:w="57" w:type="dxa"/>
              <w:right w:w="108" w:type="dxa"/>
            </w:tcMar>
            <w:vAlign w:val="top"/>
          </w:tcPr>
          <w:p w14:paraId="23D02212">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5014C6C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1AB5DBB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5B55B79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529274D1">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7307FA0A">
            <w:pPr>
              <w:widowControl/>
              <w:ind w:firstLine="480" w:firstLineChars="200"/>
              <w:jc w:val="center"/>
              <w:textAlignment w:val="center"/>
              <w:rPr>
                <w:rFonts w:hint="eastAsia" w:ascii="宋体" w:hAnsi="宋体" w:cs="宋体"/>
                <w:color w:val="auto"/>
                <w:sz w:val="24"/>
                <w:szCs w:val="24"/>
                <w:highlight w:val="none"/>
              </w:rPr>
            </w:pPr>
          </w:p>
          <w:p w14:paraId="1AF0FF2D">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65F9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84" w:hRule="exact"/>
        </w:trPr>
        <w:tc>
          <w:tcPr>
            <w:tcW w:w="589" w:type="pct"/>
            <w:shd w:val="clear" w:color="auto" w:fill="FFFFFF"/>
            <w:tcMar>
              <w:top w:w="57" w:type="dxa"/>
              <w:left w:w="108" w:type="dxa"/>
              <w:bottom w:w="57" w:type="dxa"/>
              <w:right w:w="108" w:type="dxa"/>
            </w:tcMar>
            <w:vAlign w:val="center"/>
          </w:tcPr>
          <w:p w14:paraId="78166A99">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6" w:type="pct"/>
            <w:shd w:val="clear" w:color="auto" w:fill="FFFFFF"/>
            <w:tcMar>
              <w:top w:w="57" w:type="dxa"/>
              <w:left w:w="108" w:type="dxa"/>
              <w:bottom w:w="57" w:type="dxa"/>
              <w:right w:w="108" w:type="dxa"/>
            </w:tcMar>
            <w:vAlign w:val="top"/>
          </w:tcPr>
          <w:p w14:paraId="61CE95F6">
            <w:pPr>
              <w:widowControl/>
              <w:ind w:firstLine="480" w:firstLineChars="200"/>
              <w:jc w:val="left"/>
              <w:textAlignment w:val="center"/>
              <w:rPr>
                <w:rFonts w:hint="eastAsia" w:ascii="宋体" w:hAnsi="宋体" w:cs="宋体"/>
                <w:color w:val="auto"/>
                <w:sz w:val="24"/>
                <w:szCs w:val="24"/>
                <w:highlight w:val="none"/>
              </w:rPr>
            </w:pPr>
          </w:p>
          <w:p w14:paraId="448090F9">
            <w:pPr>
              <w:widowControl/>
              <w:ind w:firstLine="480" w:firstLineChars="200"/>
              <w:jc w:val="left"/>
              <w:textAlignment w:val="center"/>
              <w:rPr>
                <w:rFonts w:hint="eastAsia" w:ascii="宋体" w:hAnsi="宋体" w:cs="宋体"/>
                <w:color w:val="auto"/>
                <w:sz w:val="24"/>
                <w:szCs w:val="24"/>
                <w:highlight w:val="none"/>
              </w:rPr>
            </w:pPr>
          </w:p>
          <w:p w14:paraId="00816B33">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4E78E67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6047FD7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2F6DC711">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189AF5F3">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4300533D">
            <w:pPr>
              <w:widowControl/>
              <w:ind w:firstLine="480" w:firstLineChars="200"/>
              <w:jc w:val="center"/>
              <w:textAlignment w:val="center"/>
              <w:rPr>
                <w:rFonts w:hint="eastAsia" w:ascii="宋体" w:hAnsi="宋体" w:cs="宋体"/>
                <w:color w:val="auto"/>
                <w:sz w:val="24"/>
                <w:szCs w:val="24"/>
                <w:highlight w:val="none"/>
              </w:rPr>
            </w:pPr>
          </w:p>
          <w:p w14:paraId="23550F32">
            <w:pPr>
              <w:widowControl/>
              <w:ind w:firstLine="480" w:firstLineChars="200"/>
              <w:jc w:val="center"/>
              <w:textAlignment w:val="center"/>
              <w:rPr>
                <w:rFonts w:hint="eastAsia" w:ascii="宋体" w:hAnsi="宋体" w:cs="宋体"/>
                <w:color w:val="auto"/>
                <w:sz w:val="24"/>
                <w:szCs w:val="24"/>
                <w:highlight w:val="none"/>
              </w:rPr>
            </w:pPr>
          </w:p>
          <w:p w14:paraId="01F79938">
            <w:pPr>
              <w:widowControl/>
              <w:ind w:firstLine="480" w:firstLineChars="200"/>
              <w:jc w:val="center"/>
              <w:textAlignment w:val="center"/>
              <w:rPr>
                <w:rFonts w:hint="eastAsia" w:ascii="宋体" w:hAnsi="宋体" w:cs="宋体"/>
                <w:color w:val="auto"/>
                <w:sz w:val="24"/>
                <w:szCs w:val="24"/>
                <w:highlight w:val="none"/>
              </w:rPr>
            </w:pPr>
          </w:p>
          <w:p w14:paraId="15FCF08E">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5D60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9" w:type="pct"/>
            <w:shd w:val="clear" w:color="auto" w:fill="FFFFFF"/>
            <w:tcMar>
              <w:top w:w="57" w:type="dxa"/>
              <w:left w:w="108" w:type="dxa"/>
              <w:bottom w:w="57" w:type="dxa"/>
              <w:right w:w="108" w:type="dxa"/>
            </w:tcMar>
            <w:vAlign w:val="center"/>
          </w:tcPr>
          <w:p w14:paraId="7E7DB200">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6" w:type="pct"/>
            <w:shd w:val="clear" w:color="auto" w:fill="FFFFFF"/>
            <w:tcMar>
              <w:top w:w="57" w:type="dxa"/>
              <w:left w:w="108" w:type="dxa"/>
              <w:bottom w:w="57" w:type="dxa"/>
              <w:right w:w="108" w:type="dxa"/>
            </w:tcMar>
            <w:vAlign w:val="top"/>
          </w:tcPr>
          <w:p w14:paraId="00E31EDD">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5FF42E41">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4880292F">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5E37DC11">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2AD8E502">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76D17171">
            <w:pPr>
              <w:widowControl/>
              <w:ind w:firstLine="480" w:firstLineChars="200"/>
              <w:jc w:val="center"/>
              <w:textAlignment w:val="center"/>
              <w:rPr>
                <w:rFonts w:hint="eastAsia" w:ascii="宋体" w:hAnsi="宋体" w:cs="宋体"/>
                <w:color w:val="auto"/>
                <w:sz w:val="24"/>
                <w:szCs w:val="24"/>
                <w:highlight w:val="none"/>
              </w:rPr>
            </w:pPr>
          </w:p>
          <w:p w14:paraId="50E8A0CF">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372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1C49DC2D">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1031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9" w:type="pct"/>
            <w:shd w:val="clear" w:color="auto" w:fill="FFFFFF"/>
            <w:tcMar>
              <w:top w:w="57" w:type="dxa"/>
              <w:left w:w="108" w:type="dxa"/>
              <w:bottom w:w="57" w:type="dxa"/>
              <w:right w:w="108" w:type="dxa"/>
            </w:tcMar>
            <w:vAlign w:val="center"/>
          </w:tcPr>
          <w:p w14:paraId="15696C45">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6" w:type="pct"/>
            <w:shd w:val="clear" w:color="auto" w:fill="FFFFFF"/>
            <w:tcMar>
              <w:top w:w="57" w:type="dxa"/>
              <w:left w:w="108" w:type="dxa"/>
              <w:bottom w:w="57" w:type="dxa"/>
              <w:right w:w="108" w:type="dxa"/>
            </w:tcMar>
            <w:vAlign w:val="center"/>
          </w:tcPr>
          <w:p w14:paraId="6572FF1B">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60A3C9D1">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6E234493">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3" w:type="pct"/>
            <w:shd w:val="clear" w:color="auto" w:fill="FFFFFF"/>
            <w:tcMar>
              <w:top w:w="57" w:type="dxa"/>
              <w:left w:w="108" w:type="dxa"/>
              <w:bottom w:w="57" w:type="dxa"/>
              <w:right w:w="108" w:type="dxa"/>
            </w:tcMar>
            <w:vAlign w:val="center"/>
          </w:tcPr>
          <w:p w14:paraId="08B32A84">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5B204932">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0B73C1D0">
      <w:pPr>
        <w:widowControl/>
        <w:numPr>
          <w:ilvl w:val="0"/>
          <w:numId w:val="21"/>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052E2C56">
      <w:pPr>
        <w:widowControl/>
        <w:tabs>
          <w:tab w:val="left" w:pos="360"/>
          <w:tab w:val="left" w:pos="900"/>
        </w:tabs>
        <w:snapToGrid w:val="0"/>
        <w:spacing w:line="360" w:lineRule="auto"/>
        <w:ind w:firstLine="3373" w:firstLineChars="1400"/>
        <w:jc w:val="both"/>
        <w:outlineLvl w:val="1"/>
        <w:rPr>
          <w:rFonts w:hint="eastAsia" w:ascii="宋体" w:hAnsi="宋体"/>
          <w:b/>
          <w:color w:val="auto"/>
          <w:sz w:val="24"/>
          <w:highlight w:val="none"/>
          <w:lang w:eastAsia="zh-CN"/>
        </w:rPr>
      </w:pPr>
      <w:r>
        <w:rPr>
          <w:rFonts w:hint="eastAsia" w:ascii="宋体" w:hAnsi="宋体"/>
          <w:b/>
          <w:color w:val="auto"/>
          <w:sz w:val="24"/>
          <w:highlight w:val="none"/>
          <w:lang w:val="en-US" w:eastAsia="zh-CN"/>
        </w:rPr>
        <w:t>4包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4"/>
        <w:gridCol w:w="1263"/>
        <w:gridCol w:w="6509"/>
        <w:gridCol w:w="722"/>
      </w:tblGrid>
      <w:tr w14:paraId="3C20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9" w:type="pct"/>
            <w:shd w:val="clear" w:color="auto" w:fill="F3F3F3"/>
            <w:tcMar>
              <w:top w:w="57" w:type="dxa"/>
              <w:left w:w="108" w:type="dxa"/>
              <w:bottom w:w="57" w:type="dxa"/>
              <w:right w:w="108" w:type="dxa"/>
            </w:tcMar>
            <w:vAlign w:val="center"/>
          </w:tcPr>
          <w:p w14:paraId="56E28BB0">
            <w:pPr>
              <w:widowControl/>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6" w:type="pct"/>
            <w:shd w:val="clear" w:color="auto" w:fill="F3F3F3"/>
            <w:tcMar>
              <w:top w:w="57" w:type="dxa"/>
              <w:left w:w="108" w:type="dxa"/>
              <w:bottom w:w="57" w:type="dxa"/>
              <w:right w:w="108" w:type="dxa"/>
            </w:tcMar>
            <w:vAlign w:val="center"/>
          </w:tcPr>
          <w:p w14:paraId="0FD67016">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1628564F">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3" w:type="pct"/>
            <w:shd w:val="clear" w:color="auto" w:fill="F3F3F3"/>
            <w:tcMar>
              <w:top w:w="57" w:type="dxa"/>
              <w:left w:w="108" w:type="dxa"/>
              <w:bottom w:w="57" w:type="dxa"/>
              <w:right w:w="108" w:type="dxa"/>
            </w:tcMar>
            <w:vAlign w:val="center"/>
          </w:tcPr>
          <w:p w14:paraId="20A2A8A3">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13FE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527DFB3D">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4C21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exact"/>
        </w:trPr>
        <w:tc>
          <w:tcPr>
            <w:tcW w:w="589" w:type="pct"/>
            <w:shd w:val="clear" w:color="auto" w:fill="FFFFFF"/>
            <w:tcMar>
              <w:top w:w="57" w:type="dxa"/>
              <w:left w:w="108" w:type="dxa"/>
              <w:bottom w:w="57" w:type="dxa"/>
              <w:right w:w="108" w:type="dxa"/>
            </w:tcMar>
            <w:vAlign w:val="center"/>
          </w:tcPr>
          <w:p w14:paraId="42812324">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46F0C642">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43E831C2">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3" w:type="pct"/>
            <w:shd w:val="clear" w:color="auto" w:fill="FFFFFF"/>
            <w:tcMar>
              <w:top w:w="57" w:type="dxa"/>
              <w:left w:w="108" w:type="dxa"/>
              <w:bottom w:w="57" w:type="dxa"/>
              <w:right w:w="108" w:type="dxa"/>
            </w:tcMar>
            <w:vAlign w:val="center"/>
          </w:tcPr>
          <w:p w14:paraId="4DBA2517">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250A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4" w:hRule="exact"/>
        </w:trPr>
        <w:tc>
          <w:tcPr>
            <w:tcW w:w="589" w:type="pct"/>
            <w:shd w:val="clear" w:color="auto" w:fill="FFFFFF"/>
            <w:tcMar>
              <w:top w:w="57" w:type="dxa"/>
              <w:left w:w="108" w:type="dxa"/>
              <w:bottom w:w="57" w:type="dxa"/>
              <w:right w:w="108" w:type="dxa"/>
            </w:tcMar>
            <w:vAlign w:val="center"/>
          </w:tcPr>
          <w:p w14:paraId="1A056B12">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263" w:type="dxa"/>
            <w:shd w:val="clear" w:color="auto" w:fill="FFFFFF"/>
            <w:tcMar>
              <w:top w:w="57" w:type="dxa"/>
              <w:left w:w="108" w:type="dxa"/>
              <w:bottom w:w="57" w:type="dxa"/>
              <w:right w:w="108" w:type="dxa"/>
            </w:tcMar>
            <w:vAlign w:val="center"/>
          </w:tcPr>
          <w:p w14:paraId="0C4613B1">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6509" w:type="dxa"/>
            <w:shd w:val="clear" w:color="auto" w:fill="FFFFFF"/>
            <w:tcMar>
              <w:top w:w="57" w:type="dxa"/>
              <w:left w:w="108" w:type="dxa"/>
              <w:bottom w:w="57" w:type="dxa"/>
              <w:right w:w="108" w:type="dxa"/>
            </w:tcMar>
            <w:vAlign w:val="center"/>
          </w:tcPr>
          <w:p w14:paraId="695C6CD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381F79E6">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77BA7F78">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4FA994EA">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722" w:type="dxa"/>
            <w:shd w:val="clear" w:color="auto" w:fill="FFFFFF"/>
            <w:tcMar>
              <w:top w:w="57" w:type="dxa"/>
              <w:left w:w="108" w:type="dxa"/>
              <w:bottom w:w="57" w:type="dxa"/>
              <w:right w:w="108" w:type="dxa"/>
            </w:tcMar>
            <w:vAlign w:val="center"/>
          </w:tcPr>
          <w:p w14:paraId="7B026BC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286B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4" w:hRule="exact"/>
        </w:trPr>
        <w:tc>
          <w:tcPr>
            <w:tcW w:w="589" w:type="pct"/>
            <w:shd w:val="clear" w:color="auto" w:fill="FFFFFF"/>
            <w:tcMar>
              <w:top w:w="57" w:type="dxa"/>
              <w:left w:w="108" w:type="dxa"/>
              <w:bottom w:w="57" w:type="dxa"/>
              <w:right w:w="108" w:type="dxa"/>
            </w:tcMar>
            <w:vAlign w:val="center"/>
          </w:tcPr>
          <w:p w14:paraId="3953BA48">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3" w:type="dxa"/>
            <w:shd w:val="clear" w:color="auto" w:fill="FFFFFF"/>
            <w:tcMar>
              <w:top w:w="57" w:type="dxa"/>
              <w:left w:w="108" w:type="dxa"/>
              <w:bottom w:w="57" w:type="dxa"/>
              <w:right w:w="108" w:type="dxa"/>
            </w:tcMar>
            <w:vAlign w:val="center"/>
          </w:tcPr>
          <w:p w14:paraId="75FBD1E7">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6509" w:type="dxa"/>
            <w:shd w:val="clear" w:color="auto" w:fill="FFFFFF"/>
            <w:tcMar>
              <w:top w:w="57" w:type="dxa"/>
              <w:left w:w="108" w:type="dxa"/>
              <w:bottom w:w="57" w:type="dxa"/>
              <w:right w:w="108" w:type="dxa"/>
            </w:tcMar>
            <w:vAlign w:val="center"/>
          </w:tcPr>
          <w:p w14:paraId="4A479922">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4BB392F1">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项目负责人身份承担过类似项目业绩（须以中标通知</w:t>
            </w:r>
            <w:r>
              <w:rPr>
                <w:rFonts w:hint="eastAsia" w:ascii="宋体" w:hAnsi="宋体" w:eastAsia="宋体" w:cs="宋体"/>
                <w:color w:val="auto"/>
                <w:spacing w:val="7"/>
                <w:sz w:val="24"/>
                <w:szCs w:val="24"/>
                <w:highlight w:val="none"/>
              </w:rPr>
              <w:t>书或</w:t>
            </w:r>
            <w:r>
              <w:rPr>
                <w:rFonts w:hint="eastAsia" w:ascii="宋体" w:hAnsi="宋体" w:eastAsia="宋体" w:cs="宋体"/>
                <w:color w:val="auto"/>
                <w:spacing w:val="5"/>
                <w:sz w:val="24"/>
                <w:szCs w:val="24"/>
                <w:highlight w:val="none"/>
              </w:rPr>
              <w:t>相应的服务合同为准</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722" w:type="dxa"/>
            <w:shd w:val="clear" w:color="auto" w:fill="FFFFFF"/>
            <w:tcMar>
              <w:top w:w="57" w:type="dxa"/>
              <w:left w:w="108" w:type="dxa"/>
              <w:bottom w:w="57" w:type="dxa"/>
              <w:right w:w="108" w:type="dxa"/>
            </w:tcMar>
            <w:vAlign w:val="center"/>
          </w:tcPr>
          <w:p w14:paraId="7E1C41A0">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573E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75B14016">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044D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577" w:hRule="exact"/>
        </w:trPr>
        <w:tc>
          <w:tcPr>
            <w:tcW w:w="589" w:type="pct"/>
            <w:shd w:val="clear" w:color="auto" w:fill="FFFFFF"/>
            <w:tcMar>
              <w:top w:w="57" w:type="dxa"/>
              <w:left w:w="108" w:type="dxa"/>
              <w:bottom w:w="57" w:type="dxa"/>
              <w:right w:w="108" w:type="dxa"/>
            </w:tcMar>
            <w:vAlign w:val="center"/>
          </w:tcPr>
          <w:p w14:paraId="4B67BBB2">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1D15AAB3">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47756F38">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67D99FE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5EB50525">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4CE4DFF6">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5C2F34E1">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52A377C0">
            <w:pPr>
              <w:widowControl/>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center"/>
          </w:tcPr>
          <w:p w14:paraId="01A3114A">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719A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9" w:type="pct"/>
            <w:shd w:val="clear" w:color="auto" w:fill="FFFFFF"/>
            <w:tcMar>
              <w:top w:w="57" w:type="dxa"/>
              <w:left w:w="108" w:type="dxa"/>
              <w:bottom w:w="57" w:type="dxa"/>
              <w:right w:w="108" w:type="dxa"/>
            </w:tcMar>
            <w:vAlign w:val="center"/>
          </w:tcPr>
          <w:p w14:paraId="0A0A9A34">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263" w:type="dxa"/>
            <w:shd w:val="clear" w:color="auto" w:fill="FFFFFF"/>
            <w:tcMar>
              <w:top w:w="57" w:type="dxa"/>
              <w:left w:w="108" w:type="dxa"/>
              <w:bottom w:w="57" w:type="dxa"/>
              <w:right w:w="108" w:type="dxa"/>
            </w:tcMar>
            <w:vAlign w:val="top"/>
          </w:tcPr>
          <w:p w14:paraId="2D372D95">
            <w:pPr>
              <w:widowControl/>
              <w:jc w:val="left"/>
              <w:textAlignment w:val="center"/>
              <w:rPr>
                <w:rFonts w:hint="eastAsia" w:ascii="宋体" w:hAnsi="宋体" w:cs="宋体"/>
                <w:color w:val="auto"/>
                <w:sz w:val="24"/>
                <w:szCs w:val="24"/>
                <w:highlight w:val="none"/>
              </w:rPr>
            </w:pPr>
          </w:p>
          <w:p w14:paraId="12418AC9">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6509" w:type="dxa"/>
            <w:shd w:val="clear" w:color="auto" w:fill="FFFFFF"/>
            <w:tcMar>
              <w:top w:w="57" w:type="dxa"/>
              <w:left w:w="108" w:type="dxa"/>
              <w:bottom w:w="57" w:type="dxa"/>
              <w:right w:w="108" w:type="dxa"/>
            </w:tcMar>
            <w:vAlign w:val="top"/>
          </w:tcPr>
          <w:p w14:paraId="2031074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51C8FC2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182EAA5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4CB8064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243D0E40">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722" w:type="dxa"/>
            <w:shd w:val="clear" w:color="auto" w:fill="FFFFFF"/>
            <w:tcMar>
              <w:top w:w="57" w:type="dxa"/>
              <w:left w:w="108" w:type="dxa"/>
              <w:bottom w:w="57" w:type="dxa"/>
              <w:right w:w="108" w:type="dxa"/>
            </w:tcMar>
            <w:vAlign w:val="top"/>
          </w:tcPr>
          <w:p w14:paraId="7F766D96">
            <w:pPr>
              <w:widowControl/>
              <w:ind w:firstLine="480" w:firstLineChars="200"/>
              <w:jc w:val="center"/>
              <w:textAlignment w:val="center"/>
              <w:rPr>
                <w:rFonts w:hint="eastAsia" w:ascii="宋体" w:hAnsi="宋体" w:cs="宋体"/>
                <w:color w:val="auto"/>
                <w:sz w:val="24"/>
                <w:szCs w:val="24"/>
                <w:highlight w:val="none"/>
              </w:rPr>
            </w:pPr>
          </w:p>
          <w:p w14:paraId="41E22CFD">
            <w:pPr>
              <w:widowControl/>
              <w:ind w:firstLine="480" w:firstLineChars="200"/>
              <w:jc w:val="center"/>
              <w:textAlignment w:val="center"/>
              <w:rPr>
                <w:rFonts w:hint="eastAsia" w:ascii="宋体" w:hAnsi="宋体" w:cs="宋体"/>
                <w:color w:val="auto"/>
                <w:sz w:val="24"/>
                <w:szCs w:val="24"/>
                <w:highlight w:val="none"/>
              </w:rPr>
            </w:pPr>
          </w:p>
          <w:p w14:paraId="2078B280">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60AD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3" w:hRule="exact"/>
        </w:trPr>
        <w:tc>
          <w:tcPr>
            <w:tcW w:w="589" w:type="pct"/>
            <w:shd w:val="clear" w:color="auto" w:fill="FFFFFF"/>
            <w:tcMar>
              <w:top w:w="57" w:type="dxa"/>
              <w:left w:w="108" w:type="dxa"/>
              <w:bottom w:w="57" w:type="dxa"/>
              <w:right w:w="108" w:type="dxa"/>
            </w:tcMar>
            <w:vAlign w:val="center"/>
          </w:tcPr>
          <w:p w14:paraId="296E258C">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6" w:type="pct"/>
            <w:shd w:val="clear" w:color="auto" w:fill="FFFFFF"/>
            <w:tcMar>
              <w:top w:w="57" w:type="dxa"/>
              <w:left w:w="108" w:type="dxa"/>
              <w:bottom w:w="57" w:type="dxa"/>
              <w:right w:w="108" w:type="dxa"/>
            </w:tcMar>
            <w:vAlign w:val="top"/>
          </w:tcPr>
          <w:p w14:paraId="183B3F91">
            <w:pPr>
              <w:widowControl/>
              <w:jc w:val="left"/>
              <w:textAlignment w:val="center"/>
              <w:rPr>
                <w:rFonts w:hint="eastAsia" w:ascii="宋体" w:hAnsi="宋体" w:cs="宋体"/>
                <w:color w:val="auto"/>
                <w:sz w:val="24"/>
                <w:szCs w:val="24"/>
                <w:highlight w:val="none"/>
              </w:rPr>
            </w:pPr>
          </w:p>
          <w:p w14:paraId="3B814791">
            <w:pPr>
              <w:widowControl/>
              <w:jc w:val="left"/>
              <w:textAlignment w:val="center"/>
              <w:rPr>
                <w:rFonts w:hint="eastAsia" w:ascii="宋体" w:hAnsi="宋体" w:cs="宋体"/>
                <w:color w:val="auto"/>
                <w:sz w:val="24"/>
                <w:szCs w:val="24"/>
                <w:highlight w:val="none"/>
              </w:rPr>
            </w:pPr>
          </w:p>
          <w:p w14:paraId="38D5B32C">
            <w:pPr>
              <w:widowControl/>
              <w:jc w:val="left"/>
              <w:textAlignment w:val="center"/>
              <w:rPr>
                <w:rFonts w:hint="eastAsia" w:ascii="宋体" w:hAnsi="宋体" w:cs="宋体"/>
                <w:color w:val="auto"/>
                <w:sz w:val="24"/>
                <w:szCs w:val="24"/>
                <w:highlight w:val="none"/>
              </w:rPr>
            </w:pPr>
          </w:p>
          <w:p w14:paraId="6B56FB4B">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1C15C42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64FFD7C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3CF9A67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6F05F9F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2D77A29B">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3" w:type="pct"/>
            <w:shd w:val="clear" w:color="auto" w:fill="FFFFFF"/>
            <w:tcMar>
              <w:top w:w="57" w:type="dxa"/>
              <w:left w:w="108" w:type="dxa"/>
              <w:bottom w:w="57" w:type="dxa"/>
              <w:right w:w="108" w:type="dxa"/>
            </w:tcMar>
            <w:vAlign w:val="top"/>
          </w:tcPr>
          <w:p w14:paraId="612C7830">
            <w:pPr>
              <w:widowControl/>
              <w:ind w:firstLine="480" w:firstLineChars="200"/>
              <w:jc w:val="left"/>
              <w:textAlignment w:val="center"/>
              <w:rPr>
                <w:rFonts w:hint="eastAsia" w:ascii="宋体" w:hAnsi="宋体" w:cs="宋体"/>
                <w:color w:val="auto"/>
                <w:sz w:val="24"/>
                <w:szCs w:val="24"/>
                <w:highlight w:val="none"/>
              </w:rPr>
            </w:pPr>
          </w:p>
          <w:p w14:paraId="6F59A519">
            <w:pPr>
              <w:widowControl/>
              <w:ind w:firstLine="480" w:firstLineChars="200"/>
              <w:jc w:val="left"/>
              <w:textAlignment w:val="center"/>
              <w:rPr>
                <w:rFonts w:hint="eastAsia" w:ascii="宋体" w:hAnsi="宋体" w:cs="宋体"/>
                <w:color w:val="auto"/>
                <w:sz w:val="24"/>
                <w:szCs w:val="24"/>
                <w:highlight w:val="none"/>
              </w:rPr>
            </w:pPr>
          </w:p>
          <w:p w14:paraId="79A3C58B">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7DB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exact"/>
        </w:trPr>
        <w:tc>
          <w:tcPr>
            <w:tcW w:w="589" w:type="pct"/>
            <w:shd w:val="clear" w:color="auto" w:fill="FFFFFF"/>
            <w:tcMar>
              <w:top w:w="57" w:type="dxa"/>
              <w:left w:w="108" w:type="dxa"/>
              <w:bottom w:w="57" w:type="dxa"/>
              <w:right w:w="108" w:type="dxa"/>
            </w:tcMar>
            <w:vAlign w:val="center"/>
          </w:tcPr>
          <w:p w14:paraId="34155C98">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6" w:type="pct"/>
            <w:shd w:val="clear" w:color="auto" w:fill="FFFFFF"/>
            <w:tcMar>
              <w:top w:w="57" w:type="dxa"/>
              <w:left w:w="108" w:type="dxa"/>
              <w:bottom w:w="57" w:type="dxa"/>
              <w:right w:w="108" w:type="dxa"/>
            </w:tcMar>
            <w:vAlign w:val="top"/>
          </w:tcPr>
          <w:p w14:paraId="197BB371">
            <w:pPr>
              <w:widowControl/>
              <w:jc w:val="left"/>
              <w:textAlignment w:val="center"/>
              <w:rPr>
                <w:rFonts w:hint="eastAsia" w:ascii="宋体" w:hAnsi="宋体" w:cs="宋体"/>
                <w:color w:val="auto"/>
                <w:sz w:val="24"/>
                <w:szCs w:val="24"/>
                <w:highlight w:val="none"/>
              </w:rPr>
            </w:pPr>
          </w:p>
          <w:p w14:paraId="16C9CB4E">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5F5E3429">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42984300">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4555A757">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46D5BC61">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3" w:type="pct"/>
            <w:shd w:val="clear" w:color="auto" w:fill="FFFFFF"/>
            <w:tcMar>
              <w:top w:w="57" w:type="dxa"/>
              <w:left w:w="108" w:type="dxa"/>
              <w:bottom w:w="57" w:type="dxa"/>
              <w:right w:w="108" w:type="dxa"/>
            </w:tcMar>
            <w:vAlign w:val="top"/>
          </w:tcPr>
          <w:p w14:paraId="26310112">
            <w:pPr>
              <w:widowControl/>
              <w:ind w:firstLine="480" w:firstLineChars="200"/>
              <w:jc w:val="left"/>
              <w:textAlignment w:val="center"/>
              <w:rPr>
                <w:rFonts w:hint="eastAsia" w:ascii="宋体" w:hAnsi="宋体" w:cs="宋体"/>
                <w:color w:val="auto"/>
                <w:sz w:val="24"/>
                <w:szCs w:val="24"/>
                <w:highlight w:val="none"/>
              </w:rPr>
            </w:pPr>
          </w:p>
          <w:p w14:paraId="6D3D26ED">
            <w:pPr>
              <w:widowControl/>
              <w:ind w:firstLine="480" w:firstLineChars="200"/>
              <w:jc w:val="left"/>
              <w:textAlignment w:val="center"/>
              <w:rPr>
                <w:rFonts w:hint="eastAsia" w:ascii="宋体" w:hAnsi="宋体" w:cs="宋体"/>
                <w:color w:val="auto"/>
                <w:sz w:val="24"/>
                <w:szCs w:val="24"/>
                <w:highlight w:val="none"/>
              </w:rPr>
            </w:pPr>
          </w:p>
          <w:p w14:paraId="4E028FFE">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6C43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6" w:hRule="exact"/>
        </w:trPr>
        <w:tc>
          <w:tcPr>
            <w:tcW w:w="589" w:type="pct"/>
            <w:shd w:val="clear" w:color="auto" w:fill="FFFFFF"/>
            <w:tcMar>
              <w:top w:w="57" w:type="dxa"/>
              <w:left w:w="108" w:type="dxa"/>
              <w:bottom w:w="57" w:type="dxa"/>
              <w:right w:w="108" w:type="dxa"/>
            </w:tcMar>
            <w:vAlign w:val="center"/>
          </w:tcPr>
          <w:p w14:paraId="02BAC227">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63" w:type="dxa"/>
            <w:shd w:val="clear" w:color="auto" w:fill="FFFFFF"/>
            <w:tcMar>
              <w:top w:w="57" w:type="dxa"/>
              <w:left w:w="108" w:type="dxa"/>
              <w:bottom w:w="57" w:type="dxa"/>
              <w:right w:w="108" w:type="dxa"/>
            </w:tcMar>
            <w:vAlign w:val="top"/>
          </w:tcPr>
          <w:p w14:paraId="1FCDD7E6">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509" w:type="dxa"/>
            <w:shd w:val="clear" w:color="auto" w:fill="FFFFFF"/>
            <w:tcMar>
              <w:top w:w="57" w:type="dxa"/>
              <w:left w:w="108" w:type="dxa"/>
              <w:bottom w:w="57" w:type="dxa"/>
              <w:right w:w="108" w:type="dxa"/>
            </w:tcMar>
            <w:vAlign w:val="top"/>
          </w:tcPr>
          <w:p w14:paraId="2C4AE20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5F90082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0E34443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77554C3E">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722" w:type="dxa"/>
            <w:shd w:val="clear" w:color="auto" w:fill="FFFFFF"/>
            <w:tcMar>
              <w:top w:w="57" w:type="dxa"/>
              <w:left w:w="108" w:type="dxa"/>
              <w:bottom w:w="57" w:type="dxa"/>
              <w:right w:w="108" w:type="dxa"/>
            </w:tcMar>
            <w:vAlign w:val="top"/>
          </w:tcPr>
          <w:p w14:paraId="15A6E349">
            <w:pPr>
              <w:widowControl/>
              <w:ind w:firstLine="480" w:firstLineChars="200"/>
              <w:jc w:val="center"/>
              <w:textAlignment w:val="center"/>
              <w:rPr>
                <w:rFonts w:hint="eastAsia" w:ascii="宋体" w:hAnsi="宋体" w:cs="宋体"/>
                <w:color w:val="auto"/>
                <w:sz w:val="24"/>
                <w:szCs w:val="24"/>
                <w:highlight w:val="none"/>
              </w:rPr>
            </w:pPr>
          </w:p>
          <w:p w14:paraId="468CF4D1">
            <w:pPr>
              <w:widowControl/>
              <w:ind w:firstLine="480" w:firstLineChars="200"/>
              <w:jc w:val="center"/>
              <w:textAlignment w:val="center"/>
              <w:rPr>
                <w:rFonts w:hint="eastAsia" w:ascii="宋体" w:hAnsi="宋体" w:cs="宋体"/>
                <w:color w:val="auto"/>
                <w:sz w:val="24"/>
                <w:szCs w:val="24"/>
                <w:highlight w:val="none"/>
              </w:rPr>
            </w:pPr>
          </w:p>
          <w:p w14:paraId="7E709209">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2666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4" w:hRule="exact"/>
        </w:trPr>
        <w:tc>
          <w:tcPr>
            <w:tcW w:w="589" w:type="pct"/>
            <w:shd w:val="clear" w:color="auto" w:fill="FFFFFF"/>
            <w:tcMar>
              <w:top w:w="57" w:type="dxa"/>
              <w:left w:w="108" w:type="dxa"/>
              <w:bottom w:w="57" w:type="dxa"/>
              <w:right w:w="108" w:type="dxa"/>
            </w:tcMar>
            <w:vAlign w:val="center"/>
          </w:tcPr>
          <w:p w14:paraId="15F82D5A">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6" w:type="pct"/>
            <w:shd w:val="clear" w:color="auto" w:fill="FFFFFF"/>
            <w:tcMar>
              <w:top w:w="57" w:type="dxa"/>
              <w:left w:w="108" w:type="dxa"/>
              <w:bottom w:w="57" w:type="dxa"/>
              <w:right w:w="108" w:type="dxa"/>
            </w:tcMar>
            <w:vAlign w:val="top"/>
          </w:tcPr>
          <w:p w14:paraId="135E335F">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5E0E0E2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2D46BD0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1159DB3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74644AC8">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6E94AE85">
            <w:pPr>
              <w:widowControl/>
              <w:ind w:firstLine="480" w:firstLineChars="200"/>
              <w:jc w:val="center"/>
              <w:textAlignment w:val="center"/>
              <w:rPr>
                <w:rFonts w:hint="eastAsia" w:ascii="宋体" w:hAnsi="宋体" w:cs="宋体"/>
                <w:color w:val="auto"/>
                <w:sz w:val="24"/>
                <w:szCs w:val="24"/>
                <w:highlight w:val="none"/>
              </w:rPr>
            </w:pPr>
          </w:p>
          <w:p w14:paraId="1529C39A">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47DD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84" w:hRule="exact"/>
        </w:trPr>
        <w:tc>
          <w:tcPr>
            <w:tcW w:w="589" w:type="pct"/>
            <w:shd w:val="clear" w:color="auto" w:fill="FFFFFF"/>
            <w:tcMar>
              <w:top w:w="57" w:type="dxa"/>
              <w:left w:w="108" w:type="dxa"/>
              <w:bottom w:w="57" w:type="dxa"/>
              <w:right w:w="108" w:type="dxa"/>
            </w:tcMar>
            <w:vAlign w:val="center"/>
          </w:tcPr>
          <w:p w14:paraId="6D7FEB62">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6" w:type="pct"/>
            <w:shd w:val="clear" w:color="auto" w:fill="FFFFFF"/>
            <w:tcMar>
              <w:top w:w="57" w:type="dxa"/>
              <w:left w:w="108" w:type="dxa"/>
              <w:bottom w:w="57" w:type="dxa"/>
              <w:right w:w="108" w:type="dxa"/>
            </w:tcMar>
            <w:vAlign w:val="top"/>
          </w:tcPr>
          <w:p w14:paraId="564239D9">
            <w:pPr>
              <w:widowControl/>
              <w:ind w:firstLine="480" w:firstLineChars="200"/>
              <w:jc w:val="left"/>
              <w:textAlignment w:val="center"/>
              <w:rPr>
                <w:rFonts w:hint="eastAsia" w:ascii="宋体" w:hAnsi="宋体" w:cs="宋体"/>
                <w:color w:val="auto"/>
                <w:sz w:val="24"/>
                <w:szCs w:val="24"/>
                <w:highlight w:val="none"/>
              </w:rPr>
            </w:pPr>
          </w:p>
          <w:p w14:paraId="3596594D">
            <w:pPr>
              <w:widowControl/>
              <w:ind w:firstLine="480" w:firstLineChars="200"/>
              <w:jc w:val="left"/>
              <w:textAlignment w:val="center"/>
              <w:rPr>
                <w:rFonts w:hint="eastAsia" w:ascii="宋体" w:hAnsi="宋体" w:cs="宋体"/>
                <w:color w:val="auto"/>
                <w:sz w:val="24"/>
                <w:szCs w:val="24"/>
                <w:highlight w:val="none"/>
              </w:rPr>
            </w:pPr>
          </w:p>
          <w:p w14:paraId="2DCC6A81">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5156F29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358F374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224A1C0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1CB29369">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1710E7A2">
            <w:pPr>
              <w:widowControl/>
              <w:ind w:firstLine="480" w:firstLineChars="200"/>
              <w:jc w:val="center"/>
              <w:textAlignment w:val="center"/>
              <w:rPr>
                <w:rFonts w:hint="eastAsia" w:ascii="宋体" w:hAnsi="宋体" w:cs="宋体"/>
                <w:color w:val="auto"/>
                <w:sz w:val="24"/>
                <w:szCs w:val="24"/>
                <w:highlight w:val="none"/>
              </w:rPr>
            </w:pPr>
          </w:p>
          <w:p w14:paraId="5AB89AF1">
            <w:pPr>
              <w:widowControl/>
              <w:ind w:firstLine="480" w:firstLineChars="200"/>
              <w:jc w:val="center"/>
              <w:textAlignment w:val="center"/>
              <w:rPr>
                <w:rFonts w:hint="eastAsia" w:ascii="宋体" w:hAnsi="宋体" w:cs="宋体"/>
                <w:color w:val="auto"/>
                <w:sz w:val="24"/>
                <w:szCs w:val="24"/>
                <w:highlight w:val="none"/>
              </w:rPr>
            </w:pPr>
          </w:p>
          <w:p w14:paraId="3D1D11D6">
            <w:pPr>
              <w:widowControl/>
              <w:ind w:firstLine="480" w:firstLineChars="200"/>
              <w:jc w:val="center"/>
              <w:textAlignment w:val="center"/>
              <w:rPr>
                <w:rFonts w:hint="eastAsia" w:ascii="宋体" w:hAnsi="宋体" w:cs="宋体"/>
                <w:color w:val="auto"/>
                <w:sz w:val="24"/>
                <w:szCs w:val="24"/>
                <w:highlight w:val="none"/>
              </w:rPr>
            </w:pPr>
          </w:p>
          <w:p w14:paraId="3B15BACD">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1E6F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9" w:type="pct"/>
            <w:shd w:val="clear" w:color="auto" w:fill="FFFFFF"/>
            <w:tcMar>
              <w:top w:w="57" w:type="dxa"/>
              <w:left w:w="108" w:type="dxa"/>
              <w:bottom w:w="57" w:type="dxa"/>
              <w:right w:w="108" w:type="dxa"/>
            </w:tcMar>
            <w:vAlign w:val="center"/>
          </w:tcPr>
          <w:p w14:paraId="409EED13">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6" w:type="pct"/>
            <w:shd w:val="clear" w:color="auto" w:fill="FFFFFF"/>
            <w:tcMar>
              <w:top w:w="57" w:type="dxa"/>
              <w:left w:w="108" w:type="dxa"/>
              <w:bottom w:w="57" w:type="dxa"/>
              <w:right w:w="108" w:type="dxa"/>
            </w:tcMar>
            <w:vAlign w:val="top"/>
          </w:tcPr>
          <w:p w14:paraId="4CCFEB72">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4BBCAD11">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2C79E314">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354B83BB">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6F901AFF">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3A54456F">
            <w:pPr>
              <w:widowControl/>
              <w:ind w:firstLine="480" w:firstLineChars="200"/>
              <w:jc w:val="center"/>
              <w:textAlignment w:val="center"/>
              <w:rPr>
                <w:rFonts w:hint="eastAsia" w:ascii="宋体" w:hAnsi="宋体" w:cs="宋体"/>
                <w:color w:val="auto"/>
                <w:sz w:val="24"/>
                <w:szCs w:val="24"/>
                <w:highlight w:val="none"/>
              </w:rPr>
            </w:pPr>
          </w:p>
          <w:p w14:paraId="02DF7CC1">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5254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78286E8E">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4446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9" w:type="pct"/>
            <w:shd w:val="clear" w:color="auto" w:fill="FFFFFF"/>
            <w:tcMar>
              <w:top w:w="57" w:type="dxa"/>
              <w:left w:w="108" w:type="dxa"/>
              <w:bottom w:w="57" w:type="dxa"/>
              <w:right w:w="108" w:type="dxa"/>
            </w:tcMar>
            <w:vAlign w:val="center"/>
          </w:tcPr>
          <w:p w14:paraId="4770B2CE">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6" w:type="pct"/>
            <w:shd w:val="clear" w:color="auto" w:fill="FFFFFF"/>
            <w:tcMar>
              <w:top w:w="57" w:type="dxa"/>
              <w:left w:w="108" w:type="dxa"/>
              <w:bottom w:w="57" w:type="dxa"/>
              <w:right w:w="108" w:type="dxa"/>
            </w:tcMar>
            <w:vAlign w:val="center"/>
          </w:tcPr>
          <w:p w14:paraId="6FCEF7E9">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1C9B6824">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7052C8FC">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3" w:type="pct"/>
            <w:shd w:val="clear" w:color="auto" w:fill="FFFFFF"/>
            <w:tcMar>
              <w:top w:w="57" w:type="dxa"/>
              <w:left w:w="108" w:type="dxa"/>
              <w:bottom w:w="57" w:type="dxa"/>
              <w:right w:w="108" w:type="dxa"/>
            </w:tcMar>
            <w:vAlign w:val="center"/>
          </w:tcPr>
          <w:p w14:paraId="76B9DC60">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1C506364">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1C0E6F69">
      <w:pPr>
        <w:widowControl/>
        <w:numPr>
          <w:ilvl w:val="0"/>
          <w:numId w:val="22"/>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59FCEA38">
      <w:pPr>
        <w:widowControl/>
        <w:tabs>
          <w:tab w:val="left" w:pos="360"/>
          <w:tab w:val="left" w:pos="900"/>
        </w:tabs>
        <w:snapToGrid w:val="0"/>
        <w:spacing w:line="360" w:lineRule="auto"/>
        <w:ind w:firstLine="3132" w:firstLineChars="1300"/>
        <w:jc w:val="both"/>
        <w:outlineLvl w:val="1"/>
        <w:rPr>
          <w:rFonts w:hint="eastAsia" w:ascii="宋体" w:hAnsi="宋体"/>
          <w:b/>
          <w:color w:val="auto"/>
          <w:sz w:val="24"/>
          <w:highlight w:val="none"/>
          <w:lang w:eastAsia="zh-CN"/>
        </w:rPr>
      </w:pPr>
      <w:r>
        <w:rPr>
          <w:rFonts w:hint="eastAsia" w:ascii="宋体" w:hAnsi="宋体"/>
          <w:b/>
          <w:color w:val="auto"/>
          <w:sz w:val="24"/>
          <w:highlight w:val="none"/>
          <w:lang w:val="en-US" w:eastAsia="zh-CN"/>
        </w:rPr>
        <w:t>5包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4"/>
        <w:gridCol w:w="1263"/>
        <w:gridCol w:w="6509"/>
        <w:gridCol w:w="722"/>
      </w:tblGrid>
      <w:tr w14:paraId="68B0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9" w:type="pct"/>
            <w:shd w:val="clear" w:color="auto" w:fill="F3F3F3"/>
            <w:tcMar>
              <w:top w:w="57" w:type="dxa"/>
              <w:left w:w="108" w:type="dxa"/>
              <w:bottom w:w="57" w:type="dxa"/>
              <w:right w:w="108" w:type="dxa"/>
            </w:tcMar>
            <w:vAlign w:val="center"/>
          </w:tcPr>
          <w:p w14:paraId="515FA82A">
            <w:pPr>
              <w:widowControl/>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6" w:type="pct"/>
            <w:shd w:val="clear" w:color="auto" w:fill="F3F3F3"/>
            <w:tcMar>
              <w:top w:w="57" w:type="dxa"/>
              <w:left w:w="108" w:type="dxa"/>
              <w:bottom w:w="57" w:type="dxa"/>
              <w:right w:w="108" w:type="dxa"/>
            </w:tcMar>
            <w:vAlign w:val="center"/>
          </w:tcPr>
          <w:p w14:paraId="5687A9C3">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26DE6E87">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3" w:type="pct"/>
            <w:shd w:val="clear" w:color="auto" w:fill="F3F3F3"/>
            <w:tcMar>
              <w:top w:w="57" w:type="dxa"/>
              <w:left w:w="108" w:type="dxa"/>
              <w:bottom w:w="57" w:type="dxa"/>
              <w:right w:w="108" w:type="dxa"/>
            </w:tcMar>
            <w:vAlign w:val="center"/>
          </w:tcPr>
          <w:p w14:paraId="3CE349BD">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1772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2F57C213">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1B4E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0" w:hRule="exact"/>
        </w:trPr>
        <w:tc>
          <w:tcPr>
            <w:tcW w:w="589" w:type="pct"/>
            <w:shd w:val="clear" w:color="auto" w:fill="FFFFFF"/>
            <w:tcMar>
              <w:top w:w="57" w:type="dxa"/>
              <w:left w:w="108" w:type="dxa"/>
              <w:bottom w:w="57" w:type="dxa"/>
              <w:right w:w="108" w:type="dxa"/>
            </w:tcMar>
            <w:vAlign w:val="center"/>
          </w:tcPr>
          <w:p w14:paraId="382F0C8B">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685E8BB5">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7418D33A">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3" w:type="pct"/>
            <w:shd w:val="clear" w:color="auto" w:fill="FFFFFF"/>
            <w:tcMar>
              <w:top w:w="57" w:type="dxa"/>
              <w:left w:w="108" w:type="dxa"/>
              <w:bottom w:w="57" w:type="dxa"/>
              <w:right w:w="108" w:type="dxa"/>
            </w:tcMar>
            <w:vAlign w:val="center"/>
          </w:tcPr>
          <w:p w14:paraId="4B1BEA4C">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50D2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4" w:hRule="exact"/>
        </w:trPr>
        <w:tc>
          <w:tcPr>
            <w:tcW w:w="589" w:type="pct"/>
            <w:shd w:val="clear" w:color="auto" w:fill="FFFFFF"/>
            <w:tcMar>
              <w:top w:w="57" w:type="dxa"/>
              <w:left w:w="108" w:type="dxa"/>
              <w:bottom w:w="57" w:type="dxa"/>
              <w:right w:w="108" w:type="dxa"/>
            </w:tcMar>
            <w:vAlign w:val="center"/>
          </w:tcPr>
          <w:p w14:paraId="2DA3CA91">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263" w:type="dxa"/>
            <w:shd w:val="clear" w:color="auto" w:fill="FFFFFF"/>
            <w:tcMar>
              <w:top w:w="57" w:type="dxa"/>
              <w:left w:w="108" w:type="dxa"/>
              <w:bottom w:w="57" w:type="dxa"/>
              <w:right w:w="108" w:type="dxa"/>
            </w:tcMar>
            <w:vAlign w:val="center"/>
          </w:tcPr>
          <w:p w14:paraId="2E508EF5">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6509" w:type="dxa"/>
            <w:shd w:val="clear" w:color="auto" w:fill="FFFFFF"/>
            <w:tcMar>
              <w:top w:w="57" w:type="dxa"/>
              <w:left w:w="108" w:type="dxa"/>
              <w:bottom w:w="57" w:type="dxa"/>
              <w:right w:w="108" w:type="dxa"/>
            </w:tcMar>
            <w:vAlign w:val="center"/>
          </w:tcPr>
          <w:p w14:paraId="430B509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5F3E90B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6275038D">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339B4333">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722" w:type="dxa"/>
            <w:shd w:val="clear" w:color="auto" w:fill="FFFFFF"/>
            <w:tcMar>
              <w:top w:w="57" w:type="dxa"/>
              <w:left w:w="108" w:type="dxa"/>
              <w:bottom w:w="57" w:type="dxa"/>
              <w:right w:w="108" w:type="dxa"/>
            </w:tcMar>
            <w:vAlign w:val="center"/>
          </w:tcPr>
          <w:p w14:paraId="093B2D7E">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358D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4" w:hRule="exact"/>
        </w:trPr>
        <w:tc>
          <w:tcPr>
            <w:tcW w:w="589" w:type="pct"/>
            <w:shd w:val="clear" w:color="auto" w:fill="FFFFFF"/>
            <w:tcMar>
              <w:top w:w="57" w:type="dxa"/>
              <w:left w:w="108" w:type="dxa"/>
              <w:bottom w:w="57" w:type="dxa"/>
              <w:right w:w="108" w:type="dxa"/>
            </w:tcMar>
            <w:vAlign w:val="center"/>
          </w:tcPr>
          <w:p w14:paraId="77CDBA60">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3" w:type="dxa"/>
            <w:shd w:val="clear" w:color="auto" w:fill="FFFFFF"/>
            <w:tcMar>
              <w:top w:w="57" w:type="dxa"/>
              <w:left w:w="108" w:type="dxa"/>
              <w:bottom w:w="57" w:type="dxa"/>
              <w:right w:w="108" w:type="dxa"/>
            </w:tcMar>
            <w:vAlign w:val="center"/>
          </w:tcPr>
          <w:p w14:paraId="3813CC06">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6509" w:type="dxa"/>
            <w:shd w:val="clear" w:color="auto" w:fill="FFFFFF"/>
            <w:tcMar>
              <w:top w:w="57" w:type="dxa"/>
              <w:left w:w="108" w:type="dxa"/>
              <w:bottom w:w="57" w:type="dxa"/>
              <w:right w:w="108" w:type="dxa"/>
            </w:tcMar>
            <w:vAlign w:val="center"/>
          </w:tcPr>
          <w:p w14:paraId="16AD68FE">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51EEA82F">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项目负责人身份承担过类似项目业绩（须以中标通知</w:t>
            </w:r>
            <w:r>
              <w:rPr>
                <w:rFonts w:hint="eastAsia" w:ascii="宋体" w:hAnsi="宋体" w:eastAsia="宋体" w:cs="宋体"/>
                <w:color w:val="auto"/>
                <w:spacing w:val="7"/>
                <w:sz w:val="24"/>
                <w:szCs w:val="24"/>
                <w:highlight w:val="none"/>
              </w:rPr>
              <w:t>书或</w:t>
            </w:r>
            <w:r>
              <w:rPr>
                <w:rFonts w:hint="eastAsia" w:ascii="宋体" w:hAnsi="宋体" w:eastAsia="宋体" w:cs="宋体"/>
                <w:color w:val="auto"/>
                <w:spacing w:val="5"/>
                <w:sz w:val="24"/>
                <w:szCs w:val="24"/>
                <w:highlight w:val="none"/>
              </w:rPr>
              <w:t>相应的服务合同为准</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722" w:type="dxa"/>
            <w:shd w:val="clear" w:color="auto" w:fill="FFFFFF"/>
            <w:tcMar>
              <w:top w:w="57" w:type="dxa"/>
              <w:left w:w="108" w:type="dxa"/>
              <w:bottom w:w="57" w:type="dxa"/>
              <w:right w:w="108" w:type="dxa"/>
            </w:tcMar>
            <w:vAlign w:val="center"/>
          </w:tcPr>
          <w:p w14:paraId="0306A70E">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04E1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4CD5F4D4">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781F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7" w:hRule="exact"/>
        </w:trPr>
        <w:tc>
          <w:tcPr>
            <w:tcW w:w="589" w:type="pct"/>
            <w:shd w:val="clear" w:color="auto" w:fill="FFFFFF"/>
            <w:tcMar>
              <w:top w:w="57" w:type="dxa"/>
              <w:left w:w="108" w:type="dxa"/>
              <w:bottom w:w="57" w:type="dxa"/>
              <w:right w:w="108" w:type="dxa"/>
            </w:tcMar>
            <w:vAlign w:val="center"/>
          </w:tcPr>
          <w:p w14:paraId="52C27D00">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4A04B755">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1DE493AD">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5C3C3B3D">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10D3AE16">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29F32940">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792F8C7D">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59C057DC">
            <w:pPr>
              <w:widowControl/>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center"/>
          </w:tcPr>
          <w:p w14:paraId="2D2FE95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04C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9" w:type="pct"/>
            <w:shd w:val="clear" w:color="auto" w:fill="FFFFFF"/>
            <w:tcMar>
              <w:top w:w="57" w:type="dxa"/>
              <w:left w:w="108" w:type="dxa"/>
              <w:bottom w:w="57" w:type="dxa"/>
              <w:right w:w="108" w:type="dxa"/>
            </w:tcMar>
            <w:vAlign w:val="center"/>
          </w:tcPr>
          <w:p w14:paraId="4F850E0F">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263" w:type="dxa"/>
            <w:shd w:val="clear" w:color="auto" w:fill="FFFFFF"/>
            <w:tcMar>
              <w:top w:w="57" w:type="dxa"/>
              <w:left w:w="108" w:type="dxa"/>
              <w:bottom w:w="57" w:type="dxa"/>
              <w:right w:w="108" w:type="dxa"/>
            </w:tcMar>
            <w:vAlign w:val="top"/>
          </w:tcPr>
          <w:p w14:paraId="7900B680">
            <w:pPr>
              <w:widowControl/>
              <w:jc w:val="left"/>
              <w:textAlignment w:val="center"/>
              <w:rPr>
                <w:rFonts w:hint="eastAsia" w:ascii="宋体" w:hAnsi="宋体" w:cs="宋体"/>
                <w:color w:val="auto"/>
                <w:sz w:val="24"/>
                <w:szCs w:val="24"/>
                <w:highlight w:val="none"/>
              </w:rPr>
            </w:pPr>
          </w:p>
          <w:p w14:paraId="0419A566">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6509" w:type="dxa"/>
            <w:shd w:val="clear" w:color="auto" w:fill="FFFFFF"/>
            <w:tcMar>
              <w:top w:w="57" w:type="dxa"/>
              <w:left w:w="108" w:type="dxa"/>
              <w:bottom w:w="57" w:type="dxa"/>
              <w:right w:w="108" w:type="dxa"/>
            </w:tcMar>
            <w:vAlign w:val="top"/>
          </w:tcPr>
          <w:p w14:paraId="7A42E923">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05A1FC1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70052F4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0DC127D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46DE0DE5">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722" w:type="dxa"/>
            <w:shd w:val="clear" w:color="auto" w:fill="FFFFFF"/>
            <w:tcMar>
              <w:top w:w="57" w:type="dxa"/>
              <w:left w:w="108" w:type="dxa"/>
              <w:bottom w:w="57" w:type="dxa"/>
              <w:right w:w="108" w:type="dxa"/>
            </w:tcMar>
            <w:vAlign w:val="top"/>
          </w:tcPr>
          <w:p w14:paraId="0FFFA490">
            <w:pPr>
              <w:widowControl/>
              <w:ind w:firstLine="480" w:firstLineChars="200"/>
              <w:jc w:val="center"/>
              <w:textAlignment w:val="center"/>
              <w:rPr>
                <w:rFonts w:hint="eastAsia" w:ascii="宋体" w:hAnsi="宋体" w:cs="宋体"/>
                <w:color w:val="auto"/>
                <w:sz w:val="24"/>
                <w:szCs w:val="24"/>
                <w:highlight w:val="none"/>
              </w:rPr>
            </w:pPr>
          </w:p>
          <w:p w14:paraId="4108517B">
            <w:pPr>
              <w:widowControl/>
              <w:ind w:firstLine="480" w:firstLineChars="200"/>
              <w:jc w:val="center"/>
              <w:textAlignment w:val="center"/>
              <w:rPr>
                <w:rFonts w:hint="eastAsia" w:ascii="宋体" w:hAnsi="宋体" w:cs="宋体"/>
                <w:color w:val="auto"/>
                <w:sz w:val="24"/>
                <w:szCs w:val="24"/>
                <w:highlight w:val="none"/>
              </w:rPr>
            </w:pPr>
          </w:p>
          <w:p w14:paraId="4F661F72">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22AA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3" w:hRule="exact"/>
        </w:trPr>
        <w:tc>
          <w:tcPr>
            <w:tcW w:w="589" w:type="pct"/>
            <w:shd w:val="clear" w:color="auto" w:fill="FFFFFF"/>
            <w:tcMar>
              <w:top w:w="57" w:type="dxa"/>
              <w:left w:w="108" w:type="dxa"/>
              <w:bottom w:w="57" w:type="dxa"/>
              <w:right w:w="108" w:type="dxa"/>
            </w:tcMar>
            <w:vAlign w:val="center"/>
          </w:tcPr>
          <w:p w14:paraId="54CB4402">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6" w:type="pct"/>
            <w:shd w:val="clear" w:color="auto" w:fill="FFFFFF"/>
            <w:tcMar>
              <w:top w:w="57" w:type="dxa"/>
              <w:left w:w="108" w:type="dxa"/>
              <w:bottom w:w="57" w:type="dxa"/>
              <w:right w:w="108" w:type="dxa"/>
            </w:tcMar>
            <w:vAlign w:val="top"/>
          </w:tcPr>
          <w:p w14:paraId="0E47D203">
            <w:pPr>
              <w:widowControl/>
              <w:jc w:val="left"/>
              <w:textAlignment w:val="center"/>
              <w:rPr>
                <w:rFonts w:hint="eastAsia" w:ascii="宋体" w:hAnsi="宋体" w:cs="宋体"/>
                <w:color w:val="auto"/>
                <w:sz w:val="24"/>
                <w:szCs w:val="24"/>
                <w:highlight w:val="none"/>
              </w:rPr>
            </w:pPr>
          </w:p>
          <w:p w14:paraId="49A348AB">
            <w:pPr>
              <w:widowControl/>
              <w:jc w:val="left"/>
              <w:textAlignment w:val="center"/>
              <w:rPr>
                <w:rFonts w:hint="eastAsia" w:ascii="宋体" w:hAnsi="宋体" w:cs="宋体"/>
                <w:color w:val="auto"/>
                <w:sz w:val="24"/>
                <w:szCs w:val="24"/>
                <w:highlight w:val="none"/>
              </w:rPr>
            </w:pPr>
          </w:p>
          <w:p w14:paraId="5C5CDF1F">
            <w:pPr>
              <w:widowControl/>
              <w:jc w:val="left"/>
              <w:textAlignment w:val="center"/>
              <w:rPr>
                <w:rFonts w:hint="eastAsia" w:ascii="宋体" w:hAnsi="宋体" w:cs="宋体"/>
                <w:color w:val="auto"/>
                <w:sz w:val="24"/>
                <w:szCs w:val="24"/>
                <w:highlight w:val="none"/>
              </w:rPr>
            </w:pPr>
          </w:p>
          <w:p w14:paraId="54FB4FA3">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118590D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7CD4535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3348000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697FADDE">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5B62FE34">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3" w:type="pct"/>
            <w:shd w:val="clear" w:color="auto" w:fill="FFFFFF"/>
            <w:tcMar>
              <w:top w:w="57" w:type="dxa"/>
              <w:left w:w="108" w:type="dxa"/>
              <w:bottom w:w="57" w:type="dxa"/>
              <w:right w:w="108" w:type="dxa"/>
            </w:tcMar>
            <w:vAlign w:val="top"/>
          </w:tcPr>
          <w:p w14:paraId="78AFA7F9">
            <w:pPr>
              <w:widowControl/>
              <w:ind w:firstLine="480" w:firstLineChars="200"/>
              <w:jc w:val="left"/>
              <w:textAlignment w:val="center"/>
              <w:rPr>
                <w:rFonts w:hint="eastAsia" w:ascii="宋体" w:hAnsi="宋体" w:cs="宋体"/>
                <w:color w:val="auto"/>
                <w:sz w:val="24"/>
                <w:szCs w:val="24"/>
                <w:highlight w:val="none"/>
              </w:rPr>
            </w:pPr>
          </w:p>
          <w:p w14:paraId="74A6B461">
            <w:pPr>
              <w:widowControl/>
              <w:ind w:firstLine="480" w:firstLineChars="200"/>
              <w:jc w:val="left"/>
              <w:textAlignment w:val="center"/>
              <w:rPr>
                <w:rFonts w:hint="eastAsia" w:ascii="宋体" w:hAnsi="宋体" w:cs="宋体"/>
                <w:color w:val="auto"/>
                <w:sz w:val="24"/>
                <w:szCs w:val="24"/>
                <w:highlight w:val="none"/>
              </w:rPr>
            </w:pPr>
          </w:p>
          <w:p w14:paraId="66766682">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20D2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exact"/>
        </w:trPr>
        <w:tc>
          <w:tcPr>
            <w:tcW w:w="589" w:type="pct"/>
            <w:shd w:val="clear" w:color="auto" w:fill="FFFFFF"/>
            <w:tcMar>
              <w:top w:w="57" w:type="dxa"/>
              <w:left w:w="108" w:type="dxa"/>
              <w:bottom w:w="57" w:type="dxa"/>
              <w:right w:w="108" w:type="dxa"/>
            </w:tcMar>
            <w:vAlign w:val="center"/>
          </w:tcPr>
          <w:p w14:paraId="528A0791">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6" w:type="pct"/>
            <w:shd w:val="clear" w:color="auto" w:fill="FFFFFF"/>
            <w:tcMar>
              <w:top w:w="57" w:type="dxa"/>
              <w:left w:w="108" w:type="dxa"/>
              <w:bottom w:w="57" w:type="dxa"/>
              <w:right w:w="108" w:type="dxa"/>
            </w:tcMar>
            <w:vAlign w:val="top"/>
          </w:tcPr>
          <w:p w14:paraId="60028609">
            <w:pPr>
              <w:widowControl/>
              <w:jc w:val="left"/>
              <w:textAlignment w:val="center"/>
              <w:rPr>
                <w:rFonts w:hint="eastAsia" w:ascii="宋体" w:hAnsi="宋体" w:cs="宋体"/>
                <w:color w:val="auto"/>
                <w:sz w:val="24"/>
                <w:szCs w:val="24"/>
                <w:highlight w:val="none"/>
              </w:rPr>
            </w:pPr>
          </w:p>
          <w:p w14:paraId="6CEC89C6">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3AC65D93">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6BB0FEAD">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3262ED38">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3B8B72EB">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3" w:type="pct"/>
            <w:shd w:val="clear" w:color="auto" w:fill="FFFFFF"/>
            <w:tcMar>
              <w:top w:w="57" w:type="dxa"/>
              <w:left w:w="108" w:type="dxa"/>
              <w:bottom w:w="57" w:type="dxa"/>
              <w:right w:w="108" w:type="dxa"/>
            </w:tcMar>
            <w:vAlign w:val="top"/>
          </w:tcPr>
          <w:p w14:paraId="10CD28A7">
            <w:pPr>
              <w:widowControl/>
              <w:ind w:firstLine="480" w:firstLineChars="200"/>
              <w:jc w:val="left"/>
              <w:textAlignment w:val="center"/>
              <w:rPr>
                <w:rFonts w:hint="eastAsia" w:ascii="宋体" w:hAnsi="宋体" w:cs="宋体"/>
                <w:color w:val="auto"/>
                <w:sz w:val="24"/>
                <w:szCs w:val="24"/>
                <w:highlight w:val="none"/>
              </w:rPr>
            </w:pPr>
          </w:p>
          <w:p w14:paraId="188EDA01">
            <w:pPr>
              <w:widowControl/>
              <w:ind w:firstLine="480" w:firstLineChars="200"/>
              <w:jc w:val="left"/>
              <w:textAlignment w:val="center"/>
              <w:rPr>
                <w:rFonts w:hint="eastAsia" w:ascii="宋体" w:hAnsi="宋体" w:cs="宋体"/>
                <w:color w:val="auto"/>
                <w:sz w:val="24"/>
                <w:szCs w:val="24"/>
                <w:highlight w:val="none"/>
              </w:rPr>
            </w:pPr>
          </w:p>
          <w:p w14:paraId="7B2B6200">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2FBC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6" w:hRule="exact"/>
        </w:trPr>
        <w:tc>
          <w:tcPr>
            <w:tcW w:w="589" w:type="pct"/>
            <w:shd w:val="clear" w:color="auto" w:fill="FFFFFF"/>
            <w:tcMar>
              <w:top w:w="57" w:type="dxa"/>
              <w:left w:w="108" w:type="dxa"/>
              <w:bottom w:w="57" w:type="dxa"/>
              <w:right w:w="108" w:type="dxa"/>
            </w:tcMar>
            <w:vAlign w:val="center"/>
          </w:tcPr>
          <w:p w14:paraId="2E7BD0E3">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63" w:type="dxa"/>
            <w:shd w:val="clear" w:color="auto" w:fill="FFFFFF"/>
            <w:tcMar>
              <w:top w:w="57" w:type="dxa"/>
              <w:left w:w="108" w:type="dxa"/>
              <w:bottom w:w="57" w:type="dxa"/>
              <w:right w:w="108" w:type="dxa"/>
            </w:tcMar>
            <w:vAlign w:val="top"/>
          </w:tcPr>
          <w:p w14:paraId="5375699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509" w:type="dxa"/>
            <w:shd w:val="clear" w:color="auto" w:fill="FFFFFF"/>
            <w:tcMar>
              <w:top w:w="57" w:type="dxa"/>
              <w:left w:w="108" w:type="dxa"/>
              <w:bottom w:w="57" w:type="dxa"/>
              <w:right w:w="108" w:type="dxa"/>
            </w:tcMar>
            <w:vAlign w:val="top"/>
          </w:tcPr>
          <w:p w14:paraId="7E61751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1FA1717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1DD427A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7646DCE4">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722" w:type="dxa"/>
            <w:shd w:val="clear" w:color="auto" w:fill="FFFFFF"/>
            <w:tcMar>
              <w:top w:w="57" w:type="dxa"/>
              <w:left w:w="108" w:type="dxa"/>
              <w:bottom w:w="57" w:type="dxa"/>
              <w:right w:w="108" w:type="dxa"/>
            </w:tcMar>
            <w:vAlign w:val="top"/>
          </w:tcPr>
          <w:p w14:paraId="57306F3F">
            <w:pPr>
              <w:widowControl/>
              <w:ind w:firstLine="480" w:firstLineChars="200"/>
              <w:jc w:val="center"/>
              <w:textAlignment w:val="center"/>
              <w:rPr>
                <w:rFonts w:hint="eastAsia" w:ascii="宋体" w:hAnsi="宋体" w:cs="宋体"/>
                <w:color w:val="auto"/>
                <w:sz w:val="24"/>
                <w:szCs w:val="24"/>
                <w:highlight w:val="none"/>
              </w:rPr>
            </w:pPr>
          </w:p>
          <w:p w14:paraId="114510DE">
            <w:pPr>
              <w:widowControl/>
              <w:ind w:firstLine="480" w:firstLineChars="200"/>
              <w:jc w:val="center"/>
              <w:textAlignment w:val="center"/>
              <w:rPr>
                <w:rFonts w:hint="eastAsia" w:ascii="宋体" w:hAnsi="宋体" w:cs="宋体"/>
                <w:color w:val="auto"/>
                <w:sz w:val="24"/>
                <w:szCs w:val="24"/>
                <w:highlight w:val="none"/>
              </w:rPr>
            </w:pPr>
          </w:p>
          <w:p w14:paraId="6344FE05">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01D2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4" w:hRule="exact"/>
        </w:trPr>
        <w:tc>
          <w:tcPr>
            <w:tcW w:w="589" w:type="pct"/>
            <w:shd w:val="clear" w:color="auto" w:fill="FFFFFF"/>
            <w:tcMar>
              <w:top w:w="57" w:type="dxa"/>
              <w:left w:w="108" w:type="dxa"/>
              <w:bottom w:w="57" w:type="dxa"/>
              <w:right w:w="108" w:type="dxa"/>
            </w:tcMar>
            <w:vAlign w:val="center"/>
          </w:tcPr>
          <w:p w14:paraId="279EE425">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6" w:type="pct"/>
            <w:shd w:val="clear" w:color="auto" w:fill="FFFFFF"/>
            <w:tcMar>
              <w:top w:w="57" w:type="dxa"/>
              <w:left w:w="108" w:type="dxa"/>
              <w:bottom w:w="57" w:type="dxa"/>
              <w:right w:w="108" w:type="dxa"/>
            </w:tcMar>
            <w:vAlign w:val="top"/>
          </w:tcPr>
          <w:p w14:paraId="7C0B7D63">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77268C6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04E416F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4DD3161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0EC1F8A3">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5690E21A">
            <w:pPr>
              <w:widowControl/>
              <w:ind w:firstLine="480" w:firstLineChars="200"/>
              <w:jc w:val="center"/>
              <w:textAlignment w:val="center"/>
              <w:rPr>
                <w:rFonts w:hint="eastAsia" w:ascii="宋体" w:hAnsi="宋体" w:cs="宋体"/>
                <w:color w:val="auto"/>
                <w:sz w:val="24"/>
                <w:szCs w:val="24"/>
                <w:highlight w:val="none"/>
              </w:rPr>
            </w:pPr>
          </w:p>
          <w:p w14:paraId="798162C2">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63AF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4" w:hRule="exact"/>
        </w:trPr>
        <w:tc>
          <w:tcPr>
            <w:tcW w:w="589" w:type="pct"/>
            <w:shd w:val="clear" w:color="auto" w:fill="FFFFFF"/>
            <w:tcMar>
              <w:top w:w="57" w:type="dxa"/>
              <w:left w:w="108" w:type="dxa"/>
              <w:bottom w:w="57" w:type="dxa"/>
              <w:right w:w="108" w:type="dxa"/>
            </w:tcMar>
            <w:vAlign w:val="center"/>
          </w:tcPr>
          <w:p w14:paraId="4B248144">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6" w:type="pct"/>
            <w:shd w:val="clear" w:color="auto" w:fill="FFFFFF"/>
            <w:tcMar>
              <w:top w:w="57" w:type="dxa"/>
              <w:left w:w="108" w:type="dxa"/>
              <w:bottom w:w="57" w:type="dxa"/>
              <w:right w:w="108" w:type="dxa"/>
            </w:tcMar>
            <w:vAlign w:val="top"/>
          </w:tcPr>
          <w:p w14:paraId="1C80D1CF">
            <w:pPr>
              <w:widowControl/>
              <w:ind w:firstLine="480" w:firstLineChars="200"/>
              <w:jc w:val="left"/>
              <w:textAlignment w:val="center"/>
              <w:rPr>
                <w:rFonts w:hint="eastAsia" w:ascii="宋体" w:hAnsi="宋体" w:cs="宋体"/>
                <w:color w:val="auto"/>
                <w:sz w:val="24"/>
                <w:szCs w:val="24"/>
                <w:highlight w:val="none"/>
              </w:rPr>
            </w:pPr>
          </w:p>
          <w:p w14:paraId="374EB145">
            <w:pPr>
              <w:widowControl/>
              <w:ind w:firstLine="480" w:firstLineChars="200"/>
              <w:jc w:val="left"/>
              <w:textAlignment w:val="center"/>
              <w:rPr>
                <w:rFonts w:hint="eastAsia" w:ascii="宋体" w:hAnsi="宋体" w:cs="宋体"/>
                <w:color w:val="auto"/>
                <w:sz w:val="24"/>
                <w:szCs w:val="24"/>
                <w:highlight w:val="none"/>
              </w:rPr>
            </w:pPr>
          </w:p>
          <w:p w14:paraId="3C728CCB">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1554E0E7">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76390F2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532A6BF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2C37720B">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59427E63">
            <w:pPr>
              <w:widowControl/>
              <w:ind w:firstLine="480" w:firstLineChars="200"/>
              <w:jc w:val="center"/>
              <w:textAlignment w:val="center"/>
              <w:rPr>
                <w:rFonts w:hint="eastAsia" w:ascii="宋体" w:hAnsi="宋体" w:cs="宋体"/>
                <w:color w:val="auto"/>
                <w:sz w:val="24"/>
                <w:szCs w:val="24"/>
                <w:highlight w:val="none"/>
              </w:rPr>
            </w:pPr>
          </w:p>
          <w:p w14:paraId="5C5F2967">
            <w:pPr>
              <w:widowControl/>
              <w:ind w:firstLine="480" w:firstLineChars="200"/>
              <w:jc w:val="center"/>
              <w:textAlignment w:val="center"/>
              <w:rPr>
                <w:rFonts w:hint="eastAsia" w:ascii="宋体" w:hAnsi="宋体" w:cs="宋体"/>
                <w:color w:val="auto"/>
                <w:sz w:val="24"/>
                <w:szCs w:val="24"/>
                <w:highlight w:val="none"/>
              </w:rPr>
            </w:pPr>
          </w:p>
          <w:p w14:paraId="289C6787">
            <w:pPr>
              <w:widowControl/>
              <w:ind w:firstLine="480" w:firstLineChars="200"/>
              <w:jc w:val="center"/>
              <w:textAlignment w:val="center"/>
              <w:rPr>
                <w:rFonts w:hint="eastAsia" w:ascii="宋体" w:hAnsi="宋体" w:cs="宋体"/>
                <w:color w:val="auto"/>
                <w:sz w:val="24"/>
                <w:szCs w:val="24"/>
                <w:highlight w:val="none"/>
              </w:rPr>
            </w:pPr>
          </w:p>
          <w:p w14:paraId="6FE44E4E">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16CA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exact"/>
        </w:trPr>
        <w:tc>
          <w:tcPr>
            <w:tcW w:w="589" w:type="pct"/>
            <w:shd w:val="clear" w:color="auto" w:fill="FFFFFF"/>
            <w:tcMar>
              <w:top w:w="57" w:type="dxa"/>
              <w:left w:w="108" w:type="dxa"/>
              <w:bottom w:w="57" w:type="dxa"/>
              <w:right w:w="108" w:type="dxa"/>
            </w:tcMar>
            <w:vAlign w:val="center"/>
          </w:tcPr>
          <w:p w14:paraId="6162BC04">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6" w:type="pct"/>
            <w:shd w:val="clear" w:color="auto" w:fill="FFFFFF"/>
            <w:tcMar>
              <w:top w:w="57" w:type="dxa"/>
              <w:left w:w="108" w:type="dxa"/>
              <w:bottom w:w="57" w:type="dxa"/>
              <w:right w:w="108" w:type="dxa"/>
            </w:tcMar>
            <w:vAlign w:val="top"/>
          </w:tcPr>
          <w:p w14:paraId="228BBF97">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3C281DFA">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05F73F9F">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2B8D10B0">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0B24ED1F">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4A86F5FF">
            <w:pPr>
              <w:widowControl/>
              <w:ind w:firstLine="480" w:firstLineChars="200"/>
              <w:jc w:val="center"/>
              <w:textAlignment w:val="center"/>
              <w:rPr>
                <w:rFonts w:hint="eastAsia" w:ascii="宋体" w:hAnsi="宋体" w:cs="宋体"/>
                <w:color w:val="auto"/>
                <w:sz w:val="24"/>
                <w:szCs w:val="24"/>
                <w:highlight w:val="none"/>
              </w:rPr>
            </w:pPr>
          </w:p>
          <w:p w14:paraId="6EFEA80B">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33B3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55785C2E">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3E4D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9" w:type="pct"/>
            <w:shd w:val="clear" w:color="auto" w:fill="FFFFFF"/>
            <w:tcMar>
              <w:top w:w="57" w:type="dxa"/>
              <w:left w:w="108" w:type="dxa"/>
              <w:bottom w:w="57" w:type="dxa"/>
              <w:right w:w="108" w:type="dxa"/>
            </w:tcMar>
            <w:vAlign w:val="center"/>
          </w:tcPr>
          <w:p w14:paraId="3B65F908">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6" w:type="pct"/>
            <w:shd w:val="clear" w:color="auto" w:fill="FFFFFF"/>
            <w:tcMar>
              <w:top w:w="57" w:type="dxa"/>
              <w:left w:w="108" w:type="dxa"/>
              <w:bottom w:w="57" w:type="dxa"/>
              <w:right w:w="108" w:type="dxa"/>
            </w:tcMar>
            <w:vAlign w:val="center"/>
          </w:tcPr>
          <w:p w14:paraId="6A8BF203">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2A1A50E0">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6935AF79">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3" w:type="pct"/>
            <w:shd w:val="clear" w:color="auto" w:fill="FFFFFF"/>
            <w:tcMar>
              <w:top w:w="57" w:type="dxa"/>
              <w:left w:w="108" w:type="dxa"/>
              <w:bottom w:w="57" w:type="dxa"/>
              <w:right w:w="108" w:type="dxa"/>
            </w:tcMar>
            <w:vAlign w:val="center"/>
          </w:tcPr>
          <w:p w14:paraId="0FA809B9">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27F111C7">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78773B86">
      <w:pPr>
        <w:widowControl/>
        <w:numPr>
          <w:ilvl w:val="0"/>
          <w:numId w:val="23"/>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175835BD">
      <w:pPr>
        <w:widowControl/>
        <w:tabs>
          <w:tab w:val="left" w:pos="360"/>
          <w:tab w:val="left" w:pos="900"/>
        </w:tabs>
        <w:snapToGrid w:val="0"/>
        <w:spacing w:line="360" w:lineRule="auto"/>
        <w:ind w:firstLine="3132" w:firstLineChars="1300"/>
        <w:jc w:val="both"/>
        <w:outlineLvl w:val="1"/>
        <w:rPr>
          <w:rFonts w:hint="eastAsia" w:ascii="宋体" w:hAnsi="宋体"/>
          <w:b/>
          <w:color w:val="auto"/>
          <w:sz w:val="24"/>
          <w:highlight w:val="none"/>
          <w:lang w:eastAsia="zh-CN"/>
        </w:rPr>
      </w:pPr>
      <w:r>
        <w:rPr>
          <w:rFonts w:hint="eastAsia" w:ascii="宋体" w:hAnsi="宋体"/>
          <w:b/>
          <w:color w:val="auto"/>
          <w:sz w:val="24"/>
          <w:highlight w:val="none"/>
          <w:lang w:val="en-US" w:eastAsia="zh-CN"/>
        </w:rPr>
        <w:t>6包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4"/>
        <w:gridCol w:w="1263"/>
        <w:gridCol w:w="6509"/>
        <w:gridCol w:w="722"/>
      </w:tblGrid>
      <w:tr w14:paraId="04B2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9" w:type="pct"/>
            <w:shd w:val="clear" w:color="auto" w:fill="F3F3F3"/>
            <w:tcMar>
              <w:top w:w="57" w:type="dxa"/>
              <w:left w:w="108" w:type="dxa"/>
              <w:bottom w:w="57" w:type="dxa"/>
              <w:right w:w="108" w:type="dxa"/>
            </w:tcMar>
            <w:vAlign w:val="center"/>
          </w:tcPr>
          <w:p w14:paraId="6B40F995">
            <w:pPr>
              <w:widowControl/>
              <w:ind w:left="-84" w:leftChars="-40" w:right="-36" w:rightChars="-17" w:firstLine="240" w:firstLineChars="100"/>
              <w:jc w:val="center"/>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6" w:type="pct"/>
            <w:shd w:val="clear" w:color="auto" w:fill="F3F3F3"/>
            <w:tcMar>
              <w:top w:w="57" w:type="dxa"/>
              <w:left w:w="108" w:type="dxa"/>
              <w:bottom w:w="57" w:type="dxa"/>
              <w:right w:w="108" w:type="dxa"/>
            </w:tcMar>
            <w:vAlign w:val="center"/>
          </w:tcPr>
          <w:p w14:paraId="5E92E27A">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33C367F8">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3" w:type="pct"/>
            <w:shd w:val="clear" w:color="auto" w:fill="F3F3F3"/>
            <w:tcMar>
              <w:top w:w="57" w:type="dxa"/>
              <w:left w:w="108" w:type="dxa"/>
              <w:bottom w:w="57" w:type="dxa"/>
              <w:right w:w="108" w:type="dxa"/>
            </w:tcMar>
            <w:vAlign w:val="center"/>
          </w:tcPr>
          <w:p w14:paraId="305E3A51">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4175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3C21D9E8">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4D80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exact"/>
        </w:trPr>
        <w:tc>
          <w:tcPr>
            <w:tcW w:w="589" w:type="pct"/>
            <w:shd w:val="clear" w:color="auto" w:fill="FFFFFF"/>
            <w:tcMar>
              <w:top w:w="57" w:type="dxa"/>
              <w:left w:w="108" w:type="dxa"/>
              <w:bottom w:w="57" w:type="dxa"/>
              <w:right w:w="108" w:type="dxa"/>
            </w:tcMar>
            <w:vAlign w:val="center"/>
          </w:tcPr>
          <w:p w14:paraId="6F65236D">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37B2AF39">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32A1BBBF">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3" w:type="pct"/>
            <w:shd w:val="clear" w:color="auto" w:fill="FFFFFF"/>
            <w:tcMar>
              <w:top w:w="57" w:type="dxa"/>
              <w:left w:w="108" w:type="dxa"/>
              <w:bottom w:w="57" w:type="dxa"/>
              <w:right w:w="108" w:type="dxa"/>
            </w:tcMar>
            <w:vAlign w:val="center"/>
          </w:tcPr>
          <w:p w14:paraId="1864EF25">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1E5C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4" w:hRule="exact"/>
        </w:trPr>
        <w:tc>
          <w:tcPr>
            <w:tcW w:w="589" w:type="pct"/>
            <w:shd w:val="clear" w:color="auto" w:fill="FFFFFF"/>
            <w:tcMar>
              <w:top w:w="57" w:type="dxa"/>
              <w:left w:w="108" w:type="dxa"/>
              <w:bottom w:w="57" w:type="dxa"/>
              <w:right w:w="108" w:type="dxa"/>
            </w:tcMar>
            <w:vAlign w:val="center"/>
          </w:tcPr>
          <w:p w14:paraId="762B15BF">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263" w:type="dxa"/>
            <w:shd w:val="clear" w:color="auto" w:fill="FFFFFF"/>
            <w:tcMar>
              <w:top w:w="57" w:type="dxa"/>
              <w:left w:w="108" w:type="dxa"/>
              <w:bottom w:w="57" w:type="dxa"/>
              <w:right w:w="108" w:type="dxa"/>
            </w:tcMar>
            <w:vAlign w:val="center"/>
          </w:tcPr>
          <w:p w14:paraId="42C41531">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6509" w:type="dxa"/>
            <w:shd w:val="clear" w:color="auto" w:fill="FFFFFF"/>
            <w:tcMar>
              <w:top w:w="57" w:type="dxa"/>
              <w:left w:w="108" w:type="dxa"/>
              <w:bottom w:w="57" w:type="dxa"/>
              <w:right w:w="108" w:type="dxa"/>
            </w:tcMar>
            <w:vAlign w:val="center"/>
          </w:tcPr>
          <w:p w14:paraId="28EA3A2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159E667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7C69CC5A">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67920D3E">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722" w:type="dxa"/>
            <w:shd w:val="clear" w:color="auto" w:fill="FFFFFF"/>
            <w:tcMar>
              <w:top w:w="57" w:type="dxa"/>
              <w:left w:w="108" w:type="dxa"/>
              <w:bottom w:w="57" w:type="dxa"/>
              <w:right w:w="108" w:type="dxa"/>
            </w:tcMar>
            <w:vAlign w:val="center"/>
          </w:tcPr>
          <w:p w14:paraId="15AABD53">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38B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4" w:hRule="exact"/>
        </w:trPr>
        <w:tc>
          <w:tcPr>
            <w:tcW w:w="589" w:type="pct"/>
            <w:shd w:val="clear" w:color="auto" w:fill="FFFFFF"/>
            <w:tcMar>
              <w:top w:w="57" w:type="dxa"/>
              <w:left w:w="108" w:type="dxa"/>
              <w:bottom w:w="57" w:type="dxa"/>
              <w:right w:w="108" w:type="dxa"/>
            </w:tcMar>
            <w:vAlign w:val="center"/>
          </w:tcPr>
          <w:p w14:paraId="139C47F8">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3" w:type="dxa"/>
            <w:shd w:val="clear" w:color="auto" w:fill="FFFFFF"/>
            <w:tcMar>
              <w:top w:w="57" w:type="dxa"/>
              <w:left w:w="108" w:type="dxa"/>
              <w:bottom w:w="57" w:type="dxa"/>
              <w:right w:w="108" w:type="dxa"/>
            </w:tcMar>
            <w:vAlign w:val="center"/>
          </w:tcPr>
          <w:p w14:paraId="5C255C14">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6509" w:type="dxa"/>
            <w:shd w:val="clear" w:color="auto" w:fill="FFFFFF"/>
            <w:tcMar>
              <w:top w:w="57" w:type="dxa"/>
              <w:left w:w="108" w:type="dxa"/>
              <w:bottom w:w="57" w:type="dxa"/>
              <w:right w:w="108" w:type="dxa"/>
            </w:tcMar>
            <w:vAlign w:val="center"/>
          </w:tcPr>
          <w:p w14:paraId="14706E42">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57948609">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项目负责人身份承担过类似项目业绩（须以中标通知</w:t>
            </w:r>
            <w:r>
              <w:rPr>
                <w:rFonts w:hint="eastAsia" w:ascii="宋体" w:hAnsi="宋体" w:eastAsia="宋体" w:cs="宋体"/>
                <w:color w:val="auto"/>
                <w:spacing w:val="7"/>
                <w:sz w:val="24"/>
                <w:szCs w:val="24"/>
                <w:highlight w:val="none"/>
              </w:rPr>
              <w:t>书或</w:t>
            </w:r>
            <w:r>
              <w:rPr>
                <w:rFonts w:hint="eastAsia" w:ascii="宋体" w:hAnsi="宋体" w:eastAsia="宋体" w:cs="宋体"/>
                <w:color w:val="auto"/>
                <w:spacing w:val="5"/>
                <w:sz w:val="24"/>
                <w:szCs w:val="24"/>
                <w:highlight w:val="none"/>
              </w:rPr>
              <w:t>相应的服务合同为准</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722" w:type="dxa"/>
            <w:shd w:val="clear" w:color="auto" w:fill="FFFFFF"/>
            <w:tcMar>
              <w:top w:w="57" w:type="dxa"/>
              <w:left w:w="108" w:type="dxa"/>
              <w:bottom w:w="57" w:type="dxa"/>
              <w:right w:w="108" w:type="dxa"/>
            </w:tcMar>
            <w:vAlign w:val="center"/>
          </w:tcPr>
          <w:p w14:paraId="07C6D1BC">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36D0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5E397376">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6B8E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77" w:hRule="exact"/>
        </w:trPr>
        <w:tc>
          <w:tcPr>
            <w:tcW w:w="589" w:type="pct"/>
            <w:shd w:val="clear" w:color="auto" w:fill="FFFFFF"/>
            <w:tcMar>
              <w:top w:w="57" w:type="dxa"/>
              <w:left w:w="108" w:type="dxa"/>
              <w:bottom w:w="57" w:type="dxa"/>
              <w:right w:w="108" w:type="dxa"/>
            </w:tcMar>
            <w:vAlign w:val="center"/>
          </w:tcPr>
          <w:p w14:paraId="77D98BA9">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5135335C">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79087153">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344B2D5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403A71DD">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7A3508C8">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1E08091A">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5E722E4E">
            <w:pPr>
              <w:widowControl/>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center"/>
          </w:tcPr>
          <w:p w14:paraId="3666AA8E">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626F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9" w:type="pct"/>
            <w:shd w:val="clear" w:color="auto" w:fill="FFFFFF"/>
            <w:tcMar>
              <w:top w:w="57" w:type="dxa"/>
              <w:left w:w="108" w:type="dxa"/>
              <w:bottom w:w="57" w:type="dxa"/>
              <w:right w:w="108" w:type="dxa"/>
            </w:tcMar>
            <w:vAlign w:val="center"/>
          </w:tcPr>
          <w:p w14:paraId="0DA92180">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263" w:type="dxa"/>
            <w:shd w:val="clear" w:color="auto" w:fill="FFFFFF"/>
            <w:tcMar>
              <w:top w:w="57" w:type="dxa"/>
              <w:left w:w="108" w:type="dxa"/>
              <w:bottom w:w="57" w:type="dxa"/>
              <w:right w:w="108" w:type="dxa"/>
            </w:tcMar>
            <w:vAlign w:val="top"/>
          </w:tcPr>
          <w:p w14:paraId="79659AD8">
            <w:pPr>
              <w:widowControl/>
              <w:jc w:val="left"/>
              <w:textAlignment w:val="center"/>
              <w:rPr>
                <w:rFonts w:hint="eastAsia" w:ascii="宋体" w:hAnsi="宋体" w:cs="宋体"/>
                <w:color w:val="auto"/>
                <w:sz w:val="24"/>
                <w:szCs w:val="24"/>
                <w:highlight w:val="none"/>
              </w:rPr>
            </w:pPr>
          </w:p>
          <w:p w14:paraId="2F6C3D87">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6509" w:type="dxa"/>
            <w:shd w:val="clear" w:color="auto" w:fill="FFFFFF"/>
            <w:tcMar>
              <w:top w:w="57" w:type="dxa"/>
              <w:left w:w="108" w:type="dxa"/>
              <w:bottom w:w="57" w:type="dxa"/>
              <w:right w:w="108" w:type="dxa"/>
            </w:tcMar>
            <w:vAlign w:val="top"/>
          </w:tcPr>
          <w:p w14:paraId="552AEB1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77C7261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13DF7E0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34899CC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36669218">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722" w:type="dxa"/>
            <w:shd w:val="clear" w:color="auto" w:fill="FFFFFF"/>
            <w:tcMar>
              <w:top w:w="57" w:type="dxa"/>
              <w:left w:w="108" w:type="dxa"/>
              <w:bottom w:w="57" w:type="dxa"/>
              <w:right w:w="108" w:type="dxa"/>
            </w:tcMar>
            <w:vAlign w:val="top"/>
          </w:tcPr>
          <w:p w14:paraId="75AFB29F">
            <w:pPr>
              <w:widowControl/>
              <w:ind w:firstLine="480" w:firstLineChars="200"/>
              <w:jc w:val="center"/>
              <w:textAlignment w:val="center"/>
              <w:rPr>
                <w:rFonts w:hint="eastAsia" w:ascii="宋体" w:hAnsi="宋体" w:cs="宋体"/>
                <w:color w:val="auto"/>
                <w:sz w:val="24"/>
                <w:szCs w:val="24"/>
                <w:highlight w:val="none"/>
              </w:rPr>
            </w:pPr>
          </w:p>
          <w:p w14:paraId="78A2C82A">
            <w:pPr>
              <w:widowControl/>
              <w:ind w:firstLine="480" w:firstLineChars="200"/>
              <w:jc w:val="center"/>
              <w:textAlignment w:val="center"/>
              <w:rPr>
                <w:rFonts w:hint="eastAsia" w:ascii="宋体" w:hAnsi="宋体" w:cs="宋体"/>
                <w:color w:val="auto"/>
                <w:sz w:val="24"/>
                <w:szCs w:val="24"/>
                <w:highlight w:val="none"/>
              </w:rPr>
            </w:pPr>
          </w:p>
          <w:p w14:paraId="24BD8121">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074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3" w:hRule="exact"/>
        </w:trPr>
        <w:tc>
          <w:tcPr>
            <w:tcW w:w="589" w:type="pct"/>
            <w:shd w:val="clear" w:color="auto" w:fill="FFFFFF"/>
            <w:tcMar>
              <w:top w:w="57" w:type="dxa"/>
              <w:left w:w="108" w:type="dxa"/>
              <w:bottom w:w="57" w:type="dxa"/>
              <w:right w:w="108" w:type="dxa"/>
            </w:tcMar>
            <w:vAlign w:val="center"/>
          </w:tcPr>
          <w:p w14:paraId="7F6E0801">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6" w:type="pct"/>
            <w:shd w:val="clear" w:color="auto" w:fill="FFFFFF"/>
            <w:tcMar>
              <w:top w:w="57" w:type="dxa"/>
              <w:left w:w="108" w:type="dxa"/>
              <w:bottom w:w="57" w:type="dxa"/>
              <w:right w:w="108" w:type="dxa"/>
            </w:tcMar>
            <w:vAlign w:val="top"/>
          </w:tcPr>
          <w:p w14:paraId="5932F84C">
            <w:pPr>
              <w:widowControl/>
              <w:jc w:val="left"/>
              <w:textAlignment w:val="center"/>
              <w:rPr>
                <w:rFonts w:hint="eastAsia" w:ascii="宋体" w:hAnsi="宋体" w:cs="宋体"/>
                <w:color w:val="auto"/>
                <w:sz w:val="24"/>
                <w:szCs w:val="24"/>
                <w:highlight w:val="none"/>
              </w:rPr>
            </w:pPr>
          </w:p>
          <w:p w14:paraId="73BB39E8">
            <w:pPr>
              <w:widowControl/>
              <w:jc w:val="left"/>
              <w:textAlignment w:val="center"/>
              <w:rPr>
                <w:rFonts w:hint="eastAsia" w:ascii="宋体" w:hAnsi="宋体" w:cs="宋体"/>
                <w:color w:val="auto"/>
                <w:sz w:val="24"/>
                <w:szCs w:val="24"/>
                <w:highlight w:val="none"/>
              </w:rPr>
            </w:pPr>
          </w:p>
          <w:p w14:paraId="15191911">
            <w:pPr>
              <w:widowControl/>
              <w:jc w:val="left"/>
              <w:textAlignment w:val="center"/>
              <w:rPr>
                <w:rFonts w:hint="eastAsia" w:ascii="宋体" w:hAnsi="宋体" w:cs="宋体"/>
                <w:color w:val="auto"/>
                <w:sz w:val="24"/>
                <w:szCs w:val="24"/>
                <w:highlight w:val="none"/>
              </w:rPr>
            </w:pPr>
          </w:p>
          <w:p w14:paraId="051F4C56">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39B23255">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797AEC5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1B8BF6D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733F92E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56639F4F">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3" w:type="pct"/>
            <w:shd w:val="clear" w:color="auto" w:fill="FFFFFF"/>
            <w:tcMar>
              <w:top w:w="57" w:type="dxa"/>
              <w:left w:w="108" w:type="dxa"/>
              <w:bottom w:w="57" w:type="dxa"/>
              <w:right w:w="108" w:type="dxa"/>
            </w:tcMar>
            <w:vAlign w:val="top"/>
          </w:tcPr>
          <w:p w14:paraId="2DC2D820">
            <w:pPr>
              <w:widowControl/>
              <w:ind w:firstLine="480" w:firstLineChars="200"/>
              <w:jc w:val="left"/>
              <w:textAlignment w:val="center"/>
              <w:rPr>
                <w:rFonts w:hint="eastAsia" w:ascii="宋体" w:hAnsi="宋体" w:cs="宋体"/>
                <w:color w:val="auto"/>
                <w:sz w:val="24"/>
                <w:szCs w:val="24"/>
                <w:highlight w:val="none"/>
              </w:rPr>
            </w:pPr>
          </w:p>
          <w:p w14:paraId="2D99D093">
            <w:pPr>
              <w:widowControl/>
              <w:ind w:firstLine="480" w:firstLineChars="200"/>
              <w:jc w:val="left"/>
              <w:textAlignment w:val="center"/>
              <w:rPr>
                <w:rFonts w:hint="eastAsia" w:ascii="宋体" w:hAnsi="宋体" w:cs="宋体"/>
                <w:color w:val="auto"/>
                <w:sz w:val="24"/>
                <w:szCs w:val="24"/>
                <w:highlight w:val="none"/>
              </w:rPr>
            </w:pPr>
          </w:p>
          <w:p w14:paraId="2021DC06">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2359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exact"/>
        </w:trPr>
        <w:tc>
          <w:tcPr>
            <w:tcW w:w="589" w:type="pct"/>
            <w:shd w:val="clear" w:color="auto" w:fill="FFFFFF"/>
            <w:tcMar>
              <w:top w:w="57" w:type="dxa"/>
              <w:left w:w="108" w:type="dxa"/>
              <w:bottom w:w="57" w:type="dxa"/>
              <w:right w:w="108" w:type="dxa"/>
            </w:tcMar>
            <w:vAlign w:val="center"/>
          </w:tcPr>
          <w:p w14:paraId="3CCCAA63">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6" w:type="pct"/>
            <w:shd w:val="clear" w:color="auto" w:fill="FFFFFF"/>
            <w:tcMar>
              <w:top w:w="57" w:type="dxa"/>
              <w:left w:w="108" w:type="dxa"/>
              <w:bottom w:w="57" w:type="dxa"/>
              <w:right w:w="108" w:type="dxa"/>
            </w:tcMar>
            <w:vAlign w:val="top"/>
          </w:tcPr>
          <w:p w14:paraId="3C3F3E64">
            <w:pPr>
              <w:widowControl/>
              <w:jc w:val="left"/>
              <w:textAlignment w:val="center"/>
              <w:rPr>
                <w:rFonts w:hint="eastAsia" w:ascii="宋体" w:hAnsi="宋体" w:cs="宋体"/>
                <w:color w:val="auto"/>
                <w:sz w:val="24"/>
                <w:szCs w:val="24"/>
                <w:highlight w:val="none"/>
              </w:rPr>
            </w:pPr>
          </w:p>
          <w:p w14:paraId="6F708A30">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11BFA06B">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0DC5FEA4">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1D6603D6">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10E5AFA2">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3" w:type="pct"/>
            <w:shd w:val="clear" w:color="auto" w:fill="FFFFFF"/>
            <w:tcMar>
              <w:top w:w="57" w:type="dxa"/>
              <w:left w:w="108" w:type="dxa"/>
              <w:bottom w:w="57" w:type="dxa"/>
              <w:right w:w="108" w:type="dxa"/>
            </w:tcMar>
            <w:vAlign w:val="top"/>
          </w:tcPr>
          <w:p w14:paraId="18D4C83F">
            <w:pPr>
              <w:widowControl/>
              <w:ind w:firstLine="480" w:firstLineChars="200"/>
              <w:jc w:val="left"/>
              <w:textAlignment w:val="center"/>
              <w:rPr>
                <w:rFonts w:hint="eastAsia" w:ascii="宋体" w:hAnsi="宋体" w:cs="宋体"/>
                <w:color w:val="auto"/>
                <w:sz w:val="24"/>
                <w:szCs w:val="24"/>
                <w:highlight w:val="none"/>
              </w:rPr>
            </w:pPr>
          </w:p>
          <w:p w14:paraId="6D252B9E">
            <w:pPr>
              <w:widowControl/>
              <w:ind w:firstLine="480" w:firstLineChars="200"/>
              <w:jc w:val="left"/>
              <w:textAlignment w:val="center"/>
              <w:rPr>
                <w:rFonts w:hint="eastAsia" w:ascii="宋体" w:hAnsi="宋体" w:cs="宋体"/>
                <w:color w:val="auto"/>
                <w:sz w:val="24"/>
                <w:szCs w:val="24"/>
                <w:highlight w:val="none"/>
              </w:rPr>
            </w:pPr>
          </w:p>
          <w:p w14:paraId="2DF5EF85">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15C7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6" w:hRule="exact"/>
        </w:trPr>
        <w:tc>
          <w:tcPr>
            <w:tcW w:w="589" w:type="pct"/>
            <w:shd w:val="clear" w:color="auto" w:fill="FFFFFF"/>
            <w:tcMar>
              <w:top w:w="57" w:type="dxa"/>
              <w:left w:w="108" w:type="dxa"/>
              <w:bottom w:w="57" w:type="dxa"/>
              <w:right w:w="108" w:type="dxa"/>
            </w:tcMar>
            <w:vAlign w:val="center"/>
          </w:tcPr>
          <w:p w14:paraId="0D324942">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63" w:type="dxa"/>
            <w:shd w:val="clear" w:color="auto" w:fill="FFFFFF"/>
            <w:tcMar>
              <w:top w:w="57" w:type="dxa"/>
              <w:left w:w="108" w:type="dxa"/>
              <w:bottom w:w="57" w:type="dxa"/>
              <w:right w:w="108" w:type="dxa"/>
            </w:tcMar>
            <w:vAlign w:val="top"/>
          </w:tcPr>
          <w:p w14:paraId="3AE99991">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509" w:type="dxa"/>
            <w:shd w:val="clear" w:color="auto" w:fill="FFFFFF"/>
            <w:tcMar>
              <w:top w:w="57" w:type="dxa"/>
              <w:left w:w="108" w:type="dxa"/>
              <w:bottom w:w="57" w:type="dxa"/>
              <w:right w:w="108" w:type="dxa"/>
            </w:tcMar>
            <w:vAlign w:val="top"/>
          </w:tcPr>
          <w:p w14:paraId="25F5C95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498362A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485C4FC2">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3BE355AC">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722" w:type="dxa"/>
            <w:shd w:val="clear" w:color="auto" w:fill="FFFFFF"/>
            <w:tcMar>
              <w:top w:w="57" w:type="dxa"/>
              <w:left w:w="108" w:type="dxa"/>
              <w:bottom w:w="57" w:type="dxa"/>
              <w:right w:w="108" w:type="dxa"/>
            </w:tcMar>
            <w:vAlign w:val="top"/>
          </w:tcPr>
          <w:p w14:paraId="7CE186C1">
            <w:pPr>
              <w:widowControl/>
              <w:ind w:firstLine="480" w:firstLineChars="200"/>
              <w:jc w:val="center"/>
              <w:textAlignment w:val="center"/>
              <w:rPr>
                <w:rFonts w:hint="eastAsia" w:ascii="宋体" w:hAnsi="宋体" w:cs="宋体"/>
                <w:color w:val="auto"/>
                <w:sz w:val="24"/>
                <w:szCs w:val="24"/>
                <w:highlight w:val="none"/>
              </w:rPr>
            </w:pPr>
          </w:p>
          <w:p w14:paraId="562A1865">
            <w:pPr>
              <w:widowControl/>
              <w:ind w:firstLine="480" w:firstLineChars="200"/>
              <w:jc w:val="center"/>
              <w:textAlignment w:val="center"/>
              <w:rPr>
                <w:rFonts w:hint="eastAsia" w:ascii="宋体" w:hAnsi="宋体" w:cs="宋体"/>
                <w:color w:val="auto"/>
                <w:sz w:val="24"/>
                <w:szCs w:val="24"/>
                <w:highlight w:val="none"/>
              </w:rPr>
            </w:pPr>
          </w:p>
          <w:p w14:paraId="141014F1">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39D5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4" w:hRule="exact"/>
        </w:trPr>
        <w:tc>
          <w:tcPr>
            <w:tcW w:w="589" w:type="pct"/>
            <w:shd w:val="clear" w:color="auto" w:fill="FFFFFF"/>
            <w:tcMar>
              <w:top w:w="57" w:type="dxa"/>
              <w:left w:w="108" w:type="dxa"/>
              <w:bottom w:w="57" w:type="dxa"/>
              <w:right w:w="108" w:type="dxa"/>
            </w:tcMar>
            <w:vAlign w:val="center"/>
          </w:tcPr>
          <w:p w14:paraId="05C6AA51">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6" w:type="pct"/>
            <w:shd w:val="clear" w:color="auto" w:fill="FFFFFF"/>
            <w:tcMar>
              <w:top w:w="57" w:type="dxa"/>
              <w:left w:w="108" w:type="dxa"/>
              <w:bottom w:w="57" w:type="dxa"/>
              <w:right w:w="108" w:type="dxa"/>
            </w:tcMar>
            <w:vAlign w:val="top"/>
          </w:tcPr>
          <w:p w14:paraId="586146AA">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5D0ADE1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2BB37D6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7210FAF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71B065BF">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53607220">
            <w:pPr>
              <w:widowControl/>
              <w:ind w:firstLine="480" w:firstLineChars="200"/>
              <w:jc w:val="center"/>
              <w:textAlignment w:val="center"/>
              <w:rPr>
                <w:rFonts w:hint="eastAsia" w:ascii="宋体" w:hAnsi="宋体" w:cs="宋体"/>
                <w:color w:val="auto"/>
                <w:sz w:val="24"/>
                <w:szCs w:val="24"/>
                <w:highlight w:val="none"/>
              </w:rPr>
            </w:pPr>
          </w:p>
          <w:p w14:paraId="79FEEF97">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39D8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84" w:hRule="exact"/>
        </w:trPr>
        <w:tc>
          <w:tcPr>
            <w:tcW w:w="589" w:type="pct"/>
            <w:shd w:val="clear" w:color="auto" w:fill="FFFFFF"/>
            <w:tcMar>
              <w:top w:w="57" w:type="dxa"/>
              <w:left w:w="108" w:type="dxa"/>
              <w:bottom w:w="57" w:type="dxa"/>
              <w:right w:w="108" w:type="dxa"/>
            </w:tcMar>
            <w:vAlign w:val="center"/>
          </w:tcPr>
          <w:p w14:paraId="6E15275A">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6" w:type="pct"/>
            <w:shd w:val="clear" w:color="auto" w:fill="FFFFFF"/>
            <w:tcMar>
              <w:top w:w="57" w:type="dxa"/>
              <w:left w:w="108" w:type="dxa"/>
              <w:bottom w:w="57" w:type="dxa"/>
              <w:right w:w="108" w:type="dxa"/>
            </w:tcMar>
            <w:vAlign w:val="top"/>
          </w:tcPr>
          <w:p w14:paraId="42406211">
            <w:pPr>
              <w:widowControl/>
              <w:ind w:firstLine="480" w:firstLineChars="200"/>
              <w:jc w:val="left"/>
              <w:textAlignment w:val="center"/>
              <w:rPr>
                <w:rFonts w:hint="eastAsia" w:ascii="宋体" w:hAnsi="宋体" w:cs="宋体"/>
                <w:color w:val="auto"/>
                <w:sz w:val="24"/>
                <w:szCs w:val="24"/>
                <w:highlight w:val="none"/>
              </w:rPr>
            </w:pPr>
          </w:p>
          <w:p w14:paraId="5B5D5CE5">
            <w:pPr>
              <w:widowControl/>
              <w:ind w:firstLine="480" w:firstLineChars="200"/>
              <w:jc w:val="left"/>
              <w:textAlignment w:val="center"/>
              <w:rPr>
                <w:rFonts w:hint="eastAsia" w:ascii="宋体" w:hAnsi="宋体" w:cs="宋体"/>
                <w:color w:val="auto"/>
                <w:sz w:val="24"/>
                <w:szCs w:val="24"/>
                <w:highlight w:val="none"/>
              </w:rPr>
            </w:pPr>
          </w:p>
          <w:p w14:paraId="50133CB8">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466C102F">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0D15C74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1BFADEF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11FF77EA">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37642B5D">
            <w:pPr>
              <w:widowControl/>
              <w:ind w:firstLine="480" w:firstLineChars="200"/>
              <w:jc w:val="center"/>
              <w:textAlignment w:val="center"/>
              <w:rPr>
                <w:rFonts w:hint="eastAsia" w:ascii="宋体" w:hAnsi="宋体" w:cs="宋体"/>
                <w:color w:val="auto"/>
                <w:sz w:val="24"/>
                <w:szCs w:val="24"/>
                <w:highlight w:val="none"/>
              </w:rPr>
            </w:pPr>
          </w:p>
          <w:p w14:paraId="71686693">
            <w:pPr>
              <w:widowControl/>
              <w:ind w:firstLine="480" w:firstLineChars="200"/>
              <w:jc w:val="center"/>
              <w:textAlignment w:val="center"/>
              <w:rPr>
                <w:rFonts w:hint="eastAsia" w:ascii="宋体" w:hAnsi="宋体" w:cs="宋体"/>
                <w:color w:val="auto"/>
                <w:sz w:val="24"/>
                <w:szCs w:val="24"/>
                <w:highlight w:val="none"/>
              </w:rPr>
            </w:pPr>
          </w:p>
          <w:p w14:paraId="7D1316E1">
            <w:pPr>
              <w:widowControl/>
              <w:ind w:firstLine="480" w:firstLineChars="200"/>
              <w:jc w:val="center"/>
              <w:textAlignment w:val="center"/>
              <w:rPr>
                <w:rFonts w:hint="eastAsia" w:ascii="宋体" w:hAnsi="宋体" w:cs="宋体"/>
                <w:color w:val="auto"/>
                <w:sz w:val="24"/>
                <w:szCs w:val="24"/>
                <w:highlight w:val="none"/>
              </w:rPr>
            </w:pPr>
          </w:p>
          <w:p w14:paraId="3490B42B">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2F9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9" w:type="pct"/>
            <w:shd w:val="clear" w:color="auto" w:fill="FFFFFF"/>
            <w:tcMar>
              <w:top w:w="57" w:type="dxa"/>
              <w:left w:w="108" w:type="dxa"/>
              <w:bottom w:w="57" w:type="dxa"/>
              <w:right w:w="108" w:type="dxa"/>
            </w:tcMar>
            <w:vAlign w:val="center"/>
          </w:tcPr>
          <w:p w14:paraId="793AE51B">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6" w:type="pct"/>
            <w:shd w:val="clear" w:color="auto" w:fill="FFFFFF"/>
            <w:tcMar>
              <w:top w:w="57" w:type="dxa"/>
              <w:left w:w="108" w:type="dxa"/>
              <w:bottom w:w="57" w:type="dxa"/>
              <w:right w:w="108" w:type="dxa"/>
            </w:tcMar>
            <w:vAlign w:val="top"/>
          </w:tcPr>
          <w:p w14:paraId="540A484E">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47543C8B">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7DD23800">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43AFBA64">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041EDBDE">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65B9218D">
            <w:pPr>
              <w:widowControl/>
              <w:ind w:firstLine="480" w:firstLineChars="200"/>
              <w:jc w:val="center"/>
              <w:textAlignment w:val="center"/>
              <w:rPr>
                <w:rFonts w:hint="eastAsia" w:ascii="宋体" w:hAnsi="宋体" w:cs="宋体"/>
                <w:color w:val="auto"/>
                <w:sz w:val="24"/>
                <w:szCs w:val="24"/>
                <w:highlight w:val="none"/>
              </w:rPr>
            </w:pPr>
          </w:p>
          <w:p w14:paraId="438A778E">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43D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289F882E">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07F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84" w:hRule="exact"/>
        </w:trPr>
        <w:tc>
          <w:tcPr>
            <w:tcW w:w="589" w:type="pct"/>
            <w:shd w:val="clear" w:color="auto" w:fill="FFFFFF"/>
            <w:tcMar>
              <w:top w:w="57" w:type="dxa"/>
              <w:left w:w="108" w:type="dxa"/>
              <w:bottom w:w="57" w:type="dxa"/>
              <w:right w:w="108" w:type="dxa"/>
            </w:tcMar>
            <w:vAlign w:val="center"/>
          </w:tcPr>
          <w:p w14:paraId="7BA8A17C">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6" w:type="pct"/>
            <w:shd w:val="clear" w:color="auto" w:fill="FFFFFF"/>
            <w:tcMar>
              <w:top w:w="57" w:type="dxa"/>
              <w:left w:w="108" w:type="dxa"/>
              <w:bottom w:w="57" w:type="dxa"/>
              <w:right w:w="108" w:type="dxa"/>
            </w:tcMar>
            <w:vAlign w:val="center"/>
          </w:tcPr>
          <w:p w14:paraId="59205582">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1BC0395B">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45E2A644">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3" w:type="pct"/>
            <w:shd w:val="clear" w:color="auto" w:fill="FFFFFF"/>
            <w:tcMar>
              <w:top w:w="57" w:type="dxa"/>
              <w:left w:w="108" w:type="dxa"/>
              <w:bottom w:w="57" w:type="dxa"/>
              <w:right w:w="108" w:type="dxa"/>
            </w:tcMar>
            <w:vAlign w:val="center"/>
          </w:tcPr>
          <w:p w14:paraId="2920013E">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6F259DE7">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20B3E85A">
      <w:pPr>
        <w:widowControl/>
        <w:numPr>
          <w:ilvl w:val="0"/>
          <w:numId w:val="24"/>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3E91A101">
      <w:pPr>
        <w:widowControl/>
        <w:tabs>
          <w:tab w:val="left" w:pos="360"/>
          <w:tab w:val="left" w:pos="900"/>
        </w:tabs>
        <w:snapToGrid w:val="0"/>
        <w:spacing w:line="360" w:lineRule="auto"/>
        <w:ind w:firstLine="3132" w:firstLineChars="1300"/>
        <w:jc w:val="both"/>
        <w:outlineLvl w:val="1"/>
        <w:rPr>
          <w:rFonts w:hint="eastAsia" w:ascii="宋体" w:hAnsi="宋体"/>
          <w:b/>
          <w:color w:val="auto"/>
          <w:sz w:val="24"/>
          <w:highlight w:val="none"/>
          <w:lang w:eastAsia="zh-CN"/>
        </w:rPr>
      </w:pPr>
      <w:r>
        <w:rPr>
          <w:rFonts w:hint="eastAsia" w:ascii="宋体" w:hAnsi="宋体"/>
          <w:b/>
          <w:color w:val="auto"/>
          <w:sz w:val="24"/>
          <w:highlight w:val="none"/>
          <w:lang w:val="en-US" w:eastAsia="zh-CN"/>
        </w:rPr>
        <w:t>7包</w:t>
      </w:r>
      <w:r>
        <w:rPr>
          <w:rFonts w:ascii="宋体" w:hAnsi="宋体"/>
          <w:b/>
          <w:color w:val="auto"/>
          <w:sz w:val="24"/>
          <w:highlight w:val="none"/>
        </w:rPr>
        <w:t>评标标准</w:t>
      </w:r>
      <w:r>
        <w:rPr>
          <w:rFonts w:hint="eastAsia" w:ascii="宋体" w:hAnsi="宋体"/>
          <w:b/>
          <w:color w:val="auto"/>
          <w:sz w:val="24"/>
          <w:highlight w:val="none"/>
        </w:rPr>
        <w:t>（</w:t>
      </w:r>
      <w:r>
        <w:rPr>
          <w:rFonts w:hint="eastAsia" w:ascii="宋体" w:hAnsi="宋体"/>
          <w:b/>
          <w:color w:val="auto"/>
          <w:sz w:val="24"/>
          <w:highlight w:val="none"/>
          <w:lang w:val="en-US" w:eastAsia="zh-CN"/>
        </w:rPr>
        <w:t>10</w:t>
      </w:r>
      <w:r>
        <w:rPr>
          <w:rFonts w:hint="eastAsia" w:ascii="宋体" w:hAnsi="宋体"/>
          <w:b/>
          <w:color w:val="auto"/>
          <w:sz w:val="24"/>
          <w:highlight w:val="none"/>
        </w:rPr>
        <w:t>0分</w:t>
      </w:r>
      <w:r>
        <w:rPr>
          <w:rFonts w:hint="eastAsia" w:ascii="宋体" w:hAnsi="宋体"/>
          <w:b/>
          <w:color w:val="auto"/>
          <w:sz w:val="24"/>
          <w:highlight w:val="none"/>
          <w:lang w:eastAsia="zh-CN"/>
        </w:rPr>
        <w:t>）</w:t>
      </w:r>
    </w:p>
    <w:tbl>
      <w:tblPr>
        <w:tblStyle w:val="46"/>
        <w:tblpPr w:leftFromText="180" w:rightFromText="180" w:vertAnchor="text" w:horzAnchor="page" w:tblpX="1449" w:tblpY="16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34"/>
        <w:gridCol w:w="1263"/>
        <w:gridCol w:w="6509"/>
        <w:gridCol w:w="722"/>
      </w:tblGrid>
      <w:tr w14:paraId="1B71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589" w:type="pct"/>
            <w:shd w:val="clear" w:color="auto" w:fill="F3F3F3"/>
            <w:tcMar>
              <w:top w:w="57" w:type="dxa"/>
              <w:left w:w="108" w:type="dxa"/>
              <w:bottom w:w="57" w:type="dxa"/>
              <w:right w:w="108" w:type="dxa"/>
            </w:tcMar>
            <w:vAlign w:val="center"/>
          </w:tcPr>
          <w:p w14:paraId="16C7B0F1">
            <w:pPr>
              <w:widowControl/>
              <w:ind w:left="-84" w:leftChars="-40" w:right="-36" w:rightChars="-17" w:firstLine="240" w:firstLineChars="100"/>
              <w:jc w:val="center"/>
              <w:rPr>
                <w:rFonts w:ascii="宋体" w:hAnsi="宋体" w:cs="宋体"/>
                <w:color w:val="auto"/>
                <w:kern w:val="0"/>
                <w:sz w:val="24"/>
                <w:highlight w:val="none"/>
              </w:rPr>
            </w:pPr>
            <w:bookmarkStart w:id="732" w:name="_Toc99301424"/>
            <w:bookmarkStart w:id="733" w:name="_Toc30878"/>
            <w:bookmarkStart w:id="734" w:name="_Toc32518"/>
            <w:r>
              <w:rPr>
                <w:rFonts w:hint="eastAsia" w:ascii="宋体" w:hAnsi="宋体" w:cs="宋体"/>
                <w:color w:val="auto"/>
                <w:kern w:val="0"/>
                <w:sz w:val="24"/>
                <w:highlight w:val="none"/>
                <w:shd w:val="clear" w:color="auto" w:fill="FFFFFF"/>
              </w:rPr>
              <w:br w:type="page"/>
            </w:r>
            <w:r>
              <w:rPr>
                <w:rFonts w:hint="eastAsia" w:ascii="宋体" w:hAnsi="宋体" w:cs="宋体"/>
                <w:b/>
                <w:bCs/>
                <w:color w:val="auto"/>
                <w:kern w:val="0"/>
                <w:sz w:val="24"/>
                <w:highlight w:val="none"/>
              </w:rPr>
              <w:t>序号</w:t>
            </w:r>
          </w:p>
        </w:tc>
        <w:tc>
          <w:tcPr>
            <w:tcW w:w="656" w:type="pct"/>
            <w:shd w:val="clear" w:color="auto" w:fill="F3F3F3"/>
            <w:tcMar>
              <w:top w:w="57" w:type="dxa"/>
              <w:left w:w="108" w:type="dxa"/>
              <w:bottom w:w="57" w:type="dxa"/>
              <w:right w:w="108" w:type="dxa"/>
            </w:tcMar>
            <w:vAlign w:val="center"/>
          </w:tcPr>
          <w:p w14:paraId="1D2377FC">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项目</w:t>
            </w:r>
          </w:p>
        </w:tc>
        <w:tc>
          <w:tcPr>
            <w:tcW w:w="3380" w:type="pct"/>
            <w:shd w:val="clear" w:color="auto" w:fill="F3F3F3"/>
            <w:tcMar>
              <w:top w:w="57" w:type="dxa"/>
              <w:left w:w="108" w:type="dxa"/>
              <w:bottom w:w="57" w:type="dxa"/>
              <w:right w:w="108" w:type="dxa"/>
            </w:tcMar>
            <w:vAlign w:val="center"/>
          </w:tcPr>
          <w:p w14:paraId="25B95F97">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评分标准</w:t>
            </w:r>
          </w:p>
        </w:tc>
        <w:tc>
          <w:tcPr>
            <w:tcW w:w="373" w:type="pct"/>
            <w:shd w:val="clear" w:color="auto" w:fill="F3F3F3"/>
            <w:tcMar>
              <w:top w:w="57" w:type="dxa"/>
              <w:left w:w="108" w:type="dxa"/>
              <w:bottom w:w="57" w:type="dxa"/>
              <w:right w:w="108" w:type="dxa"/>
            </w:tcMar>
            <w:vAlign w:val="center"/>
          </w:tcPr>
          <w:p w14:paraId="19A5E4FA">
            <w:pPr>
              <w:widowControl/>
              <w:ind w:left="-103" w:leftChars="-49" w:right="-109" w:rightChars="-52"/>
              <w:jc w:val="center"/>
              <w:rPr>
                <w:rFonts w:ascii="宋体" w:hAnsi="宋体" w:cs="宋体"/>
                <w:color w:val="auto"/>
                <w:kern w:val="0"/>
                <w:sz w:val="24"/>
                <w:highlight w:val="none"/>
              </w:rPr>
            </w:pPr>
            <w:r>
              <w:rPr>
                <w:rFonts w:hint="eastAsia" w:ascii="宋体" w:hAnsi="宋体" w:cs="宋体"/>
                <w:b/>
                <w:bCs/>
                <w:color w:val="auto"/>
                <w:kern w:val="0"/>
                <w:sz w:val="24"/>
                <w:highlight w:val="none"/>
              </w:rPr>
              <w:t>满分</w:t>
            </w:r>
          </w:p>
        </w:tc>
      </w:tr>
      <w:tr w14:paraId="4418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2" w:hRule="atLeast"/>
        </w:trPr>
        <w:tc>
          <w:tcPr>
            <w:tcW w:w="5000" w:type="pct"/>
            <w:gridSpan w:val="4"/>
            <w:shd w:val="clear" w:color="auto" w:fill="FFFFFF"/>
            <w:tcMar>
              <w:top w:w="57" w:type="dxa"/>
              <w:left w:w="108" w:type="dxa"/>
              <w:bottom w:w="57" w:type="dxa"/>
              <w:right w:w="108" w:type="dxa"/>
            </w:tcMar>
            <w:vAlign w:val="center"/>
          </w:tcPr>
          <w:p w14:paraId="2BF45285">
            <w:pPr>
              <w:widowControl/>
              <w:jc w:val="left"/>
              <w:rPr>
                <w:rFonts w:ascii="宋体" w:hAnsi="宋体" w:cs="宋体"/>
                <w:color w:val="auto"/>
                <w:sz w:val="24"/>
                <w:highlight w:val="none"/>
              </w:rPr>
            </w:pPr>
            <w:r>
              <w:rPr>
                <w:rFonts w:hint="eastAsia" w:ascii="宋体" w:hAnsi="宋体" w:cs="宋体"/>
                <w:color w:val="auto"/>
                <w:sz w:val="24"/>
                <w:highlight w:val="none"/>
              </w:rPr>
              <w:t>一、商务部分（2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r>
      <w:tr w14:paraId="7898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10" w:hRule="exact"/>
        </w:trPr>
        <w:tc>
          <w:tcPr>
            <w:tcW w:w="589" w:type="pct"/>
            <w:shd w:val="clear" w:color="auto" w:fill="FFFFFF"/>
            <w:tcMar>
              <w:top w:w="57" w:type="dxa"/>
              <w:left w:w="108" w:type="dxa"/>
              <w:bottom w:w="57" w:type="dxa"/>
              <w:right w:w="108" w:type="dxa"/>
            </w:tcMar>
            <w:vAlign w:val="center"/>
          </w:tcPr>
          <w:p w14:paraId="7A106364">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7F981BEB">
            <w:pPr>
              <w:autoSpaceDE w:val="0"/>
              <w:snapToGrid w:val="0"/>
              <w:spacing w:line="360" w:lineRule="auto"/>
              <w:ind w:firstLine="240" w:firstLineChars="100"/>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业绩</w:t>
            </w:r>
          </w:p>
        </w:tc>
        <w:tc>
          <w:tcPr>
            <w:tcW w:w="3380" w:type="pct"/>
            <w:shd w:val="clear" w:color="auto" w:fill="FFFFFF"/>
            <w:tcMar>
              <w:top w:w="57" w:type="dxa"/>
              <w:left w:w="108" w:type="dxa"/>
              <w:bottom w:w="57" w:type="dxa"/>
              <w:right w:w="108" w:type="dxa"/>
            </w:tcMar>
            <w:vAlign w:val="center"/>
          </w:tcPr>
          <w:p w14:paraId="2EA3D8E0">
            <w:pPr>
              <w:autoSpaceDE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 w:val="24"/>
                <w:szCs w:val="24"/>
                <w:highlight w:val="none"/>
              </w:rPr>
              <w:t>近三年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指的从2023年1月1日至今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已完成或正在履约的</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；一个委托单位不同的年度，只算一个业绩；每提供1项得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分（须提供合同关键页和盖章页复印件</w:t>
            </w:r>
            <w:r>
              <w:rPr>
                <w:rFonts w:hint="eastAsia" w:ascii="宋体" w:hAnsi="宋体" w:cs="宋体"/>
                <w:color w:val="auto"/>
                <w:sz w:val="24"/>
                <w:szCs w:val="24"/>
                <w:highlight w:val="none"/>
                <w:lang w:val="en-US" w:eastAsia="zh-CN"/>
              </w:rPr>
              <w:t>或者中标通知书</w:t>
            </w:r>
            <w:r>
              <w:rPr>
                <w:rFonts w:hint="eastAsia" w:ascii="宋体" w:hAnsi="宋体" w:cs="宋体"/>
                <w:color w:val="auto"/>
                <w:sz w:val="24"/>
                <w:szCs w:val="24"/>
                <w:highlight w:val="none"/>
              </w:rPr>
              <w:t>）。</w:t>
            </w:r>
          </w:p>
        </w:tc>
        <w:tc>
          <w:tcPr>
            <w:tcW w:w="373" w:type="pct"/>
            <w:shd w:val="clear" w:color="auto" w:fill="FFFFFF"/>
            <w:tcMar>
              <w:top w:w="57" w:type="dxa"/>
              <w:left w:w="108" w:type="dxa"/>
              <w:bottom w:w="57" w:type="dxa"/>
              <w:right w:w="108" w:type="dxa"/>
            </w:tcMar>
            <w:vAlign w:val="center"/>
          </w:tcPr>
          <w:p w14:paraId="711527B2">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p>
        </w:tc>
      </w:tr>
      <w:tr w14:paraId="4E25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4" w:hRule="exact"/>
        </w:trPr>
        <w:tc>
          <w:tcPr>
            <w:tcW w:w="589" w:type="pct"/>
            <w:shd w:val="clear" w:color="auto" w:fill="FFFFFF"/>
            <w:tcMar>
              <w:top w:w="57" w:type="dxa"/>
              <w:left w:w="108" w:type="dxa"/>
              <w:bottom w:w="57" w:type="dxa"/>
              <w:right w:w="108" w:type="dxa"/>
            </w:tcMar>
            <w:vAlign w:val="center"/>
          </w:tcPr>
          <w:p w14:paraId="1A275437">
            <w:pPr>
              <w:widowControl/>
              <w:jc w:val="center"/>
              <w:rPr>
                <w:rFonts w:ascii="宋体" w:hAnsi="宋体" w:cs="宋体"/>
                <w:color w:val="auto"/>
                <w:sz w:val="24"/>
                <w:highlight w:val="none"/>
              </w:rPr>
            </w:pPr>
            <w:r>
              <w:rPr>
                <w:rFonts w:hint="eastAsia" w:ascii="宋体" w:hAnsi="宋体" w:cs="宋体"/>
                <w:color w:val="auto"/>
                <w:sz w:val="24"/>
                <w:highlight w:val="none"/>
              </w:rPr>
              <w:t>2</w:t>
            </w:r>
          </w:p>
        </w:tc>
        <w:tc>
          <w:tcPr>
            <w:tcW w:w="1263" w:type="dxa"/>
            <w:shd w:val="clear" w:color="auto" w:fill="FFFFFF"/>
            <w:tcMar>
              <w:top w:w="57" w:type="dxa"/>
              <w:left w:w="108" w:type="dxa"/>
              <w:bottom w:w="57" w:type="dxa"/>
              <w:right w:w="108" w:type="dxa"/>
            </w:tcMar>
            <w:vAlign w:val="center"/>
          </w:tcPr>
          <w:p w14:paraId="69CD4274">
            <w:pPr>
              <w:autoSpaceDE w:val="0"/>
              <w:snapToGrid w:val="0"/>
              <w:spacing w:line="360" w:lineRule="auto"/>
              <w:jc w:val="both"/>
              <w:rPr>
                <w:rFonts w:ascii="宋体" w:hAnsi="宋体" w:cs="宋体"/>
                <w:color w:val="auto"/>
                <w:sz w:val="24"/>
                <w:highlight w:val="none"/>
              </w:rPr>
            </w:pPr>
            <w:r>
              <w:rPr>
                <w:rFonts w:hint="eastAsia" w:ascii="宋体" w:hAnsi="宋体" w:eastAsia="宋体" w:cs="宋体"/>
                <w:bCs/>
                <w:color w:val="auto"/>
                <w:kern w:val="0"/>
                <w:sz w:val="24"/>
                <w:szCs w:val="24"/>
                <w:highlight w:val="none"/>
              </w:rPr>
              <w:t>综合实力</w:t>
            </w:r>
          </w:p>
        </w:tc>
        <w:tc>
          <w:tcPr>
            <w:tcW w:w="6509" w:type="dxa"/>
            <w:shd w:val="clear" w:color="auto" w:fill="FFFFFF"/>
            <w:tcMar>
              <w:top w:w="57" w:type="dxa"/>
              <w:left w:w="108" w:type="dxa"/>
              <w:bottom w:w="57" w:type="dxa"/>
              <w:right w:w="108" w:type="dxa"/>
            </w:tcMar>
            <w:vAlign w:val="center"/>
          </w:tcPr>
          <w:p w14:paraId="282A536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企业基本情况：综合考虑供应商技术状况、 履约能力、财务报表等，最优的可得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0CF04EA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综合考虑供应商技术状况、 履约能力、财务报表等，好的可得2分；</w:t>
            </w:r>
          </w:p>
          <w:p w14:paraId="4B8E1AE6">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综合考虑供应商技术状况、履约能力、财务报表一般的，可得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49CCF2D9">
            <w:pPr>
              <w:widowControl/>
              <w:ind w:firstLine="480" w:firstLineChars="200"/>
              <w:jc w:val="left"/>
              <w:textAlignment w:val="center"/>
              <w:rPr>
                <w:rFonts w:ascii="宋体" w:hAnsi="宋体" w:cs="宋体"/>
                <w:color w:val="auto"/>
                <w:sz w:val="24"/>
                <w:highlight w:val="none"/>
              </w:rPr>
            </w:pPr>
            <w:r>
              <w:rPr>
                <w:rFonts w:hint="eastAsia" w:ascii="宋体" w:hAnsi="宋体" w:cs="宋体"/>
                <w:color w:val="auto"/>
                <w:sz w:val="24"/>
                <w:szCs w:val="24"/>
                <w:highlight w:val="none"/>
              </w:rPr>
              <w:t>企业基本情况未提供者得0分。</w:t>
            </w:r>
          </w:p>
        </w:tc>
        <w:tc>
          <w:tcPr>
            <w:tcW w:w="722" w:type="dxa"/>
            <w:shd w:val="clear" w:color="auto" w:fill="FFFFFF"/>
            <w:tcMar>
              <w:top w:w="57" w:type="dxa"/>
              <w:left w:w="108" w:type="dxa"/>
              <w:bottom w:w="57" w:type="dxa"/>
              <w:right w:w="108" w:type="dxa"/>
            </w:tcMar>
            <w:vAlign w:val="center"/>
          </w:tcPr>
          <w:p w14:paraId="6668719C">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r>
      <w:tr w14:paraId="4649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4" w:hRule="exact"/>
        </w:trPr>
        <w:tc>
          <w:tcPr>
            <w:tcW w:w="589" w:type="pct"/>
            <w:shd w:val="clear" w:color="auto" w:fill="FFFFFF"/>
            <w:tcMar>
              <w:top w:w="57" w:type="dxa"/>
              <w:left w:w="108" w:type="dxa"/>
              <w:bottom w:w="57" w:type="dxa"/>
              <w:right w:w="108" w:type="dxa"/>
            </w:tcMar>
            <w:vAlign w:val="center"/>
          </w:tcPr>
          <w:p w14:paraId="101B7297">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263" w:type="dxa"/>
            <w:shd w:val="clear" w:color="auto" w:fill="FFFFFF"/>
            <w:tcMar>
              <w:top w:w="57" w:type="dxa"/>
              <w:left w:w="108" w:type="dxa"/>
              <w:bottom w:w="57" w:type="dxa"/>
              <w:right w:w="108" w:type="dxa"/>
            </w:tcMar>
            <w:vAlign w:val="center"/>
          </w:tcPr>
          <w:p w14:paraId="51F6C2E6">
            <w:pPr>
              <w:autoSpaceDE w:val="0"/>
              <w:snapToGrid w:val="0"/>
              <w:spacing w:line="360" w:lineRule="auto"/>
              <w:jc w:val="both"/>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项目负责人</w:t>
            </w:r>
          </w:p>
        </w:tc>
        <w:tc>
          <w:tcPr>
            <w:tcW w:w="6509" w:type="dxa"/>
            <w:shd w:val="clear" w:color="auto" w:fill="FFFFFF"/>
            <w:tcMar>
              <w:top w:w="57" w:type="dxa"/>
              <w:left w:w="108" w:type="dxa"/>
              <w:bottom w:w="57" w:type="dxa"/>
              <w:right w:w="108" w:type="dxa"/>
            </w:tcMar>
            <w:vAlign w:val="center"/>
          </w:tcPr>
          <w:p w14:paraId="39C4EC69">
            <w:pPr>
              <w:widowControl/>
              <w:numPr>
                <w:ilvl w:val="-1"/>
                <w:numId w:val="0"/>
              </w:numPr>
              <w:ind w:firstLine="512"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具有园林绿化专业</w:t>
            </w:r>
            <w:r>
              <w:rPr>
                <w:rFonts w:hint="eastAsia" w:ascii="宋体" w:hAnsi="宋体" w:cs="宋体"/>
                <w:color w:val="auto"/>
                <w:spacing w:val="8"/>
                <w:sz w:val="24"/>
                <w:szCs w:val="24"/>
                <w:highlight w:val="none"/>
                <w:lang w:val="en-US" w:eastAsia="zh-CN"/>
              </w:rPr>
              <w:t>高级专业技术职称，得3分；</w:t>
            </w:r>
            <w:r>
              <w:rPr>
                <w:rFonts w:hint="eastAsia" w:ascii="宋体" w:hAnsi="宋体" w:eastAsia="宋体" w:cs="宋体"/>
                <w:color w:val="auto"/>
                <w:spacing w:val="8"/>
                <w:sz w:val="24"/>
                <w:szCs w:val="24"/>
                <w:highlight w:val="none"/>
              </w:rPr>
              <w:t>中级及以上专业技术职称，得</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分。</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其他不得分。</w:t>
            </w:r>
          </w:p>
          <w:p w14:paraId="0696A0D5">
            <w:pPr>
              <w:widowControl/>
              <w:numPr>
                <w:ilvl w:val="0"/>
                <w:numId w:val="0"/>
              </w:numPr>
              <w:ind w:left="0" w:leftChars="0" w:firstLine="0" w:firstLineChars="0"/>
              <w:jc w:val="left"/>
              <w:textAlignment w:val="center"/>
              <w:rPr>
                <w:rFonts w:hint="eastAsia" w:ascii="宋体" w:hAnsi="宋体" w:cs="宋体"/>
                <w:color w:val="auto"/>
                <w:sz w:val="24"/>
                <w:szCs w:val="24"/>
                <w:highlight w:val="none"/>
              </w:rPr>
            </w:pPr>
            <w:r>
              <w:rPr>
                <w:rFonts w:hint="eastAsia" w:ascii="宋体" w:hAnsi="宋体" w:eastAsia="宋体" w:cs="宋体"/>
                <w:color w:val="auto"/>
                <w:spacing w:val="-56"/>
                <w:sz w:val="24"/>
                <w:szCs w:val="24"/>
                <w:highlight w:val="none"/>
              </w:rPr>
              <w:t xml:space="preserve"> </w:t>
            </w:r>
            <w:r>
              <w:rPr>
                <w:rFonts w:hint="eastAsia" w:ascii="宋体" w:hAnsi="宋体" w:cs="宋体"/>
                <w:color w:val="auto"/>
                <w:spacing w:val="-56"/>
                <w:sz w:val="24"/>
                <w:szCs w:val="24"/>
                <w:highlight w:val="none"/>
                <w:lang w:val="en-US" w:eastAsia="zh-CN"/>
              </w:rPr>
              <w:t xml:space="preserve">  </w:t>
            </w:r>
            <w:r>
              <w:rPr>
                <w:rFonts w:hint="eastAsia" w:ascii="宋体" w:hAnsi="宋体" w:eastAsia="宋体" w:cs="宋体"/>
                <w:color w:val="auto"/>
                <w:spacing w:val="8"/>
                <w:sz w:val="24"/>
                <w:szCs w:val="24"/>
                <w:highlight w:val="none"/>
              </w:rPr>
              <w:t>项目负责人身份承担过类似项目业绩（须以中标通知</w:t>
            </w:r>
            <w:r>
              <w:rPr>
                <w:rFonts w:hint="eastAsia" w:ascii="宋体" w:hAnsi="宋体" w:eastAsia="宋体" w:cs="宋体"/>
                <w:color w:val="auto"/>
                <w:spacing w:val="7"/>
                <w:sz w:val="24"/>
                <w:szCs w:val="24"/>
                <w:highlight w:val="none"/>
              </w:rPr>
              <w:t>书或</w:t>
            </w:r>
            <w:r>
              <w:rPr>
                <w:rFonts w:hint="eastAsia" w:ascii="宋体" w:hAnsi="宋体" w:eastAsia="宋体" w:cs="宋体"/>
                <w:color w:val="auto"/>
                <w:spacing w:val="5"/>
                <w:sz w:val="24"/>
                <w:szCs w:val="24"/>
                <w:highlight w:val="none"/>
              </w:rPr>
              <w:t>相应的服务合同为准</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5"/>
                <w:sz w:val="24"/>
                <w:szCs w:val="24"/>
                <w:highlight w:val="none"/>
              </w:rPr>
              <w:t>每有一项得</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分，最高得</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分。</w:t>
            </w:r>
          </w:p>
        </w:tc>
        <w:tc>
          <w:tcPr>
            <w:tcW w:w="722" w:type="dxa"/>
            <w:shd w:val="clear" w:color="auto" w:fill="FFFFFF"/>
            <w:tcMar>
              <w:top w:w="57" w:type="dxa"/>
              <w:left w:w="108" w:type="dxa"/>
              <w:bottom w:w="57" w:type="dxa"/>
              <w:right w:w="108" w:type="dxa"/>
            </w:tcMar>
            <w:vAlign w:val="center"/>
          </w:tcPr>
          <w:p w14:paraId="0A2B81C5">
            <w:pPr>
              <w:widowControl/>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r>
      <w:tr w14:paraId="52B5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5000" w:type="pct"/>
            <w:gridSpan w:val="4"/>
            <w:shd w:val="clear" w:color="auto" w:fill="FFFFFF"/>
            <w:tcMar>
              <w:top w:w="57" w:type="dxa"/>
              <w:left w:w="108" w:type="dxa"/>
              <w:bottom w:w="57" w:type="dxa"/>
              <w:right w:w="108" w:type="dxa"/>
            </w:tcMar>
            <w:vAlign w:val="center"/>
          </w:tcPr>
          <w:p w14:paraId="68591EBE">
            <w:pPr>
              <w:widowControl/>
              <w:tabs>
                <w:tab w:val="left" w:pos="6229"/>
              </w:tabs>
              <w:rPr>
                <w:rFonts w:ascii="宋体" w:hAnsi="宋体" w:cs="宋体"/>
                <w:color w:val="auto"/>
                <w:sz w:val="24"/>
                <w:highlight w:val="none"/>
              </w:rPr>
            </w:pPr>
            <w:r>
              <w:rPr>
                <w:rFonts w:hint="eastAsia" w:ascii="宋体" w:hAnsi="宋体" w:cs="宋体"/>
                <w:color w:val="auto"/>
                <w:sz w:val="24"/>
                <w:highlight w:val="none"/>
              </w:rPr>
              <w:t>二、技术方案部分（6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rPr>
              <w:tab/>
            </w:r>
          </w:p>
        </w:tc>
      </w:tr>
      <w:tr w14:paraId="323A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910" w:hRule="exact"/>
        </w:trPr>
        <w:tc>
          <w:tcPr>
            <w:tcW w:w="589" w:type="pct"/>
            <w:shd w:val="clear" w:color="auto" w:fill="FFFFFF"/>
            <w:tcMar>
              <w:top w:w="57" w:type="dxa"/>
              <w:left w:w="108" w:type="dxa"/>
              <w:bottom w:w="57" w:type="dxa"/>
              <w:right w:w="108" w:type="dxa"/>
            </w:tcMar>
            <w:vAlign w:val="center"/>
          </w:tcPr>
          <w:p w14:paraId="34DAC096">
            <w:pPr>
              <w:widowControl/>
              <w:jc w:val="center"/>
              <w:rPr>
                <w:rFonts w:ascii="宋体" w:hAnsi="宋体" w:cs="宋体"/>
                <w:color w:val="auto"/>
                <w:sz w:val="24"/>
                <w:highlight w:val="none"/>
              </w:rPr>
            </w:pPr>
            <w:r>
              <w:rPr>
                <w:rFonts w:hint="eastAsia" w:ascii="宋体" w:hAnsi="宋体" w:cs="宋体"/>
                <w:color w:val="auto"/>
                <w:sz w:val="24"/>
                <w:highlight w:val="none"/>
              </w:rPr>
              <w:t>1</w:t>
            </w:r>
          </w:p>
        </w:tc>
        <w:tc>
          <w:tcPr>
            <w:tcW w:w="656" w:type="pct"/>
            <w:shd w:val="clear" w:color="auto" w:fill="FFFFFF"/>
            <w:tcMar>
              <w:top w:w="57" w:type="dxa"/>
              <w:left w:w="108" w:type="dxa"/>
              <w:bottom w:w="57" w:type="dxa"/>
              <w:right w:w="108" w:type="dxa"/>
            </w:tcMar>
            <w:vAlign w:val="center"/>
          </w:tcPr>
          <w:p w14:paraId="1DD8748C">
            <w:pPr>
              <w:widowControl/>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整体服务实施方案（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3380" w:type="pct"/>
            <w:shd w:val="clear" w:color="auto" w:fill="FFFFFF"/>
            <w:tcMar>
              <w:top w:w="57" w:type="dxa"/>
              <w:left w:w="108" w:type="dxa"/>
              <w:bottom w:w="57" w:type="dxa"/>
              <w:right w:w="108" w:type="dxa"/>
            </w:tcMar>
            <w:vAlign w:val="center"/>
          </w:tcPr>
          <w:p w14:paraId="6AC1711E">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提供的整体服务方案情况进行综合评审。</w:t>
            </w:r>
          </w:p>
          <w:p w14:paraId="36BE8187">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方案能够概括提出</w:t>
            </w:r>
            <w:r>
              <w:rPr>
                <w:rFonts w:hint="eastAsia" w:ascii="宋体" w:hAnsi="宋体" w:cs="宋体"/>
                <w:color w:val="auto"/>
                <w:sz w:val="24"/>
                <w:szCs w:val="24"/>
                <w:highlight w:val="none"/>
                <w:lang w:val="en-US" w:eastAsia="zh-CN"/>
              </w:rPr>
              <w:t>满足绿化养护标准</w:t>
            </w:r>
            <w:r>
              <w:rPr>
                <w:rFonts w:hint="eastAsia" w:ascii="宋体" w:hAnsi="宋体" w:cs="宋体"/>
                <w:color w:val="auto"/>
                <w:sz w:val="24"/>
                <w:szCs w:val="24"/>
                <w:highlight w:val="none"/>
              </w:rPr>
              <w:t>，明确达标的总体</w:t>
            </w:r>
            <w:r>
              <w:rPr>
                <w:rFonts w:hint="eastAsia" w:ascii="宋体" w:hAnsi="宋体" w:cs="宋体"/>
                <w:color w:val="auto"/>
                <w:sz w:val="24"/>
                <w:szCs w:val="24"/>
                <w:highlight w:val="none"/>
                <w:lang w:val="en-US" w:eastAsia="zh-CN"/>
              </w:rPr>
              <w:t>养护</w:t>
            </w:r>
            <w:r>
              <w:rPr>
                <w:rFonts w:hint="eastAsia" w:ascii="宋体" w:hAnsi="宋体" w:cs="宋体"/>
                <w:color w:val="auto"/>
                <w:sz w:val="24"/>
                <w:szCs w:val="24"/>
                <w:highlight w:val="none"/>
              </w:rPr>
              <w:t>措施</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，并与本项目联系紧密，</w:t>
            </w:r>
            <w:r>
              <w:rPr>
                <w:rFonts w:hint="eastAsia" w:ascii="宋体" w:hAnsi="宋体" w:cs="宋体"/>
                <w:color w:val="auto"/>
                <w:sz w:val="24"/>
                <w:szCs w:val="24"/>
                <w:highlight w:val="none"/>
                <w:lang w:val="en-US" w:eastAsia="zh-CN"/>
              </w:rPr>
              <w:t>全部响应招标文件的采购需求、方案</w:t>
            </w:r>
            <w:r>
              <w:rPr>
                <w:rFonts w:hint="eastAsia" w:ascii="宋体" w:hAnsi="宋体" w:cs="宋体"/>
                <w:color w:val="auto"/>
                <w:sz w:val="24"/>
                <w:szCs w:val="24"/>
                <w:highlight w:val="none"/>
              </w:rPr>
              <w:t>科学合理可行得 16 分；</w:t>
            </w:r>
          </w:p>
          <w:p w14:paraId="223E23E1">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方案相对较好、能较准确的概括出</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且</w:t>
            </w:r>
            <w:r>
              <w:rPr>
                <w:rFonts w:hint="eastAsia" w:ascii="宋体" w:hAnsi="宋体" w:cs="宋体"/>
                <w:color w:val="auto"/>
                <w:sz w:val="24"/>
                <w:szCs w:val="24"/>
                <w:highlight w:val="none"/>
                <w:lang w:val="en-US" w:eastAsia="zh-CN"/>
              </w:rPr>
              <w:t>服务方案较完善；</w:t>
            </w:r>
            <w:r>
              <w:rPr>
                <w:rFonts w:hint="eastAsia" w:ascii="宋体" w:hAnsi="宋体" w:cs="宋体"/>
                <w:color w:val="auto"/>
                <w:sz w:val="24"/>
                <w:szCs w:val="24"/>
                <w:highlight w:val="none"/>
              </w:rPr>
              <w:t>与本项目联系相对紧密得1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73BFE87F">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方案概括的</w:t>
            </w:r>
            <w:r>
              <w:rPr>
                <w:rFonts w:hint="eastAsia" w:ascii="宋体" w:hAnsi="宋体" w:cs="宋体"/>
                <w:color w:val="auto"/>
                <w:sz w:val="24"/>
                <w:szCs w:val="24"/>
                <w:highlight w:val="none"/>
                <w:lang w:val="en-US" w:eastAsia="zh-CN"/>
              </w:rPr>
              <w:t>绿化养护标准</w:t>
            </w:r>
            <w:r>
              <w:rPr>
                <w:rFonts w:hint="eastAsia" w:ascii="宋体" w:hAnsi="宋体" w:cs="宋体"/>
                <w:color w:val="auto"/>
                <w:sz w:val="24"/>
                <w:szCs w:val="24"/>
                <w:highlight w:val="none"/>
              </w:rPr>
              <w:t>及其达标的总体措施相对可行、科学性 合理性及与本项目的联系程度一般得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581C7E96">
            <w:pPr>
              <w:widowControl/>
              <w:spacing w:line="360" w:lineRule="auto"/>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方案较差或未充分进行描述得4分。</w:t>
            </w:r>
          </w:p>
          <w:p w14:paraId="4D4D7E77">
            <w:pPr>
              <w:widowControl/>
              <w:spacing w:line="360" w:lineRule="auto"/>
              <w:ind w:firstLine="480" w:firstLineChars="200"/>
              <w:jc w:val="left"/>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center"/>
          </w:tcPr>
          <w:p w14:paraId="77F54910">
            <w:pPr>
              <w:widowControl/>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p>
        </w:tc>
      </w:tr>
      <w:tr w14:paraId="04E4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3" w:hRule="exact"/>
        </w:trPr>
        <w:tc>
          <w:tcPr>
            <w:tcW w:w="589" w:type="pct"/>
            <w:shd w:val="clear" w:color="auto" w:fill="FFFFFF"/>
            <w:tcMar>
              <w:top w:w="57" w:type="dxa"/>
              <w:left w:w="108" w:type="dxa"/>
              <w:bottom w:w="57" w:type="dxa"/>
              <w:right w:w="108" w:type="dxa"/>
            </w:tcMar>
            <w:vAlign w:val="center"/>
          </w:tcPr>
          <w:p w14:paraId="045468F7">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263" w:type="dxa"/>
            <w:shd w:val="clear" w:color="auto" w:fill="FFFFFF"/>
            <w:tcMar>
              <w:top w:w="57" w:type="dxa"/>
              <w:left w:w="108" w:type="dxa"/>
              <w:bottom w:w="57" w:type="dxa"/>
              <w:right w:w="108" w:type="dxa"/>
            </w:tcMar>
            <w:vAlign w:val="top"/>
          </w:tcPr>
          <w:p w14:paraId="01095B75">
            <w:pPr>
              <w:widowControl/>
              <w:jc w:val="left"/>
              <w:textAlignment w:val="center"/>
              <w:rPr>
                <w:rFonts w:hint="eastAsia" w:ascii="宋体" w:hAnsi="宋体" w:cs="宋体"/>
                <w:color w:val="auto"/>
                <w:sz w:val="24"/>
                <w:szCs w:val="24"/>
                <w:highlight w:val="none"/>
              </w:rPr>
            </w:pPr>
          </w:p>
          <w:p w14:paraId="410E4596">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项目解读（</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分）</w:t>
            </w:r>
          </w:p>
        </w:tc>
        <w:tc>
          <w:tcPr>
            <w:tcW w:w="6509" w:type="dxa"/>
            <w:shd w:val="clear" w:color="auto" w:fill="FFFFFF"/>
            <w:tcMar>
              <w:top w:w="57" w:type="dxa"/>
              <w:left w:w="108" w:type="dxa"/>
              <w:bottom w:w="57" w:type="dxa"/>
              <w:right w:w="108" w:type="dxa"/>
            </w:tcMar>
            <w:vAlign w:val="top"/>
          </w:tcPr>
          <w:p w14:paraId="07E00BE6">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对本项目的理解程度、重点难点分析等方面进行综合评审：</w:t>
            </w:r>
          </w:p>
          <w:p w14:paraId="282675B9">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对本项目工作理解全面得 </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23CF751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对本项目工作理解较全面得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分；</w:t>
            </w:r>
          </w:p>
          <w:p w14:paraId="0C9017C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对本项目工作理解全面性较差得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0394BFFA">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722" w:type="dxa"/>
            <w:shd w:val="clear" w:color="auto" w:fill="FFFFFF"/>
            <w:tcMar>
              <w:top w:w="57" w:type="dxa"/>
              <w:left w:w="108" w:type="dxa"/>
              <w:bottom w:w="57" w:type="dxa"/>
              <w:right w:w="108" w:type="dxa"/>
            </w:tcMar>
            <w:vAlign w:val="top"/>
          </w:tcPr>
          <w:p w14:paraId="66D13985">
            <w:pPr>
              <w:widowControl/>
              <w:ind w:firstLine="480" w:firstLineChars="200"/>
              <w:jc w:val="center"/>
              <w:textAlignment w:val="center"/>
              <w:rPr>
                <w:rFonts w:hint="eastAsia" w:ascii="宋体" w:hAnsi="宋体" w:cs="宋体"/>
                <w:color w:val="auto"/>
                <w:sz w:val="24"/>
                <w:szCs w:val="24"/>
                <w:highlight w:val="none"/>
              </w:rPr>
            </w:pPr>
          </w:p>
          <w:p w14:paraId="7F55D059">
            <w:pPr>
              <w:widowControl/>
              <w:ind w:firstLine="480" w:firstLineChars="200"/>
              <w:jc w:val="center"/>
              <w:textAlignment w:val="center"/>
              <w:rPr>
                <w:rFonts w:hint="eastAsia" w:ascii="宋体" w:hAnsi="宋体" w:cs="宋体"/>
                <w:color w:val="auto"/>
                <w:sz w:val="24"/>
                <w:szCs w:val="24"/>
                <w:highlight w:val="none"/>
              </w:rPr>
            </w:pPr>
          </w:p>
          <w:p w14:paraId="074AFE4D">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9</w:t>
            </w:r>
          </w:p>
        </w:tc>
      </w:tr>
      <w:tr w14:paraId="1C0E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33" w:hRule="exact"/>
        </w:trPr>
        <w:tc>
          <w:tcPr>
            <w:tcW w:w="589" w:type="pct"/>
            <w:shd w:val="clear" w:color="auto" w:fill="FFFFFF"/>
            <w:tcMar>
              <w:top w:w="57" w:type="dxa"/>
              <w:left w:w="108" w:type="dxa"/>
              <w:bottom w:w="57" w:type="dxa"/>
              <w:right w:w="108" w:type="dxa"/>
            </w:tcMar>
            <w:vAlign w:val="center"/>
          </w:tcPr>
          <w:p w14:paraId="0DCA9EC9">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656" w:type="pct"/>
            <w:shd w:val="clear" w:color="auto" w:fill="FFFFFF"/>
            <w:tcMar>
              <w:top w:w="57" w:type="dxa"/>
              <w:left w:w="108" w:type="dxa"/>
              <w:bottom w:w="57" w:type="dxa"/>
              <w:right w:w="108" w:type="dxa"/>
            </w:tcMar>
            <w:vAlign w:val="top"/>
          </w:tcPr>
          <w:p w14:paraId="5174B413">
            <w:pPr>
              <w:widowControl/>
              <w:jc w:val="left"/>
              <w:textAlignment w:val="center"/>
              <w:rPr>
                <w:rFonts w:hint="eastAsia" w:ascii="宋体" w:hAnsi="宋体" w:cs="宋体"/>
                <w:color w:val="auto"/>
                <w:sz w:val="24"/>
                <w:szCs w:val="24"/>
                <w:highlight w:val="none"/>
              </w:rPr>
            </w:pPr>
          </w:p>
          <w:p w14:paraId="08C5F775">
            <w:pPr>
              <w:widowControl/>
              <w:jc w:val="left"/>
              <w:textAlignment w:val="center"/>
              <w:rPr>
                <w:rFonts w:hint="eastAsia" w:ascii="宋体" w:hAnsi="宋体" w:cs="宋体"/>
                <w:color w:val="auto"/>
                <w:sz w:val="24"/>
                <w:szCs w:val="24"/>
                <w:highlight w:val="none"/>
              </w:rPr>
            </w:pPr>
          </w:p>
          <w:p w14:paraId="443353E6">
            <w:pPr>
              <w:widowControl/>
              <w:jc w:val="left"/>
              <w:textAlignment w:val="center"/>
              <w:rPr>
                <w:rFonts w:hint="eastAsia" w:ascii="宋体" w:hAnsi="宋体" w:cs="宋体"/>
                <w:color w:val="auto"/>
                <w:sz w:val="24"/>
                <w:szCs w:val="24"/>
                <w:highlight w:val="none"/>
              </w:rPr>
            </w:pPr>
          </w:p>
          <w:p w14:paraId="2958533B">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项目计划进度（6 分）</w:t>
            </w:r>
          </w:p>
        </w:tc>
        <w:tc>
          <w:tcPr>
            <w:tcW w:w="3380" w:type="pct"/>
            <w:shd w:val="clear" w:color="auto" w:fill="FFFFFF"/>
            <w:tcMar>
              <w:top w:w="57" w:type="dxa"/>
              <w:left w:w="108" w:type="dxa"/>
              <w:bottom w:w="57" w:type="dxa"/>
              <w:right w:w="108" w:type="dxa"/>
            </w:tcMar>
            <w:vAlign w:val="top"/>
          </w:tcPr>
          <w:p w14:paraId="23B92544">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针对项目作出的计划进度安排进行综合评审：</w:t>
            </w:r>
          </w:p>
          <w:p w14:paraId="74C2E19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工作计划进度满足服务需求，且具有较好的保障措施，得 6 分；</w:t>
            </w:r>
          </w:p>
          <w:p w14:paraId="61CE0D8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工作计划进度满足服务需求，且具有一定的保障措施，得 4 分；</w:t>
            </w:r>
          </w:p>
          <w:p w14:paraId="7935B9E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工作计划进度满足服务需求，未提供保障措施，得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 </w:t>
            </w:r>
          </w:p>
          <w:p w14:paraId="2DB277B3">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highlight w:val="none"/>
              </w:rPr>
              <w:t>工作计划进度</w:t>
            </w:r>
            <w:r>
              <w:rPr>
                <w:rFonts w:hint="eastAsia" w:ascii="宋体" w:hAnsi="宋体" w:cs="宋体"/>
                <w:color w:val="auto"/>
                <w:sz w:val="24"/>
                <w:highlight w:val="none"/>
                <w:lang w:val="en-US" w:eastAsia="zh-CN"/>
              </w:rPr>
              <w:t>未提供</w:t>
            </w:r>
            <w:r>
              <w:rPr>
                <w:rFonts w:hint="eastAsia" w:ascii="宋体" w:hAnsi="宋体" w:cs="宋体"/>
                <w:color w:val="auto"/>
                <w:sz w:val="24"/>
                <w:highlight w:val="none"/>
              </w:rPr>
              <w:t>服务需求，未提供保障措施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得 0</w:t>
            </w:r>
            <w:r>
              <w:rPr>
                <w:rFonts w:hint="eastAsia" w:ascii="宋体" w:hAnsi="宋体" w:cs="宋体"/>
                <w:color w:val="auto"/>
                <w:sz w:val="24"/>
                <w:highlight w:val="none"/>
              </w:rPr>
              <w:t>分。</w:t>
            </w:r>
          </w:p>
        </w:tc>
        <w:tc>
          <w:tcPr>
            <w:tcW w:w="373" w:type="pct"/>
            <w:shd w:val="clear" w:color="auto" w:fill="FFFFFF"/>
            <w:tcMar>
              <w:top w:w="57" w:type="dxa"/>
              <w:left w:w="108" w:type="dxa"/>
              <w:bottom w:w="57" w:type="dxa"/>
              <w:right w:w="108" w:type="dxa"/>
            </w:tcMar>
            <w:vAlign w:val="top"/>
          </w:tcPr>
          <w:p w14:paraId="6C2440DB">
            <w:pPr>
              <w:widowControl/>
              <w:ind w:firstLine="480" w:firstLineChars="200"/>
              <w:jc w:val="left"/>
              <w:textAlignment w:val="center"/>
              <w:rPr>
                <w:rFonts w:hint="eastAsia" w:ascii="宋体" w:hAnsi="宋体" w:cs="宋体"/>
                <w:color w:val="auto"/>
                <w:sz w:val="24"/>
                <w:szCs w:val="24"/>
                <w:highlight w:val="none"/>
              </w:rPr>
            </w:pPr>
          </w:p>
          <w:p w14:paraId="6952B0B4">
            <w:pPr>
              <w:widowControl/>
              <w:ind w:firstLine="480" w:firstLineChars="200"/>
              <w:jc w:val="left"/>
              <w:textAlignment w:val="center"/>
              <w:rPr>
                <w:rFonts w:hint="eastAsia" w:ascii="宋体" w:hAnsi="宋体" w:cs="宋体"/>
                <w:color w:val="auto"/>
                <w:sz w:val="24"/>
                <w:szCs w:val="24"/>
                <w:highlight w:val="none"/>
              </w:rPr>
            </w:pPr>
          </w:p>
          <w:p w14:paraId="3B24749E">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5D80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exact"/>
        </w:trPr>
        <w:tc>
          <w:tcPr>
            <w:tcW w:w="589" w:type="pct"/>
            <w:shd w:val="clear" w:color="auto" w:fill="FFFFFF"/>
            <w:tcMar>
              <w:top w:w="57" w:type="dxa"/>
              <w:left w:w="108" w:type="dxa"/>
              <w:bottom w:w="57" w:type="dxa"/>
              <w:right w:w="108" w:type="dxa"/>
            </w:tcMar>
            <w:vAlign w:val="center"/>
          </w:tcPr>
          <w:p w14:paraId="40CDA07B">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656" w:type="pct"/>
            <w:shd w:val="clear" w:color="auto" w:fill="FFFFFF"/>
            <w:tcMar>
              <w:top w:w="57" w:type="dxa"/>
              <w:left w:w="108" w:type="dxa"/>
              <w:bottom w:w="57" w:type="dxa"/>
              <w:right w:w="108" w:type="dxa"/>
            </w:tcMar>
            <w:vAlign w:val="top"/>
          </w:tcPr>
          <w:p w14:paraId="7AC76E20">
            <w:pPr>
              <w:widowControl/>
              <w:jc w:val="left"/>
              <w:textAlignment w:val="center"/>
              <w:rPr>
                <w:rFonts w:hint="eastAsia" w:ascii="宋体" w:hAnsi="宋体" w:cs="宋体"/>
                <w:color w:val="auto"/>
                <w:sz w:val="24"/>
                <w:szCs w:val="24"/>
                <w:highlight w:val="none"/>
              </w:rPr>
            </w:pPr>
          </w:p>
          <w:p w14:paraId="6C5DAD2D">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质量保障措施（</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3380" w:type="pct"/>
            <w:shd w:val="clear" w:color="auto" w:fill="FFFFFF"/>
            <w:tcMar>
              <w:top w:w="57" w:type="dxa"/>
              <w:left w:w="108" w:type="dxa"/>
              <w:bottom w:w="57" w:type="dxa"/>
              <w:right w:w="108" w:type="dxa"/>
            </w:tcMar>
            <w:vAlign w:val="top"/>
          </w:tcPr>
          <w:p w14:paraId="680CF21D">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质量保障措施全面、可行得 6 分；</w:t>
            </w:r>
          </w:p>
          <w:p w14:paraId="372659A8">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质量保障措施较全面、较可行得 4 分；</w:t>
            </w:r>
          </w:p>
          <w:p w14:paraId="36B91E3C">
            <w:pPr>
              <w:widowControl/>
              <w:ind w:firstLine="480" w:firstLineChars="2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质量保障措施全面性、可行性一般得 2 分；</w:t>
            </w:r>
          </w:p>
          <w:p w14:paraId="3A8BF3D7">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eastAsia="宋体" w:cs="宋体"/>
                <w:color w:val="auto"/>
                <w:sz w:val="24"/>
                <w:szCs w:val="24"/>
                <w:highlight w:val="none"/>
              </w:rPr>
              <w:t>未提供质量保障措施得 0 分；</w:t>
            </w:r>
          </w:p>
        </w:tc>
        <w:tc>
          <w:tcPr>
            <w:tcW w:w="373" w:type="pct"/>
            <w:shd w:val="clear" w:color="auto" w:fill="FFFFFF"/>
            <w:tcMar>
              <w:top w:w="57" w:type="dxa"/>
              <w:left w:w="108" w:type="dxa"/>
              <w:bottom w:w="57" w:type="dxa"/>
              <w:right w:w="108" w:type="dxa"/>
            </w:tcMar>
            <w:vAlign w:val="top"/>
          </w:tcPr>
          <w:p w14:paraId="71F5AA70">
            <w:pPr>
              <w:widowControl/>
              <w:ind w:firstLine="480" w:firstLineChars="200"/>
              <w:jc w:val="left"/>
              <w:textAlignment w:val="center"/>
              <w:rPr>
                <w:rFonts w:hint="eastAsia" w:ascii="宋体" w:hAnsi="宋体" w:cs="宋体"/>
                <w:color w:val="auto"/>
                <w:sz w:val="24"/>
                <w:szCs w:val="24"/>
                <w:highlight w:val="none"/>
              </w:rPr>
            </w:pPr>
          </w:p>
          <w:p w14:paraId="0007CEF4">
            <w:pPr>
              <w:widowControl/>
              <w:ind w:firstLine="480" w:firstLineChars="200"/>
              <w:jc w:val="left"/>
              <w:textAlignment w:val="center"/>
              <w:rPr>
                <w:rFonts w:hint="eastAsia" w:ascii="宋体" w:hAnsi="宋体" w:cs="宋体"/>
                <w:color w:val="auto"/>
                <w:sz w:val="24"/>
                <w:szCs w:val="24"/>
                <w:highlight w:val="none"/>
              </w:rPr>
            </w:pPr>
          </w:p>
          <w:p w14:paraId="517CF968">
            <w:pPr>
              <w:widowControl/>
              <w:ind w:firstLine="240" w:firstLineChars="1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6</w:t>
            </w:r>
          </w:p>
        </w:tc>
      </w:tr>
      <w:tr w14:paraId="5682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6" w:hRule="exact"/>
        </w:trPr>
        <w:tc>
          <w:tcPr>
            <w:tcW w:w="589" w:type="pct"/>
            <w:shd w:val="clear" w:color="auto" w:fill="FFFFFF"/>
            <w:tcMar>
              <w:top w:w="57" w:type="dxa"/>
              <w:left w:w="108" w:type="dxa"/>
              <w:bottom w:w="57" w:type="dxa"/>
              <w:right w:w="108" w:type="dxa"/>
            </w:tcMar>
            <w:vAlign w:val="center"/>
          </w:tcPr>
          <w:p w14:paraId="6F6716CB">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63" w:type="dxa"/>
            <w:shd w:val="clear" w:color="auto" w:fill="FFFFFF"/>
            <w:tcMar>
              <w:top w:w="57" w:type="dxa"/>
              <w:left w:w="108" w:type="dxa"/>
              <w:bottom w:w="57" w:type="dxa"/>
              <w:right w:w="108" w:type="dxa"/>
            </w:tcMar>
            <w:vAlign w:val="top"/>
          </w:tcPr>
          <w:p w14:paraId="2D30245F">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与采购人进行本项目的工作协调措 施（</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6509" w:type="dxa"/>
            <w:shd w:val="clear" w:color="auto" w:fill="FFFFFF"/>
            <w:tcMar>
              <w:top w:w="57" w:type="dxa"/>
              <w:left w:w="108" w:type="dxa"/>
              <w:bottom w:w="57" w:type="dxa"/>
              <w:right w:w="108" w:type="dxa"/>
            </w:tcMar>
            <w:vAlign w:val="top"/>
          </w:tcPr>
          <w:p w14:paraId="56920FBC">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措施完整可行的得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p w14:paraId="7BC3D85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措施较可行的得 </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分；</w:t>
            </w:r>
          </w:p>
          <w:p w14:paraId="455B72BA">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措施可行性差的得 </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分；</w:t>
            </w:r>
          </w:p>
          <w:p w14:paraId="7CFAAB45">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未提供措施服务方案的得 0 分；</w:t>
            </w:r>
          </w:p>
        </w:tc>
        <w:tc>
          <w:tcPr>
            <w:tcW w:w="722" w:type="dxa"/>
            <w:shd w:val="clear" w:color="auto" w:fill="FFFFFF"/>
            <w:tcMar>
              <w:top w:w="57" w:type="dxa"/>
              <w:left w:w="108" w:type="dxa"/>
              <w:bottom w:w="57" w:type="dxa"/>
              <w:right w:w="108" w:type="dxa"/>
            </w:tcMar>
            <w:vAlign w:val="top"/>
          </w:tcPr>
          <w:p w14:paraId="3E10B417">
            <w:pPr>
              <w:widowControl/>
              <w:ind w:firstLine="480" w:firstLineChars="200"/>
              <w:jc w:val="center"/>
              <w:textAlignment w:val="center"/>
              <w:rPr>
                <w:rFonts w:hint="eastAsia" w:ascii="宋体" w:hAnsi="宋体" w:cs="宋体"/>
                <w:color w:val="auto"/>
                <w:sz w:val="24"/>
                <w:szCs w:val="24"/>
                <w:highlight w:val="none"/>
              </w:rPr>
            </w:pPr>
          </w:p>
          <w:p w14:paraId="41F0685B">
            <w:pPr>
              <w:widowControl/>
              <w:ind w:firstLine="480" w:firstLineChars="200"/>
              <w:jc w:val="center"/>
              <w:textAlignment w:val="center"/>
              <w:rPr>
                <w:rFonts w:hint="eastAsia" w:ascii="宋体" w:hAnsi="宋体" w:cs="宋体"/>
                <w:color w:val="auto"/>
                <w:sz w:val="24"/>
                <w:szCs w:val="24"/>
                <w:highlight w:val="none"/>
              </w:rPr>
            </w:pPr>
          </w:p>
          <w:p w14:paraId="5833434B">
            <w:pPr>
              <w:widowControl/>
              <w:ind w:firstLine="240" w:firstLineChars="100"/>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3</w:t>
            </w:r>
          </w:p>
        </w:tc>
      </w:tr>
      <w:tr w14:paraId="6224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4" w:hRule="exact"/>
        </w:trPr>
        <w:tc>
          <w:tcPr>
            <w:tcW w:w="589" w:type="pct"/>
            <w:shd w:val="clear" w:color="auto" w:fill="FFFFFF"/>
            <w:tcMar>
              <w:top w:w="57" w:type="dxa"/>
              <w:left w:w="108" w:type="dxa"/>
              <w:bottom w:w="57" w:type="dxa"/>
              <w:right w:w="108" w:type="dxa"/>
            </w:tcMar>
            <w:vAlign w:val="center"/>
          </w:tcPr>
          <w:p w14:paraId="3F367787">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6" w:type="pct"/>
            <w:shd w:val="clear" w:color="auto" w:fill="FFFFFF"/>
            <w:tcMar>
              <w:top w:w="57" w:type="dxa"/>
              <w:left w:w="108" w:type="dxa"/>
              <w:bottom w:w="57" w:type="dxa"/>
              <w:right w:w="108" w:type="dxa"/>
            </w:tcMar>
            <w:vAlign w:val="top"/>
          </w:tcPr>
          <w:p w14:paraId="50B74703">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员工的专业技术培训制度（10 分）</w:t>
            </w:r>
          </w:p>
        </w:tc>
        <w:tc>
          <w:tcPr>
            <w:tcW w:w="3380" w:type="pct"/>
            <w:shd w:val="clear" w:color="auto" w:fill="FFFFFF"/>
            <w:tcMar>
              <w:top w:w="57" w:type="dxa"/>
              <w:left w:w="108" w:type="dxa"/>
              <w:bottom w:w="57" w:type="dxa"/>
              <w:right w:w="108" w:type="dxa"/>
            </w:tcMar>
            <w:vAlign w:val="top"/>
          </w:tcPr>
          <w:p w14:paraId="7BD58268">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制度完善、详细、有针对性得 10 分；</w:t>
            </w:r>
          </w:p>
          <w:p w14:paraId="56B4F410">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制度基本完善、表达模糊，针对性一般得 6 分；</w:t>
            </w:r>
          </w:p>
          <w:p w14:paraId="57DCD866">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制度体现差，描述差，无针对性得 2 分。</w:t>
            </w:r>
          </w:p>
          <w:p w14:paraId="5BB2CF62">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58FBA68A">
            <w:pPr>
              <w:widowControl/>
              <w:ind w:firstLine="480" w:firstLineChars="200"/>
              <w:jc w:val="center"/>
              <w:textAlignment w:val="center"/>
              <w:rPr>
                <w:rFonts w:hint="eastAsia" w:ascii="宋体" w:hAnsi="宋体" w:cs="宋体"/>
                <w:color w:val="auto"/>
                <w:sz w:val="24"/>
                <w:szCs w:val="24"/>
                <w:highlight w:val="none"/>
              </w:rPr>
            </w:pPr>
          </w:p>
          <w:p w14:paraId="6DDE2CC1">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3681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84" w:hRule="exact"/>
        </w:trPr>
        <w:tc>
          <w:tcPr>
            <w:tcW w:w="589" w:type="pct"/>
            <w:shd w:val="clear" w:color="auto" w:fill="FFFFFF"/>
            <w:tcMar>
              <w:top w:w="57" w:type="dxa"/>
              <w:left w:w="108" w:type="dxa"/>
              <w:bottom w:w="57" w:type="dxa"/>
              <w:right w:w="108" w:type="dxa"/>
            </w:tcMar>
            <w:vAlign w:val="center"/>
          </w:tcPr>
          <w:p w14:paraId="054591C4">
            <w:pPr>
              <w:widowControl/>
              <w:ind w:firstLine="240" w:firstLineChars="100"/>
              <w:jc w:val="both"/>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656" w:type="pct"/>
            <w:shd w:val="clear" w:color="auto" w:fill="FFFFFF"/>
            <w:tcMar>
              <w:top w:w="57" w:type="dxa"/>
              <w:left w:w="108" w:type="dxa"/>
              <w:bottom w:w="57" w:type="dxa"/>
              <w:right w:w="108" w:type="dxa"/>
            </w:tcMar>
            <w:vAlign w:val="top"/>
          </w:tcPr>
          <w:p w14:paraId="188CB4FD">
            <w:pPr>
              <w:widowControl/>
              <w:ind w:firstLine="480" w:firstLineChars="200"/>
              <w:jc w:val="left"/>
              <w:textAlignment w:val="center"/>
              <w:rPr>
                <w:rFonts w:hint="eastAsia" w:ascii="宋体" w:hAnsi="宋体" w:cs="宋体"/>
                <w:color w:val="auto"/>
                <w:sz w:val="24"/>
                <w:szCs w:val="24"/>
                <w:highlight w:val="none"/>
              </w:rPr>
            </w:pPr>
          </w:p>
          <w:p w14:paraId="292A29C8">
            <w:pPr>
              <w:widowControl/>
              <w:ind w:firstLine="480" w:firstLineChars="200"/>
              <w:jc w:val="left"/>
              <w:textAlignment w:val="center"/>
              <w:rPr>
                <w:rFonts w:hint="eastAsia" w:ascii="宋体" w:hAnsi="宋体" w:cs="宋体"/>
                <w:color w:val="auto"/>
                <w:sz w:val="24"/>
                <w:szCs w:val="24"/>
                <w:highlight w:val="none"/>
              </w:rPr>
            </w:pPr>
          </w:p>
          <w:p w14:paraId="76B56E80">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拟投入人员情况（10 分）</w:t>
            </w:r>
          </w:p>
        </w:tc>
        <w:tc>
          <w:tcPr>
            <w:tcW w:w="3380" w:type="pct"/>
            <w:shd w:val="clear" w:color="auto" w:fill="FFFFFF"/>
            <w:tcMar>
              <w:top w:w="57" w:type="dxa"/>
              <w:left w:w="108" w:type="dxa"/>
              <w:bottom w:w="57" w:type="dxa"/>
              <w:right w:w="108" w:type="dxa"/>
            </w:tcMar>
            <w:vAlign w:val="top"/>
          </w:tcPr>
          <w:p w14:paraId="6D34899D">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针对本项目的组织架构安排、人员配备、职责分工等明确合 理，实力强，得10分；</w:t>
            </w:r>
          </w:p>
          <w:p w14:paraId="2C126001">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针对本项目的组织架构安排、人员配备、职责分工等较明确 合理，实力较强，得 6 分；</w:t>
            </w:r>
          </w:p>
          <w:p w14:paraId="0E200ECB">
            <w:pPr>
              <w:widowControl/>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针对本项目的组织架构安排、人员配备、职责分工等实力一般 ，得 2 分。</w:t>
            </w:r>
          </w:p>
          <w:p w14:paraId="70DFCB34">
            <w:pPr>
              <w:widowControl/>
              <w:ind w:firstLine="480" w:firstLineChars="200"/>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58CDA098">
            <w:pPr>
              <w:widowControl/>
              <w:ind w:firstLine="480" w:firstLineChars="200"/>
              <w:jc w:val="center"/>
              <w:textAlignment w:val="center"/>
              <w:rPr>
                <w:rFonts w:hint="eastAsia" w:ascii="宋体" w:hAnsi="宋体" w:cs="宋体"/>
                <w:color w:val="auto"/>
                <w:sz w:val="24"/>
                <w:szCs w:val="24"/>
                <w:highlight w:val="none"/>
              </w:rPr>
            </w:pPr>
          </w:p>
          <w:p w14:paraId="60C4413E">
            <w:pPr>
              <w:widowControl/>
              <w:ind w:firstLine="480" w:firstLineChars="200"/>
              <w:jc w:val="center"/>
              <w:textAlignment w:val="center"/>
              <w:rPr>
                <w:rFonts w:hint="eastAsia" w:ascii="宋体" w:hAnsi="宋体" w:cs="宋体"/>
                <w:color w:val="auto"/>
                <w:sz w:val="24"/>
                <w:szCs w:val="24"/>
                <w:highlight w:val="none"/>
              </w:rPr>
            </w:pPr>
          </w:p>
          <w:p w14:paraId="074F37D0">
            <w:pPr>
              <w:widowControl/>
              <w:ind w:firstLine="480" w:firstLineChars="200"/>
              <w:jc w:val="center"/>
              <w:textAlignment w:val="center"/>
              <w:rPr>
                <w:rFonts w:hint="eastAsia" w:ascii="宋体" w:hAnsi="宋体" w:cs="宋体"/>
                <w:color w:val="auto"/>
                <w:sz w:val="24"/>
                <w:szCs w:val="24"/>
                <w:highlight w:val="none"/>
              </w:rPr>
            </w:pPr>
          </w:p>
          <w:p w14:paraId="03C84C64">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10</w:t>
            </w:r>
          </w:p>
        </w:tc>
      </w:tr>
      <w:tr w14:paraId="14B4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67" w:hRule="exact"/>
        </w:trPr>
        <w:tc>
          <w:tcPr>
            <w:tcW w:w="589" w:type="pct"/>
            <w:shd w:val="clear" w:color="auto" w:fill="FFFFFF"/>
            <w:tcMar>
              <w:top w:w="57" w:type="dxa"/>
              <w:left w:w="108" w:type="dxa"/>
              <w:bottom w:w="57" w:type="dxa"/>
              <w:right w:w="108" w:type="dxa"/>
            </w:tcMar>
            <w:vAlign w:val="center"/>
          </w:tcPr>
          <w:p w14:paraId="7150BFCA">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56" w:type="pct"/>
            <w:shd w:val="clear" w:color="auto" w:fill="FFFFFF"/>
            <w:tcMar>
              <w:top w:w="57" w:type="dxa"/>
              <w:left w:w="108" w:type="dxa"/>
              <w:bottom w:w="57" w:type="dxa"/>
              <w:right w:w="108" w:type="dxa"/>
            </w:tcMar>
            <w:vAlign w:val="top"/>
          </w:tcPr>
          <w:p w14:paraId="7A54EE07">
            <w:pPr>
              <w:widowControl/>
              <w:jc w:val="left"/>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拟投入设备情况（5 分）</w:t>
            </w:r>
          </w:p>
        </w:tc>
        <w:tc>
          <w:tcPr>
            <w:tcW w:w="3380" w:type="pct"/>
            <w:shd w:val="clear" w:color="auto" w:fill="FFFFFF"/>
            <w:tcMar>
              <w:top w:w="57" w:type="dxa"/>
              <w:left w:w="108" w:type="dxa"/>
              <w:bottom w:w="57" w:type="dxa"/>
              <w:right w:w="108" w:type="dxa"/>
            </w:tcMar>
            <w:vAlign w:val="top"/>
          </w:tcPr>
          <w:p w14:paraId="781171B6">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xml:space="preserve">针对本项目的设备齐全、数量、功能满足项目需求得5分 </w:t>
            </w:r>
            <w:r>
              <w:rPr>
                <w:rFonts w:hint="eastAsia" w:ascii="宋体" w:hAnsi="宋体" w:cs="宋体"/>
                <w:color w:val="auto"/>
                <w:sz w:val="24"/>
                <w:szCs w:val="24"/>
                <w:highlight w:val="none"/>
                <w:lang w:eastAsia="zh-CN"/>
              </w:rPr>
              <w:t>。</w:t>
            </w:r>
          </w:p>
          <w:p w14:paraId="75479CEA">
            <w:pPr>
              <w:widowControl/>
              <w:ind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针对本项目的设备基本齐全、数量、功能一般得3分</w:t>
            </w:r>
            <w:r>
              <w:rPr>
                <w:rFonts w:hint="eastAsia" w:ascii="宋体" w:hAnsi="宋体" w:cs="宋体"/>
                <w:color w:val="auto"/>
                <w:sz w:val="24"/>
                <w:szCs w:val="24"/>
                <w:highlight w:val="none"/>
                <w:lang w:eastAsia="zh-CN"/>
              </w:rPr>
              <w:t>。</w:t>
            </w:r>
          </w:p>
          <w:p w14:paraId="6D5EE3D6">
            <w:pPr>
              <w:widowControl/>
              <w:ind w:firstLine="480" w:firstLineChars="200"/>
              <w:jc w:val="left"/>
              <w:textAlignment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针对本项目的设备不齐全、数量、功能差得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2A7F9B86">
            <w:pPr>
              <w:widowControl/>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未提供方案得0分。</w:t>
            </w:r>
          </w:p>
        </w:tc>
        <w:tc>
          <w:tcPr>
            <w:tcW w:w="373" w:type="pct"/>
            <w:shd w:val="clear" w:color="auto" w:fill="FFFFFF"/>
            <w:tcMar>
              <w:top w:w="57" w:type="dxa"/>
              <w:left w:w="108" w:type="dxa"/>
              <w:bottom w:w="57" w:type="dxa"/>
              <w:right w:w="108" w:type="dxa"/>
            </w:tcMar>
            <w:vAlign w:val="top"/>
          </w:tcPr>
          <w:p w14:paraId="7DEC0963">
            <w:pPr>
              <w:widowControl/>
              <w:ind w:firstLine="480" w:firstLineChars="200"/>
              <w:jc w:val="center"/>
              <w:textAlignment w:val="center"/>
              <w:rPr>
                <w:rFonts w:hint="eastAsia" w:ascii="宋体" w:hAnsi="宋体" w:cs="宋体"/>
                <w:color w:val="auto"/>
                <w:sz w:val="24"/>
                <w:szCs w:val="24"/>
                <w:highlight w:val="none"/>
              </w:rPr>
            </w:pPr>
          </w:p>
          <w:p w14:paraId="6E3537F0">
            <w:pPr>
              <w:widowControl/>
              <w:jc w:val="center"/>
              <w:textAlignment w:val="center"/>
              <w:rPr>
                <w:rFonts w:hint="eastAsia" w:ascii="宋体" w:hAnsi="宋体" w:cs="宋体"/>
                <w:color w:val="auto"/>
                <w:sz w:val="24"/>
                <w:szCs w:val="24"/>
                <w:highlight w:val="none"/>
                <w:lang w:val="en-US" w:eastAsia="en-US"/>
              </w:rPr>
            </w:pPr>
            <w:r>
              <w:rPr>
                <w:rFonts w:hint="eastAsia" w:ascii="宋体" w:hAnsi="宋体" w:cs="宋体"/>
                <w:color w:val="auto"/>
                <w:sz w:val="24"/>
                <w:szCs w:val="24"/>
                <w:highlight w:val="none"/>
              </w:rPr>
              <w:t>5</w:t>
            </w:r>
          </w:p>
        </w:tc>
      </w:tr>
      <w:tr w14:paraId="3C0B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exact"/>
        </w:trPr>
        <w:tc>
          <w:tcPr>
            <w:tcW w:w="5000" w:type="pct"/>
            <w:gridSpan w:val="4"/>
            <w:shd w:val="clear" w:color="auto" w:fill="FFFFFF"/>
            <w:tcMar>
              <w:top w:w="57" w:type="dxa"/>
              <w:left w:w="108" w:type="dxa"/>
              <w:bottom w:w="57" w:type="dxa"/>
              <w:right w:w="108" w:type="dxa"/>
            </w:tcMar>
            <w:vAlign w:val="center"/>
          </w:tcPr>
          <w:p w14:paraId="2F011547">
            <w:pPr>
              <w:widowControl/>
              <w:jc w:val="both"/>
              <w:textAlignment w:val="center"/>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、价格部分（10分）</w:t>
            </w:r>
          </w:p>
        </w:tc>
      </w:tr>
      <w:tr w14:paraId="4558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trPr>
        <w:tc>
          <w:tcPr>
            <w:tcW w:w="589" w:type="pct"/>
            <w:shd w:val="clear" w:color="auto" w:fill="FFFFFF"/>
            <w:tcMar>
              <w:top w:w="57" w:type="dxa"/>
              <w:left w:w="108" w:type="dxa"/>
              <w:bottom w:w="57" w:type="dxa"/>
              <w:right w:w="108" w:type="dxa"/>
            </w:tcMar>
            <w:vAlign w:val="center"/>
          </w:tcPr>
          <w:p w14:paraId="7AE810AC">
            <w:pPr>
              <w:widowControl/>
              <w:ind w:firstLine="240" w:firstLineChars="1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6" w:type="pct"/>
            <w:shd w:val="clear" w:color="auto" w:fill="FFFFFF"/>
            <w:tcMar>
              <w:top w:w="57" w:type="dxa"/>
              <w:left w:w="108" w:type="dxa"/>
              <w:bottom w:w="57" w:type="dxa"/>
              <w:right w:w="108" w:type="dxa"/>
            </w:tcMar>
            <w:vAlign w:val="center"/>
          </w:tcPr>
          <w:p w14:paraId="4F992EBF">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价格分</w:t>
            </w:r>
          </w:p>
        </w:tc>
        <w:tc>
          <w:tcPr>
            <w:tcW w:w="3380" w:type="pct"/>
            <w:shd w:val="clear" w:color="auto" w:fill="FFFFFF"/>
            <w:tcMar>
              <w:top w:w="57" w:type="dxa"/>
              <w:left w:w="108" w:type="dxa"/>
              <w:bottom w:w="57" w:type="dxa"/>
              <w:right w:w="108" w:type="dxa"/>
            </w:tcMar>
            <w:vAlign w:val="center"/>
          </w:tcPr>
          <w:p w14:paraId="452D6290">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173E4EA1">
            <w:pPr>
              <w:widowControl/>
              <w:adjustRightInd w:val="0"/>
              <w:snapToGrid w:val="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373" w:type="pct"/>
            <w:shd w:val="clear" w:color="auto" w:fill="FFFFFF"/>
            <w:tcMar>
              <w:top w:w="57" w:type="dxa"/>
              <w:left w:w="108" w:type="dxa"/>
              <w:bottom w:w="57" w:type="dxa"/>
              <w:right w:w="108" w:type="dxa"/>
            </w:tcMar>
            <w:vAlign w:val="center"/>
          </w:tcPr>
          <w:p w14:paraId="7B223A99">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r>
    </w:tbl>
    <w:p w14:paraId="37EFCC2F">
      <w:pPr>
        <w:widowControl/>
        <w:tabs>
          <w:tab w:val="left" w:pos="360"/>
          <w:tab w:val="left" w:pos="900"/>
        </w:tabs>
        <w:snapToGrid w:val="0"/>
        <w:spacing w:line="360" w:lineRule="auto"/>
        <w:jc w:val="both"/>
        <w:outlineLvl w:val="9"/>
        <w:rPr>
          <w:rFonts w:hint="eastAsia" w:ascii="宋体" w:hAnsi="宋体" w:eastAsia="宋体"/>
          <w:b w:val="0"/>
          <w:bCs/>
          <w:color w:val="auto"/>
          <w:sz w:val="24"/>
          <w:highlight w:val="none"/>
        </w:rPr>
      </w:pPr>
      <w:r>
        <w:rPr>
          <w:rFonts w:hint="eastAsia" w:ascii="宋体" w:hAnsi="宋体" w:eastAsia="宋体"/>
          <w:b w:val="0"/>
          <w:bCs/>
          <w:color w:val="auto"/>
          <w:sz w:val="24"/>
          <w:highlight w:val="none"/>
          <w:lang w:val="en-US" w:eastAsia="zh-CN"/>
        </w:rPr>
        <w:t>注：</w:t>
      </w:r>
      <w:r>
        <w:rPr>
          <w:rFonts w:hint="eastAsia" w:ascii="宋体" w:hAnsi="宋体" w:eastAsia="宋体"/>
          <w:b w:val="0"/>
          <w:bCs/>
          <w:color w:val="auto"/>
          <w:sz w:val="24"/>
          <w:highlight w:val="none"/>
        </w:rPr>
        <w:t>1. 评标基准价即满足招标文件要求且投标价格最低的有效</w:t>
      </w:r>
      <w:r>
        <w:rPr>
          <w:rFonts w:hint="eastAsia" w:ascii="宋体" w:hAnsi="宋体"/>
          <w:b w:val="0"/>
          <w:bCs/>
          <w:color w:val="auto"/>
          <w:sz w:val="24"/>
          <w:highlight w:val="none"/>
          <w:lang w:val="en-US" w:eastAsia="zh-CN"/>
        </w:rPr>
        <w:t>投</w:t>
      </w:r>
      <w:r>
        <w:rPr>
          <w:rFonts w:hint="eastAsia" w:ascii="宋体" w:hAnsi="宋体" w:eastAsia="宋体"/>
          <w:b w:val="0"/>
          <w:bCs/>
          <w:color w:val="auto"/>
          <w:sz w:val="24"/>
          <w:highlight w:val="none"/>
        </w:rPr>
        <w:t>标报价。</w:t>
      </w:r>
    </w:p>
    <w:p w14:paraId="0588E689">
      <w:pPr>
        <w:widowControl/>
        <w:numPr>
          <w:ilvl w:val="0"/>
          <w:numId w:val="25"/>
        </w:numPr>
        <w:tabs>
          <w:tab w:val="left" w:pos="360"/>
          <w:tab w:val="left" w:pos="900"/>
        </w:tabs>
        <w:snapToGrid w:val="0"/>
        <w:spacing w:line="360" w:lineRule="auto"/>
        <w:ind w:firstLine="480" w:firstLineChars="200"/>
        <w:jc w:val="both"/>
        <w:outlineLvl w:val="9"/>
        <w:rPr>
          <w:rFonts w:hint="eastAsia" w:ascii="宋体" w:hAnsi="宋体" w:eastAsia="宋体"/>
          <w:b w:val="0"/>
          <w:bCs/>
          <w:color w:val="auto"/>
          <w:sz w:val="24"/>
          <w:highlight w:val="none"/>
          <w:lang w:val="en-US" w:eastAsia="zh-CN"/>
        </w:rPr>
        <w:sectPr>
          <w:pgSz w:w="11906" w:h="16838"/>
          <w:pgMar w:top="1247" w:right="1247" w:bottom="1247" w:left="1247" w:header="851" w:footer="992" w:gutter="0"/>
          <w:pgNumType w:fmt="decimal"/>
          <w:cols w:space="425" w:num="1"/>
          <w:docGrid w:type="lines" w:linePitch="312" w:charSpace="0"/>
        </w:sectPr>
      </w:pPr>
      <w:r>
        <w:rPr>
          <w:rFonts w:hint="eastAsia" w:ascii="宋体" w:hAnsi="宋体" w:eastAsia="宋体"/>
          <w:b w:val="0"/>
          <w:bCs/>
          <w:color w:val="auto"/>
          <w:sz w:val="24"/>
          <w:highlight w:val="none"/>
          <w:lang w:val="en-US" w:eastAsia="zh-CN"/>
        </w:rPr>
        <w:t>类似业绩的</w:t>
      </w:r>
      <w:r>
        <w:rPr>
          <w:rFonts w:hint="eastAsia" w:ascii="宋体" w:hAnsi="宋体" w:eastAsia="宋体" w:cs="Times New Roman"/>
          <w:color w:val="auto"/>
          <w:kern w:val="2"/>
          <w:sz w:val="24"/>
          <w:szCs w:val="24"/>
          <w:highlight w:val="none"/>
          <w:lang w:val="en-US" w:eastAsia="zh-CN" w:bidi="ar"/>
        </w:rPr>
        <w:t>项目建设主要内容</w:t>
      </w:r>
      <w:r>
        <w:rPr>
          <w:rFonts w:hint="eastAsia" w:ascii="宋体" w:hAnsi="宋体" w:cs="Times New Roman"/>
          <w:color w:val="auto"/>
          <w:kern w:val="2"/>
          <w:sz w:val="24"/>
          <w:szCs w:val="24"/>
          <w:highlight w:val="none"/>
          <w:lang w:val="en-US" w:eastAsia="zh-CN" w:bidi="ar"/>
        </w:rPr>
        <w:t>、服务范围</w:t>
      </w:r>
      <w:r>
        <w:rPr>
          <w:rFonts w:hint="eastAsia" w:ascii="宋体" w:hAnsi="宋体" w:eastAsia="宋体"/>
          <w:b w:val="0"/>
          <w:bCs/>
          <w:color w:val="auto"/>
          <w:sz w:val="24"/>
          <w:highlight w:val="none"/>
          <w:lang w:val="en-US" w:eastAsia="zh-CN"/>
        </w:rPr>
        <w:t>和规模应与目标采购项目相当；企业类似项目业绩与项目负责人类似项目业绩可重复使用。</w:t>
      </w:r>
    </w:p>
    <w:p w14:paraId="7E129DC9">
      <w:pPr>
        <w:shd w:val="clear"/>
        <w:adjustRightInd w:val="0"/>
        <w:snapToGrid w:val="0"/>
        <w:spacing w:line="360" w:lineRule="auto"/>
        <w:jc w:val="center"/>
        <w:outlineLvl w:val="1"/>
        <w:rPr>
          <w:rFonts w:hint="eastAsia" w:ascii="宋体" w:hAnsi="宋体"/>
          <w:b/>
          <w:color w:val="auto"/>
          <w:kern w:val="0"/>
          <w:sz w:val="24"/>
          <w:szCs w:val="24"/>
          <w:highlight w:val="none"/>
          <w:lang w:val="en-US" w:eastAsia="zh-CN"/>
        </w:rPr>
      </w:pPr>
      <w:r>
        <w:rPr>
          <w:rFonts w:hint="eastAsia"/>
          <w:b/>
          <w:color w:val="auto"/>
          <w:sz w:val="24"/>
          <w:highlight w:val="none"/>
          <w:lang w:val="en-US" w:eastAsia="zh-CN"/>
        </w:rPr>
        <w:t>8</w:t>
      </w:r>
      <w:r>
        <w:rPr>
          <w:rFonts w:hint="eastAsia"/>
          <w:b/>
          <w:color w:val="auto"/>
          <w:sz w:val="24"/>
          <w:highlight w:val="none"/>
        </w:rPr>
        <w:t>包评标标准（100分）</w:t>
      </w:r>
    </w:p>
    <w:tbl>
      <w:tblPr>
        <w:tblStyle w:val="46"/>
        <w:tblpPr w:leftFromText="180" w:rightFromText="180" w:vertAnchor="text" w:horzAnchor="page" w:tblpX="1381"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56"/>
        <w:gridCol w:w="1327"/>
        <w:gridCol w:w="4778"/>
        <w:gridCol w:w="787"/>
      </w:tblGrid>
      <w:tr w14:paraId="379A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blHeader/>
        </w:trPr>
        <w:tc>
          <w:tcPr>
            <w:tcW w:w="645" w:type="dxa"/>
            <w:vMerge w:val="restart"/>
            <w:noWrap w:val="0"/>
            <w:vAlign w:val="center"/>
          </w:tcPr>
          <w:p w14:paraId="72DD038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56" w:type="dxa"/>
            <w:vMerge w:val="restart"/>
            <w:noWrap w:val="0"/>
            <w:vAlign w:val="center"/>
          </w:tcPr>
          <w:p w14:paraId="40421EB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6105" w:type="dxa"/>
            <w:gridSpan w:val="2"/>
            <w:vMerge w:val="restart"/>
            <w:noWrap w:val="0"/>
            <w:vAlign w:val="center"/>
          </w:tcPr>
          <w:p w14:paraId="3FF7367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评价因素及标准</w:t>
            </w:r>
          </w:p>
        </w:tc>
        <w:tc>
          <w:tcPr>
            <w:tcW w:w="787" w:type="dxa"/>
            <w:vMerge w:val="restart"/>
            <w:noWrap w:val="0"/>
            <w:vAlign w:val="center"/>
          </w:tcPr>
          <w:p w14:paraId="5598EF2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满分</w:t>
            </w:r>
          </w:p>
        </w:tc>
      </w:tr>
      <w:tr w14:paraId="38C2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blHeader/>
        </w:trPr>
        <w:tc>
          <w:tcPr>
            <w:tcW w:w="645" w:type="dxa"/>
            <w:vMerge w:val="continue"/>
            <w:noWrap w:val="0"/>
            <w:vAlign w:val="center"/>
          </w:tcPr>
          <w:p w14:paraId="1DAC09B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c>
          <w:tcPr>
            <w:tcW w:w="1456" w:type="dxa"/>
            <w:vMerge w:val="continue"/>
            <w:noWrap w:val="0"/>
            <w:vAlign w:val="center"/>
          </w:tcPr>
          <w:p w14:paraId="703EDBC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c>
          <w:tcPr>
            <w:tcW w:w="6105" w:type="dxa"/>
            <w:gridSpan w:val="2"/>
            <w:vMerge w:val="continue"/>
            <w:noWrap w:val="0"/>
            <w:vAlign w:val="center"/>
          </w:tcPr>
          <w:p w14:paraId="2463A79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c>
          <w:tcPr>
            <w:tcW w:w="787" w:type="dxa"/>
            <w:vMerge w:val="continue"/>
            <w:noWrap w:val="0"/>
            <w:vAlign w:val="center"/>
          </w:tcPr>
          <w:p w14:paraId="0D9819A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rPr>
            </w:pPr>
          </w:p>
        </w:tc>
      </w:tr>
      <w:tr w14:paraId="1EC2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1D43B05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8348" w:type="dxa"/>
            <w:gridSpan w:val="4"/>
            <w:noWrap w:val="0"/>
            <w:vAlign w:val="center"/>
          </w:tcPr>
          <w:p w14:paraId="3A5F5814">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商务部分（20分）</w:t>
            </w:r>
          </w:p>
        </w:tc>
      </w:tr>
      <w:tr w14:paraId="1E5F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645" w:type="dxa"/>
            <w:vMerge w:val="restart"/>
            <w:noWrap w:val="0"/>
            <w:vAlign w:val="center"/>
          </w:tcPr>
          <w:p w14:paraId="32797810">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6" w:type="dxa"/>
            <w:vMerge w:val="restart"/>
            <w:noWrap w:val="0"/>
            <w:vAlign w:val="center"/>
          </w:tcPr>
          <w:p w14:paraId="48D970C8">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1327" w:type="dxa"/>
            <w:vMerge w:val="restart"/>
            <w:shd w:val="clear" w:color="auto" w:fill="auto"/>
            <w:noWrap w:val="0"/>
            <w:vAlign w:val="center"/>
          </w:tcPr>
          <w:p w14:paraId="6C1CA4F2">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4778" w:type="dxa"/>
            <w:shd w:val="clear" w:color="auto" w:fill="auto"/>
            <w:noWrap w:val="0"/>
            <w:vAlign w:val="center"/>
          </w:tcPr>
          <w:p w14:paraId="3310CE27">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工程师，市政公用工程或园林绿化</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得4分</w:t>
            </w:r>
          </w:p>
        </w:tc>
        <w:tc>
          <w:tcPr>
            <w:tcW w:w="787" w:type="dxa"/>
            <w:vMerge w:val="restart"/>
            <w:shd w:val="clear" w:color="auto" w:fill="auto"/>
            <w:noWrap w:val="0"/>
            <w:vAlign w:val="center"/>
          </w:tcPr>
          <w:p w14:paraId="4482234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r>
      <w:tr w14:paraId="29E9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645" w:type="dxa"/>
            <w:vMerge w:val="continue"/>
            <w:noWrap w:val="0"/>
            <w:vAlign w:val="center"/>
          </w:tcPr>
          <w:p w14:paraId="3EF80943">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456" w:type="dxa"/>
            <w:vMerge w:val="continue"/>
            <w:noWrap w:val="0"/>
            <w:vAlign w:val="center"/>
          </w:tcPr>
          <w:p w14:paraId="6BC95E54">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327" w:type="dxa"/>
            <w:vMerge w:val="continue"/>
            <w:shd w:val="clear" w:color="auto" w:fill="auto"/>
            <w:noWrap w:val="0"/>
            <w:vAlign w:val="center"/>
          </w:tcPr>
          <w:p w14:paraId="7E9EE1C3">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4778" w:type="dxa"/>
            <w:shd w:val="clear" w:color="auto" w:fill="auto"/>
            <w:noWrap w:val="0"/>
            <w:vAlign w:val="center"/>
          </w:tcPr>
          <w:p w14:paraId="2D17EE62">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w:t>
            </w:r>
            <w:r>
              <w:rPr>
                <w:rFonts w:hint="eastAsia" w:ascii="宋体" w:hAnsi="宋体" w:eastAsia="宋体" w:cs="宋体"/>
                <w:color w:val="auto"/>
                <w:sz w:val="24"/>
                <w:szCs w:val="24"/>
                <w:highlight w:val="none"/>
                <w:lang w:val="en-US" w:eastAsia="zh-CN"/>
              </w:rPr>
              <w:t>工程师</w:t>
            </w:r>
            <w:r>
              <w:rPr>
                <w:rFonts w:hint="eastAsia" w:ascii="宋体" w:hAnsi="宋体" w:eastAsia="宋体" w:cs="宋体"/>
                <w:color w:val="auto"/>
                <w:sz w:val="24"/>
                <w:szCs w:val="24"/>
                <w:highlight w:val="none"/>
              </w:rPr>
              <w:t>，市政公用工程或园林绿化</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得2分</w:t>
            </w:r>
          </w:p>
        </w:tc>
        <w:tc>
          <w:tcPr>
            <w:tcW w:w="787" w:type="dxa"/>
            <w:vMerge w:val="continue"/>
            <w:shd w:val="clear" w:color="auto" w:fill="auto"/>
            <w:noWrap w:val="0"/>
            <w:vAlign w:val="center"/>
          </w:tcPr>
          <w:p w14:paraId="1CE4ADE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00E7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645" w:type="dxa"/>
            <w:vMerge w:val="continue"/>
            <w:noWrap w:val="0"/>
            <w:vAlign w:val="center"/>
          </w:tcPr>
          <w:p w14:paraId="4CCFB6EE">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p>
        </w:tc>
        <w:tc>
          <w:tcPr>
            <w:tcW w:w="1456" w:type="dxa"/>
            <w:vMerge w:val="continue"/>
            <w:noWrap w:val="0"/>
            <w:vAlign w:val="center"/>
          </w:tcPr>
          <w:p w14:paraId="31A7D677">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p>
        </w:tc>
        <w:tc>
          <w:tcPr>
            <w:tcW w:w="1327" w:type="dxa"/>
            <w:vMerge w:val="continue"/>
            <w:shd w:val="clear" w:color="auto" w:fill="auto"/>
            <w:noWrap w:val="0"/>
            <w:vAlign w:val="center"/>
          </w:tcPr>
          <w:p w14:paraId="21419A0B">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p>
        </w:tc>
        <w:tc>
          <w:tcPr>
            <w:tcW w:w="4778" w:type="dxa"/>
            <w:shd w:val="clear" w:color="auto" w:fill="auto"/>
            <w:noWrap w:val="0"/>
            <w:vAlign w:val="center"/>
          </w:tcPr>
          <w:p w14:paraId="1F7295A5">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没有</w:t>
            </w:r>
            <w:r>
              <w:rPr>
                <w:rFonts w:hint="eastAsia" w:ascii="宋体" w:hAnsi="宋体" w:eastAsia="宋体" w:cs="宋体"/>
                <w:color w:val="auto"/>
                <w:sz w:val="24"/>
                <w:szCs w:val="24"/>
                <w:highlight w:val="none"/>
              </w:rPr>
              <w:t>市政公用工程或园林绿化</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相关专业</w:t>
            </w:r>
            <w:r>
              <w:rPr>
                <w:rFonts w:hint="eastAsia" w:ascii="宋体" w:hAnsi="宋体" w:eastAsia="宋体" w:cs="宋体"/>
                <w:color w:val="auto"/>
                <w:sz w:val="24"/>
                <w:szCs w:val="24"/>
                <w:highlight w:val="none"/>
                <w:lang w:val="en-US" w:eastAsia="zh-CN"/>
              </w:rPr>
              <w:t>的工程师，得0分</w:t>
            </w:r>
          </w:p>
        </w:tc>
        <w:tc>
          <w:tcPr>
            <w:tcW w:w="787" w:type="dxa"/>
            <w:vMerge w:val="continue"/>
            <w:shd w:val="clear" w:color="auto" w:fill="auto"/>
            <w:noWrap w:val="0"/>
            <w:vAlign w:val="center"/>
          </w:tcPr>
          <w:p w14:paraId="18ED83B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2DBE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45" w:type="dxa"/>
            <w:vMerge w:val="continue"/>
            <w:noWrap w:val="0"/>
            <w:vAlign w:val="center"/>
          </w:tcPr>
          <w:p w14:paraId="0A5367D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1456" w:type="dxa"/>
            <w:vMerge w:val="continue"/>
            <w:noWrap w:val="0"/>
            <w:vAlign w:val="center"/>
          </w:tcPr>
          <w:p w14:paraId="3CC1C71C">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p>
        </w:tc>
        <w:tc>
          <w:tcPr>
            <w:tcW w:w="1327" w:type="dxa"/>
            <w:vMerge w:val="restart"/>
            <w:shd w:val="clear" w:color="auto" w:fill="auto"/>
            <w:noWrap w:val="0"/>
            <w:vAlign w:val="center"/>
          </w:tcPr>
          <w:p w14:paraId="72DE23AF">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学历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4778" w:type="dxa"/>
            <w:shd w:val="clear" w:color="auto" w:fill="auto"/>
            <w:noWrap w:val="0"/>
            <w:vAlign w:val="center"/>
          </w:tcPr>
          <w:p w14:paraId="2418AA02">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w:t>
            </w:r>
            <w:r>
              <w:rPr>
                <w:rFonts w:hint="eastAsia" w:ascii="宋体" w:hAnsi="宋体" w:eastAsia="宋体" w:cs="宋体"/>
                <w:color w:val="auto"/>
                <w:sz w:val="24"/>
                <w:szCs w:val="24"/>
                <w:highlight w:val="none"/>
                <w:lang w:val="en-US" w:eastAsia="zh-CN"/>
              </w:rPr>
              <w:t>得2分</w:t>
            </w:r>
          </w:p>
        </w:tc>
        <w:tc>
          <w:tcPr>
            <w:tcW w:w="787" w:type="dxa"/>
            <w:vMerge w:val="continue"/>
            <w:shd w:val="clear" w:color="auto" w:fill="auto"/>
            <w:noWrap w:val="0"/>
            <w:vAlign w:val="center"/>
          </w:tcPr>
          <w:p w14:paraId="6C2D397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5135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45" w:type="dxa"/>
            <w:vMerge w:val="continue"/>
            <w:noWrap w:val="0"/>
            <w:vAlign w:val="center"/>
          </w:tcPr>
          <w:p w14:paraId="2AA076AD">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1456" w:type="dxa"/>
            <w:vMerge w:val="continue"/>
            <w:noWrap w:val="0"/>
            <w:vAlign w:val="center"/>
          </w:tcPr>
          <w:p w14:paraId="29680AEF">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p>
        </w:tc>
        <w:tc>
          <w:tcPr>
            <w:tcW w:w="1327" w:type="dxa"/>
            <w:vMerge w:val="continue"/>
            <w:shd w:val="clear" w:color="auto" w:fill="auto"/>
            <w:noWrap w:val="0"/>
            <w:vAlign w:val="center"/>
          </w:tcPr>
          <w:p w14:paraId="72BB2554">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4778" w:type="dxa"/>
            <w:shd w:val="clear" w:color="auto" w:fill="auto"/>
            <w:noWrap w:val="0"/>
            <w:vAlign w:val="center"/>
          </w:tcPr>
          <w:p w14:paraId="3653B867">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专科，得1分</w:t>
            </w:r>
          </w:p>
        </w:tc>
        <w:tc>
          <w:tcPr>
            <w:tcW w:w="787" w:type="dxa"/>
            <w:vMerge w:val="continue"/>
            <w:shd w:val="clear" w:color="auto" w:fill="auto"/>
            <w:noWrap w:val="0"/>
            <w:vAlign w:val="center"/>
          </w:tcPr>
          <w:p w14:paraId="2C920F7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1D3A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645" w:type="dxa"/>
            <w:vMerge w:val="continue"/>
            <w:noWrap w:val="0"/>
            <w:vAlign w:val="center"/>
          </w:tcPr>
          <w:p w14:paraId="0D4098D9">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456" w:type="dxa"/>
            <w:vMerge w:val="continue"/>
            <w:noWrap w:val="0"/>
            <w:vAlign w:val="center"/>
          </w:tcPr>
          <w:p w14:paraId="3F679B48">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1327" w:type="dxa"/>
            <w:vMerge w:val="continue"/>
            <w:shd w:val="clear" w:color="auto" w:fill="auto"/>
            <w:noWrap w:val="0"/>
            <w:vAlign w:val="center"/>
          </w:tcPr>
          <w:p w14:paraId="2F115455">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p>
        </w:tc>
        <w:tc>
          <w:tcPr>
            <w:tcW w:w="4778" w:type="dxa"/>
            <w:shd w:val="clear" w:color="auto" w:fill="auto"/>
            <w:noWrap w:val="0"/>
            <w:vAlign w:val="center"/>
          </w:tcPr>
          <w:p w14:paraId="0D9AF39A">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专</w:t>
            </w:r>
            <w:r>
              <w:rPr>
                <w:rFonts w:hint="eastAsia" w:ascii="宋体" w:hAnsi="宋体" w:eastAsia="宋体" w:cs="宋体"/>
                <w:color w:val="auto"/>
                <w:sz w:val="24"/>
                <w:szCs w:val="24"/>
                <w:highlight w:val="none"/>
              </w:rPr>
              <w:t>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vMerge w:val="continue"/>
            <w:shd w:val="clear" w:color="auto" w:fill="auto"/>
            <w:noWrap w:val="0"/>
            <w:vAlign w:val="center"/>
          </w:tcPr>
          <w:p w14:paraId="70182D6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2"/>
                <w:sz w:val="24"/>
                <w:szCs w:val="24"/>
                <w:highlight w:val="none"/>
                <w:lang w:val="en-US" w:eastAsia="zh-CN" w:bidi="ar-SA"/>
              </w:rPr>
            </w:pPr>
          </w:p>
        </w:tc>
      </w:tr>
      <w:tr w14:paraId="32EF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30EB61D8">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56" w:type="dxa"/>
            <w:noWrap w:val="0"/>
            <w:vAlign w:val="center"/>
          </w:tcPr>
          <w:p w14:paraId="103E62B1">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人员专业配套（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105" w:type="dxa"/>
            <w:gridSpan w:val="2"/>
            <w:noWrap w:val="0"/>
            <w:vAlign w:val="center"/>
          </w:tcPr>
          <w:p w14:paraId="22BA1B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专业工种配套齐全、完整，得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25AE78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专业工种配套基本齐全，得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F3A931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专业工种配套较差，得1分；</w:t>
            </w:r>
          </w:p>
          <w:p w14:paraId="478AC2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不齐全，得0分；</w:t>
            </w:r>
          </w:p>
        </w:tc>
        <w:tc>
          <w:tcPr>
            <w:tcW w:w="787" w:type="dxa"/>
            <w:noWrap w:val="0"/>
            <w:vAlign w:val="center"/>
          </w:tcPr>
          <w:p w14:paraId="38164C7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r>
      <w:tr w14:paraId="489E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52B9352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56" w:type="dxa"/>
            <w:shd w:val="clear" w:color="auto" w:fill="auto"/>
            <w:noWrap w:val="0"/>
            <w:vAlign w:val="center"/>
          </w:tcPr>
          <w:p w14:paraId="0161CA1C">
            <w:pPr>
              <w:keepNext w:val="0"/>
              <w:keepLines w:val="0"/>
              <w:suppressLineNumbers w:val="0"/>
              <w:shd w:val="clear"/>
              <w:spacing w:before="0" w:beforeAutospacing="0" w:after="0" w:afterAutospacing="0"/>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投标人近年类似项目监理业绩（</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105" w:type="dxa"/>
            <w:gridSpan w:val="2"/>
            <w:shd w:val="clear" w:color="auto" w:fill="auto"/>
            <w:noWrap w:val="0"/>
            <w:vAlign w:val="center"/>
          </w:tcPr>
          <w:p w14:paraId="1E47683A">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近3年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2023年1月1日-至今</w:t>
            </w:r>
            <w:r>
              <w:rPr>
                <w:rFonts w:hint="eastAsia" w:ascii="宋体" w:hAnsi="宋体" w:eastAsia="宋体" w:cs="宋体"/>
                <w:color w:val="auto"/>
                <w:sz w:val="24"/>
                <w:szCs w:val="24"/>
                <w:highlight w:val="none"/>
                <w:lang w:eastAsia="zh-CN"/>
              </w:rPr>
              <w:t>）已完成或正在履约的同类项目</w:t>
            </w:r>
            <w:r>
              <w:rPr>
                <w:rFonts w:hint="eastAsia" w:ascii="宋体" w:hAnsi="宋体" w:eastAsia="宋体" w:cs="宋体"/>
                <w:color w:val="auto"/>
                <w:sz w:val="24"/>
                <w:szCs w:val="24"/>
                <w:highlight w:val="none"/>
              </w:rPr>
              <w:t>监理业绩，每个得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分，总分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87" w:type="dxa"/>
            <w:shd w:val="clear" w:color="auto" w:fill="auto"/>
            <w:noWrap w:val="0"/>
            <w:vAlign w:val="center"/>
          </w:tcPr>
          <w:p w14:paraId="298ED0F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r>
      <w:tr w14:paraId="603B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645" w:type="dxa"/>
            <w:noWrap w:val="0"/>
            <w:vAlign w:val="center"/>
          </w:tcPr>
          <w:p w14:paraId="592A20D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56" w:type="dxa"/>
            <w:shd w:val="clear" w:color="auto" w:fill="auto"/>
            <w:noWrap w:val="0"/>
            <w:vAlign w:val="center"/>
          </w:tcPr>
          <w:p w14:paraId="54335707">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管理体系认证（6分）</w:t>
            </w:r>
          </w:p>
        </w:tc>
        <w:tc>
          <w:tcPr>
            <w:tcW w:w="6105" w:type="dxa"/>
            <w:gridSpan w:val="2"/>
            <w:shd w:val="clear" w:color="auto" w:fill="auto"/>
            <w:noWrap w:val="0"/>
            <w:vAlign w:val="center"/>
          </w:tcPr>
          <w:p w14:paraId="5681A4E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具有有效期内的质量管理体系，得 2 分； </w:t>
            </w:r>
          </w:p>
          <w:p w14:paraId="148754E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具有有效期内的职业安全管理体系，得 2 分； </w:t>
            </w:r>
          </w:p>
          <w:p w14:paraId="2C7D889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具有有效期内的环境管理体系，得 2 分。</w:t>
            </w:r>
          </w:p>
        </w:tc>
        <w:tc>
          <w:tcPr>
            <w:tcW w:w="787" w:type="dxa"/>
            <w:shd w:val="clear" w:color="auto" w:fill="auto"/>
            <w:noWrap w:val="0"/>
            <w:vAlign w:val="center"/>
          </w:tcPr>
          <w:p w14:paraId="0F46BCA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r>
      <w:tr w14:paraId="778C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645" w:type="dxa"/>
            <w:noWrap w:val="0"/>
            <w:vAlign w:val="center"/>
          </w:tcPr>
          <w:p w14:paraId="53A9CB26">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8348" w:type="dxa"/>
            <w:gridSpan w:val="4"/>
            <w:noWrap w:val="0"/>
            <w:vAlign w:val="center"/>
          </w:tcPr>
          <w:p w14:paraId="6C23B16E">
            <w:pPr>
              <w:keepNext w:val="0"/>
              <w:keepLines w:val="0"/>
              <w:suppressLineNumbers w:val="0"/>
              <w:shd w:val="clear"/>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技术部分（70分）</w:t>
            </w:r>
          </w:p>
        </w:tc>
      </w:tr>
      <w:tr w14:paraId="1304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trPr>
        <w:tc>
          <w:tcPr>
            <w:tcW w:w="645" w:type="dxa"/>
            <w:noWrap w:val="0"/>
            <w:vAlign w:val="center"/>
          </w:tcPr>
          <w:p w14:paraId="346368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56" w:type="dxa"/>
            <w:noWrap w:val="0"/>
            <w:vAlign w:val="center"/>
          </w:tcPr>
          <w:p w14:paraId="7F1746DB">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重点难点分析（1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11A3F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本项目重点难点分析准确，采取的措施合理，切实可行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56D42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本项目重点难点分析基本准确，采取的对应措施基本合理、可行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35E24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针对本项目的重点和难点采取的措施一般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得3分；</w:t>
            </w:r>
          </w:p>
          <w:p w14:paraId="26E58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针对本项目的重点和难点采取的措施</w:t>
            </w:r>
            <w:r>
              <w:rPr>
                <w:rFonts w:hint="eastAsia" w:ascii="宋体" w:hAnsi="宋体" w:eastAsia="宋体" w:cs="宋体"/>
                <w:color w:val="auto"/>
                <w:sz w:val="24"/>
                <w:szCs w:val="24"/>
                <w:highlight w:val="none"/>
                <w:lang w:val="en-US" w:eastAsia="zh-CN"/>
              </w:rPr>
              <w:t>较差或没有，得0分。</w:t>
            </w:r>
          </w:p>
        </w:tc>
        <w:tc>
          <w:tcPr>
            <w:tcW w:w="787" w:type="dxa"/>
            <w:noWrap w:val="0"/>
            <w:vAlign w:val="center"/>
          </w:tcPr>
          <w:p w14:paraId="63A07BF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0C34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5A2C8AA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56" w:type="dxa"/>
            <w:noWrap w:val="0"/>
            <w:vAlign w:val="center"/>
          </w:tcPr>
          <w:p w14:paraId="4B42F1A9">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w:t>
            </w:r>
          </w:p>
          <w:p w14:paraId="2F50EFA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1E1B9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240F3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79618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3368E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062032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p>
        </w:tc>
      </w:tr>
      <w:tr w14:paraId="5A59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645" w:type="dxa"/>
            <w:noWrap w:val="0"/>
            <w:vAlign w:val="center"/>
          </w:tcPr>
          <w:p w14:paraId="4AD57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56" w:type="dxa"/>
            <w:noWrap w:val="0"/>
            <w:vAlign w:val="center"/>
          </w:tcPr>
          <w:p w14:paraId="140E61C2">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质量措施</w:t>
            </w:r>
          </w:p>
          <w:p w14:paraId="13F5ABA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055ED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6526C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33A60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31513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1E052B4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1A17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6F1895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56" w:type="dxa"/>
            <w:noWrap w:val="0"/>
            <w:vAlign w:val="center"/>
          </w:tcPr>
          <w:p w14:paraId="66F8DA7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进度控制</w:t>
            </w:r>
          </w:p>
          <w:p w14:paraId="404DA94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21B64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305E2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023B0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3441C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37C44F0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1EBD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213DF3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56" w:type="dxa"/>
            <w:noWrap w:val="0"/>
            <w:vAlign w:val="center"/>
          </w:tcPr>
          <w:p w14:paraId="3B1D0666">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检测设备</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341C7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完全满足项目要求，得10分；</w:t>
            </w:r>
          </w:p>
          <w:p w14:paraId="52AF9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基本满足项目要求，得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1410A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勉强满足，得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06F6C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不满足，得0分；</w:t>
            </w:r>
          </w:p>
        </w:tc>
        <w:tc>
          <w:tcPr>
            <w:tcW w:w="787" w:type="dxa"/>
            <w:noWrap w:val="0"/>
            <w:vAlign w:val="center"/>
          </w:tcPr>
          <w:p w14:paraId="2C2CC4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5FC1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645" w:type="dxa"/>
            <w:noWrap w:val="0"/>
            <w:vAlign w:val="center"/>
          </w:tcPr>
          <w:p w14:paraId="7B0519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456" w:type="dxa"/>
            <w:noWrap w:val="0"/>
            <w:vAlign w:val="center"/>
          </w:tcPr>
          <w:p w14:paraId="46594BF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合同和信息管理（1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105" w:type="dxa"/>
            <w:gridSpan w:val="2"/>
            <w:noWrap w:val="0"/>
            <w:vAlign w:val="center"/>
          </w:tcPr>
          <w:p w14:paraId="79723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针对性强，方法科学、制度合理，措施有力，可操作性强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0E9CA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方法基本科学、制度较合理，措施较有效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698B4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方法一般、制度较合理，措施一般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可操作性一般得3分；</w:t>
            </w:r>
          </w:p>
          <w:p w14:paraId="56B57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r>
              <w:rPr>
                <w:rFonts w:hint="eastAsia" w:ascii="宋体" w:hAnsi="宋体" w:eastAsia="宋体" w:cs="宋体"/>
                <w:color w:val="auto"/>
                <w:sz w:val="24"/>
                <w:szCs w:val="24"/>
                <w:highlight w:val="none"/>
                <w:lang w:val="en-US" w:eastAsia="zh-CN"/>
              </w:rPr>
              <w:t>较差</w:t>
            </w:r>
            <w:r>
              <w:rPr>
                <w:rFonts w:hint="eastAsia" w:ascii="宋体" w:hAnsi="宋体" w:eastAsia="宋体" w:cs="宋体"/>
                <w:color w:val="auto"/>
                <w:sz w:val="24"/>
                <w:szCs w:val="24"/>
                <w:highlight w:val="none"/>
              </w:rPr>
              <w:t>、制度</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合理，措施</w:t>
            </w:r>
            <w:r>
              <w:rPr>
                <w:rFonts w:hint="eastAsia" w:ascii="宋体" w:hAnsi="宋体" w:eastAsia="宋体" w:cs="宋体"/>
                <w:color w:val="auto"/>
                <w:sz w:val="24"/>
                <w:szCs w:val="24"/>
                <w:highlight w:val="none"/>
                <w:lang w:val="en-US" w:eastAsia="zh-CN"/>
              </w:rPr>
              <w:t>较差可操作性差或者没有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p>
        </w:tc>
        <w:tc>
          <w:tcPr>
            <w:tcW w:w="787" w:type="dxa"/>
            <w:noWrap w:val="0"/>
            <w:vAlign w:val="center"/>
          </w:tcPr>
          <w:p w14:paraId="70286F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635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trPr>
        <w:tc>
          <w:tcPr>
            <w:tcW w:w="645" w:type="dxa"/>
            <w:noWrap w:val="0"/>
            <w:vAlign w:val="center"/>
          </w:tcPr>
          <w:p w14:paraId="73B0147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456" w:type="dxa"/>
            <w:noWrap w:val="0"/>
            <w:vAlign w:val="center"/>
          </w:tcPr>
          <w:p w14:paraId="400A1137">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协调工作</w:t>
            </w:r>
          </w:p>
          <w:p w14:paraId="469DBA6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105" w:type="dxa"/>
            <w:gridSpan w:val="2"/>
            <w:noWrap w:val="0"/>
            <w:vAlign w:val="center"/>
          </w:tcPr>
          <w:p w14:paraId="0A747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的配合、协调、服务方案考虑全面，措施完善、合理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得10分；</w:t>
            </w:r>
          </w:p>
          <w:p w14:paraId="7BBBB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的配合、协调、管理、服务方案较全面，措施合理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得7分；</w:t>
            </w:r>
          </w:p>
          <w:p w14:paraId="2FAA1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的配合、协调、管理、服务方案一般，措施一般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得3分；</w:t>
            </w:r>
          </w:p>
          <w:p w14:paraId="2E59A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与招标人及</w:t>
            </w:r>
            <w:r>
              <w:rPr>
                <w:rFonts w:hint="eastAsia" w:ascii="宋体" w:hAnsi="宋体" w:eastAsia="宋体" w:cs="宋体"/>
                <w:color w:val="auto"/>
                <w:sz w:val="24"/>
                <w:szCs w:val="24"/>
                <w:highlight w:val="none"/>
                <w:lang w:val="en-US" w:eastAsia="zh-CN"/>
              </w:rPr>
              <w:t>相关单位</w:t>
            </w:r>
            <w:r>
              <w:rPr>
                <w:rFonts w:hint="eastAsia" w:ascii="宋体" w:hAnsi="宋体" w:eastAsia="宋体" w:cs="宋体"/>
                <w:color w:val="auto"/>
                <w:sz w:val="24"/>
                <w:szCs w:val="24"/>
                <w:highlight w:val="none"/>
              </w:rPr>
              <w:t>的配合、协调、管理、服务方案</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val="en-US" w:eastAsia="zh-CN"/>
              </w:rPr>
              <w:t>差或者没有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得0分</w:t>
            </w:r>
            <w:r>
              <w:rPr>
                <w:rFonts w:hint="eastAsia" w:ascii="宋体" w:hAnsi="宋体" w:eastAsia="宋体" w:cs="宋体"/>
                <w:color w:val="auto"/>
                <w:sz w:val="24"/>
                <w:szCs w:val="24"/>
                <w:highlight w:val="none"/>
              </w:rPr>
              <w:t>。</w:t>
            </w:r>
          </w:p>
        </w:tc>
        <w:tc>
          <w:tcPr>
            <w:tcW w:w="787" w:type="dxa"/>
            <w:noWrap w:val="0"/>
            <w:vAlign w:val="center"/>
          </w:tcPr>
          <w:p w14:paraId="74330FD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1CB0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645" w:type="dxa"/>
            <w:noWrap w:val="0"/>
            <w:vAlign w:val="center"/>
          </w:tcPr>
          <w:p w14:paraId="4688B85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8348" w:type="dxa"/>
            <w:gridSpan w:val="4"/>
            <w:noWrap w:val="0"/>
            <w:vAlign w:val="center"/>
          </w:tcPr>
          <w:p w14:paraId="57FB7D55">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价格部分（10分）</w:t>
            </w:r>
          </w:p>
        </w:tc>
      </w:tr>
      <w:tr w14:paraId="7AA2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645" w:type="dxa"/>
            <w:noWrap w:val="0"/>
            <w:vAlign w:val="center"/>
          </w:tcPr>
          <w:p w14:paraId="5FFED0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56" w:type="dxa"/>
            <w:shd w:val="clear" w:color="auto" w:fill="auto"/>
            <w:noWrap w:val="0"/>
            <w:vAlign w:val="center"/>
          </w:tcPr>
          <w:p w14:paraId="2EBB2174">
            <w:pPr>
              <w:keepNext w:val="0"/>
              <w:keepLines w:val="0"/>
              <w:suppressLineNumbers w:val="0"/>
              <w:spacing w:before="0" w:beforeAutospacing="0" w:after="84"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4488865F">
            <w:pPr>
              <w:keepNext w:val="0"/>
              <w:keepLines w:val="0"/>
              <w:suppressLineNumbers w:val="0"/>
              <w:spacing w:before="0" w:beforeAutospacing="0" w:after="84"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（10分）</w:t>
            </w:r>
          </w:p>
        </w:tc>
        <w:tc>
          <w:tcPr>
            <w:tcW w:w="6105" w:type="dxa"/>
            <w:gridSpan w:val="2"/>
            <w:shd w:val="clear" w:color="auto" w:fill="auto"/>
            <w:noWrap w:val="0"/>
            <w:vAlign w:val="center"/>
          </w:tcPr>
          <w:p w14:paraId="3574E7CC">
            <w:pPr>
              <w:rPr>
                <w:rFonts w:ascii="宋体" w:hAnsi="宋体"/>
                <w:color w:val="auto"/>
                <w:sz w:val="24"/>
                <w:highlight w:val="none"/>
              </w:rPr>
            </w:pPr>
            <w:r>
              <w:rPr>
                <w:rFonts w:ascii="宋体" w:hAnsi="宋体"/>
                <w:color w:val="auto"/>
                <w:sz w:val="24"/>
                <w:highlight w:val="none"/>
              </w:rPr>
              <w:t>满足招标文件要求且投标价格最低的投标报价为评标基准价，其价格分为满分。其他投标人的价格分统一按照下列公式计算：</w:t>
            </w:r>
          </w:p>
          <w:p w14:paraId="164FB091">
            <w:pPr>
              <w:keepNext w:val="0"/>
              <w:keepLines w:val="0"/>
              <w:suppressLineNumbers w:val="0"/>
              <w:spacing w:before="0" w:beforeAutospacing="0" w:after="84" w:afterAutospacing="0"/>
              <w:ind w:left="0" w:right="0"/>
              <w:rPr>
                <w:rFonts w:hint="eastAsia" w:ascii="宋体" w:hAnsi="宋体" w:eastAsia="宋体" w:cs="宋体"/>
                <w:color w:val="auto"/>
                <w:kern w:val="2"/>
                <w:sz w:val="24"/>
                <w:szCs w:val="24"/>
                <w:highlight w:val="none"/>
                <w:lang w:val="en-US" w:eastAsia="zh-CN" w:bidi="ar-SA"/>
              </w:rPr>
            </w:pPr>
            <w:r>
              <w:rPr>
                <w:rFonts w:ascii="宋体" w:hAnsi="宋体"/>
                <w:color w:val="auto"/>
                <w:sz w:val="24"/>
                <w:highlight w:val="none"/>
              </w:rPr>
              <w:t>投标报价得分＝（评标基准价/投标报价）×分值。</w:t>
            </w:r>
          </w:p>
        </w:tc>
        <w:tc>
          <w:tcPr>
            <w:tcW w:w="787" w:type="dxa"/>
            <w:shd w:val="clear" w:color="auto" w:fill="auto"/>
            <w:noWrap w:val="0"/>
            <w:vAlign w:val="center"/>
          </w:tcPr>
          <w:p w14:paraId="525A383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bl>
    <w:p w14:paraId="17A5BD8C">
      <w:pPr>
        <w:pStyle w:val="24"/>
        <w:adjustRightInd w:val="0"/>
        <w:snapToGrid w:val="0"/>
        <w:spacing w:line="360" w:lineRule="auto"/>
        <w:jc w:val="left"/>
        <w:outlineLvl w:val="9"/>
        <w:rPr>
          <w:rFonts w:hint="eastAsia"/>
          <w:b w:val="0"/>
          <w:bCs/>
          <w:color w:val="auto"/>
          <w:sz w:val="24"/>
          <w:szCs w:val="24"/>
          <w:highlight w:val="none"/>
        </w:rPr>
      </w:pPr>
      <w:r>
        <w:rPr>
          <w:rFonts w:hint="eastAsia"/>
          <w:b w:val="0"/>
          <w:bCs/>
          <w:color w:val="auto"/>
          <w:sz w:val="24"/>
          <w:szCs w:val="24"/>
          <w:highlight w:val="none"/>
        </w:rPr>
        <w:t>注：1. 评标基准价即满足招标文件要求且投标价格最低的有效投标报价。</w:t>
      </w:r>
    </w:p>
    <w:p w14:paraId="7E915E80">
      <w:pPr>
        <w:pStyle w:val="24"/>
        <w:adjustRightInd w:val="0"/>
        <w:snapToGrid w:val="0"/>
        <w:spacing w:line="360" w:lineRule="auto"/>
        <w:jc w:val="left"/>
        <w:outlineLvl w:val="9"/>
        <w:rPr>
          <w:b w:val="0"/>
          <w:bCs/>
          <w:color w:val="auto"/>
          <w:sz w:val="24"/>
          <w:szCs w:val="24"/>
          <w:highlight w:val="none"/>
        </w:rPr>
        <w:sectPr>
          <w:pgSz w:w="11907" w:h="16840"/>
          <w:pgMar w:top="1418" w:right="1134" w:bottom="1418" w:left="1701" w:header="851" w:footer="851" w:gutter="0"/>
          <w:pgNumType w:fmt="decimal"/>
          <w:cols w:space="720" w:num="1"/>
          <w:docGrid w:linePitch="462" w:charSpace="0"/>
        </w:sectPr>
      </w:pPr>
      <w:r>
        <w:rPr>
          <w:rFonts w:hint="eastAsia"/>
          <w:b w:val="0"/>
          <w:bCs/>
          <w:color w:val="auto"/>
          <w:sz w:val="24"/>
          <w:szCs w:val="24"/>
          <w:highlight w:val="none"/>
        </w:rPr>
        <w:t>2.类似业绩的项目建设主要内容、服务范围和规模应与目标采购项目相当。</w:t>
      </w:r>
    </w:p>
    <w:p w14:paraId="2DFFF78B">
      <w:pPr>
        <w:spacing w:line="360" w:lineRule="auto"/>
        <w:jc w:val="center"/>
        <w:outlineLvl w:val="0"/>
        <w:rPr>
          <w:rFonts w:ascii="宋体" w:hAnsi="宋体"/>
          <w:color w:val="auto"/>
          <w:sz w:val="24"/>
          <w:highlight w:val="none"/>
        </w:rPr>
      </w:pPr>
      <w:r>
        <w:rPr>
          <w:rFonts w:ascii="宋体" w:hAnsi="宋体"/>
          <w:b/>
          <w:color w:val="auto"/>
          <w:sz w:val="24"/>
          <w:highlight w:val="none"/>
        </w:rPr>
        <w:t xml:space="preserve">第五章   </w:t>
      </w:r>
      <w:r>
        <w:rPr>
          <w:rFonts w:hint="eastAsia" w:ascii="宋体" w:hAnsi="宋体"/>
          <w:b/>
          <w:color w:val="auto"/>
          <w:sz w:val="24"/>
          <w:highlight w:val="none"/>
        </w:rPr>
        <w:t>采购</w:t>
      </w:r>
      <w:r>
        <w:rPr>
          <w:rFonts w:ascii="宋体" w:hAnsi="宋体"/>
          <w:b/>
          <w:color w:val="auto"/>
          <w:sz w:val="24"/>
          <w:highlight w:val="none"/>
        </w:rPr>
        <w:t>需求</w:t>
      </w:r>
      <w:bookmarkEnd w:id="732"/>
      <w:bookmarkEnd w:id="733"/>
      <w:bookmarkEnd w:id="734"/>
    </w:p>
    <w:p w14:paraId="2A2B9970">
      <w:pPr>
        <w:spacing w:line="360" w:lineRule="auto"/>
        <w:ind w:firstLine="0" w:firstLineChars="0"/>
        <w:outlineLvl w:val="1"/>
        <w:rPr>
          <w:rFonts w:hint="eastAsia" w:ascii="宋体" w:hAnsi="宋体"/>
          <w:b/>
          <w:bCs/>
          <w:color w:val="auto"/>
          <w:sz w:val="36"/>
          <w:szCs w:val="36"/>
          <w:highlight w:val="none"/>
          <w:lang w:val="en-US" w:eastAsia="zh-CN"/>
        </w:rPr>
      </w:pPr>
      <w:r>
        <w:rPr>
          <w:rFonts w:hint="eastAsia" w:ascii="宋体" w:hAnsi="宋体"/>
          <w:b/>
          <w:bCs w:val="0"/>
          <w:color w:val="auto"/>
          <w:sz w:val="24"/>
          <w:szCs w:val="24"/>
          <w:highlight w:val="none"/>
          <w:lang w:val="en-US" w:eastAsia="zh-CN"/>
        </w:rPr>
        <w:t>1包</w:t>
      </w:r>
      <w:r>
        <w:rPr>
          <w:rFonts w:hint="default" w:ascii="宋体" w:hAnsi="宋体"/>
          <w:b/>
          <w:bCs w:val="0"/>
          <w:color w:val="auto"/>
          <w:sz w:val="24"/>
          <w:szCs w:val="24"/>
          <w:highlight w:val="none"/>
          <w:lang w:val="en-US" w:eastAsia="zh-CN"/>
        </w:rPr>
        <w:t>采购需求：</w:t>
      </w:r>
    </w:p>
    <w:p w14:paraId="6051F575">
      <w:pPr>
        <w:keepNext w:val="0"/>
        <w:keepLines w:val="0"/>
        <w:widowControl/>
        <w:suppressLineNumbers w:val="0"/>
        <w:spacing w:line="360" w:lineRule="auto"/>
        <w:ind w:firstLine="480" w:firstLineChars="200"/>
        <w:jc w:val="left"/>
        <w:rPr>
          <w:rFonts w:hint="eastAsia" w:ascii="宋体" w:hAnsi="宋体"/>
          <w:color w:val="auto"/>
          <w:sz w:val="24"/>
          <w:highlight w:val="none"/>
        </w:rPr>
      </w:pPr>
      <w:bookmarkStart w:id="735" w:name="_Toc99301425"/>
      <w:bookmarkStart w:id="736" w:name="_Toc19608"/>
      <w:bookmarkStart w:id="737" w:name="_Toc1000"/>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69FFB550">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ascii="宋体" w:hAnsi="宋体" w:cs="宋体"/>
          <w:color w:val="auto"/>
          <w:sz w:val="24"/>
          <w:highlight w:val="none"/>
          <w:shd w:val="clear" w:color="auto" w:fill="FFFFFF"/>
          <w:lang w:eastAsia="zh-CN"/>
        </w:rPr>
        <w:t>北京城市副中心绿地养护北京城市副中心行政办公区南区绿地(一标段)</w:t>
      </w:r>
    </w:p>
    <w:p w14:paraId="0A965DB4">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2E21A48F">
      <w:pPr>
        <w:keepNext w:val="0"/>
        <w:keepLines w:val="0"/>
        <w:widowControl/>
        <w:suppressLineNumbers w:val="0"/>
        <w:spacing w:line="360" w:lineRule="auto"/>
        <w:ind w:firstLine="480" w:firstLineChars="200"/>
        <w:jc w:val="left"/>
        <w:rPr>
          <w:rFonts w:hint="eastAsia" w:ascii="宋体" w:hAnsi="宋体"/>
          <w:color w:val="auto"/>
          <w:sz w:val="24"/>
          <w:highlight w:val="none"/>
          <w:u w:val="none"/>
        </w:rPr>
      </w:pPr>
      <w:r>
        <w:rPr>
          <w:rFonts w:hint="eastAsia" w:ascii="宋体" w:hAnsi="宋体" w:eastAsia="宋体" w:cs="Times New Roman"/>
          <w:color w:val="auto"/>
          <w:kern w:val="2"/>
          <w:sz w:val="24"/>
          <w:szCs w:val="24"/>
          <w:highlight w:val="none"/>
          <w:lang w:val="en-US" w:eastAsia="zh-CN" w:bidi="ar"/>
        </w:rPr>
        <w:t>3、项目建设</w:t>
      </w:r>
      <w:r>
        <w:rPr>
          <w:rFonts w:hint="eastAsia" w:ascii="宋体" w:hAnsi="宋体" w:eastAsia="宋体" w:cs="Times New Roman"/>
          <w:color w:val="auto"/>
          <w:kern w:val="2"/>
          <w:sz w:val="24"/>
          <w:szCs w:val="24"/>
          <w:highlight w:val="none"/>
          <w:u w:val="none"/>
          <w:lang w:val="en-US" w:eastAsia="zh-CN" w:bidi="ar"/>
        </w:rPr>
        <w:t>期限： 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u w:val="none"/>
          <w:lang w:val="en-US" w:eastAsia="zh-CN" w:bidi="ar"/>
        </w:rPr>
        <w:t xml:space="preserve"> </w:t>
      </w:r>
    </w:p>
    <w:p w14:paraId="282576C2">
      <w:pPr>
        <w:keepNext w:val="0"/>
        <w:keepLines w:val="0"/>
        <w:widowControl/>
        <w:suppressLineNumbers w:val="0"/>
        <w:spacing w:line="360" w:lineRule="auto"/>
        <w:ind w:firstLine="480" w:firstLineChars="200"/>
        <w:jc w:val="left"/>
        <w:rPr>
          <w:rFonts w:hint="eastAsia" w:ascii="宋体" w:hAnsi="宋体" w:cs="Times New Roman"/>
          <w:color w:val="auto"/>
          <w:kern w:val="2"/>
          <w:sz w:val="24"/>
          <w:szCs w:val="24"/>
          <w:highlight w:val="none"/>
          <w:u w:val="none"/>
          <w:lang w:val="en-US" w:eastAsia="zh-CN" w:bidi="ar"/>
        </w:rPr>
      </w:pPr>
      <w:r>
        <w:rPr>
          <w:rFonts w:hint="eastAsia" w:ascii="宋体" w:hAnsi="宋体" w:eastAsia="宋体" w:cs="Times New Roman"/>
          <w:color w:val="auto"/>
          <w:kern w:val="2"/>
          <w:sz w:val="24"/>
          <w:szCs w:val="24"/>
          <w:highlight w:val="none"/>
          <w:u w:val="none"/>
          <w:lang w:val="en-US" w:eastAsia="zh-CN" w:bidi="ar"/>
        </w:rPr>
        <w:t>4、项目建设主要内容</w:t>
      </w:r>
      <w:r>
        <w:rPr>
          <w:rFonts w:hint="eastAsia" w:ascii="宋体" w:hAnsi="宋体" w:cs="Times New Roman"/>
          <w:color w:val="auto"/>
          <w:kern w:val="2"/>
          <w:sz w:val="24"/>
          <w:szCs w:val="24"/>
          <w:highlight w:val="none"/>
          <w:u w:val="none"/>
          <w:lang w:val="en-US" w:eastAsia="zh-CN" w:bidi="ar"/>
        </w:rPr>
        <w:t>：</w:t>
      </w:r>
      <w:r>
        <w:rPr>
          <w:rFonts w:hint="eastAsia" w:ascii="宋体" w:hAnsi="宋体" w:cs="宋体"/>
          <w:color w:val="auto"/>
          <w:sz w:val="24"/>
          <w:highlight w:val="none"/>
          <w:shd w:val="clear" w:color="auto" w:fill="FFFFFF"/>
          <w:lang w:eastAsia="zh-CN"/>
        </w:rPr>
        <w:t>北京城市副中心绿地养护北京城市副中心行政办公区南区绿地(一标段)</w:t>
      </w:r>
      <w:r>
        <w:rPr>
          <w:rFonts w:hint="eastAsia" w:ascii="宋体" w:hAnsi="宋体" w:cs="Times New Roman"/>
          <w:color w:val="auto"/>
          <w:kern w:val="2"/>
          <w:sz w:val="24"/>
          <w:szCs w:val="24"/>
          <w:highlight w:val="none"/>
          <w:u w:val="none"/>
          <w:lang w:val="en-US" w:eastAsia="zh-CN" w:bidi="ar"/>
        </w:rPr>
        <w:t>特级</w:t>
      </w:r>
      <w:r>
        <w:rPr>
          <w:rFonts w:hint="eastAsia" w:ascii="宋体" w:hAnsi="宋体" w:eastAsia="宋体" w:cs="Times New Roman"/>
          <w:color w:val="auto"/>
          <w:kern w:val="2"/>
          <w:sz w:val="24"/>
          <w:szCs w:val="24"/>
          <w:highlight w:val="none"/>
          <w:u w:val="none"/>
          <w:lang w:val="en-US" w:eastAsia="zh-CN" w:bidi="ar"/>
        </w:rPr>
        <w:t>养护绿化面积433043</w:t>
      </w:r>
      <w:r>
        <w:rPr>
          <w:rFonts w:hint="eastAsia" w:ascii="宋体" w:hAnsi="宋体" w:cs="Times New Roman"/>
          <w:color w:val="auto"/>
          <w:kern w:val="2"/>
          <w:sz w:val="24"/>
          <w:szCs w:val="24"/>
          <w:highlight w:val="none"/>
          <w:u w:val="none"/>
          <w:lang w:val="en-US" w:eastAsia="zh-CN" w:bidi="ar"/>
        </w:rPr>
        <w:t>平方米。</w:t>
      </w:r>
    </w:p>
    <w:p w14:paraId="168347FC">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u w:val="none"/>
          <w:lang w:val="en-US" w:eastAsia="zh-CN"/>
        </w:rPr>
        <w:t>5、养护范围</w:t>
      </w:r>
      <w:r>
        <w:rPr>
          <w:rFonts w:hint="eastAsia" w:ascii="宋体" w:hAnsi="宋体" w:cs="Times New Roman"/>
          <w:color w:val="auto"/>
          <w:kern w:val="2"/>
          <w:sz w:val="24"/>
          <w:szCs w:val="24"/>
          <w:highlight w:val="none"/>
          <w:u w:val="none"/>
          <w:lang w:val="en-US" w:eastAsia="zh-CN" w:bidi="ar"/>
        </w:rPr>
        <w:t>：</w:t>
      </w:r>
      <w:r>
        <w:rPr>
          <w:rFonts w:hint="eastAsia" w:ascii="宋体" w:hAnsi="宋体" w:cs="宋体"/>
          <w:color w:val="auto"/>
          <w:sz w:val="24"/>
          <w:highlight w:val="none"/>
          <w:shd w:val="clear" w:color="auto" w:fill="FFFFFF"/>
          <w:lang w:eastAsia="zh-CN"/>
        </w:rPr>
        <w:t>北京城市副中心绿地养护北京城市副中心行政办公区南区绿地(一标段)</w:t>
      </w:r>
      <w:r>
        <w:rPr>
          <w:rFonts w:hint="default" w:ascii="宋体" w:hAnsi="宋体"/>
          <w:b w:val="0"/>
          <w:bCs w:val="0"/>
          <w:color w:val="auto"/>
          <w:sz w:val="24"/>
          <w:highlight w:val="none"/>
          <w:lang w:val="en-US" w:eastAsia="zh-CN"/>
        </w:rPr>
        <w:t>:东至通济路路、西至六环路、南至云帆路、北至运潮减河</w:t>
      </w:r>
      <w:r>
        <w:rPr>
          <w:rFonts w:hint="eastAsia" w:ascii="宋体" w:hAnsi="宋体"/>
          <w:b w:val="0"/>
          <w:bCs w:val="0"/>
          <w:color w:val="auto"/>
          <w:sz w:val="24"/>
          <w:highlight w:val="none"/>
          <w:lang w:val="en-US" w:eastAsia="zh-CN"/>
        </w:rPr>
        <w:t>；最终以图示范围为准；对</w:t>
      </w:r>
      <w:r>
        <w:rPr>
          <w:rFonts w:hint="eastAsia" w:ascii="宋体" w:hAnsi="宋体" w:cs="宋体"/>
          <w:color w:val="auto"/>
          <w:sz w:val="24"/>
          <w:highlight w:val="none"/>
          <w:shd w:val="clear" w:color="auto" w:fill="FFFFFF"/>
          <w:lang w:eastAsia="zh-CN"/>
        </w:rPr>
        <w:t>北京城市副中心绿地养护北京城市副中心行政办公区南区绿地(一标段)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养护绿化面积433043</w:t>
      </w:r>
      <w:r>
        <w:rPr>
          <w:rFonts w:hint="eastAsia" w:ascii="宋体" w:hAnsi="宋体" w:cs="Times New Roman"/>
          <w:color w:val="auto"/>
          <w:kern w:val="2"/>
          <w:sz w:val="24"/>
          <w:szCs w:val="24"/>
          <w:highlight w:val="none"/>
          <w:lang w:val="en-US" w:eastAsia="zh-CN" w:bidi="ar"/>
        </w:rPr>
        <w:t>平方米进行浇水、施肥、病虫害防治、除草、修剪、花卉栽植、植物补植、防寒等日常养护管理，确保行政办公区绿地良好环境景观效果</w:t>
      </w:r>
      <w:r>
        <w:rPr>
          <w:rFonts w:hint="eastAsia" w:ascii="宋体" w:hAnsi="宋体"/>
          <w:b w:val="0"/>
          <w:bCs w:val="0"/>
          <w:color w:val="auto"/>
          <w:sz w:val="24"/>
          <w:highlight w:val="none"/>
          <w:lang w:val="en-US" w:eastAsia="zh-CN"/>
        </w:rPr>
        <w:t>。</w:t>
      </w:r>
    </w:p>
    <w:p w14:paraId="39602BD4">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6、采购限价：3468.674430万元。（特级绿地养护管理费限价为26.70元/平方米·年。一级绿地养护管理费限价为20.55元/平方米·年。二级绿地养护管理费限价为10.88元/平方米·年。）</w:t>
      </w:r>
    </w:p>
    <w:tbl>
      <w:tblPr>
        <w:tblStyle w:val="46"/>
        <w:tblW w:w="91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614"/>
        <w:gridCol w:w="928"/>
        <w:gridCol w:w="774"/>
        <w:gridCol w:w="1026"/>
        <w:gridCol w:w="949"/>
        <w:gridCol w:w="1342"/>
        <w:gridCol w:w="1145"/>
        <w:gridCol w:w="807"/>
      </w:tblGrid>
      <w:tr w14:paraId="1DD74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0" w:type="dxa"/>
            <w:tcBorders>
              <w:bottom w:val="single" w:color="000000" w:sz="4" w:space="0"/>
              <w:right w:val="single" w:color="000000" w:sz="4" w:space="0"/>
            </w:tcBorders>
            <w:shd w:val="clear" w:color="auto" w:fill="auto"/>
            <w:vAlign w:val="center"/>
          </w:tcPr>
          <w:p w14:paraId="0899F3A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1614" w:type="dxa"/>
            <w:tcBorders>
              <w:left w:val="single" w:color="000000" w:sz="4" w:space="0"/>
              <w:bottom w:val="single" w:color="auto" w:sz="4" w:space="0"/>
              <w:right w:val="single" w:color="000000" w:sz="4" w:space="0"/>
            </w:tcBorders>
            <w:shd w:val="clear" w:color="auto" w:fill="auto"/>
            <w:vAlign w:val="center"/>
          </w:tcPr>
          <w:p w14:paraId="5A77A04A">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标的名称</w:t>
            </w:r>
          </w:p>
        </w:tc>
        <w:tc>
          <w:tcPr>
            <w:tcW w:w="928" w:type="dxa"/>
            <w:tcBorders>
              <w:left w:val="single" w:color="000000" w:sz="4" w:space="0"/>
              <w:bottom w:val="single" w:color="000000" w:sz="4" w:space="0"/>
              <w:right w:val="single" w:color="000000" w:sz="4" w:space="0"/>
            </w:tcBorders>
            <w:shd w:val="clear" w:color="auto" w:fill="auto"/>
            <w:vAlign w:val="center"/>
          </w:tcPr>
          <w:p w14:paraId="0A9E9F52">
            <w:pPr>
              <w:keepNext w:val="0"/>
              <w:keepLines w:val="0"/>
              <w:widowControl/>
              <w:suppressLineNumbers w:val="0"/>
              <w:jc w:val="center"/>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774" w:type="dxa"/>
            <w:tcBorders>
              <w:left w:val="single" w:color="000000" w:sz="4" w:space="0"/>
              <w:bottom w:val="single" w:color="000000" w:sz="4" w:space="0"/>
              <w:right w:val="single" w:color="000000" w:sz="4" w:space="0"/>
            </w:tcBorders>
            <w:shd w:val="clear" w:color="auto" w:fill="auto"/>
            <w:vAlign w:val="center"/>
          </w:tcPr>
          <w:p w14:paraId="6C0BEA1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类别</w:t>
            </w:r>
          </w:p>
        </w:tc>
        <w:tc>
          <w:tcPr>
            <w:tcW w:w="1026" w:type="dxa"/>
            <w:tcBorders>
              <w:left w:val="single" w:color="000000" w:sz="4" w:space="0"/>
              <w:bottom w:val="single" w:color="000000" w:sz="4" w:space="0"/>
              <w:right w:val="single" w:color="000000" w:sz="4" w:space="0"/>
            </w:tcBorders>
            <w:shd w:val="clear" w:color="auto" w:fill="auto"/>
            <w:vAlign w:val="center"/>
          </w:tcPr>
          <w:p w14:paraId="42585D6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949" w:type="dxa"/>
            <w:tcBorders>
              <w:left w:val="single" w:color="000000" w:sz="4" w:space="0"/>
              <w:bottom w:val="single" w:color="000000" w:sz="4" w:space="0"/>
              <w:right w:val="single" w:color="000000" w:sz="4" w:space="0"/>
            </w:tcBorders>
            <w:shd w:val="clear" w:color="auto" w:fill="auto"/>
            <w:vAlign w:val="center"/>
          </w:tcPr>
          <w:p w14:paraId="3E44450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342" w:type="dxa"/>
            <w:tcBorders>
              <w:left w:val="single" w:color="000000" w:sz="4" w:space="0"/>
              <w:bottom w:val="single" w:color="000000" w:sz="4" w:space="0"/>
              <w:right w:val="single" w:color="000000" w:sz="4" w:space="0"/>
            </w:tcBorders>
            <w:shd w:val="clear" w:color="auto" w:fill="auto"/>
            <w:vAlign w:val="center"/>
          </w:tcPr>
          <w:p w14:paraId="452A19E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w:t>
            </w:r>
            <w:r>
              <w:rPr>
                <w:rFonts w:hint="eastAsia" w:ascii="宋体" w:hAnsi="宋体" w:eastAsia="宋体" w:cs="宋体"/>
                <w:b/>
                <w:bCs/>
                <w:i w:val="0"/>
                <w:iCs w:val="0"/>
                <w:color w:val="auto"/>
                <w:kern w:val="0"/>
                <w:sz w:val="24"/>
                <w:szCs w:val="24"/>
                <w:highlight w:val="none"/>
                <w:u w:val="none"/>
                <w:lang w:val="en-US" w:eastAsia="zh-CN" w:bidi="ar"/>
              </w:rPr>
              <w:t>元）</w:t>
            </w:r>
          </w:p>
        </w:tc>
        <w:tc>
          <w:tcPr>
            <w:tcW w:w="1145" w:type="dxa"/>
            <w:tcBorders>
              <w:left w:val="single" w:color="000000" w:sz="4" w:space="0"/>
              <w:bottom w:val="single" w:color="000000" w:sz="4" w:space="0"/>
              <w:right w:val="single" w:color="000000" w:sz="4" w:space="0"/>
            </w:tcBorders>
            <w:shd w:val="clear" w:color="auto" w:fill="auto"/>
            <w:vAlign w:val="center"/>
          </w:tcPr>
          <w:p w14:paraId="0847F87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绿地养护等级</w:t>
            </w:r>
          </w:p>
        </w:tc>
        <w:tc>
          <w:tcPr>
            <w:tcW w:w="807" w:type="dxa"/>
            <w:tcBorders>
              <w:left w:val="single" w:color="000000" w:sz="4" w:space="0"/>
              <w:bottom w:val="single" w:color="000000" w:sz="4" w:space="0"/>
            </w:tcBorders>
            <w:shd w:val="clear" w:color="auto" w:fill="auto"/>
            <w:vAlign w:val="center"/>
          </w:tcPr>
          <w:p w14:paraId="08394ED2">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5688C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570" w:type="dxa"/>
            <w:tcBorders>
              <w:top w:val="single" w:color="000000" w:sz="4" w:space="0"/>
              <w:right w:val="single" w:color="000000" w:sz="4" w:space="0"/>
            </w:tcBorders>
            <w:shd w:val="clear" w:color="auto" w:fill="auto"/>
            <w:noWrap/>
            <w:vAlign w:val="center"/>
          </w:tcPr>
          <w:p w14:paraId="4A64A86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614" w:type="dxa"/>
            <w:tcBorders>
              <w:top w:val="single" w:color="auto" w:sz="4" w:space="0"/>
              <w:left w:val="single" w:color="auto" w:sz="4" w:space="0"/>
              <w:right w:val="single" w:color="000000" w:sz="4" w:space="0"/>
            </w:tcBorders>
            <w:shd w:val="clear" w:color="auto" w:fill="auto"/>
            <w:vAlign w:val="center"/>
          </w:tcPr>
          <w:p w14:paraId="4A89BFE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cs="宋体"/>
                <w:color w:val="auto"/>
                <w:sz w:val="24"/>
                <w:highlight w:val="none"/>
                <w:shd w:val="clear" w:color="auto" w:fill="FFFFFF"/>
                <w:lang w:eastAsia="zh-CN"/>
              </w:rPr>
              <w:t>北京城市副中心绿地养护北京城市副中心行政办公区南区绿地(一标段)</w:t>
            </w:r>
          </w:p>
        </w:tc>
        <w:tc>
          <w:tcPr>
            <w:tcW w:w="928" w:type="dxa"/>
            <w:tcBorders>
              <w:top w:val="single" w:color="000000" w:sz="4" w:space="0"/>
              <w:left w:val="single" w:color="auto" w:sz="4" w:space="0"/>
              <w:right w:val="single" w:color="000000" w:sz="4" w:space="0"/>
            </w:tcBorders>
            <w:shd w:val="clear" w:color="auto" w:fill="auto"/>
            <w:vAlign w:val="center"/>
          </w:tcPr>
          <w:p w14:paraId="64D638E9">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3年</w:t>
            </w:r>
          </w:p>
        </w:tc>
        <w:tc>
          <w:tcPr>
            <w:tcW w:w="774" w:type="dxa"/>
            <w:tcBorders>
              <w:top w:val="single" w:color="000000" w:sz="4" w:space="0"/>
              <w:left w:val="single" w:color="auto" w:sz="4" w:space="0"/>
              <w:right w:val="single" w:color="000000" w:sz="4" w:space="0"/>
            </w:tcBorders>
            <w:shd w:val="clear" w:color="auto" w:fill="auto"/>
            <w:vAlign w:val="center"/>
          </w:tcPr>
          <w:p w14:paraId="3C23017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绿地</w:t>
            </w:r>
          </w:p>
        </w:tc>
        <w:tc>
          <w:tcPr>
            <w:tcW w:w="1026" w:type="dxa"/>
            <w:tcBorders>
              <w:top w:val="single" w:color="000000" w:sz="4" w:space="0"/>
              <w:left w:val="single" w:color="000000" w:sz="4" w:space="0"/>
              <w:right w:val="single" w:color="000000" w:sz="4" w:space="0"/>
            </w:tcBorders>
            <w:shd w:val="clear" w:color="auto" w:fill="auto"/>
            <w:noWrap/>
            <w:vAlign w:val="center"/>
          </w:tcPr>
          <w:p w14:paraId="02DC4A6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433043</w:t>
            </w:r>
          </w:p>
        </w:tc>
        <w:tc>
          <w:tcPr>
            <w:tcW w:w="949" w:type="dxa"/>
            <w:tcBorders>
              <w:top w:val="single" w:color="000000" w:sz="4" w:space="0"/>
              <w:left w:val="single" w:color="000000" w:sz="4" w:space="0"/>
              <w:right w:val="single" w:color="000000" w:sz="4" w:space="0"/>
            </w:tcBorders>
            <w:shd w:val="clear" w:color="auto" w:fill="FFFFFF"/>
            <w:vAlign w:val="center"/>
          </w:tcPr>
          <w:p w14:paraId="1F29980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平方米</w:t>
            </w:r>
          </w:p>
        </w:tc>
        <w:tc>
          <w:tcPr>
            <w:tcW w:w="1342" w:type="dxa"/>
            <w:tcBorders>
              <w:top w:val="single" w:color="000000" w:sz="4" w:space="0"/>
              <w:left w:val="single" w:color="000000" w:sz="4" w:space="0"/>
              <w:right w:val="single" w:color="000000" w:sz="4" w:space="0"/>
            </w:tcBorders>
            <w:shd w:val="clear" w:color="auto" w:fill="auto"/>
            <w:vAlign w:val="center"/>
          </w:tcPr>
          <w:p w14:paraId="5ADBDBB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b w:val="0"/>
                <w:bCs w:val="0"/>
                <w:color w:val="auto"/>
                <w:sz w:val="24"/>
                <w:highlight w:val="none"/>
                <w:lang w:val="en-US" w:eastAsia="zh-CN"/>
              </w:rPr>
              <w:t xml:space="preserve">3468.674430 </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p>
        </w:tc>
        <w:tc>
          <w:tcPr>
            <w:tcW w:w="1145" w:type="dxa"/>
            <w:tcBorders>
              <w:top w:val="single" w:color="000000" w:sz="4" w:space="0"/>
              <w:left w:val="single" w:color="000000" w:sz="4" w:space="0"/>
              <w:right w:val="single" w:color="000000" w:sz="4" w:space="0"/>
            </w:tcBorders>
            <w:shd w:val="clear" w:color="auto" w:fill="auto"/>
            <w:noWrap/>
            <w:vAlign w:val="center"/>
          </w:tcPr>
          <w:p w14:paraId="2C0A94B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特级</w:t>
            </w:r>
          </w:p>
        </w:tc>
        <w:tc>
          <w:tcPr>
            <w:tcW w:w="807" w:type="dxa"/>
            <w:tcBorders>
              <w:top w:val="single" w:color="000000" w:sz="4" w:space="0"/>
              <w:left w:val="single" w:color="000000" w:sz="4" w:space="0"/>
            </w:tcBorders>
            <w:shd w:val="clear" w:color="auto" w:fill="auto"/>
            <w:noWrap/>
            <w:vAlign w:val="center"/>
          </w:tcPr>
          <w:p w14:paraId="78A56262">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p>
        </w:tc>
      </w:tr>
    </w:tbl>
    <w:p w14:paraId="5D3470F6">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7、服务期限：2026年1月1日起至2028年12月31日止，为期三年。</w:t>
      </w:r>
    </w:p>
    <w:p w14:paraId="5E6F4775">
      <w:pPr>
        <w:outlineLvl w:val="9"/>
        <w:rPr>
          <w:rFonts w:hint="eastAsia"/>
          <w:color w:val="auto"/>
          <w:highlight w:val="none"/>
          <w:lang w:val="en-US" w:eastAsia="zh-CN"/>
        </w:rPr>
      </w:pPr>
    </w:p>
    <w:p w14:paraId="16760338">
      <w:pPr>
        <w:spacing w:line="360" w:lineRule="auto"/>
        <w:ind w:firstLine="0" w:firstLineChars="0"/>
        <w:outlineLvl w:val="1"/>
        <w:rPr>
          <w:rFonts w:hint="default" w:ascii="宋体" w:hAnsi="宋体"/>
          <w:b/>
          <w:bCs w:val="0"/>
          <w:color w:val="auto"/>
          <w:sz w:val="24"/>
          <w:szCs w:val="24"/>
          <w:highlight w:val="none"/>
          <w:lang w:val="en-US" w:eastAsia="zh-CN"/>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p>
    <w:p w14:paraId="5273E231">
      <w:pPr>
        <w:spacing w:line="360" w:lineRule="auto"/>
        <w:ind w:firstLine="0" w:firstLineChars="0"/>
        <w:outlineLvl w:val="1"/>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2包</w:t>
      </w:r>
      <w:r>
        <w:rPr>
          <w:rFonts w:hint="default" w:ascii="宋体" w:hAnsi="宋体"/>
          <w:b/>
          <w:bCs w:val="0"/>
          <w:color w:val="auto"/>
          <w:sz w:val="24"/>
          <w:szCs w:val="24"/>
          <w:highlight w:val="none"/>
          <w:lang w:val="en-US" w:eastAsia="zh-CN"/>
        </w:rPr>
        <w:t>采购需求：</w:t>
      </w:r>
    </w:p>
    <w:p w14:paraId="2994FDFD">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7F4747D6">
      <w:pPr>
        <w:keepNext w:val="0"/>
        <w:keepLines w:val="0"/>
        <w:widowControl/>
        <w:suppressLineNumbers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1、标的名称：</w:t>
      </w:r>
      <w:r>
        <w:rPr>
          <w:rFonts w:hint="eastAsia" w:cs="宋体"/>
          <w:color w:val="auto"/>
          <w:sz w:val="24"/>
          <w:highlight w:val="none"/>
          <w:shd w:val="clear" w:color="auto" w:fill="FFFFFF"/>
          <w:lang w:eastAsia="zh-CN"/>
        </w:rPr>
        <w:t>北京城市副中心绿地养护北京城市副中心行政办公区北区绿地(二标段)</w:t>
      </w:r>
    </w:p>
    <w:p w14:paraId="4CA76209">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27A73097">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w:t>
      </w:r>
      <w:r>
        <w:rPr>
          <w:rFonts w:hint="eastAsia" w:ascii="宋体" w:hAnsi="宋体" w:eastAsia="宋体" w:cs="Times New Roman"/>
          <w:color w:val="auto"/>
          <w:kern w:val="2"/>
          <w:sz w:val="24"/>
          <w:szCs w:val="24"/>
          <w:highlight w:val="none"/>
          <w:u w:val="none"/>
          <w:lang w:val="en-US" w:eastAsia="zh-CN" w:bidi="ar"/>
        </w:rPr>
        <w:t>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lang w:val="en-US" w:eastAsia="zh-CN" w:bidi="ar"/>
        </w:rPr>
        <w:t xml:space="preserve"> </w:t>
      </w:r>
    </w:p>
    <w:p w14:paraId="1FAAC660">
      <w:pPr>
        <w:keepNext w:val="0"/>
        <w:keepLines w:val="0"/>
        <w:widowControl/>
        <w:suppressLineNumbers w:val="0"/>
        <w:spacing w:line="360" w:lineRule="auto"/>
        <w:ind w:firstLine="480" w:firstLineChars="200"/>
        <w:jc w:val="left"/>
        <w:rPr>
          <w:rFonts w:hint="eastAsia"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w:t>
      </w:r>
      <w:r>
        <w:rPr>
          <w:rFonts w:hint="eastAsia" w:cs="宋体"/>
          <w:color w:val="auto"/>
          <w:sz w:val="24"/>
          <w:highlight w:val="none"/>
          <w:shd w:val="clear" w:color="auto" w:fill="FFFFFF"/>
          <w:lang w:eastAsia="zh-CN"/>
        </w:rPr>
        <w:t>北京城市副中心绿地养护北京城市副中心行政办公区北区绿地(二标段)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222444平方米；二级养护绿化面积68699平方米。</w:t>
      </w:r>
    </w:p>
    <w:p w14:paraId="464183B1">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w:t>
      </w:r>
      <w:r>
        <w:rPr>
          <w:rFonts w:hint="eastAsia" w:cs="宋体"/>
          <w:color w:val="auto"/>
          <w:sz w:val="24"/>
          <w:highlight w:val="none"/>
          <w:shd w:val="clear" w:color="auto" w:fill="FFFFFF"/>
          <w:lang w:eastAsia="zh-CN"/>
        </w:rPr>
        <w:t>北京城市副中心绿地养护北京城市副中心行政办公区北区绿地(二标段)</w:t>
      </w:r>
      <w:r>
        <w:rPr>
          <w:rFonts w:hint="eastAsia" w:ascii="宋体" w:hAnsi="宋体"/>
          <w:b w:val="0"/>
          <w:bCs w:val="0"/>
          <w:color w:val="auto"/>
          <w:sz w:val="24"/>
          <w:highlight w:val="none"/>
          <w:lang w:val="en-US" w:eastAsia="zh-CN"/>
        </w:rPr>
        <w:t>:东至通济路路、西至六环路、南至云帆路、北至运潮减河；最终以图示范围为准；对</w:t>
      </w:r>
      <w:r>
        <w:rPr>
          <w:rFonts w:hint="eastAsia" w:cs="宋体"/>
          <w:color w:val="auto"/>
          <w:sz w:val="24"/>
          <w:highlight w:val="none"/>
          <w:shd w:val="clear" w:color="auto" w:fill="FFFFFF"/>
          <w:lang w:eastAsia="zh-CN"/>
        </w:rPr>
        <w:t>北京城市副中心绿地养护北京城市副中心行政办公区北区绿地(二标段)</w:t>
      </w:r>
      <w:r>
        <w:rPr>
          <w:rFonts w:hint="eastAsia" w:ascii="宋体" w:hAnsi="宋体"/>
          <w:b w:val="0"/>
          <w:bCs w:val="0"/>
          <w:color w:val="auto"/>
          <w:sz w:val="24"/>
          <w:highlight w:val="none"/>
          <w:lang w:val="en-US" w:eastAsia="zh-CN"/>
        </w:rPr>
        <w:t>绿地养护面积291143㎡，其中：特级养护绿化面积222444平方米，二级养护绿化面积68699平方米进行浇水、施肥、病虫害防治、除草、修剪、花卉栽植、植物补植、防寒等日常养护管理，确保行政办公区绿地良好环境景观效果。</w:t>
      </w:r>
    </w:p>
    <w:p w14:paraId="1385B0CA">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6、采购限价：2006.011578万元。（特级绿地养护管理费限价为26.70元/平方米·年。一级绿地养护管理费限价为20.55元/平方米·年。二级绿地养护管理费限价为10.88元/平方米·年。）</w:t>
      </w:r>
    </w:p>
    <w:tbl>
      <w:tblPr>
        <w:tblStyle w:val="46"/>
        <w:tblpPr w:leftFromText="180" w:rightFromText="180" w:vertAnchor="text" w:horzAnchor="page" w:tblpX="1626" w:tblpY="136"/>
        <w:tblOverlap w:val="never"/>
        <w:tblW w:w="499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
        <w:gridCol w:w="1429"/>
        <w:gridCol w:w="807"/>
        <w:gridCol w:w="862"/>
        <w:gridCol w:w="993"/>
        <w:gridCol w:w="982"/>
        <w:gridCol w:w="1603"/>
        <w:gridCol w:w="1059"/>
        <w:gridCol w:w="1025"/>
      </w:tblGrid>
      <w:tr w14:paraId="3C91E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7" w:type="pct"/>
            <w:tcBorders>
              <w:bottom w:val="single" w:color="000000" w:sz="4" w:space="0"/>
              <w:right w:val="single" w:color="000000" w:sz="4" w:space="0"/>
            </w:tcBorders>
            <w:shd w:val="clear" w:color="auto" w:fill="auto"/>
            <w:vAlign w:val="center"/>
          </w:tcPr>
          <w:p w14:paraId="10B81AE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770" w:type="pct"/>
            <w:tcBorders>
              <w:left w:val="single" w:color="000000" w:sz="4" w:space="0"/>
              <w:bottom w:val="single" w:color="auto" w:sz="4" w:space="0"/>
              <w:right w:val="single" w:color="000000" w:sz="4" w:space="0"/>
            </w:tcBorders>
            <w:shd w:val="clear" w:color="auto" w:fill="auto"/>
            <w:vAlign w:val="center"/>
          </w:tcPr>
          <w:p w14:paraId="30177EA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标的名称</w:t>
            </w:r>
          </w:p>
        </w:tc>
        <w:tc>
          <w:tcPr>
            <w:tcW w:w="435" w:type="pct"/>
            <w:tcBorders>
              <w:left w:val="single" w:color="000000" w:sz="4" w:space="0"/>
              <w:bottom w:val="single" w:color="000000" w:sz="4" w:space="0"/>
              <w:right w:val="single" w:color="000000" w:sz="4" w:space="0"/>
            </w:tcBorders>
            <w:shd w:val="clear" w:color="auto" w:fill="auto"/>
            <w:vAlign w:val="center"/>
          </w:tcPr>
          <w:p w14:paraId="37FC5BFD">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464" w:type="pct"/>
            <w:tcBorders>
              <w:left w:val="single" w:color="000000" w:sz="4" w:space="0"/>
              <w:bottom w:val="single" w:color="000000" w:sz="4" w:space="0"/>
              <w:right w:val="single" w:color="000000" w:sz="4" w:space="0"/>
            </w:tcBorders>
            <w:shd w:val="clear" w:color="auto" w:fill="auto"/>
            <w:vAlign w:val="center"/>
          </w:tcPr>
          <w:p w14:paraId="51B3FCC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类别</w:t>
            </w:r>
          </w:p>
        </w:tc>
        <w:tc>
          <w:tcPr>
            <w:tcW w:w="535" w:type="pct"/>
            <w:tcBorders>
              <w:left w:val="single" w:color="000000" w:sz="4" w:space="0"/>
              <w:bottom w:val="single" w:color="000000" w:sz="4" w:space="0"/>
              <w:right w:val="single" w:color="000000" w:sz="4" w:space="0"/>
            </w:tcBorders>
            <w:shd w:val="clear" w:color="auto" w:fill="auto"/>
            <w:vAlign w:val="center"/>
          </w:tcPr>
          <w:p w14:paraId="2960B34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529" w:type="pct"/>
            <w:tcBorders>
              <w:left w:val="single" w:color="000000" w:sz="4" w:space="0"/>
              <w:bottom w:val="single" w:color="000000" w:sz="4" w:space="0"/>
              <w:right w:val="single" w:color="000000" w:sz="4" w:space="0"/>
            </w:tcBorders>
            <w:shd w:val="clear" w:color="auto" w:fill="auto"/>
            <w:vAlign w:val="center"/>
          </w:tcPr>
          <w:p w14:paraId="6CCD9C5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864" w:type="pct"/>
            <w:tcBorders>
              <w:left w:val="single" w:color="000000" w:sz="4" w:space="0"/>
              <w:bottom w:val="single" w:color="000000" w:sz="4" w:space="0"/>
              <w:right w:val="single" w:color="000000" w:sz="4" w:space="0"/>
            </w:tcBorders>
            <w:shd w:val="clear" w:color="auto" w:fill="auto"/>
            <w:vAlign w:val="center"/>
          </w:tcPr>
          <w:p w14:paraId="0E6550B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w:t>
            </w:r>
            <w:r>
              <w:rPr>
                <w:rFonts w:hint="eastAsia" w:ascii="宋体" w:hAnsi="宋体" w:eastAsia="宋体" w:cs="宋体"/>
                <w:b/>
                <w:bCs/>
                <w:i w:val="0"/>
                <w:iCs w:val="0"/>
                <w:color w:val="auto"/>
                <w:kern w:val="0"/>
                <w:sz w:val="24"/>
                <w:szCs w:val="24"/>
                <w:highlight w:val="none"/>
                <w:u w:val="none"/>
                <w:lang w:val="en-US" w:eastAsia="zh-CN" w:bidi="ar"/>
              </w:rPr>
              <w:t>元）</w:t>
            </w:r>
          </w:p>
        </w:tc>
        <w:tc>
          <w:tcPr>
            <w:tcW w:w="570" w:type="pct"/>
            <w:tcBorders>
              <w:left w:val="single" w:color="000000" w:sz="4" w:space="0"/>
              <w:bottom w:val="single" w:color="000000" w:sz="4" w:space="0"/>
              <w:right w:val="single" w:color="000000" w:sz="4" w:space="0"/>
            </w:tcBorders>
            <w:shd w:val="clear" w:color="auto" w:fill="auto"/>
            <w:vAlign w:val="center"/>
          </w:tcPr>
          <w:p w14:paraId="0304B58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绿地养护等级</w:t>
            </w:r>
          </w:p>
        </w:tc>
        <w:tc>
          <w:tcPr>
            <w:tcW w:w="552" w:type="pct"/>
            <w:tcBorders>
              <w:left w:val="single" w:color="000000" w:sz="4" w:space="0"/>
              <w:bottom w:val="single" w:color="000000" w:sz="4" w:space="0"/>
            </w:tcBorders>
            <w:shd w:val="clear" w:color="auto" w:fill="auto"/>
            <w:vAlign w:val="center"/>
          </w:tcPr>
          <w:p w14:paraId="60C490B7">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29DA1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277" w:type="pct"/>
            <w:vMerge w:val="restart"/>
            <w:tcBorders>
              <w:top w:val="single" w:color="000000" w:sz="4" w:space="0"/>
              <w:right w:val="single" w:color="000000" w:sz="4" w:space="0"/>
            </w:tcBorders>
            <w:shd w:val="clear" w:color="auto" w:fill="auto"/>
            <w:noWrap/>
            <w:vAlign w:val="center"/>
          </w:tcPr>
          <w:p w14:paraId="4D9F4EFE">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cs="宋体"/>
                <w:b w:val="0"/>
                <w:bCs w:val="0"/>
                <w:i w:val="0"/>
                <w:iCs w:val="0"/>
                <w:color w:val="auto"/>
                <w:kern w:val="0"/>
                <w:sz w:val="24"/>
                <w:szCs w:val="24"/>
                <w:highlight w:val="none"/>
                <w:u w:val="none"/>
                <w:lang w:val="en-US" w:eastAsia="zh-CN" w:bidi="ar"/>
              </w:rPr>
              <w:t>2</w:t>
            </w:r>
          </w:p>
        </w:tc>
        <w:tc>
          <w:tcPr>
            <w:tcW w:w="770" w:type="pct"/>
            <w:vMerge w:val="restart"/>
            <w:tcBorders>
              <w:top w:val="single" w:color="auto" w:sz="4" w:space="0"/>
              <w:left w:val="single" w:color="auto" w:sz="4" w:space="0"/>
              <w:right w:val="single" w:color="000000" w:sz="4" w:space="0"/>
            </w:tcBorders>
            <w:shd w:val="clear" w:color="auto" w:fill="auto"/>
            <w:vAlign w:val="center"/>
          </w:tcPr>
          <w:p w14:paraId="14FA90B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cs="宋体"/>
                <w:color w:val="auto"/>
                <w:sz w:val="24"/>
                <w:highlight w:val="none"/>
                <w:shd w:val="clear" w:color="auto" w:fill="FFFFFF"/>
                <w:lang w:eastAsia="zh-CN"/>
              </w:rPr>
              <w:t>北京城市副中心绿地养护北京城市副中心行政办公区北区绿地(二标段)</w:t>
            </w:r>
          </w:p>
        </w:tc>
        <w:tc>
          <w:tcPr>
            <w:tcW w:w="435" w:type="pct"/>
            <w:tcBorders>
              <w:top w:val="single" w:color="000000" w:sz="4" w:space="0"/>
              <w:left w:val="single" w:color="auto" w:sz="4" w:space="0"/>
              <w:bottom w:val="nil"/>
              <w:right w:val="single" w:color="000000" w:sz="4" w:space="0"/>
            </w:tcBorders>
            <w:shd w:val="clear" w:color="auto" w:fill="auto"/>
            <w:vAlign w:val="center"/>
          </w:tcPr>
          <w:p w14:paraId="54E49766">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3年</w:t>
            </w:r>
          </w:p>
        </w:tc>
        <w:tc>
          <w:tcPr>
            <w:tcW w:w="464" w:type="pct"/>
            <w:tcBorders>
              <w:top w:val="single" w:color="000000" w:sz="4" w:space="0"/>
              <w:left w:val="single" w:color="auto" w:sz="4" w:space="0"/>
              <w:bottom w:val="nil"/>
              <w:right w:val="single" w:color="000000" w:sz="4" w:space="0"/>
            </w:tcBorders>
            <w:shd w:val="clear" w:color="auto" w:fill="auto"/>
            <w:vAlign w:val="center"/>
          </w:tcPr>
          <w:p w14:paraId="4DCB2DC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绿地</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AD2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cs="Times New Roman"/>
                <w:color w:val="auto"/>
                <w:kern w:val="2"/>
                <w:sz w:val="24"/>
                <w:szCs w:val="24"/>
                <w:highlight w:val="none"/>
                <w:lang w:val="en-US" w:eastAsia="zh-CN" w:bidi="ar"/>
              </w:rPr>
              <w:t>222444</w:t>
            </w: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313B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平方米</w:t>
            </w:r>
          </w:p>
        </w:tc>
        <w:tc>
          <w:tcPr>
            <w:tcW w:w="864" w:type="pct"/>
            <w:vMerge w:val="restart"/>
            <w:tcBorders>
              <w:top w:val="single" w:color="000000" w:sz="4" w:space="0"/>
              <w:left w:val="single" w:color="000000" w:sz="4" w:space="0"/>
              <w:right w:val="single" w:color="000000" w:sz="4" w:space="0"/>
            </w:tcBorders>
            <w:shd w:val="clear" w:color="auto" w:fill="auto"/>
            <w:vAlign w:val="center"/>
          </w:tcPr>
          <w:p w14:paraId="3B15277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b w:val="0"/>
                <w:bCs w:val="0"/>
                <w:color w:val="auto"/>
                <w:sz w:val="24"/>
                <w:highlight w:val="none"/>
                <w:lang w:val="en-US" w:eastAsia="zh-CN"/>
              </w:rPr>
              <w:t>2006.011578</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F2A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特级</w:t>
            </w:r>
          </w:p>
        </w:tc>
        <w:tc>
          <w:tcPr>
            <w:tcW w:w="552" w:type="pct"/>
            <w:tcBorders>
              <w:top w:val="single" w:color="000000" w:sz="4" w:space="0"/>
              <w:left w:val="single" w:color="000000" w:sz="4" w:space="0"/>
              <w:bottom w:val="single" w:color="000000" w:sz="4" w:space="0"/>
            </w:tcBorders>
            <w:shd w:val="clear" w:color="auto" w:fill="auto"/>
            <w:noWrap/>
            <w:vAlign w:val="center"/>
          </w:tcPr>
          <w:p w14:paraId="646C534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5CFC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277" w:type="pct"/>
            <w:vMerge w:val="continue"/>
            <w:tcBorders>
              <w:right w:val="single" w:color="000000" w:sz="4" w:space="0"/>
            </w:tcBorders>
            <w:shd w:val="clear" w:color="auto" w:fill="auto"/>
            <w:noWrap/>
            <w:vAlign w:val="center"/>
          </w:tcPr>
          <w:p w14:paraId="4B3CB686">
            <w:pPr>
              <w:jc w:val="center"/>
              <w:rPr>
                <w:rFonts w:hint="eastAsia" w:ascii="宋体" w:hAnsi="宋体" w:eastAsia="宋体" w:cs="宋体"/>
                <w:b w:val="0"/>
                <w:bCs w:val="0"/>
                <w:i w:val="0"/>
                <w:iCs w:val="0"/>
                <w:color w:val="auto"/>
                <w:sz w:val="24"/>
                <w:szCs w:val="24"/>
                <w:highlight w:val="none"/>
                <w:u w:val="none"/>
              </w:rPr>
            </w:pPr>
          </w:p>
        </w:tc>
        <w:tc>
          <w:tcPr>
            <w:tcW w:w="770" w:type="pct"/>
            <w:vMerge w:val="continue"/>
            <w:tcBorders>
              <w:left w:val="single" w:color="auto" w:sz="4" w:space="0"/>
              <w:right w:val="single" w:color="000000" w:sz="4" w:space="0"/>
            </w:tcBorders>
            <w:shd w:val="clear" w:color="auto" w:fill="auto"/>
            <w:vAlign w:val="center"/>
          </w:tcPr>
          <w:p w14:paraId="25828F9C">
            <w:pPr>
              <w:jc w:val="center"/>
              <w:rPr>
                <w:rFonts w:hint="eastAsia" w:ascii="宋体" w:hAnsi="宋体" w:eastAsia="宋体" w:cs="宋体"/>
                <w:b w:val="0"/>
                <w:bCs w:val="0"/>
                <w:i w:val="0"/>
                <w:iCs w:val="0"/>
                <w:color w:val="auto"/>
                <w:sz w:val="24"/>
                <w:szCs w:val="24"/>
                <w:highlight w:val="none"/>
                <w:u w:val="none"/>
              </w:rPr>
            </w:pPr>
          </w:p>
        </w:tc>
        <w:tc>
          <w:tcPr>
            <w:tcW w:w="435" w:type="pct"/>
            <w:tcBorders>
              <w:top w:val="single" w:color="000000" w:sz="4" w:space="0"/>
              <w:left w:val="single" w:color="auto" w:sz="4" w:space="0"/>
              <w:right w:val="single" w:color="000000" w:sz="4" w:space="0"/>
            </w:tcBorders>
            <w:shd w:val="clear" w:color="auto" w:fill="FFFFFF"/>
            <w:vAlign w:val="center"/>
          </w:tcPr>
          <w:p w14:paraId="7C31C7F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464" w:type="pct"/>
            <w:tcBorders>
              <w:top w:val="single" w:color="000000" w:sz="4" w:space="0"/>
              <w:left w:val="single" w:color="auto" w:sz="4" w:space="0"/>
              <w:right w:val="single" w:color="000000" w:sz="4" w:space="0"/>
            </w:tcBorders>
            <w:shd w:val="clear" w:color="auto" w:fill="FFFFFF"/>
            <w:vAlign w:val="center"/>
          </w:tcPr>
          <w:p w14:paraId="6E8FDE9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w:t>
            </w:r>
          </w:p>
        </w:tc>
        <w:tc>
          <w:tcPr>
            <w:tcW w:w="535" w:type="pct"/>
            <w:tcBorders>
              <w:top w:val="single" w:color="000000" w:sz="4" w:space="0"/>
              <w:left w:val="single" w:color="000000" w:sz="4" w:space="0"/>
              <w:right w:val="single" w:color="000000" w:sz="4" w:space="0"/>
            </w:tcBorders>
            <w:shd w:val="clear" w:color="auto" w:fill="FFFFFF"/>
            <w:vAlign w:val="center"/>
          </w:tcPr>
          <w:p w14:paraId="2F82D29E">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68699</w:t>
            </w:r>
          </w:p>
        </w:tc>
        <w:tc>
          <w:tcPr>
            <w:tcW w:w="529" w:type="pct"/>
            <w:tcBorders>
              <w:top w:val="single" w:color="000000" w:sz="4" w:space="0"/>
              <w:left w:val="single" w:color="000000" w:sz="4" w:space="0"/>
              <w:right w:val="single" w:color="000000" w:sz="4" w:space="0"/>
            </w:tcBorders>
            <w:shd w:val="clear" w:color="auto" w:fill="FFFFFF"/>
            <w:vAlign w:val="center"/>
          </w:tcPr>
          <w:p w14:paraId="1AD063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864" w:type="pct"/>
            <w:vMerge w:val="continue"/>
            <w:tcBorders>
              <w:left w:val="single" w:color="000000" w:sz="4" w:space="0"/>
              <w:right w:val="single" w:color="000000" w:sz="4" w:space="0"/>
            </w:tcBorders>
            <w:shd w:val="clear" w:color="auto" w:fill="auto"/>
            <w:vAlign w:val="center"/>
          </w:tcPr>
          <w:p w14:paraId="330B36E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570" w:type="pct"/>
            <w:tcBorders>
              <w:top w:val="single" w:color="000000" w:sz="4" w:space="0"/>
              <w:left w:val="single" w:color="000000" w:sz="4" w:space="0"/>
              <w:right w:val="single" w:color="000000" w:sz="4" w:space="0"/>
            </w:tcBorders>
            <w:shd w:val="clear" w:color="auto" w:fill="FFFFFF"/>
            <w:vAlign w:val="center"/>
          </w:tcPr>
          <w:p w14:paraId="3F88F046">
            <w:pPr>
              <w:jc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二级</w:t>
            </w:r>
          </w:p>
        </w:tc>
        <w:tc>
          <w:tcPr>
            <w:tcW w:w="552" w:type="pct"/>
            <w:tcBorders>
              <w:top w:val="single" w:color="000000" w:sz="4" w:space="0"/>
              <w:left w:val="single" w:color="000000" w:sz="4" w:space="0"/>
            </w:tcBorders>
            <w:shd w:val="clear" w:color="auto" w:fill="FFFFFF"/>
            <w:vAlign w:val="center"/>
          </w:tcPr>
          <w:p w14:paraId="1C7C179C">
            <w:pPr>
              <w:jc w:val="center"/>
              <w:rPr>
                <w:rFonts w:hint="eastAsia" w:ascii="宋体" w:hAnsi="宋体" w:eastAsia="宋体" w:cs="宋体"/>
                <w:b w:val="0"/>
                <w:bCs w:val="0"/>
                <w:i w:val="0"/>
                <w:iCs w:val="0"/>
                <w:color w:val="auto"/>
                <w:sz w:val="24"/>
                <w:szCs w:val="24"/>
                <w:highlight w:val="none"/>
                <w:u w:val="none"/>
              </w:rPr>
            </w:pPr>
          </w:p>
        </w:tc>
      </w:tr>
    </w:tbl>
    <w:p w14:paraId="1A907EA5">
      <w:pPr>
        <w:spacing w:line="360" w:lineRule="auto"/>
        <w:ind w:firstLine="0" w:firstLineChars="0"/>
        <w:rPr>
          <w:rFonts w:hint="eastAsia" w:ascii="宋体" w:hAnsi="宋体"/>
          <w:b/>
          <w:bCs/>
          <w:color w:val="auto"/>
          <w:sz w:val="36"/>
          <w:szCs w:val="36"/>
          <w:highlight w:val="none"/>
          <w:lang w:val="en-US" w:eastAsia="zh-CN"/>
        </w:rPr>
        <w:sectPr>
          <w:pgSz w:w="11907" w:h="16840"/>
          <w:pgMar w:top="1418" w:right="1134" w:bottom="1418" w:left="1701" w:header="851" w:footer="851" w:gutter="0"/>
          <w:pgNumType w:fmt="decimal"/>
          <w:cols w:space="720" w:num="1"/>
          <w:docGrid w:linePitch="462" w:charSpace="0"/>
        </w:sectPr>
      </w:pPr>
      <w:r>
        <w:rPr>
          <w:rFonts w:hint="eastAsia" w:ascii="宋体" w:hAnsi="宋体"/>
          <w:b w:val="0"/>
          <w:bCs w:val="0"/>
          <w:color w:val="auto"/>
          <w:sz w:val="24"/>
          <w:highlight w:val="none"/>
          <w:lang w:val="en-US" w:eastAsia="zh-CN"/>
        </w:rPr>
        <w:t xml:space="preserve">  7、服务期限：</w:t>
      </w:r>
      <w:r>
        <w:rPr>
          <w:rFonts w:hint="eastAsia" w:ascii="宋体" w:hAnsi="宋体" w:cs="宋体"/>
          <w:color w:val="auto"/>
          <w:sz w:val="24"/>
          <w:highlight w:val="none"/>
          <w:lang w:val="en-US" w:eastAsia="zh-CN"/>
        </w:rPr>
        <w:t>2026年1月1日起至2028年12月31日止，为期三年。</w:t>
      </w:r>
    </w:p>
    <w:p w14:paraId="38B29A1A">
      <w:pPr>
        <w:spacing w:line="360" w:lineRule="auto"/>
        <w:ind w:firstLine="0" w:firstLineChars="0"/>
        <w:outlineLvl w:val="1"/>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3包</w:t>
      </w:r>
      <w:r>
        <w:rPr>
          <w:rFonts w:hint="default" w:ascii="宋体" w:hAnsi="宋体"/>
          <w:b/>
          <w:bCs w:val="0"/>
          <w:color w:val="auto"/>
          <w:sz w:val="24"/>
          <w:szCs w:val="24"/>
          <w:highlight w:val="none"/>
          <w:lang w:val="en-US" w:eastAsia="zh-CN"/>
        </w:rPr>
        <w:t>采购需求：</w:t>
      </w:r>
    </w:p>
    <w:p w14:paraId="19CFE408">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1DC190CA">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cs="宋体"/>
          <w:color w:val="auto"/>
          <w:sz w:val="24"/>
          <w:highlight w:val="none"/>
          <w:shd w:val="clear" w:color="auto" w:fill="FFFFFF"/>
          <w:lang w:eastAsia="zh-CN"/>
        </w:rPr>
        <w:t>北京城市副中心绿地养护北京城市副中心行政办公区东区绿地（三标段）</w:t>
      </w:r>
      <w:r>
        <w:rPr>
          <w:rFonts w:hint="eastAsia" w:ascii="宋体" w:hAnsi="宋体" w:eastAsia="宋体" w:cs="Times New Roman"/>
          <w:color w:val="auto"/>
          <w:kern w:val="2"/>
          <w:sz w:val="24"/>
          <w:szCs w:val="24"/>
          <w:highlight w:val="none"/>
          <w:lang w:val="en-US" w:eastAsia="zh-CN" w:bidi="ar"/>
        </w:rPr>
        <w:t xml:space="preserve"> </w:t>
      </w:r>
    </w:p>
    <w:p w14:paraId="45024DE5">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5FBF5B26">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w:t>
      </w:r>
      <w:r>
        <w:rPr>
          <w:rFonts w:hint="eastAsia" w:ascii="宋体" w:hAnsi="宋体" w:eastAsia="宋体" w:cs="Times New Roman"/>
          <w:color w:val="auto"/>
          <w:kern w:val="2"/>
          <w:sz w:val="24"/>
          <w:szCs w:val="24"/>
          <w:highlight w:val="none"/>
          <w:u w:val="none"/>
          <w:lang w:val="en-US" w:eastAsia="zh-CN" w:bidi="ar"/>
        </w:rPr>
        <w:t>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lang w:val="en-US" w:eastAsia="zh-CN" w:bidi="ar"/>
        </w:rPr>
        <w:t xml:space="preserve"> </w:t>
      </w:r>
    </w:p>
    <w:p w14:paraId="4371215E">
      <w:pPr>
        <w:keepNext w:val="0"/>
        <w:keepLines w:val="0"/>
        <w:widowControl/>
        <w:suppressLineNumbers w:val="0"/>
        <w:spacing w:line="360" w:lineRule="auto"/>
        <w:ind w:firstLine="480" w:firstLineChars="200"/>
        <w:jc w:val="left"/>
        <w:rPr>
          <w:rFonts w:hint="eastAsia"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w:t>
      </w:r>
      <w:r>
        <w:rPr>
          <w:rFonts w:hint="eastAsia" w:cs="宋体"/>
          <w:color w:val="auto"/>
          <w:sz w:val="24"/>
          <w:highlight w:val="none"/>
          <w:shd w:val="clear" w:color="auto" w:fill="FFFFFF"/>
          <w:lang w:eastAsia="zh-CN"/>
        </w:rPr>
        <w:t>北京城市副中心绿地养护北京城市副中心行政办公区东区绿地（三标段）</w:t>
      </w:r>
      <w:r>
        <w:rPr>
          <w:rFonts w:hint="eastAsia" w:ascii="宋体" w:hAnsi="宋体" w:eastAsia="宋体" w:cs="Times New Roman"/>
          <w:color w:val="auto"/>
          <w:kern w:val="2"/>
          <w:sz w:val="24"/>
          <w:szCs w:val="24"/>
          <w:highlight w:val="none"/>
          <w:lang w:val="en-US" w:eastAsia="zh-CN" w:bidi="ar"/>
        </w:rPr>
        <w:t>全年</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191775.29平方米；全年一级养护绿化面积19155.01平方米。</w:t>
      </w:r>
    </w:p>
    <w:p w14:paraId="449DA917">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w:t>
      </w:r>
      <w:r>
        <w:rPr>
          <w:rFonts w:hint="eastAsia" w:ascii="宋体" w:hAnsi="宋体" w:cs="Times New Roman"/>
          <w:color w:val="auto"/>
          <w:kern w:val="2"/>
          <w:sz w:val="24"/>
          <w:szCs w:val="24"/>
          <w:highlight w:val="none"/>
          <w:lang w:val="en-US" w:eastAsia="zh-CN" w:bidi="ar"/>
        </w:rPr>
        <w:t>北京城市副中心绿地养护北京城市副中心行政办公区东区绿地（三标段）东至通济路路、西至六环路、南至云帆路、北至运潮减河；最终以图示范围为准；对</w:t>
      </w:r>
      <w:r>
        <w:rPr>
          <w:rFonts w:hint="eastAsia" w:cs="宋体"/>
          <w:color w:val="auto"/>
          <w:sz w:val="24"/>
          <w:highlight w:val="none"/>
          <w:shd w:val="clear" w:color="auto" w:fill="FFFFFF"/>
          <w:lang w:eastAsia="zh-CN"/>
        </w:rPr>
        <w:t>北京城市副中心绿地养护北京城市副中心行政办公区东区绿地（三标段）</w:t>
      </w:r>
      <w:r>
        <w:rPr>
          <w:rFonts w:hint="eastAsia" w:ascii="宋体" w:hAnsi="宋体" w:cs="Times New Roman"/>
          <w:color w:val="auto"/>
          <w:kern w:val="2"/>
          <w:sz w:val="24"/>
          <w:szCs w:val="24"/>
          <w:highlight w:val="none"/>
          <w:lang w:val="en-US" w:eastAsia="zh-CN" w:bidi="ar"/>
        </w:rPr>
        <w:t>绿地养护面积210930.3㎡，其中：特级养护绿化面积191775.29平方米，一级养护绿化面积19155.01平方米进行浇水、施肥、病虫害防治、除草、修剪、花卉栽植、植物补植、防寒等日常养护管理，确保行政办公区绿地良好环境景观效果。</w:t>
      </w:r>
    </w:p>
    <w:p w14:paraId="41BEEA73">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6、采购限价：1654.210710万元。（特级绿地养护管理费限价为26.70元/平方米·年。一级绿地养护管理费限价为20.55元/平方米·年。二级绿地养护管理费限价为10.88元/平方米·年。）</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625"/>
        <w:gridCol w:w="698"/>
        <w:gridCol w:w="808"/>
        <w:gridCol w:w="1483"/>
        <w:gridCol w:w="1004"/>
        <w:gridCol w:w="1710"/>
        <w:gridCol w:w="811"/>
        <w:gridCol w:w="666"/>
      </w:tblGrid>
      <w:tr w14:paraId="7EE0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D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CA74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标的名称</w:t>
            </w:r>
          </w:p>
        </w:tc>
        <w:tc>
          <w:tcPr>
            <w:tcW w:w="698" w:type="dxa"/>
            <w:tcBorders>
              <w:top w:val="single" w:color="000000" w:sz="4" w:space="0"/>
              <w:left w:val="single" w:color="000000" w:sz="4" w:space="0"/>
              <w:bottom w:val="single" w:color="auto" w:sz="4" w:space="0"/>
              <w:right w:val="single" w:color="000000" w:sz="4" w:space="0"/>
            </w:tcBorders>
            <w:shd w:val="clear" w:color="auto" w:fill="auto"/>
            <w:vAlign w:val="center"/>
          </w:tcPr>
          <w:p w14:paraId="00C5BE9B">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7F6F98F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类别</w:t>
            </w:r>
          </w:p>
        </w:tc>
        <w:tc>
          <w:tcPr>
            <w:tcW w:w="14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BCC8CA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1004" w:type="dxa"/>
            <w:tcBorders>
              <w:top w:val="single" w:color="000000" w:sz="4" w:space="0"/>
              <w:left w:val="single" w:color="000000" w:sz="4" w:space="0"/>
              <w:bottom w:val="single" w:color="auto" w:sz="4" w:space="0"/>
              <w:right w:val="single" w:color="000000" w:sz="4" w:space="0"/>
            </w:tcBorders>
            <w:shd w:val="clear" w:color="auto" w:fill="auto"/>
            <w:vAlign w:val="center"/>
          </w:tcPr>
          <w:p w14:paraId="3332D8A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7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A03F64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（万元）</w:t>
            </w:r>
          </w:p>
        </w:tc>
        <w:tc>
          <w:tcPr>
            <w:tcW w:w="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AA6D8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绿地等级</w:t>
            </w:r>
          </w:p>
        </w:tc>
        <w:tc>
          <w:tcPr>
            <w:tcW w:w="6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C37063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7A1E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483" w:type="dxa"/>
            <w:vMerge w:val="restart"/>
            <w:tcBorders>
              <w:top w:val="single" w:color="000000" w:sz="4" w:space="0"/>
              <w:left w:val="single" w:color="auto" w:sz="4" w:space="0"/>
              <w:bottom w:val="single" w:color="auto" w:sz="4" w:space="0"/>
              <w:right w:val="single" w:color="000000" w:sz="4" w:space="0"/>
            </w:tcBorders>
            <w:shd w:val="clear" w:color="auto" w:fill="auto"/>
            <w:noWrap/>
            <w:vAlign w:val="center"/>
          </w:tcPr>
          <w:p w14:paraId="37FBD2E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3</w:t>
            </w:r>
          </w:p>
        </w:tc>
        <w:tc>
          <w:tcPr>
            <w:tcW w:w="1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E3AF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s="宋体"/>
                <w:color w:val="auto"/>
                <w:sz w:val="24"/>
                <w:highlight w:val="none"/>
                <w:shd w:val="clear" w:color="auto" w:fill="FFFFFF"/>
                <w:lang w:eastAsia="zh-CN"/>
              </w:rPr>
              <w:t>北京城市副中心绿地养护北京城市副中心行政办公区东区绿地（三标段）</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2A5D6A8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276A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CDCE9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191775.29</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14:paraId="0A316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CEFA6">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b w:val="0"/>
                <w:bCs w:val="0"/>
                <w:color w:val="auto"/>
                <w:sz w:val="24"/>
                <w:highlight w:val="none"/>
                <w:lang w:val="en-US" w:eastAsia="zh-CN"/>
              </w:rPr>
              <w:t>1654.210710</w:t>
            </w: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02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w:t>
            </w:r>
          </w:p>
        </w:tc>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E7A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17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38E16F">
            <w:pPr>
              <w:jc w:val="center"/>
              <w:rPr>
                <w:rFonts w:hint="eastAsia" w:ascii="宋体" w:hAnsi="宋体" w:eastAsia="宋体" w:cs="宋体"/>
                <w:i w:val="0"/>
                <w:iCs w:val="0"/>
                <w:color w:val="auto"/>
                <w:sz w:val="24"/>
                <w:szCs w:val="24"/>
                <w:highlight w:val="none"/>
                <w:u w:val="none"/>
              </w:rPr>
            </w:pPr>
          </w:p>
        </w:tc>
        <w:tc>
          <w:tcPr>
            <w:tcW w:w="1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FC602">
            <w:pPr>
              <w:jc w:val="center"/>
              <w:rPr>
                <w:rFonts w:hint="eastAsia" w:ascii="宋体" w:hAnsi="宋体" w:eastAsia="宋体" w:cs="宋体"/>
                <w:i w:val="0"/>
                <w:iCs w:val="0"/>
                <w:color w:val="auto"/>
                <w:sz w:val="24"/>
                <w:szCs w:val="24"/>
                <w:highlight w:val="none"/>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6AB857C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52EA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14:paraId="4304A0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19155.01 </w:t>
            </w:r>
          </w:p>
        </w:tc>
        <w:tc>
          <w:tcPr>
            <w:tcW w:w="1004" w:type="dxa"/>
            <w:tcBorders>
              <w:top w:val="single" w:color="auto" w:sz="4" w:space="0"/>
              <w:left w:val="single" w:color="auto" w:sz="4" w:space="0"/>
              <w:bottom w:val="single" w:color="auto" w:sz="4" w:space="0"/>
              <w:right w:val="single" w:color="auto" w:sz="4" w:space="0"/>
            </w:tcBorders>
            <w:shd w:val="clear" w:color="auto" w:fill="FFFFFF"/>
            <w:vAlign w:val="center"/>
          </w:tcPr>
          <w:p w14:paraId="5121E9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9A7C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15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w:t>
            </w:r>
          </w:p>
        </w:tc>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7B9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F3BF56B">
      <w:pPr>
        <w:spacing w:line="360" w:lineRule="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 xml:space="preserve">  7、服务期限：2026年1月1日起至2028年12月31日止，为期三年。</w:t>
      </w:r>
    </w:p>
    <w:p w14:paraId="39D19F05">
      <w:pPr>
        <w:spacing w:line="360" w:lineRule="auto"/>
        <w:rPr>
          <w:rFonts w:hint="default" w:ascii="宋体" w:hAnsi="宋体"/>
          <w:b w:val="0"/>
          <w:bCs w:val="0"/>
          <w:color w:val="auto"/>
          <w:sz w:val="24"/>
          <w:highlight w:val="none"/>
          <w:lang w:val="en-US" w:eastAsia="zh-CN"/>
        </w:rPr>
      </w:pPr>
    </w:p>
    <w:p w14:paraId="44B5D1BB">
      <w:pPr>
        <w:pStyle w:val="17"/>
        <w:rPr>
          <w:rFonts w:hint="eastAsia"/>
          <w:color w:val="auto"/>
          <w:highlight w:val="none"/>
          <w:lang w:val="en-US" w:eastAsia="zh-CN"/>
        </w:rPr>
        <w:sectPr>
          <w:pgSz w:w="11907" w:h="16840"/>
          <w:pgMar w:top="1418" w:right="1134" w:bottom="1418" w:left="1701" w:header="851" w:footer="851" w:gutter="0"/>
          <w:pgNumType w:fmt="decimal"/>
          <w:cols w:space="720" w:num="1"/>
          <w:docGrid w:linePitch="462" w:charSpace="0"/>
        </w:sectPr>
      </w:pPr>
    </w:p>
    <w:p w14:paraId="461624D5">
      <w:pPr>
        <w:spacing w:line="360" w:lineRule="auto"/>
        <w:ind w:firstLine="0" w:firstLineChars="0"/>
        <w:outlineLvl w:val="1"/>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4包</w:t>
      </w:r>
      <w:r>
        <w:rPr>
          <w:rFonts w:hint="default" w:ascii="宋体" w:hAnsi="宋体"/>
          <w:b/>
          <w:bCs w:val="0"/>
          <w:color w:val="auto"/>
          <w:sz w:val="24"/>
          <w:szCs w:val="24"/>
          <w:highlight w:val="none"/>
          <w:lang w:val="en-US" w:eastAsia="zh-CN"/>
        </w:rPr>
        <w:t>采购需求：</w:t>
      </w:r>
    </w:p>
    <w:p w14:paraId="2A3B0CAA">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20CE39FD">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cs="宋体"/>
          <w:color w:val="auto"/>
          <w:sz w:val="24"/>
          <w:highlight w:val="none"/>
          <w:shd w:val="clear" w:color="auto" w:fill="FFFFFF"/>
          <w:lang w:eastAsia="zh-CN"/>
        </w:rPr>
        <w:t>北京城市副中心绿地养护北京城市副中心行政办公区西区绿地（四标段）</w:t>
      </w:r>
      <w:r>
        <w:rPr>
          <w:rFonts w:hint="eastAsia" w:ascii="宋体" w:hAnsi="宋体" w:eastAsia="宋体" w:cs="Times New Roman"/>
          <w:color w:val="auto"/>
          <w:kern w:val="2"/>
          <w:sz w:val="24"/>
          <w:szCs w:val="24"/>
          <w:highlight w:val="none"/>
          <w:lang w:val="en-US" w:eastAsia="zh-CN" w:bidi="ar"/>
        </w:rPr>
        <w:t xml:space="preserve"> </w:t>
      </w:r>
    </w:p>
    <w:p w14:paraId="3105F837">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7C800057">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w:t>
      </w:r>
      <w:r>
        <w:rPr>
          <w:rFonts w:hint="eastAsia" w:ascii="宋体" w:hAnsi="宋体" w:eastAsia="宋体" w:cs="Times New Roman"/>
          <w:color w:val="auto"/>
          <w:kern w:val="2"/>
          <w:sz w:val="24"/>
          <w:szCs w:val="24"/>
          <w:highlight w:val="none"/>
          <w:u w:val="none"/>
          <w:lang w:val="en-US" w:eastAsia="zh-CN" w:bidi="ar"/>
        </w:rPr>
        <w:t>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lang w:val="en-US" w:eastAsia="zh-CN" w:bidi="ar"/>
        </w:rPr>
        <w:t xml:space="preserve"> </w:t>
      </w:r>
    </w:p>
    <w:p w14:paraId="2A6D43C5">
      <w:pPr>
        <w:keepNext w:val="0"/>
        <w:keepLines w:val="0"/>
        <w:widowControl/>
        <w:suppressLineNumbers w:val="0"/>
        <w:spacing w:line="360" w:lineRule="auto"/>
        <w:ind w:firstLine="480" w:firstLineChars="200"/>
        <w:jc w:val="left"/>
        <w:rPr>
          <w:rFonts w:hint="eastAsia"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w:t>
      </w:r>
      <w:r>
        <w:rPr>
          <w:rFonts w:hint="eastAsia" w:cs="宋体"/>
          <w:color w:val="auto"/>
          <w:sz w:val="24"/>
          <w:highlight w:val="none"/>
          <w:shd w:val="clear" w:color="auto" w:fill="FFFFFF"/>
          <w:lang w:eastAsia="zh-CN"/>
        </w:rPr>
        <w:t>北京城市副中心绿地养护北京城市副中心行政办公区西区绿地（四标段）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130384.54平方米；一级养护绿化面积27371.80平方米。</w:t>
      </w:r>
    </w:p>
    <w:p w14:paraId="0E879915">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5、养护范围：北京城市副中心绿地养护北京城市副中心行政办公区西区绿地（四标段）东至通济路路、西至六环路、南至云帆路、北至运潮减河；最终以图示范围为准；对</w:t>
      </w:r>
      <w:r>
        <w:rPr>
          <w:rFonts w:hint="eastAsia" w:cs="宋体"/>
          <w:color w:val="auto"/>
          <w:sz w:val="24"/>
          <w:highlight w:val="none"/>
          <w:shd w:val="clear" w:color="auto" w:fill="FFFFFF"/>
          <w:lang w:eastAsia="zh-CN"/>
        </w:rPr>
        <w:t>北京城市副中心绿地养护北京城市副中心行政办公区西区绿地（四标段）</w:t>
      </w:r>
      <w:r>
        <w:rPr>
          <w:rFonts w:hint="eastAsia" w:ascii="宋体" w:hAnsi="宋体"/>
          <w:b w:val="0"/>
          <w:bCs w:val="0"/>
          <w:color w:val="auto"/>
          <w:sz w:val="24"/>
          <w:highlight w:val="none"/>
          <w:lang w:val="en-US" w:eastAsia="zh-CN"/>
        </w:rPr>
        <w:t>绿地养护面积157756.34㎡，其中：全年特级养护绿化面积130384.54平方米，全年一级养护绿化面积27371.80平方米</w:t>
      </w:r>
      <w:r>
        <w:rPr>
          <w:rFonts w:hint="eastAsia" w:ascii="宋体" w:hAnsi="宋体" w:cs="Times New Roman"/>
          <w:color w:val="auto"/>
          <w:kern w:val="2"/>
          <w:sz w:val="24"/>
          <w:szCs w:val="24"/>
          <w:highlight w:val="none"/>
          <w:lang w:val="en-US" w:eastAsia="zh-CN" w:bidi="ar"/>
        </w:rPr>
        <w:t>进行浇水、施肥、病虫害防治、除草、修剪、花卉栽植、植物补植、防寒等日常养护管理，确保行政办公区绿地良好环境景观效果。</w:t>
      </w:r>
    </w:p>
    <w:p w14:paraId="5783BD91">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w:t>
      </w:r>
      <w:r>
        <w:rPr>
          <w:rFonts w:hint="eastAsia" w:ascii="宋体" w:hAnsi="宋体" w:cs="宋体"/>
          <w:b w:val="0"/>
          <w:bCs w:val="0"/>
          <w:i w:val="0"/>
          <w:iCs w:val="0"/>
          <w:color w:val="auto"/>
          <w:sz w:val="24"/>
          <w:szCs w:val="24"/>
          <w:highlight w:val="none"/>
          <w:u w:val="none"/>
          <w:lang w:val="en-US" w:eastAsia="zh-CN"/>
        </w:rPr>
        <w:t>1213.127313万</w:t>
      </w:r>
      <w:r>
        <w:rPr>
          <w:rFonts w:hint="eastAsia" w:ascii="宋体" w:hAnsi="宋体"/>
          <w:b w:val="0"/>
          <w:bCs w:val="0"/>
          <w:color w:val="auto"/>
          <w:sz w:val="24"/>
          <w:highlight w:val="none"/>
          <w:lang w:val="en-US" w:eastAsia="zh-CN"/>
        </w:rPr>
        <w:t>元。（特级绿地养护管理费限价为26.70元/平方米·年。一级绿地养护管理费限价为20.55元/平方米·年。二级绿地养护管理费限价为10.88元/平方米·年。）</w:t>
      </w:r>
    </w:p>
    <w:tbl>
      <w:tblPr>
        <w:tblStyle w:val="4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950"/>
        <w:gridCol w:w="701"/>
        <w:gridCol w:w="840"/>
        <w:gridCol w:w="1363"/>
        <w:gridCol w:w="1007"/>
        <w:gridCol w:w="1536"/>
        <w:gridCol w:w="889"/>
        <w:gridCol w:w="541"/>
      </w:tblGrid>
      <w:tr w14:paraId="31ECB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C38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B1836D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标的名称</w:t>
            </w:r>
          </w:p>
        </w:tc>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14:paraId="4E6B1633">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9DB989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类别</w:t>
            </w:r>
          </w:p>
        </w:tc>
        <w:tc>
          <w:tcPr>
            <w:tcW w:w="1363" w:type="dxa"/>
            <w:tcBorders>
              <w:top w:val="single" w:color="000000" w:sz="4" w:space="0"/>
              <w:left w:val="single" w:color="000000" w:sz="4" w:space="0"/>
              <w:bottom w:val="single" w:color="auto" w:sz="4" w:space="0"/>
              <w:right w:val="single" w:color="000000" w:sz="4" w:space="0"/>
            </w:tcBorders>
            <w:shd w:val="clear" w:color="auto" w:fill="auto"/>
            <w:vAlign w:val="center"/>
          </w:tcPr>
          <w:p w14:paraId="38D91E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1007" w:type="dxa"/>
            <w:tcBorders>
              <w:top w:val="single" w:color="000000" w:sz="4" w:space="0"/>
              <w:left w:val="single" w:color="000000" w:sz="4" w:space="0"/>
              <w:bottom w:val="single" w:color="auto" w:sz="4" w:space="0"/>
              <w:right w:val="single" w:color="000000" w:sz="4" w:space="0"/>
            </w:tcBorders>
            <w:shd w:val="clear" w:color="auto" w:fill="auto"/>
            <w:vAlign w:val="center"/>
          </w:tcPr>
          <w:p w14:paraId="718E78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536" w:type="dxa"/>
            <w:tcBorders>
              <w:top w:val="single" w:color="000000" w:sz="4" w:space="0"/>
              <w:left w:val="single" w:color="000000" w:sz="4" w:space="0"/>
              <w:bottom w:val="single" w:color="auto" w:sz="4" w:space="0"/>
              <w:right w:val="single" w:color="000000" w:sz="4" w:space="0"/>
            </w:tcBorders>
            <w:shd w:val="clear" w:color="auto" w:fill="auto"/>
            <w:vAlign w:val="center"/>
          </w:tcPr>
          <w:p w14:paraId="6061C46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（万元）</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3B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绿地等级</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255E">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7B41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461"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5701ED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p>
        </w:tc>
        <w:tc>
          <w:tcPr>
            <w:tcW w:w="1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AD4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s="宋体"/>
                <w:color w:val="auto"/>
                <w:sz w:val="24"/>
                <w:highlight w:val="none"/>
                <w:shd w:val="clear" w:color="auto" w:fill="FFFFFF"/>
                <w:lang w:eastAsia="zh-CN"/>
              </w:rPr>
              <w:t>北京城市副中心绿地养护北京城市副中心行政办公区西区绿地（四标段）</w:t>
            </w:r>
          </w:p>
        </w:tc>
        <w:tc>
          <w:tcPr>
            <w:tcW w:w="701" w:type="dxa"/>
            <w:tcBorders>
              <w:top w:val="single" w:color="auto" w:sz="4" w:space="0"/>
              <w:left w:val="single" w:color="auto" w:sz="4" w:space="0"/>
              <w:bottom w:val="nil"/>
              <w:right w:val="single" w:color="000000" w:sz="4" w:space="0"/>
            </w:tcBorders>
            <w:shd w:val="clear" w:color="auto" w:fill="auto"/>
            <w:vAlign w:val="center"/>
          </w:tcPr>
          <w:p w14:paraId="2C7272D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840" w:type="dxa"/>
            <w:tcBorders>
              <w:top w:val="single" w:color="auto" w:sz="4" w:space="0"/>
              <w:left w:val="single" w:color="auto" w:sz="4" w:space="0"/>
              <w:bottom w:val="nil"/>
              <w:right w:val="single" w:color="000000" w:sz="4" w:space="0"/>
            </w:tcBorders>
            <w:shd w:val="clear" w:color="auto" w:fill="auto"/>
            <w:vAlign w:val="center"/>
          </w:tcPr>
          <w:p w14:paraId="34EBA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w:t>
            </w:r>
          </w:p>
        </w:tc>
        <w:tc>
          <w:tcPr>
            <w:tcW w:w="136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FCE88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130384.54 </w:t>
            </w:r>
          </w:p>
        </w:tc>
        <w:tc>
          <w:tcPr>
            <w:tcW w:w="100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ED661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536" w:type="dxa"/>
            <w:vMerge w:val="restart"/>
            <w:tcBorders>
              <w:top w:val="single" w:color="auto" w:sz="4" w:space="0"/>
              <w:left w:val="single" w:color="000000" w:sz="4" w:space="0"/>
              <w:right w:val="single" w:color="auto" w:sz="4" w:space="0"/>
            </w:tcBorders>
            <w:shd w:val="clear" w:color="auto" w:fill="auto"/>
            <w:vAlign w:val="center"/>
          </w:tcPr>
          <w:p w14:paraId="4CF5955E">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1213.127313</w:t>
            </w:r>
          </w:p>
        </w:tc>
        <w:tc>
          <w:tcPr>
            <w:tcW w:w="88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6ED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w:t>
            </w:r>
          </w:p>
        </w:tc>
        <w:tc>
          <w:tcPr>
            <w:tcW w:w="5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F2DD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EA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61"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2F5EDE5">
            <w:pPr>
              <w:jc w:val="center"/>
              <w:rPr>
                <w:rFonts w:hint="eastAsia" w:ascii="宋体" w:hAnsi="宋体" w:eastAsia="宋体" w:cs="宋体"/>
                <w:i w:val="0"/>
                <w:iCs w:val="0"/>
                <w:color w:val="auto"/>
                <w:sz w:val="24"/>
                <w:szCs w:val="24"/>
                <w:highlight w:val="none"/>
                <w:u w:val="none"/>
              </w:rPr>
            </w:pPr>
          </w:p>
        </w:tc>
        <w:tc>
          <w:tcPr>
            <w:tcW w:w="1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A839E">
            <w:pPr>
              <w:jc w:val="center"/>
              <w:rPr>
                <w:rFonts w:hint="eastAsia" w:ascii="宋体" w:hAnsi="宋体" w:eastAsia="宋体" w:cs="宋体"/>
                <w:i w:val="0"/>
                <w:iCs w:val="0"/>
                <w:color w:val="auto"/>
                <w:sz w:val="24"/>
                <w:szCs w:val="24"/>
                <w:highlight w:val="none"/>
                <w:u w:val="none"/>
              </w:rPr>
            </w:pPr>
          </w:p>
        </w:tc>
        <w:tc>
          <w:tcPr>
            <w:tcW w:w="701" w:type="dxa"/>
            <w:tcBorders>
              <w:top w:val="single" w:color="000000" w:sz="4" w:space="0"/>
              <w:left w:val="single" w:color="auto" w:sz="4" w:space="0"/>
              <w:bottom w:val="single" w:color="auto" w:sz="4" w:space="0"/>
              <w:right w:val="single" w:color="000000" w:sz="4" w:space="0"/>
            </w:tcBorders>
            <w:shd w:val="clear" w:color="auto" w:fill="auto"/>
            <w:vAlign w:val="center"/>
          </w:tcPr>
          <w:p w14:paraId="7EFF240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840" w:type="dxa"/>
            <w:tcBorders>
              <w:top w:val="single" w:color="000000" w:sz="4" w:space="0"/>
              <w:left w:val="single" w:color="auto" w:sz="4" w:space="0"/>
              <w:bottom w:val="single" w:color="auto" w:sz="4" w:space="0"/>
              <w:right w:val="single" w:color="000000" w:sz="4" w:space="0"/>
            </w:tcBorders>
            <w:shd w:val="clear" w:color="auto" w:fill="auto"/>
            <w:vAlign w:val="center"/>
          </w:tcPr>
          <w:p w14:paraId="05CF98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绿地</w:t>
            </w:r>
          </w:p>
        </w:tc>
        <w:tc>
          <w:tcPr>
            <w:tcW w:w="136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EFF2A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27371.80 </w:t>
            </w:r>
          </w:p>
        </w:tc>
        <w:tc>
          <w:tcPr>
            <w:tcW w:w="100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3CB60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536" w:type="dxa"/>
            <w:vMerge w:val="continue"/>
            <w:tcBorders>
              <w:left w:val="single" w:color="000000" w:sz="4" w:space="0"/>
              <w:bottom w:val="single" w:color="auto" w:sz="4" w:space="0"/>
              <w:right w:val="single" w:color="auto" w:sz="4" w:space="0"/>
            </w:tcBorders>
            <w:shd w:val="clear" w:color="auto" w:fill="auto"/>
            <w:vAlign w:val="center"/>
          </w:tcPr>
          <w:p w14:paraId="0B186D4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p>
        </w:tc>
        <w:tc>
          <w:tcPr>
            <w:tcW w:w="88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7B8C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w:t>
            </w:r>
          </w:p>
        </w:tc>
        <w:tc>
          <w:tcPr>
            <w:tcW w:w="5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8ED9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29CCB668">
      <w:pPr>
        <w:spacing w:line="360" w:lineRule="auto"/>
        <w:rPr>
          <w:rFonts w:hint="default" w:ascii="宋体" w:hAnsi="宋体"/>
          <w:b w:val="0"/>
          <w:bCs w:val="0"/>
          <w:color w:val="auto"/>
          <w:sz w:val="24"/>
          <w:highlight w:val="none"/>
          <w:lang w:val="en-US" w:eastAsia="zh-CN"/>
        </w:rPr>
      </w:pPr>
      <w:r>
        <w:rPr>
          <w:rFonts w:hint="eastAsia" w:ascii="宋体" w:hAnsi="宋体"/>
          <w:b w:val="0"/>
          <w:bCs/>
          <w:color w:val="auto"/>
          <w:sz w:val="24"/>
          <w:highlight w:val="none"/>
          <w:lang w:val="en-US" w:eastAsia="zh-CN"/>
        </w:rPr>
        <w:t xml:space="preserve"> </w:t>
      </w:r>
      <w:r>
        <w:rPr>
          <w:rFonts w:hint="eastAsia" w:ascii="宋体" w:hAnsi="宋体"/>
          <w:b w:val="0"/>
          <w:bCs w:val="0"/>
          <w:color w:val="auto"/>
          <w:sz w:val="24"/>
          <w:highlight w:val="none"/>
          <w:lang w:val="en-US" w:eastAsia="zh-CN"/>
        </w:rPr>
        <w:t xml:space="preserve">  7、服务期限：2026年1月1日起至2028年12月31日止，为期三年。</w:t>
      </w:r>
    </w:p>
    <w:p w14:paraId="0A8EE60B">
      <w:pPr>
        <w:pStyle w:val="17"/>
        <w:rPr>
          <w:rFonts w:hint="eastAsia" w:ascii="宋体" w:hAnsi="宋体"/>
          <w:b w:val="0"/>
          <w:bCs/>
          <w:color w:val="auto"/>
          <w:sz w:val="24"/>
          <w:highlight w:val="none"/>
          <w:lang w:val="en-US" w:eastAsia="zh-CN"/>
        </w:rPr>
        <w:sectPr>
          <w:pgSz w:w="11907" w:h="16840"/>
          <w:pgMar w:top="1418" w:right="1134" w:bottom="1418" w:left="1701" w:header="851" w:footer="851" w:gutter="0"/>
          <w:pgNumType w:fmt="decimal"/>
          <w:cols w:space="720" w:num="1"/>
          <w:docGrid w:linePitch="462" w:charSpace="0"/>
        </w:sectPr>
      </w:pPr>
    </w:p>
    <w:p w14:paraId="0CE17643">
      <w:pPr>
        <w:spacing w:line="360" w:lineRule="auto"/>
        <w:ind w:firstLine="0" w:firstLineChars="0"/>
        <w:outlineLvl w:val="1"/>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5包</w:t>
      </w:r>
      <w:r>
        <w:rPr>
          <w:rFonts w:hint="default" w:ascii="宋体" w:hAnsi="宋体"/>
          <w:b/>
          <w:bCs w:val="0"/>
          <w:color w:val="auto"/>
          <w:sz w:val="24"/>
          <w:szCs w:val="24"/>
          <w:highlight w:val="none"/>
          <w:lang w:val="en-US" w:eastAsia="zh-CN"/>
        </w:rPr>
        <w:t>采购需求：</w:t>
      </w:r>
    </w:p>
    <w:p w14:paraId="52380923">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02A61D78">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cs="宋体"/>
          <w:color w:val="auto"/>
          <w:sz w:val="24"/>
          <w:highlight w:val="none"/>
          <w:shd w:val="clear" w:color="auto" w:fill="FFFFFF"/>
          <w:lang w:eastAsia="zh-CN"/>
        </w:rPr>
        <w:t>北京城市副中心绿地养护千年城市守望林绿地（五标段）</w:t>
      </w:r>
      <w:r>
        <w:rPr>
          <w:rFonts w:hint="eastAsia" w:ascii="宋体" w:hAnsi="宋体" w:eastAsia="宋体" w:cs="Times New Roman"/>
          <w:color w:val="auto"/>
          <w:kern w:val="2"/>
          <w:sz w:val="24"/>
          <w:szCs w:val="24"/>
          <w:highlight w:val="none"/>
          <w:lang w:val="en-US" w:eastAsia="zh-CN" w:bidi="ar"/>
        </w:rPr>
        <w:t xml:space="preserve"> </w:t>
      </w:r>
    </w:p>
    <w:p w14:paraId="45B62112">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55BC7E6A">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w:t>
      </w:r>
      <w:r>
        <w:rPr>
          <w:rFonts w:hint="eastAsia" w:ascii="宋体" w:hAnsi="宋体" w:eastAsia="宋体" w:cs="Times New Roman"/>
          <w:color w:val="auto"/>
          <w:kern w:val="2"/>
          <w:sz w:val="24"/>
          <w:szCs w:val="24"/>
          <w:highlight w:val="none"/>
          <w:u w:val="none"/>
          <w:lang w:val="en-US" w:eastAsia="zh-CN" w:bidi="ar"/>
        </w:rPr>
        <w:t>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lang w:val="en-US" w:eastAsia="zh-CN" w:bidi="ar"/>
        </w:rPr>
        <w:t xml:space="preserve"> </w:t>
      </w:r>
    </w:p>
    <w:p w14:paraId="6CDFE7D3">
      <w:pPr>
        <w:keepNext w:val="0"/>
        <w:keepLines w:val="0"/>
        <w:widowControl/>
        <w:suppressLineNumbers w:val="0"/>
        <w:spacing w:line="360" w:lineRule="auto"/>
        <w:ind w:firstLine="480" w:firstLineChars="200"/>
        <w:jc w:val="left"/>
        <w:rPr>
          <w:rFonts w:hint="default"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w:t>
      </w:r>
      <w:r>
        <w:rPr>
          <w:rFonts w:hint="eastAsia" w:cs="宋体"/>
          <w:color w:val="auto"/>
          <w:sz w:val="24"/>
          <w:highlight w:val="none"/>
          <w:shd w:val="clear" w:color="auto" w:fill="FFFFFF"/>
          <w:lang w:eastAsia="zh-CN"/>
        </w:rPr>
        <w:t>北京城市副中心绿地养护千年城市守望林绿地（五标段）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339000平方米；服务范围内零星绿化用工约12人次/天/工作12个月。</w:t>
      </w:r>
    </w:p>
    <w:p w14:paraId="17A67551">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5、养护范围：北京城市副中心绿地养护千年城市守望林绿地（五标段）：</w:t>
      </w:r>
      <w:r>
        <w:rPr>
          <w:rFonts w:hint="default" w:ascii="宋体" w:hAnsi="宋体"/>
          <w:b w:val="0"/>
          <w:bCs w:val="0"/>
          <w:color w:val="auto"/>
          <w:sz w:val="24"/>
          <w:highlight w:val="none"/>
          <w:lang w:val="en-US" w:eastAsia="zh-CN"/>
        </w:rPr>
        <w:t>东至通济路路、西至六环路、南至云帆路、北至运潮减河</w:t>
      </w:r>
      <w:r>
        <w:rPr>
          <w:rFonts w:hint="eastAsia" w:ascii="宋体" w:hAnsi="宋体"/>
          <w:b w:val="0"/>
          <w:bCs w:val="0"/>
          <w:color w:val="auto"/>
          <w:sz w:val="24"/>
          <w:highlight w:val="none"/>
          <w:lang w:val="en-US" w:eastAsia="zh-CN"/>
        </w:rPr>
        <w:t>；最终以图示范围为准；对</w:t>
      </w:r>
      <w:r>
        <w:rPr>
          <w:rFonts w:hint="eastAsia" w:cs="宋体"/>
          <w:color w:val="auto"/>
          <w:sz w:val="24"/>
          <w:highlight w:val="none"/>
          <w:shd w:val="clear" w:color="auto" w:fill="FFFFFF"/>
          <w:lang w:eastAsia="zh-CN"/>
        </w:rPr>
        <w:t>北京城市副中心绿地养护千年城市守望林绿地（五标段）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339000平方米进行浇水、施肥、病虫害防治、除草、修剪、花卉栽植、植物补植、防寒等日常养护管理，确保行政办公区绿地良好环境景观效果。</w:t>
      </w:r>
    </w:p>
    <w:p w14:paraId="489C22B6">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6、采购限价：2905.920000万元。（特级绿地养护管理费限价为26.70元/平方米·年。一级绿地养护管理费限价为20.55元/平方米·年。二级绿地养护管理费限价为10.88元/平方米·年。）</w:t>
      </w:r>
    </w:p>
    <w:tbl>
      <w:tblPr>
        <w:tblStyle w:val="46"/>
        <w:tblW w:w="50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
        <w:gridCol w:w="2033"/>
        <w:gridCol w:w="936"/>
        <w:gridCol w:w="1142"/>
        <w:gridCol w:w="1102"/>
        <w:gridCol w:w="1702"/>
        <w:gridCol w:w="1187"/>
        <w:gridCol w:w="809"/>
      </w:tblGrid>
      <w:tr w14:paraId="3C4A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106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2AD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436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23B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B3E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02" w:type="pct"/>
            <w:tcBorders>
              <w:top w:val="single" w:color="000000" w:sz="4" w:space="0"/>
              <w:left w:val="single" w:color="000000" w:sz="4" w:space="0"/>
              <w:bottom w:val="single" w:color="auto" w:sz="4" w:space="0"/>
              <w:right w:val="single" w:color="000000" w:sz="4" w:space="0"/>
            </w:tcBorders>
            <w:shd w:val="clear" w:color="auto" w:fill="auto"/>
            <w:vAlign w:val="center"/>
          </w:tcPr>
          <w:p w14:paraId="499E112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9D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绿地等级</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7C10">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23763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274" w:type="pct"/>
            <w:vMerge w:val="restart"/>
            <w:tcBorders>
              <w:top w:val="single" w:color="000000" w:sz="4" w:space="0"/>
              <w:left w:val="single" w:color="000000" w:sz="4" w:space="0"/>
              <w:right w:val="single" w:color="auto" w:sz="4" w:space="0"/>
            </w:tcBorders>
            <w:shd w:val="clear" w:color="auto" w:fill="auto"/>
            <w:noWrap/>
            <w:vAlign w:val="center"/>
          </w:tcPr>
          <w:p w14:paraId="4598C80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5</w:t>
            </w:r>
          </w:p>
        </w:tc>
        <w:tc>
          <w:tcPr>
            <w:tcW w:w="1078" w:type="pct"/>
            <w:tcBorders>
              <w:top w:val="single" w:color="000000" w:sz="4" w:space="0"/>
              <w:left w:val="single" w:color="000000" w:sz="4" w:space="0"/>
              <w:bottom w:val="nil"/>
              <w:right w:val="single" w:color="000000" w:sz="4" w:space="0"/>
            </w:tcBorders>
            <w:shd w:val="clear" w:color="auto" w:fill="auto"/>
            <w:vAlign w:val="center"/>
          </w:tcPr>
          <w:p w14:paraId="23970A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s="宋体"/>
                <w:color w:val="auto"/>
                <w:sz w:val="24"/>
                <w:highlight w:val="none"/>
                <w:shd w:val="clear" w:color="auto" w:fill="FFFFFF"/>
                <w:lang w:eastAsia="zh-CN"/>
              </w:rPr>
              <w:t>北京城市副中心绿地养护千年城市守望林绿地（五标段）</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2C6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10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339000</w:t>
            </w:r>
          </w:p>
        </w:tc>
        <w:tc>
          <w:tcPr>
            <w:tcW w:w="584"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54D48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56E99A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2715.390000</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62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D196C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03A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AE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4" w:type="pct"/>
            <w:vMerge w:val="continue"/>
            <w:tcBorders>
              <w:left w:val="single" w:color="000000" w:sz="4" w:space="0"/>
              <w:right w:val="single" w:color="auto" w:sz="4" w:space="0"/>
            </w:tcBorders>
            <w:shd w:val="clear" w:color="auto" w:fill="auto"/>
            <w:noWrap/>
            <w:vAlign w:val="center"/>
          </w:tcPr>
          <w:p w14:paraId="475A3205">
            <w:pPr>
              <w:jc w:val="center"/>
              <w:rPr>
                <w:rFonts w:hint="eastAsia" w:ascii="宋体" w:hAnsi="宋体" w:eastAsia="宋体" w:cs="宋体"/>
                <w:i w:val="0"/>
                <w:iCs w:val="0"/>
                <w:color w:val="auto"/>
                <w:sz w:val="24"/>
                <w:szCs w:val="24"/>
                <w:highlight w:val="none"/>
                <w:u w:val="none"/>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3138">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零星绿化用工</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BA96">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633B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12人次/天</w:t>
            </w:r>
            <w:r>
              <w:rPr>
                <w:rFonts w:hint="eastAsia" w:ascii="宋体" w:hAnsi="宋体" w:cs="Times New Roman"/>
                <w:color w:val="auto"/>
                <w:kern w:val="2"/>
                <w:sz w:val="24"/>
                <w:szCs w:val="24"/>
                <w:highlight w:val="none"/>
                <w:lang w:val="en-US" w:eastAsia="zh-CN" w:bidi="ar"/>
              </w:rPr>
              <w:t>/工作12个月</w:t>
            </w:r>
          </w:p>
        </w:tc>
        <w:tc>
          <w:tcPr>
            <w:tcW w:w="584"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2A455C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0FD3C8B3">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190.530000</w:t>
            </w:r>
          </w:p>
        </w:tc>
        <w:tc>
          <w:tcPr>
            <w:tcW w:w="629" w:type="pct"/>
            <w:tcBorders>
              <w:top w:val="single" w:color="000000" w:sz="4" w:space="0"/>
              <w:left w:val="single" w:color="auto" w:sz="4" w:space="0"/>
              <w:bottom w:val="single" w:color="000000" w:sz="4" w:space="0"/>
              <w:right w:val="single" w:color="000000" w:sz="4" w:space="0"/>
            </w:tcBorders>
            <w:shd w:val="clear" w:color="auto" w:fill="auto"/>
            <w:vAlign w:val="center"/>
          </w:tcPr>
          <w:p w14:paraId="4FDCFBB0">
            <w:pPr>
              <w:jc w:val="center"/>
              <w:rPr>
                <w:rFonts w:hint="eastAsia" w:ascii="宋体" w:hAnsi="宋体" w:eastAsia="宋体" w:cs="宋体"/>
                <w:i w:val="0"/>
                <w:iCs w:val="0"/>
                <w:color w:val="auto"/>
                <w:sz w:val="24"/>
                <w:szCs w:val="24"/>
                <w:highlight w:val="none"/>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521A">
            <w:pPr>
              <w:jc w:val="center"/>
              <w:rPr>
                <w:rFonts w:hint="default" w:eastAsia="宋体"/>
                <w:color w:val="auto"/>
                <w:highlight w:val="none"/>
                <w:lang w:val="en-US" w:eastAsia="zh-CN"/>
              </w:rPr>
            </w:pPr>
          </w:p>
        </w:tc>
      </w:tr>
      <w:tr w14:paraId="5C71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4" w:type="pct"/>
            <w:vMerge w:val="continue"/>
            <w:tcBorders>
              <w:left w:val="single" w:color="000000" w:sz="4" w:space="0"/>
              <w:bottom w:val="single" w:color="000000" w:sz="4" w:space="0"/>
              <w:right w:val="single" w:color="auto" w:sz="4" w:space="0"/>
            </w:tcBorders>
            <w:shd w:val="clear" w:color="auto" w:fill="auto"/>
            <w:noWrap/>
            <w:vAlign w:val="center"/>
          </w:tcPr>
          <w:p w14:paraId="46C8CE5D">
            <w:pPr>
              <w:jc w:val="center"/>
              <w:rPr>
                <w:rFonts w:hint="eastAsia" w:ascii="宋体" w:hAnsi="宋体" w:eastAsia="宋体" w:cs="宋体"/>
                <w:i w:val="0"/>
                <w:iCs w:val="0"/>
                <w:color w:val="auto"/>
                <w:sz w:val="24"/>
                <w:szCs w:val="24"/>
                <w:highlight w:val="none"/>
                <w:u w:val="none"/>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FFF9">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08B5C">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p>
        </w:tc>
        <w:tc>
          <w:tcPr>
            <w:tcW w:w="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E8CE1">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p>
        </w:tc>
        <w:tc>
          <w:tcPr>
            <w:tcW w:w="584" w:type="pct"/>
            <w:tcBorders>
              <w:top w:val="single" w:color="000000" w:sz="4" w:space="0"/>
              <w:left w:val="single" w:color="000000" w:sz="4" w:space="0"/>
              <w:bottom w:val="single" w:color="000000" w:sz="4" w:space="0"/>
              <w:right w:val="single" w:color="auto" w:sz="4" w:space="0"/>
            </w:tcBorders>
            <w:shd w:val="clear" w:color="auto" w:fill="FFFFFF"/>
            <w:noWrap/>
            <w:vAlign w:val="center"/>
          </w:tcPr>
          <w:p w14:paraId="4F6B0F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3EC4EB5E">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eastAsia="zh-CN"/>
              </w:rPr>
            </w:pPr>
            <w:r>
              <w:rPr>
                <w:rFonts w:hint="eastAsia" w:ascii="宋体" w:hAnsi="宋体" w:cs="宋体"/>
                <w:b/>
                <w:bCs/>
                <w:i w:val="0"/>
                <w:iCs w:val="0"/>
                <w:color w:val="auto"/>
                <w:sz w:val="24"/>
                <w:szCs w:val="24"/>
                <w:highlight w:val="none"/>
                <w:u w:val="none"/>
                <w:lang w:val="en-US" w:eastAsia="zh-CN"/>
              </w:rPr>
              <w:t>2905.920000</w:t>
            </w:r>
          </w:p>
        </w:tc>
        <w:tc>
          <w:tcPr>
            <w:tcW w:w="629" w:type="pct"/>
            <w:tcBorders>
              <w:top w:val="single" w:color="000000" w:sz="4" w:space="0"/>
              <w:left w:val="single" w:color="auto" w:sz="4" w:space="0"/>
              <w:bottom w:val="single" w:color="000000" w:sz="4" w:space="0"/>
              <w:right w:val="single" w:color="000000" w:sz="4" w:space="0"/>
            </w:tcBorders>
            <w:shd w:val="clear" w:color="auto" w:fill="auto"/>
            <w:vAlign w:val="center"/>
          </w:tcPr>
          <w:p w14:paraId="718CB495">
            <w:pPr>
              <w:jc w:val="center"/>
              <w:rPr>
                <w:color w:val="auto"/>
                <w:highlight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66C9">
            <w:pPr>
              <w:jc w:val="center"/>
              <w:rPr>
                <w:rFonts w:hint="default" w:eastAsia="宋体"/>
                <w:color w:val="auto"/>
                <w:highlight w:val="none"/>
                <w:lang w:val="en-US" w:eastAsia="zh-CN"/>
              </w:rPr>
            </w:pPr>
          </w:p>
        </w:tc>
      </w:tr>
    </w:tbl>
    <w:p w14:paraId="22E25D1C">
      <w:pPr>
        <w:spacing w:line="360" w:lineRule="auto"/>
        <w:rPr>
          <w:rFonts w:hint="default" w:ascii="宋体" w:hAnsi="宋体"/>
          <w:b w:val="0"/>
          <w:bCs w:val="0"/>
          <w:color w:val="auto"/>
          <w:sz w:val="24"/>
          <w:highlight w:val="none"/>
          <w:lang w:val="en-US" w:eastAsia="zh-CN"/>
        </w:rPr>
      </w:pPr>
      <w:r>
        <w:rPr>
          <w:rFonts w:hint="eastAsia" w:ascii="宋体" w:hAnsi="宋体"/>
          <w:b w:val="0"/>
          <w:bCs/>
          <w:color w:val="auto"/>
          <w:sz w:val="24"/>
          <w:highlight w:val="none"/>
          <w:lang w:val="en-US" w:eastAsia="zh-CN"/>
        </w:rPr>
        <w:t xml:space="preserve"> </w:t>
      </w:r>
      <w:r>
        <w:rPr>
          <w:rFonts w:hint="eastAsia" w:ascii="宋体" w:hAnsi="宋体"/>
          <w:b w:val="0"/>
          <w:bCs w:val="0"/>
          <w:color w:val="auto"/>
          <w:sz w:val="24"/>
          <w:highlight w:val="none"/>
          <w:lang w:val="en-US" w:eastAsia="zh-CN"/>
        </w:rPr>
        <w:t xml:space="preserve">  7、服务期限：2026年1月1日起至2028年12月31日止，为期三年。</w:t>
      </w:r>
    </w:p>
    <w:p w14:paraId="118C007A">
      <w:pPr>
        <w:spacing w:line="360" w:lineRule="auto"/>
        <w:ind w:firstLine="0" w:firstLineChars="0"/>
        <w:rPr>
          <w:rFonts w:hint="eastAsia" w:ascii="宋体" w:hAnsi="宋体"/>
          <w:b/>
          <w:bCs/>
          <w:color w:val="auto"/>
          <w:sz w:val="36"/>
          <w:szCs w:val="36"/>
          <w:highlight w:val="none"/>
          <w:lang w:val="en-US" w:eastAsia="zh-CN"/>
        </w:rPr>
        <w:sectPr>
          <w:headerReference r:id="rId14" w:type="default"/>
          <w:footerReference r:id="rId15" w:type="default"/>
          <w:pgSz w:w="11907" w:h="16840"/>
          <w:pgMar w:top="1418" w:right="1134" w:bottom="1418" w:left="1701" w:header="851" w:footer="851" w:gutter="0"/>
          <w:pgNumType w:fmt="decimal"/>
          <w:cols w:space="720" w:num="1"/>
          <w:docGrid w:linePitch="462" w:charSpace="0"/>
        </w:sectPr>
      </w:pPr>
    </w:p>
    <w:p w14:paraId="3234B2E1">
      <w:pPr>
        <w:spacing w:line="360" w:lineRule="auto"/>
        <w:ind w:firstLine="0" w:firstLineChars="0"/>
        <w:outlineLvl w:val="1"/>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6包</w:t>
      </w:r>
      <w:r>
        <w:rPr>
          <w:rFonts w:hint="default" w:ascii="宋体" w:hAnsi="宋体"/>
          <w:b/>
          <w:bCs w:val="0"/>
          <w:color w:val="auto"/>
          <w:sz w:val="24"/>
          <w:szCs w:val="24"/>
          <w:highlight w:val="none"/>
          <w:lang w:val="en-US" w:eastAsia="zh-CN"/>
        </w:rPr>
        <w:t>采购需求：</w:t>
      </w:r>
    </w:p>
    <w:p w14:paraId="7F560FC2">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0B2143ED">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cs="宋体"/>
          <w:color w:val="auto"/>
          <w:sz w:val="24"/>
          <w:highlight w:val="none"/>
          <w:shd w:val="clear" w:color="auto" w:fill="FFFFFF"/>
          <w:lang w:eastAsia="zh-CN"/>
        </w:rPr>
        <w:t>北京城市副中心绿地养护A5区域绿地（六标段）</w:t>
      </w:r>
    </w:p>
    <w:p w14:paraId="2A997063">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27B7CC97">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w:t>
      </w:r>
      <w:r>
        <w:rPr>
          <w:rFonts w:hint="eastAsia" w:ascii="宋体" w:hAnsi="宋体" w:eastAsia="宋体" w:cs="Times New Roman"/>
          <w:color w:val="auto"/>
          <w:kern w:val="2"/>
          <w:sz w:val="24"/>
          <w:szCs w:val="24"/>
          <w:highlight w:val="none"/>
          <w:u w:val="none"/>
          <w:lang w:val="en-US" w:eastAsia="zh-CN" w:bidi="ar"/>
        </w:rPr>
        <w:t>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lang w:val="en-US" w:eastAsia="zh-CN" w:bidi="ar"/>
        </w:rPr>
        <w:t xml:space="preserve"> </w:t>
      </w:r>
    </w:p>
    <w:p w14:paraId="40C4662F">
      <w:pPr>
        <w:keepNext w:val="0"/>
        <w:keepLines w:val="0"/>
        <w:widowControl/>
        <w:suppressLineNumbers w:val="0"/>
        <w:spacing w:line="360" w:lineRule="auto"/>
        <w:ind w:firstLine="480" w:firstLineChars="200"/>
        <w:jc w:val="left"/>
        <w:rPr>
          <w:rFonts w:hint="default"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w:t>
      </w:r>
      <w:r>
        <w:rPr>
          <w:rFonts w:hint="eastAsia" w:cs="宋体"/>
          <w:color w:val="auto"/>
          <w:sz w:val="24"/>
          <w:highlight w:val="none"/>
          <w:shd w:val="clear" w:color="auto" w:fill="FFFFFF"/>
          <w:lang w:eastAsia="zh-CN"/>
        </w:rPr>
        <w:t>北京城市副中心绿地养护A5区域绿地（六标段）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92777.17平方米。</w:t>
      </w:r>
    </w:p>
    <w:p w14:paraId="3BFAE0E9">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5、养护范围：北京城市副中心绿地养护A5区域绿地（六标段）</w:t>
      </w:r>
      <w:r>
        <w:rPr>
          <w:rFonts w:hint="default" w:ascii="宋体" w:hAnsi="宋体"/>
          <w:b w:val="0"/>
          <w:bCs w:val="0"/>
          <w:color w:val="auto"/>
          <w:sz w:val="24"/>
          <w:highlight w:val="none"/>
          <w:lang w:val="en-US" w:eastAsia="zh-CN"/>
        </w:rPr>
        <w:t>东至通济路路、西至六环路、南至云帆路、北至运潮减河</w:t>
      </w:r>
      <w:r>
        <w:rPr>
          <w:rFonts w:hint="eastAsia" w:ascii="宋体" w:hAnsi="宋体"/>
          <w:b w:val="0"/>
          <w:bCs w:val="0"/>
          <w:color w:val="auto"/>
          <w:sz w:val="24"/>
          <w:highlight w:val="none"/>
          <w:lang w:val="en-US" w:eastAsia="zh-CN"/>
        </w:rPr>
        <w:t>；最终以图示为准。对</w:t>
      </w:r>
      <w:r>
        <w:rPr>
          <w:rFonts w:hint="eastAsia" w:cs="宋体"/>
          <w:color w:val="auto"/>
          <w:sz w:val="24"/>
          <w:highlight w:val="none"/>
          <w:shd w:val="clear" w:color="auto" w:fill="FFFFFF"/>
          <w:lang w:eastAsia="zh-CN"/>
        </w:rPr>
        <w:t>北京城市副中心绿地养护A5区域绿地（六标段）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92777.17平方米进行浇水、施肥、病虫害防治、除草、修剪、花卉栽植、植物补植、防寒等日常养护管理，确保行政办公区绿地良好环境景观效果。</w:t>
      </w:r>
    </w:p>
    <w:p w14:paraId="1D16C856">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采购限价：743.145132万元。（特级绿地养护管理费限价为26.70元/平方米·年。一级绿地养护管理费限价为20.55元/平方米·年。二级绿地养护管理费限价为10.88元/平方米·年。）</w:t>
      </w:r>
    </w:p>
    <w:tbl>
      <w:tblPr>
        <w:tblStyle w:val="46"/>
        <w:tblpPr w:leftFromText="180" w:rightFromText="180" w:vertAnchor="text" w:horzAnchor="page" w:tblpX="1778" w:tblpY="309"/>
        <w:tblOverlap w:val="never"/>
        <w:tblW w:w="91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931"/>
        <w:gridCol w:w="818"/>
        <w:gridCol w:w="1211"/>
        <w:gridCol w:w="960"/>
        <w:gridCol w:w="1615"/>
        <w:gridCol w:w="1243"/>
        <w:gridCol w:w="786"/>
      </w:tblGrid>
      <w:tr w14:paraId="070A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1F50">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sz w:val="24"/>
                <w:szCs w:val="24"/>
                <w:highlight w:val="none"/>
                <w:u w:val="none"/>
                <w:lang w:val="en-US" w:eastAsia="zh-CN"/>
              </w:rPr>
              <w:t>包号</w:t>
            </w:r>
          </w:p>
        </w:tc>
        <w:tc>
          <w:tcPr>
            <w:tcW w:w="193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BB1A3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8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9AC9F9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12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BC1A8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面积</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586C673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615" w:type="dxa"/>
            <w:tcBorders>
              <w:top w:val="single" w:color="000000" w:sz="4" w:space="0"/>
              <w:left w:val="single" w:color="000000" w:sz="4" w:space="0"/>
              <w:bottom w:val="single" w:color="auto" w:sz="4" w:space="0"/>
              <w:right w:val="single" w:color="000000" w:sz="4" w:space="0"/>
            </w:tcBorders>
            <w:shd w:val="clear" w:color="auto" w:fill="auto"/>
            <w:vAlign w:val="center"/>
          </w:tcPr>
          <w:p w14:paraId="5FE470F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（万元）</w:t>
            </w:r>
          </w:p>
        </w:tc>
        <w:tc>
          <w:tcPr>
            <w:tcW w:w="124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361FB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绿地等级</w:t>
            </w:r>
          </w:p>
        </w:tc>
        <w:tc>
          <w:tcPr>
            <w:tcW w:w="786"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415E8">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2CA1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A1C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6</w:t>
            </w:r>
          </w:p>
        </w:tc>
        <w:tc>
          <w:tcPr>
            <w:tcW w:w="1931" w:type="dxa"/>
            <w:tcBorders>
              <w:top w:val="single" w:color="auto" w:sz="4" w:space="0"/>
              <w:left w:val="single" w:color="000000" w:sz="4" w:space="0"/>
              <w:bottom w:val="single" w:color="auto" w:sz="4" w:space="0"/>
              <w:right w:val="single" w:color="000000" w:sz="4" w:space="0"/>
            </w:tcBorders>
            <w:shd w:val="clear" w:color="auto" w:fill="auto"/>
            <w:vAlign w:val="center"/>
          </w:tcPr>
          <w:p w14:paraId="2AEEBB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s="宋体"/>
                <w:color w:val="auto"/>
                <w:sz w:val="24"/>
                <w:highlight w:val="none"/>
                <w:shd w:val="clear" w:color="auto" w:fill="FFFFFF"/>
                <w:lang w:eastAsia="zh-CN"/>
              </w:rPr>
              <w:t>北京城市副中心绿地养护A5区域绿地（六标段）</w:t>
            </w:r>
          </w:p>
        </w:tc>
        <w:tc>
          <w:tcPr>
            <w:tcW w:w="81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5F102A4">
            <w:pPr>
              <w:keepNext w:val="0"/>
              <w:keepLines w:val="0"/>
              <w:widowControl/>
              <w:suppressLineNumbers w:val="0"/>
              <w:jc w:val="center"/>
              <w:textAlignment w:val="center"/>
              <w:rPr>
                <w:rFonts w:hint="default" w:ascii="宋体" w:hAnsi="宋体" w:cs="Times New Roman"/>
                <w:color w:val="auto"/>
                <w:kern w:val="2"/>
                <w:sz w:val="24"/>
                <w:szCs w:val="24"/>
                <w:highlight w:val="none"/>
                <w:lang w:val="en-US" w:eastAsia="zh-CN" w:bidi="ar"/>
              </w:rPr>
            </w:pPr>
            <w:r>
              <w:rPr>
                <w:rFonts w:hint="eastAsia" w:ascii="宋体" w:hAnsi="宋体" w:cs="Times New Roman"/>
                <w:color w:val="auto"/>
                <w:kern w:val="2"/>
                <w:sz w:val="24"/>
                <w:szCs w:val="24"/>
                <w:highlight w:val="none"/>
                <w:lang w:val="en-US" w:eastAsia="zh-CN" w:bidi="ar"/>
              </w:rPr>
              <w:t>3年</w:t>
            </w:r>
          </w:p>
        </w:tc>
        <w:tc>
          <w:tcPr>
            <w:tcW w:w="121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349FA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Times New Roman"/>
                <w:color w:val="auto"/>
                <w:kern w:val="2"/>
                <w:sz w:val="24"/>
                <w:szCs w:val="24"/>
                <w:highlight w:val="none"/>
                <w:lang w:val="en-US" w:eastAsia="zh-CN" w:bidi="ar"/>
              </w:rPr>
              <w:t>92777.17</w:t>
            </w:r>
          </w:p>
        </w:tc>
        <w:tc>
          <w:tcPr>
            <w:tcW w:w="960"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D842B8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615" w:type="dxa"/>
            <w:tcBorders>
              <w:top w:val="single" w:color="auto" w:sz="4" w:space="0"/>
              <w:left w:val="single" w:color="000000" w:sz="4" w:space="0"/>
              <w:bottom w:val="single" w:color="auto" w:sz="4" w:space="0"/>
              <w:right w:val="single" w:color="auto" w:sz="4" w:space="0"/>
            </w:tcBorders>
            <w:shd w:val="clear" w:color="auto" w:fill="auto"/>
            <w:vAlign w:val="center"/>
          </w:tcPr>
          <w:p w14:paraId="29BE21D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b w:val="0"/>
                <w:bCs w:val="0"/>
                <w:color w:val="auto"/>
                <w:sz w:val="24"/>
                <w:highlight w:val="none"/>
                <w:lang w:val="en-US" w:eastAsia="zh-CN"/>
              </w:rPr>
              <w:t>743.145132</w:t>
            </w:r>
          </w:p>
        </w:tc>
        <w:tc>
          <w:tcPr>
            <w:tcW w:w="1243" w:type="dxa"/>
            <w:tcBorders>
              <w:top w:val="single" w:color="auto" w:sz="4" w:space="0"/>
              <w:left w:val="single" w:color="auto" w:sz="4" w:space="0"/>
              <w:bottom w:val="single" w:color="auto" w:sz="4" w:space="0"/>
              <w:right w:val="single" w:color="000000" w:sz="4" w:space="0"/>
            </w:tcBorders>
            <w:shd w:val="clear" w:color="auto" w:fill="auto"/>
            <w:vAlign w:val="center"/>
          </w:tcPr>
          <w:p w14:paraId="5CA04F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特级</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D45FF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BFC9462">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color w:val="auto"/>
          <w:sz w:val="24"/>
          <w:highlight w:val="none"/>
          <w:lang w:val="en-US" w:eastAsia="zh-CN"/>
        </w:rPr>
        <w:t xml:space="preserve"> </w:t>
      </w:r>
      <w:r>
        <w:rPr>
          <w:rFonts w:hint="eastAsia" w:ascii="宋体" w:hAnsi="宋体"/>
          <w:b w:val="0"/>
          <w:bCs w:val="0"/>
          <w:color w:val="auto"/>
          <w:sz w:val="24"/>
          <w:highlight w:val="none"/>
          <w:lang w:val="en-US" w:eastAsia="zh-CN"/>
        </w:rPr>
        <w:t xml:space="preserve">  7、服务期限：2026年1月1日起至2028年12月31日止，为期三年。</w:t>
      </w:r>
    </w:p>
    <w:p w14:paraId="48FEFA08">
      <w:pPr>
        <w:spacing w:line="360" w:lineRule="auto"/>
        <w:rPr>
          <w:rFonts w:hint="default" w:ascii="宋体" w:hAnsi="宋体"/>
          <w:b w:val="0"/>
          <w:bCs w:val="0"/>
          <w:color w:val="auto"/>
          <w:sz w:val="24"/>
          <w:highlight w:val="none"/>
          <w:lang w:val="en-US" w:eastAsia="zh-CN"/>
        </w:rPr>
      </w:pPr>
    </w:p>
    <w:p w14:paraId="3E428637">
      <w:pPr>
        <w:spacing w:line="360" w:lineRule="auto"/>
        <w:ind w:firstLine="0" w:firstLineChars="0"/>
        <w:rPr>
          <w:rFonts w:hint="eastAsia" w:ascii="宋体" w:hAnsi="宋体"/>
          <w:b w:val="0"/>
          <w:bCs w:val="0"/>
          <w:color w:val="auto"/>
          <w:sz w:val="24"/>
          <w:highlight w:val="none"/>
          <w:lang w:val="en-US" w:eastAsia="zh-CN"/>
        </w:rPr>
        <w:sectPr>
          <w:headerReference r:id="rId16" w:type="default"/>
          <w:footerReference r:id="rId17" w:type="default"/>
          <w:pgSz w:w="11907" w:h="16840"/>
          <w:pgMar w:top="1418" w:right="1134" w:bottom="1418" w:left="1701" w:header="851" w:footer="851" w:gutter="0"/>
          <w:pgNumType w:fmt="decimal"/>
          <w:cols w:space="720" w:num="1"/>
          <w:docGrid w:linePitch="462" w:charSpace="0"/>
        </w:sectPr>
      </w:pPr>
    </w:p>
    <w:p w14:paraId="06B8A8F8">
      <w:pPr>
        <w:spacing w:line="360" w:lineRule="auto"/>
        <w:ind w:firstLine="0" w:firstLineChars="0"/>
        <w:outlineLvl w:val="1"/>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7包</w:t>
      </w:r>
      <w:r>
        <w:rPr>
          <w:rFonts w:hint="default" w:ascii="宋体" w:hAnsi="宋体"/>
          <w:b/>
          <w:bCs w:val="0"/>
          <w:color w:val="auto"/>
          <w:sz w:val="24"/>
          <w:szCs w:val="24"/>
          <w:highlight w:val="none"/>
          <w:lang w:val="en-US" w:eastAsia="zh-CN"/>
        </w:rPr>
        <w:t>采购需求：</w:t>
      </w:r>
    </w:p>
    <w:p w14:paraId="3248E6BA">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448ED10F">
      <w:pPr>
        <w:spacing w:line="360" w:lineRule="auto"/>
        <w:ind w:firstLine="480" w:firstLineChars="200"/>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cs="宋体"/>
          <w:color w:val="auto"/>
          <w:sz w:val="24"/>
          <w:highlight w:val="none"/>
          <w:shd w:val="clear" w:color="auto" w:fill="FFFFFF"/>
          <w:lang w:eastAsia="zh-CN"/>
        </w:rPr>
        <w:t>北京城市副中心绿地养护潞城中心公园(七标段)</w:t>
      </w:r>
      <w:r>
        <w:rPr>
          <w:rFonts w:hint="eastAsia" w:ascii="宋体" w:hAnsi="宋体" w:eastAsia="宋体" w:cs="Times New Roman"/>
          <w:color w:val="auto"/>
          <w:kern w:val="2"/>
          <w:sz w:val="24"/>
          <w:szCs w:val="24"/>
          <w:highlight w:val="none"/>
          <w:lang w:val="en-US" w:eastAsia="zh-CN" w:bidi="ar"/>
        </w:rPr>
        <w:t xml:space="preserve"> </w:t>
      </w:r>
    </w:p>
    <w:p w14:paraId="5E23EDA2">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773859D0">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w:t>
      </w:r>
      <w:r>
        <w:rPr>
          <w:rFonts w:hint="eastAsia" w:ascii="宋体" w:hAnsi="宋体" w:eastAsia="宋体" w:cs="Times New Roman"/>
          <w:color w:val="auto"/>
          <w:kern w:val="2"/>
          <w:sz w:val="24"/>
          <w:szCs w:val="24"/>
          <w:highlight w:val="none"/>
          <w:u w:val="none"/>
          <w:lang w:val="en-US" w:eastAsia="zh-CN" w:bidi="ar"/>
        </w:rPr>
        <w:t>202</w:t>
      </w:r>
      <w:r>
        <w:rPr>
          <w:rFonts w:hint="eastAsia" w:ascii="宋体" w:hAnsi="宋体" w:cs="Times New Roman"/>
          <w:color w:val="auto"/>
          <w:kern w:val="2"/>
          <w:sz w:val="24"/>
          <w:szCs w:val="24"/>
          <w:highlight w:val="none"/>
          <w:u w:val="none"/>
          <w:lang w:val="en-US" w:eastAsia="zh-CN" w:bidi="ar"/>
        </w:rPr>
        <w:t>6</w:t>
      </w:r>
      <w:r>
        <w:rPr>
          <w:rFonts w:hint="eastAsia" w:ascii="宋体" w:hAnsi="宋体" w:eastAsia="宋体" w:cs="Times New Roman"/>
          <w:color w:val="auto"/>
          <w:kern w:val="2"/>
          <w:sz w:val="24"/>
          <w:szCs w:val="24"/>
          <w:highlight w:val="none"/>
          <w:u w:val="none"/>
          <w:lang w:val="en-US" w:eastAsia="zh-CN" w:bidi="ar"/>
        </w:rPr>
        <w:t>年</w:t>
      </w:r>
      <w:r>
        <w:rPr>
          <w:rFonts w:hint="eastAsia" w:ascii="宋体" w:hAnsi="宋体" w:cs="Times New Roman"/>
          <w:color w:val="auto"/>
          <w:kern w:val="2"/>
          <w:sz w:val="24"/>
          <w:szCs w:val="24"/>
          <w:highlight w:val="none"/>
          <w:u w:val="none"/>
          <w:lang w:val="en-US" w:eastAsia="zh-CN" w:bidi="ar"/>
        </w:rPr>
        <w:t>-2028年</w:t>
      </w:r>
      <w:r>
        <w:rPr>
          <w:rFonts w:hint="eastAsia" w:ascii="宋体" w:hAnsi="宋体" w:eastAsia="宋体" w:cs="Times New Roman"/>
          <w:color w:val="auto"/>
          <w:kern w:val="2"/>
          <w:sz w:val="24"/>
          <w:szCs w:val="24"/>
          <w:highlight w:val="none"/>
          <w:lang w:val="en-US" w:eastAsia="zh-CN" w:bidi="ar"/>
        </w:rPr>
        <w:t xml:space="preserve"> </w:t>
      </w:r>
    </w:p>
    <w:p w14:paraId="16A2ABD6">
      <w:pPr>
        <w:keepNext w:val="0"/>
        <w:keepLines w:val="0"/>
        <w:widowControl/>
        <w:suppressLineNumbers w:val="0"/>
        <w:spacing w:line="360" w:lineRule="auto"/>
        <w:ind w:firstLine="480" w:firstLineChars="200"/>
        <w:jc w:val="left"/>
        <w:rPr>
          <w:rFonts w:hint="default"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w:t>
      </w:r>
      <w:r>
        <w:rPr>
          <w:rFonts w:hint="eastAsia" w:cs="宋体"/>
          <w:color w:val="auto"/>
          <w:sz w:val="24"/>
          <w:highlight w:val="none"/>
          <w:shd w:val="clear" w:color="auto" w:fill="FFFFFF"/>
          <w:lang w:eastAsia="zh-CN"/>
        </w:rPr>
        <w:t>北京城市副中心绿地养护潞城中心公园(七标段)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116959.06平方米；</w:t>
      </w:r>
    </w:p>
    <w:p w14:paraId="50B35FAD">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5、养护范围：</w:t>
      </w:r>
      <w:r>
        <w:rPr>
          <w:rFonts w:hint="eastAsia" w:cs="宋体"/>
          <w:color w:val="auto"/>
          <w:sz w:val="24"/>
          <w:highlight w:val="none"/>
          <w:shd w:val="clear" w:color="auto" w:fill="FFFFFF"/>
          <w:lang w:eastAsia="zh-CN"/>
        </w:rPr>
        <w:t>北京城市副中心绿地养护潞城中心公园(七标段)绿地养护面积：116959.06㎡</w:t>
      </w:r>
      <w:r>
        <w:rPr>
          <w:rFonts w:hint="eastAsia" w:ascii="宋体" w:hAnsi="宋体"/>
          <w:b w:val="0"/>
          <w:bCs w:val="0"/>
          <w:color w:val="auto"/>
          <w:sz w:val="24"/>
          <w:highlight w:val="none"/>
          <w:lang w:val="en-US" w:eastAsia="zh-CN"/>
        </w:rPr>
        <w:t>【①、潞城中心位于通胡大街与东六环路相交西北角。】，最终以图示范围为准。对</w:t>
      </w:r>
      <w:r>
        <w:rPr>
          <w:rFonts w:hint="eastAsia" w:cs="宋体"/>
          <w:color w:val="auto"/>
          <w:sz w:val="24"/>
          <w:highlight w:val="none"/>
          <w:shd w:val="clear" w:color="auto" w:fill="FFFFFF"/>
          <w:lang w:eastAsia="zh-CN"/>
        </w:rPr>
        <w:t>北京城市副中心绿地养护潞城中心公园(七标段)</w:t>
      </w:r>
      <w:r>
        <w:rPr>
          <w:rFonts w:hint="eastAsia" w:ascii="宋体" w:hAnsi="宋体" w:cs="宋体"/>
          <w:color w:val="auto"/>
          <w:sz w:val="24"/>
          <w:highlight w:val="none"/>
          <w:shd w:val="clear" w:color="auto" w:fill="FFFFFF"/>
        </w:rPr>
        <w:t>特级养护绿化面积116959.06㎡</w:t>
      </w:r>
      <w:r>
        <w:rPr>
          <w:rFonts w:hint="default" w:ascii="宋体" w:hAnsi="宋体"/>
          <w:b w:val="0"/>
          <w:bCs w:val="0"/>
          <w:color w:val="auto"/>
          <w:sz w:val="24"/>
          <w:highlight w:val="none"/>
          <w:lang w:val="en-US" w:eastAsia="zh-CN"/>
        </w:rPr>
        <w:t>进行浇水、施肥、病虫害防治、除草、修剪、花卉栽植、植物补植、防寒等日常养护管理，确保行政办公区绿地良好环境景观效果。</w:t>
      </w:r>
    </w:p>
    <w:p w14:paraId="71AB6ED6">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6、采购限价：936.842070万元。（特级绿地养护管理费限价为26.70元/平方米·年。一级绿地养护管理费限价为20.55元/平方米·年。二级绿地养护管理费限价为10.88元/平方米·年。）</w:t>
      </w:r>
    </w:p>
    <w:tbl>
      <w:tblPr>
        <w:tblStyle w:val="46"/>
        <w:tblW w:w="9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2067"/>
        <w:gridCol w:w="840"/>
        <w:gridCol w:w="1299"/>
        <w:gridCol w:w="992"/>
        <w:gridCol w:w="1451"/>
        <w:gridCol w:w="1222"/>
        <w:gridCol w:w="818"/>
      </w:tblGrid>
      <w:tr w14:paraId="41E6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BA8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包号</w:t>
            </w:r>
          </w:p>
        </w:tc>
        <w:tc>
          <w:tcPr>
            <w:tcW w:w="20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C0CE3D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54FB19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服务年限</w:t>
            </w:r>
          </w:p>
        </w:tc>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3452A50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 面积</w:t>
            </w:r>
          </w:p>
        </w:tc>
        <w:tc>
          <w:tcPr>
            <w:tcW w:w="992" w:type="dxa"/>
            <w:tcBorders>
              <w:top w:val="single" w:color="000000" w:sz="4" w:space="0"/>
              <w:left w:val="single" w:color="000000" w:sz="4" w:space="0"/>
              <w:bottom w:val="single" w:color="auto" w:sz="4" w:space="0"/>
              <w:right w:val="single" w:color="000000" w:sz="4" w:space="0"/>
            </w:tcBorders>
            <w:shd w:val="clear" w:color="auto" w:fill="auto"/>
            <w:vAlign w:val="center"/>
          </w:tcPr>
          <w:p w14:paraId="153E8B4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4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BDDD56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合价</w:t>
            </w:r>
            <w:r>
              <w:rPr>
                <w:rFonts w:hint="eastAsia" w:ascii="宋体" w:hAnsi="宋体" w:cs="宋体"/>
                <w:b/>
                <w:bCs/>
                <w:i w:val="0"/>
                <w:iCs w:val="0"/>
                <w:color w:val="auto"/>
                <w:kern w:val="0"/>
                <w:sz w:val="24"/>
                <w:szCs w:val="24"/>
                <w:highlight w:val="none"/>
                <w:u w:val="none"/>
                <w:lang w:val="en-US" w:eastAsia="zh-CN" w:bidi="ar"/>
              </w:rPr>
              <w:t>（万元）</w:t>
            </w:r>
          </w:p>
        </w:tc>
        <w:tc>
          <w:tcPr>
            <w:tcW w:w="1222" w:type="dxa"/>
            <w:tcBorders>
              <w:top w:val="single" w:color="000000" w:sz="4" w:space="0"/>
              <w:left w:val="single" w:color="000000" w:sz="4" w:space="0"/>
              <w:bottom w:val="single" w:color="auto" w:sz="4" w:space="0"/>
              <w:right w:val="single" w:color="000000" w:sz="4" w:space="0"/>
            </w:tcBorders>
            <w:shd w:val="clear" w:color="auto" w:fill="auto"/>
            <w:vAlign w:val="center"/>
          </w:tcPr>
          <w:p w14:paraId="798188E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绿地等级</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F7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备注</w:t>
            </w:r>
          </w:p>
        </w:tc>
      </w:tr>
      <w:tr w14:paraId="2B78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608" w:type="dxa"/>
            <w:tcBorders>
              <w:top w:val="nil"/>
              <w:left w:val="single" w:color="000000" w:sz="4" w:space="0"/>
              <w:bottom w:val="single" w:color="000000" w:sz="4" w:space="0"/>
              <w:right w:val="single" w:color="auto" w:sz="4" w:space="0"/>
            </w:tcBorders>
            <w:shd w:val="clear" w:color="auto" w:fill="auto"/>
            <w:noWrap/>
            <w:vAlign w:val="center"/>
          </w:tcPr>
          <w:p w14:paraId="3DBB75B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7</w:t>
            </w:r>
          </w:p>
        </w:tc>
        <w:tc>
          <w:tcPr>
            <w:tcW w:w="2067" w:type="dxa"/>
            <w:tcBorders>
              <w:top w:val="single" w:color="auto" w:sz="4" w:space="0"/>
              <w:left w:val="single" w:color="auto" w:sz="4" w:space="0"/>
              <w:bottom w:val="single" w:color="auto" w:sz="4" w:space="0"/>
              <w:right w:val="single" w:color="000000" w:sz="4" w:space="0"/>
            </w:tcBorders>
            <w:shd w:val="clear" w:color="auto" w:fill="auto"/>
            <w:vAlign w:val="center"/>
          </w:tcPr>
          <w:p w14:paraId="44049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cs="宋体"/>
                <w:color w:val="auto"/>
                <w:sz w:val="24"/>
                <w:highlight w:val="none"/>
                <w:shd w:val="clear" w:color="auto" w:fill="FFFFFF"/>
                <w:lang w:eastAsia="zh-CN"/>
              </w:rPr>
              <w:t>北京城市副中心绿地养护潞城中心公园(七标段)</w:t>
            </w:r>
          </w:p>
        </w:tc>
        <w:tc>
          <w:tcPr>
            <w:tcW w:w="840"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0634907">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3年</w:t>
            </w:r>
          </w:p>
        </w:tc>
        <w:tc>
          <w:tcPr>
            <w:tcW w:w="129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372C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116959.06</w:t>
            </w:r>
          </w:p>
        </w:tc>
        <w:tc>
          <w:tcPr>
            <w:tcW w:w="992"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83B6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14:paraId="00DE508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b w:val="0"/>
                <w:bCs w:val="0"/>
                <w:color w:val="auto"/>
                <w:sz w:val="24"/>
                <w:highlight w:val="none"/>
                <w:lang w:val="en-US" w:eastAsia="zh-CN"/>
              </w:rPr>
              <w:t>936.842070</w:t>
            </w:r>
          </w:p>
        </w:tc>
        <w:tc>
          <w:tcPr>
            <w:tcW w:w="1222" w:type="dxa"/>
            <w:tcBorders>
              <w:top w:val="single" w:color="auto" w:sz="4" w:space="0"/>
              <w:left w:val="single" w:color="000000" w:sz="4" w:space="0"/>
              <w:bottom w:val="single" w:color="auto" w:sz="4" w:space="0"/>
              <w:right w:val="single" w:color="auto" w:sz="4" w:space="0"/>
            </w:tcBorders>
            <w:shd w:val="clear" w:color="auto" w:fill="auto"/>
            <w:vAlign w:val="center"/>
          </w:tcPr>
          <w:p w14:paraId="4164A49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特级　　　　</w:t>
            </w:r>
          </w:p>
        </w:tc>
        <w:tc>
          <w:tcPr>
            <w:tcW w:w="8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5D5AC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C80BE07">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7、服务期限：2026年1月1日起至2028年12月31日止，为期三年。</w:t>
      </w:r>
    </w:p>
    <w:p w14:paraId="1BE7802C">
      <w:pPr>
        <w:rPr>
          <w:rFonts w:hint="eastAsia" w:ascii="宋体" w:hAnsi="宋体" w:eastAsia="宋体" w:cs="Times New Roman"/>
          <w:b w:val="0"/>
          <w:bCs w:val="0"/>
          <w:color w:val="auto"/>
          <w:kern w:val="2"/>
          <w:sz w:val="24"/>
          <w:szCs w:val="24"/>
          <w:highlight w:val="none"/>
          <w:lang w:val="en-US" w:eastAsia="zh-CN" w:bidi="ar"/>
        </w:rPr>
      </w:pPr>
    </w:p>
    <w:p w14:paraId="38344124">
      <w:pPr>
        <w:pStyle w:val="2"/>
        <w:rPr>
          <w:rFonts w:hint="eastAsia"/>
          <w:color w:val="auto"/>
          <w:highlight w:val="none"/>
          <w:lang w:val="en-US" w:eastAsia="zh-CN"/>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p w14:paraId="6EF3261C">
      <w:pPr>
        <w:keepNext w:val="0"/>
        <w:keepLines w:val="0"/>
        <w:widowControl/>
        <w:suppressLineNumbers w:val="0"/>
        <w:spacing w:line="360" w:lineRule="auto"/>
        <w:ind w:firstLine="0" w:firstLineChars="0"/>
        <w:jc w:val="left"/>
        <w:outlineLvl w:val="1"/>
        <w:rPr>
          <w:rFonts w:hint="eastAsia" w:ascii="宋体" w:hAnsi="宋体" w:eastAsia="宋体" w:cs="Times New Roman"/>
          <w:b w:val="0"/>
          <w:bCs w:val="0"/>
          <w:color w:val="auto"/>
          <w:kern w:val="2"/>
          <w:sz w:val="24"/>
          <w:szCs w:val="24"/>
          <w:highlight w:val="none"/>
          <w:lang w:val="en-US" w:eastAsia="zh-CN" w:bidi="ar"/>
        </w:rPr>
      </w:pPr>
      <w:r>
        <w:rPr>
          <w:rFonts w:hint="eastAsia" w:ascii="宋体" w:hAnsi="宋体"/>
          <w:b/>
          <w:bCs w:val="0"/>
          <w:color w:val="auto"/>
          <w:sz w:val="24"/>
          <w:szCs w:val="24"/>
          <w:highlight w:val="none"/>
          <w:lang w:val="en-US" w:eastAsia="zh-CN"/>
        </w:rPr>
        <w:t>8包</w:t>
      </w:r>
      <w:r>
        <w:rPr>
          <w:rFonts w:hint="default" w:ascii="宋体" w:hAnsi="宋体"/>
          <w:b/>
          <w:bCs w:val="0"/>
          <w:color w:val="auto"/>
          <w:sz w:val="24"/>
          <w:szCs w:val="24"/>
          <w:highlight w:val="none"/>
          <w:lang w:val="en-US" w:eastAsia="zh-CN"/>
        </w:rPr>
        <w:t>采购需求：</w:t>
      </w:r>
    </w:p>
    <w:p w14:paraId="0C2AB687">
      <w:pPr>
        <w:keepNext w:val="0"/>
        <w:keepLines w:val="0"/>
        <w:widowControl/>
        <w:suppressLineNumbers w:val="0"/>
        <w:spacing w:line="360" w:lineRule="auto"/>
        <w:ind w:firstLine="0" w:firstLineChars="0"/>
        <w:jc w:val="left"/>
        <w:rPr>
          <w:rFonts w:hint="eastAsia" w:ascii="宋体" w:hAnsi="宋体"/>
          <w:color w:val="auto"/>
          <w:sz w:val="24"/>
          <w:highlight w:val="none"/>
        </w:rPr>
      </w:pPr>
      <w:r>
        <w:rPr>
          <w:rFonts w:hint="eastAsia" w:ascii="宋体" w:hAnsi="宋体" w:eastAsia="宋体" w:cs="Times New Roman"/>
          <w:b w:val="0"/>
          <w:bCs w:val="0"/>
          <w:color w:val="auto"/>
          <w:kern w:val="2"/>
          <w:sz w:val="24"/>
          <w:szCs w:val="24"/>
          <w:highlight w:val="none"/>
          <w:lang w:val="en-US" w:eastAsia="zh-CN" w:bidi="ar"/>
        </w:rPr>
        <w:t xml:space="preserve">一、项目概况 </w:t>
      </w:r>
    </w:p>
    <w:p w14:paraId="0EEACE99">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1、标的名称：</w:t>
      </w:r>
      <w:r>
        <w:rPr>
          <w:rFonts w:hint="eastAsia" w:ascii="宋体" w:hAnsi="宋体" w:cs="Times New Roman"/>
          <w:color w:val="auto"/>
          <w:kern w:val="2"/>
          <w:sz w:val="24"/>
          <w:szCs w:val="24"/>
          <w:highlight w:val="none"/>
          <w:lang w:val="en-US" w:eastAsia="zh-CN" w:bidi="ar"/>
        </w:rPr>
        <w:t>北京城市副中心绿地养护监理服务（八标段）</w:t>
      </w:r>
      <w:r>
        <w:rPr>
          <w:rFonts w:hint="eastAsia" w:ascii="宋体" w:hAnsi="宋体" w:eastAsia="宋体" w:cs="Times New Roman"/>
          <w:color w:val="auto"/>
          <w:kern w:val="2"/>
          <w:sz w:val="24"/>
          <w:szCs w:val="24"/>
          <w:highlight w:val="none"/>
          <w:lang w:val="en-US" w:eastAsia="zh-CN" w:bidi="ar"/>
        </w:rPr>
        <w:t xml:space="preserve"> </w:t>
      </w:r>
    </w:p>
    <w:p w14:paraId="04583DA7">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2、项目性质：常态 </w:t>
      </w:r>
    </w:p>
    <w:p w14:paraId="3AF94218">
      <w:pPr>
        <w:keepNext w:val="0"/>
        <w:keepLines w:val="0"/>
        <w:widowControl/>
        <w:suppressLineNumbers w:val="0"/>
        <w:spacing w:line="360" w:lineRule="auto"/>
        <w:ind w:firstLine="480" w:firstLineChars="200"/>
        <w:jc w:val="left"/>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
        </w:rPr>
        <w:t xml:space="preserve">3、项目建设期限： 2026年-2028年 </w:t>
      </w:r>
    </w:p>
    <w:p w14:paraId="64E6B9C4">
      <w:pPr>
        <w:keepNext w:val="0"/>
        <w:keepLines w:val="0"/>
        <w:widowControl/>
        <w:suppressLineNumbers w:val="0"/>
        <w:spacing w:line="360" w:lineRule="auto"/>
        <w:ind w:firstLine="480" w:firstLineChars="200"/>
        <w:jc w:val="left"/>
        <w:rPr>
          <w:rFonts w:hint="default" w:ascii="宋体" w:hAnsi="宋体" w:cs="Times New Roman"/>
          <w:color w:val="auto"/>
          <w:kern w:val="2"/>
          <w:sz w:val="24"/>
          <w:szCs w:val="24"/>
          <w:highlight w:val="none"/>
          <w:lang w:val="en-US" w:eastAsia="zh-CN" w:bidi="ar"/>
        </w:rPr>
      </w:pPr>
      <w:r>
        <w:rPr>
          <w:rFonts w:hint="eastAsia" w:ascii="宋体" w:hAnsi="宋体" w:eastAsia="宋体" w:cs="Times New Roman"/>
          <w:color w:val="auto"/>
          <w:kern w:val="2"/>
          <w:sz w:val="24"/>
          <w:szCs w:val="24"/>
          <w:highlight w:val="none"/>
          <w:lang w:val="en-US" w:eastAsia="zh-CN" w:bidi="ar"/>
        </w:rPr>
        <w:t>4、项目建设主要内容</w:t>
      </w:r>
      <w:r>
        <w:rPr>
          <w:rFonts w:hint="eastAsia" w:ascii="宋体" w:hAnsi="宋体" w:cs="Times New Roman"/>
          <w:color w:val="auto"/>
          <w:kern w:val="2"/>
          <w:sz w:val="24"/>
          <w:szCs w:val="24"/>
          <w:highlight w:val="none"/>
          <w:lang w:val="en-US" w:eastAsia="zh-CN" w:bidi="ar"/>
        </w:rPr>
        <w:t>：北京城市副中心绿地养护监理服务</w:t>
      </w:r>
    </w:p>
    <w:p w14:paraId="485A935C">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5、监理服务范围：</w:t>
      </w:r>
    </w:p>
    <w:p w14:paraId="4E1FB93D">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（1）一区域养护服务范围</w:t>
      </w:r>
      <w:r>
        <w:rPr>
          <w:rFonts w:hint="eastAsia" w:ascii="宋体" w:hAnsi="宋体" w:cs="Times New Roman"/>
          <w:color w:val="auto"/>
          <w:kern w:val="2"/>
          <w:sz w:val="24"/>
          <w:szCs w:val="24"/>
          <w:highlight w:val="none"/>
          <w:u w:val="none"/>
          <w:lang w:val="en-US" w:eastAsia="zh-CN" w:bidi="ar"/>
        </w:rPr>
        <w:t>：</w:t>
      </w:r>
      <w:r>
        <w:rPr>
          <w:rFonts w:hint="eastAsia" w:ascii="宋体" w:hAnsi="宋体" w:cs="宋体"/>
          <w:color w:val="auto"/>
          <w:sz w:val="24"/>
          <w:highlight w:val="none"/>
          <w:shd w:val="clear" w:color="auto" w:fill="FFFFFF"/>
          <w:lang w:eastAsia="zh-CN"/>
        </w:rPr>
        <w:t>北京城市副中心绿地养护北京城市副中心行政办公区南区绿地(一标段)</w:t>
      </w:r>
      <w:r>
        <w:rPr>
          <w:rFonts w:hint="default" w:ascii="宋体" w:hAnsi="宋体"/>
          <w:b w:val="0"/>
          <w:bCs w:val="0"/>
          <w:color w:val="auto"/>
          <w:sz w:val="24"/>
          <w:highlight w:val="none"/>
          <w:lang w:val="en-US" w:eastAsia="zh-CN"/>
        </w:rPr>
        <w:t>:东至通济路路、西至六环路、南至云帆路、北至运潮减河</w:t>
      </w:r>
      <w:r>
        <w:rPr>
          <w:rFonts w:hint="eastAsia" w:ascii="宋体" w:hAnsi="宋体"/>
          <w:b w:val="0"/>
          <w:bCs w:val="0"/>
          <w:color w:val="auto"/>
          <w:sz w:val="24"/>
          <w:highlight w:val="none"/>
          <w:lang w:val="en-US" w:eastAsia="zh-CN"/>
        </w:rPr>
        <w:t>；最终以图示范围为准；对</w:t>
      </w:r>
      <w:r>
        <w:rPr>
          <w:rFonts w:hint="eastAsia" w:ascii="宋体" w:hAnsi="宋体" w:cs="宋体"/>
          <w:color w:val="auto"/>
          <w:sz w:val="24"/>
          <w:highlight w:val="none"/>
          <w:shd w:val="clear" w:color="auto" w:fill="FFFFFF"/>
          <w:lang w:eastAsia="zh-CN"/>
        </w:rPr>
        <w:t>北京城市副中心绿地养护北京城市副中心行政办公区南区绿地(一标段)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养护绿化面积433043</w:t>
      </w:r>
      <w:r>
        <w:rPr>
          <w:rFonts w:hint="eastAsia" w:ascii="宋体" w:hAnsi="宋体" w:cs="Times New Roman"/>
          <w:color w:val="auto"/>
          <w:kern w:val="2"/>
          <w:sz w:val="24"/>
          <w:szCs w:val="24"/>
          <w:highlight w:val="none"/>
          <w:lang w:val="en-US" w:eastAsia="zh-CN" w:bidi="ar"/>
        </w:rPr>
        <w:t>平方米进行浇水、施肥、病虫害防治、除草、修剪、花卉栽植、植物补植、防寒等日常养护管理，确保行政办公区绿地良好环境景观效果</w:t>
      </w:r>
      <w:r>
        <w:rPr>
          <w:rFonts w:hint="eastAsia" w:ascii="宋体" w:hAnsi="宋体"/>
          <w:b w:val="0"/>
          <w:bCs w:val="0"/>
          <w:color w:val="auto"/>
          <w:sz w:val="24"/>
          <w:highlight w:val="none"/>
          <w:lang w:val="en-US" w:eastAsia="zh-CN"/>
        </w:rPr>
        <w:t>。</w:t>
      </w:r>
    </w:p>
    <w:p w14:paraId="2B02B708">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（2）二区域养护服务范围：</w:t>
      </w:r>
      <w:r>
        <w:rPr>
          <w:rFonts w:hint="eastAsia" w:cs="宋体"/>
          <w:color w:val="auto"/>
          <w:sz w:val="24"/>
          <w:highlight w:val="none"/>
          <w:shd w:val="clear" w:color="auto" w:fill="FFFFFF"/>
          <w:lang w:eastAsia="zh-CN"/>
        </w:rPr>
        <w:t>北京城市副中心绿地养护北京城市副中心行政办公区北区绿地(二标段)</w:t>
      </w:r>
      <w:r>
        <w:rPr>
          <w:rFonts w:hint="eastAsia" w:ascii="宋体" w:hAnsi="宋体"/>
          <w:b w:val="0"/>
          <w:bCs w:val="0"/>
          <w:color w:val="auto"/>
          <w:sz w:val="24"/>
          <w:highlight w:val="none"/>
          <w:lang w:val="en-US" w:eastAsia="zh-CN"/>
        </w:rPr>
        <w:t>:东至通济路路、西至六环路、南至云帆路、北至运潮减河；最终以图示范围为准；对</w:t>
      </w:r>
      <w:r>
        <w:rPr>
          <w:rFonts w:hint="eastAsia" w:cs="宋体"/>
          <w:color w:val="auto"/>
          <w:sz w:val="24"/>
          <w:highlight w:val="none"/>
          <w:shd w:val="clear" w:color="auto" w:fill="FFFFFF"/>
          <w:lang w:eastAsia="zh-CN"/>
        </w:rPr>
        <w:t>北京城市副中心绿地养护北京城市副中心行政办公区北区绿地(二标段)</w:t>
      </w:r>
      <w:r>
        <w:rPr>
          <w:rFonts w:hint="eastAsia" w:ascii="宋体" w:hAnsi="宋体"/>
          <w:b w:val="0"/>
          <w:bCs w:val="0"/>
          <w:color w:val="auto"/>
          <w:sz w:val="24"/>
          <w:highlight w:val="none"/>
          <w:lang w:val="en-US" w:eastAsia="zh-CN"/>
        </w:rPr>
        <w:t>绿地养护面积291143㎡，其中：特级养护绿化面积222444平方米，二级养护绿化面积68699平方米进行浇水、施肥、病虫害防治、除草、修剪、花卉栽植、植物补植、防寒等日常养护管理，确保行政办公区绿地良好环境景观效果。</w:t>
      </w:r>
    </w:p>
    <w:p w14:paraId="36F956E1">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（3）三区域养护服务范围：</w:t>
      </w:r>
      <w:r>
        <w:rPr>
          <w:rFonts w:hint="eastAsia" w:ascii="宋体" w:hAnsi="宋体" w:cs="Times New Roman"/>
          <w:color w:val="auto"/>
          <w:kern w:val="2"/>
          <w:sz w:val="24"/>
          <w:szCs w:val="24"/>
          <w:highlight w:val="none"/>
          <w:lang w:val="en-US" w:eastAsia="zh-CN" w:bidi="ar"/>
        </w:rPr>
        <w:t>北京城市副中心绿地养护北京城市副中心行政办公区东区绿地（三标段）东至通济路路、西至六环路、南至云帆路、北至运潮减河；最终以图示范围为准；对</w:t>
      </w:r>
      <w:r>
        <w:rPr>
          <w:rFonts w:hint="eastAsia" w:cs="宋体"/>
          <w:color w:val="auto"/>
          <w:sz w:val="24"/>
          <w:highlight w:val="none"/>
          <w:shd w:val="clear" w:color="auto" w:fill="FFFFFF"/>
          <w:lang w:eastAsia="zh-CN"/>
        </w:rPr>
        <w:t>北京城市副中心绿地养护北京城市副中心行政办公区东区绿地（三标段）</w:t>
      </w:r>
      <w:r>
        <w:rPr>
          <w:rFonts w:hint="eastAsia" w:ascii="宋体" w:hAnsi="宋体" w:cs="Times New Roman"/>
          <w:color w:val="auto"/>
          <w:kern w:val="2"/>
          <w:sz w:val="24"/>
          <w:szCs w:val="24"/>
          <w:highlight w:val="none"/>
          <w:lang w:val="en-US" w:eastAsia="zh-CN" w:bidi="ar"/>
        </w:rPr>
        <w:t>绿地养护面积210930.3㎡，其中：特级养护绿化面积191775.29平方米，一级养护绿化面积19155.01平方米进行浇水、施肥、病虫害防治、除草、修剪、花卉栽植、植物补植、防寒等日常养护管理，确保行政办公区绿地良好环境景观效果。</w:t>
      </w:r>
    </w:p>
    <w:p w14:paraId="111CE06A">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（4）四区域养护服务范围：北京城市副中心绿地养护北京城市副中心行政办公区西区绿地（四标段）东至通济路路、西至六环路、南至云帆路、北至运潮减河；最终以图示范围为准；对</w:t>
      </w:r>
      <w:r>
        <w:rPr>
          <w:rFonts w:hint="eastAsia" w:cs="宋体"/>
          <w:color w:val="auto"/>
          <w:sz w:val="24"/>
          <w:highlight w:val="none"/>
          <w:shd w:val="clear" w:color="auto" w:fill="FFFFFF"/>
          <w:lang w:eastAsia="zh-CN"/>
        </w:rPr>
        <w:t>北京城市副中心绿地养护北京城市副中心行政办公区西区绿地（四标段）</w:t>
      </w:r>
      <w:r>
        <w:rPr>
          <w:rFonts w:hint="eastAsia" w:ascii="宋体" w:hAnsi="宋体"/>
          <w:b w:val="0"/>
          <w:bCs w:val="0"/>
          <w:color w:val="auto"/>
          <w:sz w:val="24"/>
          <w:highlight w:val="none"/>
          <w:lang w:val="en-US" w:eastAsia="zh-CN"/>
        </w:rPr>
        <w:t>绿地养护面积157756.34㎡，其中：全年特级养护绿化面积130384.54平方米，全年一级养护绿化面积27371.80平方米</w:t>
      </w:r>
      <w:r>
        <w:rPr>
          <w:rFonts w:hint="eastAsia" w:ascii="宋体" w:hAnsi="宋体" w:cs="Times New Roman"/>
          <w:color w:val="auto"/>
          <w:kern w:val="2"/>
          <w:sz w:val="24"/>
          <w:szCs w:val="24"/>
          <w:highlight w:val="none"/>
          <w:lang w:val="en-US" w:eastAsia="zh-CN" w:bidi="ar"/>
        </w:rPr>
        <w:t>进行浇水、施肥、病虫害防治、除草、修剪、花卉栽植、植物补植、防寒等日常养护管理，确保行政办公区绿地良好环境景观效果。</w:t>
      </w:r>
    </w:p>
    <w:p w14:paraId="462EDD1E">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（5）五区域养护服务范围：北京城市副中心绿地养护千年城市守望林绿地（五标段）：</w:t>
      </w:r>
      <w:r>
        <w:rPr>
          <w:rFonts w:hint="default" w:ascii="宋体" w:hAnsi="宋体"/>
          <w:b w:val="0"/>
          <w:bCs w:val="0"/>
          <w:color w:val="auto"/>
          <w:sz w:val="24"/>
          <w:highlight w:val="none"/>
          <w:lang w:val="en-US" w:eastAsia="zh-CN"/>
        </w:rPr>
        <w:t>东至通济路路、西至六环路、南至云帆路、北至运潮减河</w:t>
      </w:r>
      <w:r>
        <w:rPr>
          <w:rFonts w:hint="eastAsia" w:ascii="宋体" w:hAnsi="宋体"/>
          <w:b w:val="0"/>
          <w:bCs w:val="0"/>
          <w:color w:val="auto"/>
          <w:sz w:val="24"/>
          <w:highlight w:val="none"/>
          <w:lang w:val="en-US" w:eastAsia="zh-CN"/>
        </w:rPr>
        <w:t>；最终以图示范围为准；对</w:t>
      </w:r>
      <w:r>
        <w:rPr>
          <w:rFonts w:hint="eastAsia" w:cs="宋体"/>
          <w:color w:val="auto"/>
          <w:sz w:val="24"/>
          <w:highlight w:val="none"/>
          <w:shd w:val="clear" w:color="auto" w:fill="FFFFFF"/>
          <w:lang w:eastAsia="zh-CN"/>
        </w:rPr>
        <w:t>北京城市副中心绿地养护千年城市守望林绿地（五标段）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339000平方米进行浇水、施肥、病虫害防治、除草、修剪、花卉栽植、植物补植、防寒等日常养护管理，确保行政办公区绿地良好环境景观效果。</w:t>
      </w:r>
    </w:p>
    <w:p w14:paraId="2697A3D5">
      <w:pPr>
        <w:spacing w:line="360" w:lineRule="auto"/>
        <w:ind w:firstLine="480" w:firstLineChars="200"/>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（6）六区域养护服务范围：北京城市副中心绿地养护A5区域绿地（六标段）</w:t>
      </w:r>
      <w:r>
        <w:rPr>
          <w:rFonts w:hint="default" w:ascii="宋体" w:hAnsi="宋体"/>
          <w:b w:val="0"/>
          <w:bCs w:val="0"/>
          <w:color w:val="auto"/>
          <w:sz w:val="24"/>
          <w:highlight w:val="none"/>
          <w:lang w:val="en-US" w:eastAsia="zh-CN"/>
        </w:rPr>
        <w:t>东至通济路路、西至六环路、南至云帆路、北至运潮减河</w:t>
      </w:r>
      <w:r>
        <w:rPr>
          <w:rFonts w:hint="eastAsia" w:ascii="宋体" w:hAnsi="宋体"/>
          <w:b w:val="0"/>
          <w:bCs w:val="0"/>
          <w:color w:val="auto"/>
          <w:sz w:val="24"/>
          <w:highlight w:val="none"/>
          <w:lang w:val="en-US" w:eastAsia="zh-CN"/>
        </w:rPr>
        <w:t>；最终以图示为准。对</w:t>
      </w:r>
      <w:r>
        <w:rPr>
          <w:rFonts w:hint="eastAsia" w:cs="宋体"/>
          <w:color w:val="auto"/>
          <w:sz w:val="24"/>
          <w:highlight w:val="none"/>
          <w:shd w:val="clear" w:color="auto" w:fill="FFFFFF"/>
          <w:lang w:eastAsia="zh-CN"/>
        </w:rPr>
        <w:t>北京城市副中心绿地养护A5区域绿地（六标段）</w:t>
      </w:r>
      <w:r>
        <w:rPr>
          <w:rFonts w:hint="eastAsia" w:ascii="宋体" w:hAnsi="宋体" w:cs="Times New Roman"/>
          <w:color w:val="auto"/>
          <w:kern w:val="2"/>
          <w:sz w:val="24"/>
          <w:szCs w:val="24"/>
          <w:highlight w:val="none"/>
          <w:lang w:val="en-US" w:eastAsia="zh-CN" w:bidi="ar"/>
        </w:rPr>
        <w:t>特级</w:t>
      </w:r>
      <w:r>
        <w:rPr>
          <w:rFonts w:hint="eastAsia" w:ascii="宋体" w:hAnsi="宋体" w:eastAsia="宋体" w:cs="Times New Roman"/>
          <w:color w:val="auto"/>
          <w:kern w:val="2"/>
          <w:sz w:val="24"/>
          <w:szCs w:val="24"/>
          <w:highlight w:val="none"/>
          <w:lang w:val="en-US" w:eastAsia="zh-CN" w:bidi="ar"/>
        </w:rPr>
        <w:t>养护绿化面积</w:t>
      </w:r>
      <w:r>
        <w:rPr>
          <w:rFonts w:hint="eastAsia" w:ascii="宋体" w:hAnsi="宋体" w:cs="Times New Roman"/>
          <w:color w:val="auto"/>
          <w:kern w:val="2"/>
          <w:sz w:val="24"/>
          <w:szCs w:val="24"/>
          <w:highlight w:val="none"/>
          <w:lang w:val="en-US" w:eastAsia="zh-CN" w:bidi="ar"/>
        </w:rPr>
        <w:t>92777.17平方米进行浇水、施肥、病虫害防治、除草、修剪、花卉栽植、植物补植、防寒等日常养护管理，确保行政办公区绿地良好环境景观效果。</w:t>
      </w:r>
    </w:p>
    <w:p w14:paraId="5D373576">
      <w:pPr>
        <w:spacing w:line="360" w:lineRule="auto"/>
        <w:ind w:firstLine="480" w:firstLineChars="200"/>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7）北京城市副中心绿地养护潞城中心公园(七标段)绿地养护面积：116959.06㎡【①、潞城中心位于通胡大街与东六环路相交西北角。】，最终以图示范围为准。对北京城市副中心绿地养护潞城中心公园(七标段)特级养护绿化面积116959.06㎡进行浇水、施肥、病虫害防治、除草、修剪、花卉栽植、植物补植、防寒等日常养护管理，确保行政办公区绿地良好环境景观效果。</w:t>
      </w:r>
    </w:p>
    <w:p w14:paraId="42503620">
      <w:pPr>
        <w:spacing w:line="360" w:lineRule="auto"/>
        <w:ind w:firstLine="480" w:firstLineChars="200"/>
        <w:rPr>
          <w:rFonts w:hint="default"/>
          <w:color w:val="auto"/>
          <w:highlight w:val="none"/>
          <w:lang w:val="en-US" w:eastAsia="zh-CN"/>
        </w:rPr>
      </w:pPr>
      <w:r>
        <w:rPr>
          <w:rFonts w:hint="eastAsia" w:ascii="宋体" w:hAnsi="宋体"/>
          <w:b w:val="0"/>
          <w:bCs w:val="0"/>
          <w:color w:val="auto"/>
          <w:sz w:val="24"/>
          <w:highlight w:val="none"/>
          <w:lang w:val="en-US" w:eastAsia="zh-CN"/>
        </w:rPr>
        <w:t>6、采购限价：231.495000万元。依据国家发展改革委、建设部关于印发《建设工程监理与相关服务收费管理规定》的通知（【2007】670号）计取。</w:t>
      </w:r>
    </w:p>
    <w:tbl>
      <w:tblPr>
        <w:tblStyle w:val="250"/>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5"/>
        <w:gridCol w:w="1676"/>
        <w:gridCol w:w="3524"/>
        <w:gridCol w:w="1576"/>
        <w:gridCol w:w="1576"/>
      </w:tblGrid>
      <w:tr w14:paraId="2037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404" w:type="pct"/>
            <w:vAlign w:val="center"/>
          </w:tcPr>
          <w:p w14:paraId="11A4A0B3">
            <w:pPr>
              <w:pStyle w:val="251"/>
              <w:spacing w:before="137"/>
              <w:ind w:left="118" w:right="114"/>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包号</w:t>
            </w:r>
          </w:p>
        </w:tc>
        <w:tc>
          <w:tcPr>
            <w:tcW w:w="922" w:type="pct"/>
            <w:vAlign w:val="center"/>
          </w:tcPr>
          <w:p w14:paraId="7E6C5618">
            <w:pPr>
              <w:pStyle w:val="251"/>
              <w:spacing w:before="137"/>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标的名称</w:t>
            </w:r>
          </w:p>
        </w:tc>
        <w:tc>
          <w:tcPr>
            <w:tcW w:w="1938" w:type="pct"/>
            <w:vAlign w:val="center"/>
          </w:tcPr>
          <w:p w14:paraId="1AC262ED">
            <w:pPr>
              <w:pStyle w:val="251"/>
              <w:spacing w:before="3"/>
              <w:ind w:left="95" w:right="87"/>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采购包预算金额</w:t>
            </w:r>
            <w:r>
              <w:rPr>
                <w:rFonts w:hint="eastAsia" w:asciiTheme="minorEastAsia" w:hAnsiTheme="minorEastAsia" w:eastAsiaTheme="minorEastAsia"/>
                <w:b/>
                <w:bCs/>
                <w:color w:val="auto"/>
                <w:sz w:val="24"/>
                <w:szCs w:val="24"/>
                <w:highlight w:val="none"/>
                <w:lang w:val="en-US" w:eastAsia="zh-CN"/>
              </w:rPr>
              <w:t>约</w:t>
            </w:r>
            <w:r>
              <w:rPr>
                <w:rFonts w:asciiTheme="minorEastAsia" w:hAnsiTheme="minorEastAsia" w:eastAsiaTheme="minorEastAsia"/>
                <w:b/>
                <w:bCs/>
                <w:color w:val="auto"/>
                <w:sz w:val="24"/>
                <w:szCs w:val="24"/>
                <w:highlight w:val="none"/>
              </w:rPr>
              <w:t>（万元）</w:t>
            </w:r>
          </w:p>
        </w:tc>
        <w:tc>
          <w:tcPr>
            <w:tcW w:w="867" w:type="pct"/>
            <w:vAlign w:val="center"/>
          </w:tcPr>
          <w:p w14:paraId="0F1A86FB">
            <w:pPr>
              <w:pStyle w:val="251"/>
              <w:spacing w:before="137"/>
              <w:jc w:val="cente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数量</w:t>
            </w:r>
          </w:p>
        </w:tc>
        <w:tc>
          <w:tcPr>
            <w:tcW w:w="867" w:type="pct"/>
            <w:vAlign w:val="center"/>
          </w:tcPr>
          <w:p w14:paraId="4FD4756A">
            <w:pPr>
              <w:pStyle w:val="251"/>
              <w:spacing w:before="137"/>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单位</w:t>
            </w:r>
          </w:p>
        </w:tc>
      </w:tr>
      <w:tr w14:paraId="24931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404" w:type="pct"/>
            <w:vAlign w:val="center"/>
          </w:tcPr>
          <w:p w14:paraId="0399F154">
            <w:pPr>
              <w:pStyle w:val="251"/>
              <w:spacing w:before="102"/>
              <w:ind w:left="118" w:right="109"/>
              <w:jc w:val="center"/>
              <w:rPr>
                <w:rFonts w:hint="eastAsia" w:asciiTheme="minorEastAsia" w:hAnsiTheme="minorEastAsia" w:eastAsiaTheme="minorEastAsia"/>
                <w:color w:val="auto"/>
                <w:sz w:val="21"/>
                <w:highlight w:val="none"/>
                <w:lang w:eastAsia="zh-CN"/>
              </w:rPr>
            </w:pPr>
            <w:r>
              <w:rPr>
                <w:rFonts w:hint="eastAsia" w:asciiTheme="minorEastAsia" w:hAnsiTheme="minorEastAsia" w:eastAsiaTheme="minorEastAsia"/>
                <w:color w:val="auto"/>
                <w:sz w:val="21"/>
                <w:highlight w:val="none"/>
                <w:lang w:val="en-US" w:eastAsia="zh-CN"/>
              </w:rPr>
              <w:t>8</w:t>
            </w:r>
          </w:p>
        </w:tc>
        <w:tc>
          <w:tcPr>
            <w:tcW w:w="922" w:type="pct"/>
            <w:vAlign w:val="center"/>
          </w:tcPr>
          <w:p w14:paraId="52615566">
            <w:pPr>
              <w:pStyle w:val="251"/>
              <w:jc w:val="center"/>
              <w:rPr>
                <w:rFonts w:hint="eastAsia" w:asciiTheme="minorEastAsia" w:hAnsiTheme="minorEastAsia" w:eastAsiaTheme="minorEastAsia"/>
                <w:color w:val="auto"/>
                <w:highlight w:val="none"/>
                <w:lang w:eastAsia="zh-CN"/>
              </w:rPr>
            </w:pPr>
            <w:r>
              <w:rPr>
                <w:rFonts w:hint="eastAsia" w:ascii="宋体" w:hAnsi="宋体" w:eastAsia="宋体" w:cs="Times New Roman"/>
                <w:color w:val="auto"/>
                <w:kern w:val="2"/>
                <w:sz w:val="24"/>
                <w:szCs w:val="24"/>
                <w:highlight w:val="none"/>
                <w:lang w:val="en-US" w:eastAsia="zh-CN" w:bidi="ar"/>
              </w:rPr>
              <w:t>北京城市副中心绿地养护项目</w:t>
            </w:r>
            <w:r>
              <w:rPr>
                <w:rFonts w:hint="eastAsia" w:ascii="宋体" w:hAnsi="宋体" w:cs="Times New Roman"/>
                <w:color w:val="auto"/>
                <w:kern w:val="2"/>
                <w:sz w:val="24"/>
                <w:szCs w:val="24"/>
                <w:highlight w:val="none"/>
                <w:lang w:val="en-US" w:eastAsia="zh-CN" w:bidi="ar"/>
              </w:rPr>
              <w:t>监理服务（八标段）</w:t>
            </w:r>
          </w:p>
        </w:tc>
        <w:tc>
          <w:tcPr>
            <w:tcW w:w="1938" w:type="pct"/>
            <w:vAlign w:val="center"/>
          </w:tcPr>
          <w:p w14:paraId="4F2F5F8B">
            <w:pPr>
              <w:pStyle w:val="251"/>
              <w:jc w:val="center"/>
              <w:rPr>
                <w:rFonts w:hint="default" w:asciiTheme="minorEastAsia" w:hAnsiTheme="minorEastAsia" w:eastAsiaTheme="minorEastAsia"/>
                <w:color w:val="auto"/>
                <w:highlight w:val="none"/>
                <w:lang w:val="en-US" w:eastAsia="zh-CN"/>
              </w:rPr>
            </w:pPr>
            <w:r>
              <w:rPr>
                <w:rFonts w:hint="eastAsia" w:ascii="宋体" w:hAnsi="宋体"/>
                <w:b w:val="0"/>
                <w:bCs w:val="0"/>
                <w:color w:val="auto"/>
                <w:sz w:val="24"/>
                <w:highlight w:val="none"/>
                <w:lang w:val="en-US" w:eastAsia="zh-CN"/>
              </w:rPr>
              <w:t>231.495000</w:t>
            </w:r>
          </w:p>
        </w:tc>
        <w:tc>
          <w:tcPr>
            <w:tcW w:w="867" w:type="pct"/>
            <w:vAlign w:val="center"/>
          </w:tcPr>
          <w:p w14:paraId="04D8FE44">
            <w:pPr>
              <w:pStyle w:val="251"/>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w:t>
            </w:r>
          </w:p>
        </w:tc>
        <w:tc>
          <w:tcPr>
            <w:tcW w:w="867" w:type="pct"/>
            <w:vAlign w:val="center"/>
          </w:tcPr>
          <w:p w14:paraId="1DC03725">
            <w:pPr>
              <w:pStyle w:val="251"/>
              <w:jc w:val="center"/>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项</w:t>
            </w:r>
          </w:p>
        </w:tc>
      </w:tr>
    </w:tbl>
    <w:p w14:paraId="2E381DCE">
      <w:pPr>
        <w:pStyle w:val="17"/>
        <w:rPr>
          <w:rFonts w:hint="eastAsia" w:ascii="宋体" w:hAnsi="宋体"/>
          <w:b w:val="0"/>
          <w:bCs/>
          <w:color w:val="auto"/>
          <w:sz w:val="24"/>
          <w:highlight w:val="none"/>
          <w:lang w:val="en-US" w:eastAsia="zh-CN"/>
        </w:rPr>
        <w:sectPr>
          <w:pgSz w:w="11907" w:h="16840"/>
          <w:pgMar w:top="1418" w:right="1134" w:bottom="1418" w:left="1701" w:header="851" w:footer="851" w:gutter="0"/>
          <w:pgNumType w:fmt="decimal"/>
          <w:cols w:space="720" w:num="1"/>
          <w:docGrid w:linePitch="462" w:charSpace="0"/>
        </w:sectPr>
      </w:pPr>
      <w:r>
        <w:rPr>
          <w:rFonts w:hint="eastAsia" w:ascii="宋体" w:hAnsi="宋体"/>
          <w:b w:val="0"/>
          <w:bCs w:val="0"/>
          <w:color w:val="auto"/>
          <w:sz w:val="24"/>
          <w:highlight w:val="none"/>
          <w:lang w:val="en-US" w:eastAsia="zh-CN"/>
        </w:rPr>
        <w:t xml:space="preserve"> 7、服务期限：</w:t>
      </w:r>
      <w:r>
        <w:rPr>
          <w:rFonts w:hint="eastAsia"/>
          <w:b w:val="0"/>
          <w:bCs w:val="0"/>
          <w:color w:val="auto"/>
          <w:sz w:val="24"/>
          <w:highlight w:val="none"/>
          <w:lang w:val="en-US" w:eastAsia="zh-CN"/>
        </w:rPr>
        <w:t>2026年1月1日起至2028年12月31日止，为期三年。</w:t>
      </w:r>
    </w:p>
    <w:p w14:paraId="73061088">
      <w:pPr>
        <w:spacing w:line="360" w:lineRule="auto"/>
        <w:jc w:val="center"/>
        <w:outlineLvl w:val="0"/>
        <w:rPr>
          <w:rFonts w:ascii="宋体" w:hAnsi="宋体"/>
          <w:b/>
          <w:color w:val="auto"/>
          <w:sz w:val="24"/>
          <w:highlight w:val="none"/>
        </w:rPr>
      </w:pPr>
      <w:r>
        <w:rPr>
          <w:rFonts w:ascii="宋体" w:hAnsi="宋体"/>
          <w:b/>
          <w:color w:val="auto"/>
          <w:sz w:val="24"/>
          <w:highlight w:val="none"/>
        </w:rPr>
        <w:t>第六章   拟签订的合同文本</w:t>
      </w:r>
      <w:bookmarkEnd w:id="735"/>
      <w:bookmarkEnd w:id="736"/>
      <w:bookmarkEnd w:id="737"/>
    </w:p>
    <w:p w14:paraId="607FE86A">
      <w:pPr>
        <w:spacing w:line="360" w:lineRule="auto"/>
        <w:jc w:val="both"/>
        <w:outlineLvl w:val="1"/>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1-7包绿地养护管理合同范本</w:t>
      </w:r>
    </w:p>
    <w:p w14:paraId="135573A5">
      <w:pPr>
        <w:tabs>
          <w:tab w:val="left" w:pos="900"/>
          <w:tab w:val="left" w:pos="1080"/>
        </w:tabs>
        <w:snapToGrid w:val="0"/>
        <w:spacing w:line="360" w:lineRule="auto"/>
        <w:rPr>
          <w:rFonts w:ascii="宋体" w:hAnsi="宋体"/>
          <w:color w:val="auto"/>
          <w:kern w:val="0"/>
          <w:sz w:val="24"/>
          <w:highlight w:val="none"/>
        </w:rPr>
      </w:pPr>
    </w:p>
    <w:p w14:paraId="47044FAD">
      <w:pPr>
        <w:tabs>
          <w:tab w:val="left" w:pos="900"/>
          <w:tab w:val="left" w:pos="1080"/>
        </w:tabs>
        <w:snapToGrid w:val="0"/>
        <w:spacing w:line="360" w:lineRule="auto"/>
        <w:rPr>
          <w:rFonts w:ascii="宋体" w:hAnsi="宋体"/>
          <w:color w:val="auto"/>
          <w:kern w:val="0"/>
          <w:sz w:val="24"/>
          <w:highlight w:val="none"/>
        </w:rPr>
      </w:pPr>
    </w:p>
    <w:p w14:paraId="20EAD9AA">
      <w:pPr>
        <w:pStyle w:val="17"/>
        <w:spacing w:before="12"/>
        <w:rPr>
          <w:b/>
          <w:color w:val="auto"/>
          <w:sz w:val="14"/>
          <w:highlight w:val="none"/>
          <w:lang w:eastAsia="zh-CN"/>
        </w:rPr>
      </w:pPr>
      <w:bookmarkStart w:id="738" w:name="_Toc99301426"/>
      <w:bookmarkStart w:id="739" w:name="_Toc31090"/>
      <w:bookmarkStart w:id="740" w:name="_Toc22894"/>
    </w:p>
    <w:p w14:paraId="7CCC0292">
      <w:pPr>
        <w:tabs>
          <w:tab w:val="left" w:pos="7504"/>
        </w:tabs>
        <w:rPr>
          <w:rFonts w:ascii="Times New Roman" w:eastAsia="Times New Roman"/>
          <w:b/>
          <w:color w:val="auto"/>
          <w:sz w:val="28"/>
          <w:highlight w:val="none"/>
          <w:u w:val="single"/>
          <w:lang w:val="en" w:eastAsia="zh-CN"/>
        </w:rPr>
      </w:pPr>
    </w:p>
    <w:p w14:paraId="7E622502">
      <w:pPr>
        <w:pStyle w:val="17"/>
        <w:rPr>
          <w:rFonts w:ascii="Times New Roman"/>
          <w:b/>
          <w:color w:val="auto"/>
          <w:sz w:val="20"/>
          <w:highlight w:val="none"/>
          <w:lang w:eastAsia="zh-CN"/>
        </w:rPr>
      </w:pPr>
    </w:p>
    <w:p w14:paraId="5DD1A5E6">
      <w:pPr>
        <w:pStyle w:val="17"/>
        <w:rPr>
          <w:rFonts w:ascii="Times New Roman"/>
          <w:b/>
          <w:color w:val="auto"/>
          <w:sz w:val="20"/>
          <w:highlight w:val="none"/>
          <w:lang w:eastAsia="zh-CN"/>
        </w:rPr>
      </w:pPr>
    </w:p>
    <w:p w14:paraId="61E659B3">
      <w:pPr>
        <w:pStyle w:val="17"/>
        <w:rPr>
          <w:rFonts w:ascii="Times New Roman"/>
          <w:b/>
          <w:color w:val="auto"/>
          <w:sz w:val="20"/>
          <w:highlight w:val="none"/>
          <w:lang w:eastAsia="zh-CN"/>
        </w:rPr>
      </w:pPr>
    </w:p>
    <w:p w14:paraId="161E2087">
      <w:pPr>
        <w:pStyle w:val="17"/>
        <w:rPr>
          <w:rFonts w:ascii="Times New Roman"/>
          <w:b/>
          <w:color w:val="auto"/>
          <w:sz w:val="20"/>
          <w:highlight w:val="none"/>
          <w:lang w:eastAsia="zh-CN"/>
        </w:rPr>
      </w:pPr>
    </w:p>
    <w:p w14:paraId="51251E51">
      <w:pPr>
        <w:pStyle w:val="17"/>
        <w:spacing w:before="6"/>
        <w:rPr>
          <w:rFonts w:ascii="Times New Roman"/>
          <w:b/>
          <w:color w:val="auto"/>
          <w:sz w:val="18"/>
          <w:highlight w:val="none"/>
          <w:lang w:eastAsia="zh-CN"/>
        </w:rPr>
      </w:pPr>
    </w:p>
    <w:p w14:paraId="34A3BBD7">
      <w:pPr>
        <w:spacing w:before="32"/>
        <w:jc w:val="center"/>
        <w:rPr>
          <w:b/>
          <w:color w:val="auto"/>
          <w:sz w:val="48"/>
          <w:highlight w:val="none"/>
          <w:lang w:eastAsia="zh-CN"/>
        </w:rPr>
      </w:pPr>
      <w:r>
        <w:rPr>
          <w:rFonts w:hint="eastAsia"/>
          <w:b/>
          <w:color w:val="auto"/>
          <w:sz w:val="48"/>
          <w:highlight w:val="none"/>
          <w:lang w:eastAsia="zh-CN"/>
        </w:rPr>
        <w:t>绿地</w:t>
      </w:r>
      <w:r>
        <w:rPr>
          <w:b/>
          <w:color w:val="auto"/>
          <w:sz w:val="48"/>
          <w:highlight w:val="none"/>
          <w:lang w:eastAsia="zh-CN"/>
        </w:rPr>
        <w:t>养护</w:t>
      </w:r>
      <w:r>
        <w:rPr>
          <w:rFonts w:hint="eastAsia"/>
          <w:b/>
          <w:color w:val="auto"/>
          <w:sz w:val="48"/>
          <w:highlight w:val="none"/>
          <w:lang w:eastAsia="zh-CN"/>
        </w:rPr>
        <w:t>、</w:t>
      </w:r>
      <w:r>
        <w:rPr>
          <w:b/>
          <w:color w:val="auto"/>
          <w:sz w:val="48"/>
          <w:highlight w:val="none"/>
          <w:lang w:eastAsia="zh-CN"/>
        </w:rPr>
        <w:t>管理合同</w:t>
      </w:r>
    </w:p>
    <w:p w14:paraId="426E61E6">
      <w:pPr>
        <w:pStyle w:val="17"/>
        <w:rPr>
          <w:b/>
          <w:color w:val="auto"/>
          <w:sz w:val="48"/>
          <w:highlight w:val="none"/>
          <w:lang w:eastAsia="zh-CN"/>
        </w:rPr>
      </w:pPr>
    </w:p>
    <w:p w14:paraId="199FDE81">
      <w:pPr>
        <w:pStyle w:val="17"/>
        <w:rPr>
          <w:b/>
          <w:color w:val="auto"/>
          <w:sz w:val="48"/>
          <w:highlight w:val="none"/>
          <w:lang w:eastAsia="zh-CN"/>
        </w:rPr>
      </w:pPr>
    </w:p>
    <w:p w14:paraId="74271CCB">
      <w:pPr>
        <w:pStyle w:val="17"/>
        <w:rPr>
          <w:b/>
          <w:color w:val="auto"/>
          <w:sz w:val="48"/>
          <w:highlight w:val="none"/>
          <w:lang w:eastAsia="zh-CN"/>
        </w:rPr>
      </w:pPr>
    </w:p>
    <w:p w14:paraId="13F7CB67">
      <w:pPr>
        <w:pStyle w:val="17"/>
        <w:rPr>
          <w:b/>
          <w:color w:val="auto"/>
          <w:sz w:val="48"/>
          <w:highlight w:val="none"/>
          <w:lang w:eastAsia="zh-CN"/>
        </w:rPr>
      </w:pPr>
    </w:p>
    <w:p w14:paraId="4878E7CC">
      <w:pPr>
        <w:pStyle w:val="17"/>
        <w:rPr>
          <w:b/>
          <w:color w:val="auto"/>
          <w:sz w:val="48"/>
          <w:highlight w:val="none"/>
          <w:lang w:eastAsia="zh-CN"/>
        </w:rPr>
      </w:pPr>
    </w:p>
    <w:p w14:paraId="042945A2">
      <w:pPr>
        <w:pStyle w:val="17"/>
        <w:rPr>
          <w:b/>
          <w:color w:val="auto"/>
          <w:sz w:val="48"/>
          <w:highlight w:val="none"/>
          <w:lang w:eastAsia="zh-CN"/>
        </w:rPr>
      </w:pPr>
    </w:p>
    <w:p w14:paraId="4E5AA769">
      <w:pPr>
        <w:pStyle w:val="17"/>
        <w:rPr>
          <w:b/>
          <w:color w:val="auto"/>
          <w:sz w:val="48"/>
          <w:highlight w:val="none"/>
          <w:lang w:eastAsia="zh-CN"/>
        </w:rPr>
      </w:pPr>
    </w:p>
    <w:p w14:paraId="4FF9DB0D">
      <w:pPr>
        <w:tabs>
          <w:tab w:val="left" w:pos="6557"/>
        </w:tabs>
        <w:spacing w:before="350" w:line="364" w:lineRule="auto"/>
        <w:ind w:left="1073" w:right="2446"/>
        <w:jc w:val="both"/>
        <w:rPr>
          <w:b/>
          <w:color w:val="auto"/>
          <w:sz w:val="28"/>
          <w:highlight w:val="none"/>
          <w:u w:val="single"/>
          <w:lang w:eastAsia="zh-CN"/>
        </w:rPr>
      </w:pPr>
      <w:r>
        <w:rPr>
          <w:b/>
          <w:color w:val="auto"/>
          <w:sz w:val="28"/>
          <w:highlight w:val="none"/>
          <w:lang w:eastAsia="zh-CN"/>
        </w:rPr>
        <w:t>项目名称：</w:t>
      </w:r>
      <w:r>
        <w:rPr>
          <w:b/>
          <w:color w:val="auto"/>
          <w:sz w:val="28"/>
          <w:highlight w:val="none"/>
          <w:u w:val="single"/>
          <w:lang w:eastAsia="zh-CN"/>
        </w:rPr>
        <w:t xml:space="preserve">  </w:t>
      </w:r>
      <w:r>
        <w:rPr>
          <w:rFonts w:hint="eastAsia"/>
          <w:b/>
          <w:color w:val="auto"/>
          <w:sz w:val="28"/>
          <w:highlight w:val="none"/>
          <w:u w:val="single"/>
          <w:lang w:eastAsia="zh-CN"/>
        </w:rPr>
        <w:t xml:space="preserve"> </w:t>
      </w:r>
      <w:r>
        <w:rPr>
          <w:b/>
          <w:color w:val="auto"/>
          <w:sz w:val="28"/>
          <w:highlight w:val="none"/>
          <w:u w:val="single"/>
          <w:lang w:val="en" w:eastAsia="zh-CN"/>
        </w:rPr>
        <w:t xml:space="preserve">              </w:t>
      </w:r>
      <w:r>
        <w:rPr>
          <w:rFonts w:hint="eastAsia"/>
          <w:b/>
          <w:color w:val="auto"/>
          <w:sz w:val="28"/>
          <w:highlight w:val="none"/>
          <w:u w:val="single"/>
          <w:lang w:eastAsia="zh-CN"/>
        </w:rPr>
        <w:t xml:space="preserve">     </w:t>
      </w:r>
      <w:r>
        <w:rPr>
          <w:b/>
          <w:color w:val="auto"/>
          <w:sz w:val="28"/>
          <w:highlight w:val="none"/>
          <w:u w:val="single"/>
          <w:lang w:eastAsia="zh-CN"/>
        </w:rPr>
        <w:t xml:space="preserve">           </w:t>
      </w:r>
    </w:p>
    <w:p w14:paraId="2F65282A">
      <w:pPr>
        <w:tabs>
          <w:tab w:val="left" w:pos="6557"/>
        </w:tabs>
        <w:spacing w:before="350" w:line="364" w:lineRule="auto"/>
        <w:ind w:left="1073" w:right="2446"/>
        <w:jc w:val="both"/>
        <w:rPr>
          <w:rFonts w:hint="default"/>
          <w:b/>
          <w:color w:val="auto"/>
          <w:sz w:val="28"/>
          <w:highlight w:val="none"/>
          <w:u w:val="single"/>
          <w:lang w:val="en-US" w:eastAsia="zh-CN"/>
        </w:rPr>
      </w:pPr>
      <w:r>
        <w:rPr>
          <w:b/>
          <w:color w:val="auto"/>
          <w:sz w:val="28"/>
          <w:highlight w:val="none"/>
          <w:lang w:eastAsia="zh-CN"/>
        </w:rPr>
        <w:t>甲方：</w:t>
      </w:r>
      <w:r>
        <w:rPr>
          <w:b/>
          <w:color w:val="auto"/>
          <w:sz w:val="28"/>
          <w:highlight w:val="none"/>
          <w:u w:val="single"/>
          <w:lang w:eastAsia="zh-CN"/>
        </w:rPr>
        <w:t>北京市绿地养护管理事务中心</w:t>
      </w:r>
      <w:r>
        <w:rPr>
          <w:rFonts w:hint="eastAsia"/>
          <w:b/>
          <w:color w:val="auto"/>
          <w:sz w:val="28"/>
          <w:highlight w:val="none"/>
          <w:u w:val="single"/>
          <w:lang w:eastAsia="zh-CN"/>
        </w:rPr>
        <w:t xml:space="preserve"> </w:t>
      </w:r>
      <w:r>
        <w:rPr>
          <w:b/>
          <w:color w:val="auto"/>
          <w:sz w:val="28"/>
          <w:highlight w:val="none"/>
          <w:u w:val="single"/>
          <w:lang w:eastAsia="zh-CN"/>
        </w:rPr>
        <w:t xml:space="preserve"> </w:t>
      </w:r>
      <w:r>
        <w:rPr>
          <w:rFonts w:hint="eastAsia"/>
          <w:b/>
          <w:color w:val="auto"/>
          <w:sz w:val="28"/>
          <w:highlight w:val="none"/>
          <w:u w:val="single"/>
          <w:lang w:eastAsia="zh-CN"/>
        </w:rPr>
        <w:t xml:space="preserve">  </w:t>
      </w:r>
      <w:r>
        <w:rPr>
          <w:rFonts w:hint="eastAsia"/>
          <w:b/>
          <w:color w:val="auto"/>
          <w:sz w:val="28"/>
          <w:highlight w:val="none"/>
          <w:u w:val="single"/>
          <w:lang w:val="en-US" w:eastAsia="zh-CN"/>
        </w:rPr>
        <w:t xml:space="preserve">   </w:t>
      </w:r>
    </w:p>
    <w:p w14:paraId="423B1CD2">
      <w:pPr>
        <w:tabs>
          <w:tab w:val="left" w:pos="6557"/>
        </w:tabs>
        <w:spacing w:before="350" w:line="364" w:lineRule="auto"/>
        <w:ind w:left="1073" w:right="2446"/>
        <w:jc w:val="both"/>
        <w:rPr>
          <w:b/>
          <w:color w:val="auto"/>
          <w:sz w:val="28"/>
          <w:highlight w:val="none"/>
          <w:u w:val="single"/>
          <w:lang w:eastAsia="zh-CN"/>
        </w:rPr>
      </w:pPr>
      <w:r>
        <w:rPr>
          <w:b/>
          <w:color w:val="auto"/>
          <w:sz w:val="28"/>
          <w:highlight w:val="none"/>
          <w:lang w:eastAsia="zh-CN"/>
        </w:rPr>
        <w:t>乙方：</w:t>
      </w:r>
      <w:r>
        <w:rPr>
          <w:rFonts w:hint="eastAsia"/>
          <w:b/>
          <w:color w:val="auto"/>
          <w:sz w:val="28"/>
          <w:highlight w:val="none"/>
          <w:u w:val="single"/>
          <w:lang w:eastAsia="zh-CN"/>
        </w:rPr>
        <w:t xml:space="preserve">       </w:t>
      </w:r>
      <w:r>
        <w:rPr>
          <w:b/>
          <w:color w:val="auto"/>
          <w:sz w:val="28"/>
          <w:highlight w:val="none"/>
          <w:u w:val="single"/>
          <w:lang w:eastAsia="zh-CN"/>
        </w:rPr>
        <w:t xml:space="preserve">  </w:t>
      </w:r>
      <w:r>
        <w:rPr>
          <w:rFonts w:hint="eastAsia"/>
          <w:b/>
          <w:color w:val="auto"/>
          <w:sz w:val="28"/>
          <w:highlight w:val="none"/>
          <w:u w:val="single"/>
          <w:lang w:eastAsia="zh-CN"/>
        </w:rPr>
        <w:t xml:space="preserve">           </w:t>
      </w:r>
      <w:r>
        <w:rPr>
          <w:b/>
          <w:color w:val="auto"/>
          <w:sz w:val="28"/>
          <w:highlight w:val="none"/>
          <w:u w:val="single"/>
          <w:lang w:val="en" w:eastAsia="zh-CN"/>
        </w:rPr>
        <w:t xml:space="preserve">                        </w:t>
      </w:r>
      <w:r>
        <w:rPr>
          <w:b/>
          <w:color w:val="auto"/>
          <w:sz w:val="28"/>
          <w:highlight w:val="none"/>
          <w:u w:val="single"/>
          <w:lang w:eastAsia="zh-CN"/>
        </w:rPr>
        <w:t xml:space="preserve">          </w:t>
      </w:r>
    </w:p>
    <w:p w14:paraId="50D41413">
      <w:pPr>
        <w:tabs>
          <w:tab w:val="left" w:pos="6557"/>
        </w:tabs>
        <w:spacing w:before="350" w:line="364" w:lineRule="auto"/>
        <w:ind w:left="1073" w:right="2446"/>
        <w:jc w:val="both"/>
        <w:rPr>
          <w:rFonts w:ascii="Times New Roman" w:eastAsia="Times New Roman"/>
          <w:color w:val="auto"/>
          <w:sz w:val="28"/>
          <w:highlight w:val="none"/>
          <w:lang w:eastAsia="zh-CN"/>
        </w:rPr>
        <w:sectPr>
          <w:footerReference r:id="rId20" w:type="default"/>
          <w:pgSz w:w="11910" w:h="16840"/>
          <w:pgMar w:top="1580" w:right="1480" w:bottom="1000" w:left="1418" w:header="0" w:footer="808" w:gutter="0"/>
          <w:pgNumType w:fmt="decimal"/>
          <w:cols w:space="720" w:num="1"/>
        </w:sectPr>
      </w:pPr>
      <w:r>
        <w:rPr>
          <w:b/>
          <w:color w:val="auto"/>
          <w:sz w:val="28"/>
          <w:highlight w:val="none"/>
          <w:lang w:eastAsia="zh-CN"/>
        </w:rPr>
        <w:t>合同编号：</w:t>
      </w:r>
      <w:r>
        <w:rPr>
          <w:rFonts w:hint="eastAsia"/>
          <w:b/>
          <w:color w:val="auto"/>
          <w:sz w:val="28"/>
          <w:highlight w:val="none"/>
          <w:u w:val="single"/>
          <w:lang w:eastAsia="zh-CN"/>
        </w:rPr>
        <w:t xml:space="preserve"> </w:t>
      </w:r>
      <w:r>
        <w:rPr>
          <w:b/>
          <w:color w:val="auto"/>
          <w:sz w:val="28"/>
          <w:highlight w:val="none"/>
          <w:u w:val="single"/>
          <w:lang w:eastAsia="zh-CN"/>
        </w:rPr>
        <w:t xml:space="preserve">            </w:t>
      </w:r>
      <w:r>
        <w:rPr>
          <w:b/>
          <w:color w:val="auto"/>
          <w:sz w:val="28"/>
          <w:highlight w:val="none"/>
          <w:u w:val="single"/>
          <w:lang w:val="en" w:eastAsia="zh-CN"/>
        </w:rPr>
        <w:t xml:space="preserve">                         </w:t>
      </w:r>
      <w:r>
        <w:rPr>
          <w:b/>
          <w:color w:val="auto"/>
          <w:sz w:val="28"/>
          <w:highlight w:val="none"/>
          <w:u w:val="single"/>
          <w:lang w:eastAsia="zh-CN"/>
        </w:rPr>
        <w:t xml:space="preserve">            </w:t>
      </w:r>
    </w:p>
    <w:p w14:paraId="6239EF93">
      <w:pPr>
        <w:spacing w:before="61"/>
        <w:ind w:left="2251" w:right="2247"/>
        <w:jc w:val="center"/>
        <w:rPr>
          <w:b/>
          <w:color w:val="auto"/>
          <w:sz w:val="28"/>
          <w:highlight w:val="none"/>
          <w:lang w:eastAsia="zh-CN"/>
        </w:rPr>
      </w:pPr>
      <w:r>
        <w:rPr>
          <w:rFonts w:hint="eastAsia"/>
          <w:b/>
          <w:color w:val="auto"/>
          <w:sz w:val="28"/>
          <w:highlight w:val="none"/>
          <w:lang w:eastAsia="zh-CN"/>
        </w:rPr>
        <w:t>绿地</w:t>
      </w:r>
      <w:r>
        <w:rPr>
          <w:b/>
          <w:color w:val="auto"/>
          <w:sz w:val="28"/>
          <w:highlight w:val="none"/>
          <w:lang w:eastAsia="zh-CN"/>
        </w:rPr>
        <w:t>养护、管理合同</w:t>
      </w:r>
    </w:p>
    <w:p w14:paraId="4384DFA9">
      <w:pPr>
        <w:pStyle w:val="17"/>
        <w:spacing w:before="5"/>
        <w:rPr>
          <w:b/>
          <w:color w:val="auto"/>
          <w:highlight w:val="none"/>
          <w:lang w:eastAsia="zh-CN"/>
        </w:rPr>
      </w:pPr>
    </w:p>
    <w:p w14:paraId="0E87BE67">
      <w:pPr>
        <w:pStyle w:val="17"/>
        <w:pageBreakBefore w:val="0"/>
        <w:tabs>
          <w:tab w:val="left" w:pos="5058"/>
          <w:tab w:val="clear"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pacing w:val="-108"/>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3"/>
          <w:sz w:val="24"/>
          <w:szCs w:val="24"/>
          <w:highlight w:val="none"/>
          <w:lang w:eastAsia="zh-CN"/>
        </w:rPr>
        <w:t>发</w:t>
      </w:r>
      <w:r>
        <w:rPr>
          <w:rFonts w:hint="eastAsia" w:ascii="宋体" w:hAnsi="宋体" w:eastAsia="宋体" w:cs="宋体"/>
          <w:color w:val="auto"/>
          <w:sz w:val="24"/>
          <w:szCs w:val="24"/>
          <w:highlight w:val="none"/>
          <w:lang w:eastAsia="zh-CN"/>
        </w:rPr>
        <w:t>包</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u w:val="single"/>
          <w:lang w:eastAsia="zh-CN"/>
        </w:rPr>
        <w:t>北京市绿地养护管理事务中心</w:t>
      </w:r>
      <w:r>
        <w:rPr>
          <w:rFonts w:hint="eastAsia" w:ascii="宋体" w:hAnsi="宋体" w:eastAsia="宋体" w:cs="宋体"/>
          <w:color w:val="auto"/>
          <w:sz w:val="24"/>
          <w:szCs w:val="24"/>
          <w:highlight w:val="none"/>
          <w:u w:val="single"/>
          <w:lang w:eastAsia="zh-CN"/>
        </w:rPr>
        <w:tab/>
      </w:r>
    </w:p>
    <w:p w14:paraId="32713F0D">
      <w:pPr>
        <w:pStyle w:val="17"/>
        <w:pageBreakBefore w:val="0"/>
        <w:tabs>
          <w:tab w:val="left" w:pos="5052"/>
          <w:tab w:val="clear"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承</w:t>
      </w:r>
      <w:r>
        <w:rPr>
          <w:rFonts w:hint="eastAsia" w:ascii="宋体" w:hAnsi="宋体" w:eastAsia="宋体" w:cs="宋体"/>
          <w:color w:val="auto"/>
          <w:spacing w:val="-3"/>
          <w:sz w:val="24"/>
          <w:szCs w:val="24"/>
          <w:highlight w:val="none"/>
          <w:lang w:eastAsia="zh-CN"/>
        </w:rPr>
        <w:t>包</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val="en" w:eastAsia="zh-CN"/>
        </w:rPr>
        <w:t xml:space="preserve">                     </w:t>
      </w:r>
    </w:p>
    <w:p w14:paraId="0495AD45">
      <w:pPr>
        <w:pStyle w:val="17"/>
        <w:pageBreakBefore w:val="0"/>
        <w:kinsoku/>
        <w:wordWrap/>
        <w:overflowPunct/>
        <w:topLinePunct w:val="0"/>
        <w:bidi w:val="0"/>
        <w:snapToGrid w:val="0"/>
        <w:spacing w:line="360" w:lineRule="auto"/>
        <w:textAlignment w:val="auto"/>
        <w:rPr>
          <w:rFonts w:hint="eastAsia" w:ascii="宋体" w:hAnsi="宋体" w:eastAsia="宋体" w:cs="宋体"/>
          <w:color w:val="auto"/>
          <w:sz w:val="24"/>
          <w:szCs w:val="24"/>
          <w:highlight w:val="none"/>
          <w:lang w:eastAsia="zh-CN"/>
        </w:rPr>
      </w:pPr>
    </w:p>
    <w:p w14:paraId="19D3C16E">
      <w:pPr>
        <w:pStyle w:val="17"/>
        <w:pageBreakBefore w:val="0"/>
        <w:kinsoku/>
        <w:wordWrap/>
        <w:overflowPunct/>
        <w:topLinePunct w:val="0"/>
        <w:bidi w:val="0"/>
        <w:snapToGrid w:val="0"/>
        <w:spacing w:line="360" w:lineRule="auto"/>
        <w:ind w:right="210"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为明确甲乙双方的权利义务，根据《中华人民共和国民法典》、《中华人民共和国城市绿化条例》、《北京市绿化条例》及其他有关法律、法规的规定，遵循平等、自愿、公平和诚实信用的原则，甲、乙双方就北京城市副中心绿地养护项目的园林绿化养护、管理（以下简称“养护”）事宜协商一致，订立本合同。</w:t>
      </w:r>
      <w:bookmarkStart w:id="741" w:name="第一条_项目概况"/>
      <w:bookmarkEnd w:id="741"/>
    </w:p>
    <w:p w14:paraId="01A70343">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第一条 项目概况</w:t>
      </w:r>
    </w:p>
    <w:p w14:paraId="5B63D344">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（一）项目名称</w:t>
      </w:r>
      <w:r>
        <w:rPr>
          <w:rFonts w:hint="eastAsia" w:ascii="宋体" w:hAnsi="宋体" w:eastAsia="宋体" w:cs="宋体"/>
          <w:bCs/>
          <w:color w:val="auto"/>
          <w:sz w:val="24"/>
          <w:szCs w:val="24"/>
          <w:highlight w:val="none"/>
          <w:lang w:eastAsia="zh-CN"/>
        </w:rPr>
        <w:t>：</w:t>
      </w:r>
    </w:p>
    <w:p w14:paraId="5EBD0634">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lang w:eastAsia="zh-CN"/>
        </w:rPr>
        <w:t>（二）项目地点</w:t>
      </w:r>
      <w:r>
        <w:rPr>
          <w:rFonts w:hint="eastAsia" w:ascii="宋体" w:hAnsi="宋体" w:eastAsia="宋体" w:cs="宋体"/>
          <w:bCs/>
          <w:color w:val="auto"/>
          <w:sz w:val="24"/>
          <w:szCs w:val="24"/>
          <w:highlight w:val="none"/>
          <w:lang w:eastAsia="zh-CN"/>
        </w:rPr>
        <w:t>：北京市城市副中心行政办公区内</w:t>
      </w:r>
      <w:r>
        <w:rPr>
          <w:rFonts w:hint="eastAsia" w:ascii="宋体" w:hAnsi="宋体" w:eastAsia="宋体" w:cs="宋体"/>
          <w:bCs/>
          <w:color w:val="auto"/>
          <w:sz w:val="24"/>
          <w:szCs w:val="24"/>
          <w:highlight w:val="none"/>
          <w:lang w:eastAsia="zh-CN"/>
        </w:rPr>
        <w:tab/>
      </w:r>
    </w:p>
    <w:p w14:paraId="3DC25F96">
      <w:pPr>
        <w:pStyle w:val="17"/>
        <w:pageBreakBefore w:val="0"/>
        <w:kinsoku/>
        <w:wordWrap/>
        <w:overflowPunct/>
        <w:topLinePunct w:val="0"/>
        <w:bidi w:val="0"/>
        <w:snapToGrid w:val="0"/>
        <w:spacing w:line="360" w:lineRule="auto"/>
        <w:ind w:right="21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lang w:eastAsia="zh-CN"/>
        </w:rPr>
        <w:t>三）资金来源</w:t>
      </w:r>
      <w:r>
        <w:rPr>
          <w:rFonts w:hint="eastAsia" w:ascii="宋体" w:hAnsi="宋体" w:eastAsia="宋体" w:cs="宋体"/>
          <w:bCs/>
          <w:color w:val="auto"/>
          <w:sz w:val="24"/>
          <w:szCs w:val="24"/>
          <w:highlight w:val="none"/>
          <w:lang w:eastAsia="zh-CN"/>
        </w:rPr>
        <w:t>：财政性资金</w:t>
      </w:r>
      <w:r>
        <w:rPr>
          <w:rFonts w:hint="eastAsia" w:ascii="宋体" w:hAnsi="宋体" w:eastAsia="宋体" w:cs="宋体"/>
          <w:bCs/>
          <w:color w:val="auto"/>
          <w:sz w:val="24"/>
          <w:szCs w:val="24"/>
          <w:highlight w:val="none"/>
          <w:lang w:eastAsia="zh-CN"/>
        </w:rPr>
        <w:tab/>
      </w:r>
    </w:p>
    <w:p w14:paraId="3F8B09EC">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bookmarkStart w:id="742" w:name="第二条_养护管理的范围、面积等级和工作量"/>
      <w:bookmarkEnd w:id="742"/>
      <w:bookmarkStart w:id="743" w:name="_Toc28273036"/>
      <w:bookmarkStart w:id="744" w:name="_Toc28612867"/>
      <w:bookmarkStart w:id="745" w:name="_Toc61947346"/>
      <w:r>
        <w:rPr>
          <w:rFonts w:hint="eastAsia" w:ascii="宋体" w:hAnsi="宋体" w:eastAsia="宋体" w:cs="宋体"/>
          <w:b/>
          <w:color w:val="auto"/>
          <w:sz w:val="24"/>
          <w:szCs w:val="24"/>
          <w:highlight w:val="none"/>
          <w:lang w:eastAsia="zh-CN"/>
        </w:rPr>
        <w:t>第二条 养护管理的范围、面积、绿地等级</w:t>
      </w:r>
      <w:bookmarkEnd w:id="743"/>
      <w:bookmarkEnd w:id="744"/>
      <w:bookmarkEnd w:id="745"/>
    </w:p>
    <w:p w14:paraId="051EBD0A">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（一）养护范围、面积和绿地养护等级</w:t>
      </w:r>
    </w:p>
    <w:p w14:paraId="455CC7CF">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1、养护范围：</w:t>
      </w:r>
    </w:p>
    <w:p w14:paraId="262E0BA3">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2、养护面积：</w:t>
      </w:r>
    </w:p>
    <w:p w14:paraId="4F6D63BD">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3、绿地等级：</w:t>
      </w:r>
    </w:p>
    <w:p w14:paraId="029CBDE0">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（二）养护工作量的确认</w:t>
      </w:r>
    </w:p>
    <w:p w14:paraId="28783CB7">
      <w:pPr>
        <w:pStyle w:val="17"/>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养护工作量主要是指养护管理范围（以下简称“养护范围”）内需进行养护的各类绿地植物和相关设施的数量。承包人在招标期间已对本合同的养护范围进行了现场实地考察，在投标报价中已给予了充分的考虑，发包人与承包人双方就上述差异对合同价款做任何的调整变更。</w:t>
      </w:r>
    </w:p>
    <w:p w14:paraId="35457173">
      <w:pPr>
        <w:pStyle w:val="17"/>
        <w:pageBreakBefore w:val="0"/>
        <w:kinsoku/>
        <w:wordWrap/>
        <w:overflowPunct/>
        <w:topLinePunct w:val="0"/>
        <w:bidi w:val="0"/>
        <w:snapToGrid w:val="0"/>
        <w:spacing w:line="360" w:lineRule="auto"/>
        <w:ind w:right="210" w:firstLine="482" w:firstLineChars="200"/>
        <w:textAlignment w:val="auto"/>
        <w:rPr>
          <w:rFonts w:hint="eastAsia" w:ascii="宋体" w:hAnsi="宋体" w:eastAsia="宋体" w:cs="宋体"/>
          <w:b/>
          <w:color w:val="auto"/>
          <w:sz w:val="24"/>
          <w:szCs w:val="24"/>
          <w:highlight w:val="none"/>
          <w:lang w:eastAsia="zh-CN"/>
        </w:rPr>
      </w:pPr>
      <w:bookmarkStart w:id="746" w:name="_Toc28612868"/>
      <w:bookmarkStart w:id="747" w:name="_Toc61947347"/>
      <w:bookmarkStart w:id="748" w:name="_Toc28273037"/>
      <w:r>
        <w:rPr>
          <w:rFonts w:hint="eastAsia" w:ascii="宋体" w:hAnsi="宋体" w:eastAsia="宋体" w:cs="宋体"/>
          <w:b/>
          <w:color w:val="auto"/>
          <w:sz w:val="24"/>
          <w:szCs w:val="24"/>
          <w:highlight w:val="none"/>
          <w:lang w:eastAsia="zh-CN"/>
        </w:rPr>
        <w:t>（三）养护面积</w:t>
      </w:r>
      <w:bookmarkEnd w:id="746"/>
      <w:bookmarkEnd w:id="747"/>
      <w:bookmarkEnd w:id="748"/>
    </w:p>
    <w:p w14:paraId="0D5267A8">
      <w:pPr>
        <w:pStyle w:val="17"/>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u w:val="single"/>
          <w:lang w:eastAsia="zh-CN"/>
        </w:rPr>
        <w:t>养护面积的确认</w:t>
      </w:r>
      <w:r>
        <w:rPr>
          <w:rFonts w:hint="eastAsia" w:ascii="宋体" w:hAnsi="宋体" w:eastAsia="宋体" w:cs="宋体"/>
          <w:color w:val="auto"/>
          <w:sz w:val="24"/>
          <w:szCs w:val="24"/>
          <w:highlight w:val="none"/>
          <w:lang w:eastAsia="zh-CN"/>
        </w:rPr>
        <w:t>：养护面积以采购需求面积为准。</w:t>
      </w:r>
    </w:p>
    <w:p w14:paraId="66C13F8B">
      <w:pPr>
        <w:pStyle w:val="17"/>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u w:val="single"/>
          <w:lang w:eastAsia="zh-CN"/>
        </w:rPr>
        <w:t>养护面积的调整</w:t>
      </w:r>
      <w:r>
        <w:rPr>
          <w:rFonts w:hint="eastAsia" w:ascii="宋体" w:hAnsi="宋体" w:eastAsia="宋体" w:cs="宋体"/>
          <w:color w:val="auto"/>
          <w:sz w:val="24"/>
          <w:szCs w:val="24"/>
          <w:highlight w:val="none"/>
          <w:lang w:eastAsia="zh-CN"/>
        </w:rPr>
        <w:t>：在养护实施过程中，因工程建设施工或其他原因甲方可增加或减少养护</w:t>
      </w:r>
      <w:r>
        <w:rPr>
          <w:rFonts w:hint="eastAsia" w:ascii="宋体" w:hAnsi="宋体" w:eastAsia="宋体" w:cs="宋体"/>
          <w:color w:val="auto"/>
          <w:spacing w:val="-8"/>
          <w:sz w:val="24"/>
          <w:szCs w:val="24"/>
          <w:highlight w:val="none"/>
          <w:lang w:eastAsia="zh-CN"/>
        </w:rPr>
        <w:t>面积，承包人应按调整后的面积实施养护，并根据调整的结果对合同价款进行相</w:t>
      </w:r>
      <w:r>
        <w:rPr>
          <w:rFonts w:hint="eastAsia" w:ascii="宋体" w:hAnsi="宋体" w:eastAsia="宋体" w:cs="宋体"/>
          <w:color w:val="auto"/>
          <w:spacing w:val="-3"/>
          <w:sz w:val="24"/>
          <w:szCs w:val="24"/>
          <w:highlight w:val="none"/>
          <w:lang w:eastAsia="zh-CN"/>
        </w:rPr>
        <w:t>应的调整。</w:t>
      </w:r>
    </w:p>
    <w:p w14:paraId="2C3A7097">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49" w:name="第三条_养护内容"/>
      <w:bookmarkEnd w:id="749"/>
      <w:bookmarkStart w:id="750" w:name="_Toc28273038"/>
      <w:bookmarkStart w:id="751" w:name="_Toc28612869"/>
      <w:bookmarkStart w:id="752" w:name="_Toc61947348"/>
      <w:r>
        <w:rPr>
          <w:rFonts w:hint="eastAsia" w:ascii="宋体" w:hAnsi="宋体" w:eastAsia="宋体" w:cs="宋体"/>
          <w:b/>
          <w:bCs/>
          <w:color w:val="auto"/>
          <w:spacing w:val="-3"/>
          <w:sz w:val="24"/>
          <w:szCs w:val="24"/>
          <w:highlight w:val="none"/>
          <w:lang w:eastAsia="zh-CN"/>
        </w:rPr>
        <w:t>第三条 养护内容</w:t>
      </w:r>
      <w:bookmarkEnd w:id="750"/>
      <w:bookmarkEnd w:id="751"/>
      <w:r>
        <w:rPr>
          <w:rFonts w:hint="eastAsia" w:ascii="宋体" w:hAnsi="宋体" w:eastAsia="宋体" w:cs="宋体"/>
          <w:b/>
          <w:bCs/>
          <w:color w:val="auto"/>
          <w:spacing w:val="-3"/>
          <w:sz w:val="24"/>
          <w:szCs w:val="24"/>
          <w:highlight w:val="none"/>
          <w:lang w:eastAsia="zh-CN"/>
        </w:rPr>
        <w:t>（包括但不限于）</w:t>
      </w:r>
      <w:bookmarkEnd w:id="752"/>
    </w:p>
    <w:p w14:paraId="7312EBF9">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修剪</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灌溉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施肥</w:t>
      </w:r>
    </w:p>
    <w:p w14:paraId="6B6C1E3C">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补</w:t>
      </w:r>
      <w:bookmarkStart w:id="753" w:name="_Hlk193233325"/>
      <w:r>
        <w:rPr>
          <w:rFonts w:hint="eastAsia" w:ascii="宋体" w:hAnsi="宋体" w:eastAsia="宋体" w:cs="宋体"/>
          <w:color w:val="auto"/>
          <w:spacing w:val="-3"/>
          <w:sz w:val="24"/>
          <w:szCs w:val="24"/>
          <w:highlight w:val="none"/>
          <w:lang w:eastAsia="zh-CN"/>
        </w:rPr>
        <w:t>植</w:t>
      </w:r>
      <w:bookmarkEnd w:id="753"/>
      <w:r>
        <w:rPr>
          <w:rFonts w:hint="eastAsia" w:ascii="宋体" w:hAnsi="宋体" w:eastAsia="宋体" w:cs="宋体"/>
          <w:color w:val="auto"/>
          <w:spacing w:val="-3"/>
          <w:sz w:val="24"/>
          <w:szCs w:val="24"/>
          <w:highlight w:val="none"/>
          <w:lang w:eastAsia="zh-CN"/>
        </w:rPr>
        <w:tab/>
      </w:r>
      <w:bookmarkStart w:id="754" w:name="_Hlk193233275"/>
      <w:r>
        <w:rPr>
          <w:rFonts w:hint="eastAsia" w:ascii="宋体" w:hAnsi="宋体" w:eastAsia="宋体" w:cs="宋体"/>
          <w:color w:val="auto"/>
          <w:spacing w:val="-3"/>
          <w:sz w:val="24"/>
          <w:szCs w:val="24"/>
          <w:highlight w:val="none"/>
          <w:lang w:eastAsia="zh-CN"/>
        </w:rPr>
        <w:t>□</w:t>
      </w:r>
      <w:bookmarkEnd w:id="754"/>
      <w:r>
        <w:rPr>
          <w:rFonts w:hint="eastAsia" w:ascii="宋体" w:hAnsi="宋体" w:eastAsia="宋体" w:cs="宋体"/>
          <w:color w:val="auto"/>
          <w:spacing w:val="-3"/>
          <w:sz w:val="24"/>
          <w:szCs w:val="24"/>
          <w:highlight w:val="none"/>
          <w:lang w:eastAsia="zh-CN"/>
        </w:rPr>
        <w:t xml:space="preserve"> 中耕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除草</w:t>
      </w:r>
    </w:p>
    <w:p w14:paraId="6BE0867A">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保洁</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施肥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病虫防治</w:t>
      </w:r>
    </w:p>
    <w:p w14:paraId="3CE32FCE">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防寒</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支撑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防风</w:t>
      </w:r>
    </w:p>
    <w:p w14:paraId="50D84B68">
      <w:pPr>
        <w:pStyle w:val="100"/>
        <w:pageBreakBefore w:val="0"/>
        <w:tabs>
          <w:tab w:val="left" w:pos="894"/>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防涝</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防盐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巡视</w:t>
      </w:r>
    </w:p>
    <w:p w14:paraId="0C3C721C">
      <w:pPr>
        <w:pStyle w:val="100"/>
        <w:pageBreakBefore w:val="0"/>
        <w:tabs>
          <w:tab w:val="left" w:pos="895"/>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绿地防火</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设施维护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种植调整</w:t>
      </w:r>
    </w:p>
    <w:p w14:paraId="0660E738">
      <w:pPr>
        <w:pStyle w:val="100"/>
        <w:pageBreakBefore w:val="0"/>
        <w:tabs>
          <w:tab w:val="left" w:pos="895"/>
          <w:tab w:val="left" w:pos="3309"/>
        </w:tabs>
        <w:kinsoku/>
        <w:wordWrap/>
        <w:overflowPunct/>
        <w:topLinePunct w:val="0"/>
        <w:bidi w:val="0"/>
        <w:spacing w:line="360" w:lineRule="auto"/>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培训</w:t>
      </w:r>
      <w:r>
        <w:rPr>
          <w:rFonts w:hint="eastAsia" w:ascii="宋体" w:hAnsi="宋体" w:eastAsia="宋体" w:cs="宋体"/>
          <w:color w:val="auto"/>
          <w:spacing w:val="-3"/>
          <w:sz w:val="24"/>
          <w:szCs w:val="24"/>
          <w:highlight w:val="none"/>
          <w:lang w:eastAsia="zh-CN"/>
        </w:rPr>
        <w:tab/>
      </w:r>
      <w:r>
        <w:rPr>
          <w:rFonts w:hint="eastAsia" w:ascii="宋体" w:hAnsi="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 xml:space="preserve">□ 建档            </w:t>
      </w:r>
      <w:r>
        <w:rPr>
          <w:rFonts w:hint="eastAsia" w:ascii="宋体" w:hAnsi="宋体" w:eastAsia="宋体" w:cs="宋体"/>
          <w:color w:val="auto"/>
          <w:spacing w:val="-3"/>
          <w:sz w:val="24"/>
          <w:szCs w:val="24"/>
          <w:highlight w:val="none"/>
          <w:lang w:val="en" w:eastAsia="zh-CN"/>
        </w:rPr>
        <w:t xml:space="preserve">        </w:t>
      </w:r>
      <w:r>
        <w:rPr>
          <w:rFonts w:hint="eastAsia" w:ascii="宋体" w:hAnsi="宋体" w:eastAsia="宋体" w:cs="宋体"/>
          <w:color w:val="auto"/>
          <w:spacing w:val="-3"/>
          <w:sz w:val="24"/>
          <w:szCs w:val="24"/>
          <w:highlight w:val="none"/>
          <w:lang w:eastAsia="zh-CN"/>
        </w:rPr>
        <w:t xml:space="preserve">     □ 特养特护工作</w:t>
      </w:r>
    </w:p>
    <w:p w14:paraId="289686BB">
      <w:pPr>
        <w:pStyle w:val="100"/>
        <w:pageBreakBefore w:val="0"/>
        <w:tabs>
          <w:tab w:val="left" w:pos="895"/>
          <w:tab w:val="left" w:pos="3519"/>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其它内容</w:t>
      </w:r>
    </w:p>
    <w:p w14:paraId="4DCA8FC0">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55" w:name="第四条_养护标准"/>
      <w:bookmarkEnd w:id="755"/>
      <w:bookmarkStart w:id="756" w:name="_Toc61947349"/>
      <w:bookmarkStart w:id="757" w:name="_Toc28612870"/>
      <w:bookmarkStart w:id="758" w:name="_Toc28273039"/>
      <w:r>
        <w:rPr>
          <w:rFonts w:hint="eastAsia" w:ascii="宋体" w:hAnsi="宋体" w:eastAsia="宋体" w:cs="宋体"/>
          <w:b/>
          <w:bCs/>
          <w:color w:val="auto"/>
          <w:spacing w:val="-3"/>
          <w:sz w:val="24"/>
          <w:szCs w:val="24"/>
          <w:highlight w:val="none"/>
          <w:lang w:eastAsia="zh-CN"/>
        </w:rPr>
        <w:t>第四条 养护标准</w:t>
      </w:r>
      <w:bookmarkEnd w:id="756"/>
      <w:bookmarkEnd w:id="757"/>
      <w:bookmarkEnd w:id="758"/>
      <w:bookmarkStart w:id="759" w:name="_Toc61947350"/>
      <w:bookmarkStart w:id="760" w:name="_Toc28612871"/>
      <w:bookmarkStart w:id="761" w:name="_Toc28273040"/>
    </w:p>
    <w:p w14:paraId="0B6D2B2F">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（一）适用法律、标准及规范</w:t>
      </w:r>
      <w:bookmarkEnd w:id="759"/>
      <w:bookmarkEnd w:id="760"/>
      <w:bookmarkEnd w:id="761"/>
    </w:p>
    <w:p w14:paraId="35C5884A">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1、适用法律法规：国家及北京市有关法律、法规、规章及规范性文件均对本合同具有约束力。</w:t>
      </w:r>
    </w:p>
    <w:p w14:paraId="41DACE03">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适用的标准、规范：国家、北京市、行业及政府相关管理部门现行的养护标准、规范和相关规定以及在养护实施期间国家、北京市、行业及政府相关管理部门新发布养护管理标准、规范或相关规定。对于同一类标准、规范应以其最新版本或最新颁发的为准。</w:t>
      </w:r>
    </w:p>
    <w:p w14:paraId="4C258FC5">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3、所有国家、北京市、行业或相关管理部门发布的标准、规范应由承包人自行准备。</w:t>
      </w:r>
    </w:p>
    <w:p w14:paraId="609E1B70">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4、如果本合同约定的标准、规范之间出现歧义或矛盾时，按照以下原则选择：</w:t>
      </w:r>
    </w:p>
    <w:p w14:paraId="5F2A033D">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（1）本合同约定的园林绿化养护、管理标准、质量要求或技术规范低于国家或北京市或行业或相关管理部门发布的标准的，则按国家或北京市标准或行业或相关管理部门的标准执行。</w:t>
      </w:r>
    </w:p>
    <w:p w14:paraId="7B78A117">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（2）本合同约定的标准、质量要求或技术标准高于国家或北京市标准或行业或相关管理部门标准的，按本合同约定的标准、质量要求或技术标准执行。</w:t>
      </w:r>
    </w:p>
    <w:p w14:paraId="2ADBFF2C">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5、双方约定的其他标准</w:t>
      </w:r>
      <w:r>
        <w:rPr>
          <w:rFonts w:hint="eastAsia" w:ascii="宋体" w:hAnsi="宋体" w:cs="宋体"/>
          <w:color w:val="auto"/>
          <w:spacing w:val="-3"/>
          <w:sz w:val="24"/>
          <w:szCs w:val="24"/>
          <w:highlight w:val="none"/>
          <w:lang w:eastAsia="zh-CN"/>
        </w:rPr>
        <w:t>（</w:t>
      </w:r>
      <w:r>
        <w:rPr>
          <w:rFonts w:hint="eastAsia" w:ascii="宋体" w:hAnsi="宋体" w:cs="宋体"/>
          <w:color w:val="auto"/>
          <w:spacing w:val="-3"/>
          <w:sz w:val="24"/>
          <w:szCs w:val="24"/>
          <w:highlight w:val="none"/>
          <w:lang w:val="en-US" w:eastAsia="zh-CN"/>
        </w:rPr>
        <w:t>如有最新按照最新标准</w:t>
      </w:r>
      <w:r>
        <w:rPr>
          <w:rFonts w:hint="eastAsia" w:ascii="宋体" w:hAnsi="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w:t>
      </w:r>
    </w:p>
    <w:p w14:paraId="2CDF4608">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《中华人民共和国城市绿化条例》</w:t>
      </w:r>
    </w:p>
    <w:p w14:paraId="729FD98C">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《北京市绿化条例》</w:t>
      </w:r>
    </w:p>
    <w:p w14:paraId="5277FC49">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《北京市城镇绿地分级分类办法》（京绿城发〔2018〕201号）</w:t>
      </w:r>
    </w:p>
    <w:p w14:paraId="3280A972">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《北京市城市绿地建设和管理等级质量标准》</w:t>
      </w:r>
    </w:p>
    <w:p w14:paraId="0740CACB">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《北京市城镇绿地养护管理质量标准》</w:t>
      </w:r>
    </w:p>
    <w:p w14:paraId="46243A86">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《北京城市园林绿地使用再生水灌溉指导书》（北京市园林局、北京市水务局 2005 年）</w:t>
      </w:r>
    </w:p>
    <w:p w14:paraId="3D235D4F">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《城镇绿地养护技术规范 》DB11/T 203—2022</w:t>
      </w:r>
    </w:p>
    <w:p w14:paraId="63E7FC31">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6、双方同意合同约定的技术、质量、管理标准与上述法律、法规、规章及规范性文件有矛盾的应以法律、法规、规章及规范性文件为准。</w:t>
      </w:r>
    </w:p>
    <w:p w14:paraId="4C5F56DF">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62" w:name="_Toc61947351"/>
      <w:bookmarkStart w:id="763" w:name="_Toc28612872"/>
      <w:bookmarkStart w:id="764" w:name="_Toc28273041"/>
      <w:r>
        <w:rPr>
          <w:rFonts w:hint="eastAsia" w:ascii="宋体" w:hAnsi="宋体" w:eastAsia="宋体" w:cs="宋体"/>
          <w:b/>
          <w:bCs/>
          <w:color w:val="auto"/>
          <w:spacing w:val="-3"/>
          <w:sz w:val="24"/>
          <w:szCs w:val="24"/>
          <w:highlight w:val="none"/>
          <w:lang w:eastAsia="zh-CN"/>
        </w:rPr>
        <w:t>（二）总体养护质量要求</w:t>
      </w:r>
      <w:bookmarkEnd w:id="762"/>
      <w:bookmarkEnd w:id="763"/>
      <w:bookmarkEnd w:id="764"/>
    </w:p>
    <w:p w14:paraId="7C7D9CFA">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bookmarkStart w:id="765" w:name="_Toc61947352"/>
      <w:bookmarkStart w:id="766" w:name="_Toc28273042"/>
      <w:bookmarkStart w:id="767" w:name="_Toc28612873"/>
      <w:r>
        <w:rPr>
          <w:rFonts w:hint="eastAsia" w:ascii="宋体" w:hAnsi="宋体" w:eastAsia="宋体" w:cs="宋体"/>
          <w:color w:val="auto"/>
          <w:spacing w:val="-3"/>
          <w:sz w:val="24"/>
          <w:szCs w:val="24"/>
          <w:highlight w:val="none"/>
          <w:lang w:eastAsia="zh-CN"/>
        </w:rPr>
        <w:t>详见附件四《北京城市副中心城镇绿地养护管理工作意见》</w:t>
      </w:r>
      <w:bookmarkEnd w:id="765"/>
      <w:bookmarkEnd w:id="766"/>
      <w:bookmarkEnd w:id="767"/>
    </w:p>
    <w:p w14:paraId="3924E811">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68" w:name="_Toc28273043"/>
      <w:bookmarkStart w:id="769" w:name="_Toc61947353"/>
      <w:bookmarkStart w:id="770" w:name="_Toc28612874"/>
      <w:r>
        <w:rPr>
          <w:rFonts w:hint="eastAsia" w:ascii="宋体" w:hAnsi="宋体" w:eastAsia="宋体" w:cs="宋体"/>
          <w:b/>
          <w:bCs/>
          <w:color w:val="auto"/>
          <w:spacing w:val="-3"/>
          <w:sz w:val="24"/>
          <w:szCs w:val="24"/>
          <w:highlight w:val="none"/>
          <w:lang w:eastAsia="zh-CN"/>
        </w:rPr>
        <w:t>（三）技术质量标准</w:t>
      </w:r>
      <w:bookmarkEnd w:id="768"/>
      <w:bookmarkEnd w:id="769"/>
      <w:bookmarkEnd w:id="770"/>
    </w:p>
    <w:p w14:paraId="628E7F89">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详见《城镇绿地养护技术规范》DB11/T 203—2022 和《北京城市副中心城镇绿地养护管理工作意见》。</w:t>
      </w:r>
    </w:p>
    <w:p w14:paraId="63DAE599">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1" w:name="_Toc61947354"/>
      <w:bookmarkStart w:id="772" w:name="_Toc28612875"/>
      <w:bookmarkStart w:id="773" w:name="_Toc28273044"/>
      <w:r>
        <w:rPr>
          <w:rFonts w:hint="eastAsia" w:ascii="宋体" w:hAnsi="宋体" w:eastAsia="宋体" w:cs="宋体"/>
          <w:b/>
          <w:bCs/>
          <w:color w:val="auto"/>
          <w:spacing w:val="-3"/>
          <w:sz w:val="24"/>
          <w:szCs w:val="24"/>
          <w:highlight w:val="none"/>
          <w:lang w:eastAsia="zh-CN"/>
        </w:rPr>
        <w:t>（四）质量争议</w:t>
      </w:r>
      <w:bookmarkEnd w:id="771"/>
      <w:bookmarkEnd w:id="772"/>
      <w:bookmarkEnd w:id="773"/>
    </w:p>
    <w:p w14:paraId="6C64B85D">
      <w:pPr>
        <w:pStyle w:val="17"/>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双方对协议中绿地的养护质量发生争议时，由园林绿化行政主管部门进行调节协商解决。</w:t>
      </w:r>
    </w:p>
    <w:p w14:paraId="6CC691B9">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4" w:name="第五条_养护期限"/>
      <w:bookmarkEnd w:id="774"/>
      <w:bookmarkStart w:id="775" w:name="_Toc28612876"/>
      <w:bookmarkStart w:id="776" w:name="_Toc28273045"/>
      <w:bookmarkStart w:id="777" w:name="_Toc61947355"/>
      <w:r>
        <w:rPr>
          <w:rFonts w:hint="eastAsia" w:ascii="宋体" w:hAnsi="宋体" w:eastAsia="宋体" w:cs="宋体"/>
          <w:b/>
          <w:bCs/>
          <w:color w:val="auto"/>
          <w:spacing w:val="-3"/>
          <w:sz w:val="24"/>
          <w:szCs w:val="24"/>
          <w:highlight w:val="none"/>
          <w:lang w:eastAsia="zh-CN"/>
        </w:rPr>
        <w:t>第五条 养护期限</w:t>
      </w:r>
      <w:bookmarkEnd w:id="775"/>
      <w:bookmarkEnd w:id="776"/>
      <w:bookmarkEnd w:id="777"/>
    </w:p>
    <w:p w14:paraId="08B30086">
      <w:pPr>
        <w:pStyle w:val="17"/>
        <w:pageBreakBefore w:val="0"/>
        <w:tabs>
          <w:tab w:val="left" w:pos="3930"/>
          <w:tab w:val="clear" w:pos="567"/>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w:t>
      </w:r>
      <w:r>
        <w:rPr>
          <w:rFonts w:hint="eastAsia" w:ascii="宋体" w:hAnsi="宋体" w:eastAsia="宋体" w:cs="宋体"/>
          <w:color w:val="auto"/>
          <w:spacing w:val="-3"/>
          <w:sz w:val="24"/>
          <w:szCs w:val="24"/>
          <w:highlight w:val="none"/>
          <w:lang w:eastAsia="zh-CN"/>
        </w:rPr>
        <w:t>同</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pacing w:val="-3"/>
          <w:sz w:val="24"/>
          <w:szCs w:val="24"/>
          <w:highlight w:val="none"/>
          <w:lang w:eastAsia="zh-CN"/>
        </w:rPr>
        <w:t>养</w:t>
      </w:r>
      <w:r>
        <w:rPr>
          <w:rFonts w:hint="eastAsia" w:ascii="宋体" w:hAnsi="宋体" w:eastAsia="宋体" w:cs="宋体"/>
          <w:color w:val="auto"/>
          <w:sz w:val="24"/>
          <w:szCs w:val="24"/>
          <w:highlight w:val="none"/>
          <w:lang w:eastAsia="zh-CN"/>
        </w:rPr>
        <w:t>护</w:t>
      </w:r>
      <w:r>
        <w:rPr>
          <w:rFonts w:hint="eastAsia" w:ascii="宋体" w:hAnsi="宋体" w:eastAsia="宋体" w:cs="宋体"/>
          <w:color w:val="auto"/>
          <w:spacing w:val="-3"/>
          <w:sz w:val="24"/>
          <w:szCs w:val="24"/>
          <w:highlight w:val="none"/>
          <w:lang w:eastAsia="zh-CN"/>
        </w:rPr>
        <w:t>期</w:t>
      </w:r>
      <w:r>
        <w:rPr>
          <w:rFonts w:hint="eastAsia" w:ascii="宋体" w:hAnsi="宋体" w:eastAsia="宋体" w:cs="宋体"/>
          <w:color w:val="auto"/>
          <w:sz w:val="24"/>
          <w:szCs w:val="24"/>
          <w:highlight w:val="none"/>
          <w:lang w:eastAsia="zh-CN"/>
        </w:rPr>
        <w:t>限</w:t>
      </w:r>
      <w:r>
        <w:rPr>
          <w:rFonts w:hint="eastAsia" w:ascii="宋体" w:hAnsi="宋体" w:eastAsia="宋体" w:cs="宋体"/>
          <w:color w:val="auto"/>
          <w:spacing w:val="-3"/>
          <w:sz w:val="24"/>
          <w:szCs w:val="24"/>
          <w:highlight w:val="none"/>
          <w:lang w:eastAsia="zh-CN"/>
        </w:rPr>
        <w:t>为</w:t>
      </w:r>
      <w:r>
        <w:rPr>
          <w:rFonts w:hint="eastAsia" w:ascii="宋体" w:hAnsi="宋体" w:eastAsia="宋体" w:cs="宋体"/>
          <w:color w:val="auto"/>
          <w:sz w:val="24"/>
          <w:szCs w:val="24"/>
          <w:highlight w:val="none"/>
          <w:u w:val="single"/>
          <w:lang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日</w:t>
      </w:r>
      <w:r>
        <w:rPr>
          <w:rFonts w:hint="eastAsia" w:ascii="宋体" w:hAnsi="宋体" w:eastAsia="宋体" w:cs="宋体"/>
          <w:color w:val="auto"/>
          <w:spacing w:val="-3"/>
          <w:sz w:val="24"/>
          <w:szCs w:val="24"/>
          <w:highlight w:val="none"/>
          <w:u w:val="single"/>
          <w:lang w:eastAsia="zh-CN"/>
        </w:rPr>
        <w:t>（</w:t>
      </w:r>
      <w:r>
        <w:rPr>
          <w:rFonts w:hint="eastAsia" w:ascii="宋体" w:hAnsi="宋体" w:eastAsia="宋体" w:cs="宋体"/>
          <w:color w:val="auto"/>
          <w:sz w:val="24"/>
          <w:szCs w:val="24"/>
          <w:highlight w:val="none"/>
          <w:u w:val="single"/>
          <w:lang w:eastAsia="zh-CN"/>
        </w:rPr>
        <w:t>每3个</w:t>
      </w:r>
      <w:r>
        <w:rPr>
          <w:rFonts w:hint="eastAsia" w:ascii="宋体" w:hAnsi="宋体" w:eastAsia="宋体" w:cs="宋体"/>
          <w:color w:val="auto"/>
          <w:spacing w:val="-3"/>
          <w:sz w:val="24"/>
          <w:szCs w:val="24"/>
          <w:highlight w:val="none"/>
          <w:u w:val="single"/>
          <w:lang w:eastAsia="zh-CN"/>
        </w:rPr>
        <w:t>月</w:t>
      </w:r>
      <w:r>
        <w:rPr>
          <w:rFonts w:hint="eastAsia" w:ascii="宋体" w:hAnsi="宋体" w:eastAsia="宋体" w:cs="宋体"/>
          <w:color w:val="auto"/>
          <w:sz w:val="24"/>
          <w:szCs w:val="24"/>
          <w:highlight w:val="none"/>
          <w:u w:val="single"/>
          <w:lang w:eastAsia="zh-CN"/>
        </w:rPr>
        <w:t>为1</w:t>
      </w:r>
      <w:r>
        <w:rPr>
          <w:rFonts w:hint="eastAsia" w:ascii="宋体" w:hAnsi="宋体" w:eastAsia="宋体" w:cs="宋体"/>
          <w:color w:val="auto"/>
          <w:spacing w:val="-3"/>
          <w:sz w:val="24"/>
          <w:szCs w:val="24"/>
          <w:highlight w:val="none"/>
          <w:u w:val="single"/>
          <w:lang w:eastAsia="zh-CN"/>
        </w:rPr>
        <w:t>个</w:t>
      </w:r>
      <w:r>
        <w:rPr>
          <w:rFonts w:hint="eastAsia" w:ascii="宋体" w:hAnsi="宋体" w:eastAsia="宋体" w:cs="宋体"/>
          <w:color w:val="auto"/>
          <w:sz w:val="24"/>
          <w:szCs w:val="24"/>
          <w:highlight w:val="none"/>
          <w:u w:val="single"/>
          <w:lang w:eastAsia="zh-CN"/>
        </w:rPr>
        <w:t>养</w:t>
      </w:r>
      <w:r>
        <w:rPr>
          <w:rFonts w:hint="eastAsia" w:ascii="宋体" w:hAnsi="宋体" w:eastAsia="宋体" w:cs="宋体"/>
          <w:color w:val="auto"/>
          <w:spacing w:val="-3"/>
          <w:sz w:val="24"/>
          <w:szCs w:val="24"/>
          <w:highlight w:val="none"/>
          <w:u w:val="single"/>
          <w:lang w:eastAsia="zh-CN"/>
        </w:rPr>
        <w:t>护季</w:t>
      </w:r>
      <w:r>
        <w:rPr>
          <w:rFonts w:hint="eastAsia" w:ascii="宋体" w:hAnsi="宋体" w:eastAsia="宋体" w:cs="宋体"/>
          <w:color w:val="auto"/>
          <w:sz w:val="24"/>
          <w:szCs w:val="24"/>
          <w:highlight w:val="none"/>
          <w:u w:val="single"/>
          <w:lang w:eastAsia="zh-CN"/>
        </w:rPr>
        <w:t>度）</w:t>
      </w:r>
      <w:r>
        <w:rPr>
          <w:rFonts w:hint="eastAsia" w:ascii="宋体" w:hAnsi="宋体" w:eastAsia="宋体" w:cs="宋体"/>
          <w:color w:val="auto"/>
          <w:sz w:val="24"/>
          <w:szCs w:val="24"/>
          <w:highlight w:val="none"/>
          <w:lang w:eastAsia="zh-CN"/>
        </w:rPr>
        <w:t>。养护期内甲方按养护季度对乙方进行总体考核，如果乙方在养护季度的总体考核中两次不达标或不合格，甲方有权终止合同。</w:t>
      </w:r>
    </w:p>
    <w:p w14:paraId="082CCCA1">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8" w:name="第六条_双方权利和义务"/>
      <w:bookmarkEnd w:id="778"/>
      <w:r>
        <w:rPr>
          <w:rFonts w:hint="eastAsia" w:ascii="宋体" w:hAnsi="宋体" w:eastAsia="宋体" w:cs="宋体"/>
          <w:b/>
          <w:bCs/>
          <w:color w:val="auto"/>
          <w:spacing w:val="-3"/>
          <w:sz w:val="24"/>
          <w:szCs w:val="24"/>
          <w:highlight w:val="none"/>
          <w:lang w:eastAsia="zh-CN"/>
        </w:rPr>
        <w:t>第六条 双方权利和义务</w:t>
      </w:r>
    </w:p>
    <w:p w14:paraId="6651956D">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79" w:name="1._双方派驻养护现场的代表"/>
      <w:bookmarkEnd w:id="779"/>
      <w:bookmarkStart w:id="780" w:name="_Toc61947356"/>
      <w:bookmarkStart w:id="781" w:name="_Toc28273046"/>
      <w:bookmarkStart w:id="782" w:name="_Toc28612877"/>
      <w:r>
        <w:rPr>
          <w:rFonts w:hint="eastAsia" w:ascii="宋体" w:hAnsi="宋体" w:eastAsia="宋体" w:cs="宋体"/>
          <w:b/>
          <w:bCs/>
          <w:color w:val="auto"/>
          <w:spacing w:val="-3"/>
          <w:sz w:val="24"/>
          <w:szCs w:val="24"/>
          <w:highlight w:val="none"/>
          <w:lang w:eastAsia="zh-CN"/>
        </w:rPr>
        <w:t>（一）双方派驻养护现场的代表</w:t>
      </w:r>
      <w:bookmarkEnd w:id="780"/>
      <w:bookmarkEnd w:id="781"/>
      <w:bookmarkEnd w:id="782"/>
    </w:p>
    <w:p w14:paraId="5B509A09">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1、甲方派驻养护现场代表姓名：</w:t>
      </w:r>
      <w:r>
        <w:rPr>
          <w:rFonts w:hint="eastAsia" w:ascii="宋体" w:hAnsi="宋体" w:eastAsia="宋体" w:cs="宋体"/>
          <w:color w:val="auto"/>
          <w:spacing w:val="-3"/>
          <w:sz w:val="24"/>
          <w:szCs w:val="24"/>
          <w:highlight w:val="none"/>
          <w:u w:val="single"/>
          <w:lang w:eastAsia="zh-CN"/>
        </w:rPr>
        <w:t xml:space="preserve">                  </w:t>
      </w:r>
    </w:p>
    <w:p w14:paraId="37963A97">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职权：负责协调绿地养护过程中的相关工作。</w:t>
      </w:r>
      <w:r>
        <w:rPr>
          <w:rFonts w:hint="eastAsia" w:ascii="宋体" w:hAnsi="宋体" w:eastAsia="宋体" w:cs="宋体"/>
          <w:color w:val="auto"/>
          <w:spacing w:val="-3"/>
          <w:sz w:val="24"/>
          <w:szCs w:val="24"/>
          <w:highlight w:val="none"/>
          <w:lang w:eastAsia="zh-CN"/>
        </w:rPr>
        <w:tab/>
      </w:r>
    </w:p>
    <w:p w14:paraId="301F0E91">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2、乙方派驻养护现场项目负责人姓名：</w:t>
      </w:r>
      <w:r>
        <w:rPr>
          <w:rFonts w:hint="eastAsia" w:ascii="宋体" w:hAnsi="宋体" w:eastAsia="宋体" w:cs="宋体"/>
          <w:color w:val="auto"/>
          <w:spacing w:val="-3"/>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 xml:space="preserve">         </w:t>
      </w:r>
    </w:p>
    <w:p w14:paraId="69921B65">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职责：按照养护计划、质量标准和发包人的要求组织养护管理、处理养护工程过程中一切管理事宜。</w:t>
      </w:r>
    </w:p>
    <w:p w14:paraId="3DBC2721">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技术负责人姓名：</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 xml:space="preserve">  </w:t>
      </w:r>
    </w:p>
    <w:p w14:paraId="7BBBB9F0">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职责：协调项目负责人负责养护质量、进度等工作。</w:t>
      </w:r>
      <w:r>
        <w:rPr>
          <w:rFonts w:hint="eastAsia" w:ascii="宋体" w:hAnsi="宋体" w:eastAsia="宋体" w:cs="宋体"/>
          <w:color w:val="auto"/>
          <w:spacing w:val="-3"/>
          <w:sz w:val="24"/>
          <w:szCs w:val="24"/>
          <w:highlight w:val="none"/>
          <w:lang w:eastAsia="zh-CN"/>
        </w:rPr>
        <w:tab/>
      </w:r>
      <w:r>
        <w:rPr>
          <w:rFonts w:hint="eastAsia" w:ascii="宋体" w:hAnsi="宋体" w:eastAsia="宋体" w:cs="宋体"/>
          <w:color w:val="auto"/>
          <w:spacing w:val="-3"/>
          <w:sz w:val="24"/>
          <w:szCs w:val="24"/>
          <w:highlight w:val="none"/>
          <w:lang w:eastAsia="zh-CN"/>
        </w:rPr>
        <w:t xml:space="preserve"> </w:t>
      </w:r>
    </w:p>
    <w:p w14:paraId="767549CD">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3、任何一方派驻养护现场代表发生变更时，应提前7日书面通知对方，并明确交接时间、权限。乙方项目负责人在养护期间不应随意更换，未经甲方同意乙方擅自更换项目负责人，需承担相应的违约责任。</w:t>
      </w:r>
    </w:p>
    <w:p w14:paraId="201AA5B6">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4、乙方项目负责人应专职于本养护项目，不得兼职于其他工程项目。</w:t>
      </w:r>
    </w:p>
    <w:p w14:paraId="0CEDE54B">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83" w:name="2._甲方的权利和义务"/>
      <w:bookmarkEnd w:id="783"/>
      <w:bookmarkStart w:id="784" w:name="_Toc28612878"/>
      <w:bookmarkStart w:id="785" w:name="_Toc61947357"/>
      <w:bookmarkStart w:id="786" w:name="_Toc28273047"/>
      <w:r>
        <w:rPr>
          <w:rFonts w:hint="eastAsia" w:ascii="宋体" w:hAnsi="宋体" w:eastAsia="宋体" w:cs="宋体"/>
          <w:b/>
          <w:bCs/>
          <w:color w:val="auto"/>
          <w:spacing w:val="-3"/>
          <w:sz w:val="24"/>
          <w:szCs w:val="24"/>
          <w:highlight w:val="none"/>
          <w:lang w:eastAsia="zh-CN"/>
        </w:rPr>
        <w:t>（二）甲方的权利和义务</w:t>
      </w:r>
      <w:bookmarkEnd w:id="784"/>
      <w:bookmarkEnd w:id="785"/>
      <w:bookmarkEnd w:id="786"/>
    </w:p>
    <w:p w14:paraId="58148EE4">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1、按合同约定向乙方支付养护费用。</w:t>
      </w:r>
    </w:p>
    <w:p w14:paraId="5B217757">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对乙方提交的园林绿化养护管理作业方案进行审批。在养护实施期内，如果因政府相关管理部门发布了新的养护管理规定或标准，且该规定或标准高于合同签订时的规定和标准时，甲方有权要求乙方对其提交且已经甲方批准的园林绿化养护管理作业方案进行修改和调整，乙方不得因此要求甲方增加养护费用。</w:t>
      </w:r>
    </w:p>
    <w:p w14:paraId="650A22EA">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全面监督、指导、检查、验收乙方工作，发现问题及时通知乙方，要求乙方及时予以处理，对乙方提出的合理建议和要求予以采纳或提供帮助。甲方依据作业内容、标准，检查监督乙方的养护质量和服务水平，实行百分检查验收制度。</w:t>
      </w:r>
    </w:p>
    <w:p w14:paraId="7DD591BF">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4、根据行政主管部门制定的相关管理办法和技术标准，协调养护区域林业有害生物防治工作的组织和监管，并监督检查乙方的落实情况。</w:t>
      </w:r>
    </w:p>
    <w:p w14:paraId="205C1834">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5、在绿化养护工作中，在迎接参观、调研、检查等特殊情况时，甲方有权要求乙方给予积极配合，事前应提前通知乙方。</w:t>
      </w:r>
    </w:p>
    <w:p w14:paraId="4AEB8C35">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6、对乙方技术和管理人员的培训工作进行监督和检查。</w:t>
      </w:r>
    </w:p>
    <w:p w14:paraId="06BCC598">
      <w:pPr>
        <w:pStyle w:val="100"/>
        <w:pageBreakBefore w:val="0"/>
        <w:tabs>
          <w:tab w:val="left" w:pos="974"/>
        </w:tabs>
        <w:kinsoku/>
        <w:wordWrap/>
        <w:overflowPunct/>
        <w:topLinePunct w:val="0"/>
        <w:bidi w:val="0"/>
        <w:snapToGrid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7、对乙方收到的园林绿化养护资金的使用情况进行监督；乙方工作量经甲方确认后签字，作为养护费结算依据。</w:t>
      </w:r>
    </w:p>
    <w:p w14:paraId="3FC87205">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8、为乙方提供养护范围内的竣工图（或现状图）、地内地下管线及其他相关资料。</w:t>
      </w:r>
    </w:p>
    <w:p w14:paraId="1E030BD3">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9、提供养护范围内的树木、草坪、花卉、绿篱、水生植物、水体以及附属设施的名称、数量，并列明清单。</w:t>
      </w:r>
    </w:p>
    <w:p w14:paraId="26FE41F3">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10、提供现场既有的水、电接驳点，但购买及安装计量表具的费用和养护期间所发生的水费、电费由乙方承担。</w:t>
      </w:r>
    </w:p>
    <w:p w14:paraId="2208104A">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11、协助乙方维持养护现场的秩序，为乙方进入养护区域作业提供便利。</w:t>
      </w:r>
    </w:p>
    <w:p w14:paraId="1DA2B1A6">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12、对乙方提交的补苗计划应及时审批。</w:t>
      </w:r>
    </w:p>
    <w:p w14:paraId="3BB25453">
      <w:pPr>
        <w:pStyle w:val="100"/>
        <w:pageBreakBefore w:val="0"/>
        <w:tabs>
          <w:tab w:val="left" w:pos="1017"/>
        </w:tabs>
        <w:kinsoku/>
        <w:wordWrap/>
        <w:overflowPunct/>
        <w:topLinePunct w:val="0"/>
        <w:bidi w:val="0"/>
        <w:snapToGrid w:val="0"/>
        <w:spacing w:line="360" w:lineRule="auto"/>
        <w:ind w:left="0" w:right="215"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13、乙方人员工作不能满足工作需求时，甲方有权通知乙方对其人员进行调整，乙方应服从甲方要求，否则视为乙方违约。</w:t>
      </w:r>
    </w:p>
    <w:p w14:paraId="75E2B0D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14、遇应急抢险、重大活动及重要工作等时，可统一调配乙方工作人员。</w:t>
      </w:r>
    </w:p>
    <w:p w14:paraId="7C2EEBFC">
      <w:pPr>
        <w:pStyle w:val="100"/>
        <w:pageBreakBefore w:val="0"/>
        <w:tabs>
          <w:tab w:val="left" w:pos="1031"/>
        </w:tabs>
        <w:kinsoku/>
        <w:wordWrap/>
        <w:overflowPunct/>
        <w:topLinePunct w:val="0"/>
        <w:bidi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87" w:name="3._乙方权利和义务"/>
      <w:bookmarkEnd w:id="787"/>
      <w:bookmarkStart w:id="788" w:name="_Toc61947358"/>
      <w:bookmarkStart w:id="789" w:name="_Toc28273048"/>
      <w:bookmarkStart w:id="790" w:name="_Toc28612879"/>
      <w:r>
        <w:rPr>
          <w:rFonts w:hint="eastAsia" w:ascii="宋体" w:hAnsi="宋体" w:eastAsia="宋体" w:cs="宋体"/>
          <w:b/>
          <w:bCs/>
          <w:color w:val="auto"/>
          <w:spacing w:val="-3"/>
          <w:sz w:val="24"/>
          <w:szCs w:val="24"/>
          <w:highlight w:val="none"/>
          <w:lang w:eastAsia="zh-CN"/>
        </w:rPr>
        <w:t>（三）乙方权利和义务</w:t>
      </w:r>
      <w:bookmarkEnd w:id="788"/>
      <w:bookmarkEnd w:id="789"/>
      <w:bookmarkEnd w:id="790"/>
    </w:p>
    <w:p w14:paraId="478F870D">
      <w:pPr>
        <w:pStyle w:val="100"/>
        <w:pageBreakBefore w:val="0"/>
        <w:tabs>
          <w:tab w:val="left" w:pos="1017"/>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1、在合同签订后7天内，将园林绿化养护管理作业方案报请甲方审核批准， 并以此作为养护实施的依据。在养护实施期内，因政府相关管理部门发布了新的养护管理规定或标准，且该规定或标准高于合同签订时的规定和标准时，乙方应对其提交且已经甲方批准的园林绿化养护管理作业方案进行修改和调整，但乙方不得因此要求甲方增加养护费用。在养护期内因重大活动组织或其他原因，需要暂停养护作业或调整养护管理作业方案时，乙方应遵从甲方要求调整养护时间或更改养护措施，但不得因此要求甲方增加养护费用。</w:t>
      </w:r>
    </w:p>
    <w:p w14:paraId="3DE53C80">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2、按照合同约定组建项目组织管理机构，配齐配足相应的管理人员、技术人员、作业人员等，制定相应的管理制度，明确岗位职责、岗位规范、操作规程等，建立养护班组。同时将相应资料报甲方备案。</w:t>
      </w:r>
    </w:p>
    <w:p w14:paraId="0E0FFC2E">
      <w:pPr>
        <w:pStyle w:val="100"/>
        <w:pageBreakBefore w:val="0"/>
        <w:tabs>
          <w:tab w:val="left" w:pos="1032"/>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3、按时报送年度、季度、月度养护工作方案和养护工作总结。</w:t>
      </w:r>
    </w:p>
    <w:p w14:paraId="1087C90F">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对从事养护管理人员、技术人员、作业人员等（如绿化工、质检员、安全员、资料员）进行严格的岗前培训，上述人员须经相关部门统一考核合格后方可上岗。养护作业人员在养护作业时应统一着装、佩带工卡。</w:t>
      </w:r>
    </w:p>
    <w:p w14:paraId="14744F1B">
      <w:pPr>
        <w:pStyle w:val="100"/>
        <w:pageBreakBefore w:val="0"/>
        <w:tabs>
          <w:tab w:val="left" w:pos="1038"/>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5、对养护范围内的地下管线、建筑物、构筑物等应做好的保护工作。因违规作业，造成损失的由乙方自行负责。</w:t>
      </w:r>
    </w:p>
    <w:p w14:paraId="4836C8F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严格遵守政府和有关主管部门对噪音污染、环境保护等方面的管理规定，在对外开放的养护区域，处理好养护作业与车辆、行人（或游客）的关系；对养护现场安全管理负全责，必须遵守政府有关部门对安全生产的规定，建立完整的安全生产制度和保障体系，防止安全事故发生；为养护人员的劳动保护和人身安全提供有效保障。</w:t>
      </w:r>
    </w:p>
    <w:p w14:paraId="506989E7">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负责养护范围的日常巡视检查，保证每天上下午各巡视一遍，发现问题及时处理，确保不造成负面影响，对无法处理的问题应及时上报甲方管理人员。发现植被、设施等被损、丢失情况时应及时告知甲方，并及时做好补缺、修复等工作。未及时发现或发现后未及时处置或及时发现但无法处置却不上报情况的一次扣除乙方养护费用 1000 元人民币，造成舆情和恶劣影响的一次扣除乙方养护费用1万元人民币。</w:t>
      </w:r>
    </w:p>
    <w:p w14:paraId="1F8C3EF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8、按时参加由甲方组织召开的月度养护例会，总结上月养护工作，制定下月每周养护计划，对存在问题提出有针对性的解决措施。主要负责人无故缺席例会将扣除乙方养护费用1千元人民币。</w:t>
      </w:r>
    </w:p>
    <w:p w14:paraId="4267351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9、在有害生物防治作业中，应按照林业有害生物防治工作的管理办法和技术标准执行，否则按违约处理。</w:t>
      </w:r>
    </w:p>
    <w:p w14:paraId="12892ED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项目负责人每周对养护情况开展一次自查，每月指派一名公司高层管理人员及项目负责人与甲方联合检查一次。同时，及时参加甲方组织的园林绿化养护管理工作检查、验收、考核等活动，对甲方发出的整改通知，应及时进行整改，无正当理由拒绝整改的，甲方可以另行委托他人进行整改，所发生的费用由乙方承担。</w:t>
      </w:r>
    </w:p>
    <w:p w14:paraId="324BA42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对项目资金专款专用、专账管理，并接受甲方的检查和监督。建立养护人员工资台账，将项目资金的使用情况定期向甲方报告。项目资金应首先保障养护工作人员的工资按时足额发放，防止因拖欠养护人员工资而引起的群体事件（如上访讨薪、示威等）。若发生此类事件，视为乙方违约。</w:t>
      </w:r>
    </w:p>
    <w:p w14:paraId="71801A26">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12、根据档案管理规定，包括但不限于竣工图及养护合同、养护实施方案、养护作业记录、有害生物监测及防治记录、森林火灾记录、养护巡查记录、检查验收报告、资金使用台账等资料进行规范管理。</w:t>
      </w:r>
    </w:p>
    <w:p w14:paraId="4CEF7D6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13、未经过甲方同意不得在养护范围内建设任何设施，违反合同约定，最高处于合同金额 2%的处罚，对逾期不拆除及恢复的，甲方有权解除合同。</w:t>
      </w:r>
    </w:p>
    <w:p w14:paraId="1247051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14、根据相关操作规程、技术规范和标准进行绿地养护作业并接受甲方监督。</w:t>
      </w:r>
    </w:p>
    <w:p w14:paraId="0EF1E0C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15、必须重视安全生产，严格落实安全生产相关规定，执行安全操作规程，加强安全防护，确保不发生安全责任事故。因乙方原因发生安全责任事故，由乙方承担一切责任及损失。</w:t>
      </w:r>
    </w:p>
    <w:p w14:paraId="7C6EADD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16、文明作业，及时清理养护现场，做到随产随清。</w:t>
      </w:r>
    </w:p>
    <w:p w14:paraId="3D297805">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17、遇法定节假日或重要活动，按照甲方的具体要求布置花坛、花卉，确保绿地景观效果。</w:t>
      </w:r>
    </w:p>
    <w:p w14:paraId="52067CFD">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18、养护作业中所产生的各种绿化垃圾(泥土、枯枝、杂草等)、白色垃圾应及时清理。</w:t>
      </w:r>
    </w:p>
    <w:p w14:paraId="5A88B177">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19、机械设备</w:t>
      </w:r>
    </w:p>
    <w:p w14:paraId="074D6DBD">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（1）配齐绿地养护作业所需的各种机械设备（如水车、打药车、小草坪打孔机、割灌机、剪草机、绿篱剪、抽水泵等）。</w:t>
      </w:r>
    </w:p>
    <w:p w14:paraId="61407231">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（2）合同期满后，在新一轮政府采购活动中，乙方未在新养护期中标，需主动将电动三轮车指标归还，并及时完成电动三轮车指标过户等相关手续。</w:t>
      </w:r>
    </w:p>
    <w:p w14:paraId="4315AEEF">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20、人员配置要求</w:t>
      </w:r>
    </w:p>
    <w:p w14:paraId="1017F04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（1）确保作业人员身体健康，年龄18-60岁之间（管理人员、技术人员可放宽至65岁），带班管理人员（工长）占比不小于6.7%（即1/15），修剪、打药等技术人员占比不小于25-30%。</w:t>
      </w:r>
    </w:p>
    <w:p w14:paraId="47FE0CC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（2）对作业人员进行必要的岗前培训，主要包括：遵章守纪、劳动法规、职业道德、安全防护、职业技能、消防安全等方面的培训。</w:t>
      </w:r>
    </w:p>
    <w:p w14:paraId="6D163D90">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（3）同用工人员或用工单位签订《用工协议书》及《安全协议书》，与甲方签订《作业人员工资发放承诺书》。</w:t>
      </w:r>
    </w:p>
    <w:p w14:paraId="2CF44FA5">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（4）向甲方提供项目人员材料，包括：身份证复印件、联系方式、劳务用工合同、人身意外保险合同、体检证明等。</w:t>
      </w:r>
    </w:p>
    <w:p w14:paraId="5C15CDCF">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（5）工作人员在养护作业中受到伤害时，应立即采取有效措施进行抢救和治疗，并负责妥善处理后续事宜，承担相应的全部费用。</w:t>
      </w:r>
    </w:p>
    <w:p w14:paraId="7E5BB85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（6）工作人员应进行身体检查，检查的项目包括：血液常规检测、心脑血管检查、胸部X光片检查、心电图检查。乙方另可根据实际情况安排其他检查项目。</w:t>
      </w:r>
    </w:p>
    <w:p w14:paraId="7014B25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（7）因违反法律法规、规章制度、操作规程造成损失的（包括造成第三方人身及财产损害），由乙方负责赔偿及善后事宜，承担相应的全部费用。</w:t>
      </w:r>
    </w:p>
    <w:p w14:paraId="29D2AE53">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21、按照相关法律规定和合同约定，为其雇佣人员办理人身安全类保险，每年保险承保额度不低于60万元，并向甲方提供保单复印件。</w:t>
      </w:r>
    </w:p>
    <w:p w14:paraId="1DE699DE">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22、保证养护人员的相对稳定性，如乙方需要更换养护人员数量超过养护人员总数的10%，需向甲方提出申请，经同意后方可更换养护人员。如不向甲方申请或甲方未批准，乙方单方面更换养护人员的，每更换1人，扣除养护费5000元人民币。</w:t>
      </w:r>
    </w:p>
    <w:p w14:paraId="4C41EC71">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23、因拖欠应付的劳务费用或违反劳动政策法规而损害劳务用工人员合法权益行为的，甲方可依法向乙方进行交涉，要求乙方履行其义务，如乙方上述行为给甲方造成经济损失的，甲方有权按实际损失的情况向乙方进行索赔或扣除养护费用。</w:t>
      </w:r>
    </w:p>
    <w:p w14:paraId="7DD70EC8">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bookmarkStart w:id="791" w:name="第七条_检查与考核"/>
      <w:bookmarkEnd w:id="791"/>
      <w:bookmarkStart w:id="792" w:name="_Toc28273049"/>
      <w:bookmarkStart w:id="793" w:name="_Toc61947359"/>
      <w:bookmarkStart w:id="794" w:name="_Toc28612880"/>
      <w:r>
        <w:rPr>
          <w:rFonts w:hint="eastAsia" w:ascii="宋体" w:hAnsi="宋体" w:eastAsia="宋体" w:cs="宋体"/>
          <w:color w:val="auto"/>
          <w:spacing w:val="-3"/>
          <w:sz w:val="24"/>
          <w:szCs w:val="24"/>
          <w:highlight w:val="none"/>
          <w:lang w:eastAsia="zh-CN"/>
        </w:rPr>
        <w:t>24、养护要求</w:t>
      </w:r>
    </w:p>
    <w:p w14:paraId="70848857">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（1）由于养护不到位导致苗木死亡造成不良影响的，除重新进行补植外，从养护费中扣除已死亡苗木的植株费用（植株费用以当月造价信息为准）。</w:t>
      </w:r>
    </w:p>
    <w:p w14:paraId="46BC2F7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（2）被上级部门检查扣分的，扣除相应养护费1万元。在市园林绿化局组织开展的绿地养护检查中，未达到相应绿地养护质量等级的，扣除对应绿地的全年养护费用。</w:t>
      </w:r>
    </w:p>
    <w:p w14:paraId="41F5ABC9">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（3）由于养护不到位，导致发生严重病虫害的（由甲方请专家判定），根据专家判定的灾害面积、植株数量等经济损失情况，确定扣除相应养护费的具体金额。</w:t>
      </w:r>
    </w:p>
    <w:p w14:paraId="3B0E7450">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（4）因违反交通法规，未按照上路作业要求设立安全设施的，扣除养护费 5 万元。</w:t>
      </w:r>
    </w:p>
    <w:p w14:paraId="48591A52">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（5）由于养护不到位产生社会舆情或12345 市民热线市级平台来件等，每个案件扣除养护费  2千元，造成严重影响的，每次扣除养护费用2万元。</w:t>
      </w:r>
    </w:p>
    <w:p w14:paraId="2866F194">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（6）按市、区等相关文件要求，做好疫情防控工作。疫情防控不到位的扣除养护费5万元。</w:t>
      </w:r>
    </w:p>
    <w:p w14:paraId="0B39ABE1">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严格遵守交通法规，在电动三轮车使用过程中，发生未佩戴头盔、违章停放、违规行驶、无证驾驶等行为的，在接受相关执法部门处理的同时，将扣除养护费1000—10000万元/次。因违反交通法规造成人员伤亡的，由乙方负责赔偿及善后事宜，甲方保留追究其法律责任的权利。</w:t>
      </w:r>
    </w:p>
    <w:p w14:paraId="7692BB3E">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（8）未按照甲方安全管理要求，存在私接电源、违规使用电器、电动车违规充电、危化品（油料、农药等）未按规定存放及未做好出入库记录等安全隐患的，扣除养护费5000—10000 元。造成安全事故的，甲方有权解除合同。</w:t>
      </w:r>
    </w:p>
    <w:p w14:paraId="55D84BBA">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（9）因管护不到位，发生跑冒滴漏现象或在浇水打药作业中造成严重影响的扣除养护费5000—10000元。</w:t>
      </w:r>
    </w:p>
    <w:p w14:paraId="7532B5B6">
      <w:pPr>
        <w:pStyle w:val="100"/>
        <w:pageBreakBefore w:val="0"/>
        <w:tabs>
          <w:tab w:val="left" w:pos="1031"/>
        </w:tabs>
        <w:kinsoku/>
        <w:wordWrap/>
        <w:overflowPunct/>
        <w:topLinePunct w:val="0"/>
        <w:bidi w:val="0"/>
        <w:spacing w:line="360" w:lineRule="auto"/>
        <w:ind w:left="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（10）在执行甲方部署的工作时，以各种形式拖延不落实或未按要求执行，甲方有权安排第三方完成相关工作，产生的一切费用由乙方全部承担。</w:t>
      </w:r>
    </w:p>
    <w:p w14:paraId="70A6E238">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第七条 检查与考核</w:t>
      </w:r>
      <w:bookmarkEnd w:id="792"/>
      <w:bookmarkEnd w:id="793"/>
      <w:bookmarkEnd w:id="794"/>
    </w:p>
    <w:p w14:paraId="2809C639">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（一）检查与考核的依据</w:t>
      </w:r>
      <w:r>
        <w:rPr>
          <w:rFonts w:hint="eastAsia" w:ascii="宋体" w:hAnsi="宋体" w:cs="宋体"/>
          <w:b/>
          <w:bCs/>
          <w:color w:val="auto"/>
          <w:spacing w:val="-3"/>
          <w:sz w:val="24"/>
          <w:szCs w:val="24"/>
          <w:highlight w:val="none"/>
          <w:lang w:eastAsia="zh-CN"/>
        </w:rPr>
        <w:t>（</w:t>
      </w:r>
      <w:r>
        <w:rPr>
          <w:rFonts w:hint="eastAsia" w:ascii="宋体" w:hAnsi="宋体" w:cs="宋体"/>
          <w:b/>
          <w:bCs/>
          <w:color w:val="auto"/>
          <w:spacing w:val="-3"/>
          <w:sz w:val="24"/>
          <w:szCs w:val="24"/>
          <w:highlight w:val="none"/>
          <w:lang w:val="en-US" w:eastAsia="zh-CN"/>
        </w:rPr>
        <w:t>如有最新按照最新标准执行</w:t>
      </w:r>
      <w:r>
        <w:rPr>
          <w:rFonts w:hint="eastAsia" w:ascii="宋体" w:hAnsi="宋体" w:cs="宋体"/>
          <w:b/>
          <w:bCs/>
          <w:color w:val="auto"/>
          <w:spacing w:val="-3"/>
          <w:sz w:val="24"/>
          <w:szCs w:val="24"/>
          <w:highlight w:val="none"/>
          <w:lang w:eastAsia="zh-CN"/>
        </w:rPr>
        <w:t>）</w:t>
      </w:r>
    </w:p>
    <w:p w14:paraId="18E698A8">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1、北京市《城镇绿地养护技术规范》（DB11/T 213—2022）。</w:t>
      </w:r>
    </w:p>
    <w:p w14:paraId="735AC9D4">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2、《北京城市副中心城镇绿地养护管理工作意见》（京绿城发[2017]14 号）。</w:t>
      </w:r>
    </w:p>
    <w:p w14:paraId="26083BA6">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3、《北京市城镇绿地养护管理质量标准》。</w:t>
      </w:r>
    </w:p>
    <w:p w14:paraId="62C5EB89">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4、《北京市城镇绿地分级分类办法》（京绿城发〔2018〕201号）。</w:t>
      </w:r>
    </w:p>
    <w:p w14:paraId="22CF2516">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5、北京市《城镇园林绿化养护管理年度考评工作细则》</w:t>
      </w:r>
      <w:r>
        <w:rPr>
          <w:rFonts w:hint="eastAsia" w:ascii="宋体" w:hAnsi="宋体" w:eastAsia="宋体" w:cs="宋体"/>
          <w:color w:val="auto"/>
          <w:sz w:val="24"/>
          <w:szCs w:val="24"/>
          <w:highlight w:val="none"/>
          <w:lang w:eastAsia="zh-CN"/>
        </w:rPr>
        <w:t>（京绿城发〔2017〕5号）</w:t>
      </w:r>
      <w:r>
        <w:rPr>
          <w:rFonts w:hint="eastAsia" w:ascii="宋体" w:hAnsi="宋体" w:eastAsia="宋体" w:cs="宋体"/>
          <w:color w:val="auto"/>
          <w:spacing w:val="-3"/>
          <w:sz w:val="24"/>
          <w:szCs w:val="24"/>
          <w:highlight w:val="none"/>
          <w:lang w:eastAsia="zh-CN"/>
        </w:rPr>
        <w:t>。</w:t>
      </w:r>
    </w:p>
    <w:p w14:paraId="74B4413F">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6、《北京市城镇绿地养护管理质量评分标准》等。</w:t>
      </w:r>
    </w:p>
    <w:p w14:paraId="244DC25C">
      <w:pPr>
        <w:pageBreakBefore w:val="0"/>
        <w:tabs>
          <w:tab w:val="left" w:pos="1083"/>
        </w:tabs>
        <w:kinsoku/>
        <w:wordWrap/>
        <w:overflowPunct/>
        <w:topLinePunct w:val="0"/>
        <w:bidi w:val="0"/>
        <w:snapToGrid w:val="0"/>
        <w:spacing w:line="360" w:lineRule="auto"/>
        <w:ind w:right="147" w:firstLine="468"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7、本合同的相关规定。</w:t>
      </w:r>
    </w:p>
    <w:p w14:paraId="3A541FB9">
      <w:pPr>
        <w:pageBreakBefore w:val="0"/>
        <w:tabs>
          <w:tab w:val="left" w:pos="1083"/>
        </w:tabs>
        <w:kinsoku/>
        <w:wordWrap/>
        <w:overflowPunct/>
        <w:topLinePunct w:val="0"/>
        <w:bidi w:val="0"/>
        <w:snapToGrid w:val="0"/>
        <w:spacing w:line="360" w:lineRule="auto"/>
        <w:ind w:right="147" w:firstLine="470" w:firstLineChars="200"/>
        <w:jc w:val="both"/>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b/>
          <w:bCs/>
          <w:color w:val="auto"/>
          <w:spacing w:val="-3"/>
          <w:sz w:val="24"/>
          <w:szCs w:val="24"/>
          <w:highlight w:val="none"/>
          <w:lang w:eastAsia="zh-CN"/>
        </w:rPr>
        <w:t>（二）检查与考核</w:t>
      </w:r>
    </w:p>
    <w:p w14:paraId="4378A880">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甲方按照本合同约定的检查和考核依据</w:t>
      </w:r>
      <w:r>
        <w:rPr>
          <w:rFonts w:hint="eastAsia" w:ascii="宋体" w:hAnsi="宋体" w:eastAsia="宋体" w:cs="宋体"/>
          <w:color w:val="auto"/>
          <w:sz w:val="24"/>
          <w:szCs w:val="24"/>
          <w:highlight w:val="none"/>
          <w:lang w:eastAsia="zh-CN"/>
        </w:rPr>
        <w:t>，采取随机抽查的方式对乙方的绿化养护实施情况进行检查，检查</w:t>
      </w:r>
      <w:r>
        <w:rPr>
          <w:rFonts w:hint="eastAsia" w:ascii="宋体" w:hAnsi="宋体" w:eastAsia="宋体" w:cs="宋体"/>
          <w:color w:val="auto"/>
          <w:spacing w:val="-6"/>
          <w:sz w:val="24"/>
          <w:szCs w:val="24"/>
          <w:highlight w:val="none"/>
          <w:lang w:eastAsia="zh-CN"/>
        </w:rPr>
        <w:t>其绿地养护范围的养护效果，对养护实施情况和养护质量进行评分。对检查中发现的问</w:t>
      </w:r>
      <w:r>
        <w:rPr>
          <w:rFonts w:hint="eastAsia" w:ascii="宋体" w:hAnsi="宋体" w:eastAsia="宋体" w:cs="宋体"/>
          <w:color w:val="auto"/>
          <w:spacing w:val="-7"/>
          <w:sz w:val="24"/>
          <w:szCs w:val="24"/>
          <w:highlight w:val="none"/>
          <w:lang w:eastAsia="zh-CN"/>
        </w:rPr>
        <w:t>题，有权责令乙方进行整改，并向乙方发出整改通知，乙方应按甲方的要求及时进行整改。乙</w:t>
      </w:r>
      <w:r>
        <w:rPr>
          <w:rFonts w:hint="eastAsia" w:ascii="宋体" w:hAnsi="宋体" w:eastAsia="宋体" w:cs="宋体"/>
          <w:color w:val="auto"/>
          <w:spacing w:val="-5"/>
          <w:sz w:val="24"/>
          <w:szCs w:val="24"/>
          <w:highlight w:val="none"/>
          <w:lang w:eastAsia="zh-CN"/>
        </w:rPr>
        <w:t>方无正当理由拒绝整改时，甲方可以另行委托他人进行整改，所发生的费用由乙方承担。</w:t>
      </w:r>
    </w:p>
    <w:p w14:paraId="3CAC3341">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95" w:name="第八条_安全生产及环境保护"/>
      <w:bookmarkEnd w:id="795"/>
      <w:bookmarkStart w:id="796" w:name="_Toc28273050"/>
      <w:bookmarkStart w:id="797" w:name="_Toc28612881"/>
      <w:bookmarkStart w:id="798" w:name="_Toc61947360"/>
      <w:r>
        <w:rPr>
          <w:rFonts w:hint="eastAsia" w:ascii="宋体" w:hAnsi="宋体" w:eastAsia="宋体" w:cs="宋体"/>
          <w:b/>
          <w:bCs/>
          <w:color w:val="auto"/>
          <w:spacing w:val="-3"/>
          <w:sz w:val="24"/>
          <w:szCs w:val="24"/>
          <w:highlight w:val="none"/>
          <w:lang w:eastAsia="zh-CN"/>
        </w:rPr>
        <w:t>第八条 安全生产及环境保护</w:t>
      </w:r>
      <w:bookmarkEnd w:id="796"/>
      <w:bookmarkEnd w:id="797"/>
      <w:bookmarkEnd w:id="798"/>
    </w:p>
    <w:p w14:paraId="17798AA5">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（一）安全责任</w:t>
      </w:r>
    </w:p>
    <w:p w14:paraId="262ECAA8">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1、乙方应当严格遵守安全生产作业的有关管理规定，制定合理可行的安全操作规程，建立全面系统的安全监督检查制度，采取行之有效的安全保障措施，消除安全隐患、杜绝安全事故的发生。</w:t>
      </w:r>
    </w:p>
    <w:p w14:paraId="7A036C87">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2、乙方应对其在养护场地的所有工作人员进行安全教育，并随时接受甲方和行业安全检查人员实施的安全监督检查。如因非甲方原因发生安全事故，乙方应承担全部的责任。</w:t>
      </w:r>
    </w:p>
    <w:p w14:paraId="20C08ABF">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（二）安全防范</w:t>
      </w:r>
    </w:p>
    <w:p w14:paraId="242E828E">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1、乙方在从事有害生物防治、植物修剪、设施维护、道路或水体清理、防汛等工作时应自行采取有效的安全防护措施。</w:t>
      </w:r>
    </w:p>
    <w:p w14:paraId="340072E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2、乙方在养护范围内的植物、水体或其他可能造成人员伤亡的场所，应设置禁止吸烟、禁止火种、禁止游泳等安全警告铭牌。</w:t>
      </w:r>
    </w:p>
    <w:p w14:paraId="69D1BB14">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对土壤进行消毒或防治病虫害时，应使用符合环保要求的药剂，不得使用国家禁止使用的剧毒、高残留或可能造成其他危害的药剂。果类植物在挂果期间不得喷洒药剂，以防发生意外。剩余药剂和器具，乙方应按规定妥善收集和处理。乙方不按规定使用药剂，造成人员伤亡、环境污染，乙方应自行承担全部的责任。</w:t>
      </w:r>
    </w:p>
    <w:p w14:paraId="20316C40">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（三）环境保护</w:t>
      </w:r>
    </w:p>
    <w:p w14:paraId="5973281D">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1、乙方应遵守国家有关环境保护的政策、法规。</w:t>
      </w:r>
    </w:p>
    <w:p w14:paraId="0590B60F">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2、养护范围内的垃圾应按规定及时清理、外运。</w:t>
      </w:r>
    </w:p>
    <w:p w14:paraId="3B6176E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3、乙方应按合同约定进行施肥、沤肥。施肥、沤肥不得影响绿化景观和污染周边环境。</w:t>
      </w:r>
    </w:p>
    <w:p w14:paraId="7C17A777">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4、在枯水季节，乙方应按合同规定清理水体淤泥，挖出的淤泥应堆放于甲方指定位置。</w:t>
      </w:r>
    </w:p>
    <w:p w14:paraId="71E3BB77">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5、乙方应按合同约定修整水体堤岸，防止坍塌。乙方不得擅自挖掘堤岸以扩大水面，亦不能擅自改变堤岸形状或走向。</w:t>
      </w:r>
    </w:p>
    <w:p w14:paraId="11BE4A45">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（四）事故处理</w:t>
      </w:r>
    </w:p>
    <w:p w14:paraId="33FC7F4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1、若发生重大伤亡及其他安全事故，乙方应按有关规定及时上报相关部门，同时应及时告知甲方代表。乙方按政府有关部门的要求处理，由事故责任方承担全部的费用。</w:t>
      </w:r>
    </w:p>
    <w:p w14:paraId="47BB4521">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2、甲方、乙方对事故责任有争议时，按相关部门的认定结果处理。</w:t>
      </w:r>
    </w:p>
    <w:p w14:paraId="0F13041F">
      <w:pPr>
        <w:pStyle w:val="100"/>
        <w:pageBreakBefore w:val="0"/>
        <w:tabs>
          <w:tab w:val="left" w:pos="974"/>
        </w:tabs>
        <w:kinsoku/>
        <w:wordWrap/>
        <w:overflowPunct/>
        <w:topLinePunct w:val="0"/>
        <w:bidi w:val="0"/>
        <w:snapToGrid w:val="0"/>
        <w:spacing w:line="360" w:lineRule="auto"/>
        <w:ind w:left="0" w:firstLine="470" w:firstLineChars="200"/>
        <w:textAlignment w:val="auto"/>
        <w:rPr>
          <w:rFonts w:hint="eastAsia" w:ascii="宋体" w:hAnsi="宋体" w:eastAsia="宋体" w:cs="宋体"/>
          <w:b/>
          <w:bCs/>
          <w:color w:val="auto"/>
          <w:spacing w:val="-3"/>
          <w:sz w:val="24"/>
          <w:szCs w:val="24"/>
          <w:highlight w:val="none"/>
          <w:lang w:eastAsia="zh-CN"/>
        </w:rPr>
      </w:pPr>
      <w:bookmarkStart w:id="799" w:name="第九条_园林绿化养护所需机械、材料、器具设备"/>
      <w:bookmarkEnd w:id="799"/>
      <w:bookmarkStart w:id="800" w:name="_Toc28612882"/>
      <w:bookmarkStart w:id="801" w:name="_Toc28273051"/>
      <w:bookmarkStart w:id="802" w:name="_Toc61947361"/>
      <w:r>
        <w:rPr>
          <w:rFonts w:hint="eastAsia" w:ascii="宋体" w:hAnsi="宋体" w:eastAsia="宋体" w:cs="宋体"/>
          <w:b/>
          <w:bCs/>
          <w:color w:val="auto"/>
          <w:spacing w:val="-3"/>
          <w:sz w:val="24"/>
          <w:szCs w:val="24"/>
          <w:highlight w:val="none"/>
          <w:lang w:eastAsia="zh-CN"/>
        </w:rPr>
        <w:t>第九条 园林绿化养护所需机械、材料、器具设备</w:t>
      </w:r>
      <w:bookmarkEnd w:id="800"/>
      <w:bookmarkEnd w:id="801"/>
      <w:bookmarkEnd w:id="802"/>
    </w:p>
    <w:p w14:paraId="46A86A80">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（一）乙方应自行配置养护所需的机械、材料、器具设备和交通工具。乙方为本项目配置的机械、材料、器具设备清单如下：</w:t>
      </w:r>
    </w:p>
    <w:tbl>
      <w:tblPr>
        <w:tblStyle w:val="46"/>
        <w:tblW w:w="8926" w:type="dxa"/>
        <w:tblInd w:w="113" w:type="dxa"/>
        <w:tblLayout w:type="autofit"/>
        <w:tblCellMar>
          <w:top w:w="0" w:type="dxa"/>
          <w:left w:w="108" w:type="dxa"/>
          <w:bottom w:w="0" w:type="dxa"/>
          <w:right w:w="108" w:type="dxa"/>
        </w:tblCellMar>
      </w:tblPr>
      <w:tblGrid>
        <w:gridCol w:w="960"/>
        <w:gridCol w:w="2863"/>
        <w:gridCol w:w="992"/>
        <w:gridCol w:w="2977"/>
        <w:gridCol w:w="1134"/>
      </w:tblGrid>
      <w:tr w14:paraId="01367F75">
        <w:tblPrEx>
          <w:tblCellMar>
            <w:top w:w="0" w:type="dxa"/>
            <w:left w:w="108" w:type="dxa"/>
            <w:bottom w:w="0" w:type="dxa"/>
            <w:right w:w="108" w:type="dxa"/>
          </w:tblCellMar>
        </w:tblPrEx>
        <w:trPr>
          <w:trHeight w:val="454" w:hRule="atLeast"/>
        </w:trPr>
        <w:tc>
          <w:tcPr>
            <w:tcW w:w="960" w:type="dxa"/>
            <w:tcBorders>
              <w:top w:val="single" w:color="auto" w:sz="4" w:space="0"/>
              <w:left w:val="single" w:color="auto" w:sz="4" w:space="0"/>
              <w:bottom w:val="single" w:color="auto" w:sz="4" w:space="0"/>
              <w:right w:val="single" w:color="auto" w:sz="4" w:space="0"/>
            </w:tcBorders>
            <w:noWrap/>
            <w:vAlign w:val="bottom"/>
          </w:tcPr>
          <w:p w14:paraId="532DB3D7">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863" w:type="dxa"/>
            <w:tcBorders>
              <w:top w:val="single" w:color="auto" w:sz="4" w:space="0"/>
              <w:left w:val="nil"/>
              <w:bottom w:val="single" w:color="auto" w:sz="4" w:space="0"/>
              <w:right w:val="single" w:color="auto" w:sz="4" w:space="0"/>
            </w:tcBorders>
            <w:noWrap/>
            <w:vAlign w:val="bottom"/>
          </w:tcPr>
          <w:p w14:paraId="1321F54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992" w:type="dxa"/>
            <w:tcBorders>
              <w:top w:val="single" w:color="auto" w:sz="4" w:space="0"/>
              <w:left w:val="nil"/>
              <w:bottom w:val="single" w:color="auto" w:sz="4" w:space="0"/>
              <w:right w:val="single" w:color="auto" w:sz="4" w:space="0"/>
            </w:tcBorders>
            <w:noWrap/>
            <w:vAlign w:val="bottom"/>
          </w:tcPr>
          <w:p w14:paraId="72DEC9E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2977" w:type="dxa"/>
            <w:tcBorders>
              <w:top w:val="single" w:color="auto" w:sz="4" w:space="0"/>
              <w:left w:val="nil"/>
              <w:bottom w:val="single" w:color="auto" w:sz="4" w:space="0"/>
              <w:right w:val="single" w:color="auto" w:sz="4" w:space="0"/>
            </w:tcBorders>
            <w:noWrap/>
            <w:vAlign w:val="bottom"/>
          </w:tcPr>
          <w:p w14:paraId="7756CFDD">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来源（自有、租赁、采购）</w:t>
            </w:r>
          </w:p>
        </w:tc>
        <w:tc>
          <w:tcPr>
            <w:tcW w:w="1134" w:type="dxa"/>
            <w:tcBorders>
              <w:top w:val="single" w:color="auto" w:sz="4" w:space="0"/>
              <w:left w:val="nil"/>
              <w:bottom w:val="single" w:color="auto" w:sz="4" w:space="0"/>
              <w:right w:val="single" w:color="auto" w:sz="4" w:space="0"/>
            </w:tcBorders>
            <w:noWrap/>
            <w:vAlign w:val="bottom"/>
          </w:tcPr>
          <w:p w14:paraId="141FB5F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r>
      <w:tr w14:paraId="29868AFC">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2B9CE17C">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863" w:type="dxa"/>
            <w:tcBorders>
              <w:top w:val="nil"/>
              <w:left w:val="nil"/>
              <w:bottom w:val="single" w:color="auto" w:sz="4" w:space="0"/>
              <w:right w:val="single" w:color="auto" w:sz="4" w:space="0"/>
            </w:tcBorders>
            <w:noWrap/>
            <w:vAlign w:val="bottom"/>
          </w:tcPr>
          <w:p w14:paraId="345A5AB3">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26B8AD24">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2728FFF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32CDCF6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66C57A79">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00478AB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2863" w:type="dxa"/>
            <w:tcBorders>
              <w:top w:val="nil"/>
              <w:left w:val="nil"/>
              <w:bottom w:val="single" w:color="auto" w:sz="4" w:space="0"/>
              <w:right w:val="single" w:color="auto" w:sz="4" w:space="0"/>
            </w:tcBorders>
            <w:noWrap/>
            <w:vAlign w:val="bottom"/>
          </w:tcPr>
          <w:p w14:paraId="5099170F">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37983935">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0CCDDC0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636522B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14D302F8">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3DDEC137">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2863" w:type="dxa"/>
            <w:tcBorders>
              <w:top w:val="nil"/>
              <w:left w:val="nil"/>
              <w:bottom w:val="single" w:color="auto" w:sz="4" w:space="0"/>
              <w:right w:val="single" w:color="auto" w:sz="4" w:space="0"/>
            </w:tcBorders>
            <w:noWrap/>
            <w:vAlign w:val="bottom"/>
          </w:tcPr>
          <w:p w14:paraId="4D116A5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2686D6F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2D36BA6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44B740E3">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3049AADE">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3F290811">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2863" w:type="dxa"/>
            <w:tcBorders>
              <w:top w:val="nil"/>
              <w:left w:val="nil"/>
              <w:bottom w:val="single" w:color="auto" w:sz="4" w:space="0"/>
              <w:right w:val="single" w:color="auto" w:sz="4" w:space="0"/>
            </w:tcBorders>
            <w:noWrap/>
            <w:vAlign w:val="bottom"/>
          </w:tcPr>
          <w:p w14:paraId="6B82EAC2">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4ECEC6F2">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541CCCF9">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5E96F6A1">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72F7B786">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484E7DF4">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2863" w:type="dxa"/>
            <w:tcBorders>
              <w:top w:val="nil"/>
              <w:left w:val="nil"/>
              <w:bottom w:val="single" w:color="auto" w:sz="4" w:space="0"/>
              <w:right w:val="single" w:color="auto" w:sz="4" w:space="0"/>
            </w:tcBorders>
            <w:noWrap/>
            <w:vAlign w:val="bottom"/>
          </w:tcPr>
          <w:p w14:paraId="7E5DBB6A">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4F0E5197">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66341E9B">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56FD955D">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r w14:paraId="369C4CF7">
        <w:tblPrEx>
          <w:tblCellMar>
            <w:top w:w="0" w:type="dxa"/>
            <w:left w:w="108" w:type="dxa"/>
            <w:bottom w:w="0" w:type="dxa"/>
            <w:right w:w="108" w:type="dxa"/>
          </w:tblCellMar>
        </w:tblPrEx>
        <w:trPr>
          <w:trHeight w:val="454" w:hRule="atLeast"/>
        </w:trPr>
        <w:tc>
          <w:tcPr>
            <w:tcW w:w="960" w:type="dxa"/>
            <w:tcBorders>
              <w:top w:val="nil"/>
              <w:left w:val="single" w:color="auto" w:sz="4" w:space="0"/>
              <w:bottom w:val="single" w:color="auto" w:sz="4" w:space="0"/>
              <w:right w:val="single" w:color="auto" w:sz="4" w:space="0"/>
            </w:tcBorders>
            <w:noWrap/>
            <w:vAlign w:val="bottom"/>
          </w:tcPr>
          <w:p w14:paraId="654C8E53">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863" w:type="dxa"/>
            <w:tcBorders>
              <w:top w:val="nil"/>
              <w:left w:val="nil"/>
              <w:bottom w:val="single" w:color="auto" w:sz="4" w:space="0"/>
              <w:right w:val="single" w:color="auto" w:sz="4" w:space="0"/>
            </w:tcBorders>
            <w:noWrap/>
            <w:vAlign w:val="bottom"/>
          </w:tcPr>
          <w:p w14:paraId="58DC4BC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992" w:type="dxa"/>
            <w:tcBorders>
              <w:top w:val="nil"/>
              <w:left w:val="nil"/>
              <w:bottom w:val="single" w:color="auto" w:sz="4" w:space="0"/>
              <w:right w:val="single" w:color="auto" w:sz="4" w:space="0"/>
            </w:tcBorders>
            <w:noWrap/>
            <w:vAlign w:val="bottom"/>
          </w:tcPr>
          <w:p w14:paraId="3292ECA8">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2977" w:type="dxa"/>
            <w:tcBorders>
              <w:top w:val="nil"/>
              <w:left w:val="nil"/>
              <w:bottom w:val="single" w:color="auto" w:sz="4" w:space="0"/>
              <w:right w:val="single" w:color="auto" w:sz="4" w:space="0"/>
            </w:tcBorders>
            <w:noWrap/>
            <w:vAlign w:val="bottom"/>
          </w:tcPr>
          <w:p w14:paraId="02692804">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c>
          <w:tcPr>
            <w:tcW w:w="1134" w:type="dxa"/>
            <w:tcBorders>
              <w:top w:val="nil"/>
              <w:left w:val="nil"/>
              <w:bottom w:val="single" w:color="auto" w:sz="4" w:space="0"/>
              <w:right w:val="single" w:color="auto" w:sz="4" w:space="0"/>
            </w:tcBorders>
            <w:noWrap/>
            <w:vAlign w:val="bottom"/>
          </w:tcPr>
          <w:p w14:paraId="6DDA5B31">
            <w:pPr>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p>
        </w:tc>
      </w:tr>
    </w:tbl>
    <w:p w14:paraId="0C53FA00">
      <w:pPr>
        <w:pStyle w:val="17"/>
        <w:pageBreakBefore w:val="0"/>
        <w:kinsoku/>
        <w:wordWrap/>
        <w:overflowPunct/>
        <w:topLinePunct w:val="0"/>
        <w:bidi w:val="0"/>
        <w:snapToGrid w:val="0"/>
        <w:spacing w:before="120" w:beforeLines="50"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（二）乙方应当对投入本项目的机械、材料、器具设备的质量和安全性负责。</w:t>
      </w:r>
    </w:p>
    <w:p w14:paraId="3F0414E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1、乙方应在签订合同后5日内，将以上机械设备运至养护现场并交甲方验证，若乙方签订合同后10日内未能提供以上设备，则按违约处理。</w:t>
      </w:r>
    </w:p>
    <w:p w14:paraId="63517D32">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2、乙方投入使用的机械、材料、器具设备的数量、规格和品质达不到合同约定标准时，须承担违约责任。</w:t>
      </w:r>
    </w:p>
    <w:p w14:paraId="67E20CAF">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（三）乙方提供的机械、材料、器具设备等应符合相关安全标准。</w:t>
      </w:r>
    </w:p>
    <w:p w14:paraId="5C3D58E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乙方按规范要求进行检查或检验，不合格的不得使用。检查或检验费用，由乙方承担。</w:t>
      </w:r>
    </w:p>
    <w:p w14:paraId="561E56D8">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（四）各种机械设备的操作人员应具备相应的职业技能和有效证件。</w:t>
      </w:r>
    </w:p>
    <w:p w14:paraId="27710CE1">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03" w:name="第十条_合同价款与支付"/>
      <w:bookmarkEnd w:id="803"/>
      <w:bookmarkStart w:id="804" w:name="_Toc61947362"/>
      <w:bookmarkStart w:id="805" w:name="_Toc28612883"/>
      <w:bookmarkStart w:id="806" w:name="_Toc28273052"/>
      <w:r>
        <w:rPr>
          <w:rFonts w:hint="eastAsia" w:ascii="宋体" w:hAnsi="宋体" w:eastAsia="宋体" w:cs="宋体"/>
          <w:b/>
          <w:bCs/>
          <w:color w:val="auto"/>
          <w:spacing w:val="-8"/>
          <w:sz w:val="24"/>
          <w:szCs w:val="24"/>
          <w:highlight w:val="none"/>
          <w:lang w:eastAsia="zh-CN"/>
        </w:rPr>
        <w:t>第十条 合同价款与支付</w:t>
      </w:r>
      <w:bookmarkEnd w:id="804"/>
      <w:bookmarkEnd w:id="805"/>
      <w:bookmarkEnd w:id="806"/>
    </w:p>
    <w:p w14:paraId="03929ADB">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07" w:name="_Toc28612884"/>
      <w:bookmarkStart w:id="808" w:name="_Toc28273053"/>
      <w:bookmarkStart w:id="809" w:name="_Toc61947363"/>
      <w:r>
        <w:rPr>
          <w:rFonts w:hint="eastAsia" w:ascii="宋体" w:hAnsi="宋体" w:eastAsia="宋体" w:cs="宋体"/>
          <w:b/>
          <w:bCs/>
          <w:color w:val="auto"/>
          <w:spacing w:val="-8"/>
          <w:sz w:val="24"/>
          <w:szCs w:val="24"/>
          <w:highlight w:val="none"/>
          <w:lang w:eastAsia="zh-CN"/>
        </w:rPr>
        <w:t>（一）合同价款</w:t>
      </w:r>
      <w:bookmarkEnd w:id="807"/>
      <w:bookmarkEnd w:id="808"/>
      <w:bookmarkEnd w:id="809"/>
    </w:p>
    <w:p w14:paraId="25643C3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1、本养护项目，双方约定的合同价款为￥</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val="en" w:eastAsia="zh-CN"/>
        </w:rPr>
        <w:t xml:space="preserve">    </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万元，大写：人民币</w:t>
      </w:r>
      <w:r>
        <w:rPr>
          <w:rFonts w:hint="eastAsia" w:ascii="宋体" w:hAnsi="宋体" w:eastAsia="宋体" w:cs="宋体"/>
          <w:color w:val="auto"/>
          <w:spacing w:val="-8"/>
          <w:sz w:val="24"/>
          <w:szCs w:val="24"/>
          <w:highlight w:val="none"/>
          <w:lang w:val="en" w:eastAsia="zh-CN"/>
        </w:rPr>
        <w:t xml:space="preserve">   </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（单价：特级养护费用</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 xml:space="preserve"> 元/平方米养护面积/年，一级养护费用</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 xml:space="preserve"> 元/平方米养护面积/年，二级养护费用</w:t>
      </w:r>
      <w:r>
        <w:rPr>
          <w:rFonts w:hint="eastAsia" w:ascii="宋体" w:hAnsi="宋体" w:eastAsia="宋体" w:cs="宋体"/>
          <w:color w:val="auto"/>
          <w:spacing w:val="-8"/>
          <w:sz w:val="24"/>
          <w:szCs w:val="24"/>
          <w:highlight w:val="none"/>
          <w:u w:val="single"/>
          <w:lang w:eastAsia="zh-CN"/>
        </w:rPr>
        <w:t xml:space="preserve">      </w:t>
      </w:r>
      <w:r>
        <w:rPr>
          <w:rFonts w:hint="eastAsia" w:ascii="宋体" w:hAnsi="宋体" w:eastAsia="宋体" w:cs="宋体"/>
          <w:color w:val="auto"/>
          <w:spacing w:val="-8"/>
          <w:sz w:val="24"/>
          <w:szCs w:val="24"/>
          <w:highlight w:val="none"/>
          <w:lang w:eastAsia="zh-CN"/>
        </w:rPr>
        <w:t>元/平方米养护面积/年）。</w:t>
      </w:r>
    </w:p>
    <w:p w14:paraId="0F1172E2">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7"/>
          <w:sz w:val="24"/>
          <w:szCs w:val="24"/>
          <w:highlight w:val="none"/>
          <w:u w:val="single"/>
          <w:lang w:eastAsia="zh-CN"/>
        </w:rPr>
      </w:pPr>
      <w:r>
        <w:rPr>
          <w:rFonts w:hint="eastAsia" w:ascii="宋体" w:hAnsi="宋体" w:eastAsia="宋体" w:cs="宋体"/>
          <w:color w:val="auto"/>
          <w:spacing w:val="-8"/>
          <w:sz w:val="24"/>
          <w:szCs w:val="24"/>
          <w:highlight w:val="none"/>
          <w:lang w:eastAsia="zh-CN"/>
        </w:rPr>
        <w:t>2、本合同价款</w:t>
      </w:r>
      <w:r>
        <w:rPr>
          <w:rFonts w:hint="eastAsia" w:ascii="宋体" w:hAnsi="宋体" w:eastAsia="宋体" w:cs="宋体"/>
          <w:color w:val="auto"/>
          <w:spacing w:val="7"/>
          <w:sz w:val="24"/>
          <w:szCs w:val="24"/>
          <w:highlight w:val="none"/>
          <w:lang w:eastAsia="zh-CN"/>
        </w:rPr>
        <w:t>采用</w:t>
      </w:r>
      <w:r>
        <w:rPr>
          <w:rFonts w:hint="eastAsia" w:ascii="宋体" w:hAnsi="宋体" w:eastAsia="宋体" w:cs="宋体"/>
          <w:color w:val="auto"/>
          <w:sz w:val="24"/>
          <w:szCs w:val="24"/>
          <w:highlight w:val="none"/>
          <w:lang w:eastAsia="zh-CN"/>
        </w:rPr>
        <w:t>可调</w:t>
      </w:r>
      <w:r>
        <w:rPr>
          <w:rFonts w:hint="eastAsia" w:ascii="宋体" w:hAnsi="宋体" w:eastAsia="宋体" w:cs="宋体"/>
          <w:color w:val="auto"/>
          <w:spacing w:val="7"/>
          <w:sz w:val="24"/>
          <w:szCs w:val="24"/>
          <w:highlight w:val="none"/>
          <w:u w:val="single"/>
          <w:lang w:eastAsia="zh-CN"/>
        </w:rPr>
        <w:t>总价合</w:t>
      </w:r>
      <w:r>
        <w:rPr>
          <w:rFonts w:hint="eastAsia" w:ascii="宋体" w:hAnsi="宋体" w:eastAsia="宋体" w:cs="宋体"/>
          <w:color w:val="auto"/>
          <w:spacing w:val="7"/>
          <w:sz w:val="24"/>
          <w:szCs w:val="24"/>
          <w:highlight w:val="none"/>
          <w:lang w:eastAsia="zh-CN"/>
        </w:rPr>
        <w:t>同方式确定，养护费用单价仅用作养护面积或养护周期调整时使用</w:t>
      </w:r>
      <w:r>
        <w:rPr>
          <w:rFonts w:hint="eastAsia" w:cs="宋体"/>
          <w:color w:val="auto"/>
          <w:spacing w:val="7"/>
          <w:sz w:val="24"/>
          <w:szCs w:val="24"/>
          <w:highlight w:val="none"/>
          <w:lang w:eastAsia="zh-CN"/>
        </w:rPr>
        <w:t>；</w:t>
      </w:r>
      <w:r>
        <w:rPr>
          <w:rFonts w:hint="eastAsia" w:ascii="宋体" w:hAnsi="宋体" w:eastAsia="宋体" w:cs="宋体"/>
          <w:color w:val="auto"/>
          <w:spacing w:val="7"/>
          <w:sz w:val="24"/>
          <w:szCs w:val="24"/>
          <w:highlight w:val="none"/>
          <w:u w:val="none"/>
          <w:lang w:eastAsia="zh-CN"/>
        </w:rPr>
        <w:t>合同约定最终养护费用按照最终养护面积及养护单价进行调整后拨付。</w:t>
      </w:r>
    </w:p>
    <w:p w14:paraId="1C69515D">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3、合同价款中包含了完成本合同养护范围内的所有工作内容和工作量所需的一切费用， 如人工费、材料费（包括但不限于农药费、肥料费、辅助材料费等）、水费、电费、设备购置或租用费、运输费、防寒设施费、设备设施维护费、综合管理费、保险费、利润和各种税费等。</w:t>
      </w:r>
    </w:p>
    <w:p w14:paraId="7B148C4E">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4、乙方在报价时已考虑各种影响养护费用的自然因素及社会因素，合同总价中风险费用包含的范围包括但不限于下列情况：</w:t>
      </w:r>
    </w:p>
    <w:p w14:paraId="7F5390FA">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（1）养护现场范围内苗木或设施种类及数量与招标文件或合同文件的养护工作量清单的偏差。</w:t>
      </w:r>
    </w:p>
    <w:p w14:paraId="1642FCE9">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（2）养护期内人员、物资材料、水费、电费等价格的上涨或下落。</w:t>
      </w:r>
    </w:p>
    <w:p w14:paraId="63253493">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（3）风、雨、雪、洪、震等不可抗力范围以外的非正常气候对养护工作的影响。</w:t>
      </w:r>
    </w:p>
    <w:p w14:paraId="508BAFB0">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5、合同价款的调整范围：</w:t>
      </w:r>
    </w:p>
    <w:p w14:paraId="2E26D999">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（1）甲方对养护范围或养护面积的调整。</w:t>
      </w:r>
    </w:p>
    <w:p w14:paraId="7B2299F4">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（2）甲方对养护期限的调整。</w:t>
      </w:r>
    </w:p>
    <w:p w14:paraId="42ADA8C8">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（3）合同价款的调整方法：根据调整内容，甲乙双方协商解决，并签订补充协议。</w:t>
      </w:r>
    </w:p>
    <w:p w14:paraId="71F41376">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6、因乙方自身原因导致养护工作变更或者养护补救措施，乙方无权要求追加合同价款。</w:t>
      </w:r>
    </w:p>
    <w:p w14:paraId="6CEF310B">
      <w:pPr>
        <w:pStyle w:val="17"/>
        <w:pageBreakBefore w:val="0"/>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lang w:eastAsia="zh-CN"/>
        </w:rPr>
        <w:t>因财政评审原因对绿地养护等级单价审核调整的；乙方签约合同价款绿地养护等级单价及总价应同比例下浮。</w:t>
      </w:r>
    </w:p>
    <w:p w14:paraId="4D6DCA5C">
      <w:pPr>
        <w:pStyle w:val="17"/>
        <w:pageBreakBefore w:val="0"/>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10" w:name="_Toc28273054"/>
      <w:bookmarkStart w:id="811" w:name="_Toc28612885"/>
      <w:bookmarkStart w:id="812" w:name="_Toc61947364"/>
      <w:r>
        <w:rPr>
          <w:rFonts w:hint="eastAsia" w:ascii="宋体" w:hAnsi="宋体" w:eastAsia="宋体" w:cs="宋体"/>
          <w:b/>
          <w:bCs/>
          <w:color w:val="auto"/>
          <w:spacing w:val="-8"/>
          <w:sz w:val="24"/>
          <w:szCs w:val="24"/>
          <w:highlight w:val="none"/>
          <w:lang w:eastAsia="zh-CN"/>
        </w:rPr>
        <w:t>（二）合同价款的支付方式</w:t>
      </w:r>
      <w:bookmarkEnd w:id="810"/>
      <w:bookmarkEnd w:id="811"/>
      <w:bookmarkEnd w:id="812"/>
    </w:p>
    <w:p w14:paraId="16D5DEF6">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1、养护进度款的支付</w:t>
      </w:r>
    </w:p>
    <w:p w14:paraId="2925CDA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（1）双方约定，本合同价款按照</w:t>
      </w:r>
      <w:r>
        <w:rPr>
          <w:rFonts w:hint="eastAsia" w:ascii="宋体" w:hAnsi="宋体" w:cs="宋体"/>
          <w:color w:val="auto"/>
          <w:spacing w:val="-8"/>
          <w:sz w:val="24"/>
          <w:szCs w:val="24"/>
          <w:highlight w:val="none"/>
          <w:lang w:val="en-US" w:eastAsia="zh-CN"/>
        </w:rPr>
        <w:t>年度每年分4次进行支付</w:t>
      </w:r>
      <w:r>
        <w:rPr>
          <w:rFonts w:hint="eastAsia" w:ascii="宋体" w:hAnsi="宋体" w:eastAsia="宋体" w:cs="宋体"/>
          <w:color w:val="auto"/>
          <w:spacing w:val="-8"/>
          <w:sz w:val="24"/>
          <w:szCs w:val="24"/>
          <w:highlight w:val="none"/>
          <w:lang w:eastAsia="zh-CN"/>
        </w:rPr>
        <w:t>。</w:t>
      </w:r>
      <w:r>
        <w:rPr>
          <w:rFonts w:hint="eastAsia" w:ascii="宋体" w:hAnsi="宋体" w:cs="宋体"/>
          <w:color w:val="auto"/>
          <w:spacing w:val="-8"/>
          <w:sz w:val="24"/>
          <w:szCs w:val="24"/>
          <w:highlight w:val="none"/>
          <w:lang w:val="en-US" w:eastAsia="zh-CN"/>
        </w:rPr>
        <w:t>每年的第一次付款三月底前，支付年度养护费用的30%，每年的第二次付款六月底前，支付年度养护费用的30%，每年的第三次付款九月底前，支付年度养护费用的30%，每年的第四次付款十二月底前，支付年度的养护费用的10%。</w:t>
      </w:r>
    </w:p>
    <w:p w14:paraId="22001644">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cs="宋体"/>
          <w:color w:val="auto"/>
          <w:spacing w:val="-8"/>
          <w:sz w:val="24"/>
          <w:szCs w:val="24"/>
          <w:highlight w:val="none"/>
          <w:lang w:val="en-US" w:eastAsia="zh-CN"/>
        </w:rPr>
        <w:t>每次支付需</w:t>
      </w:r>
      <w:r>
        <w:rPr>
          <w:rFonts w:hint="eastAsia" w:ascii="宋体" w:hAnsi="宋体" w:eastAsia="宋体" w:cs="宋体"/>
          <w:color w:val="auto"/>
          <w:spacing w:val="-8"/>
          <w:sz w:val="24"/>
          <w:szCs w:val="24"/>
          <w:highlight w:val="none"/>
          <w:lang w:eastAsia="zh-CN"/>
        </w:rPr>
        <w:t>待季度检查核定达到相应绿化养护标准后，乙方向甲方提出书面资金拨付申请，经甲方同意后拨付资金。</w:t>
      </w:r>
    </w:p>
    <w:p w14:paraId="22DC2043">
      <w:pPr>
        <w:pageBreakBefore w:val="0"/>
        <w:tabs>
          <w:tab w:val="left" w:pos="914"/>
        </w:tabs>
        <w:kinsoku/>
        <w:wordWrap/>
        <w:overflowPunct/>
        <w:topLinePunct w:val="0"/>
        <w:bidi w:val="0"/>
        <w:snapToGrid w:val="0"/>
        <w:spacing w:line="360" w:lineRule="auto"/>
        <w:ind w:firstLine="448" w:firstLineChars="200"/>
        <w:textAlignment w:val="auto"/>
        <w:rPr>
          <w:rFonts w:hint="default"/>
          <w:color w:val="auto"/>
          <w:highlight w:val="none"/>
          <w:lang w:val="en-US" w:eastAsia="zh-CN"/>
        </w:rPr>
      </w:pPr>
      <w:r>
        <w:rPr>
          <w:rFonts w:hint="eastAsia" w:ascii="宋体" w:hAnsi="宋体" w:eastAsia="宋体" w:cs="宋体"/>
          <w:color w:val="auto"/>
          <w:spacing w:val="-8"/>
          <w:sz w:val="24"/>
          <w:szCs w:val="24"/>
          <w:highlight w:val="none"/>
          <w:lang w:eastAsia="zh-CN"/>
        </w:rPr>
        <w:t>（2）甲方向乙方拨付资金前，乙方应向甲方提供合法有效的发票和相关验收资料。</w:t>
      </w:r>
    </w:p>
    <w:p w14:paraId="0FF41DB3">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w:t>
      </w:r>
      <w:r>
        <w:rPr>
          <w:rFonts w:hint="eastAsia" w:ascii="宋体" w:hAnsi="宋体" w:cs="宋体"/>
          <w:color w:val="auto"/>
          <w:spacing w:val="-8"/>
          <w:sz w:val="24"/>
          <w:szCs w:val="24"/>
          <w:highlight w:val="none"/>
          <w:lang w:val="en-US" w:eastAsia="zh-CN"/>
        </w:rPr>
        <w:t>年度</w:t>
      </w:r>
      <w:r>
        <w:rPr>
          <w:rFonts w:hint="eastAsia" w:ascii="宋体" w:hAnsi="宋体" w:eastAsia="宋体" w:cs="宋体"/>
          <w:color w:val="auto"/>
          <w:spacing w:val="-8"/>
          <w:sz w:val="24"/>
          <w:szCs w:val="24"/>
          <w:highlight w:val="none"/>
          <w:lang w:eastAsia="zh-CN"/>
        </w:rPr>
        <w:t>养护费用的结算</w:t>
      </w:r>
    </w:p>
    <w:p w14:paraId="1011438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（1）养护期结束，乙方完成本合同约定的所有养护工作，甲乙双方对养护范围内的各类林木及相关配套设施进行检查、清点和确认，办理养护移交手续。</w:t>
      </w:r>
    </w:p>
    <w:p w14:paraId="5979ABD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（2）在乙方不存在任何违约行为的前提下，移交完成后，甲方拨付剩余应付价款。</w:t>
      </w:r>
    </w:p>
    <w:p w14:paraId="0BA5AD8B">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（3）养护费结算款拨付的方式和时间均按照政府相关规定执行。</w:t>
      </w:r>
    </w:p>
    <w:p w14:paraId="48B429A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3、关于乙方养护人员工资的约定</w:t>
      </w:r>
    </w:p>
    <w:p w14:paraId="29FA7155">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向其该项目的养护人员发按时足额放工资，办理相应的社会保险和工伤保险。及时向养护劳务派遣单位拨付劳务费，并督促和检查劳务派遣单位为派驻本项目养护人员办理相应的社会保险和工伤保险。</w:t>
      </w:r>
    </w:p>
    <w:p w14:paraId="7EFB0C12">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（2）乙方都应留有足额资金用于支付本单位的养护人员或劳务派遣单位的劳务费，协调解决养护人员的工资纠纷。</w:t>
      </w:r>
    </w:p>
    <w:p w14:paraId="7A9B2DE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（3）乙方不得以任何理由拖欠本项目养护人员（包括本单位的养护人员和劳务派遣单位的养护人员）的工资，如果因拖欠或未按时支付本项目养护人员工资而引起劳务纠纷，由乙方承担相应的经济和法律责任。</w:t>
      </w:r>
    </w:p>
    <w:p w14:paraId="01A6A560">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当乙方发生拖欠该项目养护人员工资或其劳务派遣单位劳务费时，甲方有权从该合同价款中扣留并直接向其养护人员或劳务派遣单位支付相应金额。同时，甲方可以此解除合同，因上述纠纷给甲方造成经济或名誉损失的，甲方有权向乙方追究赔偿责任。</w:t>
      </w:r>
    </w:p>
    <w:p w14:paraId="7E01B5D7">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4、涉及政府财政性资金支付的约定</w:t>
      </w:r>
    </w:p>
    <w:p w14:paraId="7E368ADA">
      <w:pPr>
        <w:pStyle w:val="17"/>
        <w:pageBreakBefore w:val="0"/>
        <w:kinsoku/>
        <w:wordWrap/>
        <w:overflowPunct/>
        <w:topLinePunct w:val="0"/>
        <w:bidi w:val="0"/>
        <w:snapToGrid w:val="0"/>
        <w:spacing w:line="360" w:lineRule="auto"/>
        <w:ind w:left="220" w:right="211" w:firstLine="429"/>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本项目资金来源于政府财政性资金，甲、乙双方对本合同的付款条件达成共识并做出如</w:t>
      </w:r>
      <w:r>
        <w:rPr>
          <w:rFonts w:hint="eastAsia" w:ascii="宋体" w:hAnsi="宋体" w:eastAsia="宋体" w:cs="宋体"/>
          <w:color w:val="auto"/>
          <w:spacing w:val="-8"/>
          <w:sz w:val="24"/>
          <w:szCs w:val="24"/>
          <w:highlight w:val="none"/>
          <w:lang w:eastAsia="zh-CN"/>
        </w:rPr>
        <w:t>下约定：甲方在收到政府专项拨款后应及时按照合同的约定向乙方支付合同价款，但因政府财</w:t>
      </w:r>
      <w:r>
        <w:rPr>
          <w:rFonts w:hint="eastAsia" w:ascii="宋体" w:hAnsi="宋体" w:eastAsia="宋体" w:cs="宋体"/>
          <w:color w:val="auto"/>
          <w:spacing w:val="-7"/>
          <w:sz w:val="24"/>
          <w:szCs w:val="24"/>
          <w:highlight w:val="none"/>
          <w:lang w:eastAsia="zh-CN"/>
        </w:rPr>
        <w:t>政性资金拨付延迟而导致甲方不能按照合同的约定及时向乙方支付合同价款时，不构成甲方的</w:t>
      </w:r>
      <w:r>
        <w:rPr>
          <w:rFonts w:hint="eastAsia" w:ascii="宋体" w:hAnsi="宋体" w:eastAsia="宋体" w:cs="宋体"/>
          <w:color w:val="auto"/>
          <w:spacing w:val="-5"/>
          <w:sz w:val="24"/>
          <w:szCs w:val="24"/>
          <w:highlight w:val="none"/>
          <w:lang w:eastAsia="zh-CN"/>
        </w:rPr>
        <w:t>违约行为，乙方不得因此追究甲方违约责任。</w:t>
      </w:r>
    </w:p>
    <w:p w14:paraId="061EAED4">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13" w:name="第十一条_违约责任"/>
      <w:bookmarkEnd w:id="813"/>
      <w:bookmarkStart w:id="814" w:name="_Toc61947365"/>
      <w:bookmarkStart w:id="815" w:name="_Toc28273057"/>
      <w:bookmarkStart w:id="816" w:name="_Toc28612888"/>
      <w:r>
        <w:rPr>
          <w:rFonts w:hint="eastAsia" w:ascii="宋体" w:hAnsi="宋体" w:eastAsia="宋体" w:cs="宋体"/>
          <w:b/>
          <w:bCs/>
          <w:color w:val="auto"/>
          <w:spacing w:val="-8"/>
          <w:sz w:val="24"/>
          <w:szCs w:val="24"/>
          <w:highlight w:val="none"/>
          <w:lang w:eastAsia="zh-CN"/>
        </w:rPr>
        <w:t>第十一条 违约责任</w:t>
      </w:r>
      <w:bookmarkEnd w:id="814"/>
      <w:bookmarkEnd w:id="815"/>
      <w:bookmarkEnd w:id="816"/>
    </w:p>
    <w:p w14:paraId="75833F56">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（一）任何一方违反本合同之约定，均应承担由此给对方造成的损失。</w:t>
      </w:r>
    </w:p>
    <w:p w14:paraId="3A662CCA">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（二）合同期满后，甲乙双方应及时办理移交手续。</w:t>
      </w:r>
    </w:p>
    <w:p w14:paraId="274135C1">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1、乙方应保证养护范围内各类植物生长良好、各类设施的完好无损。</w:t>
      </w:r>
    </w:p>
    <w:p w14:paraId="445155B7">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2、因乙方责任造成的损失，由乙方负责赔偿。</w:t>
      </w:r>
    </w:p>
    <w:p w14:paraId="31A14B5A">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3、非乙方原因造成损失的，如需恢复，其费用由甲乙双方协商解决。</w:t>
      </w:r>
    </w:p>
    <w:p w14:paraId="7C10C68D">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lang w:eastAsia="zh-CN"/>
        </w:rPr>
        <w:t>三）乙方违反安全生产规定，造成安全事故，乙方应承担全部的责任并赔偿相应的损失。同时，甲方可单方决定与乙方解除养护合同。</w:t>
      </w:r>
    </w:p>
    <w:p w14:paraId="1A61EF8A">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（四）乙方不按规定使用药剂，造成人员伤亡或环境污染的，乙方应承担全部赔偿责任。甲方根据造成后果的大小，可单方决定是否与乙方终止合同。</w:t>
      </w:r>
    </w:p>
    <w:p w14:paraId="29909C19">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（五）乙方擅自将本养护项目进行违法分包或转包，应承担一切责任。甲方有权因此终止合同。</w:t>
      </w:r>
    </w:p>
    <w:p w14:paraId="78BFD1A3">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lang w:eastAsia="zh-CN"/>
        </w:rPr>
        <w:t>六）乙方不履行合同义务或不按合同约定履行义务，给甲方造成损失的，乙方应按照实际损失额进行赔偿。同时，甲方有权解单方除本合同。</w:t>
      </w:r>
    </w:p>
    <w:p w14:paraId="51B5DB2B">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（七）合同期内，乙方一年内出现 2 次重大责任事故或 3 次一般责任事故的，甲方有权终止合同。</w:t>
      </w:r>
    </w:p>
    <w:p w14:paraId="245F2C5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1、重大责任事故包括：</w:t>
      </w:r>
    </w:p>
    <w:p w14:paraId="4DA67981">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（1）被新闻单位曝光，经查属实，影响重大。</w:t>
      </w:r>
    </w:p>
    <w:p w14:paraId="77B71209">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（2）在重大政治活动或上级部门检查中，出现问题，造成严重后果。</w:t>
      </w:r>
    </w:p>
    <w:p w14:paraId="5F419722">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（3）未经甲方批准擅自停止绿地管护作业，造成严重影响。</w:t>
      </w:r>
    </w:p>
    <w:p w14:paraId="60ED6D6D">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（4）在重大政治活动或紧急任务的情况下，未按要求及时完成指令性工作任务。</w:t>
      </w:r>
    </w:p>
    <w:p w14:paraId="576F1CCE">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2、一般责任事故包括：</w:t>
      </w:r>
    </w:p>
    <w:p w14:paraId="3234756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（1）人大代表、政协委员、上级领导及群众反映业务管理及服务质量有问题，经查属实，造成一定影响。</w:t>
      </w:r>
    </w:p>
    <w:p w14:paraId="5CE795E6">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（2）在各种重大政治活动或上级部门检查中出现问题，造成不良影响。</w:t>
      </w:r>
    </w:p>
    <w:p w14:paraId="6607851B">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（3）未能及时有效完成甲方布置的各项临时任务。</w:t>
      </w:r>
    </w:p>
    <w:p w14:paraId="1CDC62CA">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（4）对检查和群众反映的问题，在规定的期限内未能及时解决，造成一定影响。</w:t>
      </w:r>
    </w:p>
    <w:p w14:paraId="64E25BF4">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（八）乙方营业执照年检不合格，甲方有权解除合同。</w:t>
      </w:r>
    </w:p>
    <w:p w14:paraId="7674F667">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17" w:name="第十二条_不可抗力"/>
      <w:bookmarkEnd w:id="817"/>
      <w:bookmarkStart w:id="818" w:name="_Toc28612889"/>
      <w:bookmarkStart w:id="819" w:name="_Toc61947366"/>
      <w:bookmarkStart w:id="820" w:name="_Toc28273058"/>
      <w:r>
        <w:rPr>
          <w:rFonts w:hint="eastAsia" w:ascii="宋体" w:hAnsi="宋体" w:eastAsia="宋体" w:cs="宋体"/>
          <w:b/>
          <w:bCs/>
          <w:color w:val="auto"/>
          <w:spacing w:val="-8"/>
          <w:sz w:val="24"/>
          <w:szCs w:val="24"/>
          <w:highlight w:val="none"/>
          <w:lang w:eastAsia="zh-CN"/>
        </w:rPr>
        <w:t>第十二条 不可抗力</w:t>
      </w:r>
      <w:bookmarkEnd w:id="818"/>
      <w:bookmarkEnd w:id="819"/>
      <w:bookmarkEnd w:id="820"/>
    </w:p>
    <w:p w14:paraId="505F0B31">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（一）双方关于不可抗力的约定，不可抗力一般包括以下情况：</w:t>
      </w:r>
    </w:p>
    <w:p w14:paraId="719DC83E">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1、国家权威部门发布且被界定性为灾害的瘟疫、地震、洪水、风灾、雪灾等。</w:t>
      </w:r>
    </w:p>
    <w:p w14:paraId="04432028">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2、战争、动乱、暴乱、骚乱。</w:t>
      </w:r>
    </w:p>
    <w:p w14:paraId="4A402EF0">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3、离子辐射或放射性污染。</w:t>
      </w:r>
    </w:p>
    <w:p w14:paraId="6A80C7C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4、以音速或超音速飞行的飞机或其他飞行装置产生的压力波，飞行器坠落。</w:t>
      </w:r>
    </w:p>
    <w:p w14:paraId="0A1A3AF0">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5、因适用法律法规的变更导致本合同无法正常履。</w:t>
      </w:r>
    </w:p>
    <w:p w14:paraId="027F93A9">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（二）因不可抗力导致的费用双方按以下方式承担：</w:t>
      </w:r>
    </w:p>
    <w:p w14:paraId="5C7F2601">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1、林木和设施本身的损害，由甲方承担。</w:t>
      </w:r>
    </w:p>
    <w:p w14:paraId="5AC7E284">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2、甲方、乙方人员的伤亡由其各自负责。</w:t>
      </w:r>
    </w:p>
    <w:p w14:paraId="03B656AE">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3、乙方机械设备损坏及窝工损失，由乙方承担。</w:t>
      </w:r>
    </w:p>
    <w:p w14:paraId="763F901C">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4、现场的清理、修复费用，由甲方承担。</w:t>
      </w:r>
    </w:p>
    <w:p w14:paraId="63566C5D">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（三）合同一方迟延履行合同后发生不可抗力的，不能免除迟延履行方的相应责任。</w:t>
      </w:r>
      <w:bookmarkStart w:id="821" w:name="第十三条_附则"/>
      <w:bookmarkEnd w:id="821"/>
    </w:p>
    <w:p w14:paraId="7DBBA506">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第十三条 争议解决</w:t>
      </w:r>
    </w:p>
    <w:p w14:paraId="61A364FF">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本合同未尽事宜，双方可协商解决，如协商不成，双方均可向甲方住所地的人民法院提起诉讼。</w:t>
      </w:r>
    </w:p>
    <w:p w14:paraId="08B85E57">
      <w:pPr>
        <w:pageBreakBefore w:val="0"/>
        <w:tabs>
          <w:tab w:val="left" w:pos="914"/>
        </w:tabs>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r>
        <w:rPr>
          <w:rFonts w:hint="eastAsia" w:ascii="宋体" w:hAnsi="宋体" w:eastAsia="宋体" w:cs="宋体"/>
          <w:b/>
          <w:bCs/>
          <w:color w:val="auto"/>
          <w:spacing w:val="-8"/>
          <w:sz w:val="24"/>
          <w:szCs w:val="24"/>
          <w:highlight w:val="none"/>
          <w:lang w:eastAsia="zh-CN"/>
        </w:rPr>
        <w:t>第十四条 附则</w:t>
      </w:r>
    </w:p>
    <w:p w14:paraId="041CF202">
      <w:pPr>
        <w:pageBreakBefore w:val="0"/>
        <w:tabs>
          <w:tab w:val="left" w:pos="914"/>
        </w:tabs>
        <w:kinsoku/>
        <w:wordWrap/>
        <w:overflowPunct/>
        <w:topLinePunct w:val="0"/>
        <w:bidi w:val="0"/>
        <w:snapToGrid w:val="0"/>
        <w:spacing w:line="360" w:lineRule="auto"/>
        <w:ind w:firstLine="448" w:firstLineChars="200"/>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本合同正本一式贰份，双方各持壹份。副本一式陆份，双方各持三份。自双方法定代表人或委托代理人签字（或签章）并加盖公章之日起生效。</w:t>
      </w:r>
    </w:p>
    <w:p w14:paraId="31BE53E9">
      <w:pPr>
        <w:pageBreakBefore w:val="0"/>
        <w:numPr>
          <w:ilvl w:val="0"/>
          <w:numId w:val="26"/>
        </w:numPr>
        <w:kinsoku/>
        <w:wordWrap/>
        <w:overflowPunct/>
        <w:topLinePunct w:val="0"/>
        <w:bidi w:val="0"/>
        <w:snapToGrid w:val="0"/>
        <w:spacing w:line="360" w:lineRule="auto"/>
        <w:ind w:firstLine="450" w:firstLineChars="200"/>
        <w:textAlignment w:val="auto"/>
        <w:rPr>
          <w:rFonts w:hint="eastAsia" w:ascii="宋体" w:hAnsi="宋体" w:eastAsia="宋体" w:cs="宋体"/>
          <w:b/>
          <w:bCs/>
          <w:color w:val="auto"/>
          <w:spacing w:val="-8"/>
          <w:sz w:val="24"/>
          <w:szCs w:val="24"/>
          <w:highlight w:val="none"/>
          <w:lang w:eastAsia="zh-CN"/>
        </w:rPr>
      </w:pPr>
      <w:bookmarkStart w:id="822" w:name="第十四条_合同附件"/>
      <w:bookmarkEnd w:id="822"/>
      <w:r>
        <w:rPr>
          <w:rFonts w:hint="eastAsia" w:ascii="宋体" w:hAnsi="宋体" w:eastAsia="宋体" w:cs="宋体"/>
          <w:b/>
          <w:bCs/>
          <w:color w:val="auto"/>
          <w:spacing w:val="-8"/>
          <w:sz w:val="24"/>
          <w:szCs w:val="24"/>
          <w:highlight w:val="none"/>
          <w:lang w:eastAsia="zh-CN"/>
        </w:rPr>
        <w:t>合同附件</w:t>
      </w:r>
    </w:p>
    <w:p w14:paraId="1578E56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附件一：廉政责任书</w:t>
      </w:r>
    </w:p>
    <w:p w14:paraId="7662E1C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附件二：安全生产责任书</w:t>
      </w:r>
    </w:p>
    <w:p w14:paraId="1D4DC8E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附件三：环境保护和文明养护协议</w:t>
      </w:r>
    </w:p>
    <w:p w14:paraId="75AEE99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：接诉即办协议</w:t>
      </w:r>
    </w:p>
    <w:p w14:paraId="17F7BC2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：《北京城市副中心城镇绿地养护管理工作意见》</w:t>
      </w:r>
      <w:bookmarkStart w:id="823" w:name="_Toc61947367"/>
      <w:bookmarkStart w:id="824" w:name="_Toc28612890"/>
      <w:bookmarkStart w:id="825" w:name="_Toc28273059"/>
    </w:p>
    <w:p w14:paraId="458D30F1">
      <w:pPr>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附件六：构建“亲”“清”政商关系告知书</w:t>
      </w:r>
    </w:p>
    <w:p w14:paraId="4E94FD94">
      <w:pPr>
        <w:pageBreakBefore w:val="0"/>
        <w:kinsoku/>
        <w:wordWrap/>
        <w:overflowPunct/>
        <w:topLinePunct w:val="0"/>
        <w:bidi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附件七：标段养护面积和范围附图</w:t>
      </w:r>
    </w:p>
    <w:p w14:paraId="4576BCF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40416FE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bookmarkStart w:id="826" w:name="_Hlk193656021"/>
    </w:p>
    <w:p w14:paraId="02B42A08">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02C551DB">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1C916519">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041083F9">
      <w:pPr>
        <w:pStyle w:val="17"/>
        <w:pageBreakBefore w:val="0"/>
        <w:tabs>
          <w:tab w:val="left" w:pos="3387"/>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bookmarkEnd w:id="826"/>
    <w:p w14:paraId="7AD1A5AE">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pPr>
    </w:p>
    <w:p w14:paraId="653CCA58">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sectPr>
          <w:pgSz w:w="11910" w:h="16840"/>
          <w:pgMar w:top="1480" w:right="1480" w:bottom="1000" w:left="1418" w:header="0" w:footer="808" w:gutter="0"/>
          <w:pgNumType w:fmt="decimal"/>
          <w:cols w:space="720" w:num="1"/>
        </w:sectPr>
      </w:pPr>
    </w:p>
    <w:p w14:paraId="53C2FA3F">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附件一</w:t>
      </w:r>
      <w:bookmarkEnd w:id="823"/>
      <w:bookmarkEnd w:id="824"/>
      <w:bookmarkEnd w:id="825"/>
      <w:r>
        <w:rPr>
          <w:rFonts w:hint="eastAsia" w:ascii="宋体" w:hAnsi="宋体" w:eastAsia="宋体" w:cs="宋体"/>
          <w:color w:val="auto"/>
          <w:sz w:val="24"/>
          <w:szCs w:val="24"/>
          <w:highlight w:val="none"/>
          <w:lang w:eastAsia="zh-CN"/>
        </w:rPr>
        <w:t>：</w:t>
      </w:r>
    </w:p>
    <w:p w14:paraId="7EE0C3F6">
      <w:pPr>
        <w:pageBreakBefore w:val="0"/>
        <w:kinsoku/>
        <w:wordWrap/>
        <w:overflowPunct/>
        <w:topLinePunct w:val="0"/>
        <w:bidi w:val="0"/>
        <w:spacing w:before="1" w:line="360" w:lineRule="auto"/>
        <w:ind w:left="221"/>
        <w:jc w:val="center"/>
        <w:textAlignment w:val="auto"/>
        <w:outlineLvl w:val="9"/>
        <w:rPr>
          <w:rFonts w:hint="eastAsia" w:ascii="宋体" w:hAnsi="宋体" w:eastAsia="宋体" w:cs="宋体"/>
          <w:b/>
          <w:color w:val="auto"/>
          <w:sz w:val="24"/>
          <w:szCs w:val="24"/>
          <w:highlight w:val="none"/>
          <w:lang w:eastAsia="zh-CN"/>
        </w:rPr>
      </w:pPr>
      <w:bookmarkStart w:id="827" w:name="廉政责任书"/>
      <w:bookmarkEnd w:id="827"/>
      <w:r>
        <w:rPr>
          <w:rFonts w:hint="eastAsia" w:ascii="宋体" w:hAnsi="宋体" w:eastAsia="宋体" w:cs="宋体"/>
          <w:b/>
          <w:color w:val="auto"/>
          <w:sz w:val="24"/>
          <w:szCs w:val="24"/>
          <w:highlight w:val="none"/>
          <w:lang w:eastAsia="zh-CN"/>
        </w:rPr>
        <w:t>廉政责任书</w:t>
      </w:r>
    </w:p>
    <w:p w14:paraId="549093DF">
      <w:pPr>
        <w:pStyle w:val="17"/>
        <w:pageBreakBefore w:val="0"/>
        <w:tabs>
          <w:tab w:val="left" w:pos="4491"/>
          <w:tab w:val="clear" w:pos="567"/>
        </w:tabs>
        <w:kinsoku/>
        <w:wordWrap/>
        <w:overflowPunct/>
        <w:topLinePunct w:val="0"/>
        <w:bidi w:val="0"/>
        <w:spacing w:before="141" w:line="360" w:lineRule="auto"/>
        <w:ind w:left="709"/>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发包</w:t>
      </w:r>
      <w:r>
        <w:rPr>
          <w:rFonts w:hint="eastAsia" w:ascii="宋体" w:hAnsi="宋体" w:eastAsia="宋体" w:cs="宋体"/>
          <w:color w:val="auto"/>
          <w:spacing w:val="-3"/>
          <w:sz w:val="24"/>
          <w:szCs w:val="24"/>
          <w:highlight w:val="none"/>
          <w:lang w:eastAsia="zh-CN"/>
        </w:rPr>
        <w:t>单</w:t>
      </w:r>
      <w:r>
        <w:rPr>
          <w:rFonts w:hint="eastAsia" w:ascii="宋体" w:hAnsi="宋体" w:eastAsia="宋体" w:cs="宋体"/>
          <w:color w:val="auto"/>
          <w:sz w:val="24"/>
          <w:szCs w:val="24"/>
          <w:highlight w:val="none"/>
          <w:lang w:eastAsia="zh-CN"/>
        </w:rPr>
        <w:t>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甲</w:t>
      </w:r>
      <w:r>
        <w:rPr>
          <w:rFonts w:hint="eastAsia" w:ascii="宋体" w:hAnsi="宋体" w:eastAsia="宋体" w:cs="宋体"/>
          <w:color w:val="auto"/>
          <w:spacing w:val="-3"/>
          <w:sz w:val="24"/>
          <w:szCs w:val="24"/>
          <w:highlight w:val="none"/>
          <w:lang w:eastAsia="zh-CN"/>
        </w:rPr>
        <w:t>方</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3"/>
          <w:sz w:val="24"/>
          <w:szCs w:val="24"/>
          <w:highlight w:val="none"/>
          <w:u w:val="single"/>
          <w:lang w:eastAsia="zh-CN"/>
        </w:rPr>
        <w:t>北京市绿地养护管理事务中心</w:t>
      </w:r>
    </w:p>
    <w:p w14:paraId="65B7384E">
      <w:pPr>
        <w:pStyle w:val="17"/>
        <w:pageBreakBefore w:val="0"/>
        <w:tabs>
          <w:tab w:val="left" w:pos="4491"/>
          <w:tab w:val="clear" w:pos="567"/>
        </w:tabs>
        <w:kinsoku/>
        <w:wordWrap/>
        <w:overflowPunct/>
        <w:topLinePunct w:val="0"/>
        <w:bidi w:val="0"/>
        <w:spacing w:before="141" w:line="360" w:lineRule="auto"/>
        <w:ind w:left="709"/>
        <w:textAlignment w:val="auto"/>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承包</w:t>
      </w:r>
      <w:r>
        <w:rPr>
          <w:rFonts w:hint="eastAsia" w:ascii="宋体" w:hAnsi="宋体" w:eastAsia="宋体" w:cs="宋体"/>
          <w:color w:val="auto"/>
          <w:spacing w:val="-3"/>
          <w:sz w:val="24"/>
          <w:szCs w:val="24"/>
          <w:highlight w:val="none"/>
          <w:lang w:eastAsia="zh-CN"/>
        </w:rPr>
        <w:t>单</w:t>
      </w:r>
      <w:r>
        <w:rPr>
          <w:rFonts w:hint="eastAsia" w:ascii="宋体" w:hAnsi="宋体" w:eastAsia="宋体" w:cs="宋体"/>
          <w:color w:val="auto"/>
          <w:sz w:val="24"/>
          <w:szCs w:val="24"/>
          <w:highlight w:val="none"/>
          <w:lang w:eastAsia="zh-CN"/>
        </w:rPr>
        <w:t>位</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pacing w:val="-3"/>
          <w:sz w:val="24"/>
          <w:szCs w:val="24"/>
          <w:highlight w:val="none"/>
          <w:lang w:eastAsia="zh-CN"/>
        </w:rPr>
        <w:t>方</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p>
    <w:p w14:paraId="66013EA0">
      <w:pPr>
        <w:pStyle w:val="17"/>
        <w:pageBreakBefore w:val="0"/>
        <w:kinsoku/>
        <w:wordWrap/>
        <w:overflowPunct/>
        <w:topLinePunct w:val="0"/>
        <w:bidi w:val="0"/>
        <w:spacing w:line="360" w:lineRule="auto"/>
        <w:ind w:left="223" w:right="214"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为加强廉政建设，规范项目承发包双方的各项活动，防止发生各种谋取不正当利益的违</w:t>
      </w:r>
      <w:r>
        <w:rPr>
          <w:rFonts w:hint="eastAsia" w:ascii="宋体" w:hAnsi="宋体" w:eastAsia="宋体" w:cs="宋体"/>
          <w:color w:val="auto"/>
          <w:spacing w:val="-8"/>
          <w:sz w:val="24"/>
          <w:szCs w:val="24"/>
          <w:highlight w:val="none"/>
          <w:lang w:eastAsia="zh-CN"/>
        </w:rPr>
        <w:t>法违纪行为，保护国家、集体和当事人的合法权益，根据国家有关法律法规和廉政建设责任制</w:t>
      </w:r>
      <w:r>
        <w:rPr>
          <w:rFonts w:hint="eastAsia" w:ascii="宋体" w:hAnsi="宋体" w:eastAsia="宋体" w:cs="宋体"/>
          <w:color w:val="auto"/>
          <w:spacing w:val="-5"/>
          <w:sz w:val="24"/>
          <w:szCs w:val="24"/>
          <w:highlight w:val="none"/>
          <w:lang w:eastAsia="zh-CN"/>
        </w:rPr>
        <w:t>规定，特订立本廉政责任书。</w:t>
      </w:r>
    </w:p>
    <w:p w14:paraId="49DA7600">
      <w:pPr>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bookmarkStart w:id="828" w:name="_Toc28273060"/>
      <w:bookmarkStart w:id="829" w:name="_Toc61947368"/>
      <w:bookmarkStart w:id="830" w:name="_Toc28612891"/>
      <w:r>
        <w:rPr>
          <w:rFonts w:hint="eastAsia" w:ascii="宋体" w:hAnsi="宋体" w:eastAsia="宋体" w:cs="宋体"/>
          <w:color w:val="auto"/>
          <w:sz w:val="24"/>
          <w:szCs w:val="24"/>
          <w:highlight w:val="none"/>
          <w:lang w:eastAsia="zh-CN"/>
        </w:rPr>
        <w:t>第一条甲乙双方的责任</w:t>
      </w:r>
      <w:bookmarkEnd w:id="828"/>
      <w:bookmarkEnd w:id="829"/>
      <w:bookmarkEnd w:id="830"/>
    </w:p>
    <w:p w14:paraId="38EE57A3">
      <w:pPr>
        <w:pStyle w:val="17"/>
        <w:pageBreakBefore w:val="0"/>
        <w:kinsoku/>
        <w:wordWrap/>
        <w:overflowPunct/>
        <w:topLinePunct w:val="0"/>
        <w:bidi w:val="0"/>
        <w:spacing w:before="151" w:line="360" w:lineRule="auto"/>
        <w:ind w:left="224" w:right="99"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（一）应严格遵守国家关于市场准入、项目招标投标、项目承包和市场活动等有关法律、法规，相关政策，以及廉政建设的各项规定。</w:t>
      </w:r>
    </w:p>
    <w:p w14:paraId="2A20FD8F">
      <w:pPr>
        <w:pStyle w:val="17"/>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（二）严格执行项目承发包合同文件，自觉按合同办事。</w:t>
      </w:r>
    </w:p>
    <w:p w14:paraId="6C002601">
      <w:pPr>
        <w:pStyle w:val="17"/>
        <w:pageBreakBefore w:val="0"/>
        <w:kinsoku/>
        <w:wordWrap/>
        <w:overflowPunct/>
        <w:topLinePunct w:val="0"/>
        <w:bidi w:val="0"/>
        <w:spacing w:before="151" w:line="360" w:lineRule="auto"/>
        <w:ind w:left="224" w:right="216"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（三）业务活动必须坚持公开、公平、公正、诚信、透明的原则（除法律法规另有规定者外</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z w:val="24"/>
          <w:szCs w:val="24"/>
          <w:highlight w:val="none"/>
          <w:lang w:eastAsia="zh-CN"/>
        </w:rPr>
        <w:t>，不得为获取不正当的利益，损害国家、集体和对方利益，不得违反养护管理的规章制度。</w:t>
      </w:r>
    </w:p>
    <w:p w14:paraId="22DA2D0F">
      <w:pPr>
        <w:pStyle w:val="17"/>
        <w:pageBreakBefore w:val="0"/>
        <w:kinsoku/>
        <w:wordWrap/>
        <w:overflowPunct/>
        <w:topLinePunct w:val="0"/>
        <w:bidi w:val="0"/>
        <w:spacing w:before="1" w:line="360" w:lineRule="auto"/>
        <w:ind w:left="224"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（四）发现对方在业务活动中有违规、违纪、违法行为的，应及时提醒对方，情节严重的，应向其上级主管部门或纪检监察、司法等有关机关举报。</w:t>
      </w:r>
    </w:p>
    <w:p w14:paraId="499C8AB3">
      <w:pPr>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bookmarkStart w:id="831" w:name="_Toc28273061"/>
      <w:bookmarkStart w:id="832" w:name="_Toc61947369"/>
      <w:bookmarkStart w:id="833" w:name="_Toc28612892"/>
      <w:r>
        <w:rPr>
          <w:rFonts w:hint="eastAsia" w:ascii="宋体" w:hAnsi="宋体" w:eastAsia="宋体" w:cs="宋体"/>
          <w:color w:val="auto"/>
          <w:sz w:val="24"/>
          <w:szCs w:val="24"/>
          <w:highlight w:val="none"/>
          <w:lang w:eastAsia="zh-CN"/>
        </w:rPr>
        <w:t>第二条甲方的责任</w:t>
      </w:r>
      <w:bookmarkEnd w:id="831"/>
      <w:bookmarkEnd w:id="832"/>
      <w:bookmarkEnd w:id="833"/>
    </w:p>
    <w:p w14:paraId="4C1D2910">
      <w:pPr>
        <w:pStyle w:val="17"/>
        <w:pageBreakBefore w:val="0"/>
        <w:kinsoku/>
        <w:wordWrap/>
        <w:overflowPunct/>
        <w:topLinePunct w:val="0"/>
        <w:bidi w:val="0"/>
        <w:spacing w:before="151" w:line="360" w:lineRule="auto"/>
        <w:ind w:left="224" w:right="108"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甲方的领导和从事该园林绿化养护、管理项目的工作人员，在本项目实施的事前、事中、事后应遵守以下规定：</w:t>
      </w:r>
    </w:p>
    <w:p w14:paraId="39552EDC">
      <w:pPr>
        <w:pStyle w:val="17"/>
        <w:pageBreakBefore w:val="0"/>
        <w:kinsoku/>
        <w:wordWrap/>
        <w:overflowPunct/>
        <w:topLinePunct w:val="0"/>
        <w:bidi w:val="0"/>
        <w:spacing w:line="360" w:lineRule="auto"/>
        <w:ind w:left="224"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（一）不准向乙方和相关单位索要或接受回扣、礼金、有价证券、贵重物品和好处费、感谢费等。</w:t>
      </w:r>
    </w:p>
    <w:p w14:paraId="06E98377">
      <w:pPr>
        <w:pStyle w:val="17"/>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（二）不准在乙方和相关单位报销任何应由甲方或个人支付的费用。</w:t>
      </w:r>
    </w:p>
    <w:p w14:paraId="451297BE">
      <w:pPr>
        <w:pStyle w:val="17"/>
        <w:pageBreakBefore w:val="0"/>
        <w:kinsoku/>
        <w:wordWrap/>
        <w:overflowPunct/>
        <w:topLinePunct w:val="0"/>
        <w:bidi w:val="0"/>
        <w:spacing w:before="151" w:line="360" w:lineRule="auto"/>
        <w:ind w:left="224"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（三）不准要求、暗示或接受乙方和相关单位为个人装修住房、婚丧嫁娶、配偶子女的</w:t>
      </w:r>
      <w:r>
        <w:rPr>
          <w:rFonts w:hint="eastAsia" w:ascii="宋体" w:hAnsi="宋体" w:eastAsia="宋体" w:cs="宋体"/>
          <w:color w:val="auto"/>
          <w:spacing w:val="-3"/>
          <w:sz w:val="24"/>
          <w:szCs w:val="24"/>
          <w:highlight w:val="none"/>
          <w:lang w:eastAsia="zh-CN"/>
        </w:rPr>
        <w:t>工作安排以及出国（</w:t>
      </w:r>
      <w:r>
        <w:rPr>
          <w:rFonts w:hint="eastAsia" w:ascii="宋体" w:hAnsi="宋体" w:eastAsia="宋体" w:cs="宋体"/>
          <w:color w:val="auto"/>
          <w:sz w:val="24"/>
          <w:szCs w:val="24"/>
          <w:highlight w:val="none"/>
          <w:lang w:eastAsia="zh-CN"/>
        </w:rPr>
        <w:t>境</w:t>
      </w:r>
      <w:r>
        <w:rPr>
          <w:rFonts w:hint="eastAsia" w:ascii="宋体" w:hAnsi="宋体" w:eastAsia="宋体" w:cs="宋体"/>
          <w:color w:val="auto"/>
          <w:spacing w:val="-108"/>
          <w:sz w:val="24"/>
          <w:szCs w:val="24"/>
          <w:highlight w:val="none"/>
          <w:lang w:eastAsia="zh-CN"/>
        </w:rPr>
        <w:t>）</w:t>
      </w:r>
      <w:r>
        <w:rPr>
          <w:rFonts w:hint="eastAsia" w:ascii="宋体" w:hAnsi="宋体" w:eastAsia="宋体" w:cs="宋体"/>
          <w:color w:val="auto"/>
          <w:spacing w:val="-3"/>
          <w:sz w:val="24"/>
          <w:szCs w:val="24"/>
          <w:highlight w:val="none"/>
          <w:lang w:eastAsia="zh-CN"/>
        </w:rPr>
        <w:t>、旅游等提供方便。</w:t>
      </w:r>
    </w:p>
    <w:p w14:paraId="6B730CF9">
      <w:pPr>
        <w:pStyle w:val="17"/>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（四）不准参加有可能影响公正执行公务的乙方和相关单位的宴请和健身、娱乐等活动。</w:t>
      </w:r>
    </w:p>
    <w:p w14:paraId="7D4BB667">
      <w:pPr>
        <w:pStyle w:val="17"/>
        <w:pageBreakBefore w:val="0"/>
        <w:kinsoku/>
        <w:wordWrap/>
        <w:overflowPunct/>
        <w:topLinePunct w:val="0"/>
        <w:bidi w:val="0"/>
        <w:spacing w:before="151" w:line="360" w:lineRule="auto"/>
        <w:ind w:left="223" w:right="109"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（五）不准向乙方介绍或为配偶、子女、亲属参与同本园林绿化养护、管理合同有关的 </w:t>
      </w:r>
      <w:r>
        <w:rPr>
          <w:rFonts w:hint="eastAsia" w:ascii="宋体" w:hAnsi="宋体" w:eastAsia="宋体" w:cs="宋体"/>
          <w:color w:val="auto"/>
          <w:spacing w:val="-15"/>
          <w:sz w:val="24"/>
          <w:szCs w:val="24"/>
          <w:highlight w:val="none"/>
          <w:lang w:eastAsia="zh-CN"/>
        </w:rPr>
        <w:t>设备、材料、养护分包、劳务等经济活动。不得以任何理由向乙方和相关单位推荐分包单位等。</w:t>
      </w:r>
    </w:p>
    <w:p w14:paraId="530DADF0">
      <w:pPr>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bookmarkStart w:id="834" w:name="_Toc61947370"/>
      <w:bookmarkStart w:id="835" w:name="_Toc28273062"/>
      <w:bookmarkStart w:id="836" w:name="_Toc28612893"/>
      <w:r>
        <w:rPr>
          <w:rFonts w:hint="eastAsia" w:ascii="宋体" w:hAnsi="宋体" w:eastAsia="宋体" w:cs="宋体"/>
          <w:color w:val="auto"/>
          <w:sz w:val="24"/>
          <w:szCs w:val="24"/>
          <w:highlight w:val="none"/>
          <w:lang w:eastAsia="zh-CN"/>
        </w:rPr>
        <w:t>第三条乙方的责任</w:t>
      </w:r>
      <w:bookmarkEnd w:id="834"/>
      <w:bookmarkEnd w:id="835"/>
      <w:bookmarkEnd w:id="836"/>
    </w:p>
    <w:p w14:paraId="1957D3EB">
      <w:pPr>
        <w:pStyle w:val="17"/>
        <w:pageBreakBefore w:val="0"/>
        <w:kinsoku/>
        <w:wordWrap/>
        <w:overflowPunct/>
        <w:topLinePunct w:val="0"/>
        <w:bidi w:val="0"/>
        <w:spacing w:before="150" w:line="360" w:lineRule="auto"/>
        <w:ind w:left="223" w:right="215"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应与甲方保持正常的业务交往，按照有关法律法规和程序开展业务工作，严格执行园林绿化养护的有关方针、政策，并遵守以下规定：</w:t>
      </w:r>
    </w:p>
    <w:p w14:paraId="40582BDE">
      <w:pPr>
        <w:pStyle w:val="17"/>
        <w:pageBreakBefore w:val="0"/>
        <w:kinsoku/>
        <w:wordWrap/>
        <w:overflowPunct/>
        <w:topLinePunct w:val="0"/>
        <w:bidi w:val="0"/>
        <w:spacing w:before="1"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（一）不准以任何理由向甲方、相关单位及其工作人员索要、接受或赠送礼金、有价证券、贵重物品和回扣、好处费、感谢费等。</w:t>
      </w:r>
    </w:p>
    <w:p w14:paraId="3CF6879F">
      <w:pPr>
        <w:pStyle w:val="17"/>
        <w:pageBreakBefore w:val="0"/>
        <w:kinsoku/>
        <w:wordWrap/>
        <w:overflowPunct/>
        <w:topLinePunct w:val="0"/>
        <w:bidi w:val="0"/>
        <w:spacing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（二）不准以任何理由为甲方和相关单位报销应由对方或个人支付的费用。</w:t>
      </w:r>
    </w:p>
    <w:p w14:paraId="68B522A1">
      <w:pPr>
        <w:pStyle w:val="17"/>
        <w:pageBreakBefore w:val="0"/>
        <w:kinsoku/>
        <w:wordWrap/>
        <w:overflowPunct/>
        <w:topLinePunct w:val="0"/>
        <w:bidi w:val="0"/>
        <w:spacing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（三）不准接受或暗示为甲方、相关单位或个人装修住房、婚丧嫁娶、配偶子女的工作安排以及出国（境）、旅游等提供方便。</w:t>
      </w:r>
    </w:p>
    <w:p w14:paraId="01F3A505">
      <w:pPr>
        <w:pStyle w:val="17"/>
        <w:pageBreakBefore w:val="0"/>
        <w:kinsoku/>
        <w:wordWrap/>
        <w:overflowPunct/>
        <w:topLinePunct w:val="0"/>
        <w:bidi w:val="0"/>
        <w:spacing w:line="360" w:lineRule="auto"/>
        <w:ind w:left="223" w:right="216"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（四）不准以任何理由为甲方、相关单位或个人组织有可能影响公正执行公务的宴请、健身、娱乐等活动。</w:t>
      </w:r>
    </w:p>
    <w:p w14:paraId="79F2FB41">
      <w:pPr>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bookmarkStart w:id="837" w:name="_Toc28612894"/>
      <w:bookmarkStart w:id="838" w:name="_Toc28273063"/>
      <w:bookmarkStart w:id="839" w:name="_Toc61947371"/>
      <w:r>
        <w:rPr>
          <w:rFonts w:hint="eastAsia" w:ascii="宋体" w:hAnsi="宋体" w:eastAsia="宋体" w:cs="宋体"/>
          <w:color w:val="auto"/>
          <w:sz w:val="24"/>
          <w:szCs w:val="24"/>
          <w:highlight w:val="none"/>
          <w:lang w:eastAsia="zh-CN"/>
        </w:rPr>
        <w:t>第四条违约责任</w:t>
      </w:r>
      <w:bookmarkEnd w:id="837"/>
      <w:bookmarkEnd w:id="838"/>
      <w:bookmarkEnd w:id="839"/>
    </w:p>
    <w:p w14:paraId="52839705">
      <w:pPr>
        <w:pStyle w:val="17"/>
        <w:pageBreakBefore w:val="0"/>
        <w:kinsoku/>
        <w:wordWrap/>
        <w:overflowPunct/>
        <w:topLinePunct w:val="0"/>
        <w:bidi w:val="0"/>
        <w:spacing w:before="151" w:line="360" w:lineRule="auto"/>
        <w:ind w:left="223" w:right="212"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（一）甲方工作人员有违反本责任书第一、二条责任行为的，按照管理权限，依据有关</w:t>
      </w:r>
      <w:r>
        <w:rPr>
          <w:rFonts w:hint="eastAsia" w:ascii="宋体" w:hAnsi="宋体" w:eastAsia="宋体" w:cs="宋体"/>
          <w:color w:val="auto"/>
          <w:spacing w:val="-7"/>
          <w:sz w:val="24"/>
          <w:szCs w:val="24"/>
          <w:highlight w:val="none"/>
          <w:lang w:eastAsia="zh-CN"/>
        </w:rPr>
        <w:t>法律法规和规定给予党纪、政纪处分或组织处理；涉嫌犯罪，移交司法机关追究刑事责任；给</w:t>
      </w:r>
      <w:r>
        <w:rPr>
          <w:rFonts w:hint="eastAsia" w:ascii="宋体" w:hAnsi="宋体" w:eastAsia="宋体" w:cs="宋体"/>
          <w:color w:val="auto"/>
          <w:spacing w:val="-5"/>
          <w:sz w:val="24"/>
          <w:szCs w:val="24"/>
          <w:highlight w:val="none"/>
          <w:lang w:eastAsia="zh-CN"/>
        </w:rPr>
        <w:t>乙方单位造成经济损失的，应予以赔偿。</w:t>
      </w:r>
    </w:p>
    <w:p w14:paraId="5767D514">
      <w:pPr>
        <w:pStyle w:val="17"/>
        <w:pageBreakBefore w:val="0"/>
        <w:kinsoku/>
        <w:wordWrap/>
        <w:overflowPunct/>
        <w:topLinePunct w:val="0"/>
        <w:bidi w:val="0"/>
        <w:spacing w:before="1" w:line="360" w:lineRule="auto"/>
        <w:ind w:left="223" w:right="164" w:firstLine="487"/>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（二）乙方工作人员有违反本责任书第一、三条责任行为的，按照管理权限，依据有关法律法规和规定给予党纪、政纪处分或组织处理；涉嫌犯罪的，移交司法机关追究刑事责任； 给甲方单位造成经济损失的，应予以赔偿。</w:t>
      </w:r>
    </w:p>
    <w:p w14:paraId="2077731B">
      <w:pPr>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bookmarkStart w:id="840" w:name="_Toc61947372"/>
      <w:bookmarkStart w:id="841" w:name="_Toc28612895"/>
      <w:bookmarkStart w:id="842" w:name="_Toc28273064"/>
      <w:r>
        <w:rPr>
          <w:rFonts w:hint="eastAsia" w:ascii="宋体" w:hAnsi="宋体" w:eastAsia="宋体" w:cs="宋体"/>
          <w:color w:val="auto"/>
          <w:sz w:val="24"/>
          <w:szCs w:val="24"/>
          <w:highlight w:val="none"/>
          <w:lang w:eastAsia="zh-CN"/>
        </w:rPr>
        <w:t>第五条</w:t>
      </w:r>
      <w:bookmarkEnd w:id="840"/>
      <w:bookmarkEnd w:id="841"/>
      <w:bookmarkEnd w:id="842"/>
    </w:p>
    <w:p w14:paraId="646C8877">
      <w:pPr>
        <w:pStyle w:val="17"/>
        <w:pageBreakBefore w:val="0"/>
        <w:kinsoku/>
        <w:wordWrap/>
        <w:overflowPunct/>
        <w:topLinePunct w:val="0"/>
        <w:bidi w:val="0"/>
        <w:spacing w:before="151" w:line="360" w:lineRule="auto"/>
        <w:ind w:left="224" w:right="215" w:firstLine="487"/>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本责任书作为园林绿化养护、管理合同的附件，与园林绿化养护、管理合同具有同等法律效力。经双方签署后立即生效。</w:t>
      </w:r>
    </w:p>
    <w:p w14:paraId="6E313F6C">
      <w:pPr>
        <w:pageBreakBefore w:val="0"/>
        <w:kinsoku/>
        <w:wordWrap/>
        <w:overflowPunct/>
        <w:topLinePunct w:val="0"/>
        <w:bidi w:val="0"/>
        <w:spacing w:before="1" w:line="360" w:lineRule="auto"/>
        <w:ind w:left="711"/>
        <w:textAlignment w:val="auto"/>
        <w:outlineLvl w:val="9"/>
        <w:rPr>
          <w:rFonts w:hint="eastAsia" w:ascii="宋体" w:hAnsi="宋体" w:eastAsia="宋体" w:cs="宋体"/>
          <w:color w:val="auto"/>
          <w:sz w:val="24"/>
          <w:szCs w:val="24"/>
          <w:highlight w:val="none"/>
          <w:lang w:eastAsia="zh-CN"/>
        </w:rPr>
      </w:pPr>
      <w:bookmarkStart w:id="843" w:name="_Toc61947373"/>
      <w:bookmarkStart w:id="844" w:name="_Toc28273065"/>
      <w:bookmarkStart w:id="845" w:name="_Toc28612896"/>
      <w:r>
        <w:rPr>
          <w:rFonts w:hint="eastAsia" w:ascii="宋体" w:hAnsi="宋体" w:eastAsia="宋体" w:cs="宋体"/>
          <w:color w:val="auto"/>
          <w:sz w:val="24"/>
          <w:szCs w:val="24"/>
          <w:highlight w:val="none"/>
          <w:lang w:eastAsia="zh-CN"/>
        </w:rPr>
        <w:t>第六条</w:t>
      </w:r>
      <w:bookmarkEnd w:id="843"/>
      <w:bookmarkEnd w:id="844"/>
      <w:bookmarkEnd w:id="845"/>
    </w:p>
    <w:p w14:paraId="58FB7789">
      <w:pPr>
        <w:pStyle w:val="17"/>
        <w:pageBreakBefore w:val="0"/>
        <w:kinsoku/>
        <w:wordWrap/>
        <w:overflowPunct/>
        <w:topLinePunct w:val="0"/>
        <w:bidi w:val="0"/>
        <w:spacing w:before="151" w:line="360" w:lineRule="auto"/>
        <w:ind w:left="711" w:right="1148"/>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本责任书的有效期为双方签署之日起至该项目养护期结束，并验收合格时止。</w:t>
      </w:r>
      <w:r>
        <w:rPr>
          <w:rFonts w:hint="eastAsia" w:ascii="宋体" w:hAnsi="宋体" w:eastAsia="宋体" w:cs="宋体"/>
          <w:b/>
          <w:color w:val="auto"/>
          <w:sz w:val="24"/>
          <w:szCs w:val="24"/>
          <w:highlight w:val="none"/>
          <w:lang w:eastAsia="zh-CN"/>
        </w:rPr>
        <w:t>第七条</w:t>
      </w:r>
    </w:p>
    <w:p w14:paraId="5E479DBA">
      <w:pPr>
        <w:pStyle w:val="17"/>
        <w:pageBreakBefore w:val="0"/>
        <w:kinsoku/>
        <w:wordWrap/>
        <w:overflowPunct/>
        <w:topLinePunct w:val="0"/>
        <w:bidi w:val="0"/>
        <w:spacing w:line="360" w:lineRule="auto"/>
        <w:ind w:left="711"/>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本责任书一式陆份，由甲乙双方各执叁份。</w:t>
      </w:r>
    </w:p>
    <w:p w14:paraId="7DC07048">
      <w:pPr>
        <w:pStyle w:val="17"/>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pPr>
    </w:p>
    <w:p w14:paraId="73CBDE94">
      <w:pPr>
        <w:pageBreakBefore w:val="0"/>
        <w:kinsoku/>
        <w:wordWrap/>
        <w:overflowPunct/>
        <w:topLinePunct w:val="0"/>
        <w:bidi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52D77F4">
      <w:pPr>
        <w:pStyle w:val="17"/>
        <w:pageBreakBefore w:val="0"/>
        <w:tabs>
          <w:tab w:val="left" w:pos="3406"/>
          <w:tab w:val="clear" w:pos="567"/>
        </w:tabs>
        <w:kinsoku/>
        <w:wordWrap/>
        <w:overflowPunct/>
        <w:topLinePunct w:val="0"/>
        <w:bidi w:val="0"/>
        <w:spacing w:line="360" w:lineRule="auto"/>
        <w:ind w:firstLine="468" w:firstLineChars="200"/>
        <w:textAlignment w:val="auto"/>
        <w:outlineLvl w:val="9"/>
        <w:rPr>
          <w:rFonts w:hint="eastAsia" w:ascii="宋体" w:hAnsi="宋体" w:eastAsia="宋体" w:cs="宋体"/>
          <w:color w:val="auto"/>
          <w:sz w:val="24"/>
          <w:szCs w:val="24"/>
          <w:highlight w:val="none"/>
          <w:lang w:eastAsia="zh-CN"/>
        </w:rPr>
      </w:pPr>
      <w:bookmarkStart w:id="846" w:name="_Hlk193656051"/>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3D5CD0AE">
      <w:pPr>
        <w:pStyle w:val="17"/>
        <w:pageBreakBefore w:val="0"/>
        <w:tabs>
          <w:tab w:val="left" w:pos="3406"/>
          <w:tab w:val="clear" w:pos="567"/>
        </w:tabs>
        <w:kinsoku/>
        <w:wordWrap/>
        <w:overflowPunct/>
        <w:topLinePunct w:val="0"/>
        <w:bidi w:val="0"/>
        <w:spacing w:line="360" w:lineRule="auto"/>
        <w:ind w:firstLine="476" w:firstLineChars="200"/>
        <w:textAlignment w:val="auto"/>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40A1C1DB">
      <w:pPr>
        <w:pStyle w:val="17"/>
        <w:pageBreakBefore w:val="0"/>
        <w:tabs>
          <w:tab w:val="left" w:pos="3406"/>
          <w:tab w:val="clear" w:pos="567"/>
        </w:tabs>
        <w:kinsoku/>
        <w:wordWrap/>
        <w:overflowPunct/>
        <w:topLinePunct w:val="0"/>
        <w:bidi w:val="0"/>
        <w:spacing w:line="360" w:lineRule="auto"/>
        <w:ind w:firstLine="468"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3BC90C97">
      <w:pPr>
        <w:pStyle w:val="17"/>
        <w:pageBreakBefore w:val="0"/>
        <w:tabs>
          <w:tab w:val="left" w:pos="3387"/>
          <w:tab w:val="clear" w:pos="567"/>
        </w:tabs>
        <w:kinsoku/>
        <w:wordWrap/>
        <w:overflowPunct/>
        <w:topLinePunct w:val="0"/>
        <w:bidi w:val="0"/>
        <w:spacing w:line="360" w:lineRule="auto"/>
        <w:ind w:firstLine="476" w:firstLineChars="200"/>
        <w:textAlignment w:val="auto"/>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bookmarkEnd w:id="846"/>
    <w:p w14:paraId="34A57A37">
      <w:pPr>
        <w:pageBreakBefore w:val="0"/>
        <w:kinsoku/>
        <w:wordWrap/>
        <w:overflowPunct/>
        <w:topLinePunct w:val="0"/>
        <w:bidi w:val="0"/>
        <w:spacing w:before="57" w:line="360" w:lineRule="auto"/>
        <w:ind w:left="0"/>
        <w:textAlignment w:val="auto"/>
        <w:outlineLvl w:val="9"/>
        <w:rPr>
          <w:rFonts w:hint="eastAsia" w:ascii="宋体" w:hAnsi="宋体" w:eastAsia="宋体" w:cs="宋体"/>
          <w:color w:val="auto"/>
          <w:sz w:val="24"/>
          <w:szCs w:val="24"/>
          <w:highlight w:val="none"/>
          <w:lang w:eastAsia="zh-CN"/>
        </w:rPr>
      </w:pPr>
    </w:p>
    <w:p w14:paraId="63FCD429">
      <w:pPr>
        <w:pStyle w:val="17"/>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pPr>
    </w:p>
    <w:p w14:paraId="0880539A">
      <w:pPr>
        <w:pStyle w:val="17"/>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pPr>
    </w:p>
    <w:p w14:paraId="51775DA1">
      <w:pPr>
        <w:pageBreakBefore w:val="0"/>
        <w:kinsoku/>
        <w:wordWrap/>
        <w:overflowPunct/>
        <w:topLinePunct w:val="0"/>
        <w:bidi w:val="0"/>
        <w:spacing w:line="360" w:lineRule="auto"/>
        <w:textAlignment w:val="auto"/>
        <w:outlineLvl w:val="9"/>
        <w:rPr>
          <w:rFonts w:hint="eastAsia" w:ascii="宋体" w:hAnsi="宋体" w:eastAsia="宋体" w:cs="宋体"/>
          <w:color w:val="auto"/>
          <w:sz w:val="24"/>
          <w:szCs w:val="24"/>
          <w:highlight w:val="none"/>
          <w:lang w:eastAsia="zh-CN"/>
        </w:rPr>
        <w:sectPr>
          <w:pgSz w:w="11910" w:h="16840"/>
          <w:pgMar w:top="1480" w:right="1480" w:bottom="1000" w:left="1418" w:header="0" w:footer="808" w:gutter="0"/>
          <w:pgNumType w:fmt="decimal"/>
          <w:cols w:space="720" w:num="1"/>
        </w:sectPr>
      </w:pPr>
    </w:p>
    <w:p w14:paraId="33DB5A81">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附件二：</w:t>
      </w:r>
    </w:p>
    <w:p w14:paraId="71D5D386">
      <w:pPr>
        <w:pageBreakBefore w:val="0"/>
        <w:kinsoku/>
        <w:wordWrap/>
        <w:overflowPunct/>
        <w:topLinePunct w:val="0"/>
        <w:bidi w:val="0"/>
        <w:spacing w:line="360" w:lineRule="auto"/>
        <w:ind w:left="221"/>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安全生产责任书</w:t>
      </w:r>
    </w:p>
    <w:p w14:paraId="2A9FE262">
      <w:pPr>
        <w:pageBreakBefore w:val="0"/>
        <w:kinsoku/>
        <w:wordWrap/>
        <w:overflowPunct/>
        <w:topLinePunct w:val="0"/>
        <w:bidi w:val="0"/>
        <w:adjustRightInd w:val="0"/>
        <w:snapToGrid w:val="0"/>
        <w:spacing w:line="360" w:lineRule="auto"/>
        <w:ind w:right="79"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为确保贯彻落实“安全第一、预防为主、综合治理”的安全生产方针，确保工程全工期无任何安全事故，我单位北京市绿地养护管理事务中心与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签订如下安全责任：</w:t>
      </w:r>
    </w:p>
    <w:p w14:paraId="090A9992">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一、安全生产主体责任</w:t>
      </w:r>
    </w:p>
    <w:p w14:paraId="6EB37EA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制定乙方单位安全生产责任制和消防安全责任制，明确各岗位的责任人员、责任范围和考核标准等内容,建立综合应急预案，配备应急人员。项目经理、技术负责人、班组长、安全员等相关人员职责责任到人。坚决杜绝生产安全事故、机械事故、火灾事故、触电事故、管线事故、食物中毒事故发生。</w:t>
      </w:r>
    </w:p>
    <w:p w14:paraId="6781765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与管理单位或相关管理部门（科室）签订施工安全责任书，规定各自的安全生产管理职责。</w:t>
      </w:r>
    </w:p>
    <w:p w14:paraId="3FFFAD7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 严格履行安全生产主体责任及消防安全主体责任，遵守相关法律法规，确保施工安全。</w:t>
      </w:r>
    </w:p>
    <w:p w14:paraId="6EEA6AC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建立健全现场安全、运输环节安全、土石方工程安全、用电安全、消防安全、各类机械安全等安全作业制度。</w:t>
      </w:r>
    </w:p>
    <w:p w14:paraId="507C0455">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二、劳动防护</w:t>
      </w:r>
    </w:p>
    <w:p w14:paraId="7AD7CCA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全面配发安全劳动防护用品，为作业人员配备统一的作业服装、足量配发合格的劳动防护用品。教育、督促施工作业人员正确佩戴劳动防护用品；建立劳动防护用品发放记录。</w:t>
      </w:r>
    </w:p>
    <w:p w14:paraId="749DA58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做好食品安全、防暑降温等各项劳动保护措施，严防高温作业事故及食品安全事故的发生，确保施工人员人身安全。</w:t>
      </w:r>
    </w:p>
    <w:p w14:paraId="2B59821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第七条 为施工作业人员办理意外伤害保险。</w:t>
      </w:r>
    </w:p>
    <w:p w14:paraId="21B02FFC">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三、安全教育</w:t>
      </w:r>
    </w:p>
    <w:p w14:paraId="21EF7DF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第八条 作业人员入场作业前进行班前安全教育，严格按照操作规程开展施工作业，教育要有具体内容并形成教育记录。严禁违章指挥、违章作业、冒险作业。严格履行特种作业人员持证上岗制度，严禁无证上岗作业。</w:t>
      </w:r>
    </w:p>
    <w:p w14:paraId="25B484B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 新入职工人进行三级（公司、作业项目、班组）安全教育，培训时间不得少于24学时，有记录可查。</w:t>
      </w:r>
    </w:p>
    <w:p w14:paraId="0D1495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第十条 对施工作业管理人员、专职安全员进行安全生产法规和业务知识培训，并考核合格。施工作业现场在新工艺、新技术、新材料、新设备设施投入使用前，对有关操作人员进行专门的安全教育和培训。施工作业岗位人员转岗、离岗6个月以上重新上岗者，进行项目、班组安全教育培训，不得少于4学时。 </w:t>
      </w:r>
    </w:p>
    <w:p w14:paraId="3307B3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第十一条 每周召开安全生产例会。明确会议的主要目的和基本要求；明确会议的参加人员；明确会议的主要议程和内容；明确会议研究、部署安全生产工作，解决安全生产问题的方法和措施；确定会议记录保存期限。</w:t>
      </w:r>
    </w:p>
    <w:p w14:paraId="7508B140">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四、安全检查</w:t>
      </w:r>
    </w:p>
    <w:p w14:paraId="366D86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第十二条 根据作业特点明确安全隐患排查的时间、程序、方法、范围和建档要求；明确排查责任人；明确隐患治理整改过程中的技术防范措施；建立隐患排查台帐；明确隐患整改完成后的报告要求。</w:t>
      </w:r>
    </w:p>
    <w:p w14:paraId="14BCA4E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第十三条 根据施工作业特点制定安全检查制度并认真实施。施工作业现场设立现场安全管理人员和现场安全监护人员。</w:t>
      </w:r>
    </w:p>
    <w:p w14:paraId="03972ADE">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第十四条 安全员应尽职尽责，及时发现并制止违章指挥、违章作业、强令冒险作业、盲目施救等行为。每日开展安全巡查检查，加强施工作业人员日常安全管理，及时消除各类安全隐患，对各施工人员、施工车辆和机械驾驶员做到经常提醒安全施工，预防各类安全生产事故的发生，有记录可查。</w:t>
      </w:r>
    </w:p>
    <w:p w14:paraId="46BF359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第十五条 针对施工作业内容制定切实可行的施工事故应急方案或现场应急处置方案，包括但不限于：消防、交通、触电、中暑、高空坠落等，并进行演练。</w:t>
      </w:r>
    </w:p>
    <w:p w14:paraId="19B3CCF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第十六条 建立值班制度。明确值班的岗位；明确值班岗位（人员）的职责；明确值班岗位（人员）值班工作规程和基本要求。 </w:t>
      </w:r>
    </w:p>
    <w:p w14:paraId="6077699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第十七条 如果发生安全生产事故，确保第一时间组织相关力量科学合理开展救援，同时向管理单位上报安全生产事故情况。</w:t>
      </w:r>
    </w:p>
    <w:p w14:paraId="0B4B20E9">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五、施工安全</w:t>
      </w:r>
    </w:p>
    <w:p w14:paraId="6A8ED5E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第十八条 确保所有工序按建筑法和设计图纸以及监理单位要求施工。对涉及变更等工程施工，必须先行报告管理单位，按审核批准的施工图纸施工并编制好施工组织设计和安全施工方案。施工作业组织设计中须包含安全措施，并经过公司级审批。施工作业前按项目进行书面安全技术交底并履行双方签字手续。 </w:t>
      </w:r>
    </w:p>
    <w:p w14:paraId="68B3CB4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第十九条 对施工作业现场危险源进行辨识并登记造册并做好各项安全防护措施及应急预案，如：高处坠落；物体打击；坍塌；机械伤害；起重伤害；中毒和窒息；触电；有限空间；火灾；粉尘；噪声；地上高压线、地下管线；突发性灾害天气；水源地污染；特种设备等。</w:t>
      </w:r>
    </w:p>
    <w:p w14:paraId="606E5A9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第二十条 确保施工作业现场安全防护措施到位，安全警示标识张贴齐全，严格履行电工作业、动火作业等施工作业的审批手续，做好施工作业现场各项安全监护措施，相关作业人员必须取得相应的操作证件，严禁无证操作。施工作业现场至少配备2名以上的安全管理人员，负责施工作业现场安全监护、安全管理及应急处置。</w:t>
      </w:r>
    </w:p>
    <w:p w14:paraId="69BCE41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第二十一条 合理安排好施工作业棚，材料堆放的位置。工地材料，设备的堆放，整齐稳固，拆除的模板，边角废料等及时消除。严禁出现“三合一”、“多合一”场所。施工作业现场内危险地段的坑、井、沟、陡坡、线路等设置“危险”或“禁止通行”的标志，夜间设红灯信号。</w:t>
      </w:r>
    </w:p>
    <w:p w14:paraId="087B1C5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第二十二条 施工作业现场道路保持畅通，对施工作业现场可能影响往来行人安全地段设立明显的安全警示标记。夜间施工有足够照明，用电线路架设符合电气规程要求。</w:t>
      </w:r>
    </w:p>
    <w:p w14:paraId="257B5A1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第二十三条 施工作业现场饮食卫生符合有关法律法规的规定。</w:t>
      </w:r>
    </w:p>
    <w:p w14:paraId="187505E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第二十四条 施工作业现场电气设备的设置、安装、防护、使用、维修符合规范要求。长期固定的配电设备设施管理按相关规定执行。</w:t>
      </w:r>
    </w:p>
    <w:p w14:paraId="73E3A5E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第二十五条 施工作业现场按规定配置相关消防设施，并进行定期检查和维护保养；消防设施和器材设在明显、便于取用的地点；手提式灭火器放置在灭火器箱内或挂在托架上，其顶部离地面高度不应大于1.5米；定期组织消防演练并留存资料。 </w:t>
      </w:r>
    </w:p>
    <w:p w14:paraId="34A9A10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第二十六条 进行有限空间作业制定安全管理制度和操作规程，履行作业审批手续，做好施工作业现场安全监护。作业场所有限空间包括但不限于：深度超过1.2米的各种井体；挖掘深度超过1.5米的沟槽；大树土球入坑未回填前狭小空间；温室、地下泵房、沼气池、蓄水池等。</w:t>
      </w:r>
    </w:p>
    <w:p w14:paraId="2CFE734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第二十七条 施工现场建立“五牌二图”文明施工。包括：工程概况牌、安全生产牌、消防保卫牌、事故统计牌、文明施工作业牌、组织机构图、施工作业总平面图。</w:t>
      </w:r>
    </w:p>
    <w:p w14:paraId="636894A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第二十八条 施工作业现场办公区、生活区等场所的设置、使用的材料、人均使用面积、逃生通道等符合相关法律法规标准，包括但不限于：</w:t>
      </w:r>
      <w:r>
        <w:rPr>
          <w:rFonts w:hint="eastAsia" w:ascii="宋体" w:hAnsi="宋体" w:eastAsia="宋体" w:cs="宋体"/>
          <w:color w:val="auto"/>
          <w:sz w:val="24"/>
          <w:szCs w:val="24"/>
          <w:highlight w:val="none"/>
          <w:shd w:val="clear" w:color="auto" w:fill="FFFFFF"/>
          <w:lang w:eastAsia="zh-CN"/>
        </w:rPr>
        <w:t>《中华人民共和国建筑法》、</w:t>
      </w:r>
      <w:r>
        <w:rPr>
          <w:rFonts w:hint="eastAsia" w:ascii="宋体" w:hAnsi="宋体" w:eastAsia="宋体" w:cs="宋体"/>
          <w:bCs/>
          <w:color w:val="auto"/>
          <w:sz w:val="24"/>
          <w:szCs w:val="24"/>
          <w:highlight w:val="none"/>
          <w:lang w:eastAsia="zh-CN"/>
        </w:rPr>
        <w:t>《中华人民共和国消防法》、</w:t>
      </w:r>
      <w:r>
        <w:rPr>
          <w:rFonts w:hint="eastAsia" w:ascii="宋体" w:hAnsi="宋体" w:eastAsia="宋体" w:cs="宋体"/>
          <w:color w:val="auto"/>
          <w:sz w:val="24"/>
          <w:szCs w:val="24"/>
          <w:highlight w:val="none"/>
          <w:shd w:val="clear" w:color="auto" w:fill="FFFFFF"/>
          <w:lang w:eastAsia="zh-CN"/>
        </w:rPr>
        <w:t>《中华人民共和国</w:t>
      </w:r>
      <w:r>
        <w:rPr>
          <w:rFonts w:hint="eastAsia" w:ascii="宋体" w:hAnsi="宋体" w:eastAsia="宋体" w:cs="宋体"/>
          <w:color w:val="auto"/>
          <w:sz w:val="24"/>
          <w:szCs w:val="24"/>
          <w:highlight w:val="none"/>
          <w:lang w:eastAsia="zh-CN"/>
        </w:rPr>
        <w:t>安全生产</w:t>
      </w:r>
      <w:r>
        <w:rPr>
          <w:rFonts w:hint="eastAsia" w:ascii="宋体" w:hAnsi="宋体" w:eastAsia="宋体" w:cs="宋体"/>
          <w:color w:val="auto"/>
          <w:sz w:val="24"/>
          <w:szCs w:val="24"/>
          <w:highlight w:val="none"/>
          <w:shd w:val="clear" w:color="auto" w:fill="FFFFFF"/>
          <w:lang w:eastAsia="zh-CN"/>
        </w:rPr>
        <w:t>法》、《建设工程施工作业现场消防安全技术规范》、《建筑施工安全检查标准》、《建筑施工作业现场环境与卫生标准》、《施工作业现场临时建筑物技术规范》、《</w:t>
      </w:r>
      <w:r>
        <w:rPr>
          <w:rFonts w:hint="eastAsia" w:ascii="宋体" w:hAnsi="宋体" w:eastAsia="宋体" w:cs="宋体"/>
          <w:color w:val="auto"/>
          <w:sz w:val="24"/>
          <w:szCs w:val="24"/>
          <w:highlight w:val="none"/>
          <w:lang w:eastAsia="zh-CN"/>
        </w:rPr>
        <w:t>建设工程安全生产管理条例</w:t>
      </w:r>
      <w:r>
        <w:rPr>
          <w:rFonts w:hint="eastAsia" w:ascii="宋体" w:hAnsi="宋体" w:eastAsia="宋体" w:cs="宋体"/>
          <w:color w:val="auto"/>
          <w:sz w:val="24"/>
          <w:szCs w:val="24"/>
          <w:highlight w:val="none"/>
          <w:shd w:val="clear" w:color="auto" w:fill="FFFFFF"/>
          <w:lang w:eastAsia="zh-CN"/>
        </w:rPr>
        <w:t>》等</w:t>
      </w:r>
      <w:r>
        <w:rPr>
          <w:rFonts w:hint="eastAsia" w:ascii="宋体" w:hAnsi="宋体" w:eastAsia="宋体" w:cs="宋体"/>
          <w:color w:val="auto"/>
          <w:sz w:val="24"/>
          <w:szCs w:val="24"/>
          <w:highlight w:val="none"/>
          <w:lang w:eastAsia="zh-CN"/>
        </w:rPr>
        <w:t>，管理责任必须落实到人。</w:t>
      </w:r>
    </w:p>
    <w:p w14:paraId="11CD74D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第二十九条 施工作业现场严格遵守下列管理规定：</w:t>
      </w:r>
    </w:p>
    <w:p w14:paraId="389E459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（一）市区主要路段的工地设置高度不小于 2.5m 的封闭围挡；一般路段的工地设置高度不小于 1.8m 的封闭围挡；</w:t>
      </w:r>
    </w:p>
    <w:p w14:paraId="7E921CD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（二）围挡应坚固、稳定、整洁、美观。施工作业现场进出口设置大门，并设置门卫值班室；建立门卫职守管理制度，并配备门卫职守人员；施工人员进入施工作业现场佩戴工作卡；</w:t>
      </w:r>
    </w:p>
    <w:p w14:paraId="48187CB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（三）施工作业现场出入口标有企业名称或标识，并设置车辆冲洗设施。施工作业现场的主要道路及材料加工区地面进行硬化处理；</w:t>
      </w:r>
    </w:p>
    <w:p w14:paraId="3961641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（四）施工作业现场道路畅通，路面应平整坚实；</w:t>
      </w:r>
    </w:p>
    <w:p w14:paraId="2A6025D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（五）施工作业现场有防止扬尘措施；</w:t>
      </w:r>
    </w:p>
    <w:p w14:paraId="341902A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（六）施工作业现场设置排水设施，且排水通畅无积水；</w:t>
      </w:r>
    </w:p>
    <w:p w14:paraId="192DAB1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（七）施工作业现场有防止泥浆、污水、废水污染环境的措施；</w:t>
      </w:r>
    </w:p>
    <w:p w14:paraId="66C87EC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（八）施工作业现场设置专门的吸烟处，严禁随意吸烟。建筑材料、构件、料具按总平面布局进行码放；</w:t>
      </w:r>
    </w:p>
    <w:p w14:paraId="751BDA7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（九）材料应码放整齐，并应标明名称、规格等；施工作业现场材料码放采取防火、防锈蚀、防雨等措施；</w:t>
      </w:r>
    </w:p>
    <w:p w14:paraId="1C11500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（十）建筑物内施工垃圾的清运，采用器具或管道运输，严禁随意抛掷；</w:t>
      </w:r>
    </w:p>
    <w:p w14:paraId="3C5ED1A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（十一）易燃易爆物品分类储藏在专用库房内，并制定防火措施。施工作业、材料存放区与办公、生活区应划分清晰，并采取相应的隔离措施；</w:t>
      </w:r>
    </w:p>
    <w:p w14:paraId="4E6D7AB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（十二）在施工程、伙房、库房不得兼做宿舍；</w:t>
      </w:r>
    </w:p>
    <w:p w14:paraId="6412332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（十三）宿舍、办公用房的防火等级符合规范要求；</w:t>
      </w:r>
    </w:p>
    <w:p w14:paraId="09BD101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（十四）宿舍设置可开启式窗户，床铺不超过 2 层，通道宽度不小于 0.9m；宿舍内住宿人员人均面积不小于 2.5 ㎡，且不超过 16 人；冬季宿舍内有采暖和防一氧化碳中毒措施,严禁是用煤采暖、电热毯，严禁使用“小太阳”等不合格电暖设备。夏季宿舍内有防暑降温和防蚊蝇措施；生活用品摆放整齐，环境卫生良好。</w:t>
      </w:r>
    </w:p>
    <w:p w14:paraId="33AA933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（十五）施工作业现场建立消防安全管理制度、制定消防措施；施工作业现场临时用房和作业场所的防火设计符合规范要求；</w:t>
      </w:r>
    </w:p>
    <w:p w14:paraId="20FF7FA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（十六）施工作业现场设置消防通道、消防水源，并应符合规范要求；</w:t>
      </w:r>
    </w:p>
    <w:p w14:paraId="08E897D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（十七）施工作业现场灭火器材保证可靠有效，布局配置符合规范要求；</w:t>
      </w:r>
    </w:p>
    <w:p w14:paraId="74452B0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（十八）明火作业履行动火审批手续，配备动火监护人员。食堂与厕所、垃圾站、有毒有害场所等污染源的距离符合规范要求；</w:t>
      </w:r>
    </w:p>
    <w:p w14:paraId="416966B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（十九）食堂有卫生许可证，炊事人员持身体健康证上岗；食堂使用的燃气罐单独设置存放间，存放间通风良好，并严禁存放其它物品；</w:t>
      </w:r>
    </w:p>
    <w:p w14:paraId="2F65AB0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（二十）食堂的卫生环境良好，且配备必要的排风、冷藏、消毒、防鼠、防蚊蝇等设施；厕所内的设施数量和布局符合规范要求；</w:t>
      </w:r>
    </w:p>
    <w:p w14:paraId="606E9CF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（二十一）厕所符合卫生要求；保证现场人员卫生饮水；生活垃圾装入密闭式容器内，及时清理。</w:t>
      </w:r>
    </w:p>
    <w:p w14:paraId="4BB4545E">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六、机械作业</w:t>
      </w:r>
    </w:p>
    <w:p w14:paraId="7AFE14C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第三十条 机械作业时，有人现场统一指挥作业，设置现场安全员监护人员。</w:t>
      </w:r>
    </w:p>
    <w:p w14:paraId="4D21677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第三十一条 各种机械的操作使用，按机械本身的操作规程执行。不得破坏施工沿线所有桥涵、道路、原有的下水管道以及所有电线电缆等设施。</w:t>
      </w:r>
    </w:p>
    <w:p w14:paraId="712559F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第三十二条 驾驶人员作业前对机械、安全制动装置详细检查，确保安全可靠，所有机械驾驶人员持证上岗。</w:t>
      </w:r>
    </w:p>
    <w:p w14:paraId="364023A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第三十三条 自有土方施工作业机械有相关管理制度；租赁土方施工作业机械从正规公司租赁，签订安全管理协议；操作人员持证上岗；按操作规程作业。</w:t>
      </w:r>
    </w:p>
    <w:p w14:paraId="4D4F4F0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第三十四条 电动工具明确设施和设备管理部门人员的职责；制定设备、设施的运行、维护、保养措施；制定设备定期检验制度；明确设备的淘汰年限。</w:t>
      </w:r>
    </w:p>
    <w:p w14:paraId="47C5698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第三十五条 电气焊、电工、吊车、铲车、挖掘机等特种作业人员持证上岗，履行作业审批手续,设置现场安全员、做好施工作业现场安全防火措施和安全监护，严禁违章指挥、违章作业、强令冒险作业。</w:t>
      </w:r>
    </w:p>
    <w:p w14:paraId="11E9FC9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第三十六条 电工作业持《北京市特种作业操作证》（外埠来京从事电工作业的人员，必须持原所在地地（市）级以上劳动保护安全监察机关核发的特种作业证明，并申请换领《北京市特种作业临时操作证》方准上岗独立操作。</w:t>
      </w:r>
    </w:p>
    <w:p w14:paraId="52CF33E2">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七、附则</w:t>
      </w:r>
    </w:p>
    <w:p w14:paraId="04CBB5F4">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第三十七条 乙方单位确保认真组织好施工期间的安全预防工作，确保施工期内无任何安全事故，因乙方单位未落实安全生产主体责任及消防安全主体责任或因违反相关法律法规而造成事故的，由乙方单位负全责。</w:t>
      </w:r>
    </w:p>
    <w:p w14:paraId="53E495EB">
      <w:pPr>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auto"/>
          <w:sz w:val="24"/>
          <w:szCs w:val="24"/>
          <w:highlight w:val="none"/>
          <w:lang w:eastAsia="zh-CN"/>
        </w:rPr>
        <w:t>第三十八条 上述所有条款本单</w:t>
      </w:r>
      <w:r>
        <w:rPr>
          <w:rFonts w:hint="eastAsia" w:ascii="宋体" w:hAnsi="宋体" w:eastAsia="宋体" w:cs="宋体"/>
          <w:b/>
          <w:bCs/>
          <w:color w:val="auto"/>
          <w:sz w:val="24"/>
          <w:szCs w:val="24"/>
          <w:highlight w:val="none"/>
          <w:lang w:eastAsia="zh-CN"/>
        </w:rPr>
        <w:t>已详细阅读并同意条款内容，确保严格执行条款内容。</w:t>
      </w:r>
    </w:p>
    <w:p w14:paraId="143862A6">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第三十九条 本责任书由北京市绿地养护管理事务中心负责全权解释。</w:t>
      </w:r>
    </w:p>
    <w:p w14:paraId="098603E3">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第四十条 责任书自签订之日起生效。</w:t>
      </w:r>
    </w:p>
    <w:p w14:paraId="36682A6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第四十一条 本责任书一式陆份，甲乙双方各执叁份。</w:t>
      </w:r>
    </w:p>
    <w:p w14:paraId="7BA7B3C4">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6D5DA4B3">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p>
    <w:p w14:paraId="22E809A0">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4935F6D1">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63437EF4">
      <w:pPr>
        <w:pStyle w:val="17"/>
        <w:pageBreakBefore w:val="0"/>
        <w:tabs>
          <w:tab w:val="left" w:pos="3387"/>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p w14:paraId="619AEB13">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lang w:eastAsia="zh-CN"/>
        </w:rPr>
        <w:sectPr>
          <w:pgSz w:w="11910" w:h="16840"/>
          <w:pgMar w:top="1400" w:right="1480" w:bottom="1000" w:left="1420" w:header="0" w:footer="808" w:gutter="0"/>
          <w:pgNumType w:fmt="decimal"/>
          <w:cols w:space="720" w:num="1"/>
        </w:sectPr>
      </w:pPr>
    </w:p>
    <w:p w14:paraId="2A02028A">
      <w:pPr>
        <w:pStyle w:val="4"/>
        <w:pageBreakBefore w:val="0"/>
        <w:kinsoku/>
        <w:wordWrap/>
        <w:overflowPunct/>
        <w:topLinePunct w:val="0"/>
        <w:bidi w:val="0"/>
        <w:spacing w:line="360" w:lineRule="auto"/>
        <w:ind w:left="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附件三 ：</w:t>
      </w:r>
    </w:p>
    <w:p w14:paraId="64D9982E">
      <w:pPr>
        <w:pageBreakBefore w:val="0"/>
        <w:kinsoku/>
        <w:wordWrap/>
        <w:overflowPunct/>
        <w:topLinePunct w:val="0"/>
        <w:bidi w:val="0"/>
        <w:spacing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环境保护和文明养护协议</w:t>
      </w:r>
    </w:p>
    <w:p w14:paraId="1C70A544">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lang w:eastAsia="zh-CN"/>
        </w:rPr>
        <w:t>北京市绿地养护管理事务中心</w:t>
      </w:r>
    </w:p>
    <w:p w14:paraId="079AD3BA">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eastAsia="zh-CN"/>
        </w:rPr>
        <w:t xml:space="preserve">                         </w:t>
      </w:r>
    </w:p>
    <w:p w14:paraId="1E342042">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根据《中华人民共和国民法典》以及国家有关的法律、法规，本着双方平等自愿、协商一致的原则，达成以下协议，以资共同信守。</w:t>
      </w:r>
    </w:p>
    <w:p w14:paraId="7196D8D3">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项目概况</w:t>
      </w:r>
    </w:p>
    <w:p w14:paraId="1116D92F">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合同项目名称：</w:t>
      </w:r>
    </w:p>
    <w:p w14:paraId="3722FD9C">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合同项目地址：北京市通州区行政办公区</w:t>
      </w:r>
    </w:p>
    <w:p w14:paraId="13C85D5D">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环境保护和文明养护目标：市级环境保护文明作业标准</w:t>
      </w:r>
    </w:p>
    <w:p w14:paraId="75A3754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乙方公司法人：</w:t>
      </w:r>
    </w:p>
    <w:p w14:paraId="021D3D6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乙方环境保护和文明养护负责人：</w:t>
      </w:r>
    </w:p>
    <w:p w14:paraId="62C42AC2">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双方权责</w:t>
      </w:r>
    </w:p>
    <w:p w14:paraId="6E732001">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1、甲方定期对乙方环境保护和文明养护情况进行监督检查，督促乙方落实责任与义务。</w:t>
      </w:r>
    </w:p>
    <w:p w14:paraId="02E7A006">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应根据甲方要求及养护情况，建立健全养护环境保护和文明养护工作制度及环保应急预案，明确专职和兼职环保管理人员并报甲方备案；乙方养护前应对所属养护服务人员进行环境保护和文明养护宣传和培训。</w:t>
      </w:r>
    </w:p>
    <w:p w14:paraId="4874ECBD">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 严格执行环境保护</w:t>
      </w:r>
    </w:p>
    <w:p w14:paraId="1834C3B5">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1、乙方应遵守国家有关环境保护的政策、法规。养护范围内的垃圾应按规定及时清理、外运。</w:t>
      </w:r>
    </w:p>
    <w:p w14:paraId="469AC6F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2、乙方应按合同约定进行垃圾清理。清理垃圾不得影响绿化景观和污染周边环境。</w:t>
      </w:r>
    </w:p>
    <w:p w14:paraId="145F4D36">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3、乙方应按合同规定清理垃圾，清理出的垃圾应堆放于甲方指定位置。</w:t>
      </w:r>
    </w:p>
    <w:p w14:paraId="334B6B38">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严格执行《北京市园林绿化局空气重污染应急预案》</w:t>
      </w:r>
    </w:p>
    <w:p w14:paraId="15C2D7A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根据《北京市园林绿化局空气重污染应急预案》要求，将空气重污染预警由轻到重依次分为：黄色预警(三级) ，橙色预警(二级) ,红色预警(一级)，乙方应当分级采取相应的应急措施。</w:t>
      </w:r>
    </w:p>
    <w:p w14:paraId="189A58CA">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1、黄色预警(三级)</w:t>
      </w:r>
    </w:p>
    <w:p w14:paraId="0DD72D3E">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(1)乙方加强对空气重污染应急、健康防护等方面科普知识的宣传。</w:t>
      </w:r>
    </w:p>
    <w:p w14:paraId="50272101">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(2)加强养护范围内裸露地面等实施苫盖等扬尘控制措施力度。</w:t>
      </w:r>
    </w:p>
    <w:p w14:paraId="16EA3A3F">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(3)养护范围内拒绝露天烧烤和用火，严禁焚烧枯枝落叶等废弃物和野外用火。</w:t>
      </w:r>
    </w:p>
    <w:p w14:paraId="07852E5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2、橙色预警(二级)</w:t>
      </w:r>
    </w:p>
    <w:p w14:paraId="5B344B7B">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(1)加强养护范围内裸露地面等实施苫盖等扬尘控制措施基础上，增加洒水降尘措施。</w:t>
      </w:r>
    </w:p>
    <w:p w14:paraId="01D05EDA">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(2)养护范围内拒绝露天烧烤和用火，严禁焚烧枯枝落叶等废弃物和野外用火,禁止燃放烟花炮竹。</w:t>
      </w:r>
    </w:p>
    <w:p w14:paraId="675E3C38">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(3)进行洒水降尘作业。</w:t>
      </w:r>
    </w:p>
    <w:p w14:paraId="389AA85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3、红色预警(一级)</w:t>
      </w:r>
    </w:p>
    <w:p w14:paraId="764A1273">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(1)乙方室外执勤、作业等人员可采取佩戴口罩等防护措施。</w:t>
      </w:r>
    </w:p>
    <w:p w14:paraId="5BF2CA0D">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(2)增加养护范围内裸露地面洒水降尘频次和强度。</w:t>
      </w:r>
    </w:p>
    <w:p w14:paraId="5F155A2D">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(3)养护范围内严禁并配合执法部门严厉查处焚烧枯枝落叶等废弃物、露天烧烤、用火和严防烟花炮竹行为。</w:t>
      </w:r>
    </w:p>
    <w:p w14:paraId="017F57FF">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(4)进行洒水降尘作业。</w:t>
      </w:r>
    </w:p>
    <w:p w14:paraId="0362D85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(5)加大对养护范围内的巡查，严格落实养护范围内施工现场停工管理。</w:t>
      </w:r>
    </w:p>
    <w:p w14:paraId="3BBA1104">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违约责任</w:t>
      </w:r>
    </w:p>
    <w:p w14:paraId="26FD5EA7">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1、甲、乙两方均需要严格遵守国家、北京市相关环保法律法规及本协议约定事项，积极为环境保护和文明养护创造条件。</w:t>
      </w:r>
    </w:p>
    <w:p w14:paraId="306E73D0">
      <w:pPr>
        <w:pageBreakBefore w:val="0"/>
        <w:kinsoku/>
        <w:wordWrap/>
        <w:overflowPunct/>
        <w:topLinePunct w:val="0"/>
        <w:bidi w:val="0"/>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若乙方未严格遵守本协议约定或者违反国家、北京市相关环保规定，造成乙方自身及任何第三方人身伤亡和财产损失或被国家相关部门处罚的，乙方应当承担全部赔偿责任及不利后果，给甲方造成损失的，乙方还应当赔偿因此给甲方造成的全部经济损失，甲方有权直接在支付乙方养护合同服务费时将全部损失予以扣除。</w:t>
      </w:r>
    </w:p>
    <w:p w14:paraId="4C49817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本协议作为养护合同的附件，与主合同具有同等法律效力。</w:t>
      </w:r>
    </w:p>
    <w:p w14:paraId="4BCF80C6">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第七条  本协议经甲乙双方法定代表人或授权代表签字并分别加盖各自单位公章之日起生效，本协议责任期限为：</w:t>
      </w:r>
      <w:r>
        <w:rPr>
          <w:rFonts w:hint="eastAsia" w:ascii="宋体" w:hAnsi="宋体" w:eastAsia="宋体" w:cs="宋体"/>
          <w:color w:val="auto"/>
          <w:sz w:val="24"/>
          <w:szCs w:val="24"/>
          <w:highlight w:val="none"/>
          <w:u w:val="single"/>
          <w:lang w:eastAsia="zh-CN"/>
        </w:rPr>
        <w:t xml:space="preserve">                 。</w:t>
      </w:r>
    </w:p>
    <w:p w14:paraId="0EF6C60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第八条  本协议书作为养护合同的附件，与主合同具有同等法律效力。</w:t>
      </w:r>
    </w:p>
    <w:p w14:paraId="2C51746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34049B1D">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2B8F73A5">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72AA3396">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甲方（</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乙方</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
          <w:sz w:val="24"/>
          <w:szCs w:val="24"/>
          <w:highlight w:val="none"/>
          <w:lang w:eastAsia="zh-CN"/>
        </w:rPr>
        <w:t>公</w:t>
      </w:r>
      <w:r>
        <w:rPr>
          <w:rFonts w:hint="eastAsia" w:ascii="宋体" w:hAnsi="宋体" w:eastAsia="宋体" w:cs="宋体"/>
          <w:color w:val="auto"/>
          <w:spacing w:val="-3"/>
          <w:sz w:val="24"/>
          <w:szCs w:val="24"/>
          <w:highlight w:val="none"/>
          <w:lang w:eastAsia="zh-CN"/>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2FEF9AFC">
      <w:pPr>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br w:type="page"/>
      </w:r>
    </w:p>
    <w:p w14:paraId="5DE8CEE4">
      <w:pPr>
        <w:pStyle w:val="17"/>
        <w:pageBreakBefore w:val="0"/>
        <w:tabs>
          <w:tab w:val="left" w:pos="3406"/>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00712695">
      <w:pPr>
        <w:pStyle w:val="17"/>
        <w:pageBreakBefore w:val="0"/>
        <w:tabs>
          <w:tab w:val="left" w:pos="3406"/>
          <w:tab w:val="clear" w:pos="567"/>
        </w:tabs>
        <w:kinsoku/>
        <w:wordWrap/>
        <w:overflowPunct/>
        <w:topLinePunct w:val="0"/>
        <w:bidi w:val="0"/>
        <w:spacing w:line="360" w:lineRule="auto"/>
        <w:ind w:firstLine="468"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01CAD752">
      <w:pPr>
        <w:pStyle w:val="17"/>
        <w:pageBreakBefore w:val="0"/>
        <w:tabs>
          <w:tab w:val="left" w:pos="3387"/>
          <w:tab w:val="clear" w:pos="567"/>
        </w:tabs>
        <w:kinsoku/>
        <w:wordWrap/>
        <w:overflowPunct/>
        <w:topLinePunct w:val="0"/>
        <w:bidi w:val="0"/>
        <w:spacing w:line="360" w:lineRule="auto"/>
        <w:ind w:firstLine="476" w:firstLineChars="200"/>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              签订时间：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月</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日</w:t>
      </w:r>
    </w:p>
    <w:p w14:paraId="5DEA88E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sectPr>
          <w:pgSz w:w="11910" w:h="16840"/>
          <w:pgMar w:top="1400" w:right="1480" w:bottom="1000" w:left="1420" w:header="0" w:footer="808" w:gutter="0"/>
          <w:pgNumType w:fmt="decimal"/>
          <w:cols w:space="720" w:num="1"/>
        </w:sectPr>
      </w:pPr>
    </w:p>
    <w:p w14:paraId="364EB975">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eastAsia="zh-CN"/>
        </w:rPr>
      </w:pPr>
    </w:p>
    <w:p w14:paraId="60057B10">
      <w:pPr>
        <w:pageBreakBefore w:val="0"/>
        <w:kinsoku/>
        <w:wordWrap/>
        <w:overflowPunct/>
        <w:topLinePunct w:val="0"/>
        <w:bidi w:val="0"/>
        <w:spacing w:before="1" w:line="360" w:lineRule="auto"/>
        <w:jc w:val="both"/>
        <w:textAlignment w:val="auto"/>
        <w:outlineLvl w:val="2"/>
        <w:rPr>
          <w:rFonts w:hint="eastAsia" w:ascii="宋体" w:hAnsi="宋体" w:eastAsia="宋体" w:cs="宋体"/>
          <w:b/>
          <w:color w:val="auto"/>
          <w:sz w:val="24"/>
          <w:szCs w:val="24"/>
          <w:highlight w:val="none"/>
          <w:lang w:val="en-US" w:eastAsia="zh-CN"/>
        </w:rPr>
      </w:pPr>
      <w:bookmarkStart w:id="847" w:name="北京城市副中心城镇绿地养护管理工作意见"/>
      <w:bookmarkEnd w:id="847"/>
      <w:r>
        <w:rPr>
          <w:rFonts w:hint="eastAsia" w:ascii="宋体" w:hAnsi="宋体" w:eastAsia="宋体" w:cs="宋体"/>
          <w:b/>
          <w:color w:val="auto"/>
          <w:sz w:val="24"/>
          <w:szCs w:val="24"/>
          <w:highlight w:val="none"/>
          <w:lang w:eastAsia="zh-CN"/>
        </w:rPr>
        <w:t>附件</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lang w:val="en-US" w:eastAsia="zh-CN"/>
        </w:rPr>
        <w:t xml:space="preserve">         </w:t>
      </w:r>
    </w:p>
    <w:p w14:paraId="192382BC">
      <w:pPr>
        <w:pageBreakBefore w:val="0"/>
        <w:kinsoku/>
        <w:wordWrap/>
        <w:overflowPunct/>
        <w:topLinePunct w:val="0"/>
        <w:bidi w:val="0"/>
        <w:spacing w:before="1" w:line="36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园林养护接诉即办协议</w:t>
      </w:r>
    </w:p>
    <w:p w14:paraId="29F4262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p>
    <w:p w14:paraId="169AC4F0">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u w:val="single"/>
          <w:lang w:eastAsia="zh-CN"/>
        </w:rPr>
        <w:t>北京市绿地养护管理事务中心</w:t>
      </w:r>
    </w:p>
    <w:p w14:paraId="22463187">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u w:val="single"/>
          <w:lang w:eastAsia="zh-CN"/>
        </w:rPr>
        <w:t xml:space="preserve">                          </w:t>
      </w:r>
    </w:p>
    <w:p w14:paraId="4FFF6FEC">
      <w:pPr>
        <w:pageBreakBefore w:val="0"/>
        <w:tabs>
          <w:tab w:val="left" w:pos="7504"/>
        </w:tabs>
        <w:kinsoku/>
        <w:wordWrap/>
        <w:overflowPunct/>
        <w:topLinePunct w:val="0"/>
        <w:bidi w:val="0"/>
        <w:spacing w:before="71"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根据《中华人民共和国民法典》以及国家有关的法律、法规，本着双方平等自愿、协商一致的原则，达成以下协议，以资共同信守。</w:t>
      </w:r>
    </w:p>
    <w:p w14:paraId="303CD7FC">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第一条  项目概况</w:t>
      </w:r>
    </w:p>
    <w:p w14:paraId="7C2057C3">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合同项目名称：</w:t>
      </w:r>
    </w:p>
    <w:p w14:paraId="376C4F72">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合同项目地址：</w:t>
      </w:r>
      <w:r>
        <w:rPr>
          <w:rFonts w:hint="eastAsia" w:ascii="宋体" w:hAnsi="宋体" w:eastAsia="宋体" w:cs="宋体"/>
          <w:color w:val="auto"/>
          <w:sz w:val="24"/>
          <w:szCs w:val="24"/>
          <w:highlight w:val="none"/>
          <w:u w:val="single"/>
          <w:lang w:eastAsia="zh-CN"/>
        </w:rPr>
        <w:t>北京市通州区行政办公区</w:t>
      </w:r>
    </w:p>
    <w:p w14:paraId="42571CCE">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园林养护接诉即办目标：</w:t>
      </w:r>
      <w:r>
        <w:rPr>
          <w:rFonts w:hint="eastAsia" w:ascii="宋体" w:hAnsi="宋体" w:eastAsia="宋体" w:cs="宋体"/>
          <w:color w:val="auto"/>
          <w:sz w:val="24"/>
          <w:szCs w:val="24"/>
          <w:highlight w:val="none"/>
          <w:u w:val="single"/>
          <w:lang w:eastAsia="zh-CN"/>
        </w:rPr>
        <w:t>满意度100%</w:t>
      </w:r>
    </w:p>
    <w:p w14:paraId="057C08CA">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乙方公司法人</w:t>
      </w:r>
      <w:r>
        <w:rPr>
          <w:rFonts w:hint="eastAsia" w:ascii="宋体" w:hAnsi="宋体" w:eastAsia="宋体" w:cs="宋体"/>
          <w:color w:val="auto"/>
          <w:sz w:val="24"/>
          <w:szCs w:val="24"/>
          <w:highlight w:val="none"/>
          <w:u w:val="single"/>
          <w:lang w:eastAsia="zh-CN"/>
        </w:rPr>
        <w:t xml:space="preserve">：     </w:t>
      </w:r>
    </w:p>
    <w:p w14:paraId="0C5BBD7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乙方园林养护接诉即办负责人</w:t>
      </w:r>
      <w:r>
        <w:rPr>
          <w:rFonts w:hint="eastAsia" w:ascii="宋体" w:hAnsi="宋体" w:eastAsia="宋体" w:cs="宋体"/>
          <w:color w:val="auto"/>
          <w:sz w:val="24"/>
          <w:szCs w:val="24"/>
          <w:highlight w:val="none"/>
          <w:u w:val="single"/>
          <w:lang w:eastAsia="zh-CN"/>
        </w:rPr>
        <w:t xml:space="preserve">：     </w:t>
      </w:r>
    </w:p>
    <w:p w14:paraId="2902807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第二条  双方权责</w:t>
      </w:r>
    </w:p>
    <w:p w14:paraId="0405952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一、甲方责任</w:t>
      </w:r>
    </w:p>
    <w:p w14:paraId="406B8C7B">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第三条 负责园林养护工作的整体规划与指导方向制定，确保养护工作符合相关园林景观标准及要求。</w:t>
      </w:r>
    </w:p>
    <w:p w14:paraId="4986954F">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第四条 设立接诉即办平台或渠道，接收来自各方（包括但不限于市民、相关管理部门等）关于园林养护的投诉、建议及需求信息。</w:t>
      </w:r>
    </w:p>
    <w:p w14:paraId="1C532B4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第五条 在接到诉求后，及时对诉求进行分类整理，并在[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]小时内将属于乙方责任范围内的诉求信息传达给乙方，传达方式包括但不限于电话、邮件、书面通知等，确保信息准确完整。</w:t>
      </w:r>
    </w:p>
    <w:p w14:paraId="2CD1E0F8">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第六条 对乙方处理接诉即办事项的过程进行监督与检查，定期（每[</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]周/月）对乙方的处理情况进行评估与考核，根据考核结果按合同约定执行奖惩措施。</w:t>
      </w:r>
    </w:p>
    <w:p w14:paraId="419F8E76">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第七条 协调乙方与其他相关部门或单位之间的关系，为乙方处理接诉即办事项提供必要的支持与协助，例如提供相关政策文件解读、协助处理涉及多方责任的复杂诉求等。</w:t>
      </w:r>
    </w:p>
    <w:p w14:paraId="3C57AA99">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二、乙方责任</w:t>
      </w:r>
    </w:p>
    <w:p w14:paraId="0B851BD9">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第八条 负责园林养护范围内所有设施的日常维护、修缮与管理，设施类目包括但不限于园林建筑（亭台楼阁、长廊等）、园路、广场、景观小品（雕塑、喷泉等）、灌溉系统、排水系统、照明系统、游乐设施（如有）、防护设施（围栏、栏杆等）以及各类园林标识牌等。确保所有设施正常运行、安全使用且外观整洁美观，及时处理设施出现的损坏、故障、老化等问题。</w:t>
      </w:r>
    </w:p>
    <w:p w14:paraId="11945DA0">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第九条 承担园林植物的全生命周期养护工作，包括但不限于种植、修剪、浇水、施肥、病虫害防治、防寒保暖、补植等。根据不同植物的生长习性和季节特点，制定科学合理的养护计划并严格执行，保证园林植物的健康生长与景观效果。植物养护需符合相关植物养护规范及环保要求，避免因养护不当造成环境污染或生态破坏。</w:t>
      </w:r>
    </w:p>
    <w:p w14:paraId="119494A1">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第十条 对于甲方转达的接诉即办事项，乙方需在接到通知后立即响应，一般诉求在[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]小时内安排工作人员到达现场进行处理，复杂诉求或需特殊处理的情况在[</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小时内制定详细的处理方案并告知甲方，处理方案需得到甲方认可后方可实施。处理过程需做好记录，包括处理时间、处理人员、处理措施、使用材料等信息，处理完成后及时向甲方反馈处理结果，同时按照甲方要求对投诉人进行回访，收集满意度信息并反馈给甲方。</w:t>
      </w:r>
    </w:p>
    <w:p w14:paraId="70E4599D">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第十一条 乙方应建立健全自身的接诉即办工作机制，设立专门的投诉处理热线或在线平台（需与甲方平台对接或共享信息），安排专人负责接听投诉电话、接收网络投诉信息等，并在工作时间内保证通讯畅通。对自行接收到的投诉信息，应按照上述响应时间和处理流程进行处理，并及时将处理情况上报甲方备案。</w:t>
      </w:r>
    </w:p>
    <w:p w14:paraId="2DA8F455">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第十二条 定期对园林养护工作进行自查自纠，主动发现并解决可能引发投诉的潜在问题，每月向甲方提交一份园林养护及接诉即办工作情况报告，报告内容包括养护工作进展、接诉数量及类型分析、处理结果统计、存在问题及改进措施等。 </w:t>
      </w:r>
    </w:p>
    <w:p w14:paraId="079F072C">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三、双方协作与沟通</w:t>
      </w:r>
    </w:p>
    <w:p w14:paraId="72ABF861">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第十三条 甲乙双方应建立定期的沟通会议机制，每月至少召开[</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]次工作会议，共同商讨园林养护工作中的重大事项、接诉即办工作中遇到的问题及解决方案、下一阶段工作计划等。会议应由双方相关负责人参加，提前确定会议议程并做好会议记录。</w:t>
      </w:r>
    </w:p>
    <w:p w14:paraId="5847BCAF">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第十四条 对于涉及园林养护接诉即办工作的重要文件、通知、信息等，双方应采用书面形式进行传递，并确保文件签收记录完整。同时，双方应指定专门的联系人负责日常信息沟通与工作协调，联系人信息如有变动应及时通知对方。</w:t>
      </w:r>
    </w:p>
    <w:p w14:paraId="35203466">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第十五条 在处理一些紧急或重大接诉事项时，甲乙双方应保持密切配合，成立联合应急处理小组，共同制定并执行应急处理方案。应急处理过程中的资源调配、人员安排等由双方协商确定，以确保能够快速有效地解决问题，降低负面影响。</w:t>
      </w:r>
    </w:p>
    <w:p w14:paraId="6022BC0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四、违约责任</w:t>
      </w:r>
    </w:p>
    <w:p w14:paraId="15E23CB4">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第十六条 若甲方未按照合同约定及时传达诉求信息或未提供必要的支持协助，导致乙方无法按时处理接诉即办事项或处理结果受到影响，甲方应承担相应责任，包括但不限于对乙方因此产生的额外费用进行补偿、对乙方的考核指标进行合理调整等。</w:t>
      </w:r>
    </w:p>
    <w:p w14:paraId="2F7CEF5E">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第十七条 若乙方未按照合同约定的时间、要求处理接诉即办事项，每出现一次逾期或处理不当情况，乙方应按照合同约定向甲方支付违约金。若因乙方原因导致同一诉求多次投诉或引发严重后果（如安全事故、重大舆情事件等），乙方除承担违约金外，还应承担由此给甲方造成的一切损失，包括但不限于经济赔偿、名誉损失修复等。同时，甲方有权根据乙方的违约情况解除合同或要求乙方限期整改，整改期间乙方仍需继续履行合同义务，若整改后仍不符合要求，甲方有权终止合同并追究乙方的法律责任。</w:t>
      </w:r>
    </w:p>
    <w:p w14:paraId="7649F73C">
      <w:pPr>
        <w:pageBreakBefore w:val="0"/>
        <w:tabs>
          <w:tab w:val="left" w:pos="7504"/>
        </w:tabs>
        <w:kinsoku/>
        <w:wordWrap/>
        <w:overflowPunct/>
        <w:topLinePunct w:val="0"/>
        <w:bidi w:val="0"/>
        <w:spacing w:before="71"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五、其他条款</w:t>
      </w:r>
    </w:p>
    <w:p w14:paraId="635663C7">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第十八条 本协议作为园林养护合同的附件，与主合同具有同等法律效力。</w:t>
      </w:r>
    </w:p>
    <w:p w14:paraId="188EB29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14:paraId="51CCA018">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甲方（公章）：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乙方（公章）：</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p>
    <w:p w14:paraId="48E5D9C8">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                                法定代表人</w:t>
      </w:r>
    </w:p>
    <w:p w14:paraId="4A3E0BF9">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或委托代理人：</w:t>
      </w:r>
      <w:r>
        <w:rPr>
          <w:rFonts w:hint="eastAsia" w:ascii="宋体" w:hAnsi="宋体" w:eastAsia="宋体" w:cs="宋体"/>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521D87CC">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签订时间：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              签订时间：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2B4BF385">
      <w:pPr>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lang w:eastAsia="zh-CN"/>
        </w:rPr>
        <w:sectPr>
          <w:pgSz w:w="11910" w:h="16840"/>
          <w:pgMar w:top="1400" w:right="1480" w:bottom="1000" w:left="1420" w:header="0" w:footer="808" w:gutter="0"/>
          <w:pgNumType w:fmt="decimal"/>
          <w:cols w:space="720" w:num="1"/>
        </w:sectPr>
      </w:pPr>
    </w:p>
    <w:p w14:paraId="33ED86AC">
      <w:pPr>
        <w:pageBreakBefore w:val="0"/>
        <w:kinsoku/>
        <w:wordWrap/>
        <w:overflowPunct/>
        <w:topLinePunct w:val="0"/>
        <w:bidi w:val="0"/>
        <w:spacing w:line="360" w:lineRule="auto"/>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p>
    <w:p w14:paraId="6F8EBADF">
      <w:pPr>
        <w:pageBreakBefore w:val="0"/>
        <w:kinsoku/>
        <w:wordWrap/>
        <w:overflowPunct/>
        <w:topLinePunct w:val="0"/>
        <w:bidi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北京城市副中心城镇绿地养护管理工作意见</w:t>
      </w:r>
    </w:p>
    <w:p w14:paraId="4B2D3FA0">
      <w:pPr>
        <w:pStyle w:val="17"/>
        <w:pageBreakBefore w:val="0"/>
        <w:kinsoku/>
        <w:wordWrap/>
        <w:overflowPunct/>
        <w:topLinePunct w:val="0"/>
        <w:bidi w:val="0"/>
        <w:spacing w:before="141" w:line="360" w:lineRule="auto"/>
        <w:ind w:left="223" w:right="214"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为提升北京城市副中心城镇绿地养护管理水平，按照北京市人民政府《关于提高北京城市</w:t>
      </w:r>
      <w:r>
        <w:rPr>
          <w:rFonts w:hint="eastAsia" w:ascii="宋体" w:hAnsi="宋体" w:eastAsia="宋体" w:cs="宋体"/>
          <w:color w:val="auto"/>
          <w:spacing w:val="-4"/>
          <w:sz w:val="24"/>
          <w:szCs w:val="24"/>
          <w:highlight w:val="none"/>
          <w:lang w:eastAsia="zh-CN"/>
        </w:rPr>
        <w:t>副中心管理水平的意见》(</w:t>
      </w:r>
      <w:r>
        <w:rPr>
          <w:rFonts w:hint="eastAsia" w:ascii="宋体" w:hAnsi="宋体" w:eastAsia="宋体" w:cs="宋体"/>
          <w:color w:val="auto"/>
          <w:spacing w:val="-2"/>
          <w:sz w:val="24"/>
          <w:szCs w:val="24"/>
          <w:highlight w:val="none"/>
          <w:lang w:eastAsia="zh-CN"/>
        </w:rPr>
        <w:t>京政办发〔</w:t>
      </w:r>
      <w:r>
        <w:rPr>
          <w:rFonts w:hint="eastAsia" w:ascii="宋体" w:hAnsi="宋体" w:eastAsia="宋体" w:cs="宋体"/>
          <w:color w:val="auto"/>
          <w:sz w:val="24"/>
          <w:szCs w:val="24"/>
          <w:highlight w:val="none"/>
          <w:lang w:eastAsia="zh-CN"/>
        </w:rPr>
        <w:t>2017〕5 号)</w:t>
      </w:r>
      <w:r>
        <w:rPr>
          <w:rFonts w:hint="eastAsia" w:ascii="宋体" w:hAnsi="宋体" w:eastAsia="宋体" w:cs="宋体"/>
          <w:color w:val="auto"/>
          <w:spacing w:val="-2"/>
          <w:sz w:val="24"/>
          <w:szCs w:val="24"/>
          <w:highlight w:val="none"/>
          <w:lang w:eastAsia="zh-CN"/>
        </w:rPr>
        <w:t>的要求</w:t>
      </w:r>
      <w:r>
        <w:rPr>
          <w:rFonts w:hint="eastAsia" w:ascii="宋体" w:hAnsi="宋体" w:eastAsia="宋体" w:cs="宋体"/>
          <w:color w:val="auto"/>
          <w:spacing w:val="-3"/>
          <w:sz w:val="24"/>
          <w:szCs w:val="24"/>
          <w:highlight w:val="none"/>
          <w:lang w:eastAsia="zh-CN"/>
        </w:rPr>
        <w:t>,结合北京城市副中心的区域特点和实际情况，依据《城镇绿地养护管理规范》</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2"/>
          <w:sz w:val="24"/>
          <w:szCs w:val="24"/>
          <w:highlight w:val="none"/>
          <w:lang w:eastAsia="zh-CN"/>
        </w:rPr>
        <w:t>D</w:t>
      </w:r>
      <w:r>
        <w:rPr>
          <w:rFonts w:hint="eastAsia" w:ascii="宋体" w:hAnsi="宋体" w:eastAsia="宋体" w:cs="宋体"/>
          <w:color w:val="auto"/>
          <w:sz w:val="24"/>
          <w:szCs w:val="24"/>
          <w:highlight w:val="none"/>
          <w:lang w:eastAsia="zh-CN"/>
        </w:rPr>
        <w:t>B</w:t>
      </w:r>
      <w:r>
        <w:rPr>
          <w:rFonts w:hint="eastAsia" w:ascii="宋体" w:hAnsi="宋体" w:eastAsia="宋体" w:cs="宋体"/>
          <w:color w:val="auto"/>
          <w:spacing w:val="-8"/>
          <w:sz w:val="24"/>
          <w:szCs w:val="24"/>
          <w:highlight w:val="none"/>
          <w:lang w:eastAsia="zh-CN"/>
        </w:rPr>
        <w:t>1</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T2</w:t>
      </w: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z w:val="24"/>
          <w:szCs w:val="24"/>
          <w:highlight w:val="none"/>
          <w:lang w:eastAsia="zh-CN"/>
        </w:rPr>
        <w:t>2014</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pacing w:val="-3"/>
          <w:sz w:val="24"/>
          <w:szCs w:val="24"/>
          <w:highlight w:val="none"/>
          <w:lang w:eastAsia="zh-CN"/>
        </w:rPr>
        <w:t>，特提出如下意见。</w:t>
      </w:r>
    </w:p>
    <w:p w14:paraId="778CDAED">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一、植物养护</w:t>
      </w:r>
    </w:p>
    <w:p w14:paraId="637D6114">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（一）园林树木</w:t>
      </w:r>
    </w:p>
    <w:p w14:paraId="089B9E3B">
      <w:pPr>
        <w:pStyle w:val="17"/>
        <w:pageBreakBefore w:val="0"/>
        <w:kinsoku/>
        <w:wordWrap/>
        <w:overflowPunct/>
        <w:topLinePunct w:val="0"/>
        <w:bidi w:val="0"/>
        <w:spacing w:before="151" w:line="360" w:lineRule="auto"/>
        <w:ind w:left="85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修剪</w:t>
      </w:r>
    </w:p>
    <w:p w14:paraId="74075825">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（1）修剪原则</w:t>
      </w:r>
    </w:p>
    <w:p w14:paraId="4F3AE5C3">
      <w:pPr>
        <w:pStyle w:val="17"/>
        <w:pageBreakBefore w:val="0"/>
        <w:kinsoku/>
        <w:wordWrap/>
        <w:overflowPunct/>
        <w:topLinePunct w:val="0"/>
        <w:bidi w:val="0"/>
        <w:spacing w:before="15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依据园林绿化功能和设计的要求，顺应树木生长特性和自然分枝规律（特型树木除外</w:t>
      </w:r>
      <w:r>
        <w:rPr>
          <w:rFonts w:hint="eastAsia" w:ascii="宋体" w:hAnsi="宋体" w:eastAsia="宋体" w:cs="宋体"/>
          <w:color w:val="auto"/>
          <w:spacing w:val="-101"/>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lang w:eastAsia="zh-CN"/>
        </w:rPr>
        <w:t>考虑树木生长势、树龄及生长环境，通过修剪改善通风透光条件，平衡树势，形成良好的生长</w:t>
      </w:r>
      <w:r>
        <w:rPr>
          <w:rFonts w:hint="eastAsia" w:ascii="宋体" w:hAnsi="宋体" w:eastAsia="宋体" w:cs="宋体"/>
          <w:color w:val="auto"/>
          <w:spacing w:val="-5"/>
          <w:sz w:val="24"/>
          <w:szCs w:val="24"/>
          <w:highlight w:val="none"/>
          <w:lang w:eastAsia="zh-CN"/>
        </w:rPr>
        <w:t>状态，满足树木生理需求和景观要求。</w:t>
      </w:r>
    </w:p>
    <w:p w14:paraId="1243303A">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（2）修剪方案</w:t>
      </w:r>
    </w:p>
    <w:p w14:paraId="2F7395D6">
      <w:pPr>
        <w:pStyle w:val="17"/>
        <w:pageBreakBefore w:val="0"/>
        <w:kinsoku/>
        <w:wordWrap/>
        <w:overflowPunct/>
        <w:topLinePunct w:val="0"/>
        <w:bidi w:val="0"/>
        <w:spacing w:before="151" w:line="360" w:lineRule="auto"/>
        <w:ind w:left="224" w:right="214"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树木修剪前应制定详细修剪方案，包括：人员培训、时间进度、工力安排、工具准备、安全维护、现场清理等，并认真加以贯彻。做到因地、因树、因时修剪。修剪方案需保证修剪技</w:t>
      </w:r>
      <w:r>
        <w:rPr>
          <w:rFonts w:hint="eastAsia" w:ascii="宋体" w:hAnsi="宋体" w:eastAsia="宋体" w:cs="宋体"/>
          <w:color w:val="auto"/>
          <w:spacing w:val="-3"/>
          <w:sz w:val="24"/>
          <w:szCs w:val="24"/>
          <w:highlight w:val="none"/>
          <w:lang w:eastAsia="zh-CN"/>
        </w:rPr>
        <w:t>术措施的延续性和修剪工作的连续性。</w:t>
      </w:r>
    </w:p>
    <w:p w14:paraId="2090E0DB">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（3）修剪时期</w:t>
      </w:r>
    </w:p>
    <w:p w14:paraId="583E449A">
      <w:pPr>
        <w:pStyle w:val="17"/>
        <w:pageBreakBefore w:val="0"/>
        <w:kinsoku/>
        <w:wordWrap/>
        <w:overflowPunct/>
        <w:topLinePunct w:val="0"/>
        <w:bidi w:val="0"/>
        <w:spacing w:before="151" w:line="360" w:lineRule="auto"/>
        <w:ind w:left="224" w:right="10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剪除枯死枝、病虫枝、抹芽、去孽等可随时进行；回缩更新修剪应在休眠期进行；抗寒性</w:t>
      </w:r>
      <w:r>
        <w:rPr>
          <w:rFonts w:hint="eastAsia" w:ascii="宋体" w:hAnsi="宋体" w:eastAsia="宋体" w:cs="宋体"/>
          <w:color w:val="auto"/>
          <w:spacing w:val="-13"/>
          <w:sz w:val="24"/>
          <w:szCs w:val="24"/>
          <w:highlight w:val="none"/>
          <w:lang w:eastAsia="zh-CN"/>
        </w:rPr>
        <w:t>差、易抽条的树种应于早春气温回升、温度稳定后进行；有严重伤流和易流胶的树种，如核桃、</w:t>
      </w:r>
      <w:r>
        <w:rPr>
          <w:rFonts w:hint="eastAsia" w:ascii="宋体" w:hAnsi="宋体" w:eastAsia="宋体" w:cs="宋体"/>
          <w:color w:val="auto"/>
          <w:spacing w:val="-6"/>
          <w:sz w:val="24"/>
          <w:szCs w:val="24"/>
          <w:highlight w:val="none"/>
          <w:lang w:eastAsia="zh-CN"/>
        </w:rPr>
        <w:t>元宝枫等，应避开生长季和落叶后伤流严重期；常绿树修剪应避开生长旺盛期。</w:t>
      </w:r>
    </w:p>
    <w:p w14:paraId="3D8ABF0A">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气候等特殊原因造成树体倾斜、枝杈劈裂、折断等应及时抢险处理。</w:t>
      </w:r>
    </w:p>
    <w:p w14:paraId="36D3B0F5">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（4）剪锯口处理</w:t>
      </w:r>
    </w:p>
    <w:p w14:paraId="156B92B0">
      <w:pPr>
        <w:pStyle w:val="17"/>
        <w:pageBreakBefore w:val="0"/>
        <w:kinsoku/>
        <w:wordWrap/>
        <w:overflowPunct/>
        <w:topLinePunct w:val="0"/>
        <w:bidi w:val="0"/>
        <w:spacing w:before="151" w:line="360" w:lineRule="auto"/>
        <w:ind w:left="224" w:right="211"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 xml:space="preserve">疏除修剪时，落叶树一般不留残桩；常绿树留 </w:t>
      </w:r>
      <w:r>
        <w:rPr>
          <w:rFonts w:hint="eastAsia" w:ascii="宋体" w:hAnsi="宋体" w:eastAsia="宋体" w:cs="宋体"/>
          <w:color w:val="auto"/>
          <w:sz w:val="24"/>
          <w:szCs w:val="24"/>
          <w:highlight w:val="none"/>
          <w:lang w:eastAsia="zh-CN"/>
        </w:rPr>
        <w:t xml:space="preserve">1cm-2cm </w:t>
      </w:r>
      <w:r>
        <w:rPr>
          <w:rFonts w:hint="eastAsia" w:ascii="宋体" w:hAnsi="宋体" w:eastAsia="宋体" w:cs="宋体"/>
          <w:color w:val="auto"/>
          <w:spacing w:val="-3"/>
          <w:sz w:val="24"/>
          <w:szCs w:val="24"/>
          <w:highlight w:val="none"/>
          <w:lang w:eastAsia="zh-CN"/>
        </w:rPr>
        <w:t>的残桩；簇生枝和轮生枝需隔年</w:t>
      </w:r>
      <w:r>
        <w:rPr>
          <w:rFonts w:hint="eastAsia" w:ascii="宋体" w:hAnsi="宋体" w:eastAsia="宋体" w:cs="宋体"/>
          <w:color w:val="auto"/>
          <w:spacing w:val="-13"/>
          <w:sz w:val="24"/>
          <w:szCs w:val="24"/>
          <w:highlight w:val="none"/>
          <w:lang w:eastAsia="zh-CN"/>
        </w:rPr>
        <w:t xml:space="preserve">分次疏除。过于粗壮的大枝应采取分段截枝法，即先用锯在枝基部向枝延伸方向 </w:t>
      </w:r>
      <w:r>
        <w:rPr>
          <w:rFonts w:hint="eastAsia" w:ascii="宋体" w:hAnsi="宋体" w:eastAsia="宋体" w:cs="宋体"/>
          <w:color w:val="auto"/>
          <w:sz w:val="24"/>
          <w:szCs w:val="24"/>
          <w:highlight w:val="none"/>
          <w:lang w:eastAsia="zh-CN"/>
        </w:rPr>
        <w:t>10cm-15cm 处</w:t>
      </w:r>
      <w:r>
        <w:rPr>
          <w:rFonts w:hint="eastAsia" w:ascii="宋体" w:hAnsi="宋体" w:eastAsia="宋体" w:cs="宋体"/>
          <w:color w:val="auto"/>
          <w:spacing w:val="-7"/>
          <w:sz w:val="24"/>
          <w:szCs w:val="24"/>
          <w:highlight w:val="none"/>
          <w:lang w:eastAsia="zh-CN"/>
        </w:rPr>
        <w:t xml:space="preserve">的下方由下向上锯入 </w:t>
      </w:r>
      <w:r>
        <w:rPr>
          <w:rFonts w:hint="eastAsia" w:ascii="宋体" w:hAnsi="宋体" w:eastAsia="宋体" w:cs="宋体"/>
          <w:color w:val="auto"/>
          <w:sz w:val="24"/>
          <w:szCs w:val="24"/>
          <w:highlight w:val="none"/>
          <w:lang w:eastAsia="zh-CN"/>
        </w:rPr>
        <w:t xml:space="preserve">1/3 </w:t>
      </w:r>
      <w:r>
        <w:rPr>
          <w:rFonts w:hint="eastAsia" w:ascii="宋体" w:hAnsi="宋体" w:eastAsia="宋体" w:cs="宋体"/>
          <w:color w:val="auto"/>
          <w:spacing w:val="-18"/>
          <w:sz w:val="24"/>
          <w:szCs w:val="24"/>
          <w:highlight w:val="none"/>
          <w:lang w:eastAsia="zh-CN"/>
        </w:rPr>
        <w:t xml:space="preserve">至 </w:t>
      </w:r>
      <w:r>
        <w:rPr>
          <w:rFonts w:hint="eastAsia" w:ascii="宋体" w:hAnsi="宋体" w:eastAsia="宋体" w:cs="宋体"/>
          <w:color w:val="auto"/>
          <w:sz w:val="24"/>
          <w:szCs w:val="24"/>
          <w:highlight w:val="none"/>
          <w:lang w:eastAsia="zh-CN"/>
        </w:rPr>
        <w:t>2/5</w:t>
      </w:r>
      <w:r>
        <w:rPr>
          <w:rFonts w:hint="eastAsia" w:ascii="宋体" w:hAnsi="宋体" w:eastAsia="宋体" w:cs="宋体"/>
          <w:color w:val="auto"/>
          <w:spacing w:val="-7"/>
          <w:sz w:val="24"/>
          <w:szCs w:val="24"/>
          <w:highlight w:val="none"/>
          <w:lang w:eastAsia="zh-CN"/>
        </w:rPr>
        <w:t xml:space="preserve">，然后在锯口前或后 </w:t>
      </w:r>
      <w:r>
        <w:rPr>
          <w:rFonts w:hint="eastAsia" w:ascii="宋体" w:hAnsi="宋体" w:eastAsia="宋体" w:cs="宋体"/>
          <w:color w:val="auto"/>
          <w:sz w:val="24"/>
          <w:szCs w:val="24"/>
          <w:highlight w:val="none"/>
          <w:lang w:eastAsia="zh-CN"/>
        </w:rPr>
        <w:t xml:space="preserve">5cm </w:t>
      </w:r>
      <w:r>
        <w:rPr>
          <w:rFonts w:hint="eastAsia" w:ascii="宋体" w:hAnsi="宋体" w:eastAsia="宋体" w:cs="宋体"/>
          <w:color w:val="auto"/>
          <w:spacing w:val="-3"/>
          <w:sz w:val="24"/>
          <w:szCs w:val="24"/>
          <w:highlight w:val="none"/>
          <w:lang w:eastAsia="zh-CN"/>
        </w:rPr>
        <w:t>处从上向下锯下，待枝滑落后，从上至下去除残桩。</w:t>
      </w:r>
    </w:p>
    <w:p w14:paraId="21A1E658">
      <w:pPr>
        <w:pStyle w:val="17"/>
        <w:pageBreakBefore w:val="0"/>
        <w:kinsoku/>
        <w:wordWrap/>
        <w:overflowPunct/>
        <w:topLinePunct w:val="0"/>
        <w:bidi w:val="0"/>
        <w:spacing w:before="1" w:line="360" w:lineRule="auto"/>
        <w:ind w:left="224" w:right="211"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剪锯口应平滑，无劈裂，并注意留芽方向；直径超过 2cm 以上的剪锯口，涂抹防腐剂促进伤口愈合。</w:t>
      </w:r>
    </w:p>
    <w:p w14:paraId="244E3368">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（5）乔木修剪</w:t>
      </w:r>
    </w:p>
    <w:p w14:paraId="72BC8AA5">
      <w:pPr>
        <w:pStyle w:val="17"/>
        <w:pageBreakBefore w:val="0"/>
        <w:kinsoku/>
        <w:wordWrap/>
        <w:overflowPunct/>
        <w:topLinePunct w:val="0"/>
        <w:bidi w:val="0"/>
        <w:spacing w:before="151" w:line="360" w:lineRule="auto"/>
        <w:ind w:left="224" w:right="17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对主轴明显树种，应注意保护中央领导枝，使其直立向上生长；无明显主枝树种，应形成自然丰满的圆球形或半球形；针叶树应剪除基部垂地枝条，并随树木生长提高分枝点。</w:t>
      </w:r>
    </w:p>
    <w:p w14:paraId="390D6FC7">
      <w:pPr>
        <w:pStyle w:val="17"/>
        <w:pageBreakBefore w:val="0"/>
        <w:kinsoku/>
        <w:wordWrap/>
        <w:overflowPunct/>
        <w:topLinePunct w:val="0"/>
        <w:bidi w:val="0"/>
        <w:spacing w:line="360" w:lineRule="auto"/>
        <w:ind w:left="224"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除按上述操作外，绿地内丛植乔木，同一树龄和品种的分枝点高度应基本一致，位于林带边缘的树木分枝点可稍低于林内树木，保持自然顺畅的林冠线。</w:t>
      </w:r>
    </w:p>
    <w:p w14:paraId="611ECFB5">
      <w:pPr>
        <w:pStyle w:val="17"/>
        <w:pageBreakBefore w:val="0"/>
        <w:kinsoku/>
        <w:wordWrap/>
        <w:overflowPunct/>
        <w:topLinePunct w:val="0"/>
        <w:bidi w:val="0"/>
        <w:spacing w:before="46"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绿地内孤植乔木，修剪时还应调整好树种间的关系，突出主栽品种。</w:t>
      </w:r>
    </w:p>
    <w:p w14:paraId="641198EA">
      <w:pPr>
        <w:pStyle w:val="17"/>
        <w:pageBreakBefore w:val="0"/>
        <w:kinsoku/>
        <w:wordWrap/>
        <w:overflowPunct/>
        <w:topLinePunct w:val="0"/>
        <w:bidi w:val="0"/>
        <w:spacing w:before="15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④ 行道树：树型和分枝点高度应基本一致，分枝点高度不得低于 2.8m</w:t>
      </w:r>
      <w:r>
        <w:rPr>
          <w:rFonts w:hint="eastAsia" w:ascii="宋体" w:hAnsi="宋体" w:eastAsia="宋体" w:cs="宋体"/>
          <w:color w:val="auto"/>
          <w:spacing w:val="-3"/>
          <w:sz w:val="24"/>
          <w:szCs w:val="24"/>
          <w:highlight w:val="none"/>
          <w:lang w:eastAsia="zh-CN"/>
        </w:rPr>
        <w:t>；加强行道树冬季整形修剪和雨季前危枝、死杈的修剪。</w:t>
      </w:r>
    </w:p>
    <w:p w14:paraId="27B23763">
      <w:pPr>
        <w:pStyle w:val="17"/>
        <w:pageBreakBefore w:val="0"/>
        <w:kinsoku/>
        <w:wordWrap/>
        <w:overflowPunct/>
        <w:topLinePunct w:val="0"/>
        <w:bidi w:val="0"/>
        <w:spacing w:line="360" w:lineRule="auto"/>
        <w:ind w:left="223" w:right="217"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 xml:space="preserve">⑤ 在交通路口 </w:t>
      </w:r>
      <w:r>
        <w:rPr>
          <w:rFonts w:hint="eastAsia" w:ascii="宋体" w:hAnsi="宋体" w:eastAsia="宋体" w:cs="宋体"/>
          <w:color w:val="auto"/>
          <w:sz w:val="24"/>
          <w:szCs w:val="24"/>
          <w:highlight w:val="none"/>
          <w:lang w:eastAsia="zh-CN"/>
        </w:rPr>
        <w:t xml:space="preserve">30m </w:t>
      </w:r>
      <w:r>
        <w:rPr>
          <w:rFonts w:hint="eastAsia" w:ascii="宋体" w:hAnsi="宋体" w:eastAsia="宋体" w:cs="宋体"/>
          <w:color w:val="auto"/>
          <w:spacing w:val="-8"/>
          <w:sz w:val="24"/>
          <w:szCs w:val="24"/>
          <w:highlight w:val="none"/>
          <w:lang w:eastAsia="zh-CN"/>
        </w:rPr>
        <w:t>范围内的树冠不能遮挡交通信号灯；要与路灯、变压设备、架空线保</w:t>
      </w:r>
      <w:r>
        <w:rPr>
          <w:rFonts w:hint="eastAsia" w:ascii="宋体" w:hAnsi="宋体" w:eastAsia="宋体" w:cs="宋体"/>
          <w:color w:val="auto"/>
          <w:spacing w:val="-5"/>
          <w:sz w:val="24"/>
          <w:szCs w:val="24"/>
          <w:highlight w:val="none"/>
          <w:lang w:eastAsia="zh-CN"/>
        </w:rPr>
        <w:t>留足够的安全距离；遮挡其他交通标识的树枝及时剪除。</w:t>
      </w:r>
    </w:p>
    <w:p w14:paraId="0B271F0A">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 乔木每年修剪次数如下：特级和一级绿地不少于 2 次；二级绿地不少于 1 次。</w:t>
      </w:r>
    </w:p>
    <w:p w14:paraId="3E8D873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（6）灌木修剪</w:t>
      </w:r>
    </w:p>
    <w:p w14:paraId="2C6111CA">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孤植灌木：应形成冠形美观、分枝匀称、内高外低、自然丰满的圆球形或半球形。</w:t>
      </w:r>
    </w:p>
    <w:p w14:paraId="75221200">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同一种类丛植灌木：应形成外缘枝叶繁密、轮廓自然顺畅的灌丛；多种类栽植灌木丛还应调整好树种间的关系，突出主栽品种，并适当留出生长空间。</w:t>
      </w:r>
    </w:p>
    <w:p w14:paraId="533BC773">
      <w:pPr>
        <w:pStyle w:val="17"/>
        <w:pageBreakBefore w:val="0"/>
        <w:kinsoku/>
        <w:wordWrap/>
        <w:overflowPunct/>
        <w:topLinePunct w:val="0"/>
        <w:bidi w:val="0"/>
        <w:spacing w:before="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观花为主灌木，修剪应有利于促进短枝和花芽形成；观叶为主灌木，修剪应促进新叶</w:t>
      </w:r>
      <w:r>
        <w:rPr>
          <w:rFonts w:hint="eastAsia" w:ascii="宋体" w:hAnsi="宋体" w:eastAsia="宋体" w:cs="宋体"/>
          <w:color w:val="auto"/>
          <w:spacing w:val="-7"/>
          <w:sz w:val="24"/>
          <w:szCs w:val="24"/>
          <w:highlight w:val="none"/>
          <w:lang w:eastAsia="zh-CN"/>
        </w:rPr>
        <w:t>繁茂。下垂细弱枝及地表萌孽应疏除；内膛过密枝应适当疏剪；强壮枝应进行适当短截；生长</w:t>
      </w:r>
      <w:r>
        <w:rPr>
          <w:rFonts w:hint="eastAsia" w:ascii="宋体" w:hAnsi="宋体" w:eastAsia="宋体" w:cs="宋体"/>
          <w:color w:val="auto"/>
          <w:spacing w:val="-5"/>
          <w:sz w:val="24"/>
          <w:szCs w:val="24"/>
          <w:highlight w:val="none"/>
          <w:lang w:eastAsia="zh-CN"/>
        </w:rPr>
        <w:t>于树冠外的徒长枝，应及时疏除或尽早短截，促生二次枝。</w:t>
      </w:r>
    </w:p>
    <w:p w14:paraId="27B009AA">
      <w:pPr>
        <w:pStyle w:val="17"/>
        <w:pageBreakBefore w:val="0"/>
        <w:kinsoku/>
        <w:wordWrap/>
        <w:overflowPunct/>
        <w:topLinePunct w:val="0"/>
        <w:bidi w:val="0"/>
        <w:spacing w:before="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 栽种多年的丛生灌木，应逐年更新衰老枝，培育新枝；栽植多年的有主干灌木，应采</w:t>
      </w:r>
      <w:r>
        <w:rPr>
          <w:rFonts w:hint="eastAsia" w:ascii="宋体" w:hAnsi="宋体" w:eastAsia="宋体" w:cs="宋体"/>
          <w:color w:val="auto"/>
          <w:spacing w:val="-7"/>
          <w:sz w:val="24"/>
          <w:szCs w:val="24"/>
          <w:highlight w:val="none"/>
          <w:lang w:eastAsia="zh-CN"/>
        </w:rPr>
        <w:t>取逐年交替回缩主枝控制树冠，防止树势上强下弱。对丁香、金银木等多年生灌木，结合生长</w:t>
      </w:r>
      <w:r>
        <w:rPr>
          <w:rFonts w:hint="eastAsia" w:ascii="宋体" w:hAnsi="宋体" w:eastAsia="宋体" w:cs="宋体"/>
          <w:color w:val="auto"/>
          <w:spacing w:val="-5"/>
          <w:sz w:val="24"/>
          <w:szCs w:val="24"/>
          <w:highlight w:val="none"/>
          <w:lang w:eastAsia="zh-CN"/>
        </w:rPr>
        <w:t>环境，亦可进行灌木乔化培养修剪。</w:t>
      </w:r>
    </w:p>
    <w:p w14:paraId="498CBF4A">
      <w:pPr>
        <w:pStyle w:val="17"/>
        <w:pageBreakBefore w:val="0"/>
        <w:kinsoku/>
        <w:wordWrap/>
        <w:overflowPunct/>
        <w:topLinePunct w:val="0"/>
        <w:bidi w:val="0"/>
        <w:spacing w:before="1" w:line="360" w:lineRule="auto"/>
        <w:ind w:left="223" w:right="164"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 当年生开花灌木，如：紫薇、木槿、珍珠梅、月季等，为控制高度或影响观赏效果的杂乱过密枝，可于落叶后初冬做轻短截修剪，来年早春再重短截修剪。一年可多次开花灌木， 如：月季、紫薇等应及时剪除残花，促进再次开花。</w:t>
      </w:r>
    </w:p>
    <w:p w14:paraId="6F288C70">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 一年生枝条开花灌木，如：碧桃、榆叶梅、连翘、迎春、丁香、黄刺玫、紫珠等，休眠期适当整形修剪；生长季花后枝条 10-15 天进行中或重短截，并疏剪过密枝。</w:t>
      </w:r>
    </w:p>
    <w:p w14:paraId="382E6BDC">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 多年生枝条开花灌木，如：贴梗海棠、紫荆等，应注意培养和保护老枝，疏除弱枝、过密枝。</w:t>
      </w:r>
    </w:p>
    <w:p w14:paraId="3888C2C1">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 灌木每年修剪次数如下：特级和一级绿地不少于 2 次；二级绿地不少于 1 次。</w:t>
      </w:r>
    </w:p>
    <w:p w14:paraId="580752A1">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（7）造型植物修剪</w:t>
      </w:r>
    </w:p>
    <w:p w14:paraId="1EF92CF3">
      <w:pPr>
        <w:pStyle w:val="17"/>
        <w:pageBreakBefore w:val="0"/>
        <w:kinsoku/>
        <w:wordWrap/>
        <w:overflowPunct/>
        <w:topLinePunct w:val="0"/>
        <w:bidi w:val="0"/>
        <w:spacing w:before="151" w:line="360" w:lineRule="auto"/>
        <w:ind w:left="223" w:right="110"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 xml:space="preserve">① 绿篱、色带、色块、模纹等造型修剪，应轮廓清楚，造型美观、线条整齐，顶面平整， </w:t>
      </w:r>
      <w:r>
        <w:rPr>
          <w:rFonts w:hint="eastAsia" w:ascii="宋体" w:hAnsi="宋体" w:eastAsia="宋体" w:cs="宋体"/>
          <w:color w:val="auto"/>
          <w:spacing w:val="-5"/>
          <w:sz w:val="24"/>
          <w:szCs w:val="24"/>
          <w:highlight w:val="none"/>
          <w:lang w:eastAsia="zh-CN"/>
        </w:rPr>
        <w:t>侧面垂直。球等其他造型修剪亦应轮廓清晰，造型美观。</w:t>
      </w:r>
    </w:p>
    <w:p w14:paraId="3AA3D442">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每次修剪高度较前一次修剪应提高 1cm，修剪后应及时将剪下枝叶清除干净。</w:t>
      </w:r>
    </w:p>
    <w:p w14:paraId="1BB99C95">
      <w:pPr>
        <w:pStyle w:val="17"/>
        <w:pageBreakBefore w:val="0"/>
        <w:kinsoku/>
        <w:wordWrap/>
        <w:overflowPunct/>
        <w:topLinePunct w:val="0"/>
        <w:bidi w:val="0"/>
        <w:spacing w:before="151" w:line="360" w:lineRule="auto"/>
        <w:ind w:left="223" w:right="110" w:firstLine="427"/>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③ 造型植物每年修剪次数如下：特级绿地不少于 3 次；一级绿地不少于 2 次；二级绿地不少于 1 次。</w:t>
      </w:r>
    </w:p>
    <w:p w14:paraId="64021585">
      <w:pPr>
        <w:pStyle w:val="17"/>
        <w:pageBreakBefore w:val="0"/>
        <w:kinsoku/>
        <w:wordWrap/>
        <w:overflowPunct/>
        <w:topLinePunct w:val="0"/>
        <w:bidi w:val="0"/>
        <w:spacing w:before="151" w:line="360" w:lineRule="auto"/>
        <w:ind w:left="76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（8）藤本植物修剪</w:t>
      </w:r>
    </w:p>
    <w:p w14:paraId="34A2CCA6">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吸附类藤本，修剪应着力促进分枝，加强覆盖和盘缠的功能。应在生长季剪去未能吸附墙体而下垂的枝条，未完全覆盖的植物应短截空隙周围枝条，以便发生副梢，填补空缺。</w:t>
      </w:r>
    </w:p>
    <w:p w14:paraId="680906DC">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 钩刺类藤本，可按灌木修剪方法疏枝，生长到一定程度，树势衰弱时，应进行回缩修剪，增强树势。</w:t>
      </w:r>
    </w:p>
    <w:p w14:paraId="0209C694">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 长于棚架的藤本，落叶后应疏剪过密枝条，清除枯死枝，使枝条均匀分布架面。</w:t>
      </w:r>
    </w:p>
    <w:p w14:paraId="4132F2D5">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 多年生藤本应常疏枝，并适当进行回缩修剪。</w:t>
      </w:r>
    </w:p>
    <w:p w14:paraId="11011667">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 藤本植物每年修剪次数如下：特级和一级绿地不少于 2 次；二级绿地不少于 1 次。</w:t>
      </w:r>
    </w:p>
    <w:p w14:paraId="46D4738B">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2.浇灌与排涝</w:t>
      </w:r>
    </w:p>
    <w:p w14:paraId="517B2CE8">
      <w:pPr>
        <w:pStyle w:val="17"/>
        <w:pageBreakBefore w:val="0"/>
        <w:kinsoku/>
        <w:wordWrap/>
        <w:overflowPunct/>
        <w:topLinePunct w:val="0"/>
        <w:bidi w:val="0"/>
        <w:spacing w:before="151" w:line="360" w:lineRule="auto"/>
        <w:ind w:left="224" w:right="113"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（1）</w:t>
      </w:r>
      <w:r>
        <w:rPr>
          <w:rFonts w:hint="eastAsia" w:ascii="宋体" w:hAnsi="宋体" w:eastAsia="宋体" w:cs="宋体"/>
          <w:color w:val="auto"/>
          <w:spacing w:val="-10"/>
          <w:sz w:val="24"/>
          <w:szCs w:val="24"/>
          <w:highlight w:val="none"/>
          <w:lang w:eastAsia="zh-CN"/>
        </w:rPr>
        <w:t xml:space="preserve">应根据气候特点、土壤墒情、植物需水、根系呼吸代谢等情况，适时适量进行浇水， </w:t>
      </w:r>
      <w:r>
        <w:rPr>
          <w:rFonts w:hint="eastAsia" w:ascii="宋体" w:hAnsi="宋体" w:eastAsia="宋体" w:cs="宋体"/>
          <w:color w:val="auto"/>
          <w:spacing w:val="-3"/>
          <w:sz w:val="24"/>
          <w:szCs w:val="24"/>
          <w:highlight w:val="none"/>
          <w:lang w:eastAsia="zh-CN"/>
        </w:rPr>
        <w:t>保证每次浇足浇透。</w:t>
      </w:r>
    </w:p>
    <w:p w14:paraId="11635C88">
      <w:pPr>
        <w:pStyle w:val="17"/>
        <w:pageBreakBefore w:val="0"/>
        <w:kinsoku/>
        <w:wordWrap/>
        <w:overflowPunct/>
        <w:topLinePunct w:val="0"/>
        <w:bidi w:val="0"/>
        <w:spacing w:before="1" w:line="360" w:lineRule="auto"/>
        <w:ind w:left="224" w:right="212" w:firstLine="48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pacing w:val="-5"/>
          <w:sz w:val="24"/>
          <w:szCs w:val="24"/>
          <w:highlight w:val="none"/>
          <w:lang w:eastAsia="zh-CN"/>
        </w:rPr>
        <w:t>要加强节水意识，积极推广使用节水设施，禁止跑、冒、滴、漏现象。再生水的使</w:t>
      </w:r>
      <w:r>
        <w:rPr>
          <w:rFonts w:hint="eastAsia" w:ascii="宋体" w:hAnsi="宋体" w:eastAsia="宋体" w:cs="宋体"/>
          <w:color w:val="auto"/>
          <w:spacing w:val="-8"/>
          <w:sz w:val="24"/>
          <w:szCs w:val="24"/>
          <w:highlight w:val="none"/>
          <w:lang w:eastAsia="zh-CN"/>
        </w:rPr>
        <w:t>用，水质必须符合园林植物灌溉水质要求。水车浇灌树木时，应接细管缓流浇灌，严禁用高压</w:t>
      </w:r>
      <w:r>
        <w:rPr>
          <w:rFonts w:hint="eastAsia" w:ascii="宋体" w:hAnsi="宋体" w:eastAsia="宋体" w:cs="宋体"/>
          <w:color w:val="auto"/>
          <w:spacing w:val="-5"/>
          <w:sz w:val="24"/>
          <w:szCs w:val="24"/>
          <w:highlight w:val="none"/>
          <w:lang w:eastAsia="zh-CN"/>
        </w:rPr>
        <w:t>水流冲灌。</w:t>
      </w:r>
    </w:p>
    <w:p w14:paraId="5E14CE29">
      <w:pPr>
        <w:pStyle w:val="17"/>
        <w:pageBreakBefore w:val="0"/>
        <w:kinsoku/>
        <w:wordWrap/>
        <w:overflowPunct/>
        <w:topLinePunct w:val="0"/>
        <w:bidi w:val="0"/>
        <w:spacing w:before="1" w:line="360" w:lineRule="auto"/>
        <w:ind w:left="224" w:right="214" w:firstLine="48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（3）树木需开堰浇水；树堰要牢固、整齐、美观。树堰高度不低于 15cm；树堰直径， </w:t>
      </w:r>
      <w:r>
        <w:rPr>
          <w:rFonts w:hint="eastAsia" w:ascii="宋体" w:hAnsi="宋体" w:eastAsia="宋体" w:cs="宋体"/>
          <w:color w:val="auto"/>
          <w:spacing w:val="-3"/>
          <w:sz w:val="24"/>
          <w:szCs w:val="24"/>
          <w:highlight w:val="none"/>
          <w:lang w:eastAsia="zh-CN"/>
        </w:rPr>
        <w:t>原则上有铺装地块的以预留池为准,</w:t>
      </w:r>
      <w:r>
        <w:rPr>
          <w:rFonts w:hint="eastAsia" w:ascii="宋体" w:hAnsi="宋体" w:eastAsia="宋体" w:cs="宋体"/>
          <w:color w:val="auto"/>
          <w:spacing w:val="-5"/>
          <w:sz w:val="24"/>
          <w:szCs w:val="24"/>
          <w:highlight w:val="none"/>
          <w:lang w:eastAsia="zh-CN"/>
        </w:rPr>
        <w:t xml:space="preserve">无铺装地块的，乔木应以树干胸径 </w:t>
      </w:r>
      <w:r>
        <w:rPr>
          <w:rFonts w:hint="eastAsia" w:ascii="宋体" w:hAnsi="宋体" w:eastAsia="宋体" w:cs="宋体"/>
          <w:color w:val="auto"/>
          <w:sz w:val="24"/>
          <w:szCs w:val="24"/>
          <w:highlight w:val="none"/>
          <w:lang w:eastAsia="zh-CN"/>
        </w:rPr>
        <w:t xml:space="preserve">10 </w:t>
      </w:r>
      <w:r>
        <w:rPr>
          <w:rFonts w:hint="eastAsia" w:ascii="宋体" w:hAnsi="宋体" w:eastAsia="宋体" w:cs="宋体"/>
          <w:color w:val="auto"/>
          <w:spacing w:val="-3"/>
          <w:sz w:val="24"/>
          <w:szCs w:val="24"/>
          <w:highlight w:val="none"/>
          <w:lang w:eastAsia="zh-CN"/>
        </w:rPr>
        <w:t>倍左右、树冠垂直投</w:t>
      </w:r>
      <w:r>
        <w:rPr>
          <w:rFonts w:hint="eastAsia" w:ascii="宋体" w:hAnsi="宋体" w:eastAsia="宋体" w:cs="宋体"/>
          <w:color w:val="auto"/>
          <w:spacing w:val="-20"/>
          <w:sz w:val="24"/>
          <w:szCs w:val="24"/>
          <w:highlight w:val="none"/>
          <w:lang w:eastAsia="zh-CN"/>
        </w:rPr>
        <w:t xml:space="preserve">影的 </w:t>
      </w:r>
      <w:r>
        <w:rPr>
          <w:rFonts w:hint="eastAsia" w:ascii="宋体" w:hAnsi="宋体" w:eastAsia="宋体" w:cs="宋体"/>
          <w:color w:val="auto"/>
          <w:sz w:val="24"/>
          <w:szCs w:val="24"/>
          <w:highlight w:val="none"/>
          <w:lang w:eastAsia="zh-CN"/>
        </w:rPr>
        <w:t xml:space="preserve">1/2 </w:t>
      </w:r>
      <w:r>
        <w:rPr>
          <w:rFonts w:hint="eastAsia" w:ascii="宋体" w:hAnsi="宋体" w:eastAsia="宋体" w:cs="宋体"/>
          <w:color w:val="auto"/>
          <w:spacing w:val="-3"/>
          <w:sz w:val="24"/>
          <w:szCs w:val="24"/>
          <w:highlight w:val="none"/>
          <w:lang w:eastAsia="zh-CN"/>
        </w:rPr>
        <w:t>为准。</w:t>
      </w:r>
    </w:p>
    <w:p w14:paraId="7832DD7C">
      <w:pPr>
        <w:pStyle w:val="17"/>
        <w:pageBreakBefore w:val="0"/>
        <w:kinsoku/>
        <w:wordWrap/>
        <w:overflowPunct/>
        <w:topLinePunct w:val="0"/>
        <w:bidi w:val="0"/>
        <w:spacing w:before="1" w:line="360" w:lineRule="auto"/>
        <w:ind w:left="224" w:right="213"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（4）排涝：雨季应及时排除树池、绿地内积水，防止植物产生涝害；绿地和树池内积水不得超过 24 小时。</w:t>
      </w:r>
    </w:p>
    <w:p w14:paraId="475FA127">
      <w:pPr>
        <w:pStyle w:val="17"/>
        <w:pageBreakBefore w:val="0"/>
        <w:kinsoku/>
        <w:wordWrap/>
        <w:overflowPunct/>
        <w:topLinePunct w:val="0"/>
        <w:bidi w:val="0"/>
        <w:spacing w:before="46" w:line="360" w:lineRule="auto"/>
        <w:ind w:left="223" w:right="215"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（5）乔木、灌木每年浇水的次数如下：特级绿地不少于 15 次；一级绿地不少于 10 次；二级绿地不少于 8 次。造型植物和藤本植物每年浇水的次数如下：特级绿地不少于 10 次；一级绿地不少于 8 次；二级绿地不少于 5 次。</w:t>
      </w:r>
    </w:p>
    <w:p w14:paraId="7B2ECBC9">
      <w:pPr>
        <w:pStyle w:val="17"/>
        <w:pageBreakBefore w:val="0"/>
        <w:kinsoku/>
        <w:wordWrap/>
        <w:overflowPunct/>
        <w:topLinePunct w:val="0"/>
        <w:bidi w:val="0"/>
        <w:spacing w:before="151" w:line="360" w:lineRule="auto"/>
        <w:ind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土质保水力差、新植树木、浅根系、不耐旱树种及特殊干旱天气，适当增加浇水次数。</w:t>
      </w:r>
    </w:p>
    <w:p w14:paraId="362DBCAA">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施肥</w:t>
      </w:r>
    </w:p>
    <w:p w14:paraId="2E5FD644">
      <w:pPr>
        <w:pStyle w:val="17"/>
        <w:pageBreakBefore w:val="0"/>
        <w:kinsoku/>
        <w:wordWrap/>
        <w:overflowPunct/>
        <w:topLinePunct w:val="0"/>
        <w:bidi w:val="0"/>
        <w:spacing w:before="151" w:line="360" w:lineRule="auto"/>
        <w:ind w:left="224" w:right="200"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（1）科学合理进行施肥。应根据不同树木的生长需要、树木的大小及生长势、土壤肥力状况等因素确定，施肥量、浓度及相关要求应按照产品说明施用。</w:t>
      </w:r>
    </w:p>
    <w:p w14:paraId="08AA54DD">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（2）树木休眠期以施有机肥为主。树木生长季节可根据需要进行土壤追肥或叶面喷肥。</w:t>
      </w:r>
    </w:p>
    <w:p w14:paraId="3F088C8E">
      <w:pPr>
        <w:pStyle w:val="17"/>
        <w:pageBreakBefore w:val="0"/>
        <w:kinsoku/>
        <w:wordWrap/>
        <w:overflowPunct/>
        <w:topLinePunct w:val="0"/>
        <w:bidi w:val="0"/>
        <w:spacing w:before="151" w:line="360" w:lineRule="auto"/>
        <w:ind w:left="224" w:right="211" w:firstLine="48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pacing w:val="-5"/>
          <w:sz w:val="24"/>
          <w:szCs w:val="24"/>
          <w:highlight w:val="none"/>
          <w:lang w:eastAsia="zh-CN"/>
        </w:rPr>
        <w:t>土壤施肥可采用穴施、环施和放射状沟施等方法，外径应与树木的冠幅及树堰大小</w:t>
      </w:r>
      <w:r>
        <w:rPr>
          <w:rFonts w:hint="eastAsia" w:ascii="宋体" w:hAnsi="宋体" w:eastAsia="宋体" w:cs="宋体"/>
          <w:color w:val="auto"/>
          <w:spacing w:val="-9"/>
          <w:sz w:val="24"/>
          <w:szCs w:val="24"/>
          <w:highlight w:val="none"/>
          <w:lang w:eastAsia="zh-CN"/>
        </w:rPr>
        <w:t>相适应，深度应在根系密集层以上，不能对主要根系造成伤害；肥料不得撒到叶片上；施肥后</w:t>
      </w:r>
      <w:r>
        <w:rPr>
          <w:rFonts w:hint="eastAsia" w:ascii="宋体" w:hAnsi="宋体" w:eastAsia="宋体" w:cs="宋体"/>
          <w:color w:val="auto"/>
          <w:spacing w:val="-5"/>
          <w:sz w:val="24"/>
          <w:szCs w:val="24"/>
          <w:highlight w:val="none"/>
          <w:lang w:eastAsia="zh-CN"/>
        </w:rPr>
        <w:t>掩埋踏实，避免肥料外露，平整场地并及时浇水。</w:t>
      </w:r>
    </w:p>
    <w:p w14:paraId="63E33D59">
      <w:pPr>
        <w:pStyle w:val="17"/>
        <w:pageBreakBefore w:val="0"/>
        <w:kinsoku/>
        <w:wordWrap/>
        <w:overflowPunct/>
        <w:topLinePunct w:val="0"/>
        <w:bidi w:val="0"/>
        <w:spacing w:before="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（4）叶面喷肥避免在高温、下雨、大风天进行。</w:t>
      </w:r>
    </w:p>
    <w:p w14:paraId="5BCF35DF">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（5）针叶树宜施菌根肥，观花观果树种开花后宜追施磷、钾肥。</w:t>
      </w:r>
    </w:p>
    <w:p w14:paraId="42F18FE2">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（6）每年施肥次数如下：特级和一级绿地不少于 2 次；二级绿地不少于 1 次。</w:t>
      </w:r>
    </w:p>
    <w:p w14:paraId="4159A5C4">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4.中耕除草</w:t>
      </w:r>
    </w:p>
    <w:p w14:paraId="57B786DF">
      <w:pPr>
        <w:pStyle w:val="17"/>
        <w:pageBreakBefore w:val="0"/>
        <w:numPr>
          <w:ilvl w:val="0"/>
          <w:numId w:val="27"/>
        </w:numPr>
        <w:kinsoku/>
        <w:wordWrap/>
        <w:overflowPunct/>
        <w:topLinePunct w:val="0"/>
        <w:bidi w:val="0"/>
        <w:spacing w:before="66" w:line="360" w:lineRule="auto"/>
        <w:ind w:left="223" w:right="111"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为避免杂草与树木争夺水分、养分，增加土壤透气度，保持土壤墒情，植物生长季节应适时对树堰内进行中耕、除草。绿地内慎用化学除草。</w:t>
      </w:r>
    </w:p>
    <w:p w14:paraId="5CDC11C6">
      <w:pPr>
        <w:pStyle w:val="17"/>
        <w:pageBreakBefore w:val="0"/>
        <w:numPr>
          <w:ilvl w:val="0"/>
          <w:numId w:val="27"/>
        </w:numPr>
        <w:kinsoku/>
        <w:wordWrap/>
        <w:overflowPunct/>
        <w:topLinePunct w:val="0"/>
        <w:bidi w:val="0"/>
        <w:spacing w:before="66" w:line="360" w:lineRule="auto"/>
        <w:ind w:left="223" w:right="111"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耕宜在土壤干湿度适宜时进行；中耕深度宜 10cm 左右，不应损伤根系和树皮为限，作到土碎地平。结合中耕应清除树堰内杂草、瓦砾、石块、草根等，集中收集并及时清运。</w:t>
      </w:r>
    </w:p>
    <w:p w14:paraId="378F9CE6">
      <w:pPr>
        <w:pStyle w:val="17"/>
        <w:pageBreakBefore w:val="0"/>
        <w:kinsoku/>
        <w:wordWrap/>
        <w:overflowPunct/>
        <w:topLinePunct w:val="0"/>
        <w:bidi w:val="0"/>
        <w:spacing w:line="360" w:lineRule="auto"/>
        <w:ind w:left="71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（3）特级绿地除草一般做到“随有随除”，除草每年特级绿地不少于 3 次；一级绿地不少</w:t>
      </w:r>
    </w:p>
    <w:p w14:paraId="03D152CE">
      <w:pPr>
        <w:pStyle w:val="17"/>
        <w:pageBreakBefore w:val="0"/>
        <w:kinsoku/>
        <w:wordWrap/>
        <w:overflowPunct/>
        <w:topLinePunct w:val="0"/>
        <w:bidi w:val="0"/>
        <w:spacing w:before="151" w:line="360" w:lineRule="auto"/>
        <w:ind w:left="22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于 2 次；二级绿地不少于 1 次。</w:t>
      </w:r>
    </w:p>
    <w:p w14:paraId="5CE70390">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5.病虫害防治</w:t>
      </w:r>
    </w:p>
    <w:p w14:paraId="64848CFF">
      <w:pPr>
        <w:pStyle w:val="17"/>
        <w:pageBreakBefore w:val="0"/>
        <w:kinsoku/>
        <w:wordWrap/>
        <w:overflowPunct/>
        <w:topLinePunct w:val="0"/>
        <w:bidi w:val="0"/>
        <w:spacing w:before="151" w:line="360" w:lineRule="auto"/>
        <w:ind w:left="223" w:right="217"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（1）应遵循“预防为主，科学治理，依法监管，强化责任”的方针，积极做好病虫害防治工作。病害要早预防早治理，虫害要早发现早治理；做到科学、安全、经济、及时、有效。</w:t>
      </w:r>
    </w:p>
    <w:p w14:paraId="11D3BFB6">
      <w:pPr>
        <w:pStyle w:val="17"/>
        <w:pageBreakBefore w:val="0"/>
        <w:kinsoku/>
        <w:wordWrap/>
        <w:overflowPunct/>
        <w:topLinePunct w:val="0"/>
        <w:bidi w:val="0"/>
        <w:spacing w:before="1" w:line="360" w:lineRule="auto"/>
        <w:ind w:left="71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（2）加强树木养护管理，增强树势，提高抗病虫害能力。</w:t>
      </w:r>
    </w:p>
    <w:p w14:paraId="1827F671">
      <w:pPr>
        <w:pStyle w:val="17"/>
        <w:pageBreakBefore w:val="0"/>
        <w:kinsoku/>
        <w:wordWrap/>
        <w:overflowPunct/>
        <w:topLinePunct w:val="0"/>
        <w:bidi w:val="0"/>
        <w:spacing w:before="15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（3）加强病虫检查，发现主要病虫害应根据虫情预报及时采取防治措施。对于危险性病虫害，一旦发现疫情应及时上报主管部门，并迅速采取措施。</w:t>
      </w:r>
    </w:p>
    <w:p w14:paraId="0A9A1968">
      <w:pPr>
        <w:pStyle w:val="17"/>
        <w:pageBreakBefore w:val="0"/>
        <w:kinsoku/>
        <w:wordWrap/>
        <w:overflowPunct/>
        <w:topLinePunct w:val="0"/>
        <w:bidi w:val="0"/>
        <w:spacing w:before="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（4）及时有效地采取物理防治手段，包括诱杀、阻止上树、人工捕捉、摘除网幕、剪除病虫枝、清理带病虫落叶等。</w:t>
      </w:r>
    </w:p>
    <w:p w14:paraId="0413D2B0">
      <w:pPr>
        <w:pStyle w:val="17"/>
        <w:pageBreakBefore w:val="0"/>
        <w:kinsoku/>
        <w:wordWrap/>
        <w:overflowPunct/>
        <w:topLinePunct w:val="0"/>
        <w:bidi w:val="0"/>
        <w:spacing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（5）积极采用生物防治手段，保护和利用天敌。</w:t>
      </w:r>
    </w:p>
    <w:p w14:paraId="79B8B277">
      <w:pPr>
        <w:pStyle w:val="17"/>
        <w:pageBreakBefore w:val="0"/>
        <w:kinsoku/>
        <w:wordWrap/>
        <w:overflowPunct/>
        <w:topLinePunct w:val="0"/>
        <w:bidi w:val="0"/>
        <w:spacing w:before="151" w:line="360" w:lineRule="auto"/>
        <w:ind w:left="223" w:right="21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（6）采用化学防治时，应选择符合环保要求的高效、低毒、低残留的药剂；应交替使用不同药剂，尽量采用兼治，减少喷药次数。</w:t>
      </w:r>
    </w:p>
    <w:p w14:paraId="590BFD6F">
      <w:pPr>
        <w:pStyle w:val="17"/>
        <w:pageBreakBefore w:val="0"/>
        <w:kinsoku/>
        <w:wordWrap/>
        <w:overflowPunct/>
        <w:topLinePunct w:val="0"/>
        <w:bidi w:val="0"/>
        <w:spacing w:before="1" w:line="360" w:lineRule="auto"/>
        <w:ind w:left="223" w:right="17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（7）依据《农药管理条例》和北京市相关技术规程进行作业。喷洒药剂时应避开人流活动高峰期和夏季高温时段；用药要严格按照产品说明使用。</w:t>
      </w:r>
    </w:p>
    <w:p w14:paraId="2743DA5E">
      <w:pPr>
        <w:pStyle w:val="17"/>
        <w:pageBreakBefore w:val="0"/>
        <w:kinsoku/>
        <w:wordWrap/>
        <w:overflowPunct/>
        <w:topLinePunct w:val="0"/>
        <w:bidi w:val="0"/>
        <w:spacing w:before="1" w:line="360" w:lineRule="auto"/>
        <w:ind w:left="223" w:right="174"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（8）打药次数应根据虫害发生情况进行，每年喷药次数如下：特级绿地不少于 7 次；一级绿地不少于 5 次；二级绿地不少于 3 次。</w:t>
      </w:r>
    </w:p>
    <w:p w14:paraId="0480F164">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6.补植、调整及伐除</w:t>
      </w:r>
    </w:p>
    <w:p w14:paraId="67341841">
      <w:pPr>
        <w:pStyle w:val="17"/>
        <w:pageBreakBefore w:val="0"/>
        <w:kinsoku/>
        <w:wordWrap/>
        <w:overflowPunct/>
        <w:topLinePunct w:val="0"/>
        <w:bidi w:val="0"/>
        <w:spacing w:before="151" w:line="360" w:lineRule="auto"/>
        <w:ind w:left="64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（1）苗木缺株应适时及时进行补植。</w:t>
      </w:r>
    </w:p>
    <w:p w14:paraId="3FCA84DD">
      <w:pPr>
        <w:pStyle w:val="17"/>
        <w:pageBreakBefore w:val="0"/>
        <w:kinsoku/>
        <w:wordWrap/>
        <w:overflowPunct/>
        <w:topLinePunct w:val="0"/>
        <w:bidi w:val="0"/>
        <w:spacing w:before="151" w:line="360" w:lineRule="auto"/>
        <w:ind w:left="223" w:right="109"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6"/>
          <w:sz w:val="24"/>
          <w:szCs w:val="24"/>
          <w:highlight w:val="none"/>
          <w:lang w:eastAsia="zh-CN"/>
        </w:rPr>
        <w:t xml:space="preserve">补植苗木应选用规格相近、树势树型良好、无病虫害的原树种，若改变树种或规格， </w:t>
      </w:r>
      <w:r>
        <w:rPr>
          <w:rFonts w:hint="eastAsia" w:ascii="宋体" w:hAnsi="宋体" w:eastAsia="宋体" w:cs="宋体"/>
          <w:color w:val="auto"/>
          <w:spacing w:val="-4"/>
          <w:sz w:val="24"/>
          <w:szCs w:val="24"/>
          <w:highlight w:val="none"/>
          <w:lang w:eastAsia="zh-CN"/>
        </w:rPr>
        <w:t>应与景观主体相协调。</w:t>
      </w:r>
    </w:p>
    <w:p w14:paraId="03786E7C">
      <w:pPr>
        <w:pStyle w:val="17"/>
        <w:pageBreakBefore w:val="0"/>
        <w:kinsoku/>
        <w:wordWrap/>
        <w:overflowPunct/>
        <w:topLinePunct w:val="0"/>
        <w:bidi w:val="0"/>
        <w:spacing w:before="1" w:line="360" w:lineRule="auto"/>
        <w:ind w:left="223" w:right="203" w:firstLine="48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（3）对于苗木过密需调整、树种需更新、危死树需伐除及配合市政工程等的移伐工作， 需经相关部门批准后方可进行，并应严格按照操作规程规范进行操作。</w:t>
      </w:r>
    </w:p>
    <w:p w14:paraId="0E3EEE92">
      <w:pPr>
        <w:pStyle w:val="17"/>
        <w:pageBreakBefore w:val="0"/>
        <w:kinsoku/>
        <w:wordWrap/>
        <w:overflowPunct/>
        <w:topLinePunct w:val="0"/>
        <w:bidi w:val="0"/>
        <w:spacing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（二）花卉</w:t>
      </w:r>
    </w:p>
    <w:p w14:paraId="00DA200D">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修剪</w:t>
      </w:r>
    </w:p>
    <w:p w14:paraId="1378CDED">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（1）萌芽前应剪除上年残留枯枝、枯叶；生长季应及时剪除残花、枯叶、残枝、残果等不具观赏价值的部分。</w:t>
      </w:r>
    </w:p>
    <w:p w14:paraId="031185FE">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（2）需摘心的品种应及时摘心；叶片过密影响开花的应适当摘去过密叶和老叶；对易倒伏的花卉应适时修剪和支撑；对有二次开花习性的花卉应在花后适时进行修剪。</w:t>
      </w:r>
    </w:p>
    <w:p w14:paraId="2DA677EA">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（1）要积极采用滴灌、微喷等节水方式，及时有效地对花卉进行浇水；宿根花卉返青水和冻水应适时浇足浇透。为防止积水，花池应在适当位置加设排水孔，做到及时排涝；花卉种植地积水不得超过 12 小时。</w:t>
      </w:r>
    </w:p>
    <w:p w14:paraId="7497A132">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（2）每年花卉浇水的次数如下：特级绿地不少于 20 次，一级绿地不少于 15 次，二级绿地不少于 10 次；时令花卉、容器花卉需根据气候等实际情况适时适量浇水。</w:t>
      </w:r>
    </w:p>
    <w:p w14:paraId="71F70C1D">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施肥</w:t>
      </w:r>
    </w:p>
    <w:p w14:paraId="266CE772">
      <w:pPr>
        <w:pStyle w:val="17"/>
        <w:pageBreakBefore w:val="0"/>
        <w:kinsoku/>
        <w:wordWrap/>
        <w:overflowPunct/>
        <w:topLinePunct w:val="0"/>
        <w:bidi w:val="0"/>
        <w:spacing w:before="151" w:line="360" w:lineRule="auto"/>
        <w:ind w:left="224"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（1）应根据不同花卉品种和不同时期，按照肥料产品说明进行施用。花坛换花前应深耕</w:t>
      </w:r>
      <w:r>
        <w:rPr>
          <w:rFonts w:hint="eastAsia" w:ascii="宋体" w:hAnsi="宋体" w:eastAsia="宋体" w:cs="宋体"/>
          <w:color w:val="auto"/>
          <w:spacing w:val="-7"/>
          <w:sz w:val="24"/>
          <w:szCs w:val="24"/>
          <w:highlight w:val="none"/>
          <w:lang w:eastAsia="zh-CN"/>
        </w:rPr>
        <w:t>细耙，施足基肥。生长季应进行土壤追肥或叶面喷肥，春、夏生长旺季可多施肥；秋后生长缓</w:t>
      </w:r>
      <w:r>
        <w:rPr>
          <w:rFonts w:hint="eastAsia" w:ascii="宋体" w:hAnsi="宋体" w:eastAsia="宋体" w:cs="宋体"/>
          <w:color w:val="auto"/>
          <w:spacing w:val="-5"/>
          <w:sz w:val="24"/>
          <w:szCs w:val="24"/>
          <w:highlight w:val="none"/>
          <w:lang w:eastAsia="zh-CN"/>
        </w:rPr>
        <w:t>慢，应少施肥；冬季不再施肥。</w:t>
      </w:r>
    </w:p>
    <w:p w14:paraId="2B00CB3B">
      <w:pPr>
        <w:pStyle w:val="17"/>
        <w:pageBreakBefore w:val="0"/>
        <w:kinsoku/>
        <w:wordWrap/>
        <w:overflowPunct/>
        <w:topLinePunct w:val="0"/>
        <w:bidi w:val="0"/>
        <w:spacing w:before="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（2）夏季施肥应避开炎热高温时段；叶面喷肥应选择无雨、无大风天气；撒施肥应避免肥撒到叶面上，施肥后中耕土壤及时浇水。</w:t>
      </w:r>
    </w:p>
    <w:p w14:paraId="7B5155F6">
      <w:pPr>
        <w:pStyle w:val="17"/>
        <w:pageBreakBefore w:val="0"/>
        <w:kinsoku/>
        <w:wordWrap/>
        <w:overflowPunct/>
        <w:topLinePunct w:val="0"/>
        <w:bidi w:val="0"/>
        <w:spacing w:before="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（3）每年对花卉进行施肥的次数如下：特级绿地不少于 4 次；一级绿地不少于 3 次；二级绿地不少于 1 次。</w:t>
      </w:r>
    </w:p>
    <w:p w14:paraId="415DFD84">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中耕除草</w:t>
      </w:r>
    </w:p>
    <w:p w14:paraId="3BD890C7">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（1）应适时对未覆盖土壤进行中耕，中耕后应将土块打碎整平，并注意避免伤及花卉； 随时清除花卉内杂草及石块、残茎和落叶等杂物，现场清理干净。</w:t>
      </w:r>
    </w:p>
    <w:p w14:paraId="730E4B80">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（2）每年对花卉进行除草的次数如下：特级绿地不少于 5 次，夏季做到“随有随除”；一级绿地不少于 4 次；二级绿地不少于 2 次。</w:t>
      </w:r>
    </w:p>
    <w:p w14:paraId="5163FCD3">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病虫害防治</w:t>
      </w:r>
    </w:p>
    <w:p w14:paraId="53D061D1">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（1）花卉病虫害防治可参考树木。</w:t>
      </w:r>
    </w:p>
    <w:p w14:paraId="037F8B4D">
      <w:pPr>
        <w:pStyle w:val="17"/>
        <w:pageBreakBefore w:val="0"/>
        <w:kinsoku/>
        <w:wordWrap/>
        <w:overflowPunct/>
        <w:topLinePunct w:val="0"/>
        <w:bidi w:val="0"/>
        <w:spacing w:before="151" w:line="360" w:lineRule="auto"/>
        <w:ind w:left="224" w:right="21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（2）每年对花卉进行喷药的次数如下：特级绿地不少于 5 次，一级绿地不少于 4 次，二级绿地不少于 2 次。</w:t>
      </w:r>
    </w:p>
    <w:p w14:paraId="477CD658">
      <w:pPr>
        <w:pStyle w:val="100"/>
        <w:keepNext w:val="0"/>
        <w:keepLines w:val="0"/>
        <w:pageBreakBefore w:val="0"/>
        <w:widowControl w:val="0"/>
        <w:numPr>
          <w:ilvl w:val="0"/>
          <w:numId w:val="28"/>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补植</w:t>
      </w:r>
    </w:p>
    <w:p w14:paraId="5F2BEF6E">
      <w:pPr>
        <w:pStyle w:val="17"/>
        <w:pageBreakBefore w:val="0"/>
        <w:kinsoku/>
        <w:wordWrap/>
        <w:overflowPunct/>
        <w:topLinePunct w:val="0"/>
        <w:bidi w:val="0"/>
        <w:spacing w:before="151" w:line="360" w:lineRule="auto"/>
        <w:ind w:left="223" w:right="215" w:firstLine="41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生长季为保持良好观赏效果，应及时对死苗缺株和无观赏价值苗进行补植、更换，补植苗</w:t>
      </w:r>
      <w:r>
        <w:rPr>
          <w:rFonts w:hint="eastAsia" w:ascii="宋体" w:hAnsi="宋体" w:eastAsia="宋体" w:cs="宋体"/>
          <w:color w:val="auto"/>
          <w:spacing w:val="-4"/>
          <w:sz w:val="24"/>
          <w:szCs w:val="24"/>
          <w:highlight w:val="none"/>
          <w:lang w:eastAsia="zh-CN"/>
        </w:rPr>
        <w:t>应按原品种、并规格相近。</w:t>
      </w:r>
    </w:p>
    <w:p w14:paraId="72A0654B">
      <w:pPr>
        <w:pStyle w:val="17"/>
        <w:pageBreakBefore w:val="0"/>
        <w:kinsoku/>
        <w:wordWrap/>
        <w:overflowPunct/>
        <w:topLinePunct w:val="0"/>
        <w:bidi w:val="0"/>
        <w:spacing w:before="1" w:line="360" w:lineRule="auto"/>
        <w:ind w:left="63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年生或临时布置的花卉撤除后需及时恢复绿地原貌或对裸露土地进行覆盖。</w:t>
      </w:r>
    </w:p>
    <w:p w14:paraId="7143958F">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（三）草坪、地被</w:t>
      </w:r>
    </w:p>
    <w:p w14:paraId="0B36CF1F">
      <w:pPr>
        <w:pStyle w:val="100"/>
        <w:keepNext w:val="0"/>
        <w:keepLines w:val="0"/>
        <w:pageBreakBefore w:val="0"/>
        <w:widowControl w:val="0"/>
        <w:numPr>
          <w:ilvl w:val="0"/>
          <w:numId w:val="29"/>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修剪</w:t>
      </w:r>
    </w:p>
    <w:p w14:paraId="5B0B44F4">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（1）应根据不同草种的习性和观赏效果进行修剪，使草坪覆盖度、整齐度保持一致，边缘整齐。</w:t>
      </w:r>
    </w:p>
    <w:p w14:paraId="54073DC4">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（2）剪草高度以草种、季节、环境等因素而定，一次修剪高度原则上不大于草高的1/3。</w:t>
      </w:r>
    </w:p>
    <w:p w14:paraId="430C9FF8">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（3）草坪修剪前应清除草坪内石子、瓦砾、树枝等杂物；修剪前 24 小时不宜浇水，保持草坪干爽；避免在正午阳光直射下进行修剪；阴雨天不宜修剪；修剪完成后次日方可浇水；同一草坪，应避免多次在同一行列、同一方向修剪。</w:t>
      </w:r>
    </w:p>
    <w:p w14:paraId="5AB8A074">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（4）修剪机具的刀片应锋利，防止撕裂茎叶；修剪前宜对刀片进行消毒。</w:t>
      </w:r>
    </w:p>
    <w:p w14:paraId="7D72FCAD">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草坪植物的修剪次数依不同的草种、不同的管理水平和不同的环境条件来确定：</w:t>
      </w:r>
    </w:p>
    <w:p w14:paraId="7DD3FE6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 苔草、麦冬、马蔺：为提高观赏效果，根据长势和高度一年可修剪 2-3 次；</w:t>
      </w:r>
    </w:p>
    <w:p w14:paraId="551DD71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 xml:space="preserve">② 野牛草、羊胡子草等暖季型草：特级不少于 </w:t>
      </w:r>
      <w:r>
        <w:rPr>
          <w:rFonts w:hint="eastAsia" w:ascii="宋体" w:hAnsi="宋体" w:eastAsia="宋体" w:cs="宋体"/>
          <w:color w:val="auto"/>
          <w:sz w:val="24"/>
          <w:szCs w:val="24"/>
          <w:highlight w:val="none"/>
          <w:lang w:eastAsia="zh-CN"/>
        </w:rPr>
        <w:t xml:space="preserve">8 </w:t>
      </w:r>
      <w:r>
        <w:rPr>
          <w:rFonts w:hint="eastAsia" w:ascii="宋体" w:hAnsi="宋体" w:eastAsia="宋体" w:cs="宋体"/>
          <w:color w:val="auto"/>
          <w:spacing w:val="-11"/>
          <w:sz w:val="24"/>
          <w:szCs w:val="24"/>
          <w:highlight w:val="none"/>
          <w:lang w:eastAsia="zh-CN"/>
        </w:rPr>
        <w:t xml:space="preserve">次，一级不少于 </w:t>
      </w:r>
      <w:r>
        <w:rPr>
          <w:rFonts w:hint="eastAsia" w:ascii="宋体" w:hAnsi="宋体" w:eastAsia="宋体" w:cs="宋体"/>
          <w:color w:val="auto"/>
          <w:sz w:val="24"/>
          <w:szCs w:val="24"/>
          <w:highlight w:val="none"/>
          <w:lang w:eastAsia="zh-CN"/>
        </w:rPr>
        <w:t xml:space="preserve">5 </w:t>
      </w:r>
      <w:r>
        <w:rPr>
          <w:rFonts w:hint="eastAsia" w:ascii="宋体" w:hAnsi="宋体" w:eastAsia="宋体" w:cs="宋体"/>
          <w:color w:val="auto"/>
          <w:spacing w:val="-12"/>
          <w:sz w:val="24"/>
          <w:szCs w:val="24"/>
          <w:highlight w:val="none"/>
          <w:lang w:eastAsia="zh-CN"/>
        </w:rPr>
        <w:t xml:space="preserve">次，二级不少于 </w:t>
      </w:r>
      <w:r>
        <w:rPr>
          <w:rFonts w:hint="eastAsia" w:ascii="宋体" w:hAnsi="宋体" w:eastAsia="宋体" w:cs="宋体"/>
          <w:color w:val="auto"/>
          <w:sz w:val="24"/>
          <w:szCs w:val="24"/>
          <w:highlight w:val="none"/>
          <w:lang w:eastAsia="zh-CN"/>
        </w:rPr>
        <w:t>3 次;最后一次修剪应于 8 月底完成；</w:t>
      </w:r>
    </w:p>
    <w:p w14:paraId="13720104">
      <w:pPr>
        <w:pStyle w:val="17"/>
        <w:pageBreakBefore w:val="0"/>
        <w:kinsoku/>
        <w:wordWrap/>
        <w:overflowPunct/>
        <w:topLinePunct w:val="0"/>
        <w:bidi w:val="0"/>
        <w:spacing w:before="151" w:line="360" w:lineRule="auto"/>
        <w:ind w:left="7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③ 冷季型草：特级不少于 20 次，一级不少于 15 次，二级不少于 10 次，最后一次修剪</w:t>
      </w:r>
      <w:r>
        <w:rPr>
          <w:rFonts w:hint="eastAsia" w:ascii="宋体" w:hAnsi="宋体" w:eastAsia="宋体" w:cs="宋体"/>
          <w:color w:val="auto"/>
          <w:sz w:val="24"/>
          <w:szCs w:val="24"/>
          <w:highlight w:val="none"/>
        </w:rPr>
        <w:t>不应晚于 10 月中旬。</w:t>
      </w:r>
    </w:p>
    <w:p w14:paraId="101B5E37">
      <w:pPr>
        <w:pStyle w:val="100"/>
        <w:keepNext w:val="0"/>
        <w:keepLines w:val="0"/>
        <w:pageBreakBefore w:val="0"/>
        <w:widowControl w:val="0"/>
        <w:numPr>
          <w:ilvl w:val="0"/>
          <w:numId w:val="29"/>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浇水与排涝</w:t>
      </w:r>
    </w:p>
    <w:p w14:paraId="18AE34BA">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（1）除土壤封冻期外，人工草坪应适时进行浇水，每次要浇均浇透，浇水深度不低于 20cm。干热天气尤其是冷季型草应适当喷水降温；返青水和冻水要浇足浇透。</w:t>
      </w:r>
    </w:p>
    <w:p w14:paraId="2373987D">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（2）再生水浇灌草坪，水质必须符合园林绿化植物灌溉水质的要求；禁止使用撒过融雪剂的积雪补充草坪土壤水分。</w:t>
      </w:r>
    </w:p>
    <w:p w14:paraId="7BECE951">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（3）草坪、地被浇水应采用喷灌、滴灌等节水方式，禁止大水漫灌，并有人看管，严禁跑、冒、滴、漏。</w:t>
      </w:r>
    </w:p>
    <w:p w14:paraId="4287704F">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（4）雨季应注意排除草坪内积水。</w:t>
      </w:r>
    </w:p>
    <w:p w14:paraId="429875E7">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（5）每年对草坪浇水次数如下：特级绿地冷季型草不少于 25 次，暖季型草不少于 15 次；一级绿地冷季型草不少于 20 次，暖季型草不少于 10 次；二级绿地冷季型草不少于 15 次，暖季型草不少于 10 次。</w:t>
      </w:r>
    </w:p>
    <w:p w14:paraId="674A502C">
      <w:pPr>
        <w:pStyle w:val="100"/>
        <w:keepNext w:val="0"/>
        <w:keepLines w:val="0"/>
        <w:pageBreakBefore w:val="0"/>
        <w:widowControl w:val="0"/>
        <w:numPr>
          <w:ilvl w:val="0"/>
          <w:numId w:val="29"/>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施肥</w:t>
      </w:r>
    </w:p>
    <w:p w14:paraId="25CAFAE5">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（1）草坪建植时应施基肥；每年应根据草坪草的生长状况进行适当追肥；具体施肥量应根据使用说明确定。</w:t>
      </w:r>
    </w:p>
    <w:p w14:paraId="2E4D6FD4">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（2）施肥时间宜在春、秋季节进行：春季以氮肥为主，秋以磷、钾肥为主。</w:t>
      </w:r>
    </w:p>
    <w:p w14:paraId="2CB140A2">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（3）草坪施肥均匀，避免叶面潮湿时撒施，撒肥后应及时浇水。</w:t>
      </w:r>
    </w:p>
    <w:p w14:paraId="11911EDF">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（4）叶面喷肥应均匀，溶液浓度应控制在 0.1%-0.5%以内。</w:t>
      </w:r>
    </w:p>
    <w:p w14:paraId="6AB66A68">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（5）每年对草坪施肥次数如下：特级绿地冷季型草不少于 5 次，暖季型草不少于 4 次；一级绿地冷季型草不少于 3 次，暖季型草不少于 2 次；二级绿地冷季型草不少于 2 次，暖季型</w:t>
      </w:r>
      <w:r>
        <w:rPr>
          <w:rFonts w:hint="eastAsia" w:ascii="宋体" w:hAnsi="宋体" w:eastAsia="宋体" w:cs="宋体"/>
          <w:color w:val="auto"/>
          <w:sz w:val="24"/>
          <w:szCs w:val="24"/>
          <w:highlight w:val="none"/>
        </w:rPr>
        <w:t>草不少于 1 次。</w:t>
      </w:r>
    </w:p>
    <w:p w14:paraId="681B19CE">
      <w:pPr>
        <w:pStyle w:val="100"/>
        <w:keepNext w:val="0"/>
        <w:keepLines w:val="0"/>
        <w:pageBreakBefore w:val="0"/>
        <w:widowControl w:val="0"/>
        <w:numPr>
          <w:ilvl w:val="0"/>
          <w:numId w:val="29"/>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除杂草</w:t>
      </w:r>
    </w:p>
    <w:p w14:paraId="64616652">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人工建植草坪可通过疏草、打孔更新复壮。需要保持草坪纯度的应定期清除杂草；草坪纯</w:t>
      </w:r>
      <w:r>
        <w:rPr>
          <w:rFonts w:hint="eastAsia" w:ascii="宋体" w:hAnsi="宋体" w:eastAsia="宋体" w:cs="宋体"/>
          <w:color w:val="auto"/>
          <w:spacing w:val="-3"/>
          <w:sz w:val="24"/>
          <w:szCs w:val="24"/>
          <w:highlight w:val="none"/>
          <w:lang w:eastAsia="zh-CN"/>
        </w:rPr>
        <w:t>度应达到相应等级绿地标准；使用化学除草剂要慎重，先试验再使用。</w:t>
      </w:r>
    </w:p>
    <w:p w14:paraId="31F9538B">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每年除杂草的次数如下：特级绿地不少于 10 次，一级绿地不少于 8 次；二级绿地不少于</w:t>
      </w:r>
      <w:r>
        <w:rPr>
          <w:rFonts w:hint="eastAsia" w:cs="宋体"/>
          <w:color w:val="auto"/>
          <w:spacing w:val="-7"/>
          <w:sz w:val="24"/>
          <w:szCs w:val="24"/>
          <w:highlight w:val="none"/>
          <w:lang w:val="en-US" w:eastAsia="zh-CN"/>
        </w:rPr>
        <w:t>4</w:t>
      </w:r>
      <w:r>
        <w:rPr>
          <w:rFonts w:hint="eastAsia" w:ascii="宋体" w:hAnsi="宋体" w:eastAsia="宋体" w:cs="宋体"/>
          <w:color w:val="auto"/>
          <w:spacing w:val="-3"/>
          <w:sz w:val="24"/>
          <w:szCs w:val="24"/>
          <w:highlight w:val="none"/>
          <w:lang w:eastAsia="zh-CN"/>
        </w:rPr>
        <w:t>次。对分栽尚未成坪的草坪、地被，应加强除杂草次数，防治杂草恶性蔓延。</w:t>
      </w:r>
    </w:p>
    <w:p w14:paraId="3860ADF3">
      <w:pPr>
        <w:pStyle w:val="100"/>
        <w:keepNext w:val="0"/>
        <w:keepLines w:val="0"/>
        <w:pageBreakBefore w:val="0"/>
        <w:widowControl w:val="0"/>
        <w:numPr>
          <w:ilvl w:val="0"/>
          <w:numId w:val="29"/>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病虫害防治</w:t>
      </w:r>
    </w:p>
    <w:p w14:paraId="1B064015">
      <w:pPr>
        <w:pStyle w:val="17"/>
        <w:pageBreakBefore w:val="0"/>
        <w:kinsoku/>
        <w:wordWrap/>
        <w:overflowPunct/>
        <w:topLinePunct w:val="0"/>
        <w:bidi w:val="0"/>
        <w:spacing w:before="66"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（1）草坪病虫害防治可参考树木。</w:t>
      </w:r>
    </w:p>
    <w:p w14:paraId="2B1DEA22">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（2）草坪病害以冷季型草最为严重，应在加强养护基础上，以预防为主，综合防治。化学防治应在 5 月初开始，此后根据病害发生情况及时防治。</w:t>
      </w:r>
    </w:p>
    <w:p w14:paraId="61414A91">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（3）草坪虫害主要有蛴螬、蚜虫、螨类、黏虫等，要早发现早防治，有针对性选择农药进行防治。</w:t>
      </w:r>
    </w:p>
    <w:p w14:paraId="457285B9">
      <w:pPr>
        <w:pStyle w:val="17"/>
        <w:pageBreakBefore w:val="0"/>
        <w:kinsoku/>
        <w:wordWrap/>
        <w:overflowPunct/>
        <w:topLinePunct w:val="0"/>
        <w:bidi w:val="0"/>
        <w:spacing w:line="360" w:lineRule="auto"/>
        <w:ind w:left="223" w:right="217" w:firstLine="4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（4）每年喷药次数为：特级绿地冷季型草不少于 10 次，暖季型草不少于 2 次；一级绿地冷季型草不少于 7 次，暖季型草不少于 2 次；二级绿地冷季型草不少于 3 次，暖季型草不少于</w:t>
      </w:r>
      <w:r>
        <w:rPr>
          <w:rFonts w:hint="eastAsia" w:ascii="宋体" w:hAnsi="宋体" w:eastAsia="宋体" w:cs="宋体"/>
          <w:color w:val="auto"/>
          <w:sz w:val="24"/>
          <w:szCs w:val="24"/>
          <w:highlight w:val="none"/>
        </w:rPr>
        <w:t>1 次。</w:t>
      </w:r>
    </w:p>
    <w:p w14:paraId="1D37F832">
      <w:pPr>
        <w:pStyle w:val="100"/>
        <w:keepNext w:val="0"/>
        <w:keepLines w:val="0"/>
        <w:pageBreakBefore w:val="0"/>
        <w:widowControl w:val="0"/>
        <w:numPr>
          <w:ilvl w:val="0"/>
          <w:numId w:val="29"/>
        </w:numPr>
        <w:tabs>
          <w:tab w:val="left" w:pos="968"/>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补植</w:t>
      </w:r>
    </w:p>
    <w:p w14:paraId="17D74094">
      <w:pPr>
        <w:pStyle w:val="17"/>
        <w:pageBreakBefore w:val="0"/>
        <w:kinsoku/>
        <w:wordWrap/>
        <w:overflowPunct/>
        <w:topLinePunct w:val="0"/>
        <w:bidi w:val="0"/>
        <w:spacing w:before="151" w:line="360" w:lineRule="auto"/>
        <w:ind w:left="223" w:right="15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草坪、地被斑秃应及时补植，保持草坪、地被完整无裸露地面；补植草应与原草种相同、叶色相近，并加强养护管理，使之尽快达到与周围草坪一致。</w:t>
      </w:r>
    </w:p>
    <w:p w14:paraId="706BA180">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二、植物防护</w:t>
      </w:r>
    </w:p>
    <w:p w14:paraId="5727E78C">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（一）防寒</w:t>
      </w:r>
    </w:p>
    <w:p w14:paraId="5F042A62">
      <w:pPr>
        <w:pStyle w:val="100"/>
        <w:keepNext w:val="0"/>
        <w:keepLines w:val="0"/>
        <w:pageBreakBefore w:val="0"/>
        <w:widowControl w:val="0"/>
        <w:numPr>
          <w:ilvl w:val="0"/>
          <w:numId w:val="30"/>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加强栽培管理，增强植物抗寒性</w:t>
      </w:r>
    </w:p>
    <w:p w14:paraId="0C489D62">
      <w:pPr>
        <w:pStyle w:val="17"/>
        <w:pageBreakBefore w:val="0"/>
        <w:kinsoku/>
        <w:wordWrap/>
        <w:overflowPunct/>
        <w:topLinePunct w:val="0"/>
        <w:bidi w:val="0"/>
        <w:spacing w:before="151" w:line="360" w:lineRule="auto"/>
        <w:ind w:left="223" w:right="213"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在树木生长季适时合理进行浇水、施肥、修剪、病虫害防治等养护措施，促进树木健壮生</w:t>
      </w:r>
      <w:r>
        <w:rPr>
          <w:rFonts w:hint="eastAsia" w:ascii="宋体" w:hAnsi="宋体" w:eastAsia="宋体" w:cs="宋体"/>
          <w:color w:val="auto"/>
          <w:spacing w:val="-8"/>
          <w:sz w:val="24"/>
          <w:szCs w:val="24"/>
          <w:highlight w:val="none"/>
          <w:lang w:eastAsia="zh-CN"/>
        </w:rPr>
        <w:t>长，积累干物质。返青水和冻水要适时浇足浇透，冻水浇完后要及时回水；对不耐寒的树种应注意秋后控水；秋季停止施氮肥，增施磷肥、钾肥，促进树木木质化；合理安排修剪期和修剪</w:t>
      </w:r>
      <w:r>
        <w:rPr>
          <w:rFonts w:hint="eastAsia" w:ascii="宋体" w:hAnsi="宋体" w:eastAsia="宋体" w:cs="宋体"/>
          <w:color w:val="auto"/>
          <w:spacing w:val="-5"/>
          <w:sz w:val="24"/>
          <w:szCs w:val="24"/>
          <w:highlight w:val="none"/>
          <w:lang w:eastAsia="zh-CN"/>
        </w:rPr>
        <w:t>量，以利于树木安全越冬。</w:t>
      </w:r>
    </w:p>
    <w:p w14:paraId="274FAC3D">
      <w:pPr>
        <w:pStyle w:val="100"/>
        <w:keepNext w:val="0"/>
        <w:keepLines w:val="0"/>
        <w:pageBreakBefore w:val="0"/>
        <w:widowControl w:val="0"/>
        <w:numPr>
          <w:ilvl w:val="0"/>
          <w:numId w:val="30"/>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采取防寒措施，保障植物安全越冬</w:t>
      </w:r>
    </w:p>
    <w:p w14:paraId="387A6DEE">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（1）培土：浇冻水之后，对月季、牡丹等耐寒性较差的低矮植株可采取基部培土防寒。</w:t>
      </w:r>
    </w:p>
    <w:p w14:paraId="39B29FE7">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（2）包干和涂白：对悬铃木、高杆紫薇等耐寒性较差的树种，入冬前可采取主干涂白,缠绕无纺布，草绳、防寒棉等防寒材料，高度 1.5m 或至分枝处，晚霜后拆除。</w:t>
      </w:r>
    </w:p>
    <w:p w14:paraId="0F7E0C14">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（3）搭设风障或包裹：对雪松等耐寒性、抗风能力差的边缘树种或珍贵树木，在新植 3</w:t>
      </w:r>
    </w:p>
    <w:p w14:paraId="61EAC571">
      <w:pPr>
        <w:pStyle w:val="17"/>
        <w:pageBreakBefore w:val="0"/>
        <w:kinsoku/>
        <w:wordWrap/>
        <w:overflowPunct/>
        <w:topLinePunct w:val="0"/>
        <w:bidi w:val="0"/>
        <w:spacing w:before="151" w:line="360" w:lineRule="auto"/>
        <w:ind w:left="223"/>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年内应搭设风障；对不耐寒较低矮树木如大叶黄杨等，可采用包裹覆盖等防寒措施。</w:t>
      </w:r>
    </w:p>
    <w:p w14:paraId="3B6B7CB0">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（4）对紫薇、木槿、大叶黄杨等易抽条树种，可于上年初冬和当年早春适量喷洒高酯膜等抗蒸腾剂。</w:t>
      </w:r>
    </w:p>
    <w:p w14:paraId="70807195">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（5）降雪后应及清除树冠上的积雪，尤其是冠大、叶密的常绿树，以防发生折枝、歪斜或其他雪灾伤害。</w:t>
      </w:r>
    </w:p>
    <w:p w14:paraId="09BF35C6">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（二）防融雪剂</w:t>
      </w:r>
    </w:p>
    <w:p w14:paraId="32A81E62">
      <w:pPr>
        <w:pStyle w:val="100"/>
        <w:keepNext w:val="0"/>
        <w:keepLines w:val="0"/>
        <w:pageBreakBefore w:val="0"/>
        <w:widowControl w:val="0"/>
        <w:numPr>
          <w:ilvl w:val="0"/>
          <w:numId w:val="31"/>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安装防范设施</w:t>
      </w:r>
    </w:p>
    <w:p w14:paraId="7A6633A5">
      <w:pPr>
        <w:pStyle w:val="17"/>
        <w:pageBreakBefore w:val="0"/>
        <w:kinsoku/>
        <w:wordWrap/>
        <w:overflowPunct/>
        <w:topLinePunct w:val="0"/>
        <w:bidi w:val="0"/>
        <w:spacing w:before="151" w:line="360" w:lineRule="auto"/>
        <w:ind w:left="223" w:right="212" w:firstLine="427"/>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为阻挡融雪剂等有害化学物质污染土壤，伤害绿地植物，入冬前应对常年易喷洒融雪剂的</w:t>
      </w:r>
      <w:r>
        <w:rPr>
          <w:rFonts w:hint="eastAsia" w:ascii="宋体" w:hAnsi="宋体" w:eastAsia="宋体" w:cs="宋体"/>
          <w:color w:val="auto"/>
          <w:spacing w:val="-10"/>
          <w:sz w:val="24"/>
          <w:szCs w:val="24"/>
          <w:highlight w:val="none"/>
          <w:lang w:eastAsia="zh-CN"/>
        </w:rPr>
        <w:t>地区，重点在分车带、中央隔离带绿地外围安装挡盐板。也可在入冬前采取树堰内铺隔离材料等措施，来年春季撤除。挡盐板安装应安全牢固，整齐一致，损坏的要及时修复或更换，春季</w:t>
      </w:r>
    </w:p>
    <w:p w14:paraId="4D85F29F">
      <w:pPr>
        <w:pStyle w:val="17"/>
        <w:pageBreakBefore w:val="0"/>
        <w:kinsoku/>
        <w:wordWrap/>
        <w:overflowPunct/>
        <w:topLinePunct w:val="0"/>
        <w:bidi w:val="0"/>
        <w:spacing w:before="46" w:line="360" w:lineRule="auto"/>
        <w:ind w:left="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应及时撤除，并彻底清理绿地内卫生。为防止撒过融雪剂的积雪堆放绿地和树堰内，要加强监督看管，及时发现予以制止。</w:t>
      </w:r>
    </w:p>
    <w:p w14:paraId="069011F9">
      <w:pPr>
        <w:pStyle w:val="100"/>
        <w:keepNext w:val="0"/>
        <w:keepLines w:val="0"/>
        <w:pageBreakBefore w:val="0"/>
        <w:widowControl w:val="0"/>
        <w:numPr>
          <w:ilvl w:val="0"/>
          <w:numId w:val="31"/>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补救污染土壤</w:t>
      </w:r>
    </w:p>
    <w:p w14:paraId="30902350">
      <w:pPr>
        <w:pStyle w:val="17"/>
        <w:pageBreakBefore w:val="0"/>
        <w:kinsoku/>
        <w:wordWrap/>
        <w:overflowPunct/>
        <w:topLinePunct w:val="0"/>
        <w:bidi w:val="0"/>
        <w:spacing w:before="151" w:line="360" w:lineRule="auto"/>
        <w:ind w:left="224" w:right="10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4"/>
          <w:sz w:val="24"/>
          <w:szCs w:val="24"/>
          <w:highlight w:val="none"/>
          <w:lang w:eastAsia="zh-CN"/>
        </w:rPr>
        <w:t xml:space="preserve">积极采取补救措施，对被融雪剂污染的树木和绿地应采取冲洗、更换局部土壤等补救措施， </w:t>
      </w:r>
      <w:r>
        <w:rPr>
          <w:rFonts w:hint="eastAsia" w:ascii="宋体" w:hAnsi="宋体" w:eastAsia="宋体" w:cs="宋体"/>
          <w:color w:val="auto"/>
          <w:spacing w:val="-7"/>
          <w:sz w:val="24"/>
          <w:szCs w:val="24"/>
          <w:highlight w:val="none"/>
          <w:lang w:eastAsia="zh-CN"/>
        </w:rPr>
        <w:t>防止盐害扩大蔓延。</w:t>
      </w:r>
    </w:p>
    <w:p w14:paraId="22BA63C9">
      <w:pPr>
        <w:pStyle w:val="17"/>
        <w:pageBreakBefore w:val="0"/>
        <w:kinsoku/>
        <w:wordWrap/>
        <w:overflowPunct/>
        <w:topLinePunct w:val="0"/>
        <w:bidi w:val="0"/>
        <w:spacing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（三）巡视看护</w:t>
      </w:r>
    </w:p>
    <w:p w14:paraId="50649402">
      <w:pPr>
        <w:pStyle w:val="17"/>
        <w:pageBreakBefore w:val="0"/>
        <w:kinsoku/>
        <w:wordWrap/>
        <w:overflowPunct/>
        <w:topLinePunct w:val="0"/>
        <w:bidi w:val="0"/>
        <w:spacing w:before="151" w:line="360" w:lineRule="auto"/>
        <w:ind w:left="224" w:right="166"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加强绿地巡视，及时发现并制止损坏绿化成果行为；对不听劝阻或违法犯罪人员及时逐级</w:t>
      </w:r>
      <w:r>
        <w:rPr>
          <w:rFonts w:hint="eastAsia" w:ascii="宋体" w:hAnsi="宋体" w:eastAsia="宋体" w:cs="宋体"/>
          <w:color w:val="auto"/>
          <w:spacing w:val="-5"/>
          <w:sz w:val="24"/>
          <w:szCs w:val="24"/>
          <w:highlight w:val="none"/>
          <w:lang w:eastAsia="zh-CN"/>
        </w:rPr>
        <w:t>上报，并交由执法部门处理；根据区域特点，可按需配备绿地安保人员，负责绿地巡视看护。</w:t>
      </w:r>
    </w:p>
    <w:p w14:paraId="4E890BC6">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三、绿地保洁和设施维护</w:t>
      </w:r>
    </w:p>
    <w:p w14:paraId="4D00F918">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（一）绿地保洁</w:t>
      </w:r>
    </w:p>
    <w:p w14:paraId="3BCE1C76">
      <w:pPr>
        <w:pStyle w:val="100"/>
        <w:pageBreakBefore w:val="0"/>
        <w:numPr>
          <w:ilvl w:val="0"/>
          <w:numId w:val="32"/>
        </w:numPr>
        <w:tabs>
          <w:tab w:val="left" w:pos="918"/>
        </w:tabs>
        <w:kinsoku/>
        <w:wordWrap/>
        <w:overflowPunct/>
        <w:topLinePunct w:val="0"/>
        <w:bidi w:val="0"/>
        <w:spacing w:before="15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绿地内及景观水面要保持整洁无杂物，无建筑、生活垃圾，无影响景观的干枯枝叶， </w:t>
      </w:r>
      <w:r>
        <w:rPr>
          <w:rFonts w:hint="eastAsia" w:ascii="宋体" w:hAnsi="宋体" w:eastAsia="宋体" w:cs="宋体"/>
          <w:color w:val="auto"/>
          <w:spacing w:val="-3"/>
          <w:sz w:val="24"/>
          <w:szCs w:val="24"/>
          <w:highlight w:val="none"/>
          <w:lang w:eastAsia="zh-CN"/>
        </w:rPr>
        <w:t>无堆放杂物，无贴挂标语、晾晒衣物等。</w:t>
      </w:r>
    </w:p>
    <w:p w14:paraId="5416F264">
      <w:pPr>
        <w:pStyle w:val="100"/>
        <w:pageBreakBefore w:val="0"/>
        <w:numPr>
          <w:ilvl w:val="0"/>
          <w:numId w:val="32"/>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绿化修剪或自然掉落的枝叶要及时收集和清运，不得乱堆乱放；枯枝落叶宜资源化利</w:t>
      </w:r>
      <w:r>
        <w:rPr>
          <w:rFonts w:hint="eastAsia" w:ascii="宋体" w:hAnsi="宋体" w:eastAsia="宋体" w:cs="宋体"/>
          <w:color w:val="auto"/>
          <w:spacing w:val="-2"/>
          <w:sz w:val="24"/>
          <w:szCs w:val="24"/>
          <w:highlight w:val="none"/>
          <w:lang w:eastAsia="zh-CN"/>
        </w:rPr>
        <w:t>用，不得焚烧。</w:t>
      </w:r>
    </w:p>
    <w:p w14:paraId="51245706">
      <w:pPr>
        <w:pStyle w:val="100"/>
        <w:pageBreakBefore w:val="0"/>
        <w:numPr>
          <w:ilvl w:val="0"/>
          <w:numId w:val="32"/>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除专置停车场，绿地内不得停放与绿化作业无关的机械和车辆等，不得在绿地内从事</w:t>
      </w:r>
      <w:r>
        <w:rPr>
          <w:rFonts w:hint="eastAsia" w:ascii="宋体" w:hAnsi="宋体" w:eastAsia="宋体" w:cs="宋体"/>
          <w:color w:val="auto"/>
          <w:spacing w:val="-3"/>
          <w:sz w:val="24"/>
          <w:szCs w:val="24"/>
          <w:highlight w:val="none"/>
          <w:lang w:eastAsia="zh-CN"/>
        </w:rPr>
        <w:t>车辆清洗、维修等与园林绿化无关的业务。</w:t>
      </w:r>
    </w:p>
    <w:p w14:paraId="66B079B1">
      <w:pPr>
        <w:pStyle w:val="100"/>
        <w:pageBreakBefore w:val="0"/>
        <w:numPr>
          <w:ilvl w:val="0"/>
          <w:numId w:val="32"/>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绿地附属设施应及时清理，经常保洁。</w:t>
      </w:r>
    </w:p>
    <w:p w14:paraId="090023A8">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（二）设施维护</w:t>
      </w:r>
    </w:p>
    <w:p w14:paraId="7D5FF68E">
      <w:pPr>
        <w:pStyle w:val="100"/>
        <w:pageBreakBefore w:val="0"/>
        <w:numPr>
          <w:ilvl w:val="0"/>
          <w:numId w:val="33"/>
        </w:numPr>
        <w:tabs>
          <w:tab w:val="left" w:pos="918"/>
        </w:tabs>
        <w:kinsoku/>
        <w:wordWrap/>
        <w:overflowPunct/>
        <w:topLinePunct w:val="0"/>
        <w:bidi w:val="0"/>
        <w:spacing w:before="15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建筑、铺装、围栏、小品等各种绿地附属设施应保持安全、牢固、完整，及时消除安</w:t>
      </w:r>
      <w:r>
        <w:rPr>
          <w:rFonts w:hint="eastAsia" w:ascii="宋体" w:hAnsi="宋体" w:eastAsia="宋体" w:cs="宋体"/>
          <w:color w:val="auto"/>
          <w:spacing w:val="-3"/>
          <w:sz w:val="24"/>
          <w:szCs w:val="24"/>
          <w:highlight w:val="none"/>
          <w:lang w:eastAsia="zh-CN"/>
        </w:rPr>
        <w:t>全隐患，对缺失和损坏的及时修复或更换。</w:t>
      </w:r>
    </w:p>
    <w:p w14:paraId="1902BC3D">
      <w:pPr>
        <w:pStyle w:val="100"/>
        <w:pageBreakBefore w:val="0"/>
        <w:numPr>
          <w:ilvl w:val="0"/>
          <w:numId w:val="33"/>
        </w:numPr>
        <w:tabs>
          <w:tab w:val="left" w:pos="918"/>
        </w:tabs>
        <w:kinsoku/>
        <w:wordWrap/>
        <w:overflowPunct/>
        <w:topLinePunct w:val="0"/>
        <w:bidi w:val="0"/>
        <w:spacing w:before="1" w:line="360" w:lineRule="auto"/>
        <w:ind w:right="219" w:firstLine="42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绿地给水、排水及雨水收集设施应保持管道畅通完好，井盖等设施完整无损；防汛、</w:t>
      </w:r>
      <w:r>
        <w:rPr>
          <w:rFonts w:hint="eastAsia" w:ascii="宋体" w:hAnsi="宋体" w:eastAsia="宋体" w:cs="宋体"/>
          <w:color w:val="auto"/>
          <w:spacing w:val="-3"/>
          <w:sz w:val="24"/>
          <w:szCs w:val="24"/>
          <w:highlight w:val="none"/>
          <w:lang w:eastAsia="zh-CN"/>
        </w:rPr>
        <w:t>消防等设备应保持完好、有效。</w:t>
      </w:r>
    </w:p>
    <w:p w14:paraId="49D7B07F">
      <w:pPr>
        <w:pStyle w:val="17"/>
        <w:pageBreakBefore w:val="0"/>
        <w:kinsoku/>
        <w:wordWrap/>
        <w:overflowPunct/>
        <w:topLinePunct w:val="0"/>
        <w:bidi w:val="0"/>
        <w:spacing w:before="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四、安全防范</w:t>
      </w:r>
    </w:p>
    <w:p w14:paraId="29B7F821">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（一）安全作业</w:t>
      </w:r>
    </w:p>
    <w:p w14:paraId="4FB6D4CC">
      <w:pPr>
        <w:pStyle w:val="100"/>
        <w:keepNext w:val="0"/>
        <w:keepLines w:val="0"/>
        <w:pageBreakBefore w:val="0"/>
        <w:widowControl w:val="0"/>
        <w:numPr>
          <w:ilvl w:val="0"/>
          <w:numId w:val="34"/>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园林机具使用</w:t>
      </w:r>
    </w:p>
    <w:p w14:paraId="4BB439C7">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（1）上岗前要做好操作规程和作业人员自身安全防护的安全教育培训。</w:t>
      </w:r>
    </w:p>
    <w:p w14:paraId="0475CAE3">
      <w:pPr>
        <w:pStyle w:val="17"/>
        <w:pageBreakBefore w:val="0"/>
        <w:kinsoku/>
        <w:wordWrap/>
        <w:overflowPunct/>
        <w:topLinePunct w:val="0"/>
        <w:bidi w:val="0"/>
        <w:spacing w:before="151" w:line="360" w:lineRule="auto"/>
        <w:ind w:left="224" w:right="214"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（2）使用剪草机</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z w:val="24"/>
          <w:szCs w:val="24"/>
          <w:highlight w:val="none"/>
          <w:lang w:eastAsia="zh-CN"/>
        </w:rPr>
        <w:t>车</w:t>
      </w:r>
      <w:r>
        <w:rPr>
          <w:rFonts w:hint="eastAsia" w:ascii="宋体" w:hAnsi="宋体" w:eastAsia="宋体" w:cs="宋体"/>
          <w:color w:val="auto"/>
          <w:spacing w:val="-106"/>
          <w:sz w:val="24"/>
          <w:szCs w:val="24"/>
          <w:highlight w:val="none"/>
          <w:lang w:eastAsia="zh-CN"/>
        </w:rPr>
        <w:t>）</w:t>
      </w:r>
      <w:r>
        <w:rPr>
          <w:rFonts w:hint="eastAsia" w:ascii="宋体" w:hAnsi="宋体" w:eastAsia="宋体" w:cs="宋体"/>
          <w:color w:val="auto"/>
          <w:spacing w:val="-9"/>
          <w:sz w:val="24"/>
          <w:szCs w:val="24"/>
          <w:highlight w:val="none"/>
          <w:lang w:eastAsia="zh-CN"/>
        </w:rPr>
        <w:t>、割灌机、绿篱修剪机、打孔机、疏草机、油锯等园林机械时，要</w:t>
      </w:r>
      <w:r>
        <w:rPr>
          <w:rFonts w:hint="eastAsia" w:ascii="宋体" w:hAnsi="宋体" w:eastAsia="宋体" w:cs="宋体"/>
          <w:color w:val="auto"/>
          <w:spacing w:val="-5"/>
          <w:sz w:val="24"/>
          <w:szCs w:val="24"/>
          <w:highlight w:val="none"/>
          <w:lang w:eastAsia="zh-CN"/>
        </w:rPr>
        <w:t>先检查园林机具的安全性及完好性。</w:t>
      </w:r>
    </w:p>
    <w:p w14:paraId="338ACEB9">
      <w:pPr>
        <w:pStyle w:val="100"/>
        <w:keepNext w:val="0"/>
        <w:keepLines w:val="0"/>
        <w:pageBreakBefore w:val="0"/>
        <w:widowControl w:val="0"/>
        <w:numPr>
          <w:ilvl w:val="0"/>
          <w:numId w:val="34"/>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高空作业</w:t>
      </w:r>
    </w:p>
    <w:p w14:paraId="426AD872">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参照《行道树修剪规程》（DB11/T 839—2011）的要求执行。</w:t>
      </w:r>
    </w:p>
    <w:p w14:paraId="5671F8D6">
      <w:pPr>
        <w:pStyle w:val="100"/>
        <w:keepNext w:val="0"/>
        <w:keepLines w:val="0"/>
        <w:pageBreakBefore w:val="0"/>
        <w:widowControl w:val="0"/>
        <w:numPr>
          <w:ilvl w:val="0"/>
          <w:numId w:val="34"/>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农药使用</w:t>
      </w:r>
    </w:p>
    <w:p w14:paraId="002562E5">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（1）农药应设专人管理，做好出入库使用记录，用后需及时上交。</w:t>
      </w:r>
    </w:p>
    <w:p w14:paraId="3D4D1455">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（2）操作人员应严格按照《农药管理条例》和北京市相关技术规程等有关规定进行使用。地下空间作业绿化用表井、闸井、泄水井、检查井等有限空间作业时，首先进行通风，确保安全后方可下井作业。</w:t>
      </w:r>
    </w:p>
    <w:p w14:paraId="306CBF5D">
      <w:pPr>
        <w:pStyle w:val="100"/>
        <w:keepNext w:val="0"/>
        <w:keepLines w:val="0"/>
        <w:pageBreakBefore w:val="0"/>
        <w:widowControl w:val="0"/>
        <w:numPr>
          <w:ilvl w:val="0"/>
          <w:numId w:val="34"/>
        </w:numPr>
        <w:tabs>
          <w:tab w:val="left" w:pos="916"/>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绿地火灾防范</w:t>
      </w:r>
    </w:p>
    <w:p w14:paraId="2ED5B013">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（1）及时清理清运园林绿化生产废弃物，不得随地焚烧；防止随意扔烟头等火源引起绿地火灾。</w:t>
      </w:r>
    </w:p>
    <w:p w14:paraId="1D2F2056">
      <w:pPr>
        <w:pStyle w:val="17"/>
        <w:pageBreakBefore w:val="0"/>
        <w:kinsoku/>
        <w:wordWrap/>
        <w:overflowPunct/>
        <w:topLinePunct w:val="0"/>
        <w:bidi w:val="0"/>
        <w:spacing w:before="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（2）禁止在绿地内燃放烟花爆竹，做好烟花爆竹燃放期间的预防工作并根据天气干燥情况洒水阻燃。</w:t>
      </w:r>
    </w:p>
    <w:p w14:paraId="4CBE1C47">
      <w:pPr>
        <w:pStyle w:val="17"/>
        <w:pageBreakBefore w:val="0"/>
        <w:kinsoku/>
        <w:wordWrap/>
        <w:overflowPunct/>
        <w:topLinePunct w:val="0"/>
        <w:bidi w:val="0"/>
        <w:spacing w:before="1" w:line="360" w:lineRule="auto"/>
        <w:ind w:left="223" w:right="215"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（3）加强绿地内消防设施的建设与管理,与消防部门建立沟通协调机制，加强对绿地内消防设施的日常检查和维护。</w:t>
      </w:r>
    </w:p>
    <w:p w14:paraId="5202CE7F">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（二）安全管理</w:t>
      </w:r>
    </w:p>
    <w:p w14:paraId="2A83BD9A">
      <w:pPr>
        <w:pStyle w:val="100"/>
        <w:keepNext w:val="0"/>
        <w:keepLines w:val="0"/>
        <w:pageBreakBefore w:val="0"/>
        <w:widowControl w:val="0"/>
        <w:numPr>
          <w:ilvl w:val="0"/>
          <w:numId w:val="35"/>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仓库管理</w:t>
      </w:r>
    </w:p>
    <w:p w14:paraId="39812C20">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（1）应建立管理制度，明确管理人员职责。</w:t>
      </w:r>
    </w:p>
    <w:p w14:paraId="3E779E2D">
      <w:pPr>
        <w:pStyle w:val="17"/>
        <w:pageBreakBefore w:val="0"/>
        <w:kinsoku/>
        <w:wordWrap/>
        <w:overflowPunct/>
        <w:topLinePunct w:val="0"/>
        <w:bidi w:val="0"/>
        <w:spacing w:before="151" w:line="360" w:lineRule="auto"/>
        <w:ind w:left="223" w:right="217"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（2）农药、化肥、汽油等危险、易燃物应分类存放，按规定配备灭火器，做好防潮、防火、防腐蚀、防盗等安全防护措施。</w:t>
      </w:r>
    </w:p>
    <w:p w14:paraId="0DA9B4EA">
      <w:pPr>
        <w:pStyle w:val="100"/>
        <w:keepNext w:val="0"/>
        <w:keepLines w:val="0"/>
        <w:pageBreakBefore w:val="0"/>
        <w:widowControl w:val="0"/>
        <w:numPr>
          <w:ilvl w:val="0"/>
          <w:numId w:val="35"/>
        </w:numPr>
        <w:tabs>
          <w:tab w:val="left" w:pos="915"/>
        </w:tabs>
        <w:kinsoku/>
        <w:wordWrap/>
        <w:overflowPunct/>
        <w:topLinePunct w:val="0"/>
        <w:autoSpaceDE/>
        <w:autoSpaceDN/>
        <w:bidi w:val="0"/>
        <w:adjustRightInd/>
        <w:snapToGrid/>
        <w:spacing w:before="35" w:line="360" w:lineRule="auto"/>
        <w:ind w:left="221"/>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应急抢险</w:t>
      </w:r>
    </w:p>
    <w:p w14:paraId="306372DA">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（1）制定应急抢险预案，做好人员、物资、设备等方面的应急准备工作。</w:t>
      </w:r>
    </w:p>
    <w:p w14:paraId="1BEAC8A2">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（2）雨、雪、大风等灾害性天气应及时做好安全抢险救灾工作。</w:t>
      </w:r>
    </w:p>
    <w:p w14:paraId="7053DD30">
      <w:pPr>
        <w:pStyle w:val="17"/>
        <w:keepNext w:val="0"/>
        <w:keepLines w:val="0"/>
        <w:pageBreakBefore w:val="0"/>
        <w:widowControl w:val="0"/>
        <w:kinsoku/>
        <w:wordWrap/>
        <w:overflowPunct/>
        <w:topLinePunct w:val="0"/>
        <w:autoSpaceDE/>
        <w:autoSpaceDN/>
        <w:bidi w:val="0"/>
        <w:adjustRightInd/>
        <w:snapToGrid/>
        <w:spacing w:before="0" w:line="360" w:lineRule="auto"/>
        <w:ind w:left="0" w:right="0"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（3）交通事故等造成的树木损伤、绿地设施毁坏应及时进行现场处理。</w:t>
      </w:r>
    </w:p>
    <w:p w14:paraId="544D7AFC">
      <w:pPr>
        <w:pStyle w:val="17"/>
        <w:pageBreakBefore w:val="0"/>
        <w:kinsoku/>
        <w:wordWrap/>
        <w:overflowPunct/>
        <w:topLinePunct w:val="0"/>
        <w:bidi w:val="0"/>
        <w:spacing w:before="151" w:line="360" w:lineRule="auto"/>
        <w:ind w:left="650" w:right="173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五、培训和宣传</w:t>
      </w:r>
    </w:p>
    <w:p w14:paraId="68AB9563">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（一）加强培训</w:t>
      </w:r>
    </w:p>
    <w:p w14:paraId="0B592EBF">
      <w:pPr>
        <w:pStyle w:val="100"/>
        <w:pageBreakBefore w:val="0"/>
        <w:numPr>
          <w:ilvl w:val="0"/>
          <w:numId w:val="36"/>
        </w:numPr>
        <w:tabs>
          <w:tab w:val="left" w:pos="915"/>
        </w:tabs>
        <w:kinsoku/>
        <w:wordWrap/>
        <w:overflowPunct/>
        <w:topLinePunct w:val="0"/>
        <w:bidi w:val="0"/>
        <w:spacing w:before="151" w:line="360" w:lineRule="auto"/>
        <w:ind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制定年度培训工作计划，包括：培训内容、培训对象、培训方法、培训的时间及地点。</w:t>
      </w:r>
    </w:p>
    <w:p w14:paraId="2F35A989">
      <w:pPr>
        <w:pStyle w:val="100"/>
        <w:pageBreakBefore w:val="0"/>
        <w:numPr>
          <w:ilvl w:val="0"/>
          <w:numId w:val="36"/>
        </w:numPr>
        <w:tabs>
          <w:tab w:val="left" w:pos="918"/>
        </w:tabs>
        <w:kinsoku/>
        <w:wordWrap/>
        <w:overflowPunct/>
        <w:topLinePunct w:val="0"/>
        <w:bidi w:val="0"/>
        <w:spacing w:before="151" w:line="360" w:lineRule="auto"/>
        <w:ind w:right="219"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建立养护工作管理人员与一线工人的专业技术考核体系，增强精细化管理意识，促进</w:t>
      </w:r>
      <w:r>
        <w:rPr>
          <w:rFonts w:hint="eastAsia" w:ascii="宋体" w:hAnsi="宋体" w:eastAsia="宋体" w:cs="宋体"/>
          <w:color w:val="auto"/>
          <w:spacing w:val="-3"/>
          <w:sz w:val="24"/>
          <w:szCs w:val="24"/>
          <w:highlight w:val="none"/>
          <w:lang w:eastAsia="zh-CN"/>
        </w:rPr>
        <w:t>养护队伍整体专业技术水平的提升。</w:t>
      </w:r>
    </w:p>
    <w:p w14:paraId="3BC3B081">
      <w:pPr>
        <w:pStyle w:val="100"/>
        <w:pageBreakBefore w:val="0"/>
        <w:numPr>
          <w:ilvl w:val="0"/>
          <w:numId w:val="36"/>
        </w:numPr>
        <w:tabs>
          <w:tab w:val="left" w:pos="918"/>
        </w:tabs>
        <w:kinsoku/>
        <w:wordWrap/>
        <w:overflowPunct/>
        <w:topLinePunct w:val="0"/>
        <w:bidi w:val="0"/>
        <w:spacing w:before="1" w:line="360" w:lineRule="auto"/>
        <w:ind w:right="219"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加强对员工的文明素质教育，规范养护人员文明作业，统一着装，树立园林行业良好形象。</w:t>
      </w:r>
    </w:p>
    <w:p w14:paraId="6FBBB476">
      <w:pPr>
        <w:pStyle w:val="17"/>
        <w:pageBreakBefore w:val="0"/>
        <w:kinsoku/>
        <w:wordWrap/>
        <w:overflowPunct/>
        <w:topLinePunct w:val="0"/>
        <w:bidi w:val="0"/>
        <w:spacing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（二）加强宣传</w:t>
      </w:r>
    </w:p>
    <w:p w14:paraId="5385E890">
      <w:pPr>
        <w:pStyle w:val="17"/>
        <w:pageBreakBefore w:val="0"/>
        <w:kinsoku/>
        <w:wordWrap/>
        <w:overflowPunct/>
        <w:topLinePunct w:val="0"/>
        <w:bidi w:val="0"/>
        <w:spacing w:before="151" w:line="360" w:lineRule="auto"/>
        <w:ind w:left="223" w:right="215"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定期开展数字化园林管理系统的科普宣传工作，采用牌示、图展、视频、新媒体等多种形</w:t>
      </w:r>
      <w:r>
        <w:rPr>
          <w:rFonts w:hint="eastAsia" w:ascii="宋体" w:hAnsi="宋体" w:eastAsia="宋体" w:cs="宋体"/>
          <w:color w:val="auto"/>
          <w:spacing w:val="-5"/>
          <w:sz w:val="24"/>
          <w:szCs w:val="24"/>
          <w:highlight w:val="none"/>
          <w:lang w:eastAsia="zh-CN"/>
        </w:rPr>
        <w:t>式向公众展示园林绿化知识，增强群众爱绿护绿意识。</w:t>
      </w:r>
    </w:p>
    <w:p w14:paraId="4AFFA7E4">
      <w:pPr>
        <w:pStyle w:val="17"/>
        <w:pageBreakBefore w:val="0"/>
        <w:kinsoku/>
        <w:wordWrap/>
        <w:overflowPunct/>
        <w:topLinePunct w:val="0"/>
        <w:bidi w:val="0"/>
        <w:spacing w:before="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六、信息平台建设</w:t>
      </w:r>
    </w:p>
    <w:p w14:paraId="1A4BC5DB">
      <w:pPr>
        <w:pStyle w:val="17"/>
        <w:pageBreakBefore w:val="0"/>
        <w:kinsoku/>
        <w:wordWrap/>
        <w:overflowPunct/>
        <w:topLinePunct w:val="0"/>
        <w:bidi w:val="0"/>
        <w:spacing w:before="151" w:line="360" w:lineRule="auto"/>
        <w:ind w:left="6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（一）建立绿地台账</w:t>
      </w:r>
    </w:p>
    <w:p w14:paraId="0CF8599D">
      <w:pPr>
        <w:pStyle w:val="17"/>
        <w:pageBreakBefore w:val="0"/>
        <w:kinsoku/>
        <w:wordWrap/>
        <w:overflowPunct/>
        <w:topLinePunct w:val="0"/>
        <w:bidi w:val="0"/>
        <w:spacing w:before="151" w:line="360" w:lineRule="auto"/>
        <w:ind w:left="223" w:right="215" w:firstLine="427"/>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台账包括绿地类型、名称、位置（坐标）、 面积、植物种类和数量、绿地设施、绿地用水、绿地等级、建成时间、权属、责任单位、责任人及联系方式等内容，采取纸质和电子形式，并实施动态管理。</w:t>
      </w:r>
    </w:p>
    <w:p w14:paraId="60AE9353">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（二）完善养护资料</w:t>
      </w:r>
    </w:p>
    <w:p w14:paraId="7F27C51F">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制定绿地养护计划，做好日常养护资料的收集与整理，建立电子技术档案。</w:t>
      </w:r>
    </w:p>
    <w:p w14:paraId="550F6368">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（三）问题处理与反馈</w:t>
      </w:r>
    </w:p>
    <w:p w14:paraId="7433F4EB">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将巡查、遥感监测、群众举报等养护问题及照片输入管理平台，由责任单位按时整改并反</w:t>
      </w:r>
    </w:p>
    <w:p w14:paraId="42A3FE76">
      <w:pPr>
        <w:pStyle w:val="17"/>
        <w:pageBreakBefore w:val="0"/>
        <w:kinsoku/>
        <w:wordWrap/>
        <w:overflowPunct/>
        <w:topLinePunct w:val="0"/>
        <w:bidi w:val="0"/>
        <w:spacing w:before="151" w:line="360" w:lineRule="auto"/>
        <w:ind w:left="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馈。</w:t>
      </w:r>
    </w:p>
    <w:p w14:paraId="50C333CE">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七、监督与考评</w:t>
      </w:r>
    </w:p>
    <w:p w14:paraId="106A336D">
      <w:pPr>
        <w:pStyle w:val="17"/>
        <w:pageBreakBefore w:val="0"/>
        <w:kinsoku/>
        <w:wordWrap/>
        <w:overflowPunct/>
        <w:topLinePunct w:val="0"/>
        <w:bidi w:val="0"/>
        <w:spacing w:before="151"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（一）建立监督考核制度，制定考核办法，完善考评标准，发挥好检查、监督、指导、协</w:t>
      </w:r>
    </w:p>
    <w:p w14:paraId="755A9116">
      <w:pPr>
        <w:pStyle w:val="17"/>
        <w:pageBreakBefore w:val="0"/>
        <w:kinsoku/>
        <w:wordWrap/>
        <w:overflowPunct/>
        <w:topLinePunct w:val="0"/>
        <w:bidi w:val="0"/>
        <w:spacing w:before="151" w:line="360" w:lineRule="auto"/>
        <w:ind w:left="22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调等政府职能。</w:t>
      </w:r>
    </w:p>
    <w:p w14:paraId="788159AE">
      <w:pPr>
        <w:pStyle w:val="17"/>
        <w:pageBreakBefore w:val="0"/>
        <w:kinsoku/>
        <w:wordWrap/>
        <w:overflowPunct/>
        <w:topLinePunct w:val="0"/>
        <w:bidi w:val="0"/>
        <w:spacing w:before="151" w:line="360" w:lineRule="auto"/>
        <w:ind w:left="224" w:right="214"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pacing w:val="-22"/>
          <w:sz w:val="24"/>
          <w:szCs w:val="24"/>
          <w:highlight w:val="none"/>
          <w:lang w:eastAsia="zh-CN"/>
        </w:rPr>
        <w:t>）</w:t>
      </w:r>
      <w:r>
        <w:rPr>
          <w:rFonts w:hint="eastAsia" w:ascii="宋体" w:hAnsi="宋体" w:eastAsia="宋体" w:cs="宋体"/>
          <w:color w:val="auto"/>
          <w:spacing w:val="-6"/>
          <w:sz w:val="24"/>
          <w:szCs w:val="24"/>
          <w:highlight w:val="none"/>
          <w:lang w:eastAsia="zh-CN"/>
        </w:rPr>
        <w:t>建立健全城镇绿化管理长效机制，制定城镇绿化管理规划，作好城镇绿化管理年度计划。</w:t>
      </w:r>
    </w:p>
    <w:p w14:paraId="045F49D9">
      <w:pPr>
        <w:pStyle w:val="17"/>
        <w:pageBreakBefore w:val="0"/>
        <w:kinsoku/>
        <w:wordWrap/>
        <w:overflowPunct/>
        <w:topLinePunct w:val="0"/>
        <w:bidi w:val="0"/>
        <w:spacing w:before="1" w:line="360" w:lineRule="auto"/>
        <w:ind w:left="651" w:right="112"/>
        <w:textAlignment w:val="auto"/>
        <w:rPr>
          <w:rFonts w:hint="eastAsia" w:ascii="宋体" w:hAnsi="宋体" w:eastAsia="宋体" w:cs="宋体"/>
          <w:color w:val="auto"/>
          <w:spacing w:val="-11"/>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3"/>
          <w:sz w:val="24"/>
          <w:szCs w:val="24"/>
          <w:highlight w:val="none"/>
          <w:lang w:eastAsia="zh-CN"/>
        </w:rPr>
        <w:t>三</w:t>
      </w:r>
      <w:r>
        <w:rPr>
          <w:rFonts w:hint="eastAsia" w:ascii="宋体" w:hAnsi="宋体" w:eastAsia="宋体" w:cs="宋体"/>
          <w:color w:val="auto"/>
          <w:spacing w:val="-53"/>
          <w:sz w:val="24"/>
          <w:szCs w:val="24"/>
          <w:highlight w:val="none"/>
          <w:lang w:eastAsia="zh-CN"/>
        </w:rPr>
        <w:t>）</w:t>
      </w:r>
      <w:r>
        <w:rPr>
          <w:rFonts w:hint="eastAsia" w:ascii="宋体" w:hAnsi="宋体" w:eastAsia="宋体" w:cs="宋体"/>
          <w:color w:val="auto"/>
          <w:spacing w:val="-11"/>
          <w:sz w:val="24"/>
          <w:szCs w:val="24"/>
          <w:highlight w:val="none"/>
          <w:lang w:eastAsia="zh-CN"/>
        </w:rPr>
        <w:t>抓好城镇专业绿地等级升、定级工作，积极支持和逐步推进社会绿地等级评定工作。</w:t>
      </w:r>
    </w:p>
    <w:p w14:paraId="518CB11D">
      <w:pPr>
        <w:pStyle w:val="17"/>
        <w:pageBreakBefore w:val="0"/>
        <w:kinsoku/>
        <w:wordWrap/>
        <w:overflowPunct/>
        <w:topLinePunct w:val="0"/>
        <w:bidi w:val="0"/>
        <w:spacing w:before="1" w:line="360" w:lineRule="auto"/>
        <w:ind w:left="651" w:right="112"/>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八、附录</w:t>
      </w:r>
    </w:p>
    <w:p w14:paraId="66E1D435">
      <w:pPr>
        <w:pStyle w:val="17"/>
        <w:pageBreakBefore w:val="0"/>
        <w:kinsoku/>
        <w:wordWrap/>
        <w:overflowPunct/>
        <w:topLinePunct w:val="0"/>
        <w:bidi w:val="0"/>
        <w:spacing w:line="360" w:lineRule="auto"/>
        <w:ind w:left="224" w:right="109" w:firstLine="427"/>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竹类、水生植物、古树名木等养护管理参照《城镇绿地养护管理规范</w:t>
      </w:r>
      <w:r>
        <w:rPr>
          <w:rFonts w:hint="eastAsia" w:ascii="宋体" w:hAnsi="宋体" w:eastAsia="宋体" w:cs="宋体"/>
          <w:color w:val="auto"/>
          <w:spacing w:val="-125"/>
          <w:sz w:val="24"/>
          <w:szCs w:val="24"/>
          <w:highlight w:val="none"/>
          <w:lang w:eastAsia="zh-CN"/>
        </w:rPr>
        <w:t>》</w:t>
      </w:r>
      <w:r>
        <w:rPr>
          <w:rFonts w:hint="eastAsia" w:ascii="宋体" w:hAnsi="宋体" w:eastAsia="宋体" w:cs="宋体"/>
          <w:color w:val="auto"/>
          <w:sz w:val="24"/>
          <w:szCs w:val="24"/>
          <w:highlight w:val="none"/>
          <w:lang w:eastAsia="zh-CN"/>
        </w:rPr>
        <w:t>（DB11/T213-2014） 执行。</w:t>
      </w:r>
    </w:p>
    <w:p w14:paraId="5E44AFE6">
      <w:pPr>
        <w:pStyle w:val="17"/>
        <w:pageBreakBefore w:val="0"/>
        <w:kinsoku/>
        <w:wordWrap/>
        <w:overflowPunct/>
        <w:topLinePunct w:val="0"/>
        <w:bidi w:val="0"/>
        <w:spacing w:line="360" w:lineRule="auto"/>
        <w:ind w:left="651"/>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养护管理质量标准（表 1-4）</w:t>
      </w:r>
    </w:p>
    <w:p w14:paraId="55DC4AA0">
      <w:pPr>
        <w:pStyle w:val="2"/>
        <w:pageBreakBefore w:val="0"/>
        <w:kinsoku/>
        <w:wordWrap/>
        <w:overflowPunct/>
        <w:topLinePunct w:val="0"/>
        <w:bidi w:val="0"/>
        <w:spacing w:before="47" w:after="24" w:line="360" w:lineRule="auto"/>
        <w:ind w:left="2251" w:right="2247"/>
        <w:jc w:val="center"/>
        <w:textAlignment w:val="auto"/>
        <w:rPr>
          <w:rFonts w:hint="eastAsia" w:ascii="宋体" w:hAnsi="宋体" w:eastAsia="宋体" w:cs="宋体"/>
          <w:color w:val="auto"/>
          <w:sz w:val="24"/>
          <w:szCs w:val="24"/>
          <w:highlight w:val="none"/>
          <w:lang w:eastAsia="zh-CN"/>
        </w:rPr>
        <w:sectPr>
          <w:pgSz w:w="11910" w:h="16840"/>
          <w:pgMar w:top="1400" w:right="1480" w:bottom="1000" w:left="1420" w:header="0" w:footer="808" w:gutter="0"/>
          <w:pgNumType w:fmt="decimal"/>
          <w:cols w:space="720" w:num="1"/>
        </w:sectPr>
      </w:pPr>
      <w:bookmarkStart w:id="848" w:name="养护管理质量标准（表1）"/>
      <w:bookmarkEnd w:id="848"/>
      <w:bookmarkStart w:id="849" w:name="_Toc61947375"/>
      <w:bookmarkStart w:id="850" w:name="_Toc28612899"/>
      <w:bookmarkStart w:id="851" w:name="_Toc28273068"/>
    </w:p>
    <w:p w14:paraId="72408A10">
      <w:pPr>
        <w:spacing w:before="47" w:after="24"/>
        <w:ind w:left="2251" w:right="2247"/>
        <w:jc w:val="center"/>
        <w:outlineLvl w:val="9"/>
        <w:rPr>
          <w:color w:val="auto"/>
          <w:highlight w:val="none"/>
          <w:lang w:eastAsia="zh-CN"/>
        </w:rPr>
      </w:pPr>
      <w:r>
        <w:rPr>
          <w:color w:val="auto"/>
          <w:highlight w:val="none"/>
          <w:lang w:eastAsia="zh-CN"/>
        </w:rPr>
        <w:t xml:space="preserve">养护管理质量标准（表 </w:t>
      </w:r>
      <w:r>
        <w:rPr>
          <w:rFonts w:ascii="Times New Roman" w:eastAsia="Times New Roman"/>
          <w:color w:val="auto"/>
          <w:highlight w:val="none"/>
          <w:lang w:eastAsia="zh-CN"/>
        </w:rPr>
        <w:t>1</w:t>
      </w:r>
      <w:r>
        <w:rPr>
          <w:color w:val="auto"/>
          <w:highlight w:val="none"/>
          <w:lang w:eastAsia="zh-CN"/>
        </w:rPr>
        <w:t>）</w:t>
      </w:r>
      <w:bookmarkEnd w:id="849"/>
      <w:bookmarkEnd w:id="850"/>
      <w:bookmarkEnd w:id="851"/>
    </w:p>
    <w:tbl>
      <w:tblPr>
        <w:tblStyle w:val="46"/>
        <w:tblW w:w="0" w:type="auto"/>
        <w:tblInd w:w="35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59"/>
        <w:gridCol w:w="888"/>
        <w:gridCol w:w="2254"/>
        <w:gridCol w:w="2269"/>
        <w:gridCol w:w="2329"/>
      </w:tblGrid>
      <w:tr w14:paraId="54124B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4" w:hRule="atLeast"/>
        </w:trPr>
        <w:tc>
          <w:tcPr>
            <w:tcW w:w="559" w:type="dxa"/>
            <w:vMerge w:val="restart"/>
            <w:tcBorders>
              <w:bottom w:val="single" w:color="000000" w:sz="4" w:space="0"/>
              <w:right w:val="single" w:color="000000" w:sz="4" w:space="0"/>
            </w:tcBorders>
            <w:noWrap w:val="0"/>
            <w:vAlign w:val="center"/>
          </w:tcPr>
          <w:p w14:paraId="54C360B2">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序号</w:t>
            </w:r>
          </w:p>
        </w:tc>
        <w:tc>
          <w:tcPr>
            <w:tcW w:w="888" w:type="dxa"/>
            <w:vMerge w:val="restart"/>
            <w:tcBorders>
              <w:left w:val="single" w:color="000000" w:sz="4" w:space="0"/>
              <w:bottom w:val="single" w:color="000000" w:sz="4" w:space="0"/>
              <w:right w:val="single" w:color="000000" w:sz="4" w:space="0"/>
            </w:tcBorders>
            <w:noWrap w:val="0"/>
            <w:vAlign w:val="center"/>
          </w:tcPr>
          <w:p w14:paraId="2C1D5C3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项目</w:t>
            </w:r>
          </w:p>
        </w:tc>
        <w:tc>
          <w:tcPr>
            <w:tcW w:w="6852" w:type="dxa"/>
            <w:gridSpan w:val="3"/>
            <w:tcBorders>
              <w:left w:val="single" w:color="000000" w:sz="4" w:space="0"/>
              <w:bottom w:val="single" w:color="000000" w:sz="4" w:space="0"/>
            </w:tcBorders>
            <w:noWrap w:val="0"/>
            <w:vAlign w:val="center"/>
          </w:tcPr>
          <w:p w14:paraId="5C149D9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0"/>
                <w:highlight w:val="none"/>
              </w:rPr>
            </w:pPr>
            <w:r>
              <w:rPr>
                <w:color w:val="auto"/>
                <w:sz w:val="21"/>
                <w:highlight w:val="none"/>
              </w:rPr>
              <w:t>级别</w:t>
            </w:r>
          </w:p>
        </w:tc>
      </w:tr>
      <w:tr w14:paraId="1D8536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3" w:hRule="atLeast"/>
        </w:trPr>
        <w:tc>
          <w:tcPr>
            <w:tcW w:w="559" w:type="dxa"/>
            <w:vMerge w:val="continue"/>
            <w:tcBorders>
              <w:top w:val="nil"/>
              <w:bottom w:val="single" w:color="000000" w:sz="4" w:space="0"/>
              <w:right w:val="single" w:color="000000" w:sz="4" w:space="0"/>
            </w:tcBorders>
            <w:noWrap w:val="0"/>
            <w:vAlign w:val="center"/>
          </w:tcPr>
          <w:p w14:paraId="6387B2CA">
            <w:pPr>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
                <w:szCs w:val="2"/>
                <w:highlight w:val="none"/>
              </w:rPr>
            </w:pPr>
          </w:p>
        </w:tc>
        <w:tc>
          <w:tcPr>
            <w:tcW w:w="888" w:type="dxa"/>
            <w:vMerge w:val="continue"/>
            <w:tcBorders>
              <w:top w:val="nil"/>
              <w:left w:val="single" w:color="000000" w:sz="4" w:space="0"/>
              <w:bottom w:val="single" w:color="000000" w:sz="4" w:space="0"/>
              <w:right w:val="single" w:color="000000" w:sz="4" w:space="0"/>
            </w:tcBorders>
            <w:noWrap w:val="0"/>
            <w:vAlign w:val="center"/>
          </w:tcPr>
          <w:p w14:paraId="75C20A6A">
            <w:pPr>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
                <w:szCs w:val="2"/>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0CB7908F">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183FB49E">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784BC37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二级</w:t>
            </w:r>
          </w:p>
        </w:tc>
      </w:tr>
      <w:tr w14:paraId="59D11C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3" w:hRule="atLeast"/>
        </w:trPr>
        <w:tc>
          <w:tcPr>
            <w:tcW w:w="559" w:type="dxa"/>
            <w:tcBorders>
              <w:top w:val="single" w:color="000000" w:sz="4" w:space="0"/>
              <w:bottom w:val="single" w:color="000000" w:sz="4" w:space="0"/>
              <w:right w:val="single" w:color="000000" w:sz="4" w:space="0"/>
            </w:tcBorders>
            <w:noWrap w:val="0"/>
            <w:vAlign w:val="center"/>
          </w:tcPr>
          <w:p w14:paraId="7713A5EF">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97E86D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植物配置</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416DF269">
            <w:pPr>
              <w:pStyle w:val="25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color w:val="auto"/>
                <w:sz w:val="21"/>
                <w:highlight w:val="none"/>
                <w:lang w:eastAsia="zh-CN"/>
              </w:rPr>
            </w:pPr>
            <w:r>
              <w:rPr>
                <w:color w:val="auto"/>
                <w:spacing w:val="-9"/>
                <w:sz w:val="21"/>
                <w:highlight w:val="none"/>
                <w:lang w:eastAsia="zh-CN"/>
              </w:rPr>
              <w:t>乔灌花草相结合，植物种类（含品种）≥20种， 非林下草坪≤30%。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CC8DE91">
            <w:pPr>
              <w:pStyle w:val="25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color w:val="auto"/>
                <w:sz w:val="21"/>
                <w:highlight w:val="none"/>
                <w:lang w:eastAsia="zh-CN"/>
              </w:rPr>
            </w:pPr>
            <w:r>
              <w:rPr>
                <w:color w:val="auto"/>
                <w:spacing w:val="-9"/>
                <w:sz w:val="21"/>
                <w:highlight w:val="none"/>
                <w:lang w:eastAsia="zh-CN"/>
              </w:rPr>
              <w:t>乔灌花草相结合，植物</w:t>
            </w:r>
            <w:r>
              <w:rPr>
                <w:color w:val="auto"/>
                <w:spacing w:val="-29"/>
                <w:sz w:val="21"/>
                <w:highlight w:val="none"/>
                <w:lang w:eastAsia="zh-CN"/>
              </w:rPr>
              <w:t>种类</w:t>
            </w:r>
            <w:r>
              <w:rPr>
                <w:color w:val="auto"/>
                <w:sz w:val="21"/>
                <w:highlight w:val="none"/>
                <w:lang w:eastAsia="zh-CN"/>
              </w:rPr>
              <w:t>（</w:t>
            </w:r>
            <w:r>
              <w:rPr>
                <w:color w:val="auto"/>
                <w:spacing w:val="-3"/>
                <w:sz w:val="21"/>
                <w:highlight w:val="none"/>
                <w:lang w:eastAsia="zh-CN"/>
              </w:rPr>
              <w:t>含品种</w:t>
            </w:r>
            <w:r>
              <w:rPr>
                <w:color w:val="auto"/>
                <w:spacing w:val="-15"/>
                <w:sz w:val="21"/>
                <w:highlight w:val="none"/>
                <w:lang w:eastAsia="zh-CN"/>
              </w:rPr>
              <w:t>）</w:t>
            </w:r>
            <w:r>
              <w:rPr>
                <w:rFonts w:ascii="Times New Roman" w:hAnsi="Times New Roman" w:eastAsia="Times New Roman"/>
                <w:color w:val="auto"/>
                <w:spacing w:val="-15"/>
                <w:sz w:val="21"/>
                <w:highlight w:val="none"/>
                <w:lang w:eastAsia="zh-CN"/>
              </w:rPr>
              <w:t>≥20</w:t>
            </w:r>
            <w:r>
              <w:rPr>
                <w:color w:val="auto"/>
                <w:sz w:val="21"/>
                <w:highlight w:val="none"/>
                <w:lang w:eastAsia="zh-CN"/>
              </w:rPr>
              <w:t xml:space="preserve">种， </w:t>
            </w:r>
            <w:r>
              <w:rPr>
                <w:color w:val="auto"/>
                <w:spacing w:val="-1"/>
                <w:sz w:val="21"/>
                <w:highlight w:val="none"/>
                <w:lang w:eastAsia="zh-CN"/>
              </w:rPr>
              <w:t>非林下草坪</w:t>
            </w:r>
            <w:r>
              <w:rPr>
                <w:rFonts w:ascii="Times New Roman" w:hAnsi="Times New Roman" w:eastAsia="Times New Roman"/>
                <w:color w:val="auto"/>
                <w:sz w:val="21"/>
                <w:highlight w:val="none"/>
                <w:lang w:eastAsia="zh-CN"/>
              </w:rPr>
              <w:t>≤30%</w:t>
            </w:r>
            <w:r>
              <w:rPr>
                <w:color w:val="auto"/>
                <w:sz w:val="21"/>
                <w:highlight w:val="none"/>
                <w:lang w:eastAsia="zh-CN"/>
              </w:rPr>
              <w:t>。</w:t>
            </w:r>
          </w:p>
        </w:tc>
        <w:tc>
          <w:tcPr>
            <w:tcW w:w="2329" w:type="dxa"/>
            <w:tcBorders>
              <w:top w:val="single" w:color="000000" w:sz="4" w:space="0"/>
              <w:left w:val="single" w:color="000000" w:sz="4" w:space="0"/>
              <w:bottom w:val="single" w:color="000000" w:sz="4" w:space="0"/>
            </w:tcBorders>
            <w:noWrap w:val="0"/>
            <w:vAlign w:val="center"/>
          </w:tcPr>
          <w:p w14:paraId="43787E68">
            <w:pPr>
              <w:pStyle w:val="251"/>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color w:val="auto"/>
                <w:sz w:val="21"/>
                <w:highlight w:val="none"/>
                <w:lang w:eastAsia="zh-CN"/>
              </w:rPr>
            </w:pPr>
            <w:r>
              <w:rPr>
                <w:color w:val="auto"/>
                <w:spacing w:val="-9"/>
                <w:sz w:val="21"/>
                <w:highlight w:val="none"/>
                <w:lang w:eastAsia="zh-CN"/>
              </w:rPr>
              <w:t>乔灌花草相结合，植物种类（含品种）≥10种， 单纯草坪≤50%。</w:t>
            </w:r>
          </w:p>
        </w:tc>
      </w:tr>
      <w:tr w14:paraId="134E19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1" w:hRule="atLeast"/>
        </w:trPr>
        <w:tc>
          <w:tcPr>
            <w:tcW w:w="559" w:type="dxa"/>
            <w:tcBorders>
              <w:top w:val="single" w:color="000000" w:sz="4" w:space="0"/>
              <w:bottom w:val="single" w:color="000000" w:sz="4" w:space="0"/>
              <w:right w:val="single" w:color="000000" w:sz="4" w:space="0"/>
            </w:tcBorders>
            <w:noWrap w:val="0"/>
            <w:vAlign w:val="center"/>
          </w:tcPr>
          <w:p w14:paraId="710330E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7ADDDC">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树木</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61C56B1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2 </w:t>
            </w: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170DEDE0">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2 </w:t>
            </w: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0C752D9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2 </w:t>
            </w:r>
            <w:r>
              <w:rPr>
                <w:color w:val="auto"/>
                <w:sz w:val="21"/>
                <w:highlight w:val="none"/>
              </w:rPr>
              <w:t>二级</w:t>
            </w:r>
          </w:p>
        </w:tc>
      </w:tr>
      <w:tr w14:paraId="7F03C3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559" w:type="dxa"/>
            <w:tcBorders>
              <w:top w:val="single" w:color="000000" w:sz="4" w:space="0"/>
              <w:bottom w:val="single" w:color="000000" w:sz="4" w:space="0"/>
              <w:right w:val="single" w:color="000000" w:sz="4" w:space="0"/>
            </w:tcBorders>
            <w:noWrap w:val="0"/>
            <w:vAlign w:val="center"/>
          </w:tcPr>
          <w:p w14:paraId="4B2494F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5270F8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花卉</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7F9C02D3">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3 </w:t>
            </w: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3220C40">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3 </w:t>
            </w: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18DF7E63">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3 </w:t>
            </w:r>
            <w:r>
              <w:rPr>
                <w:color w:val="auto"/>
                <w:sz w:val="21"/>
                <w:highlight w:val="none"/>
              </w:rPr>
              <w:t>二级</w:t>
            </w:r>
          </w:p>
        </w:tc>
      </w:tr>
      <w:tr w14:paraId="38933B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559" w:type="dxa"/>
            <w:tcBorders>
              <w:top w:val="single" w:color="000000" w:sz="4" w:space="0"/>
              <w:bottom w:val="single" w:color="000000" w:sz="4" w:space="0"/>
              <w:right w:val="single" w:color="000000" w:sz="4" w:space="0"/>
            </w:tcBorders>
            <w:noWrap w:val="0"/>
            <w:vAlign w:val="center"/>
          </w:tcPr>
          <w:p w14:paraId="30C8442C">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C11CDC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b/>
                <w:color w:val="auto"/>
                <w:sz w:val="21"/>
                <w:highlight w:val="none"/>
              </w:rPr>
            </w:pPr>
            <w:r>
              <w:rPr>
                <w:color w:val="auto"/>
                <w:sz w:val="21"/>
                <w:highlight w:val="none"/>
              </w:rPr>
              <w:t>草坪</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7AA0DF2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4 </w:t>
            </w:r>
            <w:r>
              <w:rPr>
                <w:color w:val="auto"/>
                <w:sz w:val="21"/>
                <w:highlight w:val="none"/>
              </w:rPr>
              <w:t>特级</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AD256B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4 </w:t>
            </w:r>
            <w:r>
              <w:rPr>
                <w:color w:val="auto"/>
                <w:sz w:val="21"/>
                <w:highlight w:val="none"/>
              </w:rPr>
              <w:t>一级</w:t>
            </w:r>
          </w:p>
        </w:tc>
        <w:tc>
          <w:tcPr>
            <w:tcW w:w="2329" w:type="dxa"/>
            <w:tcBorders>
              <w:top w:val="single" w:color="000000" w:sz="4" w:space="0"/>
              <w:left w:val="single" w:color="000000" w:sz="4" w:space="0"/>
              <w:bottom w:val="single" w:color="000000" w:sz="4" w:space="0"/>
            </w:tcBorders>
            <w:noWrap w:val="0"/>
            <w:vAlign w:val="center"/>
          </w:tcPr>
          <w:p w14:paraId="2251823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 xml:space="preserve">见表 </w:t>
            </w:r>
            <w:r>
              <w:rPr>
                <w:rFonts w:ascii="Times New Roman" w:eastAsia="Times New Roman"/>
                <w:color w:val="auto"/>
                <w:sz w:val="21"/>
                <w:highlight w:val="none"/>
              </w:rPr>
              <w:t xml:space="preserve">4 </w:t>
            </w:r>
            <w:r>
              <w:rPr>
                <w:color w:val="auto"/>
                <w:sz w:val="21"/>
                <w:highlight w:val="none"/>
              </w:rPr>
              <w:t>二级</w:t>
            </w:r>
          </w:p>
        </w:tc>
      </w:tr>
      <w:tr w14:paraId="2C97F7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4" w:hRule="atLeast"/>
        </w:trPr>
        <w:tc>
          <w:tcPr>
            <w:tcW w:w="559" w:type="dxa"/>
            <w:tcBorders>
              <w:top w:val="single" w:color="000000" w:sz="4" w:space="0"/>
              <w:bottom w:val="single" w:color="000000" w:sz="4" w:space="0"/>
              <w:right w:val="single" w:color="000000" w:sz="4" w:space="0"/>
            </w:tcBorders>
            <w:noWrap w:val="0"/>
            <w:vAlign w:val="center"/>
          </w:tcPr>
          <w:p w14:paraId="3E03FE6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5</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67BB98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b/>
                <w:color w:val="auto"/>
                <w:sz w:val="21"/>
                <w:highlight w:val="none"/>
              </w:rPr>
            </w:pPr>
            <w:r>
              <w:rPr>
                <w:color w:val="auto"/>
                <w:sz w:val="21"/>
                <w:highlight w:val="none"/>
              </w:rPr>
              <w:t>植物防护</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13325513">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措施得当，无危害症状，具体要求见规范。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0312C1D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基本无危害症状，具体要求见规范。</w:t>
            </w:r>
          </w:p>
        </w:tc>
        <w:tc>
          <w:tcPr>
            <w:tcW w:w="2329" w:type="dxa"/>
            <w:tcBorders>
              <w:top w:val="single" w:color="000000" w:sz="4" w:space="0"/>
              <w:left w:val="single" w:color="000000" w:sz="4" w:space="0"/>
              <w:bottom w:val="single" w:color="000000" w:sz="4" w:space="0"/>
            </w:tcBorders>
            <w:noWrap w:val="0"/>
            <w:vAlign w:val="center"/>
          </w:tcPr>
          <w:p w14:paraId="7AB4E79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无明显危害症状，具体要求见规范。</w:t>
            </w:r>
          </w:p>
        </w:tc>
      </w:tr>
      <w:tr w14:paraId="21E7B5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9" w:hRule="atLeast"/>
        </w:trPr>
        <w:tc>
          <w:tcPr>
            <w:tcW w:w="559" w:type="dxa"/>
            <w:tcBorders>
              <w:top w:val="single" w:color="000000" w:sz="4" w:space="0"/>
              <w:bottom w:val="single" w:color="000000" w:sz="4" w:space="0"/>
              <w:right w:val="single" w:color="000000" w:sz="4" w:space="0"/>
            </w:tcBorders>
            <w:noWrap w:val="0"/>
            <w:vAlign w:val="center"/>
          </w:tcPr>
          <w:p w14:paraId="2230D3E2">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6</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C56873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清洁保洁</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27CCC9B7">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垃圾及杂物随产随清， 具体要求见规范。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4D9C7440">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垃圾及杂物日产日清， 具体要求见规范。</w:t>
            </w:r>
          </w:p>
        </w:tc>
        <w:tc>
          <w:tcPr>
            <w:tcW w:w="2329" w:type="dxa"/>
            <w:tcBorders>
              <w:top w:val="single" w:color="000000" w:sz="4" w:space="0"/>
              <w:left w:val="single" w:color="000000" w:sz="4" w:space="0"/>
              <w:bottom w:val="single" w:color="000000" w:sz="4" w:space="0"/>
            </w:tcBorders>
            <w:noWrap w:val="0"/>
            <w:vAlign w:val="center"/>
          </w:tcPr>
          <w:p w14:paraId="4479B11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垃圾及杂物日产日清， 具体要求见规范。</w:t>
            </w:r>
          </w:p>
        </w:tc>
      </w:tr>
      <w:tr w14:paraId="76D38A7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4" w:hRule="atLeast"/>
        </w:trPr>
        <w:tc>
          <w:tcPr>
            <w:tcW w:w="559" w:type="dxa"/>
            <w:tcBorders>
              <w:top w:val="single" w:color="000000" w:sz="4" w:space="0"/>
              <w:bottom w:val="single" w:color="000000" w:sz="4" w:space="0"/>
              <w:right w:val="single" w:color="000000" w:sz="4" w:space="0"/>
            </w:tcBorders>
            <w:noWrap w:val="0"/>
            <w:vAlign w:val="center"/>
          </w:tcPr>
          <w:p w14:paraId="2C21945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749962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附属设施</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202E8DF5">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pacing w:val="-19"/>
                <w:sz w:val="21"/>
                <w:highlight w:val="none"/>
                <w:lang w:eastAsia="zh-CN"/>
              </w:rPr>
              <w:t xml:space="preserve">安全、完整、维护及时， </w:t>
            </w:r>
            <w:r>
              <w:rPr>
                <w:color w:val="auto"/>
                <w:spacing w:val="-8"/>
                <w:sz w:val="21"/>
                <w:highlight w:val="none"/>
                <w:lang w:eastAsia="zh-CN"/>
              </w:rPr>
              <w:t>具体要求见规范。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7BC290FD">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安全、完整、维护基本及时，具体要求见规</w:t>
            </w:r>
          </w:p>
          <w:p w14:paraId="28F0165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范。</w:t>
            </w:r>
          </w:p>
        </w:tc>
        <w:tc>
          <w:tcPr>
            <w:tcW w:w="2329" w:type="dxa"/>
            <w:tcBorders>
              <w:top w:val="single" w:color="000000" w:sz="4" w:space="0"/>
              <w:left w:val="single" w:color="000000" w:sz="4" w:space="0"/>
              <w:bottom w:val="single" w:color="000000" w:sz="4" w:space="0"/>
            </w:tcBorders>
            <w:noWrap w:val="0"/>
            <w:vAlign w:val="center"/>
          </w:tcPr>
          <w:p w14:paraId="43782EA6">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安全、基本完整、能进行维护，具体要求见规</w:t>
            </w:r>
          </w:p>
          <w:p w14:paraId="354879EA">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范。</w:t>
            </w:r>
          </w:p>
        </w:tc>
      </w:tr>
      <w:tr w14:paraId="1C9EBB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trPr>
        <w:tc>
          <w:tcPr>
            <w:tcW w:w="559" w:type="dxa"/>
            <w:tcBorders>
              <w:top w:val="single" w:color="000000" w:sz="4" w:space="0"/>
              <w:bottom w:val="single" w:color="000000" w:sz="4" w:space="0"/>
              <w:right w:val="single" w:color="000000" w:sz="4" w:space="0"/>
            </w:tcBorders>
            <w:noWrap w:val="0"/>
            <w:vAlign w:val="center"/>
          </w:tcPr>
          <w:p w14:paraId="483E6DC7">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1BED8E">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安全作业</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3BD9376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具体内容见规范。</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14:paraId="539AFAB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具体内容见规范。</w:t>
            </w:r>
          </w:p>
        </w:tc>
        <w:tc>
          <w:tcPr>
            <w:tcW w:w="2329" w:type="dxa"/>
            <w:tcBorders>
              <w:top w:val="single" w:color="000000" w:sz="4" w:space="0"/>
              <w:left w:val="single" w:color="000000" w:sz="4" w:space="0"/>
              <w:bottom w:val="single" w:color="000000" w:sz="4" w:space="0"/>
            </w:tcBorders>
            <w:noWrap w:val="0"/>
            <w:vAlign w:val="center"/>
          </w:tcPr>
          <w:p w14:paraId="22FFF807">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具体内容见规范。</w:t>
            </w:r>
          </w:p>
        </w:tc>
      </w:tr>
      <w:tr w14:paraId="161598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4" w:hRule="atLeast"/>
        </w:trPr>
        <w:tc>
          <w:tcPr>
            <w:tcW w:w="559" w:type="dxa"/>
            <w:tcBorders>
              <w:top w:val="single" w:color="000000" w:sz="4" w:space="0"/>
              <w:right w:val="single" w:color="000000" w:sz="4" w:space="0"/>
            </w:tcBorders>
            <w:noWrap w:val="0"/>
            <w:vAlign w:val="center"/>
          </w:tcPr>
          <w:p w14:paraId="48FC349B">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color w:val="auto"/>
                <w:sz w:val="21"/>
                <w:highlight w:val="none"/>
              </w:rPr>
            </w:pPr>
            <w:r>
              <w:rPr>
                <w:rFonts w:ascii="Times New Roman"/>
                <w:color w:val="auto"/>
                <w:sz w:val="21"/>
                <w:highlight w:val="none"/>
              </w:rPr>
              <w:t>9</w:t>
            </w:r>
          </w:p>
        </w:tc>
        <w:tc>
          <w:tcPr>
            <w:tcW w:w="888" w:type="dxa"/>
            <w:tcBorders>
              <w:top w:val="single" w:color="000000" w:sz="4" w:space="0"/>
              <w:left w:val="single" w:color="000000" w:sz="4" w:space="0"/>
              <w:right w:val="single" w:color="000000" w:sz="4" w:space="0"/>
            </w:tcBorders>
            <w:noWrap w:val="0"/>
            <w:vAlign w:val="center"/>
          </w:tcPr>
          <w:p w14:paraId="59478FD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rPr>
            </w:pPr>
            <w:r>
              <w:rPr>
                <w:color w:val="auto"/>
                <w:sz w:val="21"/>
                <w:highlight w:val="none"/>
              </w:rPr>
              <w:t>技术档案</w:t>
            </w:r>
          </w:p>
        </w:tc>
        <w:tc>
          <w:tcPr>
            <w:tcW w:w="2254" w:type="dxa"/>
            <w:tcBorders>
              <w:top w:val="single" w:color="000000" w:sz="4" w:space="0"/>
              <w:left w:val="single" w:color="000000" w:sz="4" w:space="0"/>
              <w:right w:val="single" w:color="000000" w:sz="4" w:space="0"/>
            </w:tcBorders>
            <w:noWrap w:val="0"/>
            <w:vAlign w:val="center"/>
          </w:tcPr>
          <w:p w14:paraId="1CB16BB1">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档案内容完整，具体要求见规范。</w:t>
            </w:r>
          </w:p>
        </w:tc>
        <w:tc>
          <w:tcPr>
            <w:tcW w:w="2269" w:type="dxa"/>
            <w:tcBorders>
              <w:top w:val="single" w:color="000000" w:sz="4" w:space="0"/>
              <w:left w:val="single" w:color="000000" w:sz="4" w:space="0"/>
              <w:right w:val="single" w:color="000000" w:sz="4" w:space="0"/>
            </w:tcBorders>
            <w:noWrap w:val="0"/>
            <w:vAlign w:val="center"/>
          </w:tcPr>
          <w:p w14:paraId="69FA8419">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档案内容基本完整，具体要求见规范。</w:t>
            </w:r>
          </w:p>
        </w:tc>
        <w:tc>
          <w:tcPr>
            <w:tcW w:w="2329" w:type="dxa"/>
            <w:tcBorders>
              <w:top w:val="single" w:color="000000" w:sz="4" w:space="0"/>
              <w:left w:val="single" w:color="000000" w:sz="4" w:space="0"/>
            </w:tcBorders>
            <w:noWrap w:val="0"/>
            <w:vAlign w:val="center"/>
          </w:tcPr>
          <w:p w14:paraId="64630D88">
            <w:pPr>
              <w:pStyle w:val="251"/>
              <w:keepNext w:val="0"/>
              <w:keepLines w:val="0"/>
              <w:pageBreakBefore w:val="0"/>
              <w:widowControl w:val="0"/>
              <w:kinsoku/>
              <w:wordWrap/>
              <w:overflowPunct/>
              <w:topLinePunct w:val="0"/>
              <w:bidi w:val="0"/>
              <w:adjustRightInd/>
              <w:snapToGrid/>
              <w:spacing w:line="240" w:lineRule="auto"/>
              <w:ind w:left="0" w:right="0"/>
              <w:jc w:val="center"/>
              <w:textAlignment w:val="auto"/>
              <w:rPr>
                <w:color w:val="auto"/>
                <w:sz w:val="21"/>
                <w:highlight w:val="none"/>
                <w:lang w:eastAsia="zh-CN"/>
              </w:rPr>
            </w:pPr>
            <w:r>
              <w:rPr>
                <w:color w:val="auto"/>
                <w:sz w:val="21"/>
                <w:highlight w:val="none"/>
                <w:lang w:eastAsia="zh-CN"/>
              </w:rPr>
              <w:t>档案内容基本完整，具体要求见规范。</w:t>
            </w:r>
          </w:p>
        </w:tc>
      </w:tr>
    </w:tbl>
    <w:p w14:paraId="4A787790">
      <w:pPr>
        <w:pStyle w:val="17"/>
        <w:spacing w:before="1"/>
        <w:rPr>
          <w:b/>
          <w:color w:val="auto"/>
          <w:sz w:val="36"/>
          <w:highlight w:val="none"/>
          <w:lang w:eastAsia="zh-CN"/>
        </w:rPr>
      </w:pPr>
    </w:p>
    <w:p w14:paraId="443D5D58">
      <w:pPr>
        <w:pStyle w:val="2"/>
        <w:spacing w:before="1" w:after="26"/>
        <w:ind w:left="2247" w:right="2247"/>
        <w:jc w:val="center"/>
        <w:rPr>
          <w:color w:val="auto"/>
          <w:highlight w:val="none"/>
          <w:lang w:eastAsia="zh-CN"/>
        </w:rPr>
        <w:sectPr>
          <w:pgSz w:w="11910" w:h="16840"/>
          <w:pgMar w:top="1400" w:right="1480" w:bottom="1000" w:left="1420" w:header="0" w:footer="808" w:gutter="0"/>
          <w:pgNumType w:fmt="decimal"/>
          <w:cols w:space="720" w:num="1"/>
        </w:sectPr>
      </w:pPr>
      <w:bookmarkStart w:id="852" w:name="树木养护管理质量等级（表2）"/>
      <w:bookmarkEnd w:id="852"/>
      <w:bookmarkStart w:id="853" w:name="_Toc28612900"/>
      <w:bookmarkStart w:id="854" w:name="_Toc61947376"/>
      <w:bookmarkStart w:id="855" w:name="_Toc28273069"/>
    </w:p>
    <w:p w14:paraId="203DE65C">
      <w:pPr>
        <w:spacing w:before="1" w:after="26"/>
        <w:ind w:left="2247" w:right="2247"/>
        <w:jc w:val="center"/>
        <w:outlineLvl w:val="9"/>
        <w:rPr>
          <w:color w:val="auto"/>
          <w:highlight w:val="none"/>
          <w:lang w:eastAsia="zh-CN"/>
        </w:rPr>
      </w:pPr>
      <w:r>
        <w:rPr>
          <w:color w:val="auto"/>
          <w:highlight w:val="none"/>
          <w:lang w:eastAsia="zh-CN"/>
        </w:rPr>
        <w:t xml:space="preserve">树木养护管理质量等级（表 </w:t>
      </w:r>
      <w:r>
        <w:rPr>
          <w:rFonts w:ascii="Times New Roman" w:eastAsia="Times New Roman"/>
          <w:color w:val="auto"/>
          <w:highlight w:val="none"/>
          <w:lang w:eastAsia="zh-CN"/>
        </w:rPr>
        <w:t>2</w:t>
      </w:r>
      <w:r>
        <w:rPr>
          <w:color w:val="auto"/>
          <w:highlight w:val="none"/>
          <w:lang w:eastAsia="zh-CN"/>
        </w:rPr>
        <w:t>）</w:t>
      </w:r>
      <w:bookmarkEnd w:id="853"/>
      <w:bookmarkEnd w:id="854"/>
      <w:bookmarkEnd w:id="855"/>
    </w:p>
    <w:tbl>
      <w:tblPr>
        <w:tblStyle w:val="46"/>
        <w:tblW w:w="0" w:type="auto"/>
        <w:tblInd w:w="32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6"/>
        <w:gridCol w:w="1152"/>
        <w:gridCol w:w="2254"/>
        <w:gridCol w:w="2268"/>
        <w:gridCol w:w="2227"/>
      </w:tblGrid>
      <w:tr w14:paraId="05C901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5" w:hRule="atLeast"/>
        </w:trPr>
        <w:tc>
          <w:tcPr>
            <w:tcW w:w="456" w:type="dxa"/>
            <w:vMerge w:val="restart"/>
            <w:tcBorders>
              <w:bottom w:val="single" w:color="000000" w:sz="4" w:space="0"/>
              <w:right w:val="single" w:color="000000" w:sz="4" w:space="0"/>
            </w:tcBorders>
            <w:noWrap w:val="0"/>
            <w:vAlign w:val="center"/>
          </w:tcPr>
          <w:p w14:paraId="2094FBB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序号</w:t>
            </w:r>
          </w:p>
        </w:tc>
        <w:tc>
          <w:tcPr>
            <w:tcW w:w="1152" w:type="dxa"/>
            <w:vMerge w:val="restart"/>
            <w:tcBorders>
              <w:left w:val="single" w:color="000000" w:sz="4" w:space="0"/>
              <w:bottom w:val="single" w:color="000000" w:sz="4" w:space="0"/>
              <w:right w:val="single" w:color="000000" w:sz="4" w:space="0"/>
            </w:tcBorders>
            <w:noWrap w:val="0"/>
            <w:vAlign w:val="center"/>
          </w:tcPr>
          <w:p w14:paraId="32BEEBC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18"/>
                <w:highlight w:val="none"/>
              </w:rPr>
            </w:pPr>
          </w:p>
          <w:p w14:paraId="663C042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项目</w:t>
            </w:r>
          </w:p>
        </w:tc>
        <w:tc>
          <w:tcPr>
            <w:tcW w:w="6749" w:type="dxa"/>
            <w:gridSpan w:val="3"/>
            <w:tcBorders>
              <w:left w:val="single" w:color="000000" w:sz="4" w:space="0"/>
              <w:bottom w:val="single" w:color="000000" w:sz="4" w:space="0"/>
            </w:tcBorders>
            <w:noWrap w:val="0"/>
            <w:vAlign w:val="center"/>
          </w:tcPr>
          <w:p w14:paraId="4A9498A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级别</w:t>
            </w:r>
          </w:p>
        </w:tc>
      </w:tr>
      <w:tr w14:paraId="12CA94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2" w:hRule="atLeast"/>
        </w:trPr>
        <w:tc>
          <w:tcPr>
            <w:tcW w:w="456" w:type="dxa"/>
            <w:vMerge w:val="continue"/>
            <w:tcBorders>
              <w:top w:val="nil"/>
              <w:bottom w:val="single" w:color="000000" w:sz="4" w:space="0"/>
              <w:right w:val="single" w:color="000000" w:sz="4" w:space="0"/>
            </w:tcBorders>
            <w:noWrap w:val="0"/>
            <w:vAlign w:val="center"/>
          </w:tcPr>
          <w:p w14:paraId="258EF7C9">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
                <w:szCs w:val="2"/>
                <w:highlight w:val="none"/>
              </w:rPr>
            </w:pPr>
          </w:p>
        </w:tc>
        <w:tc>
          <w:tcPr>
            <w:tcW w:w="1152" w:type="dxa"/>
            <w:vMerge w:val="continue"/>
            <w:tcBorders>
              <w:top w:val="nil"/>
              <w:left w:val="single" w:color="000000" w:sz="4" w:space="0"/>
              <w:bottom w:val="single" w:color="000000" w:sz="4" w:space="0"/>
              <w:right w:val="single" w:color="000000" w:sz="4" w:space="0"/>
            </w:tcBorders>
            <w:noWrap w:val="0"/>
            <w:vAlign w:val="center"/>
          </w:tcPr>
          <w:p w14:paraId="1A6B3024">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
                <w:szCs w:val="2"/>
                <w:highlight w:val="none"/>
              </w:rPr>
            </w:pP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50CD4AB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特级</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B9EB15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一级</w:t>
            </w:r>
          </w:p>
        </w:tc>
        <w:tc>
          <w:tcPr>
            <w:tcW w:w="2227" w:type="dxa"/>
            <w:tcBorders>
              <w:top w:val="single" w:color="000000" w:sz="4" w:space="0"/>
              <w:left w:val="single" w:color="000000" w:sz="4" w:space="0"/>
              <w:bottom w:val="single" w:color="000000" w:sz="4" w:space="0"/>
            </w:tcBorders>
            <w:noWrap w:val="0"/>
            <w:vAlign w:val="center"/>
          </w:tcPr>
          <w:p w14:paraId="24D24EA7">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b/>
                <w:color w:val="auto"/>
                <w:sz w:val="21"/>
                <w:highlight w:val="none"/>
              </w:rPr>
            </w:pPr>
            <w:r>
              <w:rPr>
                <w:b/>
                <w:color w:val="auto"/>
                <w:sz w:val="21"/>
                <w:highlight w:val="none"/>
              </w:rPr>
              <w:t>二级</w:t>
            </w:r>
          </w:p>
        </w:tc>
      </w:tr>
      <w:tr w14:paraId="1D274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42" w:hRule="atLeast"/>
        </w:trPr>
        <w:tc>
          <w:tcPr>
            <w:tcW w:w="456" w:type="dxa"/>
            <w:tcBorders>
              <w:top w:val="single" w:color="000000" w:sz="4" w:space="0"/>
              <w:right w:val="single" w:color="000000" w:sz="4" w:space="0"/>
            </w:tcBorders>
            <w:noWrap w:val="0"/>
            <w:vAlign w:val="center"/>
          </w:tcPr>
          <w:p w14:paraId="1864115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1</w:t>
            </w:r>
          </w:p>
        </w:tc>
        <w:tc>
          <w:tcPr>
            <w:tcW w:w="1152" w:type="dxa"/>
            <w:tcBorders>
              <w:top w:val="single" w:color="000000" w:sz="4" w:space="0"/>
              <w:left w:val="single" w:color="000000" w:sz="4" w:space="0"/>
              <w:right w:val="single" w:color="000000" w:sz="4" w:space="0"/>
            </w:tcBorders>
            <w:noWrap w:val="0"/>
            <w:vAlign w:val="center"/>
          </w:tcPr>
          <w:p w14:paraId="4C055872">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整体效果</w:t>
            </w:r>
          </w:p>
        </w:tc>
        <w:tc>
          <w:tcPr>
            <w:tcW w:w="2254" w:type="dxa"/>
            <w:tcBorders>
              <w:top w:val="single" w:color="000000" w:sz="4" w:space="0"/>
              <w:left w:val="single" w:color="000000" w:sz="4" w:space="0"/>
              <w:right w:val="single" w:color="000000" w:sz="4" w:space="0"/>
            </w:tcBorders>
            <w:noWrap w:val="0"/>
            <w:vAlign w:val="center"/>
          </w:tcPr>
          <w:p w14:paraId="7D780A7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
                <w:sz w:val="21"/>
                <w:highlight w:val="none"/>
                <w:lang w:eastAsia="zh-CN"/>
              </w:rPr>
              <w:t>（</w:t>
            </w:r>
            <w:r>
              <w:rPr>
                <w:rFonts w:ascii="Times New Roman" w:eastAsia="Times New Roman"/>
                <w:color w:val="auto"/>
                <w:spacing w:val="1"/>
                <w:sz w:val="21"/>
                <w:highlight w:val="none"/>
                <w:lang w:eastAsia="zh-CN"/>
              </w:rPr>
              <w:t>1</w:t>
            </w:r>
            <w:r>
              <w:rPr>
                <w:color w:val="auto"/>
                <w:spacing w:val="1"/>
                <w:sz w:val="21"/>
                <w:highlight w:val="none"/>
                <w:lang w:eastAsia="zh-CN"/>
              </w:rPr>
              <w:t>）</w:t>
            </w:r>
            <w:r>
              <w:rPr>
                <w:color w:val="auto"/>
                <w:sz w:val="21"/>
                <w:highlight w:val="none"/>
                <w:lang w:eastAsia="zh-CN"/>
              </w:rPr>
              <w:t>树林、树丛群落</w:t>
            </w:r>
            <w:r>
              <w:rPr>
                <w:color w:val="auto"/>
                <w:spacing w:val="-9"/>
                <w:sz w:val="21"/>
                <w:highlight w:val="none"/>
                <w:lang w:eastAsia="zh-CN"/>
              </w:rPr>
              <w:t>结构合理，植株疏密得</w:t>
            </w:r>
            <w:r>
              <w:rPr>
                <w:color w:val="auto"/>
                <w:spacing w:val="-10"/>
                <w:sz w:val="21"/>
                <w:highlight w:val="none"/>
                <w:lang w:eastAsia="zh-CN"/>
              </w:rPr>
              <w:t>当，层次分明，林冠线</w:t>
            </w:r>
            <w:r>
              <w:rPr>
                <w:color w:val="auto"/>
                <w:spacing w:val="-5"/>
                <w:sz w:val="21"/>
                <w:highlight w:val="none"/>
                <w:lang w:eastAsia="zh-CN"/>
              </w:rPr>
              <w:t>和林缘线清晰饱满；</w:t>
            </w:r>
          </w:p>
          <w:p w14:paraId="5A4D4149">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22"/>
                <w:sz w:val="21"/>
                <w:highlight w:val="none"/>
                <w:lang w:eastAsia="zh-CN"/>
              </w:rPr>
              <w:t>（</w:t>
            </w:r>
            <w:r>
              <w:rPr>
                <w:rFonts w:ascii="Times New Roman" w:eastAsia="Times New Roman"/>
                <w:color w:val="auto"/>
                <w:spacing w:val="-22"/>
                <w:sz w:val="21"/>
                <w:highlight w:val="none"/>
                <w:lang w:eastAsia="zh-CN"/>
              </w:rPr>
              <w:t>2</w:t>
            </w:r>
            <w:r>
              <w:rPr>
                <w:color w:val="auto"/>
                <w:spacing w:val="-22"/>
                <w:sz w:val="21"/>
                <w:highlight w:val="none"/>
                <w:lang w:eastAsia="zh-CN"/>
              </w:rPr>
              <w:t>）</w:t>
            </w:r>
            <w:r>
              <w:rPr>
                <w:color w:val="auto"/>
                <w:spacing w:val="-3"/>
                <w:sz w:val="21"/>
                <w:highlight w:val="none"/>
                <w:lang w:eastAsia="zh-CN"/>
              </w:rPr>
              <w:t>孤植树树形完美， 树冠饱满；</w:t>
            </w:r>
          </w:p>
          <w:p w14:paraId="6B2CDF8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22"/>
                <w:sz w:val="21"/>
                <w:highlight w:val="none"/>
                <w:lang w:eastAsia="zh-CN"/>
              </w:rPr>
              <w:t>（</w:t>
            </w:r>
            <w:r>
              <w:rPr>
                <w:rFonts w:ascii="Times New Roman" w:eastAsia="Times New Roman"/>
                <w:color w:val="auto"/>
                <w:spacing w:val="-22"/>
                <w:sz w:val="21"/>
                <w:highlight w:val="none"/>
                <w:lang w:eastAsia="zh-CN"/>
              </w:rPr>
              <w:t>3</w:t>
            </w:r>
            <w:r>
              <w:rPr>
                <w:color w:val="auto"/>
                <w:spacing w:val="-22"/>
                <w:sz w:val="21"/>
                <w:highlight w:val="none"/>
                <w:lang w:eastAsia="zh-CN"/>
              </w:rPr>
              <w:t>）</w:t>
            </w:r>
            <w:r>
              <w:rPr>
                <w:color w:val="auto"/>
                <w:spacing w:val="-3"/>
                <w:sz w:val="21"/>
                <w:highlight w:val="none"/>
                <w:lang w:eastAsia="zh-CN"/>
              </w:rPr>
              <w:t xml:space="preserve">行道树树冠完整， </w:t>
            </w:r>
            <w:r>
              <w:rPr>
                <w:color w:val="auto"/>
                <w:spacing w:val="-9"/>
                <w:sz w:val="21"/>
                <w:highlight w:val="none"/>
                <w:lang w:eastAsia="zh-CN"/>
              </w:rPr>
              <w:t>规格整齐、一致，缺株</w:t>
            </w:r>
          </w:p>
          <w:p w14:paraId="70F3117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rFonts w:ascii="Times New Roman" w:hAnsi="Times New Roman" w:eastAsia="Times New Roman"/>
                <w:color w:val="auto"/>
                <w:sz w:val="21"/>
                <w:highlight w:val="none"/>
                <w:lang w:eastAsia="zh-CN"/>
              </w:rPr>
              <w:t>≤3%</w:t>
            </w:r>
            <w:r>
              <w:rPr>
                <w:color w:val="auto"/>
                <w:sz w:val="21"/>
                <w:highlight w:val="none"/>
                <w:lang w:eastAsia="zh-CN"/>
              </w:rPr>
              <w:t>，树干挺直；</w:t>
            </w:r>
          </w:p>
          <w:p w14:paraId="67631AC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4</w:t>
            </w:r>
            <w:r>
              <w:rPr>
                <w:color w:val="auto"/>
                <w:sz w:val="21"/>
                <w:highlight w:val="none"/>
                <w:lang w:eastAsia="zh-CN"/>
              </w:rPr>
              <w:t>）绿篱无缺株，修剪面平整饱满，</w:t>
            </w:r>
          </w:p>
          <w:p w14:paraId="36E41AD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直线处平直，曲线处弧度圆润。</w:t>
            </w:r>
          </w:p>
        </w:tc>
        <w:tc>
          <w:tcPr>
            <w:tcW w:w="2268" w:type="dxa"/>
            <w:tcBorders>
              <w:top w:val="single" w:color="000000" w:sz="4" w:space="0"/>
              <w:left w:val="single" w:color="000000" w:sz="4" w:space="0"/>
              <w:right w:val="single" w:color="000000" w:sz="4" w:space="0"/>
            </w:tcBorders>
            <w:noWrap w:val="0"/>
            <w:vAlign w:val="center"/>
          </w:tcPr>
          <w:p w14:paraId="44F72A6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3"/>
                <w:sz w:val="21"/>
                <w:highlight w:val="none"/>
                <w:lang w:eastAsia="zh-CN"/>
              </w:rPr>
              <w:t>（</w:t>
            </w:r>
            <w:r>
              <w:rPr>
                <w:rFonts w:ascii="Times New Roman" w:eastAsia="Times New Roman"/>
                <w:color w:val="auto"/>
                <w:spacing w:val="3"/>
                <w:sz w:val="21"/>
                <w:highlight w:val="none"/>
                <w:lang w:eastAsia="zh-CN"/>
              </w:rPr>
              <w:t>1</w:t>
            </w:r>
            <w:r>
              <w:rPr>
                <w:color w:val="auto"/>
                <w:spacing w:val="3"/>
                <w:sz w:val="21"/>
                <w:highlight w:val="none"/>
                <w:lang w:eastAsia="zh-CN"/>
              </w:rPr>
              <w:t>）</w:t>
            </w:r>
            <w:r>
              <w:rPr>
                <w:color w:val="auto"/>
                <w:spacing w:val="2"/>
                <w:sz w:val="21"/>
                <w:highlight w:val="none"/>
                <w:lang w:eastAsia="zh-CN"/>
              </w:rPr>
              <w:t>树林、树丛群落</w:t>
            </w:r>
            <w:r>
              <w:rPr>
                <w:color w:val="auto"/>
                <w:spacing w:val="-8"/>
                <w:sz w:val="21"/>
                <w:highlight w:val="none"/>
                <w:lang w:eastAsia="zh-CN"/>
              </w:rPr>
              <w:t>结构基本合理，林冠线</w:t>
            </w:r>
            <w:r>
              <w:rPr>
                <w:color w:val="auto"/>
                <w:spacing w:val="-5"/>
                <w:sz w:val="21"/>
                <w:highlight w:val="none"/>
                <w:lang w:eastAsia="zh-CN"/>
              </w:rPr>
              <w:t>和林缘线基本完整；</w:t>
            </w:r>
          </w:p>
          <w:p w14:paraId="4737814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2</w:t>
            </w:r>
            <w:r>
              <w:rPr>
                <w:color w:val="auto"/>
                <w:sz w:val="21"/>
                <w:highlight w:val="none"/>
                <w:lang w:eastAsia="zh-CN"/>
              </w:rPr>
              <w:t>）孤植树树形基本完美，树冠基本饱满；</w:t>
            </w:r>
          </w:p>
          <w:p w14:paraId="390AA54A">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hAnsi="Times New Roman" w:eastAsia="Times New Roman"/>
                <w:color w:val="auto"/>
                <w:sz w:val="21"/>
                <w:highlight w:val="none"/>
                <w:lang w:eastAsia="zh-CN"/>
              </w:rPr>
              <w:t>3</w:t>
            </w:r>
            <w:r>
              <w:rPr>
                <w:color w:val="auto"/>
                <w:sz w:val="21"/>
                <w:highlight w:val="none"/>
                <w:lang w:eastAsia="zh-CN"/>
              </w:rPr>
              <w:t>）行道树树冠基本完整，规格基本整齐， 无死树，缺株</w:t>
            </w:r>
            <w:r>
              <w:rPr>
                <w:rFonts w:ascii="Times New Roman" w:hAnsi="Times New Roman" w:eastAsia="Times New Roman"/>
                <w:color w:val="auto"/>
                <w:sz w:val="21"/>
                <w:highlight w:val="none"/>
                <w:lang w:eastAsia="zh-CN"/>
              </w:rPr>
              <w:t>≤5%</w:t>
            </w:r>
            <w:r>
              <w:rPr>
                <w:color w:val="auto"/>
                <w:sz w:val="21"/>
                <w:highlight w:val="none"/>
                <w:lang w:eastAsia="zh-CN"/>
              </w:rPr>
              <w:t>，树冠基本完整统一，树干基本挺直；</w:t>
            </w:r>
          </w:p>
          <w:p w14:paraId="0D219AF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8"/>
                <w:sz w:val="21"/>
                <w:highlight w:val="none"/>
                <w:lang w:eastAsia="zh-CN"/>
              </w:rPr>
              <w:t>（</w:t>
            </w:r>
            <w:r>
              <w:rPr>
                <w:rFonts w:ascii="Times New Roman" w:eastAsia="Times New Roman"/>
                <w:color w:val="auto"/>
                <w:spacing w:val="-18"/>
                <w:sz w:val="21"/>
                <w:highlight w:val="none"/>
                <w:lang w:eastAsia="zh-CN"/>
              </w:rPr>
              <w:t>4</w:t>
            </w:r>
            <w:r>
              <w:rPr>
                <w:color w:val="auto"/>
                <w:spacing w:val="-18"/>
                <w:sz w:val="21"/>
                <w:highlight w:val="none"/>
                <w:lang w:eastAsia="zh-CN"/>
              </w:rPr>
              <w:t>）</w:t>
            </w:r>
            <w:r>
              <w:rPr>
                <w:color w:val="auto"/>
                <w:spacing w:val="-3"/>
                <w:sz w:val="21"/>
                <w:highlight w:val="none"/>
                <w:lang w:eastAsia="zh-CN"/>
              </w:rPr>
              <w:t xml:space="preserve">绿篱基本无缺株， </w:t>
            </w:r>
            <w:r>
              <w:rPr>
                <w:color w:val="auto"/>
                <w:spacing w:val="-9"/>
                <w:sz w:val="21"/>
                <w:highlight w:val="none"/>
                <w:lang w:eastAsia="zh-CN"/>
              </w:rPr>
              <w:t>修剪面平整饱满，直线</w:t>
            </w:r>
            <w:r>
              <w:rPr>
                <w:color w:val="auto"/>
                <w:spacing w:val="-8"/>
                <w:sz w:val="21"/>
                <w:highlight w:val="none"/>
                <w:lang w:eastAsia="zh-CN"/>
              </w:rPr>
              <w:t>处平直，曲线处弧度圆</w:t>
            </w:r>
            <w:r>
              <w:rPr>
                <w:color w:val="auto"/>
                <w:sz w:val="21"/>
                <w:highlight w:val="none"/>
                <w:lang w:eastAsia="zh-CN"/>
              </w:rPr>
              <w:t>润。</w:t>
            </w:r>
          </w:p>
        </w:tc>
        <w:tc>
          <w:tcPr>
            <w:tcW w:w="2227" w:type="dxa"/>
            <w:tcBorders>
              <w:top w:val="single" w:color="000000" w:sz="4" w:space="0"/>
              <w:left w:val="single" w:color="000000" w:sz="4" w:space="0"/>
            </w:tcBorders>
            <w:noWrap w:val="0"/>
            <w:vAlign w:val="center"/>
          </w:tcPr>
          <w:p w14:paraId="614453FA">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）树林、树丛具有</w:t>
            </w:r>
            <w:r>
              <w:rPr>
                <w:color w:val="auto"/>
                <w:spacing w:val="-13"/>
                <w:sz w:val="21"/>
                <w:highlight w:val="none"/>
                <w:lang w:eastAsia="zh-CN"/>
              </w:rPr>
              <w:t>基本完整的外貌，有一</w:t>
            </w:r>
            <w:r>
              <w:rPr>
                <w:color w:val="auto"/>
                <w:spacing w:val="-6"/>
                <w:sz w:val="21"/>
                <w:highlight w:val="none"/>
                <w:lang w:eastAsia="zh-CN"/>
              </w:rPr>
              <w:t>定的群落结构；</w:t>
            </w:r>
          </w:p>
          <w:p w14:paraId="0459FE4D">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2</w:t>
            </w:r>
            <w:r>
              <w:rPr>
                <w:color w:val="auto"/>
                <w:sz w:val="21"/>
                <w:highlight w:val="none"/>
                <w:lang w:eastAsia="zh-CN"/>
              </w:rPr>
              <w:t>）孤植树树形基本完美，树冠基本饱满；</w:t>
            </w:r>
          </w:p>
          <w:p w14:paraId="58EC608F">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hAnsi="Times New Roman" w:eastAsia="Times New Roman"/>
                <w:color w:val="auto"/>
                <w:sz w:val="21"/>
                <w:highlight w:val="none"/>
                <w:lang w:eastAsia="zh-CN"/>
              </w:rPr>
              <w:t>3</w:t>
            </w:r>
            <w:r>
              <w:rPr>
                <w:color w:val="auto"/>
                <w:sz w:val="21"/>
                <w:highlight w:val="none"/>
                <w:lang w:eastAsia="zh-CN"/>
              </w:rPr>
              <w:t>）行道树无死树， 缺株</w:t>
            </w:r>
            <w:r>
              <w:rPr>
                <w:rFonts w:ascii="Times New Roman" w:hAnsi="Times New Roman" w:eastAsia="Times New Roman"/>
                <w:color w:val="auto"/>
                <w:spacing w:val="-18"/>
                <w:sz w:val="21"/>
                <w:highlight w:val="none"/>
                <w:lang w:eastAsia="zh-CN"/>
              </w:rPr>
              <w:t>≤8%</w:t>
            </w:r>
            <w:r>
              <w:rPr>
                <w:color w:val="auto"/>
                <w:spacing w:val="-5"/>
                <w:sz w:val="21"/>
                <w:highlight w:val="none"/>
                <w:lang w:eastAsia="zh-CN"/>
              </w:rPr>
              <w:t>，树冠基本统</w:t>
            </w:r>
            <w:r>
              <w:rPr>
                <w:color w:val="auto"/>
                <w:spacing w:val="-4"/>
                <w:sz w:val="21"/>
                <w:highlight w:val="none"/>
                <w:lang w:eastAsia="zh-CN"/>
              </w:rPr>
              <w:t>一，树干基本挺直；</w:t>
            </w:r>
          </w:p>
          <w:p w14:paraId="253661D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4</w:t>
            </w:r>
            <w:r>
              <w:rPr>
                <w:color w:val="auto"/>
                <w:spacing w:val="-92"/>
                <w:sz w:val="21"/>
                <w:highlight w:val="none"/>
                <w:lang w:eastAsia="zh-CN"/>
              </w:rPr>
              <w:t>）</w:t>
            </w:r>
            <w:r>
              <w:rPr>
                <w:color w:val="auto"/>
                <w:spacing w:val="-3"/>
                <w:sz w:val="21"/>
                <w:highlight w:val="none"/>
                <w:lang w:eastAsia="zh-CN"/>
              </w:rPr>
              <w:t>绿篱基本无缺株，修剪面平整饱</w:t>
            </w:r>
          </w:p>
          <w:p w14:paraId="5F0B42A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2"/>
                <w:sz w:val="21"/>
                <w:highlight w:val="none"/>
                <w:lang w:eastAsia="zh-CN"/>
              </w:rPr>
              <w:t>满，直线处平直，曲线</w:t>
            </w:r>
            <w:r>
              <w:rPr>
                <w:color w:val="auto"/>
                <w:spacing w:val="-6"/>
                <w:sz w:val="21"/>
                <w:highlight w:val="none"/>
                <w:lang w:eastAsia="zh-CN"/>
              </w:rPr>
              <w:t>处弧度圆润。</w:t>
            </w:r>
          </w:p>
        </w:tc>
      </w:tr>
      <w:tr w14:paraId="514D1F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0" w:hRule="atLeast"/>
        </w:trPr>
        <w:tc>
          <w:tcPr>
            <w:tcW w:w="456" w:type="dxa"/>
            <w:tcBorders>
              <w:top w:val="single" w:color="000000" w:sz="4" w:space="0"/>
              <w:bottom w:val="single" w:color="000000" w:sz="4" w:space="0"/>
              <w:right w:val="single" w:color="000000" w:sz="4" w:space="0"/>
            </w:tcBorders>
            <w:noWrap w:val="0"/>
            <w:vAlign w:val="center"/>
          </w:tcPr>
          <w:p w14:paraId="376DA43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2</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4EA973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生长势</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1895CF0A">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枝叶生长茂盛，观花、观果树种正常开花结果，彩色树种季相特征明显，无枯枝。</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67E09B2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枝叶生长正常，观花、观果树种正常开花结果，无大型枯枝。</w:t>
            </w:r>
          </w:p>
        </w:tc>
        <w:tc>
          <w:tcPr>
            <w:tcW w:w="2227" w:type="dxa"/>
            <w:tcBorders>
              <w:top w:val="single" w:color="000000" w:sz="4" w:space="0"/>
              <w:left w:val="single" w:color="000000" w:sz="4" w:space="0"/>
              <w:bottom w:val="single" w:color="000000" w:sz="4" w:space="0"/>
            </w:tcBorders>
            <w:noWrap w:val="0"/>
            <w:vAlign w:val="center"/>
          </w:tcPr>
          <w:p w14:paraId="64A961F6">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1"/>
                <w:sz w:val="21"/>
                <w:highlight w:val="none"/>
                <w:lang w:eastAsia="zh-CN"/>
              </w:rPr>
              <w:t>植株生长量和色泽基</w:t>
            </w:r>
            <w:r>
              <w:rPr>
                <w:color w:val="auto"/>
                <w:spacing w:val="-13"/>
                <w:sz w:val="21"/>
                <w:highlight w:val="none"/>
                <w:lang w:eastAsia="zh-CN"/>
              </w:rPr>
              <w:t>本正常，观花、观果树</w:t>
            </w:r>
            <w:r>
              <w:rPr>
                <w:color w:val="auto"/>
                <w:spacing w:val="-6"/>
                <w:sz w:val="21"/>
                <w:highlight w:val="none"/>
                <w:lang w:eastAsia="zh-CN"/>
              </w:rPr>
              <w:t xml:space="preserve">种基本正常开花结果， </w:t>
            </w:r>
            <w:r>
              <w:rPr>
                <w:color w:val="auto"/>
                <w:spacing w:val="-4"/>
                <w:sz w:val="21"/>
                <w:highlight w:val="none"/>
                <w:lang w:eastAsia="zh-CN"/>
              </w:rPr>
              <w:t>无大型枯枝。</w:t>
            </w:r>
          </w:p>
        </w:tc>
      </w:tr>
      <w:tr w14:paraId="741AB4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456" w:type="dxa"/>
            <w:tcBorders>
              <w:top w:val="single" w:color="000000" w:sz="4" w:space="0"/>
              <w:bottom w:val="single" w:color="000000" w:sz="4" w:space="0"/>
              <w:right w:val="single" w:color="000000" w:sz="4" w:space="0"/>
            </w:tcBorders>
            <w:noWrap w:val="0"/>
            <w:vAlign w:val="center"/>
          </w:tcPr>
          <w:p w14:paraId="2433BF1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3</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1A1950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排灌</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2C841E3D">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植株未出现失水萎蔫和沥涝现象。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5AF7ACD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植株基本无失水萎蔫和沥涝现象。</w:t>
            </w:r>
          </w:p>
        </w:tc>
        <w:tc>
          <w:tcPr>
            <w:tcW w:w="2227" w:type="dxa"/>
            <w:tcBorders>
              <w:top w:val="single" w:color="000000" w:sz="4" w:space="0"/>
              <w:left w:val="single" w:color="000000" w:sz="4" w:space="0"/>
              <w:bottom w:val="single" w:color="000000" w:sz="4" w:space="0"/>
            </w:tcBorders>
            <w:noWrap w:val="0"/>
            <w:vAlign w:val="center"/>
          </w:tcPr>
          <w:p w14:paraId="790A67A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植株失水或积水现象</w:t>
            </w:r>
          </w:p>
          <w:p w14:paraId="0C6B01B4">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rFonts w:ascii="Times New Roman" w:eastAsia="Times New Roman"/>
                <w:color w:val="auto"/>
                <w:sz w:val="21"/>
                <w:highlight w:val="none"/>
                <w:lang w:eastAsia="zh-CN"/>
              </w:rPr>
              <w:t xml:space="preserve">1d </w:t>
            </w:r>
            <w:r>
              <w:rPr>
                <w:color w:val="auto"/>
                <w:sz w:val="21"/>
                <w:highlight w:val="none"/>
                <w:lang w:eastAsia="zh-CN"/>
              </w:rPr>
              <w:t>内消除。</w:t>
            </w:r>
          </w:p>
        </w:tc>
      </w:tr>
      <w:tr w14:paraId="0FE756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4" w:hRule="atLeast"/>
        </w:trPr>
        <w:tc>
          <w:tcPr>
            <w:tcW w:w="456" w:type="dxa"/>
            <w:tcBorders>
              <w:top w:val="single" w:color="000000" w:sz="4" w:space="0"/>
              <w:bottom w:val="single" w:color="000000" w:sz="4" w:space="0"/>
              <w:right w:val="single" w:color="000000" w:sz="4" w:space="0"/>
            </w:tcBorders>
            <w:noWrap w:val="0"/>
            <w:vAlign w:val="center"/>
          </w:tcPr>
          <w:p w14:paraId="284FF5EA">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4</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4194DF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病虫害防治</w:t>
            </w:r>
          </w:p>
        </w:tc>
        <w:tc>
          <w:tcPr>
            <w:tcW w:w="2254" w:type="dxa"/>
            <w:tcBorders>
              <w:top w:val="single" w:color="000000" w:sz="4" w:space="0"/>
              <w:left w:val="single" w:color="000000" w:sz="4" w:space="0"/>
              <w:bottom w:val="single" w:color="000000" w:sz="4" w:space="0"/>
              <w:right w:val="single" w:color="000000" w:sz="4" w:space="0"/>
            </w:tcBorders>
            <w:noWrap w:val="0"/>
            <w:vAlign w:val="center"/>
          </w:tcPr>
          <w:p w14:paraId="0091F00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）基本无危害状；</w:t>
            </w:r>
          </w:p>
          <w:p w14:paraId="541DFFB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14"/>
                <w:sz w:val="21"/>
                <w:highlight w:val="none"/>
                <w:lang w:eastAsia="zh-CN"/>
              </w:rPr>
              <w:t>（</w:t>
            </w:r>
            <w:r>
              <w:rPr>
                <w:rFonts w:ascii="Times New Roman" w:hAnsi="Times New Roman" w:eastAsia="Times New Roman"/>
                <w:color w:val="auto"/>
                <w:spacing w:val="-14"/>
                <w:sz w:val="21"/>
                <w:highlight w:val="none"/>
                <w:lang w:eastAsia="zh-CN"/>
              </w:rPr>
              <w:t>2</w:t>
            </w:r>
            <w:r>
              <w:rPr>
                <w:color w:val="auto"/>
                <w:spacing w:val="-14"/>
                <w:sz w:val="21"/>
                <w:highlight w:val="none"/>
                <w:lang w:eastAsia="zh-CN"/>
              </w:rPr>
              <w:t>）</w:t>
            </w:r>
            <w:r>
              <w:rPr>
                <w:color w:val="auto"/>
                <w:spacing w:val="-3"/>
                <w:sz w:val="21"/>
                <w:highlight w:val="none"/>
                <w:lang w:eastAsia="zh-CN"/>
              </w:rPr>
              <w:t>枝叶受害率</w:t>
            </w:r>
            <w:r>
              <w:rPr>
                <w:rFonts w:ascii="Times New Roman" w:hAnsi="Times New Roman" w:eastAsia="Times New Roman"/>
                <w:color w:val="auto"/>
                <w:sz w:val="21"/>
                <w:highlight w:val="none"/>
                <w:lang w:eastAsia="zh-CN"/>
              </w:rPr>
              <w:t>≤3%</w:t>
            </w:r>
            <w:r>
              <w:rPr>
                <w:color w:val="auto"/>
                <w:sz w:val="21"/>
                <w:highlight w:val="none"/>
                <w:lang w:eastAsia="zh-CN"/>
              </w:rPr>
              <w:t xml:space="preserve">， </w:t>
            </w:r>
            <w:r>
              <w:rPr>
                <w:color w:val="auto"/>
                <w:spacing w:val="-1"/>
                <w:sz w:val="21"/>
                <w:highlight w:val="none"/>
                <w:lang w:eastAsia="zh-CN"/>
              </w:rPr>
              <w:t>树干受害率</w:t>
            </w:r>
            <w:r>
              <w:rPr>
                <w:rFonts w:ascii="Times New Roman" w:hAnsi="Times New Roman" w:eastAsia="Times New Roman"/>
                <w:color w:val="auto"/>
                <w:sz w:val="21"/>
                <w:highlight w:val="none"/>
                <w:lang w:eastAsia="zh-CN"/>
              </w:rPr>
              <w:t>≤3%</w:t>
            </w:r>
            <w:r>
              <w:rPr>
                <w:color w:val="auto"/>
                <w:sz w:val="21"/>
                <w:highlight w:val="none"/>
                <w:lang w:eastAsia="zh-CN"/>
              </w:rPr>
              <w:t>。</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14:paraId="2AC81EDE">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）无明显危害状；</w:t>
            </w:r>
          </w:p>
          <w:p w14:paraId="205117B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pacing w:val="-8"/>
                <w:sz w:val="21"/>
                <w:highlight w:val="none"/>
                <w:lang w:eastAsia="zh-CN"/>
              </w:rPr>
              <w:t>（</w:t>
            </w:r>
            <w:r>
              <w:rPr>
                <w:rFonts w:ascii="Times New Roman" w:hAnsi="Times New Roman" w:eastAsia="Times New Roman"/>
                <w:color w:val="auto"/>
                <w:spacing w:val="-8"/>
                <w:sz w:val="21"/>
                <w:highlight w:val="none"/>
                <w:lang w:eastAsia="zh-CN"/>
              </w:rPr>
              <w:t>2</w:t>
            </w:r>
            <w:r>
              <w:rPr>
                <w:color w:val="auto"/>
                <w:spacing w:val="-8"/>
                <w:sz w:val="21"/>
                <w:highlight w:val="none"/>
                <w:lang w:eastAsia="zh-CN"/>
              </w:rPr>
              <w:t>）</w:t>
            </w:r>
            <w:r>
              <w:rPr>
                <w:color w:val="auto"/>
                <w:spacing w:val="-3"/>
                <w:sz w:val="21"/>
                <w:highlight w:val="none"/>
                <w:lang w:eastAsia="zh-CN"/>
              </w:rPr>
              <w:t>枝叶受害率</w:t>
            </w:r>
            <w:r>
              <w:rPr>
                <w:rFonts w:ascii="Times New Roman" w:hAnsi="Times New Roman" w:eastAsia="Times New Roman"/>
                <w:color w:val="auto"/>
                <w:sz w:val="21"/>
                <w:highlight w:val="none"/>
                <w:lang w:eastAsia="zh-CN"/>
              </w:rPr>
              <w:t>≤8%</w:t>
            </w:r>
            <w:r>
              <w:rPr>
                <w:color w:val="auto"/>
                <w:sz w:val="21"/>
                <w:highlight w:val="none"/>
                <w:lang w:eastAsia="zh-CN"/>
              </w:rPr>
              <w:t xml:space="preserve">， </w:t>
            </w:r>
            <w:r>
              <w:rPr>
                <w:color w:val="auto"/>
                <w:spacing w:val="-1"/>
                <w:sz w:val="21"/>
                <w:highlight w:val="none"/>
                <w:lang w:eastAsia="zh-CN"/>
              </w:rPr>
              <w:t>树干受害率</w:t>
            </w:r>
            <w:r>
              <w:rPr>
                <w:rFonts w:ascii="Times New Roman" w:hAnsi="Times New Roman" w:eastAsia="Times New Roman"/>
                <w:color w:val="auto"/>
                <w:sz w:val="21"/>
                <w:highlight w:val="none"/>
                <w:lang w:eastAsia="zh-CN"/>
              </w:rPr>
              <w:t>≤5%</w:t>
            </w:r>
            <w:r>
              <w:rPr>
                <w:color w:val="auto"/>
                <w:sz w:val="21"/>
                <w:highlight w:val="none"/>
                <w:lang w:eastAsia="zh-CN"/>
              </w:rPr>
              <w:t>。</w:t>
            </w:r>
          </w:p>
        </w:tc>
        <w:tc>
          <w:tcPr>
            <w:tcW w:w="2227" w:type="dxa"/>
            <w:tcBorders>
              <w:top w:val="single" w:color="000000" w:sz="4" w:space="0"/>
              <w:left w:val="single" w:color="000000" w:sz="4" w:space="0"/>
              <w:bottom w:val="single" w:color="000000" w:sz="4" w:space="0"/>
            </w:tcBorders>
            <w:noWrap w:val="0"/>
            <w:vAlign w:val="center"/>
          </w:tcPr>
          <w:p w14:paraId="7CF79B06">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w:t>
            </w:r>
            <w:r>
              <w:rPr>
                <w:rFonts w:ascii="Times New Roman" w:eastAsia="Times New Roman"/>
                <w:color w:val="auto"/>
                <w:sz w:val="21"/>
                <w:highlight w:val="none"/>
                <w:lang w:eastAsia="zh-CN"/>
              </w:rPr>
              <w:t>1</w:t>
            </w:r>
            <w:r>
              <w:rPr>
                <w:color w:val="auto"/>
                <w:sz w:val="21"/>
                <w:highlight w:val="none"/>
                <w:lang w:eastAsia="zh-CN"/>
              </w:rPr>
              <w:t>）无严重危害状；</w:t>
            </w:r>
          </w:p>
          <w:p w14:paraId="43AC9116">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 xml:space="preserve">（ </w:t>
            </w:r>
            <w:r>
              <w:rPr>
                <w:rFonts w:ascii="Times New Roman" w:eastAsia="Times New Roman"/>
                <w:color w:val="auto"/>
                <w:sz w:val="21"/>
                <w:highlight w:val="none"/>
                <w:lang w:eastAsia="zh-CN"/>
              </w:rPr>
              <w:t xml:space="preserve">2 </w:t>
            </w:r>
            <w:r>
              <w:rPr>
                <w:color w:val="auto"/>
                <w:spacing w:val="57"/>
                <w:sz w:val="21"/>
                <w:highlight w:val="none"/>
                <w:lang w:eastAsia="zh-CN"/>
              </w:rPr>
              <w:t>）</w:t>
            </w:r>
            <w:r>
              <w:rPr>
                <w:color w:val="auto"/>
                <w:spacing w:val="2"/>
                <w:sz w:val="21"/>
                <w:highlight w:val="none"/>
                <w:lang w:eastAsia="zh-CN"/>
              </w:rPr>
              <w:t>枝 叶受害 率</w:t>
            </w:r>
          </w:p>
          <w:p w14:paraId="7AB3ADC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rPr>
            </w:pPr>
            <w:r>
              <w:rPr>
                <w:rFonts w:ascii="Times New Roman" w:hAnsi="Times New Roman" w:eastAsia="Times New Roman"/>
                <w:color w:val="auto"/>
                <w:sz w:val="21"/>
                <w:highlight w:val="none"/>
              </w:rPr>
              <w:t xml:space="preserve">≤12% </w:t>
            </w:r>
            <w:r>
              <w:rPr>
                <w:color w:val="auto"/>
                <w:sz w:val="21"/>
                <w:highlight w:val="none"/>
              </w:rPr>
              <w:t>，树干受害率</w:t>
            </w:r>
          </w:p>
          <w:p w14:paraId="206E880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color w:val="auto"/>
                <w:sz w:val="21"/>
                <w:highlight w:val="none"/>
              </w:rPr>
            </w:pPr>
            <w:r>
              <w:rPr>
                <w:rFonts w:ascii="Times New Roman" w:hAnsi="Times New Roman" w:eastAsia="Times New Roman"/>
                <w:color w:val="auto"/>
                <w:sz w:val="21"/>
                <w:highlight w:val="none"/>
              </w:rPr>
              <w:t>≤8%</w:t>
            </w:r>
            <w:r>
              <w:rPr>
                <w:color w:val="auto"/>
                <w:sz w:val="21"/>
                <w:highlight w:val="none"/>
              </w:rPr>
              <w:t>。</w:t>
            </w:r>
          </w:p>
        </w:tc>
      </w:tr>
      <w:tr w14:paraId="707E95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8" w:hRule="atLeast"/>
        </w:trPr>
        <w:tc>
          <w:tcPr>
            <w:tcW w:w="456" w:type="dxa"/>
            <w:tcBorders>
              <w:top w:val="single" w:color="000000" w:sz="4" w:space="0"/>
              <w:right w:val="single" w:color="000000" w:sz="4" w:space="0"/>
            </w:tcBorders>
            <w:noWrap w:val="0"/>
            <w:vAlign w:val="center"/>
          </w:tcPr>
          <w:p w14:paraId="70B15F27">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color w:val="auto"/>
                <w:sz w:val="21"/>
                <w:highlight w:val="none"/>
              </w:rPr>
            </w:pPr>
            <w:r>
              <w:rPr>
                <w:rFonts w:ascii="Times New Roman"/>
                <w:color w:val="auto"/>
                <w:sz w:val="21"/>
                <w:highlight w:val="none"/>
              </w:rPr>
              <w:t>5</w:t>
            </w:r>
          </w:p>
        </w:tc>
        <w:tc>
          <w:tcPr>
            <w:tcW w:w="1152" w:type="dxa"/>
            <w:tcBorders>
              <w:top w:val="single" w:color="000000" w:sz="4" w:space="0"/>
              <w:left w:val="single" w:color="000000" w:sz="4" w:space="0"/>
              <w:right w:val="single" w:color="000000" w:sz="4" w:space="0"/>
            </w:tcBorders>
            <w:noWrap w:val="0"/>
            <w:vAlign w:val="center"/>
          </w:tcPr>
          <w:p w14:paraId="20333B7A">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补植完成</w:t>
            </w:r>
          </w:p>
          <w:p w14:paraId="66D92780">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color w:val="auto"/>
                <w:sz w:val="21"/>
                <w:highlight w:val="none"/>
              </w:rPr>
            </w:pPr>
            <w:r>
              <w:rPr>
                <w:color w:val="auto"/>
                <w:sz w:val="21"/>
                <w:highlight w:val="none"/>
              </w:rPr>
              <w:t>时间</w:t>
            </w:r>
          </w:p>
        </w:tc>
        <w:tc>
          <w:tcPr>
            <w:tcW w:w="2254" w:type="dxa"/>
            <w:tcBorders>
              <w:top w:val="single" w:color="000000" w:sz="4" w:space="0"/>
              <w:left w:val="single" w:color="000000" w:sz="4" w:space="0"/>
              <w:right w:val="single" w:color="000000" w:sz="4" w:space="0"/>
            </w:tcBorders>
            <w:noWrap w:val="0"/>
            <w:vAlign w:val="center"/>
          </w:tcPr>
          <w:p w14:paraId="4576589A">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hAnsi="Times New Roman"/>
                <w:color w:val="auto"/>
                <w:sz w:val="21"/>
                <w:highlight w:val="none"/>
              </w:rPr>
            </w:pPr>
            <w:r>
              <w:rPr>
                <w:rFonts w:ascii="Times New Roman" w:hAnsi="Times New Roman"/>
                <w:color w:val="auto"/>
                <w:sz w:val="21"/>
                <w:highlight w:val="none"/>
              </w:rPr>
              <w:t>≤3d</w:t>
            </w:r>
          </w:p>
        </w:tc>
        <w:tc>
          <w:tcPr>
            <w:tcW w:w="2268" w:type="dxa"/>
            <w:tcBorders>
              <w:top w:val="single" w:color="000000" w:sz="4" w:space="0"/>
              <w:left w:val="single" w:color="000000" w:sz="4" w:space="0"/>
              <w:right w:val="single" w:color="000000" w:sz="4" w:space="0"/>
            </w:tcBorders>
            <w:noWrap w:val="0"/>
            <w:vAlign w:val="center"/>
          </w:tcPr>
          <w:p w14:paraId="0B77F310">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hAnsi="Times New Roman"/>
                <w:color w:val="auto"/>
                <w:sz w:val="21"/>
                <w:highlight w:val="none"/>
              </w:rPr>
            </w:pPr>
            <w:r>
              <w:rPr>
                <w:rFonts w:ascii="Times New Roman" w:hAnsi="Times New Roman"/>
                <w:color w:val="auto"/>
                <w:sz w:val="21"/>
                <w:highlight w:val="none"/>
              </w:rPr>
              <w:t>≤7d</w:t>
            </w:r>
          </w:p>
        </w:tc>
        <w:tc>
          <w:tcPr>
            <w:tcW w:w="2227" w:type="dxa"/>
            <w:tcBorders>
              <w:top w:val="single" w:color="000000" w:sz="4" w:space="0"/>
              <w:left w:val="single" w:color="000000" w:sz="4" w:space="0"/>
            </w:tcBorders>
            <w:noWrap w:val="0"/>
            <w:vAlign w:val="center"/>
          </w:tcPr>
          <w:p w14:paraId="03B4C14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ascii="Times New Roman" w:hAnsi="Times New Roman"/>
                <w:color w:val="auto"/>
                <w:sz w:val="21"/>
                <w:highlight w:val="none"/>
              </w:rPr>
            </w:pPr>
            <w:r>
              <w:rPr>
                <w:rFonts w:ascii="Times New Roman" w:hAnsi="Times New Roman"/>
                <w:color w:val="auto"/>
                <w:sz w:val="21"/>
                <w:highlight w:val="none"/>
              </w:rPr>
              <w:t>≤20d</w:t>
            </w:r>
          </w:p>
        </w:tc>
      </w:tr>
    </w:tbl>
    <w:p w14:paraId="1A005501">
      <w:pPr>
        <w:pStyle w:val="2"/>
        <w:spacing w:before="127" w:after="26"/>
        <w:ind w:left="2847"/>
        <w:jc w:val="both"/>
        <w:rPr>
          <w:color w:val="auto"/>
          <w:highlight w:val="none"/>
          <w:lang w:eastAsia="zh-CN"/>
        </w:rPr>
        <w:sectPr>
          <w:pgSz w:w="11910" w:h="16840"/>
          <w:pgMar w:top="1400" w:right="1480" w:bottom="1000" w:left="1420" w:header="0" w:footer="808" w:gutter="0"/>
          <w:pgNumType w:fmt="decimal"/>
          <w:cols w:space="720" w:num="1"/>
        </w:sectPr>
      </w:pPr>
      <w:bookmarkStart w:id="856" w:name="花卉养护管理质量等级（表3）"/>
      <w:bookmarkEnd w:id="856"/>
      <w:bookmarkStart w:id="857" w:name="_Toc61947377"/>
      <w:bookmarkStart w:id="858" w:name="_Toc28273070"/>
      <w:bookmarkStart w:id="859" w:name="_Toc28612901"/>
    </w:p>
    <w:p w14:paraId="69E031B7">
      <w:pPr>
        <w:spacing w:before="127" w:after="26"/>
        <w:ind w:left="2847"/>
        <w:jc w:val="both"/>
        <w:outlineLvl w:val="9"/>
        <w:rPr>
          <w:color w:val="auto"/>
          <w:highlight w:val="none"/>
          <w:lang w:eastAsia="zh-CN"/>
        </w:rPr>
      </w:pPr>
      <w:r>
        <w:rPr>
          <w:color w:val="auto"/>
          <w:highlight w:val="none"/>
          <w:lang w:eastAsia="zh-CN"/>
        </w:rPr>
        <w:t xml:space="preserve">花卉养护管理质量等级（表 </w:t>
      </w:r>
      <w:r>
        <w:rPr>
          <w:rFonts w:ascii="Times New Roman" w:eastAsia="Times New Roman"/>
          <w:color w:val="auto"/>
          <w:highlight w:val="none"/>
          <w:lang w:eastAsia="zh-CN"/>
        </w:rPr>
        <w:t>3</w:t>
      </w:r>
      <w:r>
        <w:rPr>
          <w:color w:val="auto"/>
          <w:highlight w:val="none"/>
          <w:lang w:eastAsia="zh-CN"/>
        </w:rPr>
        <w:t>）</w:t>
      </w:r>
      <w:bookmarkEnd w:id="857"/>
      <w:bookmarkEnd w:id="858"/>
      <w:bookmarkEnd w:id="859"/>
    </w:p>
    <w:tbl>
      <w:tblPr>
        <w:tblStyle w:val="4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5"/>
        <w:gridCol w:w="1152"/>
        <w:gridCol w:w="2191"/>
        <w:gridCol w:w="2337"/>
        <w:gridCol w:w="2260"/>
      </w:tblGrid>
      <w:tr w14:paraId="71D416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6" w:hRule="atLeast"/>
          <w:jc w:val="center"/>
        </w:trPr>
        <w:tc>
          <w:tcPr>
            <w:tcW w:w="415" w:type="dxa"/>
            <w:vMerge w:val="restart"/>
            <w:tcBorders>
              <w:bottom w:val="single" w:color="000000" w:sz="4" w:space="0"/>
              <w:right w:val="single" w:color="000000" w:sz="4" w:space="0"/>
            </w:tcBorders>
            <w:noWrap w:val="0"/>
            <w:vAlign w:val="center"/>
          </w:tcPr>
          <w:p w14:paraId="2A73C19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序号</w:t>
            </w:r>
          </w:p>
        </w:tc>
        <w:tc>
          <w:tcPr>
            <w:tcW w:w="1152" w:type="dxa"/>
            <w:vMerge w:val="restart"/>
            <w:tcBorders>
              <w:left w:val="single" w:color="000000" w:sz="4" w:space="0"/>
              <w:bottom w:val="single" w:color="000000" w:sz="4" w:space="0"/>
              <w:right w:val="single" w:color="000000" w:sz="4" w:space="0"/>
            </w:tcBorders>
            <w:noWrap w:val="0"/>
            <w:vAlign w:val="center"/>
          </w:tcPr>
          <w:p w14:paraId="7441C39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项目</w:t>
            </w:r>
          </w:p>
        </w:tc>
        <w:tc>
          <w:tcPr>
            <w:tcW w:w="6788" w:type="dxa"/>
            <w:gridSpan w:val="3"/>
            <w:tcBorders>
              <w:left w:val="single" w:color="000000" w:sz="4" w:space="0"/>
              <w:bottom w:val="single" w:color="000000" w:sz="4" w:space="0"/>
            </w:tcBorders>
            <w:noWrap w:val="0"/>
            <w:vAlign w:val="center"/>
          </w:tcPr>
          <w:p w14:paraId="6A3D34A6">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级别</w:t>
            </w:r>
          </w:p>
        </w:tc>
      </w:tr>
      <w:tr w14:paraId="4CD2CB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8" w:hRule="atLeast"/>
          <w:jc w:val="center"/>
        </w:trPr>
        <w:tc>
          <w:tcPr>
            <w:tcW w:w="415" w:type="dxa"/>
            <w:vMerge w:val="continue"/>
            <w:tcBorders>
              <w:top w:val="nil"/>
              <w:bottom w:val="single" w:color="000000" w:sz="4" w:space="0"/>
              <w:right w:val="single" w:color="000000" w:sz="4" w:space="0"/>
            </w:tcBorders>
            <w:noWrap w:val="0"/>
            <w:vAlign w:val="center"/>
          </w:tcPr>
          <w:p w14:paraId="0E0A1FF6">
            <w:pPr>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
                <w:szCs w:val="2"/>
                <w:highlight w:val="none"/>
              </w:rPr>
            </w:pPr>
          </w:p>
        </w:tc>
        <w:tc>
          <w:tcPr>
            <w:tcW w:w="1152" w:type="dxa"/>
            <w:vMerge w:val="continue"/>
            <w:tcBorders>
              <w:top w:val="nil"/>
              <w:left w:val="single" w:color="000000" w:sz="4" w:space="0"/>
              <w:bottom w:val="single" w:color="000000" w:sz="4" w:space="0"/>
              <w:right w:val="single" w:color="000000" w:sz="4" w:space="0"/>
            </w:tcBorders>
            <w:noWrap w:val="0"/>
            <w:vAlign w:val="center"/>
          </w:tcPr>
          <w:p w14:paraId="0083BC03">
            <w:pPr>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
                <w:szCs w:val="2"/>
                <w:highlight w:val="none"/>
              </w:rPr>
            </w:pP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231911DB">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特级</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7548EC2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一级</w:t>
            </w:r>
          </w:p>
        </w:tc>
        <w:tc>
          <w:tcPr>
            <w:tcW w:w="2260" w:type="dxa"/>
            <w:tcBorders>
              <w:top w:val="single" w:color="000000" w:sz="4" w:space="0"/>
              <w:left w:val="single" w:color="000000" w:sz="4" w:space="0"/>
              <w:bottom w:val="single" w:color="000000" w:sz="4" w:space="0"/>
            </w:tcBorders>
            <w:noWrap w:val="0"/>
            <w:vAlign w:val="center"/>
          </w:tcPr>
          <w:p w14:paraId="26D98B23">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b/>
                <w:color w:val="auto"/>
                <w:sz w:val="21"/>
                <w:highlight w:val="none"/>
              </w:rPr>
            </w:pPr>
            <w:r>
              <w:rPr>
                <w:b/>
                <w:color w:val="auto"/>
                <w:sz w:val="21"/>
                <w:highlight w:val="none"/>
              </w:rPr>
              <w:t>二级</w:t>
            </w:r>
          </w:p>
        </w:tc>
      </w:tr>
      <w:tr w14:paraId="672956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16" w:hRule="atLeast"/>
          <w:jc w:val="center"/>
        </w:trPr>
        <w:tc>
          <w:tcPr>
            <w:tcW w:w="415" w:type="dxa"/>
            <w:tcBorders>
              <w:top w:val="single" w:color="000000" w:sz="4" w:space="0"/>
              <w:bottom w:val="single" w:color="000000" w:sz="4" w:space="0"/>
              <w:right w:val="single" w:color="000000" w:sz="4" w:space="0"/>
            </w:tcBorders>
            <w:noWrap w:val="0"/>
            <w:vAlign w:val="center"/>
          </w:tcPr>
          <w:p w14:paraId="2A19F88C">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1</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F71B15E">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整体效果</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4DF95526">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（1）缺株倒伏的花苗</w:t>
            </w:r>
          </w:p>
          <w:p w14:paraId="18BFE3E7">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≤3%；</w:t>
            </w:r>
          </w:p>
          <w:p w14:paraId="681F37F5">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（2）基本无枯枝、残花。</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1B016EF7">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（1）缺株倒伏的花苗</w:t>
            </w:r>
          </w:p>
          <w:p w14:paraId="613309FB">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≤8%；</w:t>
            </w:r>
          </w:p>
          <w:p w14:paraId="454C05B2">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（2）枯枝、残花量≤3%。</w:t>
            </w:r>
          </w:p>
        </w:tc>
        <w:tc>
          <w:tcPr>
            <w:tcW w:w="2260" w:type="dxa"/>
            <w:tcBorders>
              <w:top w:val="single" w:color="000000" w:sz="4" w:space="0"/>
              <w:left w:val="single" w:color="000000" w:sz="4" w:space="0"/>
              <w:bottom w:val="single" w:color="000000" w:sz="4" w:space="0"/>
            </w:tcBorders>
            <w:noWrap w:val="0"/>
            <w:vAlign w:val="center"/>
          </w:tcPr>
          <w:p w14:paraId="52E22848">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（1）缺株倒伏的花苗</w:t>
            </w:r>
          </w:p>
          <w:p w14:paraId="20C5F41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≤12%；</w:t>
            </w:r>
          </w:p>
          <w:p w14:paraId="57CF16EF">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（2</w:t>
            </w:r>
            <w:r>
              <w:rPr>
                <w:color w:val="auto"/>
                <w:spacing w:val="30"/>
                <w:sz w:val="21"/>
                <w:highlight w:val="none"/>
                <w:lang w:eastAsia="zh-CN"/>
              </w:rPr>
              <w:t>）枯枝、残花量</w:t>
            </w:r>
          </w:p>
          <w:p w14:paraId="7AF7EEA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≤8%。</w:t>
            </w:r>
          </w:p>
        </w:tc>
      </w:tr>
      <w:tr w14:paraId="1171AD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0" w:hRule="atLeast"/>
          <w:jc w:val="center"/>
        </w:trPr>
        <w:tc>
          <w:tcPr>
            <w:tcW w:w="415" w:type="dxa"/>
            <w:tcBorders>
              <w:top w:val="single" w:color="000000" w:sz="4" w:space="0"/>
              <w:bottom w:val="single" w:color="000000" w:sz="4" w:space="0"/>
              <w:right w:val="single" w:color="000000" w:sz="4" w:space="0"/>
            </w:tcBorders>
            <w:noWrap w:val="0"/>
            <w:vAlign w:val="center"/>
          </w:tcPr>
          <w:p w14:paraId="38A95340">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2</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6FADAB2">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花期</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73F56C4">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花期一致</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201D4DE1">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花期一致</w:t>
            </w:r>
          </w:p>
        </w:tc>
        <w:tc>
          <w:tcPr>
            <w:tcW w:w="2260" w:type="dxa"/>
            <w:tcBorders>
              <w:top w:val="single" w:color="000000" w:sz="4" w:space="0"/>
              <w:left w:val="single" w:color="000000" w:sz="4" w:space="0"/>
              <w:bottom w:val="single" w:color="000000" w:sz="4" w:space="0"/>
            </w:tcBorders>
            <w:noWrap w:val="0"/>
            <w:vAlign w:val="center"/>
          </w:tcPr>
          <w:p w14:paraId="3075B49C">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花期基本一致</w:t>
            </w:r>
          </w:p>
        </w:tc>
      </w:tr>
      <w:tr w14:paraId="1580FE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11" w:hRule="atLeast"/>
          <w:jc w:val="center"/>
        </w:trPr>
        <w:tc>
          <w:tcPr>
            <w:tcW w:w="415" w:type="dxa"/>
            <w:tcBorders>
              <w:top w:val="single" w:color="000000" w:sz="4" w:space="0"/>
              <w:bottom w:val="single" w:color="000000" w:sz="4" w:space="0"/>
              <w:right w:val="single" w:color="000000" w:sz="4" w:space="0"/>
            </w:tcBorders>
            <w:noWrap w:val="0"/>
            <w:vAlign w:val="center"/>
          </w:tcPr>
          <w:p w14:paraId="6AB082B1">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3</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9BB2D09">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生长势</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13F04E7E">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1"/>
                <w:sz w:val="21"/>
                <w:highlight w:val="none"/>
                <w:lang w:eastAsia="zh-CN"/>
              </w:rPr>
              <w:t>（1）</w:t>
            </w:r>
            <w:r>
              <w:rPr>
                <w:color w:val="auto"/>
                <w:spacing w:val="-6"/>
                <w:sz w:val="21"/>
                <w:highlight w:val="none"/>
                <w:lang w:eastAsia="zh-CN"/>
              </w:rPr>
              <w:t>植株生长健壮；</w:t>
            </w:r>
          </w:p>
          <w:p w14:paraId="4588CF95">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4"/>
                <w:sz w:val="21"/>
                <w:highlight w:val="none"/>
                <w:lang w:eastAsia="zh-CN"/>
              </w:rPr>
              <w:t>（2）</w:t>
            </w:r>
            <w:r>
              <w:rPr>
                <w:color w:val="auto"/>
                <w:spacing w:val="-5"/>
                <w:sz w:val="21"/>
                <w:highlight w:val="none"/>
                <w:lang w:eastAsia="zh-CN"/>
              </w:rPr>
              <w:t>茎干粗壮，基部</w:t>
            </w:r>
            <w:r>
              <w:rPr>
                <w:color w:val="auto"/>
                <w:spacing w:val="-16"/>
                <w:sz w:val="21"/>
                <w:highlight w:val="none"/>
                <w:lang w:eastAsia="zh-CN"/>
              </w:rPr>
              <w:t>分枝强健，蓬径饱满；</w:t>
            </w:r>
          </w:p>
          <w:p w14:paraId="3D278FB8">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（3）花型美观，花色鲜艳，株高一致。</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2511429F">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（1）植株生长基本健壮；</w:t>
            </w:r>
          </w:p>
          <w:p w14:paraId="240ABC16">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15"/>
                <w:sz w:val="21"/>
                <w:highlight w:val="none"/>
                <w:lang w:eastAsia="zh-CN"/>
              </w:rPr>
              <w:t>（2）</w:t>
            </w:r>
            <w:r>
              <w:rPr>
                <w:color w:val="auto"/>
                <w:spacing w:val="-9"/>
                <w:sz w:val="21"/>
                <w:highlight w:val="none"/>
                <w:lang w:eastAsia="zh-CN"/>
              </w:rPr>
              <w:t>茎干粗壮，基部分</w:t>
            </w:r>
            <w:r>
              <w:rPr>
                <w:color w:val="auto"/>
                <w:spacing w:val="-21"/>
                <w:sz w:val="21"/>
                <w:highlight w:val="none"/>
                <w:lang w:eastAsia="zh-CN"/>
              </w:rPr>
              <w:t>枝强健，蓬径基本饱满；</w:t>
            </w:r>
          </w:p>
          <w:p w14:paraId="445EF8B6">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（3）株高一致。</w:t>
            </w:r>
          </w:p>
        </w:tc>
        <w:tc>
          <w:tcPr>
            <w:tcW w:w="2260" w:type="dxa"/>
            <w:tcBorders>
              <w:top w:val="single" w:color="000000" w:sz="4" w:space="0"/>
              <w:left w:val="single" w:color="000000" w:sz="4" w:space="0"/>
              <w:bottom w:val="single" w:color="000000" w:sz="4" w:space="0"/>
            </w:tcBorders>
            <w:noWrap w:val="0"/>
            <w:vAlign w:val="center"/>
          </w:tcPr>
          <w:p w14:paraId="7DCB78C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（1）植株生长基本健壮；</w:t>
            </w:r>
          </w:p>
          <w:p w14:paraId="359AA12C">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2"/>
                <w:sz w:val="21"/>
                <w:highlight w:val="none"/>
                <w:lang w:eastAsia="zh-CN"/>
              </w:rPr>
              <w:t>（2）</w:t>
            </w:r>
            <w:r>
              <w:rPr>
                <w:color w:val="auto"/>
                <w:spacing w:val="1"/>
                <w:sz w:val="21"/>
                <w:highlight w:val="none"/>
                <w:lang w:eastAsia="zh-CN"/>
              </w:rPr>
              <w:t>茎干粗壮，基部</w:t>
            </w:r>
            <w:r>
              <w:rPr>
                <w:color w:val="auto"/>
                <w:spacing w:val="-9"/>
                <w:sz w:val="21"/>
                <w:highlight w:val="none"/>
                <w:lang w:eastAsia="zh-CN"/>
              </w:rPr>
              <w:t>分枝强健，蓬径基本饱</w:t>
            </w:r>
            <w:r>
              <w:rPr>
                <w:color w:val="auto"/>
                <w:spacing w:val="-6"/>
                <w:sz w:val="21"/>
                <w:highlight w:val="none"/>
                <w:lang w:eastAsia="zh-CN"/>
              </w:rPr>
              <w:t>满；</w:t>
            </w:r>
          </w:p>
          <w:p w14:paraId="6CB11EFF">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（3）株高基本一致。</w:t>
            </w:r>
          </w:p>
        </w:tc>
      </w:tr>
      <w:tr w14:paraId="27FF4E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1" w:hRule="atLeast"/>
          <w:jc w:val="center"/>
        </w:trPr>
        <w:tc>
          <w:tcPr>
            <w:tcW w:w="415" w:type="dxa"/>
            <w:tcBorders>
              <w:top w:val="single" w:color="000000" w:sz="4" w:space="0"/>
              <w:bottom w:val="single" w:color="000000" w:sz="4" w:space="0"/>
              <w:right w:val="single" w:color="000000" w:sz="4" w:space="0"/>
            </w:tcBorders>
            <w:noWrap w:val="0"/>
            <w:vAlign w:val="center"/>
          </w:tcPr>
          <w:p w14:paraId="6F24C409">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4</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D8B98EB">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排灌</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3F26CFD0">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植株不得出现失水萎蔫现象。</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52EA6539">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植株基无干旱和沥涝现象。</w:t>
            </w:r>
          </w:p>
        </w:tc>
        <w:tc>
          <w:tcPr>
            <w:tcW w:w="2260" w:type="dxa"/>
            <w:tcBorders>
              <w:top w:val="single" w:color="000000" w:sz="4" w:space="0"/>
              <w:left w:val="single" w:color="000000" w:sz="4" w:space="0"/>
              <w:bottom w:val="single" w:color="000000" w:sz="4" w:space="0"/>
            </w:tcBorders>
            <w:noWrap w:val="0"/>
            <w:vAlign w:val="center"/>
          </w:tcPr>
          <w:p w14:paraId="62799C31">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植株基本无失水萎蔫现象。</w:t>
            </w:r>
          </w:p>
        </w:tc>
      </w:tr>
      <w:tr w14:paraId="2E82EB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50" w:hRule="atLeast"/>
          <w:jc w:val="center"/>
        </w:trPr>
        <w:tc>
          <w:tcPr>
            <w:tcW w:w="415" w:type="dxa"/>
            <w:tcBorders>
              <w:top w:val="single" w:color="000000" w:sz="4" w:space="0"/>
              <w:bottom w:val="single" w:color="000000" w:sz="4" w:space="0"/>
              <w:right w:val="single" w:color="000000" w:sz="4" w:space="0"/>
            </w:tcBorders>
            <w:noWrap w:val="0"/>
            <w:vAlign w:val="center"/>
          </w:tcPr>
          <w:p w14:paraId="2B0F644A">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5</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FFB1EC9">
            <w:pPr>
              <w:pStyle w:val="251"/>
              <w:keepNext w:val="0"/>
              <w:keepLines w:val="0"/>
              <w:pageBreakBefore w:val="0"/>
              <w:widowControl w:val="0"/>
              <w:kinsoku/>
              <w:wordWrap w:val="0"/>
              <w:overflowPunct/>
              <w:topLinePunct/>
              <w:autoSpaceDE w:val="0"/>
              <w:autoSpaceDN w:val="0"/>
              <w:bidi w:val="0"/>
              <w:adjustRightInd/>
              <w:snapToGrid/>
              <w:spacing w:line="240" w:lineRule="auto"/>
              <w:ind w:left="0" w:right="0" w:firstLine="0"/>
              <w:jc w:val="center"/>
              <w:textAlignment w:val="auto"/>
              <w:rPr>
                <w:color w:val="auto"/>
                <w:sz w:val="21"/>
                <w:highlight w:val="none"/>
              </w:rPr>
            </w:pPr>
            <w:r>
              <w:rPr>
                <w:color w:val="auto"/>
                <w:sz w:val="21"/>
                <w:highlight w:val="none"/>
              </w:rPr>
              <w:t>病虫害防治</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0A6E231C">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（1）基本无有害生物危害状；</w:t>
            </w:r>
          </w:p>
          <w:p w14:paraId="0B528237">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 2 ） 植株 受害率</w:t>
            </w:r>
          </w:p>
          <w:p w14:paraId="47DA15C9">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≤3%。</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477753A5">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pacing w:val="-28"/>
                <w:sz w:val="21"/>
                <w:highlight w:val="none"/>
                <w:lang w:eastAsia="zh-CN"/>
              </w:rPr>
              <w:t>（1）</w:t>
            </w:r>
            <w:r>
              <w:rPr>
                <w:color w:val="auto"/>
                <w:spacing w:val="-3"/>
                <w:sz w:val="21"/>
                <w:highlight w:val="none"/>
                <w:lang w:eastAsia="zh-CN"/>
              </w:rPr>
              <w:t>无明显有害生物危</w:t>
            </w:r>
            <w:r>
              <w:rPr>
                <w:color w:val="auto"/>
                <w:spacing w:val="-1"/>
                <w:sz w:val="21"/>
                <w:highlight w:val="none"/>
                <w:lang w:eastAsia="zh-CN"/>
              </w:rPr>
              <w:t>害状；</w:t>
            </w:r>
          </w:p>
          <w:p w14:paraId="7F428D61">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（2）</w:t>
            </w:r>
            <w:r>
              <w:rPr>
                <w:color w:val="auto"/>
                <w:spacing w:val="-3"/>
                <w:sz w:val="21"/>
                <w:highlight w:val="none"/>
              </w:rPr>
              <w:t>植株受害率≤</w:t>
            </w:r>
            <w:r>
              <w:rPr>
                <w:color w:val="auto"/>
                <w:sz w:val="21"/>
                <w:highlight w:val="none"/>
              </w:rPr>
              <w:t>8</w:t>
            </w:r>
            <w:r>
              <w:rPr>
                <w:color w:val="auto"/>
                <w:spacing w:val="-44"/>
                <w:sz w:val="21"/>
                <w:highlight w:val="none"/>
              </w:rPr>
              <w:t>%。</w:t>
            </w:r>
          </w:p>
        </w:tc>
        <w:tc>
          <w:tcPr>
            <w:tcW w:w="2260" w:type="dxa"/>
            <w:tcBorders>
              <w:top w:val="single" w:color="000000" w:sz="4" w:space="0"/>
              <w:left w:val="single" w:color="000000" w:sz="4" w:space="0"/>
              <w:bottom w:val="single" w:color="000000" w:sz="4" w:space="0"/>
            </w:tcBorders>
            <w:noWrap w:val="0"/>
            <w:vAlign w:val="center"/>
          </w:tcPr>
          <w:p w14:paraId="271C77A9">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lang w:eastAsia="zh-CN"/>
              </w:rPr>
            </w:pPr>
            <w:r>
              <w:rPr>
                <w:color w:val="auto"/>
                <w:sz w:val="21"/>
                <w:highlight w:val="none"/>
                <w:lang w:eastAsia="zh-CN"/>
              </w:rPr>
              <w:t>（1）无严重有害生物危害状；</w:t>
            </w:r>
          </w:p>
          <w:p w14:paraId="248D7B83">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 xml:space="preserve">（ 2 </w:t>
            </w:r>
            <w:r>
              <w:rPr>
                <w:color w:val="auto"/>
                <w:spacing w:val="62"/>
                <w:sz w:val="21"/>
                <w:highlight w:val="none"/>
              </w:rPr>
              <w:t>）</w:t>
            </w:r>
            <w:r>
              <w:rPr>
                <w:color w:val="auto"/>
                <w:spacing w:val="5"/>
                <w:sz w:val="21"/>
                <w:highlight w:val="none"/>
              </w:rPr>
              <w:t>植株 受害 率</w:t>
            </w:r>
          </w:p>
          <w:p w14:paraId="4968CF3A">
            <w:pPr>
              <w:pStyle w:val="251"/>
              <w:keepNext w:val="0"/>
              <w:keepLines w:val="0"/>
              <w:pageBreakBefore w:val="0"/>
              <w:widowControl w:val="0"/>
              <w:kinsoku/>
              <w:wordWrap w:val="0"/>
              <w:overflowPunct/>
              <w:topLinePunct/>
              <w:bidi w:val="0"/>
              <w:adjustRightInd/>
              <w:snapToGrid/>
              <w:spacing w:line="240" w:lineRule="auto"/>
              <w:ind w:left="0" w:right="0" w:firstLine="0"/>
              <w:jc w:val="left"/>
              <w:textAlignment w:val="auto"/>
              <w:rPr>
                <w:color w:val="auto"/>
                <w:sz w:val="21"/>
                <w:highlight w:val="none"/>
              </w:rPr>
            </w:pPr>
            <w:r>
              <w:rPr>
                <w:color w:val="auto"/>
                <w:sz w:val="21"/>
                <w:highlight w:val="none"/>
              </w:rPr>
              <w:t>≤10%。</w:t>
            </w:r>
          </w:p>
        </w:tc>
      </w:tr>
      <w:tr w14:paraId="639F39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1" w:hRule="atLeast"/>
          <w:jc w:val="center"/>
        </w:trPr>
        <w:tc>
          <w:tcPr>
            <w:tcW w:w="415" w:type="dxa"/>
            <w:tcBorders>
              <w:top w:val="single" w:color="000000" w:sz="4" w:space="0"/>
              <w:bottom w:val="single" w:color="000000" w:sz="4" w:space="0"/>
              <w:right w:val="single" w:color="000000" w:sz="4" w:space="0"/>
            </w:tcBorders>
            <w:noWrap w:val="0"/>
            <w:vAlign w:val="center"/>
          </w:tcPr>
          <w:p w14:paraId="1720C81A">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6</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0BA8602">
            <w:pPr>
              <w:pStyle w:val="251"/>
              <w:keepNext w:val="0"/>
              <w:keepLines w:val="0"/>
              <w:pageBreakBefore w:val="0"/>
              <w:widowControl w:val="0"/>
              <w:kinsoku/>
              <w:wordWrap w:val="0"/>
              <w:overflowPunct/>
              <w:topLinePunct/>
              <w:autoSpaceDE w:val="0"/>
              <w:autoSpaceDN w:val="0"/>
              <w:bidi w:val="0"/>
              <w:adjustRightInd/>
              <w:snapToGrid/>
              <w:spacing w:line="240" w:lineRule="auto"/>
              <w:ind w:left="0" w:right="0" w:firstLine="0"/>
              <w:jc w:val="center"/>
              <w:textAlignment w:val="auto"/>
              <w:rPr>
                <w:color w:val="auto"/>
                <w:sz w:val="21"/>
                <w:highlight w:val="none"/>
              </w:rPr>
            </w:pPr>
            <w:r>
              <w:rPr>
                <w:color w:val="auto"/>
                <w:sz w:val="21"/>
                <w:highlight w:val="none"/>
              </w:rPr>
              <w:t>杂草覆盖率</w:t>
            </w:r>
          </w:p>
        </w:tc>
        <w:tc>
          <w:tcPr>
            <w:tcW w:w="2191" w:type="dxa"/>
            <w:tcBorders>
              <w:top w:val="single" w:color="000000" w:sz="4" w:space="0"/>
              <w:left w:val="single" w:color="000000" w:sz="4" w:space="0"/>
              <w:bottom w:val="single" w:color="000000" w:sz="4" w:space="0"/>
              <w:right w:val="single" w:color="000000" w:sz="4" w:space="0"/>
            </w:tcBorders>
            <w:noWrap w:val="0"/>
            <w:vAlign w:val="center"/>
          </w:tcPr>
          <w:p w14:paraId="5906C9CA">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14:paraId="6D1DF49E">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≤5%</w:t>
            </w:r>
          </w:p>
        </w:tc>
        <w:tc>
          <w:tcPr>
            <w:tcW w:w="2260" w:type="dxa"/>
            <w:tcBorders>
              <w:top w:val="single" w:color="000000" w:sz="4" w:space="0"/>
              <w:left w:val="single" w:color="000000" w:sz="4" w:space="0"/>
              <w:bottom w:val="single" w:color="000000" w:sz="4" w:space="0"/>
            </w:tcBorders>
            <w:noWrap w:val="0"/>
            <w:vAlign w:val="center"/>
          </w:tcPr>
          <w:p w14:paraId="3A89E30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rPr>
            </w:pPr>
            <w:r>
              <w:rPr>
                <w:color w:val="auto"/>
                <w:sz w:val="21"/>
                <w:highlight w:val="none"/>
              </w:rPr>
              <w:t>≤10%</w:t>
            </w:r>
          </w:p>
        </w:tc>
      </w:tr>
      <w:tr w14:paraId="297B56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1" w:hRule="atLeast"/>
          <w:jc w:val="center"/>
        </w:trPr>
        <w:tc>
          <w:tcPr>
            <w:tcW w:w="415" w:type="dxa"/>
            <w:tcBorders>
              <w:top w:val="single" w:color="000000" w:sz="4" w:space="0"/>
              <w:right w:val="single" w:color="000000" w:sz="4" w:space="0"/>
            </w:tcBorders>
            <w:shd w:val="clear" w:color="auto" w:fill="auto"/>
            <w:noWrap w:val="0"/>
            <w:vAlign w:val="center"/>
          </w:tcPr>
          <w:p w14:paraId="05ECDD34">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lang w:val="en-US" w:eastAsia="en-US"/>
              </w:rPr>
            </w:pPr>
            <w:r>
              <w:rPr>
                <w:color w:val="auto"/>
                <w:sz w:val="21"/>
                <w:highlight w:val="none"/>
              </w:rPr>
              <w:t>7</w:t>
            </w:r>
          </w:p>
        </w:tc>
        <w:tc>
          <w:tcPr>
            <w:tcW w:w="1152" w:type="dxa"/>
            <w:tcBorders>
              <w:top w:val="single" w:color="000000" w:sz="4" w:space="0"/>
              <w:left w:val="single" w:color="000000" w:sz="4" w:space="0"/>
              <w:right w:val="single" w:color="000000" w:sz="4" w:space="0"/>
            </w:tcBorders>
            <w:shd w:val="clear" w:color="auto" w:fill="auto"/>
            <w:noWrap w:val="0"/>
            <w:vAlign w:val="center"/>
          </w:tcPr>
          <w:p w14:paraId="7428C558">
            <w:pPr>
              <w:pStyle w:val="251"/>
              <w:keepNext w:val="0"/>
              <w:keepLines w:val="0"/>
              <w:pageBreakBefore w:val="0"/>
              <w:widowControl w:val="0"/>
              <w:kinsoku/>
              <w:wordWrap w:val="0"/>
              <w:overflowPunct/>
              <w:topLinePunct/>
              <w:bidi w:val="0"/>
              <w:adjustRightInd/>
              <w:snapToGrid/>
              <w:spacing w:line="240" w:lineRule="auto"/>
              <w:ind w:left="0" w:right="0" w:firstLine="0"/>
              <w:jc w:val="center"/>
              <w:textAlignment w:val="auto"/>
              <w:rPr>
                <w:color w:val="auto"/>
                <w:sz w:val="21"/>
                <w:highlight w:val="none"/>
                <w:lang w:val="en-US" w:eastAsia="en-US"/>
              </w:rPr>
            </w:pPr>
            <w:r>
              <w:rPr>
                <w:color w:val="auto"/>
                <w:sz w:val="21"/>
                <w:highlight w:val="none"/>
              </w:rPr>
              <w:t>补植完成时间</w:t>
            </w:r>
          </w:p>
        </w:tc>
        <w:tc>
          <w:tcPr>
            <w:tcW w:w="2191" w:type="dxa"/>
            <w:tcBorders>
              <w:top w:val="single" w:color="000000" w:sz="4" w:space="0"/>
              <w:left w:val="single" w:color="000000" w:sz="4" w:space="0"/>
              <w:right w:val="single" w:color="000000" w:sz="4" w:space="0"/>
            </w:tcBorders>
            <w:shd w:val="clear" w:color="auto" w:fill="auto"/>
            <w:noWrap w:val="0"/>
            <w:vAlign w:val="center"/>
          </w:tcPr>
          <w:p w14:paraId="5F54311B">
            <w:pPr>
              <w:pStyle w:val="251"/>
              <w:keepNext w:val="0"/>
              <w:keepLines w:val="0"/>
              <w:pageBreakBefore w:val="0"/>
              <w:widowControl w:val="0"/>
              <w:kinsoku/>
              <w:overflowPunct/>
              <w:bidi w:val="0"/>
              <w:adjustRightInd/>
              <w:snapToGrid/>
              <w:spacing w:line="240" w:lineRule="auto"/>
              <w:ind w:left="0" w:right="0" w:rightChars="0" w:firstLine="0"/>
              <w:jc w:val="center"/>
              <w:textAlignment w:val="auto"/>
              <w:rPr>
                <w:rFonts w:ascii="宋体" w:hAnsi="宋体" w:eastAsia="宋体" w:cs="宋体"/>
                <w:color w:val="auto"/>
                <w:kern w:val="0"/>
                <w:sz w:val="21"/>
                <w:szCs w:val="22"/>
                <w:highlight w:val="none"/>
                <w:lang w:val="en-US" w:eastAsia="en-US" w:bidi="ar-SA"/>
              </w:rPr>
            </w:pPr>
            <w:r>
              <w:rPr>
                <w:color w:val="auto"/>
                <w:sz w:val="21"/>
                <w:highlight w:val="none"/>
              </w:rPr>
              <w:t>≤2d</w:t>
            </w:r>
          </w:p>
        </w:tc>
        <w:tc>
          <w:tcPr>
            <w:tcW w:w="2337" w:type="dxa"/>
            <w:tcBorders>
              <w:top w:val="single" w:color="000000" w:sz="4" w:space="0"/>
              <w:left w:val="single" w:color="000000" w:sz="4" w:space="0"/>
              <w:right w:val="single" w:color="000000" w:sz="4" w:space="0"/>
            </w:tcBorders>
            <w:shd w:val="clear" w:color="auto" w:fill="auto"/>
            <w:noWrap w:val="0"/>
            <w:vAlign w:val="center"/>
          </w:tcPr>
          <w:p w14:paraId="124E9329">
            <w:pPr>
              <w:pStyle w:val="251"/>
              <w:keepNext w:val="0"/>
              <w:keepLines w:val="0"/>
              <w:pageBreakBefore w:val="0"/>
              <w:widowControl w:val="0"/>
              <w:kinsoku/>
              <w:overflowPunct/>
              <w:bidi w:val="0"/>
              <w:adjustRightInd/>
              <w:snapToGrid/>
              <w:spacing w:line="240" w:lineRule="auto"/>
              <w:ind w:left="0" w:leftChars="0" w:right="0" w:firstLine="0"/>
              <w:jc w:val="center"/>
              <w:textAlignment w:val="auto"/>
              <w:rPr>
                <w:rFonts w:ascii="宋体" w:hAnsi="宋体" w:eastAsia="宋体" w:cs="宋体"/>
                <w:color w:val="auto"/>
                <w:kern w:val="0"/>
                <w:sz w:val="21"/>
                <w:szCs w:val="22"/>
                <w:highlight w:val="none"/>
                <w:lang w:val="en-US" w:eastAsia="en-US" w:bidi="ar-SA"/>
              </w:rPr>
            </w:pPr>
            <w:r>
              <w:rPr>
                <w:color w:val="auto"/>
                <w:sz w:val="21"/>
                <w:highlight w:val="none"/>
              </w:rPr>
              <w:t>≤4d</w:t>
            </w:r>
          </w:p>
        </w:tc>
        <w:tc>
          <w:tcPr>
            <w:tcW w:w="2260" w:type="dxa"/>
            <w:tcBorders>
              <w:top w:val="single" w:color="000000" w:sz="4" w:space="0"/>
              <w:left w:val="single" w:color="000000" w:sz="4" w:space="0"/>
            </w:tcBorders>
            <w:shd w:val="clear" w:color="auto" w:fill="auto"/>
            <w:noWrap w:val="0"/>
            <w:vAlign w:val="center"/>
          </w:tcPr>
          <w:p w14:paraId="7C8B1FB9">
            <w:pPr>
              <w:pStyle w:val="251"/>
              <w:keepNext w:val="0"/>
              <w:keepLines w:val="0"/>
              <w:pageBreakBefore w:val="0"/>
              <w:widowControl w:val="0"/>
              <w:kinsoku/>
              <w:overflowPunct/>
              <w:bidi w:val="0"/>
              <w:adjustRightInd/>
              <w:snapToGrid/>
              <w:spacing w:line="240" w:lineRule="auto"/>
              <w:ind w:left="0" w:right="0" w:rightChars="0" w:firstLine="0"/>
              <w:jc w:val="center"/>
              <w:textAlignment w:val="auto"/>
              <w:rPr>
                <w:rFonts w:ascii="宋体" w:hAnsi="宋体" w:eastAsia="宋体" w:cs="宋体"/>
                <w:color w:val="auto"/>
                <w:kern w:val="0"/>
                <w:sz w:val="21"/>
                <w:szCs w:val="22"/>
                <w:highlight w:val="none"/>
                <w:lang w:val="en-US" w:eastAsia="en-US" w:bidi="ar-SA"/>
              </w:rPr>
            </w:pPr>
            <w:r>
              <w:rPr>
                <w:color w:val="auto"/>
                <w:sz w:val="21"/>
                <w:highlight w:val="none"/>
              </w:rPr>
              <w:t>≤6d</w:t>
            </w:r>
          </w:p>
        </w:tc>
      </w:tr>
    </w:tbl>
    <w:p w14:paraId="0FEEA43A">
      <w:pPr>
        <w:jc w:val="right"/>
        <w:rPr>
          <w:color w:val="auto"/>
          <w:sz w:val="21"/>
          <w:highlight w:val="none"/>
        </w:rPr>
        <w:sectPr>
          <w:pgSz w:w="11910" w:h="16840"/>
          <w:pgMar w:top="1400" w:right="1480" w:bottom="1000" w:left="1420" w:header="0" w:footer="808" w:gutter="0"/>
          <w:pgNumType w:fmt="decimal"/>
          <w:cols w:space="720" w:num="1"/>
        </w:sectPr>
      </w:pPr>
    </w:p>
    <w:p w14:paraId="38A2046F">
      <w:pPr>
        <w:spacing w:before="127"/>
        <w:ind w:left="2847"/>
        <w:jc w:val="both"/>
        <w:outlineLvl w:val="9"/>
        <w:rPr>
          <w:color w:val="auto"/>
          <w:highlight w:val="none"/>
          <w:lang w:eastAsia="zh-CN"/>
        </w:rPr>
      </w:pPr>
      <w:bookmarkStart w:id="860" w:name="草坪养护管理质量等级（表4）"/>
      <w:bookmarkEnd w:id="860"/>
      <w:bookmarkStart w:id="861" w:name="_Toc28612902"/>
      <w:bookmarkStart w:id="862" w:name="_Toc28273071"/>
      <w:bookmarkStart w:id="863" w:name="_Toc61947378"/>
      <w:r>
        <w:rPr>
          <w:color w:val="auto"/>
          <w:highlight w:val="none"/>
          <w:lang w:eastAsia="zh-CN"/>
        </w:rPr>
        <w:t xml:space="preserve">草坪养护管理质量等级（表 </w:t>
      </w:r>
      <w:r>
        <w:rPr>
          <w:rFonts w:ascii="Times New Roman" w:eastAsia="Times New Roman"/>
          <w:color w:val="auto"/>
          <w:highlight w:val="none"/>
          <w:lang w:eastAsia="zh-CN"/>
        </w:rPr>
        <w:t>4</w:t>
      </w:r>
      <w:r>
        <w:rPr>
          <w:color w:val="auto"/>
          <w:highlight w:val="none"/>
          <w:lang w:eastAsia="zh-CN"/>
        </w:rPr>
        <w:t>）</w:t>
      </w:r>
      <w:bookmarkEnd w:id="861"/>
      <w:bookmarkEnd w:id="862"/>
      <w:bookmarkEnd w:id="863"/>
    </w:p>
    <w:p w14:paraId="3A3173AE">
      <w:pPr>
        <w:pStyle w:val="17"/>
        <w:spacing w:before="5"/>
        <w:rPr>
          <w:b/>
          <w:color w:val="auto"/>
          <w:sz w:val="11"/>
          <w:highlight w:val="none"/>
          <w:lang w:eastAsia="zh-CN"/>
        </w:rPr>
      </w:pPr>
    </w:p>
    <w:tbl>
      <w:tblPr>
        <w:tblStyle w:val="46"/>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6"/>
        <w:gridCol w:w="1212"/>
        <w:gridCol w:w="2201"/>
        <w:gridCol w:w="2335"/>
        <w:gridCol w:w="2241"/>
      </w:tblGrid>
      <w:tr w14:paraId="2B3597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456" w:type="dxa"/>
            <w:vMerge w:val="restart"/>
            <w:tcBorders>
              <w:bottom w:val="single" w:color="000000" w:sz="4" w:space="0"/>
              <w:right w:val="single" w:color="000000" w:sz="4" w:space="0"/>
            </w:tcBorders>
            <w:noWrap w:val="0"/>
            <w:vAlign w:val="center"/>
          </w:tcPr>
          <w:p w14:paraId="5ECB1F9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序号</w:t>
            </w:r>
          </w:p>
        </w:tc>
        <w:tc>
          <w:tcPr>
            <w:tcW w:w="1212" w:type="dxa"/>
            <w:vMerge w:val="restart"/>
            <w:tcBorders>
              <w:left w:val="single" w:color="000000" w:sz="4" w:space="0"/>
              <w:bottom w:val="single" w:color="000000" w:sz="4" w:space="0"/>
              <w:right w:val="single" w:color="000000" w:sz="4" w:space="0"/>
            </w:tcBorders>
            <w:noWrap w:val="0"/>
            <w:vAlign w:val="center"/>
          </w:tcPr>
          <w:p w14:paraId="3CAED7E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项目</w:t>
            </w:r>
          </w:p>
        </w:tc>
        <w:tc>
          <w:tcPr>
            <w:tcW w:w="6777" w:type="dxa"/>
            <w:gridSpan w:val="3"/>
            <w:tcBorders>
              <w:left w:val="single" w:color="000000" w:sz="4" w:space="0"/>
              <w:bottom w:val="single" w:color="000000" w:sz="4" w:space="0"/>
            </w:tcBorders>
            <w:noWrap w:val="0"/>
            <w:vAlign w:val="center"/>
          </w:tcPr>
          <w:p w14:paraId="439601B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级别</w:t>
            </w:r>
          </w:p>
        </w:tc>
      </w:tr>
      <w:tr w14:paraId="4712E3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7" w:hRule="atLeast"/>
        </w:trPr>
        <w:tc>
          <w:tcPr>
            <w:tcW w:w="456" w:type="dxa"/>
            <w:vMerge w:val="continue"/>
            <w:tcBorders>
              <w:top w:val="nil"/>
              <w:bottom w:val="single" w:color="000000" w:sz="4" w:space="0"/>
              <w:right w:val="single" w:color="000000" w:sz="4" w:space="0"/>
            </w:tcBorders>
            <w:noWrap w:val="0"/>
            <w:vAlign w:val="center"/>
          </w:tcPr>
          <w:p w14:paraId="4734DA94">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p>
        </w:tc>
        <w:tc>
          <w:tcPr>
            <w:tcW w:w="1212" w:type="dxa"/>
            <w:vMerge w:val="continue"/>
            <w:tcBorders>
              <w:top w:val="nil"/>
              <w:left w:val="single" w:color="000000" w:sz="4" w:space="0"/>
              <w:bottom w:val="single" w:color="000000" w:sz="4" w:space="0"/>
              <w:right w:val="single" w:color="000000" w:sz="4" w:space="0"/>
            </w:tcBorders>
            <w:noWrap w:val="0"/>
            <w:vAlign w:val="center"/>
          </w:tcPr>
          <w:p w14:paraId="7E7D01E2">
            <w:pPr>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1C324A2">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特级</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E95F67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一级</w:t>
            </w:r>
          </w:p>
        </w:tc>
        <w:tc>
          <w:tcPr>
            <w:tcW w:w="2241" w:type="dxa"/>
            <w:tcBorders>
              <w:top w:val="single" w:color="000000" w:sz="4" w:space="0"/>
              <w:left w:val="single" w:color="000000" w:sz="4" w:space="0"/>
              <w:bottom w:val="single" w:color="000000" w:sz="4" w:space="0"/>
            </w:tcBorders>
            <w:noWrap w:val="0"/>
            <w:vAlign w:val="center"/>
          </w:tcPr>
          <w:p w14:paraId="4F1C5FF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r>
              <w:rPr>
                <w:rFonts w:hint="eastAsia"/>
                <w:b/>
                <w:color w:val="auto"/>
                <w:sz w:val="21"/>
                <w:szCs w:val="21"/>
                <w:highlight w:val="none"/>
              </w:rPr>
              <w:t>二级</w:t>
            </w:r>
          </w:p>
        </w:tc>
      </w:tr>
      <w:tr w14:paraId="1FE180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4" w:hRule="atLeast"/>
        </w:trPr>
        <w:tc>
          <w:tcPr>
            <w:tcW w:w="456" w:type="dxa"/>
            <w:tcBorders>
              <w:top w:val="single" w:color="000000" w:sz="4" w:space="0"/>
              <w:bottom w:val="single" w:color="000000" w:sz="4" w:space="0"/>
              <w:right w:val="single" w:color="000000" w:sz="4" w:space="0"/>
            </w:tcBorders>
            <w:noWrap w:val="0"/>
            <w:vAlign w:val="center"/>
          </w:tcPr>
          <w:p w14:paraId="5E5CD1F1">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1</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02691329">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整体效果</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9449780">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7"/>
                <w:sz w:val="21"/>
                <w:szCs w:val="21"/>
                <w:highlight w:val="none"/>
                <w:lang w:eastAsia="zh-CN"/>
              </w:rPr>
              <w:t>（1）成坪高度应符合</w:t>
            </w:r>
            <w:r>
              <w:rPr>
                <w:rFonts w:hint="eastAsia"/>
                <w:color w:val="auto"/>
                <w:sz w:val="21"/>
                <w:szCs w:val="21"/>
                <w:highlight w:val="none"/>
                <w:lang w:eastAsia="zh-CN"/>
              </w:rPr>
              <w:t>GB/T18247.7</w:t>
            </w:r>
            <w:r>
              <w:rPr>
                <w:rFonts w:hint="eastAsia"/>
                <w:color w:val="auto"/>
                <w:spacing w:val="-15"/>
                <w:sz w:val="21"/>
                <w:szCs w:val="21"/>
                <w:highlight w:val="none"/>
                <w:lang w:eastAsia="zh-CN"/>
              </w:rPr>
              <w:t xml:space="preserve"> 要求，平坦整洁；</w:t>
            </w:r>
          </w:p>
          <w:p w14:paraId="3C787AF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7"/>
                <w:sz w:val="21"/>
                <w:szCs w:val="21"/>
                <w:highlight w:val="none"/>
                <w:lang w:eastAsia="zh-CN"/>
              </w:rPr>
              <w:t>（2）修剪后无残留草</w:t>
            </w:r>
            <w:r>
              <w:rPr>
                <w:rFonts w:hint="eastAsia"/>
                <w:color w:val="auto"/>
                <w:spacing w:val="-4"/>
                <w:sz w:val="21"/>
                <w:szCs w:val="21"/>
                <w:highlight w:val="none"/>
                <w:lang w:eastAsia="zh-CN"/>
              </w:rPr>
              <w:t>屑，剪口无焦枯、撕裂现象。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7F9B3EA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pacing w:val="5"/>
                <w:sz w:val="21"/>
                <w:szCs w:val="21"/>
                <w:highlight w:val="none"/>
                <w:lang w:eastAsia="zh-CN"/>
              </w:rPr>
              <w:t>成坪高度应符合GB/T</w:t>
            </w:r>
            <w:r>
              <w:rPr>
                <w:rFonts w:hint="eastAsia"/>
                <w:color w:val="auto"/>
                <w:sz w:val="21"/>
                <w:szCs w:val="21"/>
                <w:highlight w:val="none"/>
                <w:lang w:eastAsia="zh-CN"/>
              </w:rPr>
              <w:t>18247.7</w:t>
            </w:r>
            <w:r>
              <w:rPr>
                <w:rFonts w:hint="eastAsia"/>
                <w:color w:val="auto"/>
                <w:spacing w:val="2"/>
                <w:sz w:val="21"/>
                <w:szCs w:val="21"/>
                <w:highlight w:val="none"/>
                <w:lang w:eastAsia="zh-CN"/>
              </w:rPr>
              <w:t xml:space="preserve"> 要求，基</w:t>
            </w:r>
            <w:r>
              <w:rPr>
                <w:rFonts w:hint="eastAsia"/>
                <w:color w:val="auto"/>
                <w:sz w:val="21"/>
                <w:szCs w:val="21"/>
                <w:highlight w:val="none"/>
                <w:lang w:eastAsia="zh-CN"/>
              </w:rPr>
              <w:t>本平整；</w:t>
            </w:r>
          </w:p>
          <w:p w14:paraId="4D2F269E">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（2）修剪后基本无残留</w:t>
            </w:r>
            <w:r>
              <w:rPr>
                <w:rFonts w:hint="eastAsia"/>
                <w:color w:val="auto"/>
                <w:w w:val="95"/>
                <w:sz w:val="21"/>
                <w:szCs w:val="21"/>
                <w:highlight w:val="none"/>
                <w:lang w:eastAsia="zh-CN"/>
              </w:rPr>
              <w:t>草屑，剪口无明显撕裂现</w:t>
            </w:r>
            <w:r>
              <w:rPr>
                <w:rFonts w:hint="eastAsia"/>
                <w:color w:val="auto"/>
                <w:sz w:val="21"/>
                <w:szCs w:val="21"/>
                <w:highlight w:val="none"/>
                <w:lang w:eastAsia="zh-CN"/>
              </w:rPr>
              <w:t>象。</w:t>
            </w:r>
          </w:p>
        </w:tc>
        <w:tc>
          <w:tcPr>
            <w:tcW w:w="2241" w:type="dxa"/>
            <w:tcBorders>
              <w:top w:val="single" w:color="000000" w:sz="4" w:space="0"/>
              <w:left w:val="single" w:color="000000" w:sz="4" w:space="0"/>
              <w:bottom w:val="single" w:color="000000" w:sz="4" w:space="0"/>
            </w:tcBorders>
            <w:noWrap w:val="0"/>
            <w:vAlign w:val="center"/>
          </w:tcPr>
          <w:p w14:paraId="41A867D0">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12"/>
                <w:sz w:val="21"/>
                <w:szCs w:val="21"/>
                <w:highlight w:val="none"/>
                <w:lang w:eastAsia="zh-CN"/>
              </w:rPr>
              <w:t>（1）</w:t>
            </w:r>
            <w:r>
              <w:rPr>
                <w:rFonts w:hint="eastAsia"/>
                <w:color w:val="auto"/>
                <w:spacing w:val="10"/>
                <w:sz w:val="21"/>
                <w:szCs w:val="21"/>
                <w:highlight w:val="none"/>
                <w:lang w:eastAsia="zh-CN"/>
              </w:rPr>
              <w:t>成坪高度应符合GB/T</w:t>
            </w:r>
            <w:r>
              <w:rPr>
                <w:rFonts w:hint="eastAsia"/>
                <w:color w:val="auto"/>
                <w:sz w:val="21"/>
                <w:szCs w:val="21"/>
                <w:highlight w:val="none"/>
                <w:lang w:eastAsia="zh-CN"/>
              </w:rPr>
              <w:t>18247.7</w:t>
            </w:r>
            <w:r>
              <w:rPr>
                <w:rFonts w:hint="eastAsia"/>
                <w:color w:val="auto"/>
                <w:spacing w:val="-12"/>
                <w:sz w:val="21"/>
                <w:szCs w:val="21"/>
                <w:highlight w:val="none"/>
                <w:lang w:eastAsia="zh-CN"/>
              </w:rPr>
              <w:t xml:space="preserve"> 要求，基本平整；</w:t>
            </w:r>
          </w:p>
          <w:p w14:paraId="5FCF7579">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25"/>
                <w:sz w:val="21"/>
                <w:szCs w:val="21"/>
                <w:highlight w:val="none"/>
                <w:lang w:eastAsia="zh-CN"/>
              </w:rPr>
              <w:t>（2）</w:t>
            </w:r>
            <w:r>
              <w:rPr>
                <w:rFonts w:hint="eastAsia"/>
                <w:color w:val="auto"/>
                <w:sz w:val="21"/>
                <w:szCs w:val="21"/>
                <w:highlight w:val="none"/>
                <w:lang w:eastAsia="zh-CN"/>
              </w:rPr>
              <w:t>修剪后基本无残留草屑，剪口基本无明显撕裂现象。</w:t>
            </w:r>
          </w:p>
        </w:tc>
      </w:tr>
      <w:tr w14:paraId="72ECE8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2" w:hRule="atLeast"/>
        </w:trPr>
        <w:tc>
          <w:tcPr>
            <w:tcW w:w="456" w:type="dxa"/>
            <w:tcBorders>
              <w:top w:val="single" w:color="000000" w:sz="4" w:space="0"/>
              <w:bottom w:val="single" w:color="000000" w:sz="4" w:space="0"/>
              <w:right w:val="single" w:color="000000" w:sz="4" w:space="0"/>
            </w:tcBorders>
            <w:noWrap w:val="0"/>
            <w:vAlign w:val="center"/>
          </w:tcPr>
          <w:p w14:paraId="7EED7950">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2</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651F5D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生长势</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F67D4BC">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生长茂盛</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05A3EC6F">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生长良好</w:t>
            </w:r>
          </w:p>
        </w:tc>
        <w:tc>
          <w:tcPr>
            <w:tcW w:w="2241" w:type="dxa"/>
            <w:tcBorders>
              <w:top w:val="single" w:color="000000" w:sz="4" w:space="0"/>
              <w:left w:val="single" w:color="000000" w:sz="4" w:space="0"/>
              <w:bottom w:val="single" w:color="000000" w:sz="4" w:space="0"/>
            </w:tcBorders>
            <w:noWrap w:val="0"/>
            <w:vAlign w:val="center"/>
          </w:tcPr>
          <w:p w14:paraId="6DA0AAD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生长基本良好</w:t>
            </w:r>
          </w:p>
        </w:tc>
      </w:tr>
      <w:tr w14:paraId="778D0D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2" w:hRule="atLeast"/>
        </w:trPr>
        <w:tc>
          <w:tcPr>
            <w:tcW w:w="456" w:type="dxa"/>
            <w:tcBorders>
              <w:top w:val="single" w:color="000000" w:sz="4" w:space="0"/>
              <w:bottom w:val="single" w:color="000000" w:sz="4" w:space="0"/>
              <w:right w:val="single" w:color="000000" w:sz="4" w:space="0"/>
            </w:tcBorders>
            <w:noWrap w:val="0"/>
            <w:vAlign w:val="center"/>
          </w:tcPr>
          <w:p w14:paraId="36F1DA8B">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3</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BA766C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排灌</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62E1F9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草坪无明显失水萎蔫现象。</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54CD20D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草坪基本无失水萎蔫现象。</w:t>
            </w:r>
          </w:p>
        </w:tc>
        <w:tc>
          <w:tcPr>
            <w:tcW w:w="2241" w:type="dxa"/>
            <w:tcBorders>
              <w:top w:val="single" w:color="000000" w:sz="4" w:space="0"/>
              <w:left w:val="single" w:color="000000" w:sz="4" w:space="0"/>
              <w:bottom w:val="single" w:color="000000" w:sz="4" w:space="0"/>
            </w:tcBorders>
            <w:noWrap w:val="0"/>
            <w:vAlign w:val="center"/>
          </w:tcPr>
          <w:p w14:paraId="14D13173">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草坪无明显失水萎蔫现象。</w:t>
            </w:r>
          </w:p>
        </w:tc>
      </w:tr>
      <w:tr w14:paraId="6E5D2F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52" w:hRule="atLeast"/>
        </w:trPr>
        <w:tc>
          <w:tcPr>
            <w:tcW w:w="456" w:type="dxa"/>
            <w:tcBorders>
              <w:top w:val="single" w:color="000000" w:sz="4" w:space="0"/>
              <w:bottom w:val="single" w:color="000000" w:sz="4" w:space="0"/>
              <w:right w:val="single" w:color="000000" w:sz="4" w:space="0"/>
            </w:tcBorders>
            <w:noWrap w:val="0"/>
            <w:vAlign w:val="center"/>
          </w:tcPr>
          <w:p w14:paraId="22630F1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4</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42E6AA4">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病虫害防治</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105B8C9">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pacing w:val="35"/>
                <w:sz w:val="21"/>
                <w:szCs w:val="21"/>
                <w:highlight w:val="none"/>
                <w:lang w:eastAsia="zh-CN"/>
              </w:rPr>
              <w:t>）</w:t>
            </w:r>
            <w:r>
              <w:rPr>
                <w:rFonts w:hint="eastAsia"/>
                <w:color w:val="auto"/>
                <w:spacing w:val="28"/>
                <w:sz w:val="21"/>
                <w:szCs w:val="21"/>
                <w:highlight w:val="none"/>
                <w:lang w:eastAsia="zh-CN"/>
              </w:rPr>
              <w:t>草坪草受害度</w:t>
            </w:r>
          </w:p>
          <w:p w14:paraId="6C1A2840">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≤3%；</w:t>
            </w:r>
          </w:p>
          <w:p w14:paraId="56FD17B1">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（2）无杂草。</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1412ADF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w w:val="99"/>
                <w:sz w:val="21"/>
                <w:szCs w:val="21"/>
                <w:highlight w:val="none"/>
                <w:lang w:eastAsia="zh-CN"/>
              </w:rPr>
              <w:t>（1</w:t>
            </w:r>
            <w:r>
              <w:rPr>
                <w:rFonts w:hint="eastAsia"/>
                <w:color w:val="auto"/>
                <w:spacing w:val="-82"/>
                <w:w w:val="99"/>
                <w:sz w:val="21"/>
                <w:szCs w:val="21"/>
                <w:highlight w:val="none"/>
                <w:lang w:eastAsia="zh-CN"/>
              </w:rPr>
              <w:t>）</w:t>
            </w:r>
            <w:r>
              <w:rPr>
                <w:rFonts w:hint="eastAsia"/>
                <w:color w:val="auto"/>
                <w:w w:val="99"/>
                <w:sz w:val="21"/>
                <w:szCs w:val="21"/>
                <w:highlight w:val="none"/>
                <w:lang w:eastAsia="zh-CN"/>
              </w:rPr>
              <w:t>草坪草受害度≤6%</w:t>
            </w:r>
            <w:r>
              <w:rPr>
                <w:rFonts w:hint="eastAsia"/>
                <w:color w:val="auto"/>
                <w:spacing w:val="-99"/>
                <w:w w:val="99"/>
                <w:sz w:val="21"/>
                <w:szCs w:val="21"/>
                <w:highlight w:val="none"/>
                <w:lang w:eastAsia="zh-CN"/>
              </w:rPr>
              <w:t>；</w:t>
            </w:r>
          </w:p>
          <w:p w14:paraId="491A47B1">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（2）</w:t>
            </w:r>
            <w:r>
              <w:rPr>
                <w:rFonts w:hint="eastAsia"/>
                <w:color w:val="auto"/>
                <w:spacing w:val="-8"/>
                <w:sz w:val="21"/>
                <w:szCs w:val="21"/>
                <w:highlight w:val="none"/>
                <w:lang w:eastAsia="zh-CN"/>
              </w:rPr>
              <w:t xml:space="preserve">杂草率不超过 </w:t>
            </w:r>
            <w:r>
              <w:rPr>
                <w:rFonts w:hint="eastAsia"/>
                <w:color w:val="auto"/>
                <w:sz w:val="21"/>
                <w:szCs w:val="21"/>
                <w:highlight w:val="none"/>
                <w:lang w:eastAsia="zh-CN"/>
              </w:rPr>
              <w:t>2%</w:t>
            </w:r>
            <w:r>
              <w:rPr>
                <w:rFonts w:hint="eastAsia"/>
                <w:color w:val="auto"/>
                <w:spacing w:val="-29"/>
                <w:sz w:val="21"/>
                <w:szCs w:val="21"/>
                <w:highlight w:val="none"/>
                <w:lang w:eastAsia="zh-CN"/>
              </w:rPr>
              <w:t>。</w:t>
            </w:r>
          </w:p>
        </w:tc>
        <w:tc>
          <w:tcPr>
            <w:tcW w:w="2241" w:type="dxa"/>
            <w:tcBorders>
              <w:top w:val="single" w:color="000000" w:sz="4" w:space="0"/>
              <w:left w:val="single" w:color="000000" w:sz="4" w:space="0"/>
              <w:bottom w:val="single" w:color="000000" w:sz="4" w:space="0"/>
            </w:tcBorders>
            <w:noWrap w:val="0"/>
            <w:vAlign w:val="center"/>
          </w:tcPr>
          <w:p w14:paraId="49FB6B0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w:t>
            </w:r>
            <w:r>
              <w:rPr>
                <w:rFonts w:hint="eastAsia"/>
                <w:color w:val="auto"/>
                <w:spacing w:val="40"/>
                <w:sz w:val="21"/>
                <w:szCs w:val="21"/>
                <w:highlight w:val="none"/>
                <w:lang w:eastAsia="zh-CN"/>
              </w:rPr>
              <w:t>）</w:t>
            </w:r>
            <w:r>
              <w:rPr>
                <w:rFonts w:hint="eastAsia"/>
                <w:color w:val="auto"/>
                <w:spacing w:val="32"/>
                <w:sz w:val="21"/>
                <w:szCs w:val="21"/>
                <w:highlight w:val="none"/>
                <w:lang w:eastAsia="zh-CN"/>
              </w:rPr>
              <w:t>草坪草受害度</w:t>
            </w:r>
          </w:p>
          <w:p w14:paraId="28A3FAAD">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z w:val="21"/>
                <w:szCs w:val="21"/>
                <w:highlight w:val="none"/>
                <w:lang w:eastAsia="zh-CN"/>
              </w:rPr>
              <w:t>≤10%；</w:t>
            </w:r>
          </w:p>
          <w:p w14:paraId="401C44C5">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lang w:eastAsia="zh-CN"/>
              </w:rPr>
            </w:pPr>
            <w:r>
              <w:rPr>
                <w:rFonts w:hint="eastAsia"/>
                <w:color w:val="auto"/>
                <w:spacing w:val="-9"/>
                <w:sz w:val="21"/>
                <w:szCs w:val="21"/>
                <w:highlight w:val="none"/>
                <w:lang w:eastAsia="zh-CN"/>
              </w:rPr>
              <w:t>（2）</w:t>
            </w:r>
            <w:r>
              <w:rPr>
                <w:rFonts w:hint="eastAsia"/>
                <w:color w:val="auto"/>
                <w:spacing w:val="-8"/>
                <w:sz w:val="21"/>
                <w:szCs w:val="21"/>
                <w:highlight w:val="none"/>
                <w:lang w:eastAsia="zh-CN"/>
              </w:rPr>
              <w:t xml:space="preserve">杂草率不超过 </w:t>
            </w:r>
            <w:r>
              <w:rPr>
                <w:rFonts w:hint="eastAsia"/>
                <w:color w:val="auto"/>
                <w:sz w:val="21"/>
                <w:szCs w:val="21"/>
                <w:highlight w:val="none"/>
                <w:lang w:eastAsia="zh-CN"/>
              </w:rPr>
              <w:t>5%</w:t>
            </w:r>
            <w:r>
              <w:rPr>
                <w:rFonts w:hint="eastAsia"/>
                <w:color w:val="auto"/>
                <w:spacing w:val="-99"/>
                <w:sz w:val="21"/>
                <w:szCs w:val="21"/>
                <w:highlight w:val="none"/>
                <w:lang w:eastAsia="zh-CN"/>
              </w:rPr>
              <w:t>。</w:t>
            </w:r>
          </w:p>
        </w:tc>
      </w:tr>
      <w:tr w14:paraId="6505DF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6" w:hRule="atLeast"/>
        </w:trPr>
        <w:tc>
          <w:tcPr>
            <w:tcW w:w="456" w:type="dxa"/>
            <w:tcBorders>
              <w:top w:val="single" w:color="000000" w:sz="4" w:space="0"/>
              <w:bottom w:val="single" w:color="000000" w:sz="4" w:space="0"/>
              <w:right w:val="single" w:color="000000" w:sz="4" w:space="0"/>
            </w:tcBorders>
            <w:noWrap w:val="0"/>
            <w:vAlign w:val="center"/>
          </w:tcPr>
          <w:p w14:paraId="11C14B8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5</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74C3B3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绿色期</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33FC644C">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冷季型草不低于300</w:t>
            </w:r>
          </w:p>
          <w:p w14:paraId="7718219B">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天，暖季型草不少于</w:t>
            </w:r>
          </w:p>
          <w:p w14:paraId="005AFE9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210天。</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6808DFE8">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pacing w:val="-7"/>
                <w:sz w:val="21"/>
                <w:szCs w:val="21"/>
                <w:highlight w:val="none"/>
              </w:rPr>
              <w:t>冷季型草不低于</w:t>
            </w:r>
            <w:r>
              <w:rPr>
                <w:rFonts w:hint="eastAsia"/>
                <w:color w:val="auto"/>
                <w:sz w:val="21"/>
                <w:szCs w:val="21"/>
                <w:highlight w:val="none"/>
              </w:rPr>
              <w:t>270</w:t>
            </w:r>
            <w:r>
              <w:rPr>
                <w:rFonts w:hint="eastAsia"/>
                <w:color w:val="auto"/>
                <w:spacing w:val="-18"/>
                <w:sz w:val="21"/>
                <w:szCs w:val="21"/>
                <w:highlight w:val="none"/>
              </w:rPr>
              <w:t>天，</w:t>
            </w:r>
          </w:p>
          <w:p w14:paraId="73648AA7">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pacing w:val="-7"/>
                <w:sz w:val="21"/>
                <w:szCs w:val="21"/>
                <w:highlight w:val="none"/>
              </w:rPr>
              <w:t>暖季型草不少于</w:t>
            </w:r>
            <w:r>
              <w:rPr>
                <w:rFonts w:hint="eastAsia"/>
                <w:color w:val="auto"/>
                <w:sz w:val="21"/>
                <w:szCs w:val="21"/>
                <w:highlight w:val="none"/>
              </w:rPr>
              <w:t>180</w:t>
            </w:r>
            <w:r>
              <w:rPr>
                <w:rFonts w:hint="eastAsia"/>
                <w:color w:val="auto"/>
                <w:spacing w:val="-44"/>
                <w:sz w:val="21"/>
                <w:szCs w:val="21"/>
                <w:highlight w:val="none"/>
              </w:rPr>
              <w:t>天。</w:t>
            </w:r>
          </w:p>
        </w:tc>
        <w:tc>
          <w:tcPr>
            <w:tcW w:w="2241" w:type="dxa"/>
            <w:tcBorders>
              <w:top w:val="single" w:color="000000" w:sz="4" w:space="0"/>
              <w:left w:val="single" w:color="000000" w:sz="4" w:space="0"/>
              <w:bottom w:val="single" w:color="000000" w:sz="4" w:space="0"/>
            </w:tcBorders>
            <w:noWrap w:val="0"/>
            <w:vAlign w:val="center"/>
          </w:tcPr>
          <w:p w14:paraId="4D4D47A2">
            <w:pPr>
              <w:pStyle w:val="251"/>
              <w:keepNext w:val="0"/>
              <w:keepLines w:val="0"/>
              <w:pageBreakBefore w:val="0"/>
              <w:widowControl w:val="0"/>
              <w:kinsoku/>
              <w:wordWrap/>
              <w:overflowPunct/>
              <w:topLinePunct w:val="0"/>
              <w:bidi w:val="0"/>
              <w:adjustRightInd/>
              <w:snapToGrid/>
              <w:spacing w:line="240" w:lineRule="auto"/>
              <w:ind w:left="0" w:right="0" w:firstLine="0"/>
              <w:jc w:val="left"/>
              <w:textAlignment w:val="auto"/>
              <w:rPr>
                <w:rFonts w:hint="eastAsia"/>
                <w:color w:val="auto"/>
                <w:sz w:val="21"/>
                <w:szCs w:val="21"/>
                <w:highlight w:val="none"/>
              </w:rPr>
            </w:pPr>
            <w:r>
              <w:rPr>
                <w:rFonts w:hint="eastAsia"/>
                <w:color w:val="auto"/>
                <w:sz w:val="21"/>
                <w:szCs w:val="21"/>
                <w:highlight w:val="none"/>
              </w:rPr>
              <w:t>冷季型草不低于240</w:t>
            </w:r>
            <w:r>
              <w:rPr>
                <w:rFonts w:hint="eastAsia"/>
                <w:color w:val="auto"/>
                <w:w w:val="95"/>
                <w:sz w:val="21"/>
                <w:szCs w:val="21"/>
                <w:highlight w:val="none"/>
              </w:rPr>
              <w:t>天，暖季型草不少于160</w:t>
            </w:r>
            <w:r>
              <w:rPr>
                <w:rFonts w:hint="eastAsia"/>
                <w:color w:val="auto"/>
                <w:sz w:val="21"/>
                <w:szCs w:val="21"/>
                <w:highlight w:val="none"/>
              </w:rPr>
              <w:t>天。</w:t>
            </w:r>
          </w:p>
        </w:tc>
      </w:tr>
      <w:tr w14:paraId="2BB7D1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2" w:hRule="atLeast"/>
        </w:trPr>
        <w:tc>
          <w:tcPr>
            <w:tcW w:w="456" w:type="dxa"/>
            <w:tcBorders>
              <w:top w:val="single" w:color="000000" w:sz="4" w:space="0"/>
              <w:bottom w:val="single" w:color="000000" w:sz="4" w:space="0"/>
              <w:right w:val="single" w:color="000000" w:sz="4" w:space="0"/>
            </w:tcBorders>
            <w:noWrap w:val="0"/>
            <w:vAlign w:val="center"/>
          </w:tcPr>
          <w:p w14:paraId="6296BAC8">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6</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69CC0E4">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覆盖度</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9E10741">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0CBA542E">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≥98%</w:t>
            </w:r>
          </w:p>
        </w:tc>
        <w:tc>
          <w:tcPr>
            <w:tcW w:w="2335" w:type="dxa"/>
            <w:tcBorders>
              <w:top w:val="single" w:color="000000" w:sz="4" w:space="0"/>
              <w:left w:val="single" w:color="000000" w:sz="4" w:space="0"/>
              <w:bottom w:val="single" w:color="000000" w:sz="4" w:space="0"/>
              <w:right w:val="single" w:color="000000" w:sz="4" w:space="0"/>
            </w:tcBorders>
            <w:noWrap w:val="0"/>
            <w:vAlign w:val="center"/>
          </w:tcPr>
          <w:p w14:paraId="4EB8047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0E0A5341">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≥95%</w:t>
            </w:r>
          </w:p>
        </w:tc>
        <w:tc>
          <w:tcPr>
            <w:tcW w:w="2241" w:type="dxa"/>
            <w:tcBorders>
              <w:top w:val="single" w:color="000000" w:sz="4" w:space="0"/>
              <w:left w:val="single" w:color="000000" w:sz="4" w:space="0"/>
              <w:bottom w:val="single" w:color="000000" w:sz="4" w:space="0"/>
            </w:tcBorders>
            <w:noWrap w:val="0"/>
            <w:vAlign w:val="center"/>
          </w:tcPr>
          <w:p w14:paraId="67357EE3">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1916BD8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≥90%</w:t>
            </w:r>
          </w:p>
        </w:tc>
      </w:tr>
      <w:tr w14:paraId="6438BA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trPr>
        <w:tc>
          <w:tcPr>
            <w:tcW w:w="456" w:type="dxa"/>
            <w:tcBorders>
              <w:top w:val="single" w:color="000000" w:sz="4" w:space="0"/>
              <w:right w:val="single" w:color="000000" w:sz="4" w:space="0"/>
            </w:tcBorders>
            <w:noWrap w:val="0"/>
            <w:vAlign w:val="center"/>
          </w:tcPr>
          <w:p w14:paraId="2E02E48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w w:val="95"/>
                <w:sz w:val="21"/>
                <w:szCs w:val="21"/>
                <w:highlight w:val="none"/>
              </w:rPr>
              <w:t>7</w:t>
            </w:r>
          </w:p>
        </w:tc>
        <w:tc>
          <w:tcPr>
            <w:tcW w:w="1212" w:type="dxa"/>
            <w:tcBorders>
              <w:top w:val="single" w:color="000000" w:sz="4" w:space="0"/>
              <w:left w:val="single" w:color="000000" w:sz="4" w:space="0"/>
              <w:right w:val="single" w:color="000000" w:sz="4" w:space="0"/>
            </w:tcBorders>
            <w:noWrap w:val="0"/>
            <w:vAlign w:val="center"/>
          </w:tcPr>
          <w:p w14:paraId="2D44AE7D">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补植完成时间</w:t>
            </w:r>
          </w:p>
        </w:tc>
        <w:tc>
          <w:tcPr>
            <w:tcW w:w="2201" w:type="dxa"/>
            <w:tcBorders>
              <w:top w:val="single" w:color="000000" w:sz="4" w:space="0"/>
              <w:left w:val="single" w:color="000000" w:sz="4" w:space="0"/>
              <w:right w:val="single" w:color="000000" w:sz="4" w:space="0"/>
            </w:tcBorders>
            <w:noWrap w:val="0"/>
            <w:vAlign w:val="center"/>
          </w:tcPr>
          <w:p w14:paraId="1D31593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698B31A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≤3d</w:t>
            </w:r>
          </w:p>
        </w:tc>
        <w:tc>
          <w:tcPr>
            <w:tcW w:w="2335" w:type="dxa"/>
            <w:tcBorders>
              <w:top w:val="single" w:color="000000" w:sz="4" w:space="0"/>
              <w:left w:val="single" w:color="000000" w:sz="4" w:space="0"/>
              <w:right w:val="single" w:color="000000" w:sz="4" w:space="0"/>
            </w:tcBorders>
            <w:noWrap w:val="0"/>
            <w:vAlign w:val="center"/>
          </w:tcPr>
          <w:p w14:paraId="7D9F5BF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7E9A62CF">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≤5d</w:t>
            </w:r>
          </w:p>
        </w:tc>
        <w:tc>
          <w:tcPr>
            <w:tcW w:w="2241" w:type="dxa"/>
            <w:tcBorders>
              <w:top w:val="single" w:color="000000" w:sz="4" w:space="0"/>
              <w:left w:val="single" w:color="000000" w:sz="4" w:space="0"/>
            </w:tcBorders>
            <w:noWrap w:val="0"/>
            <w:vAlign w:val="center"/>
          </w:tcPr>
          <w:p w14:paraId="17ED68D6">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b/>
                <w:color w:val="auto"/>
                <w:sz w:val="21"/>
                <w:szCs w:val="21"/>
                <w:highlight w:val="none"/>
              </w:rPr>
            </w:pPr>
          </w:p>
          <w:p w14:paraId="74C6378C">
            <w:pPr>
              <w:pStyle w:val="251"/>
              <w:keepNext w:val="0"/>
              <w:keepLines w:val="0"/>
              <w:pageBreakBefore w:val="0"/>
              <w:widowControl w:val="0"/>
              <w:kinsoku/>
              <w:wordWrap/>
              <w:overflowPunct/>
              <w:topLinePunct w:val="0"/>
              <w:bidi w:val="0"/>
              <w:adjustRightInd/>
              <w:snapToGrid/>
              <w:spacing w:line="240" w:lineRule="auto"/>
              <w:ind w:left="0" w:right="0" w:firstLine="0"/>
              <w:jc w:val="center"/>
              <w:textAlignment w:val="auto"/>
              <w:rPr>
                <w:rFonts w:hint="eastAsia"/>
                <w:color w:val="auto"/>
                <w:sz w:val="21"/>
                <w:szCs w:val="21"/>
                <w:highlight w:val="none"/>
              </w:rPr>
            </w:pPr>
            <w:r>
              <w:rPr>
                <w:rFonts w:hint="eastAsia"/>
                <w:color w:val="auto"/>
                <w:sz w:val="21"/>
                <w:szCs w:val="21"/>
                <w:highlight w:val="none"/>
              </w:rPr>
              <w:t>≤7d</w:t>
            </w:r>
          </w:p>
        </w:tc>
      </w:tr>
    </w:tbl>
    <w:p w14:paraId="7BEFE111">
      <w:pPr>
        <w:tabs>
          <w:tab w:val="left" w:pos="7504"/>
        </w:tabs>
        <w:spacing w:before="71"/>
        <w:rPr>
          <w:color w:val="auto"/>
          <w:sz w:val="21"/>
          <w:szCs w:val="21"/>
          <w:highlight w:val="none"/>
          <w:lang w:eastAsia="zh-CN"/>
        </w:rPr>
        <w:sectPr>
          <w:headerReference r:id="rId21" w:type="default"/>
          <w:footerReference r:id="rId22" w:type="default"/>
          <w:pgSz w:w="11906" w:h="16838"/>
          <w:pgMar w:top="1440" w:right="1588" w:bottom="1440" w:left="1588" w:header="851" w:footer="992" w:gutter="0"/>
          <w:pgNumType w:fmt="decimal"/>
          <w:cols w:space="720" w:num="1"/>
          <w:titlePg/>
          <w:docGrid w:type="lines" w:linePitch="312" w:charSpace="0"/>
        </w:sectPr>
      </w:pPr>
      <w:bookmarkStart w:id="864" w:name="_bookmark5"/>
      <w:bookmarkEnd w:id="864"/>
      <w:bookmarkStart w:id="865" w:name="附件五："/>
      <w:bookmarkEnd w:id="865"/>
      <w:bookmarkStart w:id="866" w:name="第五章_采购需求"/>
      <w:bookmarkEnd w:id="866"/>
    </w:p>
    <w:p w14:paraId="6E98682B">
      <w:pPr>
        <w:jc w:val="both"/>
        <w:outlineLvl w:val="2"/>
        <w:rPr>
          <w:rFonts w:hint="eastAsia" w:ascii="宋体" w:hAnsi="宋体" w:eastAsia="宋体" w:cs="宋体"/>
          <w:b/>
          <w:color w:val="auto"/>
          <w:kern w:val="0"/>
          <w:sz w:val="24"/>
          <w:szCs w:val="24"/>
          <w:highlight w:val="none"/>
          <w:u w:val="single"/>
          <w:lang w:val="en-US" w:eastAsia="zh-CN" w:bidi="ar-SA"/>
        </w:rPr>
      </w:pPr>
      <w:r>
        <w:rPr>
          <w:rFonts w:hint="eastAsia" w:ascii="宋体" w:hAnsi="宋体" w:eastAsia="宋体" w:cs="宋体"/>
          <w:b/>
          <w:color w:val="auto"/>
          <w:kern w:val="0"/>
          <w:sz w:val="24"/>
          <w:szCs w:val="24"/>
          <w:highlight w:val="none"/>
          <w:u w:val="single"/>
          <w:lang w:val="en-US" w:eastAsia="zh-CN" w:bidi="ar-SA"/>
        </w:rPr>
        <w:t>附件六：</w:t>
      </w:r>
    </w:p>
    <w:p w14:paraId="21B1A84C">
      <w:pPr>
        <w:pageBreakBefore w:val="0"/>
        <w:kinsoku/>
        <w:wordWrap/>
        <w:overflowPunct/>
        <w:topLinePunct w:val="0"/>
        <w:bidi w:val="0"/>
        <w:spacing w:before="1" w:line="360" w:lineRule="auto"/>
        <w:ind w:left="221"/>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构建“亲”“清”政商关系告知书</w:t>
      </w:r>
    </w:p>
    <w:p w14:paraId="03E250A4">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构建亲清新型政商关系，努力打造尊商、亲商、助商、安商良好营商环境，确保园林绿化项目工程质量，更好地预防职务犯罪，根据市党风廉政建设相关规定，市园林绿化局，特制定构建“亲”“清”政商关系告知书，严明公职人员在政商交往中的纪律要求。请各涉园林绿化项目的</w:t>
      </w:r>
      <w:r>
        <w:rPr>
          <w:rFonts w:hint="eastAsia" w:ascii="宋体" w:hAnsi="宋体" w:eastAsia="宋体" w:cs="宋体"/>
          <w:bCs/>
          <w:color w:val="auto"/>
          <w:sz w:val="24"/>
          <w:szCs w:val="24"/>
          <w:highlight w:val="none"/>
        </w:rPr>
        <w:t>代理机构、投标方、监理方、建设方、养护方企业</w:t>
      </w:r>
      <w:r>
        <w:rPr>
          <w:rFonts w:hint="eastAsia" w:ascii="宋体" w:hAnsi="宋体" w:eastAsia="宋体" w:cs="宋体"/>
          <w:color w:val="auto"/>
          <w:sz w:val="24"/>
          <w:szCs w:val="24"/>
          <w:highlight w:val="none"/>
        </w:rPr>
        <w:t>及其从业人员知晓，严格遵守并监督我局公职人员落实。</w:t>
      </w:r>
    </w:p>
    <w:p w14:paraId="4D19327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一、不得向公职人员赠送礼品、礼金、消费卡等财物。</w:t>
      </w:r>
    </w:p>
    <w:p w14:paraId="5412F8B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二、不得向公职人员提供宴请、旅游、健身、娱乐等活动安排。</w:t>
      </w:r>
    </w:p>
    <w:p w14:paraId="6C914BF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三、不得以任何借口为公职人员住房装修、婚丧嫁娶、亲友出国等提供方便。</w:t>
      </w:r>
    </w:p>
    <w:p w14:paraId="42F8CF4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四、不得为公职人员报销应由其个人支付的费用。</w:t>
      </w:r>
    </w:p>
    <w:p w14:paraId="7076012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五、不得违规向公职人员及其亲友借贷款。</w:t>
      </w:r>
    </w:p>
    <w:p w14:paraId="181C94E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六、不得违规将车辆、住房等借给公职人员使用。</w:t>
      </w:r>
    </w:p>
    <w:p w14:paraId="19B9A25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七、不得在招投标中与公职人员搞暗箱操作、围标串标。</w:t>
      </w:r>
    </w:p>
    <w:p w14:paraId="163D92C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八、不得为利益相关人和公职人员牵线搭桥或者代为传递信息、传递财物。</w:t>
      </w:r>
    </w:p>
    <w:p w14:paraId="634FCD8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九、不得让公职人员在企业违规兼职取酬。</w:t>
      </w:r>
    </w:p>
    <w:p w14:paraId="3344FE6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十、不得为公职人员亲友违规承揽业务提供便利。</w:t>
      </w:r>
    </w:p>
    <w:p w14:paraId="6CE34BC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上述“十个不得”，请您严格遵守。同时，在政商交往中，如有发现我局公职人员存在违反“十个不得”的问题， 请通过首都园林绿化政务网举报信箱：</w:t>
      </w:r>
      <w:r>
        <w:rPr>
          <w:rFonts w:hint="eastAsia" w:ascii="宋体" w:hAnsi="宋体" w:eastAsia="宋体" w:cs="宋体"/>
          <w:bCs/>
          <w:color w:val="auto"/>
          <w:sz w:val="24"/>
          <w:szCs w:val="24"/>
          <w:highlight w:val="none"/>
        </w:rPr>
        <w:t>北京市园林绿化局（首都绿化委员会办公室）网——政民活动——我要写信（纪检举报）,</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"mailto:ylztb@yllhj.beijing.gov.cn" </w:instrText>
      </w:r>
      <w:r>
        <w:rPr>
          <w:rFonts w:hint="eastAsia" w:ascii="宋体" w:hAnsi="宋体" w:eastAsia="宋体" w:cs="宋体"/>
          <w:color w:val="auto"/>
          <w:sz w:val="24"/>
          <w:szCs w:val="24"/>
          <w:highlight w:val="none"/>
          <w:u w:val="none"/>
        </w:rPr>
        <w:fldChar w:fldCharType="separate"/>
      </w:r>
      <w:r>
        <w:rPr>
          <w:rStyle w:val="54"/>
          <w:rFonts w:hint="eastAsia" w:ascii="宋体" w:hAnsi="宋体" w:eastAsia="宋体" w:cs="宋体"/>
          <w:color w:val="auto"/>
          <w:sz w:val="24"/>
          <w:szCs w:val="24"/>
          <w:highlight w:val="none"/>
          <w:u w:val="none"/>
        </w:rPr>
        <w:t>ylztb@yllhj.beijing.gov.cn</w:t>
      </w:r>
      <w:r>
        <w:rPr>
          <w:rStyle w:val="54"/>
          <w:rFonts w:hint="eastAsia" w:ascii="宋体" w:hAnsi="宋体" w:eastAsia="宋体" w:cs="宋体"/>
          <w:color w:val="auto"/>
          <w:sz w:val="24"/>
          <w:szCs w:val="24"/>
          <w:highlight w:val="none"/>
          <w:u w:val="none"/>
        </w:rPr>
        <w:fldChar w:fldCharType="end"/>
      </w:r>
    </w:p>
    <w:p w14:paraId="0C30C99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或北京市园林绿化局机关纪委信访邮箱：jgjw＠yllhj.beijing.gov.cn举报，电话84236701等方式，向纪检监察机关反映举报，我们将严格保密，按照相关规定优先处置，严肃查处。</w:t>
      </w:r>
    </w:p>
    <w:p w14:paraId="6D49E5C3">
      <w:pPr>
        <w:spacing w:line="560" w:lineRule="exact"/>
        <w:rPr>
          <w:rFonts w:hint="eastAsia" w:ascii="宋体" w:hAnsi="宋体" w:eastAsia="宋体" w:cs="宋体"/>
          <w:color w:val="auto"/>
          <w:sz w:val="24"/>
          <w:szCs w:val="24"/>
          <w:highlight w:val="none"/>
        </w:rPr>
      </w:pPr>
    </w:p>
    <w:p w14:paraId="1D6B95A7">
      <w:pPr>
        <w:spacing w:line="560" w:lineRule="exact"/>
        <w:ind w:left="3160" w:leftChars="76" w:hanging="3000" w:hangingChars="1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r>
        <w:rPr>
          <w:rFonts w:hint="eastAsia" w:ascii="宋体" w:hAnsi="宋体" w:cs="宋体"/>
          <w:color w:val="auto"/>
          <w:sz w:val="24"/>
          <w:szCs w:val="24"/>
          <w:highlight w:val="none"/>
          <w:lang w:val="en-US" w:eastAsia="zh-CN"/>
        </w:rPr>
        <w:t>（盖公章）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本人已知晓上述告知内容，愿意遵照执行，如有违反自愿承担法律责任。（签名）：</w:t>
      </w:r>
    </w:p>
    <w:p w14:paraId="382645D2">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EB0A93">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39FFA862">
      <w:pPr>
        <w:spacing w:line="560" w:lineRule="exact"/>
        <w:rPr>
          <w:rFonts w:hint="eastAsia" w:ascii="宋体" w:hAnsi="宋体" w:eastAsia="宋体" w:cs="宋体"/>
          <w:color w:val="auto"/>
          <w:sz w:val="24"/>
          <w:szCs w:val="24"/>
          <w:highlight w:val="none"/>
        </w:rPr>
      </w:pPr>
    </w:p>
    <w:p w14:paraId="729A5441">
      <w:pPr>
        <w:spacing w:line="560" w:lineRule="exact"/>
        <w:rPr>
          <w:rFonts w:hint="eastAsia" w:ascii="宋体" w:hAnsi="宋体" w:eastAsia="宋体" w:cs="宋体"/>
          <w:color w:val="auto"/>
          <w:sz w:val="24"/>
          <w:szCs w:val="24"/>
          <w:highlight w:val="none"/>
        </w:rPr>
      </w:pPr>
    </w:p>
    <w:p w14:paraId="3F219D16">
      <w:pPr>
        <w:spacing w:line="5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（本告知书一式两份，一份由被告知人保存，一份由告知人所在单位保存。）</w:t>
      </w:r>
    </w:p>
    <w:p w14:paraId="67E9AD3E">
      <w:pPr>
        <w:tabs>
          <w:tab w:val="left" w:pos="7504"/>
        </w:tabs>
        <w:spacing w:before="71"/>
        <w:rPr>
          <w:color w:val="auto"/>
          <w:sz w:val="21"/>
          <w:szCs w:val="21"/>
          <w:highlight w:val="none"/>
          <w:lang w:eastAsia="zh-CN"/>
        </w:rPr>
        <w:sectPr>
          <w:pgSz w:w="11906" w:h="16838"/>
          <w:pgMar w:top="1440" w:right="1588" w:bottom="1440" w:left="1588" w:header="851" w:footer="992" w:gutter="0"/>
          <w:pgNumType w:fmt="decimal"/>
          <w:cols w:space="720" w:num="1"/>
          <w:titlePg/>
          <w:docGrid w:type="lines" w:linePitch="312" w:charSpace="0"/>
        </w:sectPr>
      </w:pPr>
    </w:p>
    <w:p w14:paraId="66528B03">
      <w:pPr>
        <w:jc w:val="both"/>
        <w:outlineLvl w:val="2"/>
        <w:rPr>
          <w:rFonts w:hint="eastAsia" w:ascii="宋体" w:hAnsi="宋体" w:eastAsia="宋体" w:cs="宋体"/>
          <w:b/>
          <w:color w:val="auto"/>
          <w:kern w:val="0"/>
          <w:sz w:val="24"/>
          <w:szCs w:val="24"/>
          <w:highlight w:val="none"/>
          <w:u w:val="single"/>
          <w:lang w:val="en-US" w:eastAsia="zh-CN" w:bidi="ar-SA"/>
        </w:rPr>
      </w:pPr>
      <w:r>
        <w:rPr>
          <w:rFonts w:hint="eastAsia" w:ascii="宋体" w:hAnsi="宋体" w:eastAsia="宋体" w:cs="宋体"/>
          <w:b/>
          <w:color w:val="auto"/>
          <w:kern w:val="0"/>
          <w:sz w:val="24"/>
          <w:szCs w:val="24"/>
          <w:highlight w:val="none"/>
          <w:u w:val="single"/>
          <w:lang w:val="en-US" w:eastAsia="zh-CN" w:bidi="ar-SA"/>
        </w:rPr>
        <w:t>附件七</w:t>
      </w:r>
    </w:p>
    <w:p w14:paraId="4A75A46C">
      <w:pPr>
        <w:pageBreakBefore w:val="0"/>
        <w:kinsoku/>
        <w:wordWrap/>
        <w:overflowPunct/>
        <w:topLinePunct w:val="0"/>
        <w:bidi w:val="0"/>
        <w:spacing w:before="1" w:line="360" w:lineRule="auto"/>
        <w:ind w:left="221" w:firstLine="1687" w:firstLineChars="700"/>
        <w:jc w:val="both"/>
        <w:textAlignment w:val="auto"/>
        <w:rPr>
          <w:rFonts w:hint="eastAsia" w:ascii="宋体" w:hAnsi="宋体" w:eastAsia="宋体" w:cs="宋体"/>
          <w:b/>
          <w:color w:val="auto"/>
          <w:sz w:val="24"/>
          <w:szCs w:val="24"/>
          <w:highlight w:val="none"/>
          <w:lang w:val="en-US" w:eastAsia="zh-CN"/>
        </w:rPr>
        <w:sectPr>
          <w:headerReference r:id="rId23" w:type="default"/>
          <w:footerReference r:id="rId24"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color w:val="auto"/>
          <w:sz w:val="24"/>
          <w:szCs w:val="24"/>
          <w:highlight w:val="none"/>
          <w:lang w:val="en-US" w:eastAsia="zh-CN"/>
        </w:rPr>
        <w:t>标段养护面积和范围附图（</w:t>
      </w:r>
      <w:r>
        <w:rPr>
          <w:rFonts w:hint="eastAsia" w:ascii="宋体" w:hAnsi="宋体" w:cs="宋体"/>
          <w:b/>
          <w:color w:val="auto"/>
          <w:sz w:val="24"/>
          <w:szCs w:val="24"/>
          <w:highlight w:val="none"/>
          <w:lang w:val="en-US" w:eastAsia="zh-CN"/>
        </w:rPr>
        <w:t>签订合同时</w:t>
      </w:r>
      <w:r>
        <w:rPr>
          <w:rFonts w:hint="eastAsia" w:ascii="宋体" w:hAnsi="宋体" w:eastAsia="宋体" w:cs="宋体"/>
          <w:b/>
          <w:color w:val="auto"/>
          <w:sz w:val="24"/>
          <w:szCs w:val="24"/>
          <w:highlight w:val="none"/>
          <w:lang w:val="en-US" w:eastAsia="zh-CN"/>
        </w:rPr>
        <w:t>另附）</w:t>
      </w:r>
    </w:p>
    <w:p w14:paraId="314E3896">
      <w:pPr>
        <w:outlineLvl w:val="1"/>
        <w:rPr>
          <w:rFonts w:hint="eastAsia"/>
          <w:color w:val="auto"/>
          <w:highlight w:val="none"/>
          <w:lang w:val="en-US" w:eastAsia="zh-CN"/>
        </w:rPr>
      </w:pPr>
      <w:r>
        <w:rPr>
          <w:rFonts w:hint="eastAsia" w:ascii="宋体" w:hAnsi="宋体"/>
          <w:b/>
          <w:color w:val="auto"/>
          <w:sz w:val="24"/>
          <w:highlight w:val="none"/>
          <w:lang w:val="en-US" w:eastAsia="zh-CN"/>
        </w:rPr>
        <w:t>8包北京城市副中心绿地养护监理服务合同范本</w:t>
      </w:r>
    </w:p>
    <w:p w14:paraId="267C296D">
      <w:pPr>
        <w:pStyle w:val="17"/>
        <w:rPr>
          <w:color w:val="auto"/>
          <w:highlight w:val="none"/>
        </w:rPr>
      </w:pPr>
    </w:p>
    <w:p w14:paraId="707C9E9C">
      <w:pPr>
        <w:tabs>
          <w:tab w:val="left" w:pos="7504"/>
        </w:tabs>
        <w:spacing w:before="71"/>
        <w:ind w:firstLine="1405" w:firstLineChars="500"/>
        <w:rPr>
          <w:b/>
          <w:color w:val="auto"/>
          <w:sz w:val="28"/>
          <w:highlight w:val="none"/>
          <w:lang w:eastAsia="zh-CN"/>
        </w:rPr>
      </w:pPr>
    </w:p>
    <w:p w14:paraId="51B5FDCF">
      <w:pPr>
        <w:tabs>
          <w:tab w:val="left" w:pos="7504"/>
        </w:tabs>
        <w:spacing w:before="71"/>
        <w:ind w:firstLine="1405" w:firstLineChars="500"/>
        <w:rPr>
          <w:rFonts w:ascii="Times New Roman" w:eastAsia="Times New Roman"/>
          <w:b/>
          <w:color w:val="auto"/>
          <w:sz w:val="28"/>
          <w:highlight w:val="none"/>
          <w:lang w:eastAsia="zh-CN"/>
        </w:rPr>
      </w:pPr>
      <w:r>
        <w:rPr>
          <w:b/>
          <w:color w:val="auto"/>
          <w:sz w:val="28"/>
          <w:highlight w:val="none"/>
          <w:lang w:eastAsia="zh-CN"/>
        </w:rPr>
        <w:t>合同编号：</w:t>
      </w:r>
      <w:r>
        <w:rPr>
          <w:rFonts w:ascii="Times New Roman" w:eastAsia="Times New Roman"/>
          <w:b/>
          <w:color w:val="auto"/>
          <w:sz w:val="28"/>
          <w:highlight w:val="none"/>
          <w:u w:val="thick"/>
          <w:lang w:eastAsia="zh-CN"/>
        </w:rPr>
        <w:tab/>
      </w:r>
    </w:p>
    <w:p w14:paraId="6A67DF8D">
      <w:pPr>
        <w:rPr>
          <w:b/>
          <w:bCs/>
          <w:color w:val="auto"/>
          <w:sz w:val="72"/>
          <w:szCs w:val="72"/>
          <w:highlight w:val="none"/>
          <w:lang w:eastAsia="zh-CN"/>
        </w:rPr>
      </w:pPr>
    </w:p>
    <w:p w14:paraId="1CC4CAAB">
      <w:pPr>
        <w:rPr>
          <w:b/>
          <w:bCs/>
          <w:color w:val="auto"/>
          <w:sz w:val="72"/>
          <w:szCs w:val="72"/>
          <w:highlight w:val="none"/>
          <w:lang w:eastAsia="zh-CN"/>
        </w:rPr>
      </w:pPr>
    </w:p>
    <w:p w14:paraId="1D5CAF46">
      <w:pPr>
        <w:jc w:val="center"/>
        <w:rPr>
          <w:b/>
          <w:bCs/>
          <w:color w:val="auto"/>
          <w:sz w:val="44"/>
          <w:szCs w:val="44"/>
          <w:highlight w:val="none"/>
          <w:lang w:eastAsia="zh-CN"/>
        </w:rPr>
      </w:pPr>
      <w:r>
        <w:rPr>
          <w:rFonts w:hint="eastAsia"/>
          <w:b/>
          <w:bCs/>
          <w:color w:val="auto"/>
          <w:sz w:val="44"/>
          <w:szCs w:val="44"/>
          <w:highlight w:val="none"/>
          <w:lang w:eastAsia="zh-CN"/>
        </w:rPr>
        <w:t>北京市建设工程监理合同</w:t>
      </w:r>
    </w:p>
    <w:p w14:paraId="50B64C28">
      <w:pPr>
        <w:ind w:firstLine="357"/>
        <w:jc w:val="center"/>
        <w:rPr>
          <w:rFonts w:eastAsia="仿宋_GB2312"/>
          <w:bCs/>
          <w:color w:val="auto"/>
          <w:sz w:val="40"/>
          <w:szCs w:val="72"/>
          <w:highlight w:val="none"/>
          <w:lang w:eastAsia="zh-CN"/>
        </w:rPr>
      </w:pPr>
    </w:p>
    <w:p w14:paraId="3B026B92">
      <w:pPr>
        <w:ind w:firstLine="357"/>
        <w:jc w:val="center"/>
        <w:rPr>
          <w:b/>
          <w:bCs/>
          <w:color w:val="auto"/>
          <w:sz w:val="40"/>
          <w:szCs w:val="72"/>
          <w:highlight w:val="none"/>
          <w:lang w:eastAsia="zh-CN"/>
        </w:rPr>
      </w:pPr>
    </w:p>
    <w:p w14:paraId="3F14C645">
      <w:pPr>
        <w:ind w:firstLine="357"/>
        <w:jc w:val="center"/>
        <w:rPr>
          <w:b/>
          <w:bCs/>
          <w:color w:val="auto"/>
          <w:sz w:val="40"/>
          <w:szCs w:val="72"/>
          <w:highlight w:val="none"/>
          <w:lang w:eastAsia="zh-CN"/>
        </w:rPr>
      </w:pPr>
    </w:p>
    <w:tbl>
      <w:tblPr>
        <w:tblStyle w:val="46"/>
        <w:tblW w:w="7695" w:type="dxa"/>
        <w:jc w:val="center"/>
        <w:tblLayout w:type="fixed"/>
        <w:tblCellMar>
          <w:top w:w="0" w:type="dxa"/>
          <w:left w:w="108" w:type="dxa"/>
          <w:bottom w:w="0" w:type="dxa"/>
          <w:right w:w="108" w:type="dxa"/>
        </w:tblCellMar>
      </w:tblPr>
      <w:tblGrid>
        <w:gridCol w:w="1748"/>
        <w:gridCol w:w="578"/>
        <w:gridCol w:w="5369"/>
      </w:tblGrid>
      <w:tr w14:paraId="554CF2E7">
        <w:tblPrEx>
          <w:tblCellMar>
            <w:top w:w="0" w:type="dxa"/>
            <w:left w:w="108" w:type="dxa"/>
            <w:bottom w:w="0" w:type="dxa"/>
            <w:right w:w="108" w:type="dxa"/>
          </w:tblCellMar>
        </w:tblPrEx>
        <w:trPr>
          <w:trHeight w:val="997" w:hRule="atLeast"/>
          <w:jc w:val="center"/>
        </w:trPr>
        <w:tc>
          <w:tcPr>
            <w:tcW w:w="1748" w:type="dxa"/>
            <w:noWrap w:val="0"/>
            <w:vAlign w:val="bottom"/>
          </w:tcPr>
          <w:p w14:paraId="1DB9545A">
            <w:pPr>
              <w:keepNext w:val="0"/>
              <w:keepLines w:val="0"/>
              <w:suppressLineNumbers w:val="0"/>
              <w:spacing w:before="0" w:beforeAutospacing="0" w:after="0" w:afterAutospacing="0"/>
              <w:ind w:left="0" w:right="0"/>
              <w:jc w:val="distribute"/>
              <w:rPr>
                <w:rFonts w:hint="default"/>
                <w:b/>
                <w:bCs/>
                <w:color w:val="auto"/>
                <w:sz w:val="32"/>
                <w:szCs w:val="32"/>
                <w:highlight w:val="none"/>
              </w:rPr>
            </w:pPr>
            <w:r>
              <w:rPr>
                <w:rFonts w:hint="eastAsia"/>
                <w:b/>
                <w:bCs/>
                <w:color w:val="auto"/>
                <w:sz w:val="32"/>
                <w:szCs w:val="32"/>
                <w:highlight w:val="none"/>
              </w:rPr>
              <w:t>委托人</w:t>
            </w:r>
          </w:p>
        </w:tc>
        <w:tc>
          <w:tcPr>
            <w:tcW w:w="578" w:type="dxa"/>
            <w:noWrap w:val="0"/>
            <w:vAlign w:val="bottom"/>
          </w:tcPr>
          <w:p w14:paraId="4B400AA3">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bottom w:val="single" w:color="auto" w:sz="4" w:space="0"/>
            </w:tcBorders>
            <w:noWrap w:val="0"/>
            <w:vAlign w:val="bottom"/>
          </w:tcPr>
          <w:p w14:paraId="6AA214E1">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r w14:paraId="7AB45B9A">
        <w:tblPrEx>
          <w:tblCellMar>
            <w:top w:w="0" w:type="dxa"/>
            <w:left w:w="108" w:type="dxa"/>
            <w:bottom w:w="0" w:type="dxa"/>
            <w:right w:w="108" w:type="dxa"/>
          </w:tblCellMar>
        </w:tblPrEx>
        <w:trPr>
          <w:trHeight w:val="997" w:hRule="atLeast"/>
          <w:jc w:val="center"/>
        </w:trPr>
        <w:tc>
          <w:tcPr>
            <w:tcW w:w="1748" w:type="dxa"/>
            <w:noWrap w:val="0"/>
            <w:vAlign w:val="bottom"/>
          </w:tcPr>
          <w:p w14:paraId="6A7863B9">
            <w:pPr>
              <w:keepNext w:val="0"/>
              <w:keepLines w:val="0"/>
              <w:suppressLineNumbers w:val="0"/>
              <w:spacing w:before="0" w:beforeAutospacing="0" w:after="0" w:afterAutospacing="0"/>
              <w:ind w:left="0" w:right="0"/>
              <w:jc w:val="distribute"/>
              <w:rPr>
                <w:rFonts w:hint="default"/>
                <w:b/>
                <w:bCs/>
                <w:color w:val="auto"/>
                <w:sz w:val="32"/>
                <w:szCs w:val="32"/>
                <w:highlight w:val="none"/>
              </w:rPr>
            </w:pPr>
            <w:r>
              <w:rPr>
                <w:rFonts w:hint="eastAsia"/>
                <w:b/>
                <w:bCs/>
                <w:color w:val="auto"/>
                <w:sz w:val="32"/>
                <w:szCs w:val="32"/>
                <w:highlight w:val="none"/>
              </w:rPr>
              <w:t>监理人</w:t>
            </w:r>
          </w:p>
        </w:tc>
        <w:tc>
          <w:tcPr>
            <w:tcW w:w="578" w:type="dxa"/>
            <w:noWrap w:val="0"/>
            <w:vAlign w:val="bottom"/>
          </w:tcPr>
          <w:p w14:paraId="02767858">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top w:val="single" w:color="auto" w:sz="4" w:space="0"/>
              <w:bottom w:val="single" w:color="auto" w:sz="4" w:space="0"/>
            </w:tcBorders>
            <w:noWrap w:val="0"/>
            <w:vAlign w:val="bottom"/>
          </w:tcPr>
          <w:p w14:paraId="34E354F0">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r w14:paraId="4555C0C3">
        <w:tblPrEx>
          <w:tblCellMar>
            <w:top w:w="0" w:type="dxa"/>
            <w:left w:w="108" w:type="dxa"/>
            <w:bottom w:w="0" w:type="dxa"/>
            <w:right w:w="108" w:type="dxa"/>
          </w:tblCellMar>
        </w:tblPrEx>
        <w:trPr>
          <w:trHeight w:val="997" w:hRule="atLeast"/>
          <w:jc w:val="center"/>
        </w:trPr>
        <w:tc>
          <w:tcPr>
            <w:tcW w:w="1748" w:type="dxa"/>
            <w:noWrap w:val="0"/>
            <w:vAlign w:val="bottom"/>
          </w:tcPr>
          <w:p w14:paraId="68363BE7">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项目名称</w:t>
            </w:r>
          </w:p>
        </w:tc>
        <w:tc>
          <w:tcPr>
            <w:tcW w:w="578" w:type="dxa"/>
            <w:noWrap w:val="0"/>
            <w:vAlign w:val="bottom"/>
          </w:tcPr>
          <w:p w14:paraId="3289A3FB">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top w:val="single" w:color="auto" w:sz="4" w:space="0"/>
              <w:bottom w:val="single" w:color="auto" w:sz="4" w:space="0"/>
            </w:tcBorders>
            <w:noWrap w:val="0"/>
            <w:vAlign w:val="bottom"/>
          </w:tcPr>
          <w:p w14:paraId="26E6269E">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r w14:paraId="5E587A38">
        <w:tblPrEx>
          <w:tblCellMar>
            <w:top w:w="0" w:type="dxa"/>
            <w:left w:w="108" w:type="dxa"/>
            <w:bottom w:w="0" w:type="dxa"/>
            <w:right w:w="108" w:type="dxa"/>
          </w:tblCellMar>
        </w:tblPrEx>
        <w:trPr>
          <w:trHeight w:val="997" w:hRule="atLeast"/>
          <w:jc w:val="center"/>
        </w:trPr>
        <w:tc>
          <w:tcPr>
            <w:tcW w:w="1748" w:type="dxa"/>
            <w:noWrap w:val="0"/>
            <w:vAlign w:val="bottom"/>
          </w:tcPr>
          <w:p w14:paraId="5C477838">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合同编号</w:t>
            </w:r>
          </w:p>
        </w:tc>
        <w:tc>
          <w:tcPr>
            <w:tcW w:w="578" w:type="dxa"/>
            <w:noWrap w:val="0"/>
            <w:vAlign w:val="bottom"/>
          </w:tcPr>
          <w:p w14:paraId="25D041C8">
            <w:pPr>
              <w:keepNext w:val="0"/>
              <w:keepLines w:val="0"/>
              <w:suppressLineNumbers w:val="0"/>
              <w:spacing w:before="0" w:beforeAutospacing="0" w:after="0" w:afterAutospacing="0"/>
              <w:ind w:left="0" w:right="0"/>
              <w:jc w:val="center"/>
              <w:rPr>
                <w:rFonts w:hint="default"/>
                <w:b/>
                <w:bCs/>
                <w:color w:val="auto"/>
                <w:sz w:val="32"/>
                <w:szCs w:val="32"/>
                <w:highlight w:val="none"/>
              </w:rPr>
            </w:pPr>
            <w:r>
              <w:rPr>
                <w:rFonts w:hint="eastAsia"/>
                <w:b/>
                <w:bCs/>
                <w:color w:val="auto"/>
                <w:sz w:val="32"/>
                <w:szCs w:val="32"/>
                <w:highlight w:val="none"/>
              </w:rPr>
              <w:t>：</w:t>
            </w:r>
          </w:p>
        </w:tc>
        <w:tc>
          <w:tcPr>
            <w:tcW w:w="5369" w:type="dxa"/>
            <w:tcBorders>
              <w:top w:val="single" w:color="auto" w:sz="4" w:space="0"/>
              <w:bottom w:val="single" w:color="auto" w:sz="4" w:space="0"/>
            </w:tcBorders>
            <w:noWrap w:val="0"/>
            <w:vAlign w:val="bottom"/>
          </w:tcPr>
          <w:p w14:paraId="1A6D441D">
            <w:pPr>
              <w:keepNext w:val="0"/>
              <w:keepLines w:val="0"/>
              <w:suppressLineNumbers w:val="0"/>
              <w:spacing w:before="0" w:beforeAutospacing="0" w:after="0" w:afterAutospacing="0"/>
              <w:ind w:left="0" w:right="0"/>
              <w:jc w:val="center"/>
              <w:rPr>
                <w:rFonts w:hint="default"/>
                <w:b/>
                <w:bCs/>
                <w:color w:val="auto"/>
                <w:sz w:val="36"/>
                <w:szCs w:val="72"/>
                <w:highlight w:val="none"/>
              </w:rPr>
            </w:pPr>
          </w:p>
        </w:tc>
      </w:tr>
    </w:tbl>
    <w:p w14:paraId="05868770">
      <w:pPr>
        <w:rPr>
          <w:color w:val="auto"/>
          <w:highlight w:val="none"/>
        </w:rPr>
      </w:pPr>
    </w:p>
    <w:p w14:paraId="3E9C46AB">
      <w:pPr>
        <w:rPr>
          <w:color w:val="auto"/>
          <w:highlight w:val="none"/>
        </w:rPr>
      </w:pPr>
    </w:p>
    <w:p w14:paraId="21A5575B">
      <w:pPr>
        <w:ind w:right="1804" w:rightChars="859" w:firstLine="1439" w:firstLineChars="448"/>
        <w:jc w:val="distribute"/>
        <w:rPr>
          <w:b/>
          <w:bCs/>
          <w:color w:val="auto"/>
          <w:sz w:val="32"/>
          <w:szCs w:val="32"/>
          <w:highlight w:val="none"/>
          <w:lang w:eastAsia="zh-CN"/>
        </w:rPr>
      </w:pPr>
      <w:r>
        <w:rPr>
          <w:rFonts w:hint="eastAsia"/>
          <w:b/>
          <w:bCs/>
          <w:color w:val="auto"/>
          <w:sz w:val="32"/>
          <w:szCs w:val="32"/>
          <w:highlight w:val="none"/>
          <w:lang w:eastAsia="zh-CN"/>
        </w:rPr>
        <w:t>北京市住房和城乡建设委员会</w:t>
      </w:r>
    </w:p>
    <w:p w14:paraId="317F2484">
      <w:pPr>
        <w:ind w:right="1804" w:rightChars="859" w:firstLine="1439" w:firstLineChars="448"/>
        <w:jc w:val="distribute"/>
        <w:rPr>
          <w:b/>
          <w:bCs/>
          <w:color w:val="auto"/>
          <w:sz w:val="32"/>
          <w:szCs w:val="32"/>
          <w:highlight w:val="none"/>
          <w:lang w:eastAsia="zh-CN"/>
        </w:rPr>
      </w:pPr>
      <w:r>
        <w:rPr>
          <w:rFonts w:hint="eastAsia"/>
          <w:b/>
          <w:bCs/>
          <w:color w:val="auto"/>
          <w:sz w:val="32"/>
          <w:szCs w:val="32"/>
          <w:highlight w:val="none"/>
          <w:lang w:eastAsia="zh-CN"/>
        </w:rPr>
        <w:t>北京市工商行政管理局</w:t>
      </w:r>
    </w:p>
    <w:p w14:paraId="47E7CACA">
      <w:pPr>
        <w:ind w:right="1804" w:rightChars="859"/>
        <w:jc w:val="center"/>
        <w:rPr>
          <w:color w:val="auto"/>
          <w:sz w:val="32"/>
          <w:szCs w:val="32"/>
          <w:highlight w:val="none"/>
          <w:lang w:eastAsia="zh-CN"/>
        </w:rPr>
      </w:pPr>
      <w:r>
        <w:rPr>
          <w:rFonts w:hint="eastAsia"/>
          <w:b/>
          <w:bCs/>
          <w:color w:val="auto"/>
          <w:sz w:val="32"/>
          <w:szCs w:val="32"/>
          <w:highlight w:val="none"/>
          <w:lang w:eastAsia="zh-CN"/>
        </w:rPr>
        <w:t>二○一四年四月制定</w:t>
      </w:r>
    </w:p>
    <w:p w14:paraId="3D4E3B5B">
      <w:pPr>
        <w:rPr>
          <w:rFonts w:hint="eastAsia"/>
          <w:b/>
          <w:bCs/>
          <w:color w:val="auto"/>
          <w:sz w:val="32"/>
          <w:szCs w:val="32"/>
          <w:highlight w:val="none"/>
          <w:lang w:eastAsia="zh-CN"/>
        </w:rPr>
      </w:pPr>
      <w:r>
        <w:rPr>
          <w:rFonts w:hint="eastAsia"/>
          <w:b/>
          <w:bCs/>
          <w:color w:val="auto"/>
          <w:sz w:val="32"/>
          <w:szCs w:val="32"/>
          <w:highlight w:val="none"/>
          <w:lang w:eastAsia="zh-CN"/>
        </w:rPr>
        <w:br w:type="page"/>
      </w:r>
    </w:p>
    <w:p w14:paraId="23E6804F">
      <w:pPr>
        <w:keepNext w:val="0"/>
        <w:keepLines w:val="0"/>
        <w:pageBreakBefore/>
        <w:widowControl w:val="0"/>
        <w:kinsoku/>
        <w:wordWrap/>
        <w:overflowPunct/>
        <w:topLinePunct w:val="0"/>
        <w:autoSpaceDE/>
        <w:autoSpaceDN/>
        <w:bidi w:val="0"/>
        <w:spacing w:line="240" w:lineRule="auto"/>
        <w:ind w:left="0" w:right="0" w:firstLine="643" w:firstLineChars="200"/>
        <w:jc w:val="center"/>
        <w:textAlignment w:val="auto"/>
        <w:outlineLvl w:val="9"/>
        <w:rPr>
          <w:rFonts w:hint="eastAsia"/>
          <w:b/>
          <w:bCs/>
          <w:color w:val="auto"/>
          <w:sz w:val="32"/>
          <w:szCs w:val="32"/>
          <w:highlight w:val="none"/>
          <w:lang w:eastAsia="zh-CN"/>
        </w:rPr>
        <w:sectPr>
          <w:headerReference r:id="rId25" w:type="default"/>
          <w:footerReference r:id="rId26" w:type="default"/>
          <w:pgSz w:w="11907" w:h="16840"/>
          <w:pgMar w:top="1418" w:right="1134" w:bottom="1418" w:left="1701" w:header="851" w:footer="851" w:gutter="0"/>
          <w:pgNumType w:fmt="decimal"/>
          <w:cols w:space="720" w:num="1"/>
          <w:docGrid w:linePitch="462" w:charSpace="0"/>
        </w:sectPr>
      </w:pPr>
    </w:p>
    <w:p w14:paraId="28859179">
      <w:pPr>
        <w:pageBreakBefore/>
        <w:spacing w:line="360" w:lineRule="auto"/>
        <w:ind w:firstLine="357"/>
        <w:jc w:val="center"/>
        <w:outlineLvl w:val="9"/>
        <w:rPr>
          <w:b/>
          <w:bCs/>
          <w:color w:val="auto"/>
          <w:sz w:val="32"/>
          <w:szCs w:val="32"/>
          <w:highlight w:val="none"/>
          <w:lang w:eastAsia="zh-CN"/>
        </w:rPr>
      </w:pPr>
      <w:r>
        <w:rPr>
          <w:rFonts w:hint="eastAsia"/>
          <w:b/>
          <w:bCs/>
          <w:color w:val="auto"/>
          <w:sz w:val="32"/>
          <w:szCs w:val="32"/>
          <w:highlight w:val="none"/>
          <w:lang w:eastAsia="zh-CN"/>
        </w:rPr>
        <w:t>第一部分合同协议书</w:t>
      </w:r>
    </w:p>
    <w:p w14:paraId="20C09D63">
      <w:pPr>
        <w:adjustRightInd w:val="0"/>
        <w:snapToGrid w:val="0"/>
        <w:spacing w:line="360" w:lineRule="auto"/>
        <w:ind w:firstLine="325" w:firstLineChars="250"/>
        <w:rPr>
          <w:color w:val="auto"/>
          <w:sz w:val="13"/>
          <w:szCs w:val="13"/>
          <w:highlight w:val="none"/>
          <w:lang w:eastAsia="zh-CN"/>
        </w:rPr>
      </w:pPr>
    </w:p>
    <w:p w14:paraId="71B68D4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委托人（全称）：</w:t>
      </w:r>
    </w:p>
    <w:p w14:paraId="43BFAD0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监理人（全称）：</w:t>
      </w:r>
    </w:p>
    <w:p w14:paraId="321C232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根据《中华人民共和国民法典》、《中华人民共和国建筑法》及其他有关法律、法规，遵循平等、自愿、公平和诚实信用原则，双方就下述工程委托监理与相关服务事项协商一致，订立本合同。</w:t>
      </w:r>
    </w:p>
    <w:p w14:paraId="15E5CFAD">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67" w:name="_Toc11332810"/>
      <w:bookmarkStart w:id="868" w:name="_Toc61947380"/>
      <w:r>
        <w:rPr>
          <w:rFonts w:hint="eastAsia" w:asciiTheme="minorEastAsia" w:hAnsiTheme="minorEastAsia" w:eastAsiaTheme="minorEastAsia" w:cstheme="minorEastAsia"/>
          <w:b/>
          <w:color w:val="auto"/>
          <w:sz w:val="24"/>
          <w:szCs w:val="24"/>
          <w:highlight w:val="none"/>
          <w:lang w:eastAsia="zh-CN"/>
        </w:rPr>
        <w:t>一、工程概况</w:t>
      </w:r>
      <w:bookmarkEnd w:id="867"/>
      <w:bookmarkEnd w:id="868"/>
    </w:p>
    <w:p w14:paraId="396CCE0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1. 工程名称：</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151F2F1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工程地点：</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6A56A661">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工程规模：</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AD3CB29">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 工程范围：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1845A75D">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 工程概算投资额或建筑安装工程费：。</w:t>
      </w:r>
    </w:p>
    <w:p w14:paraId="39647FF4">
      <w:pPr>
        <w:spacing w:line="360" w:lineRule="auto"/>
        <w:ind w:firstLine="431" w:firstLineChars="17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二、词语定义</w:t>
      </w:r>
    </w:p>
    <w:p w14:paraId="04C376B3">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合同协议书中相关词语的含义与合同通用条款中的定义与解释相同。</w:t>
      </w:r>
    </w:p>
    <w:p w14:paraId="4ED59097">
      <w:pPr>
        <w:spacing w:line="360" w:lineRule="auto"/>
        <w:ind w:firstLine="429" w:firstLineChars="179"/>
        <w:outlineLvl w:val="9"/>
        <w:rPr>
          <w:rFonts w:hint="eastAsia" w:asciiTheme="minorEastAsia" w:hAnsiTheme="minorEastAsia" w:eastAsiaTheme="minorEastAsia" w:cstheme="minorEastAsia"/>
          <w:color w:val="auto"/>
          <w:sz w:val="24"/>
          <w:szCs w:val="24"/>
          <w:highlight w:val="none"/>
          <w:lang w:eastAsia="zh-CN"/>
        </w:rPr>
      </w:pPr>
      <w:bookmarkStart w:id="869" w:name="_Toc11332811"/>
      <w:bookmarkStart w:id="870" w:name="_Toc61947381"/>
      <w:r>
        <w:rPr>
          <w:rFonts w:hint="eastAsia" w:asciiTheme="minorEastAsia" w:hAnsiTheme="minorEastAsia" w:eastAsiaTheme="minorEastAsia" w:cstheme="minorEastAsia"/>
          <w:color w:val="auto"/>
          <w:sz w:val="24"/>
          <w:szCs w:val="24"/>
          <w:highlight w:val="none"/>
          <w:lang w:eastAsia="zh-CN"/>
        </w:rPr>
        <w:t>三、组成合同的文件</w:t>
      </w:r>
      <w:bookmarkEnd w:id="869"/>
      <w:bookmarkEnd w:id="870"/>
    </w:p>
    <w:p w14:paraId="393DE0DD">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合同协议书；</w:t>
      </w:r>
    </w:p>
    <w:p w14:paraId="01DB4AF0">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中标通知书（适用于招标养护项目）或委托书（适用于非招标养护项目）；</w:t>
      </w:r>
    </w:p>
    <w:p w14:paraId="2735CA4F">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投标</w:t>
      </w:r>
      <w:r>
        <w:rPr>
          <w:rFonts w:hint="eastAsia" w:asciiTheme="minorEastAsia" w:hAnsiTheme="minorEastAsia" w:eastAsiaTheme="minorEastAsia" w:cstheme="minorEastAsia"/>
          <w:color w:val="auto"/>
          <w:sz w:val="24"/>
          <w:szCs w:val="24"/>
          <w:highlight w:val="none"/>
          <w:lang w:val="en-US" w:eastAsia="zh-CN"/>
        </w:rPr>
        <w:t>书</w:t>
      </w:r>
      <w:r>
        <w:rPr>
          <w:rFonts w:hint="eastAsia" w:asciiTheme="minorEastAsia" w:hAnsiTheme="minorEastAsia" w:eastAsiaTheme="minorEastAsia" w:cstheme="minorEastAsia"/>
          <w:color w:val="auto"/>
          <w:sz w:val="24"/>
          <w:szCs w:val="24"/>
          <w:highlight w:val="none"/>
          <w:lang w:eastAsia="zh-CN"/>
        </w:rPr>
        <w:t>；</w:t>
      </w:r>
    </w:p>
    <w:p w14:paraId="0EA022F1">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 投标文件中的拟投入监理与相关服务人员、设备计划、监理大纲及相关服务方案（适用于招标养护项目）或监理与相关服务建议书（适用于非招标养护项目）；</w:t>
      </w:r>
    </w:p>
    <w:p w14:paraId="0C69A12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 合同专用条款；</w:t>
      </w:r>
    </w:p>
    <w:p w14:paraId="05D9B16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 合同通用条款；</w:t>
      </w:r>
    </w:p>
    <w:p w14:paraId="3321486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 本工程适用的监理与相关服务有关的规范、规程，及其他合同文件。</w:t>
      </w:r>
    </w:p>
    <w:p w14:paraId="21CC8B6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合同签订后，双方依法签订的补充协议也是合同文件的组成部分。</w:t>
      </w:r>
    </w:p>
    <w:p w14:paraId="6DCE9C8E">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1" w:name="_Toc11332812"/>
      <w:bookmarkStart w:id="872" w:name="_Toc61947382"/>
      <w:r>
        <w:rPr>
          <w:rFonts w:hint="eastAsia" w:asciiTheme="minorEastAsia" w:hAnsiTheme="minorEastAsia" w:eastAsiaTheme="minorEastAsia" w:cstheme="minorEastAsia"/>
          <w:b/>
          <w:color w:val="auto"/>
          <w:sz w:val="24"/>
          <w:szCs w:val="24"/>
          <w:highlight w:val="none"/>
          <w:lang w:eastAsia="zh-CN"/>
        </w:rPr>
        <w:t>四、总监理工程师</w:t>
      </w:r>
      <w:bookmarkEnd w:id="871"/>
      <w:bookmarkEnd w:id="872"/>
    </w:p>
    <w:p w14:paraId="7402F39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总监理工程师姓名：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，身份证号码：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，注册号：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0060EFC6">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3" w:name="_Toc61947383"/>
      <w:bookmarkStart w:id="874" w:name="_Toc11332813"/>
      <w:r>
        <w:rPr>
          <w:rFonts w:hint="eastAsia" w:asciiTheme="minorEastAsia" w:hAnsiTheme="minorEastAsia" w:eastAsiaTheme="minorEastAsia" w:cstheme="minorEastAsia"/>
          <w:b/>
          <w:color w:val="auto"/>
          <w:sz w:val="24"/>
          <w:szCs w:val="24"/>
          <w:highlight w:val="none"/>
          <w:lang w:eastAsia="zh-CN"/>
        </w:rPr>
        <w:t>五、签约酬金与补偿费用</w:t>
      </w:r>
      <w:bookmarkEnd w:id="873"/>
      <w:bookmarkEnd w:id="874"/>
    </w:p>
    <w:p w14:paraId="004927B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（一）签约酬金（大写）：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元（¥</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639F900A">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包括：</w:t>
      </w:r>
    </w:p>
    <w:p w14:paraId="7CAC0445">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监理酬金：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53F01EA3">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相关服务酬金：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3FF71B1C">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其中：</w:t>
      </w:r>
    </w:p>
    <w:p w14:paraId="0DA401D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（1）保修期服务酬金：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22D7405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（2）其他相关服务酬金：</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7F1C2E5F">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（二）委托人不提供或部分提供相应的人员、房屋、资料、设备、设施时的补偿费用（大写）：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元（¥</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w:t>
      </w:r>
    </w:p>
    <w:p w14:paraId="179F2E36">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5" w:name="_Toc11332814"/>
      <w:bookmarkStart w:id="876" w:name="_Toc61947384"/>
      <w:r>
        <w:rPr>
          <w:rFonts w:hint="eastAsia" w:asciiTheme="minorEastAsia" w:hAnsiTheme="minorEastAsia" w:eastAsiaTheme="minorEastAsia" w:cstheme="minorEastAsia"/>
          <w:b/>
          <w:color w:val="auto"/>
          <w:sz w:val="24"/>
          <w:szCs w:val="24"/>
          <w:highlight w:val="none"/>
          <w:lang w:eastAsia="zh-CN"/>
        </w:rPr>
        <w:t>六、期限</w:t>
      </w:r>
      <w:bookmarkEnd w:id="875"/>
      <w:bookmarkEnd w:id="876"/>
    </w:p>
    <w:p w14:paraId="09C75CDA">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监理期限：</w:t>
      </w:r>
    </w:p>
    <w:p w14:paraId="209105B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自</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日始，至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日止；共计</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天。</w:t>
      </w:r>
    </w:p>
    <w:p w14:paraId="7D4B276A">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相关服务期限：</w:t>
      </w:r>
    </w:p>
    <w:p w14:paraId="0D1131AD">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（1）保修期服务期限自实际竣工日期至</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日止。</w:t>
      </w:r>
    </w:p>
    <w:p w14:paraId="6B4349D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（2）其他相关服务期限自</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日始，至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日止。</w:t>
      </w:r>
    </w:p>
    <w:p w14:paraId="68FB0316">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7" w:name="_Toc61947385"/>
      <w:bookmarkStart w:id="878" w:name="_Toc11332815"/>
      <w:r>
        <w:rPr>
          <w:rFonts w:hint="eastAsia" w:asciiTheme="minorEastAsia" w:hAnsiTheme="minorEastAsia" w:eastAsiaTheme="minorEastAsia" w:cstheme="minorEastAsia"/>
          <w:b/>
          <w:color w:val="auto"/>
          <w:sz w:val="24"/>
          <w:szCs w:val="24"/>
          <w:highlight w:val="none"/>
          <w:lang w:eastAsia="zh-CN"/>
        </w:rPr>
        <w:t>七、双方承诺</w:t>
      </w:r>
      <w:bookmarkEnd w:id="877"/>
      <w:bookmarkEnd w:id="878"/>
    </w:p>
    <w:p w14:paraId="09AAEF1C">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监理人向委托人承诺，按照合同约定提供监理与相关服务。</w:t>
      </w:r>
    </w:p>
    <w:p w14:paraId="723D4A8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委托人向监理人承诺，按照合同约定提供相应的人员、房屋、资料、设备、设施，并按照合同约定支付酬金。</w:t>
      </w:r>
    </w:p>
    <w:p w14:paraId="633C4510">
      <w:pPr>
        <w:spacing w:line="360" w:lineRule="auto"/>
        <w:ind w:firstLine="431" w:firstLineChars="179"/>
        <w:outlineLvl w:val="9"/>
        <w:rPr>
          <w:rFonts w:hint="eastAsia" w:asciiTheme="minorEastAsia" w:hAnsiTheme="minorEastAsia" w:eastAsiaTheme="minorEastAsia" w:cstheme="minorEastAsia"/>
          <w:b/>
          <w:color w:val="auto"/>
          <w:sz w:val="24"/>
          <w:szCs w:val="24"/>
          <w:highlight w:val="none"/>
          <w:lang w:eastAsia="zh-CN"/>
        </w:rPr>
      </w:pPr>
      <w:bookmarkStart w:id="879" w:name="_Toc11332816"/>
      <w:bookmarkStart w:id="880" w:name="_Toc61947386"/>
      <w:r>
        <w:rPr>
          <w:rFonts w:hint="eastAsia" w:asciiTheme="minorEastAsia" w:hAnsiTheme="minorEastAsia" w:eastAsiaTheme="minorEastAsia" w:cstheme="minorEastAsia"/>
          <w:b/>
          <w:color w:val="auto"/>
          <w:sz w:val="24"/>
          <w:szCs w:val="24"/>
          <w:highlight w:val="none"/>
          <w:lang w:eastAsia="zh-CN"/>
        </w:rPr>
        <w:t>八、合同订立</w:t>
      </w:r>
      <w:bookmarkEnd w:id="879"/>
      <w:bookmarkEnd w:id="880"/>
    </w:p>
    <w:p w14:paraId="67B25BD3">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 订立时间：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日。</w:t>
      </w:r>
    </w:p>
    <w:p w14:paraId="7304B29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 订立地点：</w:t>
      </w:r>
      <w:r>
        <w:rPr>
          <w:rFonts w:hint="eastAsia" w:asciiTheme="minorEastAsia" w:hAnsiTheme="minorEastAsia" w:eastAsiaTheme="minorEastAsia" w:cstheme="minorEastAsia"/>
          <w:color w:val="auto"/>
          <w:sz w:val="24"/>
          <w:szCs w:val="24"/>
          <w:highlight w:val="none"/>
          <w:u w:val="single"/>
          <w:lang w:eastAsia="zh-CN"/>
        </w:rPr>
        <w:t xml:space="preserve">北京市 </w:t>
      </w:r>
      <w:r>
        <w:rPr>
          <w:rFonts w:hint="eastAsia" w:asciiTheme="minorEastAsia" w:hAnsiTheme="minorEastAsia" w:eastAsiaTheme="minorEastAsia" w:cstheme="minorEastAsia"/>
          <w:color w:val="auto"/>
          <w:sz w:val="24"/>
          <w:szCs w:val="24"/>
          <w:highlight w:val="none"/>
          <w:lang w:eastAsia="zh-CN"/>
        </w:rPr>
        <w:t>。</w:t>
      </w:r>
    </w:p>
    <w:p w14:paraId="4795803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 合同一式份，具有同等法律效力，双方各执份</w:t>
      </w:r>
    </w:p>
    <w:p w14:paraId="034A5846">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p>
    <w:p w14:paraId="3A4E4422">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w:t>
      </w:r>
      <w:r>
        <w:rPr>
          <w:rFonts w:hint="eastAsia" w:asciiTheme="minorEastAsia" w:hAnsiTheme="minorEastAsia" w:eastAsiaTheme="minorEastAsia" w:cstheme="minorEastAsia"/>
          <w:color w:val="auto"/>
          <w:sz w:val="24"/>
          <w:szCs w:val="24"/>
          <w:highlight w:val="none"/>
          <w:u w:val="single"/>
          <w:lang w:eastAsia="zh-CN"/>
        </w:rPr>
        <w:t xml:space="preserve">（盖章）                      </w:t>
      </w:r>
      <w:r>
        <w:rPr>
          <w:rFonts w:hint="eastAsia" w:asciiTheme="minorEastAsia" w:hAnsiTheme="minorEastAsia" w:eastAsiaTheme="minorEastAsia" w:cstheme="minorEastAsia"/>
          <w:color w:val="auto"/>
          <w:sz w:val="24"/>
          <w:szCs w:val="24"/>
          <w:highlight w:val="none"/>
          <w:lang w:eastAsia="zh-CN"/>
        </w:rPr>
        <w:t xml:space="preserve">  监理人：</w:t>
      </w:r>
      <w:r>
        <w:rPr>
          <w:rFonts w:hint="eastAsia" w:asciiTheme="minorEastAsia" w:hAnsiTheme="minorEastAsia" w:eastAsiaTheme="minorEastAsia" w:cstheme="minorEastAsia"/>
          <w:color w:val="auto"/>
          <w:sz w:val="24"/>
          <w:szCs w:val="24"/>
          <w:highlight w:val="none"/>
          <w:u w:val="single"/>
          <w:lang w:eastAsia="zh-CN"/>
        </w:rPr>
        <w:t>（盖章）</w:t>
      </w:r>
    </w:p>
    <w:p w14:paraId="065693AE">
      <w:pPr>
        <w:adjustRightInd w:val="0"/>
        <w:snapToGrid w:val="0"/>
        <w:spacing w:line="360" w:lineRule="auto"/>
        <w:ind w:firstLine="1680" w:firstLineChars="7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 xml:space="preserve">                          营业执照号：</w:t>
      </w:r>
    </w:p>
    <w:p w14:paraId="25E2227A">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资质证书编号：</w:t>
      </w:r>
    </w:p>
    <w:p w14:paraId="42468DAE">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住所：</w:t>
      </w:r>
    </w:p>
    <w:p w14:paraId="30EE53BD">
      <w:pPr>
        <w:adjustRightInd w:val="0"/>
        <w:snapToGrid w:val="0"/>
        <w:spacing w:line="360" w:lineRule="auto"/>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邮政编码：</w:t>
      </w:r>
    </w:p>
    <w:p w14:paraId="1A1E4D99">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法定代表人或其委托                      法定代表人或其委托</w:t>
      </w:r>
    </w:p>
    <w:p w14:paraId="09585F44">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代理人：</w:t>
      </w:r>
      <w:r>
        <w:rPr>
          <w:rFonts w:hint="eastAsia" w:asciiTheme="minorEastAsia" w:hAnsiTheme="minorEastAsia" w:eastAsiaTheme="minorEastAsia" w:cstheme="minorEastAsia"/>
          <w:color w:val="auto"/>
          <w:sz w:val="24"/>
          <w:szCs w:val="24"/>
          <w:highlight w:val="none"/>
          <w:u w:val="single"/>
          <w:lang w:eastAsia="zh-CN"/>
        </w:rPr>
        <w:t xml:space="preserve">（签字或盖章）              </w:t>
      </w:r>
      <w:r>
        <w:rPr>
          <w:rFonts w:hint="eastAsia" w:asciiTheme="minorEastAsia" w:hAnsiTheme="minorEastAsia" w:eastAsiaTheme="minorEastAsia" w:cstheme="minorEastAsia"/>
          <w:color w:val="auto"/>
          <w:sz w:val="24"/>
          <w:szCs w:val="24"/>
          <w:highlight w:val="none"/>
          <w:lang w:eastAsia="zh-CN"/>
        </w:rPr>
        <w:t xml:space="preserve">    代理人：</w:t>
      </w:r>
      <w:r>
        <w:rPr>
          <w:rFonts w:hint="eastAsia" w:asciiTheme="minorEastAsia" w:hAnsiTheme="minorEastAsia" w:eastAsiaTheme="minorEastAsia" w:cstheme="minorEastAsia"/>
          <w:color w:val="auto"/>
          <w:sz w:val="24"/>
          <w:szCs w:val="24"/>
          <w:highlight w:val="none"/>
          <w:u w:val="single"/>
          <w:lang w:eastAsia="zh-CN"/>
        </w:rPr>
        <w:t>（签字或盖章）</w:t>
      </w:r>
    </w:p>
    <w:p w14:paraId="00554C0A">
      <w:pPr>
        <w:adjustRightInd w:val="0"/>
        <w:snapToGrid w:val="0"/>
        <w:spacing w:line="360" w:lineRule="auto"/>
        <w:ind w:left="4557" w:leftChars="570" w:hanging="3360" w:hangingChars="14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开户银行：</w:t>
      </w:r>
    </w:p>
    <w:p w14:paraId="5F8C4033">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账号：</w:t>
      </w:r>
    </w:p>
    <w:p w14:paraId="26746873">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电话：</w:t>
      </w:r>
    </w:p>
    <w:p w14:paraId="205BF229">
      <w:pPr>
        <w:adjustRightInd w:val="0"/>
        <w:snapToGrid w:val="0"/>
        <w:spacing w:line="360" w:lineRule="auto"/>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传真：</w:t>
      </w:r>
    </w:p>
    <w:p w14:paraId="33919BC3">
      <w:pPr>
        <w:adjustRightInd w:val="0"/>
        <w:snapToGrid w:val="0"/>
        <w:spacing w:line="360" w:lineRule="auto"/>
        <w:ind w:firstLine="1200" w:firstLineChars="5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电子邮箱：</w:t>
      </w:r>
    </w:p>
    <w:p w14:paraId="218EA121">
      <w:pPr>
        <w:spacing w:line="360" w:lineRule="auto"/>
        <w:ind w:firstLine="542" w:firstLineChars="225"/>
        <w:jc w:val="center"/>
        <w:rPr>
          <w:rFonts w:hint="eastAsia" w:asciiTheme="minorEastAsia" w:hAnsiTheme="minorEastAsia" w:eastAsiaTheme="minorEastAsia" w:cstheme="minorEastAsia"/>
          <w:b/>
          <w:color w:val="auto"/>
          <w:sz w:val="24"/>
          <w:szCs w:val="24"/>
          <w:highlight w:val="none"/>
          <w:lang w:eastAsia="zh-CN"/>
        </w:rPr>
        <w:sectPr>
          <w:headerReference r:id="rId27" w:type="default"/>
          <w:footerReference r:id="rId29" w:type="default"/>
          <w:headerReference r:id="rId28" w:type="even"/>
          <w:footerReference r:id="rId30" w:type="even"/>
          <w:pgSz w:w="11906" w:h="16838"/>
          <w:pgMar w:top="1440" w:right="1588" w:bottom="1440" w:left="1588" w:header="851" w:footer="992" w:gutter="0"/>
          <w:pgNumType w:fmt="decimal"/>
          <w:cols w:space="720" w:num="1"/>
          <w:titlePg/>
          <w:docGrid w:type="lines" w:linePitch="312" w:charSpace="0"/>
        </w:sectPr>
      </w:pPr>
    </w:p>
    <w:p w14:paraId="3ED0EE13">
      <w:pPr>
        <w:pageBreakBefore/>
        <w:spacing w:line="360" w:lineRule="auto"/>
        <w:ind w:firstLine="357"/>
        <w:jc w:val="center"/>
        <w:outlineLvl w:val="9"/>
        <w:rPr>
          <w:rFonts w:hint="eastAsia" w:asciiTheme="minorEastAsia" w:hAnsiTheme="minorEastAsia" w:eastAsiaTheme="minorEastAsia" w:cstheme="minorEastAsia"/>
          <w:b/>
          <w:bCs/>
          <w:color w:val="auto"/>
          <w:sz w:val="24"/>
          <w:szCs w:val="24"/>
          <w:highlight w:val="none"/>
          <w:lang w:eastAsia="zh-CN"/>
        </w:rPr>
      </w:pPr>
      <w:bookmarkStart w:id="881" w:name="_Toc61947387"/>
      <w:bookmarkStart w:id="882" w:name="_Toc11332817"/>
      <w:r>
        <w:rPr>
          <w:rFonts w:hint="eastAsia" w:asciiTheme="minorEastAsia" w:hAnsiTheme="minorEastAsia" w:eastAsiaTheme="minorEastAsia" w:cstheme="minorEastAsia"/>
          <w:b/>
          <w:bCs/>
          <w:color w:val="auto"/>
          <w:sz w:val="24"/>
          <w:szCs w:val="24"/>
          <w:highlight w:val="none"/>
          <w:lang w:eastAsia="zh-CN"/>
        </w:rPr>
        <w:t>第二部分合同通用条款</w:t>
      </w:r>
      <w:bookmarkEnd w:id="881"/>
      <w:bookmarkEnd w:id="882"/>
    </w:p>
    <w:p w14:paraId="77BA328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p>
    <w:p w14:paraId="24B7ECEF">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883" w:name="_Toc11332818"/>
      <w:bookmarkStart w:id="884" w:name="_Toc371398288"/>
      <w:bookmarkStart w:id="885" w:name="_Toc61947388"/>
      <w:r>
        <w:rPr>
          <w:rFonts w:hint="eastAsia" w:asciiTheme="minorEastAsia" w:hAnsiTheme="minorEastAsia" w:eastAsiaTheme="minorEastAsia" w:cstheme="minorEastAsia"/>
          <w:color w:val="auto"/>
          <w:sz w:val="24"/>
          <w:szCs w:val="24"/>
          <w:highlight w:val="none"/>
          <w:lang w:eastAsia="zh-CN"/>
        </w:rPr>
        <w:t>1. 一般约定</w:t>
      </w:r>
      <w:bookmarkEnd w:id="883"/>
      <w:bookmarkEnd w:id="884"/>
      <w:bookmarkEnd w:id="885"/>
    </w:p>
    <w:p w14:paraId="018E4685">
      <w:pPr>
        <w:outlineLvl w:val="9"/>
        <w:rPr>
          <w:rFonts w:hint="eastAsia" w:asciiTheme="minorEastAsia" w:hAnsiTheme="minorEastAsia" w:eastAsiaTheme="minorEastAsia" w:cstheme="minorEastAsia"/>
          <w:b w:val="0"/>
          <w:color w:val="auto"/>
          <w:sz w:val="24"/>
          <w:szCs w:val="24"/>
          <w:highlight w:val="none"/>
          <w:lang w:eastAsia="zh-CN"/>
        </w:rPr>
      </w:pPr>
      <w:bookmarkStart w:id="886" w:name="_Toc11332819"/>
      <w:bookmarkStart w:id="887" w:name="_Toc371398289"/>
      <w:bookmarkStart w:id="888" w:name="_Toc61947389"/>
      <w:r>
        <w:rPr>
          <w:rFonts w:hint="eastAsia" w:asciiTheme="minorEastAsia" w:hAnsiTheme="minorEastAsia" w:eastAsiaTheme="minorEastAsia" w:cstheme="minorEastAsia"/>
          <w:color w:val="auto"/>
          <w:sz w:val="24"/>
          <w:szCs w:val="24"/>
          <w:highlight w:val="none"/>
          <w:lang w:eastAsia="zh-CN"/>
        </w:rPr>
        <w:t>1.1 词语定义</w:t>
      </w:r>
      <w:bookmarkEnd w:id="886"/>
      <w:bookmarkEnd w:id="887"/>
      <w:bookmarkEnd w:id="888"/>
    </w:p>
    <w:p w14:paraId="7BBDE46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除根据上下文另有意义或合同专用条款另有约定外，合同中的下列名词和用语应当具有本款所赋予的含义：</w:t>
      </w:r>
    </w:p>
    <w:p w14:paraId="58A00C4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 “工程”是指按照合同约定实施监理与相关服务的建设工程。</w:t>
      </w:r>
    </w:p>
    <w:p w14:paraId="03858B3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1.1.2 “合同”是指合同协议书、中标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14:paraId="66A39D0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1.1.3 “委托人”是指合同协议书中指明，委托监理与相关服务的当事人，及其合法的继承人或受让人。</w:t>
      </w:r>
    </w:p>
    <w:p w14:paraId="53E7A4C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1.1.4 “监理人”是指合同协议书中指明，具备相应资质的，提供监理与相关服务的当事人，及其合法的继承人。</w:t>
      </w:r>
    </w:p>
    <w:p w14:paraId="4369AC2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1.1.5 “承包人”是指在工程范围内与委托人签订施工合同的当事人，及其合法的继承人。当相关服务包括勘察、设计等相关服务时，承包人包括与委托人签订勘察、设计等有关合同的当事人及其合法的继承人。</w:t>
      </w:r>
    </w:p>
    <w:p w14:paraId="3717CE6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1.1.6 “监理”是指监理人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14:paraId="4E32FEE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1.1.7 “相关服务”是指监理人按照合同约定提供的施工阶段监理以外的其他服务，包括保修期提供的服务等。</w:t>
      </w:r>
    </w:p>
    <w:p w14:paraId="40F3F4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1.1.8 “正常工作”是指合同订立时约定的监理人在监理与相关服务期限和范围内的工作。</w:t>
      </w:r>
    </w:p>
    <w:p w14:paraId="48BEC98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1.1.9 “附加工作”是指合同约定正常工作以外的监理人工作。</w:t>
      </w:r>
    </w:p>
    <w:p w14:paraId="1645AD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1.1.10 “项目监理与相关服务机构”是指监理人派驻本工程负责履行合同的组织机构。</w:t>
      </w:r>
    </w:p>
    <w:p w14:paraId="3B3C13C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1.1.11 “总监理工程师”是指由监理人的法定代表人书面授权，全面负责履行合同、主持项目监理与相关服务机构工作的注册监理工程师。</w:t>
      </w:r>
    </w:p>
    <w:p w14:paraId="3A48158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1.1.12 “委托人代表”是指由委托人任命的，在委托授权范围内代表委托人行使合同约定的权利并履行约定义务的委托代理人。</w:t>
      </w:r>
    </w:p>
    <w:p w14:paraId="5DC7FA0F">
      <w:pPr>
        <w:adjustRightInd w:val="0"/>
        <w:snapToGrid w:val="0"/>
        <w:spacing w:line="360" w:lineRule="auto"/>
        <w:ind w:firstLine="475" w:firstLineChars="198"/>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1.1.13 “酬金”是指监理人履行合同义务，委托人按照合同约定给付监理人的金额。</w:t>
      </w:r>
    </w:p>
    <w:p w14:paraId="1A75E3D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1.1.14 “正常工作酬金”是指监理人完成正常工作，委托人应当给付监理人并在合同协议书中载明的签约酬金额。</w:t>
      </w:r>
    </w:p>
    <w:p w14:paraId="68012EA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1.1.15 “附加工作酬金”是指监理人完成附加工作，委托人应当给付监理人的金额。</w:t>
      </w:r>
    </w:p>
    <w:p w14:paraId="067F7565">
      <w:pPr>
        <w:adjustRightInd w:val="0"/>
        <w:snapToGrid w:val="0"/>
        <w:spacing w:line="360" w:lineRule="auto"/>
        <w:ind w:firstLine="475" w:firstLineChars="198"/>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1.1.16 “补偿费用”是指委托人不提供或部分提供相应的人员、</w:t>
      </w:r>
      <w:r>
        <w:rPr>
          <w:rFonts w:hint="eastAsia" w:asciiTheme="minorEastAsia" w:hAnsiTheme="minorEastAsia" w:eastAsiaTheme="minorEastAsia" w:cstheme="minorEastAsia"/>
          <w:bCs/>
          <w:color w:val="auto"/>
          <w:sz w:val="24"/>
          <w:szCs w:val="24"/>
          <w:highlight w:val="none"/>
          <w:lang w:eastAsia="zh-CN"/>
        </w:rPr>
        <w:t>房屋、资料</w:t>
      </w:r>
      <w:r>
        <w:rPr>
          <w:rFonts w:hint="eastAsia" w:asciiTheme="minorEastAsia" w:hAnsiTheme="minorEastAsia" w:eastAsiaTheme="minorEastAsia" w:cstheme="minorEastAsia"/>
          <w:color w:val="auto"/>
          <w:sz w:val="24"/>
          <w:szCs w:val="24"/>
          <w:highlight w:val="none"/>
          <w:lang w:eastAsia="zh-CN"/>
        </w:rPr>
        <w:t>、设备、设施时应当补偿的费用。</w:t>
      </w:r>
    </w:p>
    <w:p w14:paraId="232268D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1.1.17 “一方”是指委托人或监理人；“双方”是指委托人和监理人；“第三方”是指除委托人和监理人以外的有关方。</w:t>
      </w:r>
    </w:p>
    <w:p w14:paraId="285A839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1.1.18 “书面形式”是指信件和数据电文（包括电报、电传、传真、电子数据交换和电子邮件）等可以有形地表现所载内容的形式。</w:t>
      </w:r>
    </w:p>
    <w:p w14:paraId="204A2B0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1.1.19 “监理与相关服务期限”是指合同协议书中约定的监理人提供监理与相关服务的期限。</w:t>
      </w:r>
    </w:p>
    <w:p w14:paraId="1BAD495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1.1.20 “天”是指第一天零时至第二天零时的时间。</w:t>
      </w:r>
    </w:p>
    <w:p w14:paraId="2DDF6350">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1.1.21 “不可抗力”是指委托人和监理人在订立本合同时不可预见，在工程施工过程中不可避免发生并不能克服的自然灾害和社会性突发事件，如地震、海啸、瘟疫、水灾、骚乱、暴动、战争和专用条款约定的其他情形。</w:t>
      </w:r>
    </w:p>
    <w:p w14:paraId="3A7C6E4D">
      <w:pPr>
        <w:outlineLvl w:val="9"/>
        <w:rPr>
          <w:rFonts w:hint="eastAsia" w:asciiTheme="minorEastAsia" w:hAnsiTheme="minorEastAsia" w:eastAsiaTheme="minorEastAsia" w:cstheme="minorEastAsia"/>
          <w:b w:val="0"/>
          <w:color w:val="auto"/>
          <w:sz w:val="24"/>
          <w:szCs w:val="24"/>
          <w:highlight w:val="none"/>
          <w:lang w:eastAsia="zh-CN"/>
        </w:rPr>
      </w:pPr>
      <w:bookmarkStart w:id="889" w:name="_Toc11332820"/>
      <w:bookmarkStart w:id="890" w:name="_Toc61947390"/>
      <w:bookmarkStart w:id="891" w:name="_Toc371398290"/>
      <w:r>
        <w:rPr>
          <w:rFonts w:hint="eastAsia" w:asciiTheme="minorEastAsia" w:hAnsiTheme="minorEastAsia" w:eastAsiaTheme="minorEastAsia" w:cstheme="minorEastAsia"/>
          <w:color w:val="auto"/>
          <w:sz w:val="24"/>
          <w:szCs w:val="24"/>
          <w:highlight w:val="none"/>
          <w:lang w:eastAsia="zh-CN"/>
        </w:rPr>
        <w:t>1.2 解释</w:t>
      </w:r>
      <w:bookmarkEnd w:id="889"/>
      <w:bookmarkEnd w:id="890"/>
      <w:bookmarkEnd w:id="891"/>
    </w:p>
    <w:p w14:paraId="4A79129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合同使用中文书写、解释和说明。如合同专用条款约定使用两种及以上语言文字时，应当以中文为准。</w:t>
      </w:r>
    </w:p>
    <w:p w14:paraId="50567E57">
      <w:pPr>
        <w:outlineLvl w:val="9"/>
        <w:rPr>
          <w:rFonts w:hint="eastAsia" w:asciiTheme="minorEastAsia" w:hAnsiTheme="minorEastAsia" w:eastAsiaTheme="minorEastAsia" w:cstheme="minorEastAsia"/>
          <w:b w:val="0"/>
          <w:color w:val="auto"/>
          <w:sz w:val="24"/>
          <w:szCs w:val="24"/>
          <w:highlight w:val="none"/>
          <w:lang w:eastAsia="zh-CN"/>
        </w:rPr>
      </w:pPr>
      <w:bookmarkStart w:id="892" w:name="_Toc371398291"/>
      <w:bookmarkStart w:id="893" w:name="_Toc61947391"/>
      <w:bookmarkStart w:id="894" w:name="_Toc11332821"/>
      <w:r>
        <w:rPr>
          <w:rFonts w:hint="eastAsia" w:asciiTheme="minorEastAsia" w:hAnsiTheme="minorEastAsia" w:eastAsiaTheme="minorEastAsia" w:cstheme="minorEastAsia"/>
          <w:color w:val="auto"/>
          <w:sz w:val="24"/>
          <w:szCs w:val="24"/>
          <w:highlight w:val="none"/>
          <w:lang w:eastAsia="zh-CN"/>
        </w:rPr>
        <w:t>1.3 合同文件组成与解释顺序</w:t>
      </w:r>
      <w:bookmarkEnd w:id="892"/>
      <w:bookmarkEnd w:id="893"/>
      <w:bookmarkEnd w:id="894"/>
    </w:p>
    <w:p w14:paraId="71653C0D">
      <w:pPr>
        <w:tabs>
          <w:tab w:val="left" w:pos="6140"/>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组成合同的下列文件彼此应当相互解释、互为说明。除合同专用条款另有约定外，合同文件的解释顺序如下：</w:t>
      </w:r>
    </w:p>
    <w:p w14:paraId="264D3D37">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（1）合同协议书；</w:t>
      </w:r>
    </w:p>
    <w:p w14:paraId="78EB2720">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（2）中标通知书（适用于招标工程）或委托书（适用于非招标工程）；</w:t>
      </w:r>
    </w:p>
    <w:p w14:paraId="08F3087F">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（3）投标函及投标函附录；</w:t>
      </w:r>
    </w:p>
    <w:p w14:paraId="778D7E44">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（4）投标文件中的拟投入监理与相关服务人员、设备计划、监理大纲及相关服务方案（适用于招标工程）或监理与相关服务建议书（适用于非招标工程）；</w:t>
      </w:r>
    </w:p>
    <w:p w14:paraId="731F8488">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（5）合同专用条款；</w:t>
      </w:r>
    </w:p>
    <w:p w14:paraId="2C46152B">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（6）合同通用条款；</w:t>
      </w:r>
    </w:p>
    <w:p w14:paraId="7DE7B8DE">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（7）本工程适用的监理与相关服务有关的规范、规程，及其他合同文件。</w:t>
      </w:r>
    </w:p>
    <w:p w14:paraId="06BDFD9B">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双方签订的补充协议与其他文件发生矛盾或歧义时，属于同一类内容的文件，以最新签署的为准，但招标工程的补充协议不得背离合同的实质性内容。</w:t>
      </w:r>
    </w:p>
    <w:p w14:paraId="189BF9A6">
      <w:pPr>
        <w:outlineLvl w:val="9"/>
        <w:rPr>
          <w:rFonts w:hint="eastAsia" w:asciiTheme="minorEastAsia" w:hAnsiTheme="minorEastAsia" w:eastAsiaTheme="minorEastAsia" w:cstheme="minorEastAsia"/>
          <w:b w:val="0"/>
          <w:color w:val="auto"/>
          <w:sz w:val="24"/>
          <w:szCs w:val="24"/>
          <w:highlight w:val="none"/>
          <w:lang w:eastAsia="zh-CN"/>
        </w:rPr>
      </w:pPr>
      <w:bookmarkStart w:id="895" w:name="_Toc11332822"/>
      <w:bookmarkStart w:id="896" w:name="_Toc61947392"/>
      <w:bookmarkStart w:id="897" w:name="_Toc371398292"/>
      <w:r>
        <w:rPr>
          <w:rFonts w:hint="eastAsia" w:asciiTheme="minorEastAsia" w:hAnsiTheme="minorEastAsia" w:eastAsiaTheme="minorEastAsia" w:cstheme="minorEastAsia"/>
          <w:color w:val="auto"/>
          <w:sz w:val="24"/>
          <w:szCs w:val="24"/>
          <w:highlight w:val="none"/>
          <w:lang w:eastAsia="zh-CN"/>
        </w:rPr>
        <w:t>1.4 通知</w:t>
      </w:r>
      <w:bookmarkEnd w:id="895"/>
      <w:bookmarkEnd w:id="896"/>
      <w:bookmarkEnd w:id="897"/>
    </w:p>
    <w:p w14:paraId="14D78D10">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与合同有关的通知均应当采用书面形式，并在送达对方时生效，收件人应当签收或回复。</w:t>
      </w:r>
    </w:p>
    <w:p w14:paraId="1498B24C">
      <w:pPr>
        <w:outlineLvl w:val="9"/>
        <w:rPr>
          <w:rFonts w:hint="eastAsia" w:asciiTheme="minorEastAsia" w:hAnsiTheme="minorEastAsia" w:eastAsiaTheme="minorEastAsia" w:cstheme="minorEastAsia"/>
          <w:b w:val="0"/>
          <w:color w:val="auto"/>
          <w:sz w:val="24"/>
          <w:szCs w:val="24"/>
          <w:highlight w:val="none"/>
          <w:lang w:eastAsia="zh-CN"/>
        </w:rPr>
      </w:pPr>
      <w:bookmarkStart w:id="898" w:name="_Toc61947393"/>
      <w:bookmarkStart w:id="899" w:name="_Toc11332823"/>
      <w:bookmarkStart w:id="900" w:name="_Toc371398293"/>
      <w:r>
        <w:rPr>
          <w:rFonts w:hint="eastAsia" w:asciiTheme="minorEastAsia" w:hAnsiTheme="minorEastAsia" w:eastAsiaTheme="minorEastAsia" w:cstheme="minorEastAsia"/>
          <w:color w:val="auto"/>
          <w:sz w:val="24"/>
          <w:szCs w:val="24"/>
          <w:highlight w:val="none"/>
          <w:lang w:eastAsia="zh-CN"/>
        </w:rPr>
        <w:t>1.5 保密</w:t>
      </w:r>
      <w:bookmarkEnd w:id="898"/>
      <w:bookmarkEnd w:id="899"/>
      <w:bookmarkEnd w:id="900"/>
    </w:p>
    <w:p w14:paraId="60B5FBB4">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双方不得泄露对方申明的保密资料，亦不得泄露与实施工程有关的第三方所提供的保密资料，保密事项及保密期限在合同专用条款中约定。</w:t>
      </w:r>
    </w:p>
    <w:p w14:paraId="67EB17C1">
      <w:pPr>
        <w:outlineLvl w:val="9"/>
        <w:rPr>
          <w:rFonts w:hint="eastAsia" w:asciiTheme="minorEastAsia" w:hAnsiTheme="minorEastAsia" w:eastAsiaTheme="minorEastAsia" w:cstheme="minorEastAsia"/>
          <w:b w:val="0"/>
          <w:color w:val="auto"/>
          <w:sz w:val="24"/>
          <w:szCs w:val="24"/>
          <w:highlight w:val="none"/>
          <w:lang w:eastAsia="zh-CN"/>
        </w:rPr>
      </w:pPr>
      <w:bookmarkStart w:id="901" w:name="_Toc61947394"/>
      <w:bookmarkStart w:id="902" w:name="_Toc11332824"/>
      <w:bookmarkStart w:id="903" w:name="_Toc371398294"/>
      <w:r>
        <w:rPr>
          <w:rFonts w:hint="eastAsia" w:asciiTheme="minorEastAsia" w:hAnsiTheme="minorEastAsia" w:eastAsiaTheme="minorEastAsia" w:cstheme="minorEastAsia"/>
          <w:color w:val="auto"/>
          <w:sz w:val="24"/>
          <w:szCs w:val="24"/>
          <w:highlight w:val="none"/>
          <w:lang w:eastAsia="zh-CN"/>
        </w:rPr>
        <w:t>1.6 著作权</w:t>
      </w:r>
      <w:bookmarkEnd w:id="901"/>
      <w:bookmarkEnd w:id="902"/>
      <w:bookmarkEnd w:id="903"/>
    </w:p>
    <w:p w14:paraId="3C9D54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监理人对其编制的文件拥有著作权。</w:t>
      </w:r>
    </w:p>
    <w:p w14:paraId="69C6CF76">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监理人可单独或与他人联合出版有关监理与相关服务的资料。除合同专用条款另有约定外，如果监理人在合同履行期间及合同终止后两年内出版涉及本工程的有关监理与相关服务的资料，应当征得委托人的同意。</w:t>
      </w:r>
    </w:p>
    <w:p w14:paraId="5D683F21">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04" w:name="_Toc371398295"/>
      <w:bookmarkStart w:id="905" w:name="_Toc11332825"/>
      <w:bookmarkStart w:id="906" w:name="_Toc61947395"/>
      <w:r>
        <w:rPr>
          <w:rFonts w:hint="eastAsia" w:asciiTheme="minorEastAsia" w:hAnsiTheme="minorEastAsia" w:eastAsiaTheme="minorEastAsia" w:cstheme="minorEastAsia"/>
          <w:color w:val="auto"/>
          <w:sz w:val="24"/>
          <w:szCs w:val="24"/>
          <w:highlight w:val="none"/>
          <w:lang w:eastAsia="zh-CN"/>
        </w:rPr>
        <w:t>2. 监理人的义务</w:t>
      </w:r>
      <w:bookmarkEnd w:id="904"/>
      <w:bookmarkEnd w:id="905"/>
      <w:bookmarkEnd w:id="906"/>
    </w:p>
    <w:p w14:paraId="161837A1">
      <w:pPr>
        <w:outlineLvl w:val="9"/>
        <w:rPr>
          <w:rFonts w:hint="eastAsia" w:asciiTheme="minorEastAsia" w:hAnsiTheme="minorEastAsia" w:eastAsiaTheme="minorEastAsia" w:cstheme="minorEastAsia"/>
          <w:b w:val="0"/>
          <w:color w:val="auto"/>
          <w:sz w:val="24"/>
          <w:szCs w:val="24"/>
          <w:highlight w:val="none"/>
          <w:lang w:eastAsia="zh-CN"/>
        </w:rPr>
      </w:pPr>
      <w:bookmarkStart w:id="907" w:name="_Toc61947396"/>
      <w:bookmarkStart w:id="908" w:name="_Toc11332826"/>
      <w:bookmarkStart w:id="909" w:name="_Toc371398296"/>
      <w:r>
        <w:rPr>
          <w:rFonts w:hint="eastAsia" w:asciiTheme="minorEastAsia" w:hAnsiTheme="minorEastAsia" w:eastAsiaTheme="minorEastAsia" w:cstheme="minorEastAsia"/>
          <w:color w:val="auto"/>
          <w:sz w:val="24"/>
          <w:szCs w:val="24"/>
          <w:highlight w:val="none"/>
          <w:lang w:eastAsia="zh-CN"/>
        </w:rPr>
        <w:t>2.1 监理与相关服务的工程范围和服务内容</w:t>
      </w:r>
      <w:bookmarkEnd w:id="907"/>
      <w:bookmarkEnd w:id="908"/>
      <w:bookmarkEnd w:id="909"/>
    </w:p>
    <w:p w14:paraId="244BC96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2.1.1 监理与相关服务的工程范围在合同专用条款中约定。</w:t>
      </w:r>
    </w:p>
    <w:p w14:paraId="3BEE7FC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2.1.2 除合同专用条款另有约定外，监理内容指监理人根据法律法规、工程建设标准、勘察设计文件及合同，在施工阶段对建设工程质量、进度、造价进行控制，对合同、信息进行管理，对工程建设相关方的关系进行协调，并履行法定及合同约定的建设工程安全生产管理职责。</w:t>
      </w:r>
    </w:p>
    <w:p w14:paraId="6484BAAE">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2.1.3除合同专用条款另有约定外，委托人委托的下列内容，应当作为监理相关服务内容：</w:t>
      </w:r>
    </w:p>
    <w:p w14:paraId="74E57CBC">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2.1.3.1保修期内定期回访，调查和确认缺陷原因及责任，检查缺陷修复质量；</w:t>
      </w:r>
    </w:p>
    <w:p w14:paraId="1F912156">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2.1.3.2委托人要求监理人外出考察；</w:t>
      </w:r>
    </w:p>
    <w:p w14:paraId="7C5A2358">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2.1.3.3委托人要求监理人进行的材料和设备检测；</w:t>
      </w:r>
    </w:p>
    <w:p w14:paraId="0FD04D24">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2.1.3.4委托人要求监理人组织相关咨询论证会以及聘请相关专家；</w:t>
      </w:r>
    </w:p>
    <w:p w14:paraId="48015763">
      <w:pPr>
        <w:spacing w:line="360" w:lineRule="auto"/>
        <w:ind w:firstLine="420" w:firstLineChars="17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2.1.3.5其他相关服务的内容在合同专用条款中约定。</w:t>
      </w:r>
    </w:p>
    <w:p w14:paraId="48C2919B">
      <w:pPr>
        <w:outlineLvl w:val="9"/>
        <w:rPr>
          <w:rFonts w:hint="eastAsia" w:asciiTheme="minorEastAsia" w:hAnsiTheme="minorEastAsia" w:eastAsiaTheme="minorEastAsia" w:cstheme="minorEastAsia"/>
          <w:b w:val="0"/>
          <w:color w:val="auto"/>
          <w:sz w:val="24"/>
          <w:szCs w:val="24"/>
          <w:highlight w:val="none"/>
          <w:lang w:eastAsia="zh-CN"/>
        </w:rPr>
      </w:pPr>
      <w:bookmarkStart w:id="910" w:name="_Toc371398297"/>
      <w:bookmarkStart w:id="911" w:name="_Toc61947397"/>
      <w:bookmarkStart w:id="912" w:name="_Toc11332827"/>
      <w:r>
        <w:rPr>
          <w:rFonts w:hint="eastAsia" w:asciiTheme="minorEastAsia" w:hAnsiTheme="minorEastAsia" w:eastAsiaTheme="minorEastAsia" w:cstheme="minorEastAsia"/>
          <w:color w:val="auto"/>
          <w:sz w:val="24"/>
          <w:szCs w:val="24"/>
          <w:highlight w:val="none"/>
          <w:lang w:eastAsia="zh-CN"/>
        </w:rPr>
        <w:t>2.2 监理与相关服务依据</w:t>
      </w:r>
      <w:bookmarkEnd w:id="910"/>
      <w:bookmarkEnd w:id="911"/>
      <w:bookmarkEnd w:id="912"/>
    </w:p>
    <w:p w14:paraId="1842A39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2.2.1 监理依据包括：</w:t>
      </w:r>
    </w:p>
    <w:p w14:paraId="4B7371B9">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（1）适用的法律、法规及部门规章；</w:t>
      </w:r>
    </w:p>
    <w:p w14:paraId="2C2A547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（2）与工程有关的标准；</w:t>
      </w:r>
    </w:p>
    <w:p w14:paraId="6F2C52A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（3）工程设计及有关文件；</w:t>
      </w:r>
    </w:p>
    <w:p w14:paraId="0A9CCFB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（4）合同及委托人与第三方签订的与实施工程有关的其他合同；</w:t>
      </w:r>
    </w:p>
    <w:p w14:paraId="64993D0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（5）国家及本市监理服务规范、规程。</w:t>
      </w:r>
    </w:p>
    <w:p w14:paraId="674262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双方可根据工程的行业特点，在合同专用条款中补充约定具体监理依据。</w:t>
      </w:r>
    </w:p>
    <w:p w14:paraId="69DD3B3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2.2.2 相关服务依据在合同专用条款中约定。</w:t>
      </w:r>
    </w:p>
    <w:p w14:paraId="5E401FF5">
      <w:pPr>
        <w:outlineLvl w:val="9"/>
        <w:rPr>
          <w:rFonts w:hint="eastAsia" w:asciiTheme="minorEastAsia" w:hAnsiTheme="minorEastAsia" w:eastAsiaTheme="minorEastAsia" w:cstheme="minorEastAsia"/>
          <w:b w:val="0"/>
          <w:color w:val="auto"/>
          <w:sz w:val="24"/>
          <w:szCs w:val="24"/>
          <w:highlight w:val="none"/>
          <w:lang w:eastAsia="zh-CN"/>
        </w:rPr>
      </w:pPr>
      <w:bookmarkStart w:id="913" w:name="_Toc11332828"/>
      <w:bookmarkStart w:id="914" w:name="_Toc61947398"/>
      <w:bookmarkStart w:id="915" w:name="_Toc371398298"/>
      <w:r>
        <w:rPr>
          <w:rFonts w:hint="eastAsia" w:asciiTheme="minorEastAsia" w:hAnsiTheme="minorEastAsia" w:eastAsiaTheme="minorEastAsia" w:cstheme="minorEastAsia"/>
          <w:color w:val="auto"/>
          <w:sz w:val="24"/>
          <w:szCs w:val="24"/>
          <w:highlight w:val="none"/>
          <w:lang w:eastAsia="zh-CN"/>
        </w:rPr>
        <w:t>2.3 项目监理与相关服务机构和人员</w:t>
      </w:r>
      <w:bookmarkEnd w:id="913"/>
      <w:bookmarkEnd w:id="914"/>
      <w:bookmarkEnd w:id="915"/>
    </w:p>
    <w:p w14:paraId="5FEC3BD4">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2.3.1 监理人应当根据合同约定组建满足工作需要的项目监理与相关服务机构，配备必要的检测设备。项目监理与相关服务机构的主要人员应当具有相应的资格条件。</w:t>
      </w:r>
    </w:p>
    <w:p w14:paraId="3D444D9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2.3.2 合同履行过程中，总监理工程师及重要岗位监理人员应当保持相对稳定，以保证监理工作正常进行。</w:t>
      </w:r>
    </w:p>
    <w:p w14:paraId="258E3A7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2.3.3 监理人可根据工程进展和工作需要调整项目监理与相关服务机构人员。监理人更换总监理工程师时，应当提前7天向委托人书面报告，经委托人同意后方可更换；监理人更换项目监理与相关服务其他监理人员，应当以相当资格与能力的人员替换，并通知委托人。</w:t>
      </w:r>
    </w:p>
    <w:p w14:paraId="1268730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2.3.4 监理人应当及时更换有下列情形之一的监理人员：</w:t>
      </w:r>
    </w:p>
    <w:p w14:paraId="1F4A3B4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（1）不能胜任岗位职责的；</w:t>
      </w:r>
    </w:p>
    <w:p w14:paraId="0C830C0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（2）严重违反职业道德的；</w:t>
      </w:r>
    </w:p>
    <w:p w14:paraId="38B74CC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（3）有严重过失行为的；</w:t>
      </w:r>
    </w:p>
    <w:p w14:paraId="78BBF34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（4）有违法行为不能履行职责的；</w:t>
      </w:r>
    </w:p>
    <w:p w14:paraId="351BC48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（5）涉嫌犯罪的；</w:t>
      </w:r>
    </w:p>
    <w:p w14:paraId="7F96DC3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（6）合同专用条款约定的其他情形。</w:t>
      </w:r>
    </w:p>
    <w:p w14:paraId="7A9293A0">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2.3.5 委托人有权要求监理人更换不能胜任本职工作的项目监理与相关服务机构人员。</w:t>
      </w:r>
    </w:p>
    <w:p w14:paraId="760CCDD0">
      <w:pPr>
        <w:outlineLvl w:val="9"/>
        <w:rPr>
          <w:rFonts w:hint="eastAsia" w:asciiTheme="minorEastAsia" w:hAnsiTheme="minorEastAsia" w:eastAsiaTheme="minorEastAsia" w:cstheme="minorEastAsia"/>
          <w:b w:val="0"/>
          <w:color w:val="auto"/>
          <w:sz w:val="24"/>
          <w:szCs w:val="24"/>
          <w:highlight w:val="none"/>
          <w:lang w:eastAsia="zh-CN"/>
        </w:rPr>
      </w:pPr>
      <w:bookmarkStart w:id="916" w:name="_Toc371398299"/>
      <w:bookmarkStart w:id="917" w:name="_Toc11332829"/>
      <w:bookmarkStart w:id="918" w:name="_Toc61947399"/>
      <w:r>
        <w:rPr>
          <w:rFonts w:hint="eastAsia" w:asciiTheme="minorEastAsia" w:hAnsiTheme="minorEastAsia" w:eastAsiaTheme="minorEastAsia" w:cstheme="minorEastAsia"/>
          <w:color w:val="auto"/>
          <w:sz w:val="24"/>
          <w:szCs w:val="24"/>
          <w:highlight w:val="none"/>
          <w:lang w:eastAsia="zh-CN"/>
        </w:rPr>
        <w:t>2.4 履行职责</w:t>
      </w:r>
      <w:bookmarkEnd w:id="916"/>
      <w:bookmarkEnd w:id="917"/>
      <w:bookmarkEnd w:id="918"/>
    </w:p>
    <w:p w14:paraId="574423E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监理人应当遵循职业道德准则和行为规范，严格按照法律、法规、工程建设有关标准及合同履行职责。</w:t>
      </w:r>
    </w:p>
    <w:p w14:paraId="4CEAB1A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2.4.1 在合同约定的监理与相关服务范围内，委托人和承包人提出的意见和要求，监理人应当及时处置并回复。当委托人与承包人之间发生合同争议时，监理人应当协调委托人、承包人协商解决。</w:t>
      </w:r>
    </w:p>
    <w:p w14:paraId="71A123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2.4.2 当委托人与承包人之间的合同争议提交仲裁机构仲裁或人民法院审理时，监理人应当提供必要的证明资料。</w:t>
      </w:r>
    </w:p>
    <w:p w14:paraId="2886A5B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2.4.3 监理人应当在合同专用条款约定的授权范围内，处理委托人与承包人所签订合同的变更事宜。如果变更超过授权范围，应当以书面形式报委托人批准。</w:t>
      </w:r>
    </w:p>
    <w:p w14:paraId="31472BF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在紧急情况下，为了保护财产和人身安全，监理人所发出的指令未能事先报委托人批准时，应当在发出指令后的24小时内以书面形式报委托人。</w:t>
      </w:r>
    </w:p>
    <w:p w14:paraId="791664F7">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2.4.4 除合同专用条款另有约定外，监理人发现承包人的人员不能胜任本职工作的，有权要求承包人予以更换。</w:t>
      </w:r>
    </w:p>
    <w:p w14:paraId="78B050AC">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2.4.5 监理人在实施监理过程中，发现存在安全事故隐患的，应当要求承包人整改；情况严重的，应当要求承包人暂时停止施工，并及时报告委托人。承包人拒不整改或者不停止施工的，监理人应当及时向有关主管部门报告。</w:t>
      </w:r>
    </w:p>
    <w:p w14:paraId="3664C87F">
      <w:pPr>
        <w:outlineLvl w:val="9"/>
        <w:rPr>
          <w:rFonts w:hint="eastAsia" w:asciiTheme="minorEastAsia" w:hAnsiTheme="minorEastAsia" w:eastAsiaTheme="minorEastAsia" w:cstheme="minorEastAsia"/>
          <w:b w:val="0"/>
          <w:color w:val="auto"/>
          <w:sz w:val="24"/>
          <w:szCs w:val="24"/>
          <w:highlight w:val="none"/>
          <w:lang w:eastAsia="zh-CN"/>
        </w:rPr>
      </w:pPr>
      <w:bookmarkStart w:id="919" w:name="_Toc11332830"/>
      <w:bookmarkStart w:id="920" w:name="_Toc371398300"/>
      <w:bookmarkStart w:id="921" w:name="_Toc61947400"/>
      <w:r>
        <w:rPr>
          <w:rFonts w:hint="eastAsia" w:asciiTheme="minorEastAsia" w:hAnsiTheme="minorEastAsia" w:eastAsiaTheme="minorEastAsia" w:cstheme="minorEastAsia"/>
          <w:color w:val="auto"/>
          <w:sz w:val="24"/>
          <w:szCs w:val="24"/>
          <w:highlight w:val="none"/>
          <w:lang w:eastAsia="zh-CN"/>
        </w:rPr>
        <w:t>2.5 守法诚信</w:t>
      </w:r>
      <w:bookmarkEnd w:id="919"/>
      <w:bookmarkEnd w:id="920"/>
      <w:bookmarkEnd w:id="921"/>
    </w:p>
    <w:p w14:paraId="5F19C8D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监理人及其工作人员不得从与实施工程有关的第三方处获得任何经济利益。</w:t>
      </w:r>
    </w:p>
    <w:p w14:paraId="59083E26">
      <w:pPr>
        <w:outlineLvl w:val="9"/>
        <w:rPr>
          <w:rFonts w:hint="eastAsia" w:asciiTheme="minorEastAsia" w:hAnsiTheme="minorEastAsia" w:eastAsiaTheme="minorEastAsia" w:cstheme="minorEastAsia"/>
          <w:b w:val="0"/>
          <w:color w:val="auto"/>
          <w:sz w:val="24"/>
          <w:szCs w:val="24"/>
          <w:highlight w:val="none"/>
          <w:lang w:eastAsia="zh-CN"/>
        </w:rPr>
      </w:pPr>
      <w:bookmarkStart w:id="922" w:name="_Toc11332831"/>
      <w:bookmarkStart w:id="923" w:name="_Toc371398301"/>
      <w:bookmarkStart w:id="924" w:name="_Toc61947401"/>
      <w:r>
        <w:rPr>
          <w:rFonts w:hint="eastAsia" w:asciiTheme="minorEastAsia" w:hAnsiTheme="minorEastAsia" w:eastAsiaTheme="minorEastAsia" w:cstheme="minorEastAsia"/>
          <w:color w:val="auto"/>
          <w:sz w:val="24"/>
          <w:szCs w:val="24"/>
          <w:highlight w:val="none"/>
          <w:lang w:eastAsia="zh-CN"/>
        </w:rPr>
        <w:t>2.6保险</w:t>
      </w:r>
      <w:bookmarkEnd w:id="922"/>
      <w:bookmarkEnd w:id="923"/>
      <w:bookmarkEnd w:id="924"/>
    </w:p>
    <w:p w14:paraId="3730584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监理人应当按法律、法规规定，为派驻现场的监理与相关服务机构人员办理相关保险,保证现场监理人员的安全。</w:t>
      </w:r>
    </w:p>
    <w:p w14:paraId="034A3DFB">
      <w:pPr>
        <w:outlineLvl w:val="9"/>
        <w:rPr>
          <w:rFonts w:hint="eastAsia" w:asciiTheme="minorEastAsia" w:hAnsiTheme="minorEastAsia" w:eastAsiaTheme="minorEastAsia" w:cstheme="minorEastAsia"/>
          <w:b w:val="0"/>
          <w:color w:val="auto"/>
          <w:sz w:val="24"/>
          <w:szCs w:val="24"/>
          <w:highlight w:val="none"/>
          <w:lang w:eastAsia="zh-CN"/>
        </w:rPr>
      </w:pPr>
      <w:bookmarkStart w:id="925" w:name="_Toc61947402"/>
      <w:bookmarkStart w:id="926" w:name="_Toc371398302"/>
      <w:bookmarkStart w:id="927" w:name="_Toc11332832"/>
      <w:r>
        <w:rPr>
          <w:rFonts w:hint="eastAsia" w:asciiTheme="minorEastAsia" w:hAnsiTheme="minorEastAsia" w:eastAsiaTheme="minorEastAsia" w:cstheme="minorEastAsia"/>
          <w:color w:val="auto"/>
          <w:sz w:val="24"/>
          <w:szCs w:val="24"/>
          <w:highlight w:val="none"/>
          <w:lang w:eastAsia="zh-CN"/>
        </w:rPr>
        <w:t>2.7 提交报告</w:t>
      </w:r>
      <w:bookmarkEnd w:id="925"/>
      <w:bookmarkEnd w:id="926"/>
      <w:bookmarkEnd w:id="927"/>
    </w:p>
    <w:p w14:paraId="32EBD3A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监理人应当按合同专用条款约定的种类、时间和份数向委托人提交监理与相关服务的报告。</w:t>
      </w:r>
    </w:p>
    <w:p w14:paraId="52A5C213">
      <w:pPr>
        <w:outlineLvl w:val="9"/>
        <w:rPr>
          <w:rFonts w:hint="eastAsia" w:asciiTheme="minorEastAsia" w:hAnsiTheme="minorEastAsia" w:eastAsiaTheme="minorEastAsia" w:cstheme="minorEastAsia"/>
          <w:b w:val="0"/>
          <w:color w:val="auto"/>
          <w:sz w:val="24"/>
          <w:szCs w:val="24"/>
          <w:highlight w:val="none"/>
          <w:lang w:eastAsia="zh-CN"/>
        </w:rPr>
      </w:pPr>
      <w:bookmarkStart w:id="928" w:name="_Toc371398303"/>
      <w:bookmarkStart w:id="929" w:name="_Toc61947403"/>
      <w:bookmarkStart w:id="930" w:name="_Toc11332833"/>
      <w:r>
        <w:rPr>
          <w:rFonts w:hint="eastAsia" w:asciiTheme="minorEastAsia" w:hAnsiTheme="minorEastAsia" w:eastAsiaTheme="minorEastAsia" w:cstheme="minorEastAsia"/>
          <w:color w:val="auto"/>
          <w:sz w:val="24"/>
          <w:szCs w:val="24"/>
          <w:highlight w:val="none"/>
          <w:lang w:eastAsia="zh-CN"/>
        </w:rPr>
        <w:t>2.8 文件资料</w:t>
      </w:r>
      <w:bookmarkEnd w:id="928"/>
      <w:bookmarkEnd w:id="929"/>
      <w:bookmarkEnd w:id="930"/>
    </w:p>
    <w:p w14:paraId="1F85146F">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在合同履行期内，监理人应当在现场保留工作所用的图纸、报告及记录监理工作的相关文件。工程竣工后，应当按照档案管理规定将监理有关文件归档。</w:t>
      </w:r>
    </w:p>
    <w:p w14:paraId="176C94BC">
      <w:pPr>
        <w:outlineLvl w:val="9"/>
        <w:rPr>
          <w:rFonts w:hint="eastAsia" w:asciiTheme="minorEastAsia" w:hAnsiTheme="minorEastAsia" w:eastAsiaTheme="minorEastAsia" w:cstheme="minorEastAsia"/>
          <w:b w:val="0"/>
          <w:color w:val="auto"/>
          <w:sz w:val="24"/>
          <w:szCs w:val="24"/>
          <w:highlight w:val="none"/>
          <w:lang w:eastAsia="zh-CN"/>
        </w:rPr>
      </w:pPr>
      <w:bookmarkStart w:id="931" w:name="_Toc371398304"/>
      <w:bookmarkStart w:id="932" w:name="_Toc11332834"/>
      <w:bookmarkStart w:id="933" w:name="_Toc61947404"/>
      <w:r>
        <w:rPr>
          <w:rFonts w:hint="eastAsia" w:asciiTheme="minorEastAsia" w:hAnsiTheme="minorEastAsia" w:eastAsiaTheme="minorEastAsia" w:cstheme="minorEastAsia"/>
          <w:color w:val="auto"/>
          <w:sz w:val="24"/>
          <w:szCs w:val="24"/>
          <w:highlight w:val="none"/>
          <w:lang w:eastAsia="zh-CN"/>
        </w:rPr>
        <w:t>2.9 使用委托人的财产</w:t>
      </w:r>
      <w:bookmarkEnd w:id="931"/>
      <w:bookmarkEnd w:id="932"/>
      <w:bookmarkEnd w:id="933"/>
    </w:p>
    <w:p w14:paraId="56A57EAA">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14:paraId="742691B9">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34" w:name="_Toc61947405"/>
      <w:bookmarkStart w:id="935" w:name="_Toc371398305"/>
      <w:bookmarkStart w:id="936" w:name="_Toc11332835"/>
      <w:r>
        <w:rPr>
          <w:rFonts w:hint="eastAsia" w:asciiTheme="minorEastAsia" w:hAnsiTheme="minorEastAsia" w:eastAsiaTheme="minorEastAsia" w:cstheme="minorEastAsia"/>
          <w:color w:val="auto"/>
          <w:sz w:val="24"/>
          <w:szCs w:val="24"/>
          <w:highlight w:val="none"/>
          <w:lang w:eastAsia="zh-CN"/>
        </w:rPr>
        <w:t>3．委托人的义务</w:t>
      </w:r>
      <w:bookmarkEnd w:id="934"/>
      <w:bookmarkEnd w:id="935"/>
      <w:bookmarkEnd w:id="936"/>
    </w:p>
    <w:p w14:paraId="767EA5E2">
      <w:pPr>
        <w:outlineLvl w:val="9"/>
        <w:rPr>
          <w:rFonts w:hint="eastAsia" w:asciiTheme="minorEastAsia" w:hAnsiTheme="minorEastAsia" w:eastAsiaTheme="minorEastAsia" w:cstheme="minorEastAsia"/>
          <w:b w:val="0"/>
          <w:color w:val="auto"/>
          <w:sz w:val="24"/>
          <w:szCs w:val="24"/>
          <w:highlight w:val="none"/>
          <w:lang w:eastAsia="zh-CN"/>
        </w:rPr>
      </w:pPr>
      <w:bookmarkStart w:id="937" w:name="_Toc11332836"/>
      <w:bookmarkStart w:id="938" w:name="_Toc371398306"/>
      <w:bookmarkStart w:id="939" w:name="_Toc61947406"/>
      <w:r>
        <w:rPr>
          <w:rFonts w:hint="eastAsia" w:asciiTheme="minorEastAsia" w:hAnsiTheme="minorEastAsia" w:eastAsiaTheme="minorEastAsia" w:cstheme="minorEastAsia"/>
          <w:color w:val="auto"/>
          <w:sz w:val="24"/>
          <w:szCs w:val="24"/>
          <w:highlight w:val="none"/>
          <w:lang w:eastAsia="zh-CN"/>
        </w:rPr>
        <w:t>3.1 告知</w:t>
      </w:r>
      <w:bookmarkEnd w:id="937"/>
      <w:bookmarkEnd w:id="938"/>
      <w:bookmarkEnd w:id="939"/>
    </w:p>
    <w:p w14:paraId="2FF0BCC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委托人应当在委托人与承包人签订的合同中明确监理人、总监理工程师和授予项目监理与相关服务机构的权限。如有变更，应当及时通知承包人。</w:t>
      </w:r>
    </w:p>
    <w:p w14:paraId="1F523548">
      <w:pPr>
        <w:outlineLvl w:val="9"/>
        <w:rPr>
          <w:rFonts w:hint="eastAsia" w:asciiTheme="minorEastAsia" w:hAnsiTheme="minorEastAsia" w:eastAsiaTheme="minorEastAsia" w:cstheme="minorEastAsia"/>
          <w:b w:val="0"/>
          <w:color w:val="auto"/>
          <w:sz w:val="24"/>
          <w:szCs w:val="24"/>
          <w:highlight w:val="none"/>
          <w:lang w:eastAsia="zh-CN"/>
        </w:rPr>
      </w:pPr>
      <w:bookmarkStart w:id="940" w:name="_Toc11332837"/>
      <w:bookmarkStart w:id="941" w:name="_Toc371398307"/>
      <w:bookmarkStart w:id="942" w:name="_Toc61947407"/>
      <w:r>
        <w:rPr>
          <w:rFonts w:hint="eastAsia" w:asciiTheme="minorEastAsia" w:hAnsiTheme="minorEastAsia" w:eastAsiaTheme="minorEastAsia" w:cstheme="minorEastAsia"/>
          <w:color w:val="auto"/>
          <w:sz w:val="24"/>
          <w:szCs w:val="24"/>
          <w:highlight w:val="none"/>
          <w:lang w:eastAsia="zh-CN"/>
        </w:rPr>
        <w:t>3.2 提供资料</w:t>
      </w:r>
      <w:bookmarkEnd w:id="940"/>
      <w:bookmarkEnd w:id="941"/>
      <w:bookmarkEnd w:id="942"/>
    </w:p>
    <w:p w14:paraId="43D53508">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委托人应当按照合同专用条款约定，免费向监理人提供与工程有关的资料。在合同履行过程中，委托人应当及时向监理人提供与工程有关的最新资料。</w:t>
      </w:r>
    </w:p>
    <w:p w14:paraId="47D56617">
      <w:pPr>
        <w:outlineLvl w:val="9"/>
        <w:rPr>
          <w:rFonts w:hint="eastAsia" w:asciiTheme="minorEastAsia" w:hAnsiTheme="minorEastAsia" w:eastAsiaTheme="minorEastAsia" w:cstheme="minorEastAsia"/>
          <w:b w:val="0"/>
          <w:color w:val="auto"/>
          <w:sz w:val="24"/>
          <w:szCs w:val="24"/>
          <w:highlight w:val="none"/>
          <w:lang w:eastAsia="zh-CN"/>
        </w:rPr>
      </w:pPr>
      <w:bookmarkStart w:id="943" w:name="_Toc371398308"/>
      <w:bookmarkStart w:id="944" w:name="_Toc61947408"/>
      <w:bookmarkStart w:id="945" w:name="_Toc11332838"/>
      <w:r>
        <w:rPr>
          <w:rFonts w:hint="eastAsia" w:asciiTheme="minorEastAsia" w:hAnsiTheme="minorEastAsia" w:eastAsiaTheme="minorEastAsia" w:cstheme="minorEastAsia"/>
          <w:color w:val="auto"/>
          <w:sz w:val="24"/>
          <w:szCs w:val="24"/>
          <w:highlight w:val="none"/>
          <w:lang w:eastAsia="zh-CN"/>
        </w:rPr>
        <w:t>3.3 提供工作条件</w:t>
      </w:r>
      <w:bookmarkEnd w:id="943"/>
      <w:bookmarkEnd w:id="944"/>
      <w:bookmarkEnd w:id="945"/>
    </w:p>
    <w:p w14:paraId="20CBA6F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委托人应当为监理人完成监理与相关服务提供必要的条件。</w:t>
      </w:r>
    </w:p>
    <w:p w14:paraId="72C0BEA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3.3.1 委托人应当按照合同专用条款约定，提供相应的人员、房屋、设备、设施，供监理人免费使用。如委托人不提供或部分提供相应的人员、</w:t>
      </w:r>
      <w:r>
        <w:rPr>
          <w:rFonts w:hint="eastAsia" w:asciiTheme="minorEastAsia" w:hAnsiTheme="minorEastAsia" w:eastAsiaTheme="minorEastAsia" w:cstheme="minorEastAsia"/>
          <w:bCs/>
          <w:color w:val="auto"/>
          <w:sz w:val="24"/>
          <w:szCs w:val="24"/>
          <w:highlight w:val="none"/>
          <w:lang w:eastAsia="zh-CN"/>
        </w:rPr>
        <w:t>房屋、资料</w:t>
      </w:r>
      <w:r>
        <w:rPr>
          <w:rFonts w:hint="eastAsia" w:asciiTheme="minorEastAsia" w:hAnsiTheme="minorEastAsia" w:eastAsiaTheme="minorEastAsia" w:cstheme="minorEastAsia"/>
          <w:color w:val="auto"/>
          <w:sz w:val="24"/>
          <w:szCs w:val="24"/>
          <w:highlight w:val="none"/>
          <w:lang w:eastAsia="zh-CN"/>
        </w:rPr>
        <w:t>、设备、设施时应当进行补偿。</w:t>
      </w:r>
    </w:p>
    <w:p w14:paraId="45F6BF20">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3.3.2 委托人应当负责协调工程建设中所有外部关系，为监理人履行合同提供必要的外部条件。</w:t>
      </w:r>
    </w:p>
    <w:p w14:paraId="198A6CF0">
      <w:pPr>
        <w:outlineLvl w:val="9"/>
        <w:rPr>
          <w:rFonts w:hint="eastAsia" w:asciiTheme="minorEastAsia" w:hAnsiTheme="minorEastAsia" w:eastAsiaTheme="minorEastAsia" w:cstheme="minorEastAsia"/>
          <w:b w:val="0"/>
          <w:color w:val="auto"/>
          <w:sz w:val="24"/>
          <w:szCs w:val="24"/>
          <w:highlight w:val="none"/>
          <w:lang w:eastAsia="zh-CN"/>
        </w:rPr>
      </w:pPr>
      <w:bookmarkStart w:id="946" w:name="_Toc61947409"/>
      <w:bookmarkStart w:id="947" w:name="_Toc371398309"/>
      <w:bookmarkStart w:id="948" w:name="_Toc11332839"/>
      <w:r>
        <w:rPr>
          <w:rFonts w:hint="eastAsia" w:asciiTheme="minorEastAsia" w:hAnsiTheme="minorEastAsia" w:eastAsiaTheme="minorEastAsia" w:cstheme="minorEastAsia"/>
          <w:color w:val="auto"/>
          <w:sz w:val="24"/>
          <w:szCs w:val="24"/>
          <w:highlight w:val="none"/>
          <w:lang w:eastAsia="zh-CN"/>
        </w:rPr>
        <w:t>3.4 委托人代表</w:t>
      </w:r>
      <w:bookmarkEnd w:id="946"/>
      <w:bookmarkEnd w:id="947"/>
      <w:bookmarkEnd w:id="948"/>
    </w:p>
    <w:p w14:paraId="43D6BFD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委托人应当授权一名熟悉工程情况的代表，负责与监理人联系。委托人应将委托人代表的姓名和职责书面告知监理人，当委托人更换委托人代表时，应当提前7天通知监理人。</w:t>
      </w:r>
    </w:p>
    <w:p w14:paraId="55761A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委托人代表的姓名在合同专用条款中明确。</w:t>
      </w:r>
    </w:p>
    <w:p w14:paraId="5F5B3894">
      <w:pPr>
        <w:outlineLvl w:val="9"/>
        <w:rPr>
          <w:rFonts w:hint="eastAsia" w:asciiTheme="minorEastAsia" w:hAnsiTheme="minorEastAsia" w:eastAsiaTheme="minorEastAsia" w:cstheme="minorEastAsia"/>
          <w:b w:val="0"/>
          <w:color w:val="auto"/>
          <w:sz w:val="24"/>
          <w:szCs w:val="24"/>
          <w:highlight w:val="none"/>
          <w:lang w:eastAsia="zh-CN"/>
        </w:rPr>
      </w:pPr>
      <w:bookmarkStart w:id="949" w:name="_Toc371398310"/>
      <w:bookmarkStart w:id="950" w:name="_Toc61947410"/>
      <w:bookmarkStart w:id="951" w:name="_Toc11332840"/>
      <w:r>
        <w:rPr>
          <w:rFonts w:hint="eastAsia" w:asciiTheme="minorEastAsia" w:hAnsiTheme="minorEastAsia" w:eastAsiaTheme="minorEastAsia" w:cstheme="minorEastAsia"/>
          <w:color w:val="auto"/>
          <w:sz w:val="24"/>
          <w:szCs w:val="24"/>
          <w:highlight w:val="none"/>
          <w:lang w:eastAsia="zh-CN"/>
        </w:rPr>
        <w:t>3.5 委托人意见或要求</w:t>
      </w:r>
      <w:bookmarkEnd w:id="949"/>
      <w:bookmarkEnd w:id="950"/>
      <w:bookmarkEnd w:id="951"/>
    </w:p>
    <w:p w14:paraId="299A952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在合同约定的监理和相关服务工作范围内，委托人对承包人的任何意见或要求应当通知监理人，由监理人向承包人发出相应指令。</w:t>
      </w:r>
    </w:p>
    <w:p w14:paraId="261EFEC1">
      <w:pPr>
        <w:outlineLvl w:val="9"/>
        <w:rPr>
          <w:rFonts w:hint="eastAsia" w:asciiTheme="minorEastAsia" w:hAnsiTheme="minorEastAsia" w:eastAsiaTheme="minorEastAsia" w:cstheme="minorEastAsia"/>
          <w:b w:val="0"/>
          <w:color w:val="auto"/>
          <w:sz w:val="24"/>
          <w:szCs w:val="24"/>
          <w:highlight w:val="none"/>
          <w:lang w:eastAsia="zh-CN"/>
        </w:rPr>
      </w:pPr>
      <w:bookmarkStart w:id="952" w:name="_Toc371398311"/>
      <w:bookmarkStart w:id="953" w:name="_Toc11332841"/>
      <w:bookmarkStart w:id="954" w:name="_Toc61947411"/>
      <w:r>
        <w:rPr>
          <w:rFonts w:hint="eastAsia" w:asciiTheme="minorEastAsia" w:hAnsiTheme="minorEastAsia" w:eastAsiaTheme="minorEastAsia" w:cstheme="minorEastAsia"/>
          <w:color w:val="auto"/>
          <w:sz w:val="24"/>
          <w:szCs w:val="24"/>
          <w:highlight w:val="none"/>
          <w:lang w:eastAsia="zh-CN"/>
        </w:rPr>
        <w:t>3.6 答复</w:t>
      </w:r>
      <w:bookmarkEnd w:id="952"/>
      <w:bookmarkEnd w:id="953"/>
      <w:bookmarkEnd w:id="954"/>
    </w:p>
    <w:p w14:paraId="2390523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委托人应当在合同专用条款约定的时间内，对监理人以书面形式提交并要求做出决定的事宜，给予书面答复。逾期未答复的，视为委托人认可。</w:t>
      </w:r>
    </w:p>
    <w:p w14:paraId="45F27A96">
      <w:pPr>
        <w:outlineLvl w:val="9"/>
        <w:rPr>
          <w:rFonts w:hint="eastAsia" w:asciiTheme="minorEastAsia" w:hAnsiTheme="minorEastAsia" w:eastAsiaTheme="minorEastAsia" w:cstheme="minorEastAsia"/>
          <w:b w:val="0"/>
          <w:color w:val="auto"/>
          <w:sz w:val="24"/>
          <w:szCs w:val="24"/>
          <w:highlight w:val="none"/>
          <w:lang w:eastAsia="zh-CN"/>
        </w:rPr>
      </w:pPr>
      <w:bookmarkStart w:id="955" w:name="_Toc371398312"/>
      <w:bookmarkStart w:id="956" w:name="_Toc11332842"/>
      <w:bookmarkStart w:id="957" w:name="_Toc61947412"/>
      <w:r>
        <w:rPr>
          <w:rFonts w:hint="eastAsia" w:asciiTheme="minorEastAsia" w:hAnsiTheme="minorEastAsia" w:eastAsiaTheme="minorEastAsia" w:cstheme="minorEastAsia"/>
          <w:color w:val="auto"/>
          <w:sz w:val="24"/>
          <w:szCs w:val="24"/>
          <w:highlight w:val="none"/>
          <w:lang w:eastAsia="zh-CN"/>
        </w:rPr>
        <w:t>3.7 支付</w:t>
      </w:r>
      <w:bookmarkEnd w:id="955"/>
      <w:bookmarkEnd w:id="956"/>
      <w:bookmarkEnd w:id="957"/>
    </w:p>
    <w:p w14:paraId="3FF6686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委托人应当按合同约定，向监理人支付酬金。</w:t>
      </w:r>
    </w:p>
    <w:p w14:paraId="34F5CFA7">
      <w:pPr>
        <w:outlineLvl w:val="9"/>
        <w:rPr>
          <w:rFonts w:hint="eastAsia" w:asciiTheme="minorEastAsia" w:hAnsiTheme="minorEastAsia" w:eastAsiaTheme="minorEastAsia" w:cstheme="minorEastAsia"/>
          <w:b w:val="0"/>
          <w:color w:val="auto"/>
          <w:sz w:val="24"/>
          <w:szCs w:val="24"/>
          <w:highlight w:val="none"/>
          <w:lang w:eastAsia="zh-CN"/>
        </w:rPr>
      </w:pPr>
      <w:bookmarkStart w:id="958" w:name="_Toc11332843"/>
      <w:bookmarkStart w:id="959" w:name="_Toc371398313"/>
      <w:bookmarkStart w:id="960" w:name="_Toc61947413"/>
      <w:r>
        <w:rPr>
          <w:rFonts w:hint="eastAsia" w:asciiTheme="minorEastAsia" w:hAnsiTheme="minorEastAsia" w:eastAsiaTheme="minorEastAsia" w:cstheme="minorEastAsia"/>
          <w:color w:val="auto"/>
          <w:sz w:val="24"/>
          <w:szCs w:val="24"/>
          <w:highlight w:val="none"/>
          <w:lang w:eastAsia="zh-CN"/>
        </w:rPr>
        <w:t>3.8 合理化建议的奖励</w:t>
      </w:r>
      <w:bookmarkEnd w:id="958"/>
      <w:bookmarkEnd w:id="959"/>
      <w:bookmarkEnd w:id="960"/>
    </w:p>
    <w:p w14:paraId="5B9F952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监理人在服务过程中提出的合理化建议，使委托人获得经济效益的，委托人应当予以奖励。奖励金额的确定方法在合同专用条款中约定。</w:t>
      </w:r>
    </w:p>
    <w:p w14:paraId="32B23629">
      <w:pPr>
        <w:outlineLvl w:val="9"/>
        <w:rPr>
          <w:rFonts w:hint="eastAsia" w:asciiTheme="minorEastAsia" w:hAnsiTheme="minorEastAsia" w:eastAsiaTheme="minorEastAsia" w:cstheme="minorEastAsia"/>
          <w:b w:val="0"/>
          <w:color w:val="auto"/>
          <w:sz w:val="24"/>
          <w:szCs w:val="24"/>
          <w:highlight w:val="none"/>
          <w:lang w:eastAsia="zh-CN"/>
        </w:rPr>
      </w:pPr>
      <w:bookmarkStart w:id="961" w:name="_Toc371398314"/>
      <w:bookmarkStart w:id="962" w:name="_Toc11332844"/>
      <w:bookmarkStart w:id="963" w:name="_Toc61947414"/>
      <w:r>
        <w:rPr>
          <w:rFonts w:hint="eastAsia" w:asciiTheme="minorEastAsia" w:hAnsiTheme="minorEastAsia" w:eastAsiaTheme="minorEastAsia" w:cstheme="minorEastAsia"/>
          <w:color w:val="auto"/>
          <w:sz w:val="24"/>
          <w:szCs w:val="24"/>
          <w:highlight w:val="none"/>
          <w:lang w:eastAsia="zh-CN"/>
        </w:rPr>
        <w:t>3.9 保障监理人的权利</w:t>
      </w:r>
      <w:bookmarkEnd w:id="961"/>
      <w:bookmarkEnd w:id="962"/>
      <w:bookmarkEnd w:id="963"/>
    </w:p>
    <w:p w14:paraId="34FC0A1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委托人应当保证监理人为履行合同而正常行使合同授予的对工程的监督、管理相应权利。</w:t>
      </w:r>
    </w:p>
    <w:p w14:paraId="0A526411">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64" w:name="_Toc11332845"/>
      <w:bookmarkStart w:id="965" w:name="_Toc371398315"/>
      <w:bookmarkStart w:id="966" w:name="_Toc61947415"/>
      <w:r>
        <w:rPr>
          <w:rFonts w:hint="eastAsia" w:asciiTheme="minorEastAsia" w:hAnsiTheme="minorEastAsia" w:eastAsiaTheme="minorEastAsia" w:cstheme="minorEastAsia"/>
          <w:color w:val="auto"/>
          <w:sz w:val="24"/>
          <w:szCs w:val="24"/>
          <w:highlight w:val="none"/>
          <w:lang w:eastAsia="zh-CN"/>
        </w:rPr>
        <w:t>4. 违约</w:t>
      </w:r>
      <w:bookmarkEnd w:id="964"/>
      <w:bookmarkEnd w:id="965"/>
      <w:bookmarkEnd w:id="966"/>
    </w:p>
    <w:p w14:paraId="6CB60D86">
      <w:pPr>
        <w:outlineLvl w:val="9"/>
        <w:rPr>
          <w:rFonts w:hint="eastAsia" w:asciiTheme="minorEastAsia" w:hAnsiTheme="minorEastAsia" w:eastAsiaTheme="minorEastAsia" w:cstheme="minorEastAsia"/>
          <w:b w:val="0"/>
          <w:color w:val="auto"/>
          <w:sz w:val="24"/>
          <w:szCs w:val="24"/>
          <w:highlight w:val="none"/>
          <w:lang w:eastAsia="zh-CN"/>
        </w:rPr>
      </w:pPr>
      <w:bookmarkStart w:id="967" w:name="_Toc11332846"/>
      <w:bookmarkStart w:id="968" w:name="_Toc371398316"/>
      <w:bookmarkStart w:id="969" w:name="_Toc61947416"/>
      <w:r>
        <w:rPr>
          <w:rFonts w:hint="eastAsia" w:asciiTheme="minorEastAsia" w:hAnsiTheme="minorEastAsia" w:eastAsiaTheme="minorEastAsia" w:cstheme="minorEastAsia"/>
          <w:color w:val="auto"/>
          <w:sz w:val="24"/>
          <w:szCs w:val="24"/>
          <w:highlight w:val="none"/>
          <w:lang w:eastAsia="zh-CN"/>
        </w:rPr>
        <w:t>4.1 监理人的违约</w:t>
      </w:r>
      <w:bookmarkEnd w:id="967"/>
      <w:bookmarkEnd w:id="968"/>
      <w:bookmarkEnd w:id="969"/>
    </w:p>
    <w:p w14:paraId="42AAEA7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  监理人的违约情形</w:t>
      </w:r>
    </w:p>
    <w:p w14:paraId="5EBBD7D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4.1.1.1 监理人明确表示或者以行为表明不履行合同义务，或履行义务不符合约定；</w:t>
      </w:r>
    </w:p>
    <w:p w14:paraId="630559D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4.1.1.2 监理人违反合同的约定，将监理与相关服务的任何部分转让或分包；</w:t>
      </w:r>
    </w:p>
    <w:p w14:paraId="41714DB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4.1.1.3 违反合同专用条款约定的其他情形。</w:t>
      </w:r>
    </w:p>
    <w:p w14:paraId="69C43B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4.1.2 监理人的违约责任</w:t>
      </w:r>
    </w:p>
    <w:p w14:paraId="45BDD44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4.1.2.1 监理人违反合同约定，在第6.3款约定的时间内，拒绝改正的，委托人有权解除合同；</w:t>
      </w:r>
    </w:p>
    <w:p w14:paraId="0E14EA8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4.1.2.2因监理人违反本合同约定给委托人造成损失的，监理人应当赔偿委托人损失。赔偿金额的确定方法在合同专用条款中约定。监理人承担部分赔偿责任的，其承担赔偿金额由双方协商确定。</w:t>
      </w:r>
    </w:p>
    <w:p w14:paraId="68BBDC49">
      <w:pPr>
        <w:outlineLvl w:val="9"/>
        <w:rPr>
          <w:rFonts w:hint="eastAsia" w:asciiTheme="minorEastAsia" w:hAnsiTheme="minorEastAsia" w:eastAsiaTheme="minorEastAsia" w:cstheme="minorEastAsia"/>
          <w:b w:val="0"/>
          <w:color w:val="auto"/>
          <w:sz w:val="24"/>
          <w:szCs w:val="24"/>
          <w:highlight w:val="none"/>
          <w:lang w:eastAsia="zh-CN"/>
        </w:rPr>
      </w:pPr>
      <w:bookmarkStart w:id="970" w:name="_Toc61947417"/>
      <w:bookmarkStart w:id="971" w:name="_Toc11332847"/>
      <w:bookmarkStart w:id="972" w:name="_Toc371398317"/>
      <w:r>
        <w:rPr>
          <w:rFonts w:hint="eastAsia" w:asciiTheme="minorEastAsia" w:hAnsiTheme="minorEastAsia" w:eastAsiaTheme="minorEastAsia" w:cstheme="minorEastAsia"/>
          <w:color w:val="auto"/>
          <w:sz w:val="24"/>
          <w:szCs w:val="24"/>
          <w:highlight w:val="none"/>
          <w:lang w:eastAsia="zh-CN"/>
        </w:rPr>
        <w:t>4.2 委托人的违约</w:t>
      </w:r>
      <w:bookmarkEnd w:id="970"/>
      <w:bookmarkEnd w:id="971"/>
      <w:bookmarkEnd w:id="972"/>
    </w:p>
    <w:p w14:paraId="18BBA46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973" w:name="_Toc343091309"/>
      <w:r>
        <w:rPr>
          <w:rFonts w:hint="eastAsia" w:asciiTheme="minorEastAsia" w:hAnsiTheme="minorEastAsia" w:eastAsiaTheme="minorEastAsia" w:cstheme="minorEastAsia"/>
          <w:color w:val="auto"/>
          <w:sz w:val="24"/>
          <w:szCs w:val="24"/>
          <w:highlight w:val="none"/>
          <w:lang w:eastAsia="zh-CN"/>
        </w:rPr>
        <w:t>4.2.1 委托人的违约情形</w:t>
      </w:r>
      <w:bookmarkEnd w:id="973"/>
    </w:p>
    <w:p w14:paraId="11BEF03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4.2.1.1 明确表示或者以行为表明不履行合同义务，或履行义务不符合约定；</w:t>
      </w:r>
    </w:p>
    <w:p w14:paraId="527374D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4.2.1.2 未按合同约定支付酬金；</w:t>
      </w:r>
    </w:p>
    <w:p w14:paraId="77C6908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4.2.1.3 违反合同专用条款约定的其他情形。</w:t>
      </w:r>
    </w:p>
    <w:p w14:paraId="717A645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bookmarkStart w:id="974" w:name="_Toc343091310"/>
      <w:r>
        <w:rPr>
          <w:rFonts w:hint="eastAsia" w:asciiTheme="minorEastAsia" w:hAnsiTheme="minorEastAsia" w:eastAsiaTheme="minorEastAsia" w:cstheme="minorEastAsia"/>
          <w:color w:val="auto"/>
          <w:sz w:val="24"/>
          <w:szCs w:val="24"/>
          <w:highlight w:val="none"/>
          <w:lang w:eastAsia="zh-CN"/>
        </w:rPr>
        <w:t>4.2.2 委托人的违约责任</w:t>
      </w:r>
      <w:bookmarkEnd w:id="974"/>
    </w:p>
    <w:p w14:paraId="57E26DA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4.2.2.1 委托人违反合同的约定并造成监理人的经济损失，应当向监理人赔偿，赔偿金额的确定方法在合同专用条款中约定。</w:t>
      </w:r>
    </w:p>
    <w:p w14:paraId="044CC18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4.2.2.2委托人未能按期支付酬金超过28天，应当支付逾期付款利息，监理人可依据第6.3.2项解除合同，逾期付款利息按下述方法确定：</w:t>
      </w:r>
    </w:p>
    <w:p w14:paraId="0D977441">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逾期付款利息＝当期应付酬金总额×中国人民银行发布的同期同类贷款利率×拖延支付天数</w:t>
      </w:r>
    </w:p>
    <w:p w14:paraId="28E9EA79">
      <w:pPr>
        <w:outlineLvl w:val="9"/>
        <w:rPr>
          <w:rFonts w:hint="eastAsia" w:asciiTheme="minorEastAsia" w:hAnsiTheme="minorEastAsia" w:eastAsiaTheme="minorEastAsia" w:cstheme="minorEastAsia"/>
          <w:b w:val="0"/>
          <w:color w:val="auto"/>
          <w:sz w:val="24"/>
          <w:szCs w:val="24"/>
          <w:highlight w:val="none"/>
          <w:lang w:eastAsia="zh-CN"/>
        </w:rPr>
      </w:pPr>
      <w:bookmarkStart w:id="975" w:name="_Toc61947418"/>
      <w:bookmarkStart w:id="976" w:name="_Toc11332848"/>
      <w:bookmarkStart w:id="977" w:name="_Toc371398318"/>
      <w:r>
        <w:rPr>
          <w:rFonts w:hint="eastAsia" w:asciiTheme="minorEastAsia" w:hAnsiTheme="minorEastAsia" w:eastAsiaTheme="minorEastAsia" w:cstheme="minorEastAsia"/>
          <w:color w:val="auto"/>
          <w:sz w:val="24"/>
          <w:szCs w:val="24"/>
          <w:highlight w:val="none"/>
          <w:lang w:eastAsia="zh-CN"/>
        </w:rPr>
        <w:t>4.3 除外责任</w:t>
      </w:r>
      <w:bookmarkEnd w:id="975"/>
      <w:bookmarkEnd w:id="976"/>
      <w:bookmarkEnd w:id="977"/>
    </w:p>
    <w:p w14:paraId="2C4C445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因非监理人的原因，且监理人无过错，发生工程质量事故、安全事故、工期延误等造成的损失，监理人不承担违约责任。</w:t>
      </w:r>
    </w:p>
    <w:p w14:paraId="2FB47E2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因不可抗力导致合同全部或部分不能履行时，双方各自承担其因此而造成的损失、损害。</w:t>
      </w:r>
    </w:p>
    <w:p w14:paraId="531ECC23">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78" w:name="_Toc11332849"/>
      <w:bookmarkStart w:id="979" w:name="_Toc371398319"/>
      <w:bookmarkStart w:id="980" w:name="_Toc61947419"/>
      <w:r>
        <w:rPr>
          <w:rFonts w:hint="eastAsia" w:asciiTheme="minorEastAsia" w:hAnsiTheme="minorEastAsia" w:eastAsiaTheme="minorEastAsia" w:cstheme="minorEastAsia"/>
          <w:color w:val="auto"/>
          <w:sz w:val="24"/>
          <w:szCs w:val="24"/>
          <w:highlight w:val="none"/>
          <w:lang w:eastAsia="zh-CN"/>
        </w:rPr>
        <w:t>5. 支付</w:t>
      </w:r>
      <w:bookmarkEnd w:id="978"/>
      <w:bookmarkEnd w:id="979"/>
      <w:bookmarkEnd w:id="980"/>
    </w:p>
    <w:p w14:paraId="4FA4F3CC">
      <w:pPr>
        <w:outlineLvl w:val="9"/>
        <w:rPr>
          <w:rFonts w:hint="eastAsia" w:asciiTheme="minorEastAsia" w:hAnsiTheme="minorEastAsia" w:eastAsiaTheme="minorEastAsia" w:cstheme="minorEastAsia"/>
          <w:b w:val="0"/>
          <w:color w:val="auto"/>
          <w:sz w:val="24"/>
          <w:szCs w:val="24"/>
          <w:highlight w:val="none"/>
          <w:lang w:eastAsia="zh-CN"/>
        </w:rPr>
      </w:pPr>
      <w:bookmarkStart w:id="981" w:name="_Toc61947420"/>
      <w:bookmarkStart w:id="982" w:name="_Toc371398320"/>
      <w:bookmarkStart w:id="983" w:name="_Toc11332850"/>
      <w:r>
        <w:rPr>
          <w:rFonts w:hint="eastAsia" w:asciiTheme="minorEastAsia" w:hAnsiTheme="minorEastAsia" w:eastAsiaTheme="minorEastAsia" w:cstheme="minorEastAsia"/>
          <w:color w:val="auto"/>
          <w:sz w:val="24"/>
          <w:szCs w:val="24"/>
          <w:highlight w:val="none"/>
          <w:lang w:eastAsia="zh-CN"/>
        </w:rPr>
        <w:t>5.1 支付货币</w:t>
      </w:r>
      <w:bookmarkEnd w:id="981"/>
      <w:bookmarkEnd w:id="982"/>
      <w:bookmarkEnd w:id="983"/>
    </w:p>
    <w:p w14:paraId="742172F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除合同专用条款另有约定外，酬金均以人民币支付。</w:t>
      </w:r>
    </w:p>
    <w:p w14:paraId="3FE5D3B5">
      <w:pPr>
        <w:outlineLvl w:val="9"/>
        <w:rPr>
          <w:rFonts w:hint="eastAsia" w:asciiTheme="minorEastAsia" w:hAnsiTheme="minorEastAsia" w:eastAsiaTheme="minorEastAsia" w:cstheme="minorEastAsia"/>
          <w:b w:val="0"/>
          <w:color w:val="auto"/>
          <w:sz w:val="24"/>
          <w:szCs w:val="24"/>
          <w:highlight w:val="none"/>
          <w:lang w:eastAsia="zh-CN"/>
        </w:rPr>
      </w:pPr>
      <w:bookmarkStart w:id="984" w:name="_Toc371398321"/>
      <w:bookmarkStart w:id="985" w:name="_Toc61947421"/>
      <w:bookmarkStart w:id="986" w:name="_Toc11332851"/>
      <w:r>
        <w:rPr>
          <w:rFonts w:hint="eastAsia" w:asciiTheme="minorEastAsia" w:hAnsiTheme="minorEastAsia" w:eastAsiaTheme="minorEastAsia" w:cstheme="minorEastAsia"/>
          <w:color w:val="auto"/>
          <w:sz w:val="24"/>
          <w:szCs w:val="24"/>
          <w:highlight w:val="none"/>
          <w:lang w:eastAsia="zh-CN"/>
        </w:rPr>
        <w:t>5.2 首付款</w:t>
      </w:r>
      <w:bookmarkEnd w:id="984"/>
      <w:bookmarkEnd w:id="985"/>
      <w:bookmarkEnd w:id="986"/>
    </w:p>
    <w:p w14:paraId="0AF8A6A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除合同专用条款另有约定外，委托人应当在合同订立且财政资金到位后30天内，支付监理费合同金额的30%.</w:t>
      </w:r>
    </w:p>
    <w:p w14:paraId="73C9E42E">
      <w:pPr>
        <w:outlineLvl w:val="9"/>
        <w:rPr>
          <w:rFonts w:hint="eastAsia" w:asciiTheme="minorEastAsia" w:hAnsiTheme="minorEastAsia" w:eastAsiaTheme="minorEastAsia" w:cstheme="minorEastAsia"/>
          <w:b w:val="0"/>
          <w:color w:val="auto"/>
          <w:sz w:val="24"/>
          <w:szCs w:val="24"/>
          <w:highlight w:val="none"/>
          <w:lang w:eastAsia="zh-CN"/>
        </w:rPr>
      </w:pPr>
      <w:bookmarkStart w:id="987" w:name="_Toc61947422"/>
      <w:bookmarkStart w:id="988" w:name="_Toc11332852"/>
      <w:bookmarkStart w:id="989" w:name="_Toc371398322"/>
      <w:r>
        <w:rPr>
          <w:rFonts w:hint="eastAsia" w:asciiTheme="minorEastAsia" w:hAnsiTheme="minorEastAsia" w:eastAsiaTheme="minorEastAsia" w:cstheme="minorEastAsia"/>
          <w:color w:val="auto"/>
          <w:sz w:val="24"/>
          <w:szCs w:val="24"/>
          <w:highlight w:val="none"/>
          <w:lang w:eastAsia="zh-CN"/>
        </w:rPr>
        <w:t>5.3 中期支付</w:t>
      </w:r>
      <w:bookmarkEnd w:id="987"/>
      <w:bookmarkEnd w:id="988"/>
      <w:bookmarkEnd w:id="989"/>
    </w:p>
    <w:p w14:paraId="55CA6C76">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5.3.1监理酬金</w:t>
      </w:r>
    </w:p>
    <w:p w14:paraId="2706347E">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委托人采用总价平均、分期支付的方式按进度向监理人支付监理酬金。具体支付方式在合同专用条款中约定。</w:t>
      </w:r>
    </w:p>
    <w:p w14:paraId="1DFE0E05">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5.3.2相关服务酬金</w:t>
      </w:r>
    </w:p>
    <w:p w14:paraId="5CDA448A">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相关服务酬金按合同约定的人工日费用，根据实际工作时间支付。具体支付方式在合同专用条款中约定。</w:t>
      </w:r>
    </w:p>
    <w:p w14:paraId="389614CD">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5.3.3附加工作酬金</w:t>
      </w:r>
    </w:p>
    <w:p w14:paraId="201F822A">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附加工作酬金经双方确定后按月支付。具体支付方式在合同专用条款中约定。</w:t>
      </w:r>
    </w:p>
    <w:p w14:paraId="15FA1B0D">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5.3.4补偿费用</w:t>
      </w:r>
    </w:p>
    <w:p w14:paraId="1CE69EF5">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补偿费用的支付方法在合同专用条款中约定。</w:t>
      </w:r>
    </w:p>
    <w:p w14:paraId="7DFD5010">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5.3.5合理化建议奖励</w:t>
      </w:r>
    </w:p>
    <w:p w14:paraId="233B863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监理人提出合理化建议奖励金额的支付方法在合同专用条款中约定。</w:t>
      </w:r>
    </w:p>
    <w:p w14:paraId="47DE450A">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5.3.6竣工支付</w:t>
      </w:r>
    </w:p>
    <w:p w14:paraId="34986008">
      <w:pPr>
        <w:snapToGrid w:val="0"/>
        <w:spacing w:line="360" w:lineRule="auto"/>
        <w:ind w:firstLine="514"/>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工程竣工验收时，委托人累计支付的酬金比例应当不少于合同约定酬金总和的90%。</w:t>
      </w:r>
    </w:p>
    <w:p w14:paraId="24AE6903">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如委托人未按约定支付，监理人可不签署工程竣工验收及移交竣工文件。</w:t>
      </w:r>
    </w:p>
    <w:p w14:paraId="6F77D1F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5.3.7支付申请</w:t>
      </w:r>
    </w:p>
    <w:p w14:paraId="261D3D84">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监理人应当在合同约定的每个支付周期结束后的7天内，以书面形式向委托人提交支付申请书。支付申请书应当说明当期应付酬金和费用总额及细目、金额。</w:t>
      </w:r>
    </w:p>
    <w:p w14:paraId="45192654">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支付申请书应当包括以下内容：</w:t>
      </w:r>
    </w:p>
    <w:p w14:paraId="7753A93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（1）截至本次付款周期应当支付的酬金；</w:t>
      </w:r>
    </w:p>
    <w:p w14:paraId="004B8D1F">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（2）根据第4.1、4.2款确定的违约金和赔偿金；</w:t>
      </w:r>
    </w:p>
    <w:p w14:paraId="7B0C8AFE">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（3）根据第5.3.4项约定的补偿费用；</w:t>
      </w:r>
    </w:p>
    <w:p w14:paraId="19DA0389">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（4）根据第5.3.5项约定应当支付的合理化建议奖励；</w:t>
      </w:r>
    </w:p>
    <w:p w14:paraId="329E7383">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（5）根据第6.2款应当增加或扣减的变更金额；</w:t>
      </w:r>
    </w:p>
    <w:p w14:paraId="65176231">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（6）根据合同应当增加和扣减的其他金额。</w:t>
      </w:r>
    </w:p>
    <w:p w14:paraId="7BAEA3D7">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5.3.8支付时限</w:t>
      </w:r>
    </w:p>
    <w:p w14:paraId="0DD98B0C">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除合同专用条款另有约定外，委托人应当在收到监理支付申请后7天内予以审批，在批复后14天内向监理人支付酬金。</w:t>
      </w:r>
    </w:p>
    <w:p w14:paraId="1CF59544">
      <w:pPr>
        <w:outlineLvl w:val="9"/>
        <w:rPr>
          <w:rFonts w:hint="eastAsia" w:asciiTheme="minorEastAsia" w:hAnsiTheme="minorEastAsia" w:eastAsiaTheme="minorEastAsia" w:cstheme="minorEastAsia"/>
          <w:b w:val="0"/>
          <w:color w:val="auto"/>
          <w:sz w:val="24"/>
          <w:szCs w:val="24"/>
          <w:highlight w:val="none"/>
          <w:lang w:eastAsia="zh-CN"/>
        </w:rPr>
      </w:pPr>
      <w:bookmarkStart w:id="990" w:name="_Toc61947423"/>
      <w:bookmarkStart w:id="991" w:name="_Toc371398323"/>
      <w:bookmarkStart w:id="992" w:name="_Toc11332853"/>
      <w:r>
        <w:rPr>
          <w:rFonts w:hint="eastAsia" w:asciiTheme="minorEastAsia" w:hAnsiTheme="minorEastAsia" w:eastAsiaTheme="minorEastAsia" w:cstheme="minorEastAsia"/>
          <w:color w:val="auto"/>
          <w:sz w:val="24"/>
          <w:szCs w:val="24"/>
          <w:highlight w:val="none"/>
          <w:lang w:eastAsia="zh-CN"/>
        </w:rPr>
        <w:t>5.4 有争议部分的付款</w:t>
      </w:r>
      <w:bookmarkEnd w:id="990"/>
      <w:bookmarkEnd w:id="991"/>
      <w:bookmarkEnd w:id="992"/>
    </w:p>
    <w:p w14:paraId="594EB91B">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委托人对监理人提交的支付申请书有异议时，应当在收到监理人提交的支付申请书后7天内，以书面形式向监理人发出异议通知。无异议部分的款项应当按期支付，有异议部分的款项按第7条约定办理。</w:t>
      </w:r>
    </w:p>
    <w:p w14:paraId="126BE19E">
      <w:pPr>
        <w:outlineLvl w:val="9"/>
        <w:rPr>
          <w:rFonts w:hint="eastAsia" w:asciiTheme="minorEastAsia" w:hAnsiTheme="minorEastAsia" w:eastAsiaTheme="minorEastAsia" w:cstheme="minorEastAsia"/>
          <w:b w:val="0"/>
          <w:color w:val="auto"/>
          <w:sz w:val="24"/>
          <w:szCs w:val="24"/>
          <w:highlight w:val="none"/>
          <w:lang w:eastAsia="zh-CN"/>
        </w:rPr>
      </w:pPr>
      <w:bookmarkStart w:id="993" w:name="_Toc371398324"/>
      <w:bookmarkStart w:id="994" w:name="_Toc11332854"/>
      <w:bookmarkStart w:id="995" w:name="_Toc61947424"/>
      <w:r>
        <w:rPr>
          <w:rFonts w:hint="eastAsia" w:asciiTheme="minorEastAsia" w:hAnsiTheme="minorEastAsia" w:eastAsiaTheme="minorEastAsia" w:cstheme="minorEastAsia"/>
          <w:color w:val="auto"/>
          <w:sz w:val="24"/>
          <w:szCs w:val="24"/>
          <w:highlight w:val="none"/>
          <w:lang w:eastAsia="zh-CN"/>
        </w:rPr>
        <w:t>5.5 结算</w:t>
      </w:r>
      <w:bookmarkEnd w:id="993"/>
      <w:bookmarkEnd w:id="994"/>
      <w:bookmarkEnd w:id="995"/>
    </w:p>
    <w:p w14:paraId="7D14885A">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工程竣工后，监理与相关服务结算价款依据本合同文件约定的结算方法进行调整，并于工程竣工结算后28天内一次性支付剩余监理与相关服务酬金。</w:t>
      </w:r>
    </w:p>
    <w:p w14:paraId="6C654070">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996" w:name="_Toc61947425"/>
      <w:bookmarkStart w:id="997" w:name="_Toc371398325"/>
      <w:bookmarkStart w:id="998" w:name="_Toc11332855"/>
      <w:r>
        <w:rPr>
          <w:rFonts w:hint="eastAsia" w:asciiTheme="minorEastAsia" w:hAnsiTheme="minorEastAsia" w:eastAsiaTheme="minorEastAsia" w:cstheme="minorEastAsia"/>
          <w:color w:val="auto"/>
          <w:sz w:val="24"/>
          <w:szCs w:val="24"/>
          <w:highlight w:val="none"/>
          <w:lang w:eastAsia="zh-CN"/>
        </w:rPr>
        <w:t>6. 合同生效、变更与终止</w:t>
      </w:r>
      <w:bookmarkEnd w:id="996"/>
      <w:bookmarkEnd w:id="997"/>
      <w:bookmarkEnd w:id="998"/>
    </w:p>
    <w:p w14:paraId="2126956D">
      <w:pPr>
        <w:outlineLvl w:val="9"/>
        <w:rPr>
          <w:rFonts w:hint="eastAsia" w:asciiTheme="minorEastAsia" w:hAnsiTheme="minorEastAsia" w:eastAsiaTheme="minorEastAsia" w:cstheme="minorEastAsia"/>
          <w:b w:val="0"/>
          <w:color w:val="auto"/>
          <w:sz w:val="24"/>
          <w:szCs w:val="24"/>
          <w:highlight w:val="none"/>
          <w:lang w:eastAsia="zh-CN"/>
        </w:rPr>
      </w:pPr>
      <w:bookmarkStart w:id="999" w:name="_Toc371398326"/>
      <w:bookmarkStart w:id="1000" w:name="_Toc11332856"/>
      <w:bookmarkStart w:id="1001" w:name="_Toc61947426"/>
      <w:r>
        <w:rPr>
          <w:rFonts w:hint="eastAsia" w:asciiTheme="minorEastAsia" w:hAnsiTheme="minorEastAsia" w:eastAsiaTheme="minorEastAsia" w:cstheme="minorEastAsia"/>
          <w:color w:val="auto"/>
          <w:sz w:val="24"/>
          <w:szCs w:val="24"/>
          <w:highlight w:val="none"/>
          <w:lang w:eastAsia="zh-CN"/>
        </w:rPr>
        <w:t>6.1 生效</w:t>
      </w:r>
      <w:bookmarkEnd w:id="999"/>
      <w:bookmarkEnd w:id="1000"/>
      <w:bookmarkEnd w:id="1001"/>
    </w:p>
    <w:p w14:paraId="36A05D69">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除法律另有规定或合同专用条款另有约定外，委托人和监理人的法定代表人或其授权代理人在合同协议书上签字并盖单位章后合同生效。</w:t>
      </w:r>
    </w:p>
    <w:p w14:paraId="579021D8">
      <w:pPr>
        <w:outlineLvl w:val="9"/>
        <w:rPr>
          <w:rFonts w:hint="eastAsia" w:asciiTheme="minorEastAsia" w:hAnsiTheme="minorEastAsia" w:eastAsiaTheme="minorEastAsia" w:cstheme="minorEastAsia"/>
          <w:b w:val="0"/>
          <w:color w:val="auto"/>
          <w:sz w:val="24"/>
          <w:szCs w:val="24"/>
          <w:highlight w:val="none"/>
          <w:lang w:eastAsia="zh-CN"/>
        </w:rPr>
      </w:pPr>
      <w:bookmarkStart w:id="1002" w:name="_Toc61947427"/>
      <w:bookmarkStart w:id="1003" w:name="_Toc371398327"/>
      <w:bookmarkStart w:id="1004" w:name="_Toc11332857"/>
      <w:r>
        <w:rPr>
          <w:rFonts w:hint="eastAsia" w:asciiTheme="minorEastAsia" w:hAnsiTheme="minorEastAsia" w:eastAsiaTheme="minorEastAsia" w:cstheme="minorEastAsia"/>
          <w:color w:val="auto"/>
          <w:sz w:val="24"/>
          <w:szCs w:val="24"/>
          <w:highlight w:val="none"/>
          <w:lang w:eastAsia="zh-CN"/>
        </w:rPr>
        <w:t>6.2变更</w:t>
      </w:r>
      <w:bookmarkEnd w:id="1002"/>
      <w:bookmarkEnd w:id="1003"/>
      <w:bookmarkEnd w:id="1004"/>
    </w:p>
    <w:p w14:paraId="108CDE1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 附加工作</w:t>
      </w:r>
    </w:p>
    <w:p w14:paraId="29F7DE2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除合同专用条款另有约定外，在履行合同过程中发生以下情形之一，视为附加工作，委托人应向监理人支付附加工作酬金。除下列第6.2.1.4目的情形外，附加工作酬金的确定方法为：</w:t>
      </w:r>
    </w:p>
    <w:p w14:paraId="739D2A9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a. 因非监理人原因工程工期延长，按下列方法确定：</w:t>
      </w:r>
    </w:p>
    <w:p w14:paraId="4E5F714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附加工作酬金=增加的监理与相关服务时间（天）×正常工作酬金÷合同协议书约定的监理与相关服务期限（天）</w:t>
      </w:r>
    </w:p>
    <w:p w14:paraId="74C1741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b. 实际情况发生变化导致履行中的合同全部或部分中止，监理人完成善后工作以及恢复服务前准备工作的工作酬金按下列方法确定：</w:t>
      </w:r>
    </w:p>
    <w:p w14:paraId="7806B42A">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附加工作酬金=善后或准备工作的时间（天）×正常工作酬金÷合同协议书约定的监理与相关服务期限（天）</w:t>
      </w:r>
    </w:p>
    <w:p w14:paraId="2B383FE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6.2.1.1 除不可抗力外，因非监理人原因，工程工期延长；</w:t>
      </w:r>
    </w:p>
    <w:p w14:paraId="757754E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6.2.1.2因非监理人原因监理与相关服务受到延误或阻碍或暂停；</w:t>
      </w:r>
    </w:p>
    <w:p w14:paraId="4EA396E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6.2.1.3实际情况发生变化，使监理人不能完成全部或部分工作，监理人进行善后工作以及恢复服务准备工作，监理人用于恢复服务的时间不得超过28天；</w:t>
      </w:r>
    </w:p>
    <w:p w14:paraId="03CB417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6.2.1.4监理与相关服务内容增加，附加工作酬金应该按照增加的内容占正常工作范围内监理与相关服务内容的比例计算，具体比例由双方根据增加的内容通过协商确定。</w:t>
      </w:r>
    </w:p>
    <w:p w14:paraId="5F023D7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6.2.2 合同签订后，遇有与工程相关的法律、法规、标准颁布或修订的，双方应当遵照执行。由此引起监理与相关服务的范围、时间、酬金变化的，双方应当通过协商进行相应调整。</w:t>
      </w:r>
    </w:p>
    <w:p w14:paraId="4667D10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6.2.3因非监理人原因，工程投资额（建筑安装工程费）增加，正常工作酬金应当按以下方法调整：</w:t>
      </w:r>
    </w:p>
    <w:p w14:paraId="2EA82844">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正常工作酬金增加额=工程投资（建筑安装工程费）增加额×正常工作酬金÷工程概算投资额（建筑安装工程费）</w:t>
      </w:r>
    </w:p>
    <w:p w14:paraId="433FF43C">
      <w:pPr>
        <w:adjustRightInd w:val="0"/>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6.2.4因非监理人原因工程投资额（建筑安装工程费）减少，正常工作酬金应当按以下方法调整：正常工作酬金减少额＝工程投资（建筑安装工程费）减少额×正常工作酬金÷工程概算投资额（建筑安装工程费）。因非监理人原因监理与相关服务内容减少，正常工作酬金应作相应调整，调整减少金额按照减少的内容占正常工作范围内监理与相关服务内容的比例计算，具体比例由双方根据减少的内容通过协商确定。</w:t>
      </w:r>
    </w:p>
    <w:p w14:paraId="35673959">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工程投资额（建筑安装工程费）或监理与相关服务内容未发生变化，工程提前竣工，不减少监理人酬金。</w:t>
      </w:r>
    </w:p>
    <w:p w14:paraId="7949945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6.2.5 任何一方提出变更请求时，双方经协商一致后可进行变更。</w:t>
      </w:r>
    </w:p>
    <w:p w14:paraId="452E28B9">
      <w:pPr>
        <w:outlineLvl w:val="9"/>
        <w:rPr>
          <w:rFonts w:hint="eastAsia" w:asciiTheme="minorEastAsia" w:hAnsiTheme="minorEastAsia" w:eastAsiaTheme="minorEastAsia" w:cstheme="minorEastAsia"/>
          <w:b w:val="0"/>
          <w:color w:val="auto"/>
          <w:sz w:val="24"/>
          <w:szCs w:val="24"/>
          <w:highlight w:val="none"/>
          <w:lang w:eastAsia="zh-CN"/>
        </w:rPr>
      </w:pPr>
      <w:bookmarkStart w:id="1005" w:name="_Toc11332858"/>
      <w:bookmarkStart w:id="1006" w:name="_Toc371398328"/>
      <w:bookmarkStart w:id="1007" w:name="_Toc61947428"/>
      <w:r>
        <w:rPr>
          <w:rFonts w:hint="eastAsia" w:asciiTheme="minorEastAsia" w:hAnsiTheme="minorEastAsia" w:eastAsiaTheme="minorEastAsia" w:cstheme="minorEastAsia"/>
          <w:color w:val="auto"/>
          <w:sz w:val="24"/>
          <w:szCs w:val="24"/>
          <w:highlight w:val="none"/>
          <w:lang w:eastAsia="zh-CN"/>
        </w:rPr>
        <w:t>6.3 暂停履行与解除</w:t>
      </w:r>
      <w:bookmarkEnd w:id="1005"/>
      <w:bookmarkEnd w:id="1006"/>
      <w:bookmarkEnd w:id="1007"/>
    </w:p>
    <w:p w14:paraId="202AD67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6.3.1 委托人发出通知</w:t>
      </w:r>
    </w:p>
    <w:p w14:paraId="0D726AD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当监理人发生第4.1.1项情况时，委托人应当通知监理人限期改正。若委托人在发出通知后7天内没有收到监理人书面形式的合理解释，则可在7天内发出解除合同的通知，自通知到达监理人时合同解除。</w:t>
      </w:r>
    </w:p>
    <w:p w14:paraId="30AFD1D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6.3.2 监理人发出通知</w:t>
      </w:r>
    </w:p>
    <w:p w14:paraId="476B82E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当委托人发生下列情况时，监理人可向委托人发出解除合同的通知，自通知到达委托人时合同解除，委托人应当将监理与相关服务的酬金支付至合同解除日。</w:t>
      </w:r>
    </w:p>
    <w:p w14:paraId="2CF5961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6.3.2.1 监理人在合同专用条款中约定的支付之日起28天后仍未收到委托人按合同约定应付的酬金，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发出解除合同的通知。</w:t>
      </w:r>
    </w:p>
    <w:p w14:paraId="08DC5DF6">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6.3.2.2 在合同有效期内，因非监理人的原因导致工程施工全部或部分暂停，委托人可以书面形式通知监理人要求暂停全部或部分工作。监理人应当立即安排停止工作，并将开支减至最小。除不可抗力外，由此导致监理人遭受的损失应当由委托人予以补偿。</w:t>
      </w:r>
    </w:p>
    <w:p w14:paraId="5E36796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暂停部分监理与相关服务且暂停时间超过182天，监理人可发出解除合同约定的该部分义务的通知；暂停全部工作且暂停时间超过182天，监理人可发出解除合同的通知。</w:t>
      </w:r>
    </w:p>
    <w:p w14:paraId="17E67FC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6.3.3 双方协商一致</w:t>
      </w:r>
    </w:p>
    <w:p w14:paraId="0B88165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14:paraId="1E64416E">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因解除合同或解除监理人的部分义务导致监理人遭受的损失，除依法可以免除责任的情况外，应当由委托人予以补偿，补偿金额由双方协商确定。</w:t>
      </w:r>
    </w:p>
    <w:p w14:paraId="3A9519E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6.3.4 不可抗力导致合同暂停或解除</w:t>
      </w:r>
    </w:p>
    <w:p w14:paraId="6ED87AA1">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因不可抗力致使合同不能履行或只能部分履行时，一方应当立即书面通知另一方，暂停或解除合同。</w:t>
      </w:r>
    </w:p>
    <w:p w14:paraId="34CFBC66">
      <w:pPr>
        <w:outlineLvl w:val="9"/>
        <w:rPr>
          <w:rFonts w:hint="eastAsia" w:asciiTheme="minorEastAsia" w:hAnsiTheme="minorEastAsia" w:eastAsiaTheme="minorEastAsia" w:cstheme="minorEastAsia"/>
          <w:b w:val="0"/>
          <w:color w:val="auto"/>
          <w:sz w:val="24"/>
          <w:szCs w:val="24"/>
          <w:highlight w:val="none"/>
          <w:lang w:eastAsia="zh-CN"/>
        </w:rPr>
      </w:pPr>
      <w:bookmarkStart w:id="1008" w:name="_Toc61947429"/>
      <w:bookmarkStart w:id="1009" w:name="_Toc11332859"/>
      <w:bookmarkStart w:id="1010" w:name="_Toc371398329"/>
      <w:r>
        <w:rPr>
          <w:rFonts w:hint="eastAsia" w:asciiTheme="minorEastAsia" w:hAnsiTheme="minorEastAsia" w:eastAsiaTheme="minorEastAsia" w:cstheme="minorEastAsia"/>
          <w:color w:val="auto"/>
          <w:sz w:val="24"/>
          <w:szCs w:val="24"/>
          <w:highlight w:val="none"/>
          <w:lang w:eastAsia="zh-CN"/>
        </w:rPr>
        <w:t>6.4 终止</w:t>
      </w:r>
      <w:bookmarkEnd w:id="1008"/>
      <w:bookmarkEnd w:id="1009"/>
      <w:bookmarkEnd w:id="1010"/>
    </w:p>
    <w:p w14:paraId="4AF499C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6.4.1 下列条件之一成就时，合同权利义务即告终止：</w:t>
      </w:r>
    </w:p>
    <w:p w14:paraId="6BE19D2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（1）按第6.3款约定双方解除合同；</w:t>
      </w:r>
    </w:p>
    <w:p w14:paraId="2FBE362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（2）监理人完成合同约定的全部工作。</w:t>
      </w:r>
    </w:p>
    <w:p w14:paraId="2030B52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6.4.2合同权利义务终止后，合同约定的有关结算、清理、争议解决方式的条款仍然有效。</w:t>
      </w:r>
    </w:p>
    <w:p w14:paraId="0B2758E4">
      <w:pPr>
        <w:adjustRightIn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11" w:name="_Toc61947430"/>
      <w:bookmarkStart w:id="1012" w:name="_Toc371398330"/>
      <w:bookmarkStart w:id="1013" w:name="_Toc11332860"/>
      <w:r>
        <w:rPr>
          <w:rFonts w:hint="eastAsia" w:asciiTheme="minorEastAsia" w:hAnsiTheme="minorEastAsia" w:eastAsiaTheme="minorEastAsia" w:cstheme="minorEastAsia"/>
          <w:color w:val="auto"/>
          <w:sz w:val="24"/>
          <w:szCs w:val="24"/>
          <w:highlight w:val="none"/>
          <w:lang w:eastAsia="zh-CN"/>
        </w:rPr>
        <w:t>7. 争议解决</w:t>
      </w:r>
      <w:bookmarkEnd w:id="1011"/>
      <w:bookmarkEnd w:id="1012"/>
      <w:bookmarkEnd w:id="1013"/>
    </w:p>
    <w:p w14:paraId="0F4A697A">
      <w:pPr>
        <w:outlineLvl w:val="9"/>
        <w:rPr>
          <w:rFonts w:hint="eastAsia" w:asciiTheme="minorEastAsia" w:hAnsiTheme="minorEastAsia" w:eastAsiaTheme="minorEastAsia" w:cstheme="minorEastAsia"/>
          <w:b w:val="0"/>
          <w:color w:val="auto"/>
          <w:sz w:val="24"/>
          <w:szCs w:val="24"/>
          <w:highlight w:val="none"/>
          <w:lang w:eastAsia="zh-CN"/>
        </w:rPr>
      </w:pPr>
      <w:bookmarkStart w:id="1014" w:name="_Toc11332861"/>
      <w:bookmarkStart w:id="1015" w:name="_Toc371398331"/>
      <w:bookmarkStart w:id="1016" w:name="_Toc61947431"/>
      <w:r>
        <w:rPr>
          <w:rFonts w:hint="eastAsia" w:asciiTheme="minorEastAsia" w:hAnsiTheme="minorEastAsia" w:eastAsiaTheme="minorEastAsia" w:cstheme="minorEastAsia"/>
          <w:color w:val="auto"/>
          <w:sz w:val="24"/>
          <w:szCs w:val="24"/>
          <w:highlight w:val="none"/>
          <w:lang w:eastAsia="zh-CN"/>
        </w:rPr>
        <w:t>7.1协商</w:t>
      </w:r>
      <w:bookmarkEnd w:id="1014"/>
      <w:bookmarkEnd w:id="1015"/>
      <w:bookmarkEnd w:id="1016"/>
    </w:p>
    <w:p w14:paraId="21A815F1">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双方应当本着诚信原则协商解决彼此间的争议。</w:t>
      </w:r>
    </w:p>
    <w:p w14:paraId="2176EB5C">
      <w:pPr>
        <w:outlineLvl w:val="9"/>
        <w:rPr>
          <w:rFonts w:hint="eastAsia" w:asciiTheme="minorEastAsia" w:hAnsiTheme="minorEastAsia" w:eastAsiaTheme="minorEastAsia" w:cstheme="minorEastAsia"/>
          <w:b w:val="0"/>
          <w:color w:val="auto"/>
          <w:sz w:val="24"/>
          <w:szCs w:val="24"/>
          <w:highlight w:val="none"/>
          <w:lang w:eastAsia="zh-CN"/>
        </w:rPr>
      </w:pPr>
      <w:bookmarkStart w:id="1017" w:name="_Toc61947432"/>
      <w:bookmarkStart w:id="1018" w:name="_Toc11332862"/>
      <w:bookmarkStart w:id="1019" w:name="_Toc371398332"/>
      <w:r>
        <w:rPr>
          <w:rFonts w:hint="eastAsia" w:asciiTheme="minorEastAsia" w:hAnsiTheme="minorEastAsia" w:eastAsiaTheme="minorEastAsia" w:cstheme="minorEastAsia"/>
          <w:color w:val="auto"/>
          <w:sz w:val="24"/>
          <w:szCs w:val="24"/>
          <w:highlight w:val="none"/>
          <w:lang w:eastAsia="zh-CN"/>
        </w:rPr>
        <w:t>7.2调解</w:t>
      </w:r>
      <w:bookmarkEnd w:id="1017"/>
      <w:bookmarkEnd w:id="1018"/>
      <w:bookmarkEnd w:id="1019"/>
    </w:p>
    <w:p w14:paraId="10A71D23">
      <w:pPr>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如果双方不能在14天内或双方商定的其他时间内解决合同争议，可以将其提交给合同专用条款约定的或事后达成协议选定的调解人进行调解。</w:t>
      </w:r>
    </w:p>
    <w:p w14:paraId="16BF1EAB">
      <w:pPr>
        <w:outlineLvl w:val="9"/>
        <w:rPr>
          <w:rFonts w:hint="eastAsia" w:asciiTheme="minorEastAsia" w:hAnsiTheme="minorEastAsia" w:eastAsiaTheme="minorEastAsia" w:cstheme="minorEastAsia"/>
          <w:b w:val="0"/>
          <w:color w:val="auto"/>
          <w:sz w:val="24"/>
          <w:szCs w:val="24"/>
          <w:highlight w:val="none"/>
          <w:lang w:eastAsia="zh-CN"/>
        </w:rPr>
      </w:pPr>
      <w:bookmarkStart w:id="1020" w:name="_Toc11332863"/>
      <w:bookmarkStart w:id="1021" w:name="_Toc371398333"/>
      <w:bookmarkStart w:id="1022" w:name="_Toc61947433"/>
      <w:r>
        <w:rPr>
          <w:rFonts w:hint="eastAsia" w:asciiTheme="minorEastAsia" w:hAnsiTheme="minorEastAsia" w:eastAsiaTheme="minorEastAsia" w:cstheme="minorEastAsia"/>
          <w:color w:val="auto"/>
          <w:sz w:val="24"/>
          <w:szCs w:val="24"/>
          <w:highlight w:val="none"/>
          <w:lang w:eastAsia="zh-CN"/>
        </w:rPr>
        <w:t>7.3仲裁或诉讼</w:t>
      </w:r>
      <w:bookmarkEnd w:id="1020"/>
      <w:bookmarkEnd w:id="1021"/>
      <w:bookmarkEnd w:id="1022"/>
    </w:p>
    <w:p w14:paraId="02F9D75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双方均有权不经调解直接向合同专用条款约定的仲裁机构申请仲裁或向有管辖权的人民法院提起诉讼。</w:t>
      </w:r>
    </w:p>
    <w:p w14:paraId="7D9D0C9D">
      <w:pPr>
        <w:rPr>
          <w:rFonts w:hint="eastAsia" w:asciiTheme="minorEastAsia" w:hAnsiTheme="minorEastAsia" w:eastAsiaTheme="minorEastAsia" w:cstheme="minorEastAsia"/>
          <w:color w:val="auto"/>
          <w:sz w:val="24"/>
          <w:szCs w:val="24"/>
          <w:highlight w:val="none"/>
          <w:lang w:eastAsia="zh-CN"/>
        </w:rPr>
      </w:pPr>
    </w:p>
    <w:p w14:paraId="4DC5B62E">
      <w:pPr>
        <w:pageBreakBefore/>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第三部分合同专用条款</w:t>
      </w:r>
    </w:p>
    <w:p w14:paraId="163612E9">
      <w:pPr>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D0FB88F">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23" w:name="_Toc371398132"/>
      <w:bookmarkStart w:id="1024" w:name="_Toc61947434"/>
      <w:bookmarkStart w:id="1025" w:name="_Toc11332864"/>
      <w:r>
        <w:rPr>
          <w:rFonts w:hint="eastAsia" w:asciiTheme="minorEastAsia" w:hAnsiTheme="minorEastAsia" w:eastAsiaTheme="minorEastAsia" w:cstheme="minorEastAsia"/>
          <w:color w:val="auto"/>
          <w:sz w:val="24"/>
          <w:szCs w:val="24"/>
          <w:highlight w:val="none"/>
          <w:lang w:eastAsia="zh-CN"/>
        </w:rPr>
        <w:t>1. 定义与解释</w:t>
      </w:r>
      <w:bookmarkEnd w:id="1023"/>
      <w:bookmarkEnd w:id="1024"/>
      <w:bookmarkEnd w:id="1025"/>
    </w:p>
    <w:p w14:paraId="3E266375">
      <w:pPr>
        <w:outlineLvl w:val="9"/>
        <w:rPr>
          <w:rFonts w:hint="eastAsia" w:asciiTheme="minorEastAsia" w:hAnsiTheme="minorEastAsia" w:eastAsiaTheme="minorEastAsia" w:cstheme="minorEastAsia"/>
          <w:b w:val="0"/>
          <w:color w:val="auto"/>
          <w:sz w:val="24"/>
          <w:szCs w:val="24"/>
          <w:highlight w:val="none"/>
          <w:lang w:eastAsia="zh-CN"/>
        </w:rPr>
      </w:pPr>
      <w:bookmarkStart w:id="1026" w:name="_Toc371398133"/>
      <w:bookmarkStart w:id="1027" w:name="_Toc11332865"/>
      <w:bookmarkStart w:id="1028" w:name="_Toc61947435"/>
      <w:r>
        <w:rPr>
          <w:rFonts w:hint="eastAsia" w:asciiTheme="minorEastAsia" w:hAnsiTheme="minorEastAsia" w:eastAsiaTheme="minorEastAsia" w:cstheme="minorEastAsia"/>
          <w:color w:val="auto"/>
          <w:sz w:val="24"/>
          <w:szCs w:val="24"/>
          <w:highlight w:val="none"/>
          <w:lang w:eastAsia="zh-CN"/>
        </w:rPr>
        <w:t>1.3 合同文件组成与解释顺序</w:t>
      </w:r>
      <w:bookmarkEnd w:id="1026"/>
      <w:bookmarkEnd w:id="1027"/>
      <w:bookmarkEnd w:id="1028"/>
    </w:p>
    <w:p w14:paraId="1D4E8646">
      <w:pPr>
        <w:adjustRightInd w:val="0"/>
        <w:snapToGrid w:val="0"/>
        <w:spacing w:line="360" w:lineRule="auto"/>
        <w:ind w:firstLine="540" w:firstLineChars="225"/>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1.3 组成合同文件的其他文件：</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2C77BB82">
      <w:pPr>
        <w:outlineLvl w:val="9"/>
        <w:rPr>
          <w:rFonts w:hint="eastAsia" w:asciiTheme="minorEastAsia" w:hAnsiTheme="minorEastAsia" w:eastAsiaTheme="minorEastAsia" w:cstheme="minorEastAsia"/>
          <w:b w:val="0"/>
          <w:color w:val="auto"/>
          <w:sz w:val="24"/>
          <w:szCs w:val="24"/>
          <w:highlight w:val="none"/>
          <w:lang w:eastAsia="zh-CN"/>
        </w:rPr>
      </w:pPr>
      <w:bookmarkStart w:id="1029" w:name="_Toc11332866"/>
      <w:bookmarkStart w:id="1030" w:name="_Toc371398134"/>
      <w:bookmarkStart w:id="1031" w:name="_Toc61947436"/>
      <w:r>
        <w:rPr>
          <w:rFonts w:hint="eastAsia" w:asciiTheme="minorEastAsia" w:hAnsiTheme="minorEastAsia" w:eastAsiaTheme="minorEastAsia" w:cstheme="minorEastAsia"/>
          <w:color w:val="auto"/>
          <w:sz w:val="24"/>
          <w:szCs w:val="24"/>
          <w:highlight w:val="none"/>
          <w:lang w:eastAsia="zh-CN"/>
        </w:rPr>
        <w:t>1.5 保密</w:t>
      </w:r>
      <w:bookmarkEnd w:id="1029"/>
      <w:bookmarkEnd w:id="1030"/>
      <w:bookmarkEnd w:id="1031"/>
    </w:p>
    <w:p w14:paraId="22903C3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委托人申明的保密事项和期限：</w:t>
      </w:r>
      <w:r>
        <w:rPr>
          <w:rFonts w:hint="eastAsia" w:asciiTheme="minorEastAsia" w:hAnsiTheme="minorEastAsia" w:eastAsiaTheme="minorEastAsia" w:cstheme="minorEastAsia"/>
          <w:color w:val="auto"/>
          <w:sz w:val="24"/>
          <w:szCs w:val="24"/>
          <w:highlight w:val="none"/>
          <w:u w:val="single"/>
          <w:lang w:eastAsia="zh-CN"/>
        </w:rPr>
        <w:t>　无　</w:t>
      </w:r>
    </w:p>
    <w:p w14:paraId="637795B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监理人申明的保密事项和期限：</w:t>
      </w:r>
      <w:r>
        <w:rPr>
          <w:rFonts w:hint="eastAsia" w:asciiTheme="minorEastAsia" w:hAnsiTheme="minorEastAsia" w:eastAsiaTheme="minorEastAsia" w:cstheme="minorEastAsia"/>
          <w:color w:val="auto"/>
          <w:sz w:val="24"/>
          <w:szCs w:val="24"/>
          <w:highlight w:val="none"/>
          <w:u w:val="single"/>
          <w:lang w:eastAsia="zh-CN"/>
        </w:rPr>
        <w:t>　　无　</w:t>
      </w:r>
    </w:p>
    <w:p w14:paraId="1435D2E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第三方申明的保密事项和期限：</w:t>
      </w:r>
      <w:r>
        <w:rPr>
          <w:rFonts w:hint="eastAsia" w:asciiTheme="minorEastAsia" w:hAnsiTheme="minorEastAsia" w:eastAsiaTheme="minorEastAsia" w:cstheme="minorEastAsia"/>
          <w:color w:val="auto"/>
          <w:sz w:val="24"/>
          <w:szCs w:val="24"/>
          <w:highlight w:val="none"/>
          <w:u w:val="single"/>
          <w:lang w:eastAsia="zh-CN"/>
        </w:rPr>
        <w:t>无</w:t>
      </w:r>
    </w:p>
    <w:p w14:paraId="1BEEAAAF">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32" w:name="_Toc11332867"/>
      <w:bookmarkStart w:id="1033" w:name="_Toc61947437"/>
      <w:bookmarkStart w:id="1034" w:name="_Toc371398135"/>
      <w:r>
        <w:rPr>
          <w:rFonts w:hint="eastAsia" w:asciiTheme="minorEastAsia" w:hAnsiTheme="minorEastAsia" w:eastAsiaTheme="minorEastAsia" w:cstheme="minorEastAsia"/>
          <w:color w:val="auto"/>
          <w:sz w:val="24"/>
          <w:szCs w:val="24"/>
          <w:highlight w:val="none"/>
          <w:lang w:eastAsia="zh-CN"/>
        </w:rPr>
        <w:t>2. 监理人义务</w:t>
      </w:r>
      <w:bookmarkEnd w:id="1032"/>
      <w:bookmarkEnd w:id="1033"/>
      <w:bookmarkEnd w:id="1034"/>
    </w:p>
    <w:p w14:paraId="045253EA">
      <w:pPr>
        <w:outlineLvl w:val="9"/>
        <w:rPr>
          <w:rFonts w:hint="eastAsia" w:asciiTheme="minorEastAsia" w:hAnsiTheme="minorEastAsia" w:eastAsiaTheme="minorEastAsia" w:cstheme="minorEastAsia"/>
          <w:b w:val="0"/>
          <w:color w:val="auto"/>
          <w:sz w:val="24"/>
          <w:szCs w:val="24"/>
          <w:highlight w:val="none"/>
          <w:lang w:eastAsia="zh-CN"/>
        </w:rPr>
      </w:pPr>
      <w:bookmarkStart w:id="1035" w:name="_Toc11332868"/>
      <w:bookmarkStart w:id="1036" w:name="_Toc61947438"/>
      <w:bookmarkStart w:id="1037" w:name="_Toc371398136"/>
      <w:r>
        <w:rPr>
          <w:rFonts w:hint="eastAsia" w:asciiTheme="minorEastAsia" w:hAnsiTheme="minorEastAsia" w:eastAsiaTheme="minorEastAsia" w:cstheme="minorEastAsia"/>
          <w:color w:val="auto"/>
          <w:sz w:val="24"/>
          <w:szCs w:val="24"/>
          <w:highlight w:val="none"/>
          <w:lang w:eastAsia="zh-CN"/>
        </w:rPr>
        <w:t>2.1 监理与相关服务的工程范围和服务内容</w:t>
      </w:r>
      <w:bookmarkEnd w:id="1035"/>
      <w:bookmarkEnd w:id="1036"/>
      <w:bookmarkEnd w:id="1037"/>
    </w:p>
    <w:p w14:paraId="7FDF930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2.1.1 监理与相关服务的工程范围包括：</w:t>
      </w:r>
      <w:r>
        <w:rPr>
          <w:rFonts w:hint="eastAsia" w:asciiTheme="minorEastAsia" w:hAnsiTheme="minorEastAsia" w:eastAsiaTheme="minorEastAsia" w:cstheme="minorEastAsia"/>
          <w:color w:val="auto"/>
          <w:sz w:val="24"/>
          <w:szCs w:val="24"/>
          <w:highlight w:val="none"/>
          <w:u w:val="single"/>
          <w:lang w:eastAsia="zh-CN"/>
        </w:rPr>
        <w:t>全过程监理</w:t>
      </w:r>
      <w:r>
        <w:rPr>
          <w:rFonts w:hint="eastAsia" w:asciiTheme="minorEastAsia" w:hAnsiTheme="minorEastAsia" w:eastAsiaTheme="minorEastAsia" w:cstheme="minorEastAsia"/>
          <w:color w:val="auto"/>
          <w:sz w:val="24"/>
          <w:szCs w:val="24"/>
          <w:highlight w:val="none"/>
          <w:lang w:eastAsia="zh-CN"/>
        </w:rPr>
        <w:t>。</w:t>
      </w:r>
    </w:p>
    <w:p w14:paraId="56BDECB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2.1.3.5 其他相关服务的内容：。</w:t>
      </w:r>
    </w:p>
    <w:p w14:paraId="5FF3305A">
      <w:pPr>
        <w:outlineLvl w:val="9"/>
        <w:rPr>
          <w:rFonts w:hint="eastAsia" w:asciiTheme="minorEastAsia" w:hAnsiTheme="minorEastAsia" w:eastAsiaTheme="minorEastAsia" w:cstheme="minorEastAsia"/>
          <w:b w:val="0"/>
          <w:color w:val="auto"/>
          <w:sz w:val="24"/>
          <w:szCs w:val="24"/>
          <w:highlight w:val="none"/>
          <w:lang w:eastAsia="zh-CN"/>
        </w:rPr>
      </w:pPr>
      <w:bookmarkStart w:id="1038" w:name="_Toc11332869"/>
      <w:bookmarkStart w:id="1039" w:name="_Toc61947439"/>
      <w:bookmarkStart w:id="1040" w:name="_Toc371398137"/>
      <w:r>
        <w:rPr>
          <w:rFonts w:hint="eastAsia" w:asciiTheme="minorEastAsia" w:hAnsiTheme="minorEastAsia" w:eastAsiaTheme="minorEastAsia" w:cstheme="minorEastAsia"/>
          <w:color w:val="auto"/>
          <w:sz w:val="24"/>
          <w:szCs w:val="24"/>
          <w:highlight w:val="none"/>
          <w:lang w:eastAsia="zh-CN"/>
        </w:rPr>
        <w:t>2.2 监理与相关服务依据</w:t>
      </w:r>
      <w:bookmarkEnd w:id="1038"/>
      <w:bookmarkEnd w:id="1039"/>
      <w:bookmarkEnd w:id="1040"/>
    </w:p>
    <w:p w14:paraId="752192E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2.2.1 监理依据：</w:t>
      </w:r>
      <w:r>
        <w:rPr>
          <w:rFonts w:hint="eastAsia" w:asciiTheme="minorEastAsia" w:hAnsiTheme="minorEastAsia" w:eastAsiaTheme="minorEastAsia" w:cstheme="minorEastAsia"/>
          <w:color w:val="auto"/>
          <w:sz w:val="24"/>
          <w:szCs w:val="24"/>
          <w:highlight w:val="none"/>
          <w:u w:val="single"/>
          <w:lang w:eastAsia="zh-CN"/>
        </w:rPr>
        <w:t>1、与养护相关的法律、法规；2《养护合同》及其他合同文件；3、现行的国家及地方各类技术标准、规范。</w:t>
      </w:r>
    </w:p>
    <w:p w14:paraId="4B5FA1B4">
      <w:pPr>
        <w:adjustRightInd w:val="0"/>
        <w:snapToGrid w:val="0"/>
        <w:spacing w:line="360" w:lineRule="auto"/>
        <w:ind w:firstLine="480" w:firstLineChars="200"/>
        <w:rPr>
          <w:rFonts w:hint="eastAsia" w:asciiTheme="minorEastAsia" w:hAnsiTheme="minorEastAsia" w:eastAsiaTheme="minorEastAsia" w:cstheme="minorEastAsia"/>
          <w:dstrike/>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2.2.2 相关服务依据：</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62ACCEC4">
      <w:pPr>
        <w:outlineLvl w:val="9"/>
        <w:rPr>
          <w:rFonts w:hint="eastAsia" w:asciiTheme="minorEastAsia" w:hAnsiTheme="minorEastAsia" w:eastAsiaTheme="minorEastAsia" w:cstheme="minorEastAsia"/>
          <w:b w:val="0"/>
          <w:color w:val="auto"/>
          <w:sz w:val="24"/>
          <w:szCs w:val="24"/>
          <w:highlight w:val="none"/>
          <w:lang w:eastAsia="zh-CN"/>
        </w:rPr>
      </w:pPr>
      <w:bookmarkStart w:id="1041" w:name="_Toc61947440"/>
      <w:bookmarkStart w:id="1042" w:name="_Toc371398138"/>
      <w:bookmarkStart w:id="1043" w:name="_Toc11332870"/>
      <w:r>
        <w:rPr>
          <w:rFonts w:hint="eastAsia" w:asciiTheme="minorEastAsia" w:hAnsiTheme="minorEastAsia" w:eastAsiaTheme="minorEastAsia" w:cstheme="minorEastAsia"/>
          <w:color w:val="auto"/>
          <w:sz w:val="24"/>
          <w:szCs w:val="24"/>
          <w:highlight w:val="none"/>
          <w:lang w:eastAsia="zh-CN"/>
        </w:rPr>
        <w:t>2.3 项目监理与相关服务机构和人员</w:t>
      </w:r>
      <w:bookmarkEnd w:id="1041"/>
      <w:bookmarkEnd w:id="1042"/>
      <w:bookmarkEnd w:id="1043"/>
    </w:p>
    <w:p w14:paraId="0C3CAD63">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2.3.4 更换监理人员的其他情形：</w:t>
      </w:r>
      <w:r>
        <w:rPr>
          <w:rFonts w:hint="eastAsia" w:asciiTheme="minorEastAsia" w:hAnsiTheme="minorEastAsia" w:eastAsiaTheme="minorEastAsia" w:cstheme="minorEastAsia"/>
          <w:color w:val="auto"/>
          <w:sz w:val="24"/>
          <w:szCs w:val="24"/>
          <w:highlight w:val="none"/>
          <w:u w:val="single"/>
          <w:lang w:eastAsia="zh-CN"/>
        </w:rPr>
        <w:t>/。</w:t>
      </w:r>
    </w:p>
    <w:p w14:paraId="0798743A">
      <w:pPr>
        <w:outlineLvl w:val="9"/>
        <w:rPr>
          <w:rFonts w:hint="eastAsia" w:asciiTheme="minorEastAsia" w:hAnsiTheme="minorEastAsia" w:eastAsiaTheme="minorEastAsia" w:cstheme="minorEastAsia"/>
          <w:b w:val="0"/>
          <w:color w:val="auto"/>
          <w:sz w:val="24"/>
          <w:szCs w:val="24"/>
          <w:highlight w:val="none"/>
          <w:lang w:eastAsia="zh-CN"/>
        </w:rPr>
      </w:pPr>
      <w:bookmarkStart w:id="1044" w:name="_Toc371398139"/>
      <w:bookmarkStart w:id="1045" w:name="_Toc61947441"/>
      <w:bookmarkStart w:id="1046" w:name="_Toc11332871"/>
      <w:r>
        <w:rPr>
          <w:rFonts w:hint="eastAsia" w:asciiTheme="minorEastAsia" w:hAnsiTheme="minorEastAsia" w:eastAsiaTheme="minorEastAsia" w:cstheme="minorEastAsia"/>
          <w:color w:val="auto"/>
          <w:sz w:val="24"/>
          <w:szCs w:val="24"/>
          <w:highlight w:val="none"/>
          <w:lang w:eastAsia="zh-CN"/>
        </w:rPr>
        <w:t>2.4 履行职责</w:t>
      </w:r>
      <w:bookmarkEnd w:id="1044"/>
      <w:bookmarkEnd w:id="1045"/>
      <w:bookmarkEnd w:id="1046"/>
    </w:p>
    <w:p w14:paraId="05C4FC06">
      <w:pPr>
        <w:adjustRightInd w:val="0"/>
        <w:snapToGrid w:val="0"/>
        <w:spacing w:line="360" w:lineRule="auto"/>
        <w:ind w:left="315" w:hanging="360" w:hangingChars="150"/>
        <w:rPr>
          <w:rFonts w:hint="eastAsia" w:asciiTheme="minorEastAsia" w:hAnsiTheme="minorEastAsia" w:eastAsiaTheme="minorEastAsia" w:cstheme="minorEastAsia"/>
          <w:color w:val="auto"/>
          <w:sz w:val="24"/>
          <w:szCs w:val="24"/>
          <w:highlight w:val="none"/>
          <w:lang w:eastAsia="zh-CN"/>
        </w:rPr>
      </w:pPr>
      <w:bookmarkStart w:id="1047" w:name="_Toc343092723"/>
      <w:r>
        <w:rPr>
          <w:rFonts w:hint="eastAsia" w:asciiTheme="minorEastAsia" w:hAnsiTheme="minorEastAsia" w:eastAsiaTheme="minorEastAsia" w:cstheme="minorEastAsia"/>
          <w:color w:val="auto"/>
          <w:sz w:val="24"/>
          <w:szCs w:val="24"/>
          <w:highlight w:val="none"/>
          <w:lang w:eastAsia="zh-CN"/>
        </w:rPr>
        <w:t>2.4.3 对监理人的授权范围：</w:t>
      </w:r>
      <w:bookmarkEnd w:id="1047"/>
      <w:r>
        <w:rPr>
          <w:rFonts w:hint="eastAsia" w:asciiTheme="minorEastAsia" w:hAnsiTheme="minorEastAsia" w:eastAsiaTheme="minorEastAsia" w:cstheme="minorEastAsia"/>
          <w:color w:val="auto"/>
          <w:sz w:val="24"/>
          <w:szCs w:val="24"/>
          <w:highlight w:val="none"/>
          <w:u w:val="single"/>
          <w:lang w:eastAsia="zh-CN"/>
        </w:rPr>
        <w:t>包括投资控制、质量控制、进度控制；合同管理、信息管理、安全管理；项目内部关系协调</w:t>
      </w:r>
      <w:r>
        <w:rPr>
          <w:rFonts w:hint="eastAsia" w:asciiTheme="minorEastAsia" w:hAnsiTheme="minorEastAsia" w:eastAsiaTheme="minorEastAsia" w:cstheme="minorEastAsia"/>
          <w:color w:val="auto"/>
          <w:sz w:val="24"/>
          <w:szCs w:val="24"/>
          <w:highlight w:val="none"/>
          <w:lang w:eastAsia="zh-CN"/>
        </w:rPr>
        <w:t>。</w:t>
      </w:r>
    </w:p>
    <w:p w14:paraId="0EB6B49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在涉及工程延期</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天内和（或）金额</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万元内的变更，监理人不需请示委托人即可向承包人发布变更通知。</w:t>
      </w:r>
    </w:p>
    <w:p w14:paraId="2A6964E8">
      <w:pPr>
        <w:outlineLvl w:val="9"/>
        <w:rPr>
          <w:rFonts w:hint="eastAsia" w:asciiTheme="minorEastAsia" w:hAnsiTheme="minorEastAsia" w:eastAsiaTheme="minorEastAsia" w:cstheme="minorEastAsia"/>
          <w:b w:val="0"/>
          <w:color w:val="auto"/>
          <w:sz w:val="24"/>
          <w:szCs w:val="24"/>
          <w:highlight w:val="none"/>
          <w:lang w:eastAsia="zh-CN"/>
        </w:rPr>
      </w:pPr>
      <w:bookmarkStart w:id="1048" w:name="_Toc61947442"/>
      <w:bookmarkStart w:id="1049" w:name="_Toc11332872"/>
      <w:bookmarkStart w:id="1050" w:name="_Toc371398140"/>
      <w:r>
        <w:rPr>
          <w:rFonts w:hint="eastAsia" w:asciiTheme="minorEastAsia" w:hAnsiTheme="minorEastAsia" w:eastAsiaTheme="minorEastAsia" w:cstheme="minorEastAsia"/>
          <w:color w:val="auto"/>
          <w:sz w:val="24"/>
          <w:szCs w:val="24"/>
          <w:highlight w:val="none"/>
          <w:lang w:eastAsia="zh-CN"/>
        </w:rPr>
        <w:t>2.7 提交报告</w:t>
      </w:r>
      <w:bookmarkEnd w:id="1048"/>
      <w:bookmarkEnd w:id="1049"/>
      <w:bookmarkEnd w:id="1050"/>
    </w:p>
    <w:p w14:paraId="61344080">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监理人应当提交报告的种类（包括监理规划、监理月报及约定的专项报告）、时间和份数：</w:t>
      </w:r>
      <w:r>
        <w:rPr>
          <w:rFonts w:hint="eastAsia" w:asciiTheme="minorEastAsia" w:hAnsiTheme="minorEastAsia" w:eastAsiaTheme="minorEastAsia" w:cstheme="minorEastAsia"/>
          <w:color w:val="auto"/>
          <w:sz w:val="24"/>
          <w:szCs w:val="24"/>
          <w:highlight w:val="none"/>
          <w:u w:val="single"/>
          <w:lang w:eastAsia="zh-CN"/>
        </w:rPr>
        <w:t>监理机构进场后10日内提交监理规划，每月25日前提交监理月报，其他提交时点及监理报告具体份数根据工程特点由甲乙双方协定。</w:t>
      </w:r>
    </w:p>
    <w:p w14:paraId="7890C90F">
      <w:pPr>
        <w:outlineLvl w:val="9"/>
        <w:rPr>
          <w:rFonts w:hint="eastAsia" w:asciiTheme="minorEastAsia" w:hAnsiTheme="minorEastAsia" w:eastAsiaTheme="minorEastAsia" w:cstheme="minorEastAsia"/>
          <w:b w:val="0"/>
          <w:color w:val="auto"/>
          <w:sz w:val="24"/>
          <w:szCs w:val="24"/>
          <w:highlight w:val="none"/>
          <w:lang w:eastAsia="zh-CN"/>
        </w:rPr>
      </w:pPr>
      <w:bookmarkStart w:id="1051" w:name="_Toc61947443"/>
      <w:bookmarkStart w:id="1052" w:name="_Toc11332873"/>
      <w:bookmarkStart w:id="1053" w:name="_Toc371398141"/>
      <w:r>
        <w:rPr>
          <w:rFonts w:hint="eastAsia" w:asciiTheme="minorEastAsia" w:hAnsiTheme="minorEastAsia" w:eastAsiaTheme="minorEastAsia" w:cstheme="minorEastAsia"/>
          <w:color w:val="auto"/>
          <w:sz w:val="24"/>
          <w:szCs w:val="24"/>
          <w:highlight w:val="none"/>
          <w:lang w:eastAsia="zh-CN"/>
        </w:rPr>
        <w:t>2.9 使用委托人的财产</w:t>
      </w:r>
      <w:bookmarkEnd w:id="1051"/>
      <w:bookmarkEnd w:id="1052"/>
      <w:bookmarkEnd w:id="1053"/>
    </w:p>
    <w:p w14:paraId="40FBE646">
      <w:pPr>
        <w:snapToGrid w:val="0"/>
        <w:spacing w:line="360" w:lineRule="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委托人提供的人员、房屋、设备、设施：</w:t>
      </w:r>
      <w:r>
        <w:rPr>
          <w:rFonts w:hint="eastAsia" w:asciiTheme="minorEastAsia" w:hAnsiTheme="minorEastAsia" w:eastAsiaTheme="minorEastAsia" w:cstheme="minorEastAsia"/>
          <w:color w:val="auto"/>
          <w:sz w:val="24"/>
          <w:szCs w:val="24"/>
          <w:highlight w:val="none"/>
          <w:u w:val="single"/>
          <w:lang w:eastAsia="zh-CN"/>
        </w:rPr>
        <w:t>由双方商定</w:t>
      </w:r>
      <w:r>
        <w:rPr>
          <w:rFonts w:hint="eastAsia" w:asciiTheme="minorEastAsia" w:hAnsiTheme="minorEastAsia" w:eastAsiaTheme="minorEastAsia" w:cstheme="minorEastAsia"/>
          <w:color w:val="auto"/>
          <w:sz w:val="24"/>
          <w:szCs w:val="24"/>
          <w:highlight w:val="none"/>
          <w:lang w:eastAsia="zh-CN"/>
        </w:rPr>
        <w:t>。</w:t>
      </w:r>
    </w:p>
    <w:p w14:paraId="0870EC21">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由委托人提供的房屋、设备、设施的所有权属于：</w:t>
      </w:r>
      <w:r>
        <w:rPr>
          <w:rFonts w:hint="eastAsia" w:asciiTheme="minorEastAsia" w:hAnsiTheme="minorEastAsia" w:eastAsiaTheme="minorEastAsia" w:cstheme="minorEastAsia"/>
          <w:color w:val="auto"/>
          <w:sz w:val="24"/>
          <w:szCs w:val="24"/>
          <w:highlight w:val="none"/>
          <w:u w:val="single"/>
          <w:lang w:eastAsia="zh-CN"/>
        </w:rPr>
        <w:t>委托人</w:t>
      </w:r>
      <w:r>
        <w:rPr>
          <w:rFonts w:hint="eastAsia" w:asciiTheme="minorEastAsia" w:hAnsiTheme="minorEastAsia" w:eastAsiaTheme="minorEastAsia" w:cstheme="minorEastAsia"/>
          <w:color w:val="auto"/>
          <w:sz w:val="24"/>
          <w:szCs w:val="24"/>
          <w:highlight w:val="none"/>
          <w:lang w:eastAsia="zh-CN"/>
        </w:rPr>
        <w:t>。</w:t>
      </w:r>
    </w:p>
    <w:p w14:paraId="53C96BC1">
      <w:pPr>
        <w:adjustRightInd w:val="0"/>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在合同终止后，监理人应当在</w:t>
      </w:r>
      <w:r>
        <w:rPr>
          <w:rFonts w:hint="eastAsia" w:asciiTheme="minorEastAsia" w:hAnsiTheme="minorEastAsia" w:eastAsiaTheme="minorEastAsia" w:cstheme="minorEastAsia"/>
          <w:color w:val="auto"/>
          <w:sz w:val="24"/>
          <w:szCs w:val="24"/>
          <w:highlight w:val="none"/>
          <w:u w:val="single"/>
          <w:lang w:eastAsia="zh-CN"/>
        </w:rPr>
        <w:t>15</w:t>
      </w:r>
      <w:r>
        <w:rPr>
          <w:rFonts w:hint="eastAsia" w:asciiTheme="minorEastAsia" w:hAnsiTheme="minorEastAsia" w:eastAsiaTheme="minorEastAsia" w:cstheme="minorEastAsia"/>
          <w:color w:val="auto"/>
          <w:sz w:val="24"/>
          <w:szCs w:val="24"/>
          <w:highlight w:val="none"/>
          <w:lang w:eastAsia="zh-CN"/>
        </w:rPr>
        <w:t>天内移交委托人免费提供的设备、设施，移交的方式和时间为：</w:t>
      </w:r>
      <w:r>
        <w:rPr>
          <w:rFonts w:hint="eastAsia" w:asciiTheme="minorEastAsia" w:hAnsiTheme="minorEastAsia" w:eastAsiaTheme="minorEastAsia" w:cstheme="minorEastAsia"/>
          <w:color w:val="auto"/>
          <w:sz w:val="24"/>
          <w:szCs w:val="24"/>
          <w:highlight w:val="none"/>
          <w:u w:val="single"/>
          <w:lang w:eastAsia="zh-CN"/>
        </w:rPr>
        <w:t>双方当面清点移交</w:t>
      </w:r>
      <w:r>
        <w:rPr>
          <w:rFonts w:hint="eastAsia" w:asciiTheme="minorEastAsia" w:hAnsiTheme="minorEastAsia" w:eastAsiaTheme="minorEastAsia" w:cstheme="minorEastAsia"/>
          <w:color w:val="auto"/>
          <w:sz w:val="24"/>
          <w:szCs w:val="24"/>
          <w:highlight w:val="none"/>
          <w:lang w:eastAsia="zh-CN"/>
        </w:rPr>
        <w:t>。</w:t>
      </w:r>
    </w:p>
    <w:p w14:paraId="0D0E182C">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54" w:name="_Toc61947444"/>
      <w:bookmarkStart w:id="1055" w:name="_Toc371398142"/>
      <w:bookmarkStart w:id="1056" w:name="_Toc11332874"/>
      <w:r>
        <w:rPr>
          <w:rFonts w:hint="eastAsia" w:asciiTheme="minorEastAsia" w:hAnsiTheme="minorEastAsia" w:eastAsiaTheme="minorEastAsia" w:cstheme="minorEastAsia"/>
          <w:color w:val="auto"/>
          <w:sz w:val="24"/>
          <w:szCs w:val="24"/>
          <w:highlight w:val="none"/>
          <w:lang w:eastAsia="zh-CN"/>
        </w:rPr>
        <w:t>3. 委托人义务</w:t>
      </w:r>
      <w:bookmarkEnd w:id="1054"/>
      <w:bookmarkEnd w:id="1055"/>
      <w:bookmarkEnd w:id="1056"/>
    </w:p>
    <w:p w14:paraId="3FD47011">
      <w:pPr>
        <w:outlineLvl w:val="9"/>
        <w:rPr>
          <w:rFonts w:hint="eastAsia" w:asciiTheme="minorEastAsia" w:hAnsiTheme="minorEastAsia" w:eastAsiaTheme="minorEastAsia" w:cstheme="minorEastAsia"/>
          <w:b w:val="0"/>
          <w:color w:val="auto"/>
          <w:sz w:val="24"/>
          <w:szCs w:val="24"/>
          <w:highlight w:val="none"/>
          <w:lang w:eastAsia="zh-CN"/>
        </w:rPr>
      </w:pPr>
      <w:bookmarkStart w:id="1057" w:name="_Toc11332875"/>
      <w:bookmarkStart w:id="1058" w:name="_Toc61947445"/>
      <w:r>
        <w:rPr>
          <w:rFonts w:hint="eastAsia" w:asciiTheme="minorEastAsia" w:hAnsiTheme="minorEastAsia" w:eastAsiaTheme="minorEastAsia" w:cstheme="minorEastAsia"/>
          <w:color w:val="auto"/>
          <w:sz w:val="24"/>
          <w:szCs w:val="24"/>
          <w:highlight w:val="none"/>
          <w:lang w:eastAsia="zh-CN"/>
        </w:rPr>
        <w:t>3.2 提供资料</w:t>
      </w:r>
      <w:bookmarkEnd w:id="1057"/>
      <w:bookmarkEnd w:id="1058"/>
    </w:p>
    <w:p w14:paraId="1F2DD5CB">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委托人免费向监理人提供与工程有关的资料：</w:t>
      </w:r>
      <w:r>
        <w:rPr>
          <w:rFonts w:hint="eastAsia" w:asciiTheme="minorEastAsia" w:hAnsiTheme="minorEastAsia" w:eastAsiaTheme="minorEastAsia" w:cstheme="minorEastAsia"/>
          <w:color w:val="auto"/>
          <w:sz w:val="24"/>
          <w:szCs w:val="24"/>
          <w:highlight w:val="none"/>
          <w:u w:val="single"/>
          <w:lang w:eastAsia="zh-CN"/>
        </w:rPr>
        <w:t>根据工作实际需要。</w:t>
      </w:r>
    </w:p>
    <w:p w14:paraId="7D19195E">
      <w:pPr>
        <w:outlineLvl w:val="9"/>
        <w:rPr>
          <w:rFonts w:hint="eastAsia" w:asciiTheme="minorEastAsia" w:hAnsiTheme="minorEastAsia" w:eastAsiaTheme="minorEastAsia" w:cstheme="minorEastAsia"/>
          <w:b w:val="0"/>
          <w:color w:val="auto"/>
          <w:sz w:val="24"/>
          <w:szCs w:val="24"/>
          <w:highlight w:val="none"/>
          <w:lang w:eastAsia="zh-CN"/>
        </w:rPr>
      </w:pPr>
      <w:bookmarkStart w:id="1059" w:name="_Toc371398143"/>
      <w:bookmarkStart w:id="1060" w:name="_Toc61947446"/>
      <w:bookmarkStart w:id="1061" w:name="_Toc11332876"/>
      <w:r>
        <w:rPr>
          <w:rFonts w:hint="eastAsia" w:asciiTheme="minorEastAsia" w:hAnsiTheme="minorEastAsia" w:eastAsiaTheme="minorEastAsia" w:cstheme="minorEastAsia"/>
          <w:color w:val="auto"/>
          <w:sz w:val="24"/>
          <w:szCs w:val="24"/>
          <w:highlight w:val="none"/>
          <w:lang w:eastAsia="zh-CN"/>
        </w:rPr>
        <w:t>3.4 委托人代表</w:t>
      </w:r>
      <w:bookmarkEnd w:id="1059"/>
      <w:bookmarkEnd w:id="1060"/>
      <w:bookmarkEnd w:id="1061"/>
    </w:p>
    <w:p w14:paraId="4312FF5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委托人代表为：。</w:t>
      </w:r>
    </w:p>
    <w:p w14:paraId="5261972C">
      <w:pPr>
        <w:outlineLvl w:val="9"/>
        <w:rPr>
          <w:rFonts w:hint="eastAsia" w:asciiTheme="minorEastAsia" w:hAnsiTheme="minorEastAsia" w:eastAsiaTheme="minorEastAsia" w:cstheme="minorEastAsia"/>
          <w:b w:val="0"/>
          <w:color w:val="auto"/>
          <w:sz w:val="24"/>
          <w:szCs w:val="24"/>
          <w:highlight w:val="none"/>
          <w:lang w:eastAsia="zh-CN"/>
        </w:rPr>
      </w:pPr>
      <w:bookmarkStart w:id="1062" w:name="_Toc61947447"/>
      <w:bookmarkStart w:id="1063" w:name="_Toc371398144"/>
      <w:bookmarkStart w:id="1064" w:name="_Toc11332877"/>
      <w:r>
        <w:rPr>
          <w:rFonts w:hint="eastAsia" w:asciiTheme="minorEastAsia" w:hAnsiTheme="minorEastAsia" w:eastAsiaTheme="minorEastAsia" w:cstheme="minorEastAsia"/>
          <w:color w:val="auto"/>
          <w:sz w:val="24"/>
          <w:szCs w:val="24"/>
          <w:highlight w:val="none"/>
          <w:lang w:eastAsia="zh-CN"/>
        </w:rPr>
        <w:t>3.6 答复</w:t>
      </w:r>
      <w:bookmarkEnd w:id="1062"/>
      <w:bookmarkEnd w:id="1063"/>
      <w:bookmarkEnd w:id="1064"/>
    </w:p>
    <w:p w14:paraId="2700713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委托人同意在</w:t>
      </w:r>
      <w:r>
        <w:rPr>
          <w:rFonts w:hint="eastAsia" w:asciiTheme="minorEastAsia" w:hAnsiTheme="minorEastAsia" w:eastAsiaTheme="minorEastAsia" w:cstheme="minorEastAsia"/>
          <w:color w:val="auto"/>
          <w:sz w:val="24"/>
          <w:szCs w:val="24"/>
          <w:highlight w:val="none"/>
          <w:u w:val="single"/>
          <w:lang w:eastAsia="zh-CN"/>
        </w:rPr>
        <w:t>14</w:t>
      </w:r>
      <w:r>
        <w:rPr>
          <w:rFonts w:hint="eastAsia" w:asciiTheme="minorEastAsia" w:hAnsiTheme="minorEastAsia" w:eastAsiaTheme="minorEastAsia" w:cstheme="minorEastAsia"/>
          <w:color w:val="auto"/>
          <w:sz w:val="24"/>
          <w:szCs w:val="24"/>
          <w:highlight w:val="none"/>
          <w:lang w:eastAsia="zh-CN"/>
        </w:rPr>
        <w:t>天内，对监理人书面提交并要求作出决定的事宜给予书面答复。</w:t>
      </w:r>
    </w:p>
    <w:p w14:paraId="68B3277A">
      <w:pPr>
        <w:outlineLvl w:val="9"/>
        <w:rPr>
          <w:rFonts w:hint="eastAsia" w:asciiTheme="minorEastAsia" w:hAnsiTheme="minorEastAsia" w:eastAsiaTheme="minorEastAsia" w:cstheme="minorEastAsia"/>
          <w:b w:val="0"/>
          <w:color w:val="auto"/>
          <w:sz w:val="24"/>
          <w:szCs w:val="24"/>
          <w:highlight w:val="none"/>
          <w:lang w:eastAsia="zh-CN"/>
        </w:rPr>
      </w:pPr>
      <w:bookmarkStart w:id="1065" w:name="_Toc11332878"/>
      <w:bookmarkStart w:id="1066" w:name="_Toc371398145"/>
      <w:bookmarkStart w:id="1067" w:name="_Toc61947448"/>
      <w:r>
        <w:rPr>
          <w:rFonts w:hint="eastAsia" w:asciiTheme="minorEastAsia" w:hAnsiTheme="minorEastAsia" w:eastAsiaTheme="minorEastAsia" w:cstheme="minorEastAsia"/>
          <w:color w:val="auto"/>
          <w:sz w:val="24"/>
          <w:szCs w:val="24"/>
          <w:highlight w:val="none"/>
          <w:lang w:eastAsia="zh-CN"/>
        </w:rPr>
        <w:t>3.8 合理化建议的奖励</w:t>
      </w:r>
      <w:bookmarkEnd w:id="1065"/>
      <w:bookmarkEnd w:id="1066"/>
      <w:bookmarkEnd w:id="1067"/>
    </w:p>
    <w:p w14:paraId="0BCFC7D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监理人提出合理化建议的奖励金额按下列方法确定：</w:t>
      </w:r>
    </w:p>
    <w:p w14:paraId="69580293">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奖励金额＝工程投资节省额×奖励金额的比率；</w:t>
      </w:r>
    </w:p>
    <w:p w14:paraId="03E645E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奖励金额的比率为</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2EFD124E">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68" w:name="_Toc61947449"/>
      <w:bookmarkStart w:id="1069" w:name="_Toc371398146"/>
      <w:bookmarkStart w:id="1070" w:name="_Toc11332879"/>
      <w:r>
        <w:rPr>
          <w:rFonts w:hint="eastAsia" w:asciiTheme="minorEastAsia" w:hAnsiTheme="minorEastAsia" w:eastAsiaTheme="minorEastAsia" w:cstheme="minorEastAsia"/>
          <w:color w:val="auto"/>
          <w:sz w:val="24"/>
          <w:szCs w:val="24"/>
          <w:highlight w:val="none"/>
          <w:lang w:eastAsia="zh-CN"/>
        </w:rPr>
        <w:t>4. 违约</w:t>
      </w:r>
      <w:bookmarkEnd w:id="1068"/>
      <w:bookmarkEnd w:id="1069"/>
      <w:bookmarkEnd w:id="1070"/>
    </w:p>
    <w:p w14:paraId="2A9B2F80">
      <w:pPr>
        <w:outlineLvl w:val="9"/>
        <w:rPr>
          <w:rFonts w:hint="eastAsia" w:asciiTheme="minorEastAsia" w:hAnsiTheme="minorEastAsia" w:eastAsiaTheme="minorEastAsia" w:cstheme="minorEastAsia"/>
          <w:b w:val="0"/>
          <w:color w:val="auto"/>
          <w:sz w:val="24"/>
          <w:szCs w:val="24"/>
          <w:highlight w:val="none"/>
          <w:lang w:eastAsia="zh-CN"/>
        </w:rPr>
      </w:pPr>
      <w:bookmarkStart w:id="1071" w:name="_Toc11332880"/>
      <w:bookmarkStart w:id="1072" w:name="_Toc371398147"/>
      <w:bookmarkStart w:id="1073" w:name="_Toc61947450"/>
      <w:r>
        <w:rPr>
          <w:rFonts w:hint="eastAsia" w:asciiTheme="minorEastAsia" w:hAnsiTheme="minorEastAsia" w:eastAsiaTheme="minorEastAsia" w:cstheme="minorEastAsia"/>
          <w:color w:val="auto"/>
          <w:sz w:val="24"/>
          <w:szCs w:val="24"/>
          <w:highlight w:val="none"/>
          <w:lang w:eastAsia="zh-CN"/>
        </w:rPr>
        <w:t>4.1 监理人的违约</w:t>
      </w:r>
      <w:bookmarkEnd w:id="1071"/>
      <w:bookmarkEnd w:id="1072"/>
      <w:bookmarkEnd w:id="1073"/>
    </w:p>
    <w:p w14:paraId="5CF36AB4">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4.1.1.3 监理人违约的其他情形：</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4E1183F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4.1.2.2监理人赔偿金额按下列方法确定：</w:t>
      </w:r>
      <w:r>
        <w:rPr>
          <w:rFonts w:hint="eastAsia" w:asciiTheme="minorEastAsia" w:hAnsiTheme="minorEastAsia" w:eastAsiaTheme="minorEastAsia" w:cstheme="minorEastAsia"/>
          <w:color w:val="auto"/>
          <w:sz w:val="24"/>
          <w:szCs w:val="24"/>
          <w:highlight w:val="none"/>
          <w:u w:val="single"/>
          <w:lang w:eastAsia="zh-CN"/>
        </w:rPr>
        <w:t>无。</w:t>
      </w:r>
    </w:p>
    <w:p w14:paraId="558787DB">
      <w:pPr>
        <w:outlineLvl w:val="9"/>
        <w:rPr>
          <w:rFonts w:hint="eastAsia" w:asciiTheme="minorEastAsia" w:hAnsiTheme="minorEastAsia" w:eastAsiaTheme="minorEastAsia" w:cstheme="minorEastAsia"/>
          <w:b w:val="0"/>
          <w:color w:val="auto"/>
          <w:sz w:val="24"/>
          <w:szCs w:val="24"/>
          <w:highlight w:val="none"/>
          <w:lang w:eastAsia="zh-CN"/>
        </w:rPr>
      </w:pPr>
      <w:bookmarkStart w:id="1074" w:name="_Toc61947451"/>
      <w:bookmarkStart w:id="1075" w:name="_Toc11332881"/>
      <w:bookmarkStart w:id="1076" w:name="_Toc371398148"/>
      <w:r>
        <w:rPr>
          <w:rFonts w:hint="eastAsia" w:asciiTheme="minorEastAsia" w:hAnsiTheme="minorEastAsia" w:eastAsiaTheme="minorEastAsia" w:cstheme="minorEastAsia"/>
          <w:color w:val="auto"/>
          <w:sz w:val="24"/>
          <w:szCs w:val="24"/>
          <w:highlight w:val="none"/>
          <w:lang w:eastAsia="zh-CN"/>
        </w:rPr>
        <w:t>4.2 委托人的违约</w:t>
      </w:r>
      <w:bookmarkEnd w:id="1074"/>
      <w:bookmarkEnd w:id="1075"/>
      <w:bookmarkEnd w:id="1076"/>
    </w:p>
    <w:p w14:paraId="0519AD25">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4.2.1.3 委托人违约的其他情形：</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p>
    <w:p w14:paraId="479B7407">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4.2.2.1 委托人赔偿金额按下列方法确定：</w:t>
      </w:r>
      <w:r>
        <w:rPr>
          <w:rFonts w:hint="eastAsia" w:asciiTheme="minorEastAsia" w:hAnsiTheme="minorEastAsia" w:eastAsiaTheme="minorEastAsia" w:cstheme="minorEastAsia"/>
          <w:color w:val="auto"/>
          <w:sz w:val="24"/>
          <w:szCs w:val="24"/>
          <w:highlight w:val="none"/>
          <w:u w:val="single"/>
          <w:lang w:eastAsia="zh-CN"/>
        </w:rPr>
        <w:t>无</w:t>
      </w:r>
      <w:r>
        <w:rPr>
          <w:rFonts w:hint="eastAsia" w:asciiTheme="minorEastAsia" w:hAnsiTheme="minorEastAsia" w:eastAsiaTheme="minorEastAsia" w:cstheme="minorEastAsia"/>
          <w:color w:val="auto"/>
          <w:sz w:val="24"/>
          <w:szCs w:val="24"/>
          <w:highlight w:val="none"/>
          <w:lang w:eastAsia="zh-CN"/>
        </w:rPr>
        <w:t>。</w:t>
      </w:r>
      <w:bookmarkStart w:id="1077" w:name="_Toc371398149"/>
    </w:p>
    <w:p w14:paraId="541C8D6B">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78" w:name="_Toc11332882"/>
      <w:bookmarkStart w:id="1079" w:name="_Toc61947452"/>
      <w:r>
        <w:rPr>
          <w:rFonts w:hint="eastAsia" w:asciiTheme="minorEastAsia" w:hAnsiTheme="minorEastAsia" w:eastAsiaTheme="minorEastAsia" w:cstheme="minorEastAsia"/>
          <w:color w:val="auto"/>
          <w:sz w:val="24"/>
          <w:szCs w:val="24"/>
          <w:highlight w:val="none"/>
          <w:lang w:eastAsia="zh-CN"/>
        </w:rPr>
        <w:t>5. 支付</w:t>
      </w:r>
      <w:bookmarkEnd w:id="1077"/>
      <w:bookmarkEnd w:id="1078"/>
      <w:bookmarkEnd w:id="1079"/>
    </w:p>
    <w:p w14:paraId="3FFE6A23">
      <w:pPr>
        <w:outlineLvl w:val="9"/>
        <w:rPr>
          <w:rFonts w:hint="eastAsia" w:asciiTheme="minorEastAsia" w:hAnsiTheme="minorEastAsia" w:eastAsiaTheme="minorEastAsia" w:cstheme="minorEastAsia"/>
          <w:b w:val="0"/>
          <w:color w:val="auto"/>
          <w:sz w:val="24"/>
          <w:szCs w:val="24"/>
          <w:highlight w:val="none"/>
          <w:lang w:eastAsia="zh-CN"/>
        </w:rPr>
      </w:pPr>
      <w:bookmarkStart w:id="1080" w:name="_Toc371398150"/>
      <w:bookmarkStart w:id="1081" w:name="_Toc11332883"/>
      <w:bookmarkStart w:id="1082" w:name="_Toc61947453"/>
      <w:r>
        <w:rPr>
          <w:rFonts w:hint="eastAsia" w:asciiTheme="minorEastAsia" w:hAnsiTheme="minorEastAsia" w:eastAsiaTheme="minorEastAsia" w:cstheme="minorEastAsia"/>
          <w:color w:val="auto"/>
          <w:sz w:val="24"/>
          <w:szCs w:val="24"/>
          <w:highlight w:val="none"/>
          <w:lang w:eastAsia="zh-CN"/>
        </w:rPr>
        <w:t xml:space="preserve">5.3 </w:t>
      </w:r>
      <w:bookmarkEnd w:id="1080"/>
      <w:r>
        <w:rPr>
          <w:rFonts w:hint="eastAsia" w:asciiTheme="minorEastAsia" w:hAnsiTheme="minorEastAsia" w:eastAsiaTheme="minorEastAsia" w:cstheme="minorEastAsia"/>
          <w:color w:val="auto"/>
          <w:sz w:val="24"/>
          <w:szCs w:val="24"/>
          <w:highlight w:val="none"/>
          <w:lang w:eastAsia="zh-CN"/>
        </w:rPr>
        <w:t>支付</w:t>
      </w:r>
      <w:bookmarkEnd w:id="1081"/>
      <w:bookmarkEnd w:id="1082"/>
    </w:p>
    <w:p w14:paraId="4B02A15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5.3.1 监理酬金</w:t>
      </w:r>
    </w:p>
    <w:p w14:paraId="7594469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监理酬金具体支付方式：</w:t>
      </w:r>
      <w:r>
        <w:rPr>
          <w:rFonts w:hint="eastAsia" w:asciiTheme="minorEastAsia" w:hAnsiTheme="minorEastAsia" w:eastAsiaTheme="minorEastAsia" w:cstheme="minorEastAsia"/>
          <w:color w:val="auto"/>
          <w:sz w:val="24"/>
          <w:szCs w:val="24"/>
          <w:highlight w:val="none"/>
          <w:u w:val="single"/>
          <w:lang w:eastAsia="zh-CN"/>
        </w:rPr>
        <w:t>合同订立且财政资金到位后30天内，支付监理费合同金额的30%；进度款支付时间参考养护费用支付时间执行。</w:t>
      </w:r>
    </w:p>
    <w:p w14:paraId="1D5F0CC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u w:val="single"/>
          <w:lang w:eastAsia="zh-CN"/>
        </w:rPr>
        <w:t>5.3.2 相关服务酬金</w:t>
      </w:r>
    </w:p>
    <w:p w14:paraId="579EACD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相关服务酬金具体支付方式：</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4F5A579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5.3.3附加工作酬金</w:t>
      </w:r>
    </w:p>
    <w:p w14:paraId="1BE52812">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附加工作酬金具体支付方式：</w:t>
      </w:r>
      <w:r>
        <w:rPr>
          <w:rFonts w:hint="eastAsia" w:asciiTheme="minorEastAsia" w:hAnsiTheme="minorEastAsia" w:eastAsiaTheme="minorEastAsia" w:cstheme="minorEastAsia"/>
          <w:color w:val="auto"/>
          <w:sz w:val="24"/>
          <w:szCs w:val="24"/>
          <w:highlight w:val="none"/>
          <w:u w:val="single"/>
          <w:lang w:eastAsia="zh-CN"/>
        </w:rPr>
        <w:t>/　　</w:t>
      </w:r>
      <w:r>
        <w:rPr>
          <w:rFonts w:hint="eastAsia" w:asciiTheme="minorEastAsia" w:hAnsiTheme="minorEastAsia" w:eastAsiaTheme="minorEastAsia" w:cstheme="minorEastAsia"/>
          <w:color w:val="auto"/>
          <w:sz w:val="24"/>
          <w:szCs w:val="24"/>
          <w:highlight w:val="none"/>
          <w:lang w:eastAsia="zh-CN"/>
        </w:rPr>
        <w:t>。</w:t>
      </w:r>
    </w:p>
    <w:p w14:paraId="1D561B6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5.3.4 补偿费用</w:t>
      </w:r>
    </w:p>
    <w:p w14:paraId="049EBF69">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补偿费用的支付方法：</w:t>
      </w:r>
      <w:r>
        <w:rPr>
          <w:rFonts w:hint="eastAsia" w:asciiTheme="minorEastAsia" w:hAnsiTheme="minorEastAsia" w:eastAsiaTheme="minorEastAsia" w:cstheme="minorEastAsia"/>
          <w:color w:val="auto"/>
          <w:sz w:val="24"/>
          <w:szCs w:val="24"/>
          <w:highlight w:val="none"/>
          <w:u w:val="single"/>
          <w:lang w:eastAsia="zh-CN"/>
        </w:rPr>
        <w:t>/　</w:t>
      </w:r>
      <w:r>
        <w:rPr>
          <w:rFonts w:hint="eastAsia" w:asciiTheme="minorEastAsia" w:hAnsiTheme="minorEastAsia" w:eastAsiaTheme="minorEastAsia" w:cstheme="minorEastAsia"/>
          <w:color w:val="auto"/>
          <w:sz w:val="24"/>
          <w:szCs w:val="24"/>
          <w:highlight w:val="none"/>
          <w:lang w:eastAsia="zh-CN"/>
        </w:rPr>
        <w:t>。</w:t>
      </w:r>
    </w:p>
    <w:p w14:paraId="1C483C1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5.3.5合理化建议奖励</w:t>
      </w:r>
    </w:p>
    <w:p w14:paraId="3F01AF46">
      <w:pPr>
        <w:snapToGrid w:val="0"/>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合理化建议奖励的支付方法：</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w:t>
      </w:r>
    </w:p>
    <w:p w14:paraId="0AAFE89C">
      <w:pPr>
        <w:adjustRightInd w:val="0"/>
        <w:snapToGrid w:val="0"/>
        <w:spacing w:before="120" w:beforeLines="50" w:line="360" w:lineRule="auto"/>
        <w:outlineLvl w:val="9"/>
        <w:rPr>
          <w:rFonts w:hint="eastAsia" w:asciiTheme="minorEastAsia" w:hAnsiTheme="minorEastAsia" w:eastAsiaTheme="minorEastAsia" w:cstheme="minorEastAsia"/>
          <w:color w:val="auto"/>
          <w:sz w:val="24"/>
          <w:szCs w:val="24"/>
          <w:highlight w:val="none"/>
          <w:lang w:eastAsia="zh-CN"/>
        </w:rPr>
      </w:pPr>
      <w:bookmarkStart w:id="1083" w:name="_Toc61947454"/>
      <w:bookmarkStart w:id="1084" w:name="_Toc11332884"/>
      <w:bookmarkStart w:id="1085" w:name="_Toc371398154"/>
      <w:r>
        <w:rPr>
          <w:rFonts w:hint="eastAsia" w:asciiTheme="minorEastAsia" w:hAnsiTheme="minorEastAsia" w:eastAsiaTheme="minorEastAsia" w:cstheme="minorEastAsia"/>
          <w:color w:val="auto"/>
          <w:sz w:val="24"/>
          <w:szCs w:val="24"/>
          <w:highlight w:val="none"/>
          <w:lang w:eastAsia="zh-CN"/>
        </w:rPr>
        <w:t>7. 争议解决</w:t>
      </w:r>
      <w:bookmarkEnd w:id="1083"/>
      <w:bookmarkEnd w:id="1084"/>
      <w:bookmarkEnd w:id="1085"/>
    </w:p>
    <w:p w14:paraId="1F16A9F0">
      <w:pPr>
        <w:outlineLvl w:val="9"/>
        <w:rPr>
          <w:rFonts w:hint="eastAsia" w:asciiTheme="minorEastAsia" w:hAnsiTheme="minorEastAsia" w:eastAsiaTheme="minorEastAsia" w:cstheme="minorEastAsia"/>
          <w:b w:val="0"/>
          <w:color w:val="auto"/>
          <w:sz w:val="24"/>
          <w:szCs w:val="24"/>
          <w:highlight w:val="none"/>
          <w:lang w:eastAsia="zh-CN"/>
        </w:rPr>
      </w:pPr>
      <w:bookmarkStart w:id="1086" w:name="_Toc371398155"/>
      <w:bookmarkStart w:id="1087" w:name="_Toc61947455"/>
      <w:bookmarkStart w:id="1088" w:name="_Toc11332885"/>
      <w:r>
        <w:rPr>
          <w:rFonts w:hint="eastAsia" w:asciiTheme="minorEastAsia" w:hAnsiTheme="minorEastAsia" w:eastAsiaTheme="minorEastAsia" w:cstheme="minorEastAsia"/>
          <w:color w:val="auto"/>
          <w:sz w:val="24"/>
          <w:szCs w:val="24"/>
          <w:highlight w:val="none"/>
          <w:lang w:eastAsia="zh-CN"/>
        </w:rPr>
        <w:t>7.2 调解</w:t>
      </w:r>
      <w:bookmarkEnd w:id="1086"/>
      <w:bookmarkEnd w:id="1087"/>
      <w:bookmarkEnd w:id="1088"/>
    </w:p>
    <w:p w14:paraId="0364FCA1">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合同争议进行调解时，可提交</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lang w:eastAsia="zh-CN"/>
        </w:rPr>
        <w:t>（调解人）进行调解。</w:t>
      </w:r>
    </w:p>
    <w:p w14:paraId="216DA182">
      <w:pPr>
        <w:outlineLvl w:val="9"/>
        <w:rPr>
          <w:rFonts w:hint="eastAsia" w:asciiTheme="minorEastAsia" w:hAnsiTheme="minorEastAsia" w:eastAsiaTheme="minorEastAsia" w:cstheme="minorEastAsia"/>
          <w:b w:val="0"/>
          <w:color w:val="auto"/>
          <w:sz w:val="24"/>
          <w:szCs w:val="24"/>
          <w:highlight w:val="none"/>
          <w:lang w:eastAsia="zh-CN"/>
        </w:rPr>
      </w:pPr>
      <w:bookmarkStart w:id="1089" w:name="_Toc371398156"/>
      <w:bookmarkStart w:id="1090" w:name="_Toc11332886"/>
      <w:bookmarkStart w:id="1091" w:name="_Toc61947456"/>
      <w:r>
        <w:rPr>
          <w:rFonts w:hint="eastAsia" w:asciiTheme="minorEastAsia" w:hAnsiTheme="minorEastAsia" w:eastAsiaTheme="minorEastAsia" w:cstheme="minorEastAsia"/>
          <w:color w:val="auto"/>
          <w:sz w:val="24"/>
          <w:szCs w:val="24"/>
          <w:highlight w:val="none"/>
          <w:lang w:eastAsia="zh-CN"/>
        </w:rPr>
        <w:t>7.3 仲裁或诉讼</w:t>
      </w:r>
      <w:bookmarkEnd w:id="1089"/>
      <w:bookmarkEnd w:id="1090"/>
      <w:bookmarkEnd w:id="1091"/>
    </w:p>
    <w:p w14:paraId="21DDA12B">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合同争议的最终解决方式为下列第</w:t>
      </w:r>
      <w:r>
        <w:rPr>
          <w:rFonts w:hint="eastAsia" w:asciiTheme="minorEastAsia" w:hAnsiTheme="minorEastAsia" w:eastAsiaTheme="minorEastAsia" w:cstheme="minorEastAsia"/>
          <w:color w:val="auto"/>
          <w:sz w:val="24"/>
          <w:szCs w:val="24"/>
          <w:highlight w:val="none"/>
          <w:u w:val="single"/>
          <w:lang w:eastAsia="zh-CN"/>
        </w:rPr>
        <w:t>（2）</w:t>
      </w:r>
      <w:r>
        <w:rPr>
          <w:rFonts w:hint="eastAsia" w:asciiTheme="minorEastAsia" w:hAnsiTheme="minorEastAsia" w:eastAsiaTheme="minorEastAsia" w:cstheme="minorEastAsia"/>
          <w:color w:val="auto"/>
          <w:sz w:val="24"/>
          <w:szCs w:val="24"/>
          <w:highlight w:val="none"/>
          <w:lang w:eastAsia="zh-CN"/>
        </w:rPr>
        <w:t>种方式。</w:t>
      </w:r>
    </w:p>
    <w:p w14:paraId="7045181F">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（1）提请仲裁委员会进行仲裁。</w:t>
      </w:r>
    </w:p>
    <w:p w14:paraId="12C83D81">
      <w:pPr>
        <w:snapToGrid w:val="0"/>
        <w:spacing w:line="360" w:lineRule="auto"/>
        <w:ind w:firstLine="470" w:firstLineChars="19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（2）向</w:t>
      </w:r>
      <w:r>
        <w:rPr>
          <w:rFonts w:hint="eastAsia" w:asciiTheme="minorEastAsia" w:hAnsiTheme="minorEastAsia" w:eastAsiaTheme="minorEastAsia" w:cstheme="minorEastAsia"/>
          <w:color w:val="auto"/>
          <w:sz w:val="24"/>
          <w:szCs w:val="24"/>
          <w:highlight w:val="none"/>
          <w:u w:val="single"/>
          <w:lang w:eastAsia="zh-CN"/>
        </w:rPr>
        <w:t>北京市</w:t>
      </w:r>
      <w:r>
        <w:rPr>
          <w:rFonts w:hint="eastAsia" w:asciiTheme="minorEastAsia" w:hAnsiTheme="minorEastAsia" w:eastAsiaTheme="minorEastAsia" w:cstheme="minorEastAsia"/>
          <w:color w:val="auto"/>
          <w:sz w:val="24"/>
          <w:szCs w:val="24"/>
          <w:highlight w:val="none"/>
          <w:lang w:eastAsia="zh-CN"/>
        </w:rPr>
        <w:t>人民法院提起诉讼。</w:t>
      </w:r>
    </w:p>
    <w:p w14:paraId="4BF7E2E9">
      <w:pPr>
        <w:snapToGrid w:val="0"/>
        <w:spacing w:line="360" w:lineRule="auto"/>
        <w:rPr>
          <w:rFonts w:hint="eastAsia" w:asciiTheme="minorEastAsia" w:hAnsiTheme="minorEastAsia" w:eastAsiaTheme="minorEastAsia" w:cstheme="minorEastAsia"/>
          <w:color w:val="auto"/>
          <w:sz w:val="24"/>
          <w:szCs w:val="24"/>
          <w:highlight w:val="none"/>
          <w:lang w:eastAsia="zh-CN"/>
        </w:rPr>
      </w:pPr>
      <w:bookmarkStart w:id="1092" w:name="_Toc371398157"/>
      <w:r>
        <w:rPr>
          <w:rFonts w:hint="eastAsia" w:asciiTheme="minorEastAsia" w:hAnsiTheme="minorEastAsia" w:eastAsiaTheme="minorEastAsia" w:cstheme="minorEastAsia"/>
          <w:color w:val="auto"/>
          <w:sz w:val="24"/>
          <w:szCs w:val="24"/>
          <w:highlight w:val="none"/>
          <w:lang w:eastAsia="zh-CN"/>
        </w:rPr>
        <w:t>8. 补充条款</w:t>
      </w:r>
      <w:bookmarkEnd w:id="1092"/>
    </w:p>
    <w:p w14:paraId="7BAA0851">
      <w:pPr>
        <w:snapToGrid w:val="0"/>
        <w:spacing w:before="120" w:beforeLines="50" w:after="120" w:afterLines="50"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无</w:t>
      </w:r>
    </w:p>
    <w:p w14:paraId="7204C6D7">
      <w:pPr>
        <w:snapToGrid w:val="0"/>
        <w:spacing w:before="120" w:beforeLines="50" w:after="120" w:afterLines="50"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9.合同附件</w:t>
      </w:r>
    </w:p>
    <w:p w14:paraId="16F6F45C">
      <w:pPr>
        <w:keepNext w:val="0"/>
        <w:keepLines w:val="0"/>
        <w:pageBreakBefore w:val="0"/>
        <w:widowControl w:val="0"/>
        <w:kinsoku/>
        <w:wordWrap/>
        <w:overflowPunct/>
        <w:topLinePunct w:val="0"/>
        <w:autoSpaceDE/>
        <w:autoSpaceDN/>
        <w:bidi w:val="0"/>
        <w:adjustRightInd/>
        <w:spacing w:line="360" w:lineRule="auto"/>
        <w:ind w:right="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附件一 廉政责</w:t>
      </w:r>
      <w:r>
        <w:rPr>
          <w:rFonts w:hint="eastAsia" w:asciiTheme="minorEastAsia" w:hAnsiTheme="minorEastAsia" w:eastAsiaTheme="minorEastAsia" w:cstheme="minorEastAsia"/>
          <w:color w:val="auto"/>
          <w:sz w:val="24"/>
          <w:szCs w:val="24"/>
          <w:highlight w:val="none"/>
          <w:lang w:val="en-US" w:eastAsia="zh-CN"/>
        </w:rPr>
        <w:t>责任书</w:t>
      </w:r>
    </w:p>
    <w:p w14:paraId="3FD5C2F5">
      <w:pPr>
        <w:keepNext w:val="0"/>
        <w:keepLines w:val="0"/>
        <w:pageBreakBefore w:val="0"/>
        <w:widowControl w:val="0"/>
        <w:kinsoku/>
        <w:wordWrap/>
        <w:overflowPunct/>
        <w:topLinePunct w:val="0"/>
        <w:autoSpaceDE/>
        <w:autoSpaceDN/>
        <w:bidi w:val="0"/>
        <w:adjustRightInd/>
        <w:spacing w:before="72" w:line="360" w:lineRule="auto"/>
        <w:ind w:right="5646"/>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附件二 安全生产责任书</w:t>
      </w:r>
    </w:p>
    <w:p w14:paraId="73AEF3C6">
      <w:pPr>
        <w:pStyle w:val="17"/>
        <w:keepNext w:val="0"/>
        <w:keepLines w:val="0"/>
        <w:pageBreakBefore w:val="0"/>
        <w:widowControl w:val="0"/>
        <w:kinsoku/>
        <w:wordWrap/>
        <w:overflowPunct/>
        <w:topLinePunct w:val="0"/>
        <w:autoSpaceDE/>
        <w:autoSpaceDN/>
        <w:bidi w:val="0"/>
        <w:adjustRightInd/>
        <w:spacing w:before="0" w:line="360" w:lineRule="auto"/>
        <w:ind w:right="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附件三 构建“亲”“清”政商关系告知书</w:t>
      </w:r>
    </w:p>
    <w:p w14:paraId="0762772A">
      <w:pPr>
        <w:pageBreakBefore/>
        <w:spacing w:line="360" w:lineRule="auto"/>
        <w:outlineLvl w:val="1"/>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附件一              工程建设项目廉政责任书</w:t>
      </w:r>
    </w:p>
    <w:p w14:paraId="68F4C8A1">
      <w:pPr>
        <w:ind w:left="360"/>
        <w:rPr>
          <w:rFonts w:hint="eastAsia" w:asciiTheme="minorEastAsia" w:hAnsiTheme="minorEastAsia" w:eastAsiaTheme="minorEastAsia" w:cstheme="minorEastAsia"/>
          <w:color w:val="auto"/>
          <w:sz w:val="24"/>
          <w:szCs w:val="24"/>
          <w:highlight w:val="none"/>
          <w:lang w:eastAsia="zh-CN"/>
        </w:rPr>
      </w:pPr>
    </w:p>
    <w:p w14:paraId="3903093D">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工程项目名称：</w:t>
      </w:r>
    </w:p>
    <w:p w14:paraId="2F90AD01">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工程项目地址：</w:t>
      </w:r>
    </w:p>
    <w:p w14:paraId="1B6A904A">
      <w:pPr>
        <w:snapToGrid w:val="0"/>
        <w:spacing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建设单位（甲方）：</w:t>
      </w:r>
    </w:p>
    <w:p w14:paraId="32C55593">
      <w:pPr>
        <w:snapToGrid w:val="0"/>
        <w:spacing w:line="360" w:lineRule="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lang w:eastAsia="zh-CN"/>
        </w:rPr>
        <w:t>监理单位（乙方）：</w:t>
      </w:r>
    </w:p>
    <w:p w14:paraId="5012DDA7">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06C9C6A">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第一条　甲乙双方的责任</w:t>
      </w:r>
    </w:p>
    <w:p w14:paraId="29F82592">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（一）应严格遵守国家关于市场准入、项目招标投标、工程建设、施工安装和市场活动等有关法律、法规，相关政策，以及廉政建设的各项规定。</w:t>
      </w:r>
    </w:p>
    <w:p w14:paraId="79690AE4">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（二）严格执行建设工程项目承发包合同文件，自觉按合同办事。</w:t>
      </w:r>
    </w:p>
    <w:p w14:paraId="549A3E3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（三）业务活动必须坚持公开、公平、公正、诚信、透明的原则（除法律法规另有规定者外），不得为获取不正当的利益，损害国家、集体和对方利益，不得违反工程建设管理、施工安装的规章制度。</w:t>
      </w:r>
    </w:p>
    <w:p w14:paraId="5B61544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（四）发现对方在业务活动中有违规、违纪、违法行为的，应及时提醒对方，情节严重的，应向其上级主管部门或纪检监察、司法等有关机关举报。</w:t>
      </w:r>
    </w:p>
    <w:p w14:paraId="737CE550">
      <w:pPr>
        <w:snapToGrid w:val="0"/>
        <w:spacing w:line="36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第二条　甲方的责任</w:t>
      </w:r>
    </w:p>
    <w:p w14:paraId="6072844C">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甲方的领导和从事该建设工程项目的工作人员，在工程建设的事前、事中、事后应遵守以下规定：</w:t>
      </w:r>
    </w:p>
    <w:p w14:paraId="4EC48609">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（一）不准向乙方和相关单位索要或接受回扣、礼金、有价证券、贵重物品和好处费、感谢费等。</w:t>
      </w:r>
    </w:p>
    <w:p w14:paraId="1CA10BAD">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（二）不准在乙方和相关单位报销任何应由甲方或个人支付的费用。</w:t>
      </w:r>
    </w:p>
    <w:p w14:paraId="5CEF7B8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（三）不准要求、暗示或接受乙方和相关单位为个人装修住房、婚丧嫁娶、配偶子女的工作安排以及出国（境）、旅游等提供方便。</w:t>
      </w:r>
    </w:p>
    <w:p w14:paraId="6362C6E3">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（四）不准参加有可能影响公正执行公务的乙方和相关单位的宴请和健身、娱乐等活动。</w:t>
      </w:r>
    </w:p>
    <w:p w14:paraId="67F586B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DD5EE5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第三条　乙方的责任</w:t>
      </w:r>
    </w:p>
    <w:p w14:paraId="5A53E9D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应与甲方保持正常的业务交往，按照有关法律法规和程序开展业务工作，严格执行工程建设的有关方针、政策，尤其是有关建筑施工安装的强制性标准和规范，并遵守以下规定：</w:t>
      </w:r>
    </w:p>
    <w:p w14:paraId="495222EB">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（一）不准以任何理由向甲方、相关单位及其工作人员索要、接受或赠送礼金、有价证券、贵重物品和回扣、好处费、感谢费等。</w:t>
      </w:r>
    </w:p>
    <w:p w14:paraId="66A1969D">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（二）不准以任何理由为甲方和相关单位报销应由对方或个人支付的费用。</w:t>
      </w:r>
    </w:p>
    <w:p w14:paraId="55D6E951">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（三）不准接受或暗示为甲方、相关单位或个人装修住房、婚丧嫁娶、配偶子女的工作安排以及出国（境）、旅游等提供方便。</w:t>
      </w:r>
    </w:p>
    <w:p w14:paraId="7AF697D0">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（四）不准以任何理由为甲方、相关单位或个人组织有可能影响公正执行公务的宴请、健身、娱乐等活动。</w:t>
      </w:r>
    </w:p>
    <w:p w14:paraId="3B9BBFD8">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第四条　违约责任</w:t>
      </w:r>
    </w:p>
    <w:p w14:paraId="05C21A8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14:paraId="1223B0D6">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二）乙方工作人员有违反本责任书第一、三条责任行为的，按照管理权限，依据有关法律法规和规定给予党纪、政纪处分或组织处理；涉嬚犯罪的，移交司法机关追究刑事责任；给甲方单位造成经济损失的，应予以赔偿。</w:t>
      </w:r>
    </w:p>
    <w:p w14:paraId="1D4D6C7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第五条　本责任书作为工程监理合同的附件，与工程监理合同具有同等法律效力。经双方签署后立即生效。</w:t>
      </w:r>
    </w:p>
    <w:p w14:paraId="01FD5F95">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第六条　本责任书的有效期为双方签署之日起至该工程项目竣工验收合格时止。</w:t>
      </w:r>
    </w:p>
    <w:p w14:paraId="2F1281DA">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第七条　本责任书一式六份，由甲乙双方各执两份，送交甲乙双方的监督单位各一份。</w:t>
      </w:r>
    </w:p>
    <w:p w14:paraId="31D31E42">
      <w:pPr>
        <w:snapToGrid w:val="0"/>
        <w:spacing w:line="360" w:lineRule="auto"/>
        <w:ind w:firstLine="420"/>
        <w:rPr>
          <w:rFonts w:hint="eastAsia" w:asciiTheme="minorEastAsia" w:hAnsiTheme="minorEastAsia" w:eastAsiaTheme="minorEastAsia" w:cstheme="minorEastAsia"/>
          <w:color w:val="auto"/>
          <w:sz w:val="24"/>
          <w:szCs w:val="24"/>
          <w:highlight w:val="none"/>
          <w:lang w:eastAsia="zh-CN"/>
        </w:rPr>
      </w:pPr>
    </w:p>
    <w:p w14:paraId="4734F22F">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甲方单位：（盖章）　　　　　　　　　　乙方单位：（盖章）</w:t>
      </w:r>
    </w:p>
    <w:p w14:paraId="23A3864C">
      <w:pPr>
        <w:pStyle w:val="17"/>
        <w:pageBreakBefore w:val="0"/>
        <w:tabs>
          <w:tab w:val="left" w:pos="3406"/>
          <w:tab w:val="clear" w:pos="567"/>
        </w:tabs>
        <w:kinsoku/>
        <w:wordWrap/>
        <w:overflowPunct/>
        <w:topLinePunct w:val="0"/>
        <w:bidi w:val="0"/>
        <w:spacing w:line="360" w:lineRule="auto"/>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r>
        <w:rPr>
          <w:rFonts w:hint="eastAsia" w:ascii="宋体" w:hAnsi="宋体" w:eastAsia="宋体" w:cs="宋体"/>
          <w:color w:val="auto"/>
          <w:spacing w:val="-1"/>
          <w:sz w:val="24"/>
          <w:szCs w:val="24"/>
          <w:highlight w:val="none"/>
          <w:lang w:eastAsia="zh-CN"/>
        </w:rPr>
        <w:t xml:space="preserve">                             法定</w:t>
      </w:r>
      <w:r>
        <w:rPr>
          <w:rFonts w:hint="eastAsia" w:ascii="宋体" w:hAnsi="宋体" w:eastAsia="宋体" w:cs="宋体"/>
          <w:color w:val="auto"/>
          <w:spacing w:val="-3"/>
          <w:sz w:val="24"/>
          <w:szCs w:val="24"/>
          <w:highlight w:val="none"/>
          <w:lang w:eastAsia="zh-CN"/>
        </w:rPr>
        <w:t>代</w:t>
      </w:r>
      <w:r>
        <w:rPr>
          <w:rFonts w:hint="eastAsia" w:ascii="宋体" w:hAnsi="宋体" w:eastAsia="宋体" w:cs="宋体"/>
          <w:color w:val="auto"/>
          <w:spacing w:val="-1"/>
          <w:sz w:val="24"/>
          <w:szCs w:val="24"/>
          <w:highlight w:val="none"/>
          <w:lang w:eastAsia="zh-CN"/>
        </w:rPr>
        <w:t>表</w:t>
      </w:r>
      <w:r>
        <w:rPr>
          <w:rFonts w:hint="eastAsia" w:ascii="宋体" w:hAnsi="宋体" w:eastAsia="宋体" w:cs="宋体"/>
          <w:color w:val="auto"/>
          <w:spacing w:val="-3"/>
          <w:sz w:val="24"/>
          <w:szCs w:val="24"/>
          <w:highlight w:val="none"/>
          <w:lang w:eastAsia="zh-CN"/>
        </w:rPr>
        <w:t>人</w:t>
      </w:r>
    </w:p>
    <w:p w14:paraId="2A87C6CB">
      <w:pPr>
        <w:snapToGrid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或</w:t>
      </w:r>
      <w:r>
        <w:rPr>
          <w:rFonts w:hint="eastAsia" w:ascii="宋体" w:hAnsi="宋体" w:eastAsia="宋体" w:cs="宋体"/>
          <w:color w:val="auto"/>
          <w:spacing w:val="-1"/>
          <w:sz w:val="24"/>
          <w:szCs w:val="24"/>
          <w:highlight w:val="none"/>
          <w:lang w:eastAsia="zh-CN"/>
        </w:rPr>
        <w:t>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或委托代理人</w:t>
      </w:r>
      <w:r>
        <w:rPr>
          <w:rFonts w:hint="eastAsia" w:ascii="宋体" w:hAnsi="宋体" w:eastAsia="宋体" w:cs="宋体"/>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宋体" w:hAnsi="宋体" w:eastAsia="宋体" w:cs="宋体"/>
          <w:color w:val="auto"/>
          <w:sz w:val="24"/>
          <w:szCs w:val="24"/>
          <w:highlight w:val="none"/>
          <w:u w:val="single"/>
          <w:lang w:eastAsia="zh-CN"/>
        </w:rPr>
        <w:t xml:space="preserve"> </w:t>
      </w:r>
    </w:p>
    <w:p w14:paraId="4E0F5187">
      <w:pPr>
        <w:snapToGrid w:val="0"/>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　　　　　　           年　　月　　日</w:t>
      </w:r>
    </w:p>
    <w:p w14:paraId="2DD0CD02">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14:paraId="09D7D678">
      <w:pPr>
        <w:pStyle w:val="2"/>
        <w:rPr>
          <w:rFonts w:hint="eastAsia"/>
          <w:color w:val="auto"/>
          <w:highlight w:val="none"/>
          <w:lang w:eastAsia="zh-CN"/>
        </w:rPr>
      </w:pPr>
    </w:p>
    <w:p w14:paraId="71705E24">
      <w:pPr>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附件二</w:t>
      </w:r>
    </w:p>
    <w:p w14:paraId="6A3BEAFE">
      <w:pPr>
        <w:spacing w:before="1"/>
        <w:ind w:left="223"/>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安全生产责任书</w:t>
      </w:r>
    </w:p>
    <w:p w14:paraId="5351AA95">
      <w:pPr>
        <w:snapToGrid w:val="0"/>
        <w:spacing w:line="360" w:lineRule="auto"/>
        <w:rPr>
          <w:rFonts w:hint="eastAsia" w:asciiTheme="minorEastAsia" w:hAnsiTheme="minorEastAsia" w:eastAsiaTheme="minorEastAsia" w:cstheme="minorEastAsia"/>
          <w:color w:val="auto"/>
          <w:sz w:val="24"/>
          <w:szCs w:val="24"/>
          <w:highlight w:val="none"/>
          <w:lang w:eastAsia="zh-CN"/>
        </w:rPr>
      </w:pPr>
    </w:p>
    <w:p w14:paraId="43B30C65">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为认真贯彻落实《中华人民共和国安全生产法》、《建设工程安全生产管理条例》，加强安全生产工作的领导，明确各单位行政领导的安全生产责任，落实安全生产责任制，与监理单位签订安全生产责任书。</w:t>
      </w:r>
    </w:p>
    <w:p w14:paraId="40C1CBCE">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一、监理单位要建立安全生产领导机构，牢固树立“安全生产责任制重于泰山”的指导思想，必须高度重视安全工作，把抓安全生产工作融入各项工作，永远摆在工作的第一位，确保人民生命财产安全。</w:t>
      </w:r>
    </w:p>
    <w:p w14:paraId="107E3685">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监理单位法定代表人是安全生产工作第一责任人，要设置安全生产工作主管负责人，项目总监是本工程的安全生产第一责任人。监理单位要与工程项目的建设单位、施工总承包单位组成施工工地“安全生产领导小组”。</w:t>
      </w:r>
    </w:p>
    <w:p w14:paraId="0B6BEE04">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监理单位负责监督建设工程建立健全各项安全管理制度、责任制，及突发事件、重大安全事故处理应急预案，完善施工现场安全生产保证体系，确保安全生产。并对工程项目的各项制度、措施、方案进行审批、监督实施，严格履行监理职责。</w:t>
      </w:r>
    </w:p>
    <w:p w14:paraId="0BAC1C89">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四、监理单位负责对承包单位的资质及从业人员资格进行严格审查，杜绝无资质或超资质承揽工程。</w:t>
      </w:r>
    </w:p>
    <w:p w14:paraId="619EF811">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五、监理单位必须定期组织召开工程项目安全生产工作会，研究、分析、布置、督促检查建设工程的安全生产工作，对会议所确定的各项工作安排进行监督，会议要有文字记录。</w:t>
      </w:r>
    </w:p>
    <w:p w14:paraId="6036D340">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监理单位要宣传贯彻《建设工程安全生产管理条例》、《北京市建设工程施工现场管理办法》等有关安全生产的各项法律、法规和强制性规范标准，加强对施工现场的重点工序、重点部位的旁站监理，对重大安全隐患要立即下达书面停工通知单，并及时组织力量加以排除，同时要向行业主管及有关部门报告。对监理单位提出的安全隐患，施工单位拒不整改，监理人员又不向有关主管部门汇报，监理单位将负相关责任。</w:t>
      </w:r>
    </w:p>
    <w:p w14:paraId="58555C9D">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七、安全事故发生后，监理单位要会同建设单位、承包单位立即组织力量抢救，启动应急预案，协助有关部门进行事故处理。</w:t>
      </w:r>
    </w:p>
    <w:p w14:paraId="425EEAC3">
      <w:pPr>
        <w:snapToGrid w:val="0"/>
        <w:spacing w:line="360" w:lineRule="auto"/>
        <w:ind w:firstLine="63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八、对不贯彻执行市级政府及安全生产委员会关于安全生产工作有关规定、要求，不认真履行职责，并出现安全事故的监理单位，将依据有关规定，依法严肃查处。</w:t>
      </w:r>
    </w:p>
    <w:p w14:paraId="6D0AC8D3">
      <w:pPr>
        <w:snapToGrid w:val="0"/>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九、监理单位应督促建设单位、承包单位按照工程进度及时支付工程款、劳务费，掌握工程款、劳务费支付情况，防止发生不稳定冲突事件，有重大情况应及时向建设单位汇报。</w:t>
      </w:r>
    </w:p>
    <w:p w14:paraId="6E377AC5">
      <w:pPr>
        <w:snapToGrid w:val="0"/>
        <w:spacing w:line="400" w:lineRule="atLeast"/>
        <w:ind w:firstLine="482" w:firstLineChars="200"/>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十 上述所有条款本单</w:t>
      </w:r>
      <w:r>
        <w:rPr>
          <w:rFonts w:hint="eastAsia" w:asciiTheme="minorEastAsia" w:hAnsiTheme="minorEastAsia" w:eastAsiaTheme="minorEastAsia" w:cstheme="minorEastAsia"/>
          <w:b/>
          <w:bCs/>
          <w:color w:val="auto"/>
          <w:sz w:val="24"/>
          <w:szCs w:val="24"/>
          <w:highlight w:val="none"/>
          <w:lang w:eastAsia="zh-CN"/>
        </w:rPr>
        <w:t>已详细阅读并同意条款内容，确保严格执行条款内容。</w:t>
      </w:r>
    </w:p>
    <w:p w14:paraId="34A90C4F">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十一 本责任书由北京市绿地养护管理事务中心负责全权解释。</w:t>
      </w:r>
    </w:p>
    <w:p w14:paraId="5A43DC54">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十二 责任书自签订之日起生效。</w:t>
      </w:r>
    </w:p>
    <w:p w14:paraId="414A7556">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十三 本责任书一式二份，甲乙双方各执一份。</w:t>
      </w:r>
    </w:p>
    <w:p w14:paraId="686224EF">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p>
    <w:p w14:paraId="1915C9CC">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p>
    <w:p w14:paraId="222831AB">
      <w:pPr>
        <w:snapToGrid w:val="0"/>
        <w:spacing w:line="400" w:lineRule="atLeast"/>
        <w:ind w:firstLine="480" w:firstLineChars="200"/>
        <w:rPr>
          <w:rFonts w:hint="eastAsia" w:asciiTheme="minorEastAsia" w:hAnsiTheme="minorEastAsia" w:eastAsiaTheme="minorEastAsia" w:cstheme="minorEastAsia"/>
          <w:color w:val="auto"/>
          <w:sz w:val="24"/>
          <w:szCs w:val="24"/>
          <w:highlight w:val="none"/>
          <w:lang w:eastAsia="zh-CN"/>
        </w:rPr>
      </w:pPr>
    </w:p>
    <w:p w14:paraId="7A7DB44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甲方盖章：                             乙方盖章：</w:t>
      </w:r>
    </w:p>
    <w:p w14:paraId="36231B1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                             法定代表人</w:t>
      </w:r>
    </w:p>
    <w:p w14:paraId="3F86387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或委托代理人：</w:t>
      </w:r>
      <w:r>
        <w:rPr>
          <w:rFonts w:hint="eastAsia" w:asciiTheme="minorEastAsia" w:hAnsiTheme="minorEastAsia" w:eastAsiaTheme="minorEastAsia" w:cstheme="minorEastAsia"/>
          <w:color w:val="auto"/>
          <w:sz w:val="24"/>
          <w:szCs w:val="24"/>
          <w:highlight w:val="none"/>
          <w:u w:val="single"/>
          <w:lang w:eastAsia="zh-CN"/>
        </w:rPr>
        <w:t>（签字或盖章）</w:t>
      </w:r>
      <w:r>
        <w:rPr>
          <w:rFonts w:hint="eastAsia" w:asciiTheme="minorEastAsia" w:hAnsiTheme="minorEastAsia" w:eastAsiaTheme="minorEastAsia" w:cstheme="minorEastAsia"/>
          <w:color w:val="auto"/>
          <w:sz w:val="24"/>
          <w:szCs w:val="24"/>
          <w:highlight w:val="none"/>
          <w:lang w:eastAsia="zh-CN"/>
        </w:rPr>
        <w:t xml:space="preserve">       </w:t>
      </w:r>
    </w:p>
    <w:p w14:paraId="79450C69">
      <w:pPr>
        <w:snapToGrid w:val="0"/>
        <w:spacing w:line="400" w:lineRule="atLeast"/>
        <w:ind w:firstLine="720" w:firstLineChars="3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签订日期：    年  月  日               签订日期：  年  月  日</w:t>
      </w:r>
    </w:p>
    <w:p w14:paraId="59BD4DE7">
      <w:pPr>
        <w:rPr>
          <w:rFonts w:hint="eastAsia"/>
          <w:b/>
          <w:bCs/>
          <w:color w:val="auto"/>
          <w:sz w:val="32"/>
          <w:szCs w:val="32"/>
          <w:highlight w:val="none"/>
          <w:lang w:eastAsia="zh-CN"/>
        </w:rPr>
      </w:pPr>
      <w:r>
        <w:rPr>
          <w:rFonts w:hint="eastAsia"/>
          <w:b/>
          <w:bCs/>
          <w:color w:val="auto"/>
          <w:sz w:val="32"/>
          <w:szCs w:val="32"/>
          <w:highlight w:val="none"/>
          <w:lang w:eastAsia="zh-CN"/>
        </w:rPr>
        <w:br w:type="page"/>
      </w:r>
    </w:p>
    <w:p w14:paraId="76C7E866">
      <w:pPr>
        <w:pStyle w:val="17"/>
        <w:keepNext w:val="0"/>
        <w:keepLines w:val="0"/>
        <w:pageBreakBefore w:val="0"/>
        <w:widowControl w:val="0"/>
        <w:kinsoku/>
        <w:wordWrap/>
        <w:overflowPunct/>
        <w:topLinePunct w:val="0"/>
        <w:autoSpaceDE/>
        <w:autoSpaceDN/>
        <w:bidi w:val="0"/>
        <w:adjustRightInd/>
        <w:spacing w:before="0" w:line="360" w:lineRule="auto"/>
        <w:ind w:right="0"/>
        <w:jc w:val="both"/>
        <w:textAlignment w:val="auto"/>
        <w:outlineLvl w:val="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附件三 </w:t>
      </w:r>
    </w:p>
    <w:p w14:paraId="198861BE">
      <w:pPr>
        <w:pageBreakBefore w:val="0"/>
        <w:kinsoku/>
        <w:wordWrap/>
        <w:overflowPunct/>
        <w:topLinePunct w:val="0"/>
        <w:bidi w:val="0"/>
        <w:spacing w:before="1" w:line="360" w:lineRule="auto"/>
        <w:ind w:left="221"/>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构建“亲”“清”政商关系告知书</w:t>
      </w:r>
    </w:p>
    <w:p w14:paraId="2797BC58">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深入构建亲清新型政商关系，努力打造尊商、亲商、助商、安商良好营商环境，确保园林绿化项目工程质量，更好地预防职务犯罪，根据市党风廉政建设相关规定，市园林绿化局，特制定构建“亲”“清”政商关系告知书，严明公职人员在政商交往中的纪律要求。请各涉园林绿化项目的</w:t>
      </w:r>
      <w:r>
        <w:rPr>
          <w:rFonts w:hint="eastAsia" w:ascii="宋体" w:hAnsi="宋体" w:eastAsia="宋体" w:cs="宋体"/>
          <w:bCs/>
          <w:color w:val="auto"/>
          <w:sz w:val="24"/>
          <w:szCs w:val="24"/>
          <w:highlight w:val="none"/>
        </w:rPr>
        <w:t>代理机构、投标方、监理方、建设方、养护方企业</w:t>
      </w:r>
      <w:r>
        <w:rPr>
          <w:rFonts w:hint="eastAsia" w:ascii="宋体" w:hAnsi="宋体" w:eastAsia="宋体" w:cs="宋体"/>
          <w:color w:val="auto"/>
          <w:sz w:val="24"/>
          <w:szCs w:val="24"/>
          <w:highlight w:val="none"/>
        </w:rPr>
        <w:t>及其从业人员知晓，严格遵守并监督我局公职人员落实。</w:t>
      </w:r>
    </w:p>
    <w:p w14:paraId="7A5FFC1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一、不得向公职人员赠送礼品、礼金、消费卡等财物。</w:t>
      </w:r>
    </w:p>
    <w:p w14:paraId="5E0A8CD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二、不得向公职人员提供宴请、旅游、健身、娱乐等活动安排。</w:t>
      </w:r>
    </w:p>
    <w:p w14:paraId="794916A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三、不得以任何借口为公职人员住房装修、婚丧嫁娶、亲友出国等提供方便。</w:t>
      </w:r>
    </w:p>
    <w:p w14:paraId="2DFB7C6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四、不得为公职人员报销应由其个人支付的费用。</w:t>
      </w:r>
    </w:p>
    <w:p w14:paraId="3514F22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五、不得违规向公职人员及其亲友借贷款。</w:t>
      </w:r>
    </w:p>
    <w:p w14:paraId="3C101AD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六、不得违规将车辆、住房等借给公职人员使用。</w:t>
      </w:r>
    </w:p>
    <w:p w14:paraId="6A85E8C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七、不得在招投标中与公职人员搞暗箱操作、围标串标。</w:t>
      </w:r>
    </w:p>
    <w:p w14:paraId="2872AB9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八、不得为利益相关人和公职人员牵线搭桥或者代为传递信息、传递财物。</w:t>
      </w:r>
    </w:p>
    <w:p w14:paraId="480C5F2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九、不得让公职人员在企业违规兼职取酬。</w:t>
      </w:r>
    </w:p>
    <w:p w14:paraId="02E8D12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十、不得为公职人员亲友违规承揽业务提供便利。</w:t>
      </w:r>
    </w:p>
    <w:p w14:paraId="2E29093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上述“十个不得”，请您严格遵守。同时，在政商交往中，如有发现我局公职人员存在违反“十个不得”的问题， 请通过首都园林绿化政务网举报信箱：</w:t>
      </w:r>
      <w:r>
        <w:rPr>
          <w:rFonts w:hint="eastAsia" w:ascii="宋体" w:hAnsi="宋体" w:eastAsia="宋体" w:cs="宋体"/>
          <w:bCs/>
          <w:color w:val="auto"/>
          <w:sz w:val="24"/>
          <w:szCs w:val="24"/>
          <w:highlight w:val="none"/>
        </w:rPr>
        <w:t>北京市园林绿化局（首都绿化委员会办公室）网——政民活动——我要写信（纪检举报）,</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"mailto:ylztb@yllhj.beijing.gov.cn" </w:instrText>
      </w:r>
      <w:r>
        <w:rPr>
          <w:rFonts w:hint="eastAsia" w:ascii="宋体" w:hAnsi="宋体" w:eastAsia="宋体" w:cs="宋体"/>
          <w:color w:val="auto"/>
          <w:sz w:val="24"/>
          <w:szCs w:val="24"/>
          <w:highlight w:val="none"/>
          <w:u w:val="none"/>
        </w:rPr>
        <w:fldChar w:fldCharType="separate"/>
      </w:r>
      <w:r>
        <w:rPr>
          <w:rStyle w:val="54"/>
          <w:rFonts w:hint="eastAsia" w:ascii="宋体" w:hAnsi="宋体" w:eastAsia="宋体" w:cs="宋体"/>
          <w:color w:val="auto"/>
          <w:sz w:val="24"/>
          <w:szCs w:val="24"/>
          <w:highlight w:val="none"/>
          <w:u w:val="none"/>
        </w:rPr>
        <w:t>ylztb@yllhj.beijing.gov.cn</w:t>
      </w:r>
      <w:r>
        <w:rPr>
          <w:rStyle w:val="54"/>
          <w:rFonts w:hint="eastAsia" w:ascii="宋体" w:hAnsi="宋体" w:eastAsia="宋体" w:cs="宋体"/>
          <w:color w:val="auto"/>
          <w:sz w:val="24"/>
          <w:szCs w:val="24"/>
          <w:highlight w:val="none"/>
          <w:u w:val="none"/>
        </w:rPr>
        <w:fldChar w:fldCharType="end"/>
      </w:r>
    </w:p>
    <w:p w14:paraId="2DAEE26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或北京市园林绿化局机关纪委信访邮箱：jgjw＠yllhj.beijing.gov.cn举报，电话84236701等方式，向纪检监察机关反映举报，我们将严格保密，按照相关规定优先处置，严肃查处。</w:t>
      </w:r>
    </w:p>
    <w:p w14:paraId="3519E948">
      <w:pPr>
        <w:spacing w:line="560" w:lineRule="exact"/>
        <w:rPr>
          <w:rFonts w:hint="eastAsia" w:ascii="宋体" w:hAnsi="宋体" w:eastAsia="宋体" w:cs="宋体"/>
          <w:color w:val="auto"/>
          <w:sz w:val="24"/>
          <w:szCs w:val="24"/>
          <w:highlight w:val="none"/>
        </w:rPr>
      </w:pPr>
    </w:p>
    <w:p w14:paraId="302D0BF2">
      <w:pPr>
        <w:spacing w:line="560" w:lineRule="exact"/>
        <w:ind w:left="3160" w:leftChars="76" w:hanging="3000" w:hangingChars="12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单位(盖公章)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本人已知晓上述告知内容，愿意遵照执行，如有违反自愿承担法律责任。（签名）：</w:t>
      </w:r>
    </w:p>
    <w:p w14:paraId="0326848A">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C41295E">
      <w:pPr>
        <w:spacing w:line="5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                        年 月 日</w:t>
      </w:r>
    </w:p>
    <w:p w14:paraId="5D62A14B">
      <w:pPr>
        <w:spacing w:line="560" w:lineRule="exact"/>
        <w:rPr>
          <w:rFonts w:hint="eastAsia" w:ascii="宋体" w:hAnsi="宋体" w:eastAsia="宋体" w:cs="宋体"/>
          <w:color w:val="auto"/>
          <w:sz w:val="24"/>
          <w:szCs w:val="24"/>
          <w:highlight w:val="none"/>
        </w:rPr>
      </w:pPr>
    </w:p>
    <w:p w14:paraId="7C2AC567">
      <w:pPr>
        <w:spacing w:line="560" w:lineRule="exact"/>
        <w:rPr>
          <w:rFonts w:hint="eastAsia" w:ascii="宋体" w:hAnsi="宋体" w:eastAsia="宋体" w:cs="宋体"/>
          <w:color w:val="auto"/>
          <w:sz w:val="24"/>
          <w:szCs w:val="24"/>
          <w:highlight w:val="none"/>
        </w:rPr>
      </w:pPr>
    </w:p>
    <w:p w14:paraId="27BD1943">
      <w:pPr>
        <w:outlineLvl w:val="9"/>
        <w:rPr>
          <w:rFonts w:hint="eastAsia"/>
          <w:color w:val="auto"/>
          <w:highlight w:val="none"/>
          <w:lang w:val="en-US" w:eastAsia="zh-CN"/>
        </w:rPr>
      </w:pPr>
      <w:r>
        <w:rPr>
          <w:rFonts w:hint="eastAsia" w:ascii="宋体" w:hAnsi="宋体" w:eastAsia="宋体" w:cs="宋体"/>
          <w:color w:val="auto"/>
          <w:sz w:val="24"/>
          <w:szCs w:val="24"/>
          <w:highlight w:val="none"/>
        </w:rPr>
        <w:t>（本告知书一式两份，一份由被告知人保存，一份由告知人所在单位保存。）</w:t>
      </w:r>
    </w:p>
    <w:p w14:paraId="221972FC">
      <w:pPr>
        <w:outlineLvl w:val="9"/>
        <w:rPr>
          <w:rFonts w:hint="eastAsia"/>
          <w:color w:val="auto"/>
          <w:highlight w:val="none"/>
          <w:lang w:val="en-US" w:eastAsia="zh-CN"/>
        </w:rPr>
      </w:pPr>
    </w:p>
    <w:p w14:paraId="530717EB">
      <w:pPr>
        <w:outlineLvl w:val="9"/>
        <w:rPr>
          <w:rFonts w:hint="eastAsia"/>
          <w:color w:val="auto"/>
          <w:highlight w:val="none"/>
          <w:lang w:val="en-US" w:eastAsia="zh-CN"/>
        </w:rPr>
      </w:pPr>
    </w:p>
    <w:p w14:paraId="0881AE20">
      <w:pPr>
        <w:outlineLvl w:val="9"/>
        <w:rPr>
          <w:rFonts w:hint="eastAsia"/>
          <w:color w:val="auto"/>
          <w:highlight w:val="none"/>
          <w:lang w:val="en-US" w:eastAsia="zh-CN"/>
        </w:rPr>
      </w:pPr>
    </w:p>
    <w:p w14:paraId="1CCFEB36">
      <w:pPr>
        <w:outlineLvl w:val="9"/>
        <w:rPr>
          <w:rFonts w:hint="eastAsia"/>
          <w:color w:val="auto"/>
          <w:highlight w:val="none"/>
          <w:lang w:val="en-US" w:eastAsia="zh-CN"/>
        </w:rPr>
      </w:pPr>
    </w:p>
    <w:p w14:paraId="04E454EF">
      <w:pPr>
        <w:outlineLvl w:val="9"/>
        <w:rPr>
          <w:rFonts w:hint="eastAsia"/>
          <w:color w:val="auto"/>
          <w:highlight w:val="none"/>
          <w:lang w:val="en-US" w:eastAsia="zh-CN"/>
        </w:rPr>
      </w:pPr>
    </w:p>
    <w:p w14:paraId="64DCB7AF">
      <w:pPr>
        <w:rPr>
          <w:rFonts w:hint="eastAsia"/>
          <w:color w:val="auto"/>
          <w:highlight w:val="none"/>
          <w:lang w:val="en-US" w:eastAsia="zh-CN"/>
        </w:rPr>
        <w:sectPr>
          <w:pgSz w:w="11907" w:h="16840"/>
          <w:pgMar w:top="1418" w:right="1134" w:bottom="1418" w:left="1701" w:header="851" w:footer="851" w:gutter="0"/>
          <w:pgNumType w:fmt="decimal"/>
          <w:cols w:space="720" w:num="1"/>
          <w:docGrid w:linePitch="462" w:charSpace="0"/>
        </w:sectPr>
      </w:pPr>
    </w:p>
    <w:p w14:paraId="31C1AAFA">
      <w:pPr>
        <w:snapToGrid w:val="0"/>
        <w:spacing w:line="400" w:lineRule="atLeast"/>
        <w:ind w:firstLine="630" w:firstLineChars="300"/>
        <w:rPr>
          <w:color w:val="auto"/>
          <w:sz w:val="21"/>
          <w:szCs w:val="21"/>
          <w:highlight w:val="none"/>
          <w:lang w:eastAsia="zh-CN"/>
        </w:rPr>
      </w:pPr>
    </w:p>
    <w:p w14:paraId="7460FBC1">
      <w:pPr>
        <w:snapToGrid/>
        <w:spacing w:line="360" w:lineRule="auto"/>
        <w:ind w:left="0"/>
        <w:jc w:val="center"/>
        <w:outlineLvl w:val="0"/>
        <w:rPr>
          <w:rFonts w:ascii="宋体" w:hAnsi="宋体"/>
          <w:b/>
          <w:color w:val="auto"/>
          <w:sz w:val="24"/>
          <w:highlight w:val="none"/>
        </w:rPr>
      </w:pPr>
      <w:r>
        <w:rPr>
          <w:rFonts w:ascii="宋体" w:hAnsi="宋体"/>
          <w:b/>
          <w:color w:val="auto"/>
          <w:sz w:val="24"/>
          <w:highlight w:val="none"/>
        </w:rPr>
        <w:t>第七章   投标文件格式</w:t>
      </w:r>
      <w:bookmarkEnd w:id="738"/>
      <w:bookmarkEnd w:id="739"/>
      <w:bookmarkEnd w:id="740"/>
    </w:p>
    <w:p w14:paraId="3D899129">
      <w:pPr>
        <w:tabs>
          <w:tab w:val="left" w:pos="900"/>
          <w:tab w:val="left" w:pos="1980"/>
        </w:tabs>
        <w:snapToGrid w:val="0"/>
        <w:spacing w:line="360" w:lineRule="auto"/>
        <w:ind w:left="142"/>
        <w:rPr>
          <w:rFonts w:ascii="宋体" w:hAnsi="宋体"/>
          <w:color w:val="auto"/>
          <w:sz w:val="24"/>
          <w:highlight w:val="none"/>
        </w:rPr>
      </w:pPr>
      <w:r>
        <w:rPr>
          <w:rFonts w:ascii="宋体" w:hAnsi="宋体"/>
          <w:b/>
          <w:color w:val="auto"/>
          <w:sz w:val="24"/>
          <w:highlight w:val="none"/>
        </w:rPr>
        <w:t>投标人编制文件须知</w:t>
      </w:r>
    </w:p>
    <w:p w14:paraId="4F5F4C43">
      <w:pPr>
        <w:tabs>
          <w:tab w:val="left" w:pos="900"/>
          <w:tab w:val="left" w:pos="1980"/>
        </w:tabs>
        <w:snapToGrid w:val="0"/>
        <w:spacing w:line="360" w:lineRule="auto"/>
        <w:ind w:left="142"/>
        <w:rPr>
          <w:rFonts w:ascii="宋体" w:hAnsi="宋体"/>
          <w:color w:val="auto"/>
          <w:sz w:val="24"/>
          <w:highlight w:val="none"/>
        </w:rPr>
      </w:pPr>
      <w:r>
        <w:rPr>
          <w:rFonts w:ascii="宋体" w:hAnsi="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18CDAA33">
      <w:pPr>
        <w:tabs>
          <w:tab w:val="left" w:pos="900"/>
          <w:tab w:val="left" w:pos="1980"/>
        </w:tabs>
        <w:snapToGrid w:val="0"/>
        <w:spacing w:line="360" w:lineRule="auto"/>
        <w:ind w:left="142"/>
        <w:rPr>
          <w:rFonts w:ascii="宋体" w:hAnsi="宋体"/>
          <w:color w:val="auto"/>
          <w:kern w:val="0"/>
          <w:sz w:val="24"/>
          <w:highlight w:val="none"/>
        </w:rPr>
      </w:pPr>
      <w:r>
        <w:rPr>
          <w:rFonts w:ascii="宋体" w:hAnsi="宋体"/>
          <w:color w:val="auto"/>
          <w:sz w:val="24"/>
          <w:highlight w:val="none"/>
        </w:rPr>
        <w:t>2、</w:t>
      </w: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14:paraId="0C829B59">
      <w:pPr>
        <w:tabs>
          <w:tab w:val="left" w:pos="900"/>
          <w:tab w:val="left" w:pos="1980"/>
        </w:tabs>
        <w:snapToGrid w:val="0"/>
        <w:spacing w:line="360" w:lineRule="auto"/>
        <w:ind w:left="142"/>
        <w:rPr>
          <w:rFonts w:ascii="宋体" w:hAnsi="宋体"/>
          <w:color w:val="auto"/>
          <w:sz w:val="24"/>
          <w:highlight w:val="none"/>
        </w:rPr>
      </w:pPr>
      <w:r>
        <w:rPr>
          <w:rFonts w:ascii="宋体" w:hAnsi="宋体"/>
          <w:color w:val="auto"/>
          <w:sz w:val="24"/>
          <w:highlight w:val="none"/>
        </w:rPr>
        <w:t>3、全部声明和问题的回答及所附材料必须是真实的、准确的和完整的。</w:t>
      </w:r>
    </w:p>
    <w:p w14:paraId="1D07D69F">
      <w:pPr>
        <w:tabs>
          <w:tab w:val="left" w:pos="900"/>
          <w:tab w:val="left" w:pos="1980"/>
        </w:tabs>
        <w:snapToGrid w:val="0"/>
        <w:spacing w:line="360" w:lineRule="auto"/>
        <w:ind w:left="142"/>
        <w:rPr>
          <w:rFonts w:ascii="宋体" w:hAnsi="宋体"/>
          <w:color w:val="auto"/>
          <w:kern w:val="0"/>
          <w:sz w:val="24"/>
          <w:highlight w:val="none"/>
        </w:rPr>
      </w:pPr>
      <w:r>
        <w:rPr>
          <w:rFonts w:hint="eastAsia" w:ascii="宋体" w:hAnsi="宋体"/>
          <w:color w:val="auto"/>
          <w:kern w:val="0"/>
          <w:sz w:val="24"/>
          <w:highlight w:val="none"/>
        </w:rPr>
        <w:t>4、投标文件不分册装订。</w:t>
      </w:r>
    </w:p>
    <w:p w14:paraId="4D0D5EC5">
      <w:pPr>
        <w:pStyle w:val="2"/>
        <w:outlineLvl w:val="9"/>
        <w:rPr>
          <w:color w:val="auto"/>
          <w:highlight w:val="none"/>
        </w:rPr>
      </w:pPr>
      <w:r>
        <w:rPr>
          <w:color w:val="auto"/>
          <w:highlight w:val="none"/>
        </w:rPr>
        <w:br w:type="page"/>
      </w:r>
    </w:p>
    <w:p w14:paraId="481B8BAD">
      <w:pPr>
        <w:rPr>
          <w:rFonts w:ascii="宋体" w:hAnsi="宋体"/>
          <w:b/>
          <w:color w:val="auto"/>
          <w:sz w:val="24"/>
          <w:highlight w:val="none"/>
        </w:rPr>
      </w:pPr>
      <w:r>
        <w:rPr>
          <w:rFonts w:ascii="宋体" w:hAnsi="宋体"/>
          <w:b/>
          <w:color w:val="auto"/>
          <w:spacing w:val="20"/>
          <w:sz w:val="24"/>
          <w:highlight w:val="none"/>
        </w:rPr>
        <w:t>投标文件</w:t>
      </w:r>
      <w:r>
        <w:rPr>
          <w:rFonts w:ascii="宋体" w:hAnsi="宋体"/>
          <w:b/>
          <w:color w:val="auto"/>
          <w:sz w:val="24"/>
          <w:highlight w:val="none"/>
        </w:rPr>
        <w:t>封面（非实质性格式）</w:t>
      </w:r>
    </w:p>
    <w:p w14:paraId="04DFD942">
      <w:pPr>
        <w:tabs>
          <w:tab w:val="left" w:pos="1502"/>
          <w:tab w:val="left" w:pos="3005"/>
          <w:tab w:val="left" w:pos="4508"/>
        </w:tabs>
        <w:ind w:right="113"/>
        <w:jc w:val="center"/>
        <w:rPr>
          <w:rFonts w:asciiTheme="minorEastAsia" w:hAnsiTheme="minorEastAsia" w:eastAsiaTheme="minorEastAsia"/>
          <w:color w:val="auto"/>
          <w:sz w:val="84"/>
          <w:highlight w:val="none"/>
        </w:rPr>
      </w:pPr>
    </w:p>
    <w:p w14:paraId="480F5AEB">
      <w:pPr>
        <w:tabs>
          <w:tab w:val="left" w:pos="1502"/>
          <w:tab w:val="left" w:pos="3005"/>
          <w:tab w:val="left" w:pos="4508"/>
        </w:tabs>
        <w:ind w:right="113"/>
        <w:jc w:val="center"/>
        <w:rPr>
          <w:rFonts w:asciiTheme="minorEastAsia" w:hAnsiTheme="minorEastAsia" w:eastAsiaTheme="minorEastAsia"/>
          <w:color w:val="auto"/>
          <w:sz w:val="84"/>
          <w:highlight w:val="none"/>
        </w:rPr>
      </w:pPr>
    </w:p>
    <w:p w14:paraId="596A93B7">
      <w:pPr>
        <w:tabs>
          <w:tab w:val="left" w:pos="1502"/>
          <w:tab w:val="left" w:pos="3005"/>
          <w:tab w:val="left" w:pos="4508"/>
        </w:tabs>
        <w:ind w:right="113"/>
        <w:jc w:val="center"/>
        <w:rPr>
          <w:rFonts w:asciiTheme="minorEastAsia" w:hAnsiTheme="minorEastAsia" w:eastAsiaTheme="minorEastAsia"/>
          <w:color w:val="auto"/>
          <w:sz w:val="84"/>
          <w:highlight w:val="none"/>
        </w:rPr>
      </w:pPr>
      <w:r>
        <w:rPr>
          <w:rFonts w:asciiTheme="minorEastAsia" w:hAnsiTheme="minorEastAsia" w:eastAsiaTheme="minorEastAsia"/>
          <w:color w:val="auto"/>
          <w:sz w:val="84"/>
          <w:highlight w:val="none"/>
        </w:rPr>
        <w:t>投</w:t>
      </w:r>
      <w:r>
        <w:rPr>
          <w:rFonts w:asciiTheme="minorEastAsia" w:hAnsiTheme="minorEastAsia" w:eastAsiaTheme="minorEastAsia"/>
          <w:color w:val="auto"/>
          <w:sz w:val="84"/>
          <w:highlight w:val="none"/>
        </w:rPr>
        <w:tab/>
      </w:r>
      <w:r>
        <w:rPr>
          <w:rFonts w:asciiTheme="minorEastAsia" w:hAnsiTheme="minorEastAsia" w:eastAsiaTheme="minorEastAsia"/>
          <w:color w:val="auto"/>
          <w:sz w:val="84"/>
          <w:highlight w:val="none"/>
        </w:rPr>
        <w:t>标</w:t>
      </w:r>
      <w:r>
        <w:rPr>
          <w:rFonts w:asciiTheme="minorEastAsia" w:hAnsiTheme="minorEastAsia" w:eastAsiaTheme="minorEastAsia"/>
          <w:color w:val="auto"/>
          <w:sz w:val="84"/>
          <w:highlight w:val="none"/>
        </w:rPr>
        <w:tab/>
      </w:r>
      <w:r>
        <w:rPr>
          <w:rFonts w:asciiTheme="minorEastAsia" w:hAnsiTheme="minorEastAsia" w:eastAsiaTheme="minorEastAsia"/>
          <w:color w:val="auto"/>
          <w:sz w:val="84"/>
          <w:highlight w:val="none"/>
        </w:rPr>
        <w:t>文</w:t>
      </w:r>
      <w:r>
        <w:rPr>
          <w:rFonts w:asciiTheme="minorEastAsia" w:hAnsiTheme="minorEastAsia" w:eastAsiaTheme="minorEastAsia"/>
          <w:color w:val="auto"/>
          <w:sz w:val="84"/>
          <w:highlight w:val="none"/>
        </w:rPr>
        <w:tab/>
      </w:r>
      <w:r>
        <w:rPr>
          <w:rFonts w:asciiTheme="minorEastAsia" w:hAnsiTheme="minorEastAsia" w:eastAsiaTheme="minorEastAsia"/>
          <w:color w:val="auto"/>
          <w:sz w:val="84"/>
          <w:highlight w:val="none"/>
        </w:rPr>
        <w:t>件</w:t>
      </w:r>
    </w:p>
    <w:p w14:paraId="36BE1227">
      <w:pPr>
        <w:pStyle w:val="17"/>
        <w:spacing w:before="7"/>
        <w:rPr>
          <w:rFonts w:asciiTheme="minorEastAsia" w:hAnsiTheme="minorEastAsia" w:eastAsiaTheme="minorEastAsia"/>
          <w:color w:val="auto"/>
          <w:sz w:val="58"/>
          <w:highlight w:val="none"/>
        </w:rPr>
      </w:pPr>
    </w:p>
    <w:p w14:paraId="2AE45FB9">
      <w:pPr>
        <w:pStyle w:val="17"/>
        <w:spacing w:before="7"/>
        <w:rPr>
          <w:rFonts w:asciiTheme="minorEastAsia" w:hAnsiTheme="minorEastAsia" w:eastAsiaTheme="minorEastAsia"/>
          <w:color w:val="auto"/>
          <w:sz w:val="58"/>
          <w:highlight w:val="none"/>
        </w:rPr>
      </w:pPr>
    </w:p>
    <w:p w14:paraId="606C0EE2">
      <w:pPr>
        <w:pStyle w:val="17"/>
        <w:spacing w:before="7"/>
        <w:rPr>
          <w:rFonts w:asciiTheme="minorEastAsia" w:hAnsiTheme="minorEastAsia" w:eastAsiaTheme="minorEastAsia"/>
          <w:color w:val="auto"/>
          <w:sz w:val="58"/>
          <w:highlight w:val="none"/>
        </w:rPr>
      </w:pPr>
    </w:p>
    <w:p w14:paraId="7CD2DA8D">
      <w:pPr>
        <w:pStyle w:val="17"/>
        <w:spacing w:before="7"/>
        <w:rPr>
          <w:rFonts w:asciiTheme="minorEastAsia" w:hAnsiTheme="minorEastAsia" w:eastAsiaTheme="minorEastAsia"/>
          <w:color w:val="auto"/>
          <w:sz w:val="58"/>
          <w:highlight w:val="none"/>
        </w:rPr>
      </w:pPr>
    </w:p>
    <w:p w14:paraId="7D71050B">
      <w:pPr>
        <w:pStyle w:val="17"/>
        <w:spacing w:before="7"/>
        <w:rPr>
          <w:rFonts w:asciiTheme="minorEastAsia" w:hAnsiTheme="minorEastAsia" w:eastAsiaTheme="minorEastAsia"/>
          <w:color w:val="auto"/>
          <w:sz w:val="58"/>
          <w:highlight w:val="none"/>
        </w:rPr>
      </w:pPr>
    </w:p>
    <w:p w14:paraId="5BE2689C">
      <w:pPr>
        <w:pStyle w:val="17"/>
        <w:spacing w:before="7"/>
        <w:rPr>
          <w:rFonts w:asciiTheme="minorEastAsia" w:hAnsiTheme="minorEastAsia" w:eastAsiaTheme="minorEastAsia"/>
          <w:color w:val="auto"/>
          <w:sz w:val="56"/>
          <w:szCs w:val="22"/>
          <w:highlight w:val="none"/>
        </w:rPr>
      </w:pPr>
    </w:p>
    <w:p w14:paraId="695FFE9B">
      <w:pPr>
        <w:rPr>
          <w:rFonts w:asciiTheme="minorEastAsia" w:hAnsiTheme="minorEastAsia" w:eastAsiaTheme="minorEastAsia"/>
          <w:b/>
          <w:i/>
          <w:color w:val="auto"/>
          <w:sz w:val="36"/>
          <w:szCs w:val="36"/>
          <w:highlight w:val="none"/>
        </w:rPr>
      </w:pPr>
      <w:bookmarkStart w:id="1093" w:name="_Toc145095272"/>
      <w:r>
        <w:rPr>
          <w:rFonts w:asciiTheme="minorEastAsia" w:hAnsiTheme="minorEastAsia" w:eastAsiaTheme="minorEastAsia"/>
          <w:color w:val="auto"/>
          <w:sz w:val="36"/>
          <w:szCs w:val="36"/>
          <w:highlight w:val="none"/>
        </w:rPr>
        <w:t>项目名称</w:t>
      </w:r>
      <w:r>
        <w:rPr>
          <w:rFonts w:hint="eastAsia" w:asciiTheme="minorEastAsia" w:hAnsiTheme="minorEastAsia" w:eastAsiaTheme="minorEastAsia"/>
          <w:color w:val="auto"/>
          <w:sz w:val="36"/>
          <w:szCs w:val="36"/>
          <w:highlight w:val="none"/>
          <w:lang w:val="en-US" w:eastAsia="zh-CN"/>
        </w:rPr>
        <w:t>/标的名称</w:t>
      </w:r>
      <w:r>
        <w:rPr>
          <w:rFonts w:asciiTheme="minorEastAsia" w:hAnsiTheme="minorEastAsia" w:eastAsiaTheme="minorEastAsia"/>
          <w:b/>
          <w:i w:val="0"/>
          <w:iCs/>
          <w:color w:val="auto"/>
          <w:sz w:val="36"/>
          <w:szCs w:val="36"/>
          <w:highlight w:val="none"/>
        </w:rPr>
        <w:t>:</w:t>
      </w:r>
      <w:bookmarkEnd w:id="1093"/>
    </w:p>
    <w:p w14:paraId="7E6E11BC">
      <w:pPr>
        <w:rPr>
          <w:rFonts w:asciiTheme="minorEastAsia" w:hAnsiTheme="minorEastAsia" w:eastAsiaTheme="minorEastAsia"/>
          <w:color w:val="auto"/>
          <w:sz w:val="36"/>
          <w:szCs w:val="36"/>
          <w:highlight w:val="none"/>
        </w:rPr>
      </w:pPr>
      <w:bookmarkStart w:id="1094" w:name="_Toc145095273"/>
      <w:r>
        <w:rPr>
          <w:rFonts w:asciiTheme="minorEastAsia" w:hAnsiTheme="minorEastAsia" w:eastAsiaTheme="minorEastAsia"/>
          <w:color w:val="auto"/>
          <w:sz w:val="36"/>
          <w:szCs w:val="36"/>
          <w:highlight w:val="none"/>
        </w:rPr>
        <w:t>项目编号</w:t>
      </w:r>
      <w:r>
        <w:rPr>
          <w:rFonts w:asciiTheme="minorEastAsia" w:hAnsiTheme="minorEastAsia" w:eastAsiaTheme="minorEastAsia"/>
          <w:b/>
          <w:i/>
          <w:color w:val="auto"/>
          <w:sz w:val="36"/>
          <w:szCs w:val="36"/>
          <w:highlight w:val="none"/>
        </w:rPr>
        <w:t>/</w:t>
      </w:r>
      <w:r>
        <w:rPr>
          <w:rFonts w:asciiTheme="minorEastAsia" w:hAnsiTheme="minorEastAsia" w:eastAsiaTheme="minorEastAsia"/>
          <w:color w:val="auto"/>
          <w:sz w:val="36"/>
          <w:szCs w:val="36"/>
          <w:highlight w:val="none"/>
        </w:rPr>
        <w:t>包号：</w:t>
      </w:r>
      <w:bookmarkEnd w:id="1094"/>
    </w:p>
    <w:p w14:paraId="09C9DB44">
      <w:pPr>
        <w:rPr>
          <w:rFonts w:asciiTheme="minorEastAsia" w:hAnsiTheme="minorEastAsia" w:eastAsiaTheme="minorEastAsia"/>
          <w:color w:val="auto"/>
          <w:szCs w:val="21"/>
          <w:highlight w:val="none"/>
        </w:rPr>
      </w:pPr>
      <w:bookmarkStart w:id="1095" w:name="_Toc145095274"/>
      <w:r>
        <w:rPr>
          <w:rFonts w:asciiTheme="minorEastAsia" w:hAnsiTheme="minorEastAsia" w:eastAsiaTheme="minorEastAsia"/>
          <w:color w:val="auto"/>
          <w:sz w:val="36"/>
          <w:szCs w:val="36"/>
          <w:highlight w:val="none"/>
        </w:rPr>
        <w:t>投标人名称</w:t>
      </w:r>
      <w:r>
        <w:rPr>
          <w:rFonts w:asciiTheme="minorEastAsia" w:hAnsiTheme="minorEastAsia" w:eastAsiaTheme="minorEastAsia"/>
          <w:color w:val="auto"/>
          <w:szCs w:val="21"/>
          <w:highlight w:val="none"/>
        </w:rPr>
        <w:t>：</w:t>
      </w:r>
      <w:bookmarkEnd w:id="1095"/>
    </w:p>
    <w:p w14:paraId="369E9426">
      <w:pPr>
        <w:rPr>
          <w:rFonts w:hint="eastAsia"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t>法定代表人或授权代表人（签字或盖章）：</w:t>
      </w:r>
    </w:p>
    <w:p w14:paraId="74667B5B">
      <w:pPr>
        <w:rPr>
          <w:rFonts w:hint="eastAsia" w:asciiTheme="minorEastAsia" w:hAnsiTheme="minorEastAsia" w:eastAsiaTheme="minorEastAsia"/>
          <w:color w:val="auto"/>
          <w:sz w:val="36"/>
          <w:szCs w:val="36"/>
          <w:highlight w:val="none"/>
        </w:rPr>
      </w:pPr>
      <w:r>
        <w:rPr>
          <w:rFonts w:hint="eastAsia" w:asciiTheme="minorEastAsia" w:hAnsiTheme="minorEastAsia" w:eastAsiaTheme="minorEastAsia"/>
          <w:color w:val="auto"/>
          <w:sz w:val="36"/>
          <w:szCs w:val="36"/>
          <w:highlight w:val="none"/>
        </w:rPr>
        <w:t>日期：</w:t>
      </w:r>
    </w:p>
    <w:p w14:paraId="35300F7C">
      <w:pPr>
        <w:tabs>
          <w:tab w:val="left" w:pos="900"/>
          <w:tab w:val="left" w:pos="1980"/>
        </w:tabs>
        <w:snapToGrid w:val="0"/>
        <w:spacing w:line="360" w:lineRule="auto"/>
        <w:ind w:left="142"/>
        <w:rPr>
          <w:rFonts w:hint="eastAsia" w:ascii="宋体" w:hAnsi="宋体"/>
          <w:color w:val="auto"/>
          <w:kern w:val="0"/>
          <w:sz w:val="24"/>
          <w:highlight w:val="none"/>
        </w:rPr>
      </w:pPr>
    </w:p>
    <w:p w14:paraId="3C46350F">
      <w:pPr>
        <w:widowControl/>
        <w:jc w:val="left"/>
        <w:rPr>
          <w:rFonts w:ascii="宋体" w:hAnsi="宋体"/>
          <w:color w:val="auto"/>
          <w:sz w:val="24"/>
          <w:highlight w:val="none"/>
        </w:rPr>
      </w:pPr>
      <w:r>
        <w:rPr>
          <w:rFonts w:ascii="宋体" w:hAnsi="宋体"/>
          <w:color w:val="auto"/>
          <w:sz w:val="24"/>
          <w:highlight w:val="none"/>
        </w:rPr>
        <w:br w:type="page"/>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6AAF6682">
      <w:pPr>
        <w:keepNext/>
        <w:keepLines/>
        <w:autoSpaceDE w:val="0"/>
        <w:autoSpaceDN w:val="0"/>
        <w:adjustRightInd w:val="0"/>
        <w:spacing w:before="120" w:line="300" w:lineRule="auto"/>
        <w:jc w:val="left"/>
        <w:outlineLvl w:val="1"/>
        <w:rPr>
          <w:rFonts w:ascii="宋体" w:hAnsi="宋体"/>
          <w:b/>
          <w:color w:val="auto"/>
          <w:spacing w:val="20"/>
          <w:sz w:val="24"/>
          <w:highlight w:val="none"/>
        </w:rPr>
      </w:pPr>
      <w:r>
        <w:rPr>
          <w:rFonts w:ascii="宋体" w:hAnsi="宋体"/>
          <w:b/>
          <w:color w:val="auto"/>
          <w:spacing w:val="20"/>
          <w:sz w:val="24"/>
          <w:highlight w:val="none"/>
        </w:rPr>
        <w:t>一、资格证明文件格式</w:t>
      </w:r>
    </w:p>
    <w:p w14:paraId="6022158E">
      <w:pPr>
        <w:widowControl/>
        <w:jc w:val="left"/>
        <w:rPr>
          <w:rFonts w:ascii="宋体" w:hAnsi="宋体"/>
          <w:b/>
          <w:color w:val="auto"/>
          <w:spacing w:val="20"/>
          <w:sz w:val="24"/>
          <w:highlight w:val="none"/>
        </w:rPr>
      </w:pPr>
    </w:p>
    <w:p w14:paraId="3386AB4D">
      <w:pPr>
        <w:rPr>
          <w:rFonts w:ascii="宋体" w:hAnsi="宋体"/>
          <w:b/>
          <w:color w:val="auto"/>
          <w:sz w:val="24"/>
          <w:highlight w:val="none"/>
        </w:rPr>
      </w:pPr>
      <w:r>
        <w:rPr>
          <w:rFonts w:ascii="宋体" w:hAnsi="宋体"/>
          <w:b/>
          <w:color w:val="auto"/>
          <w:spacing w:val="20"/>
          <w:sz w:val="24"/>
          <w:highlight w:val="none"/>
        </w:rPr>
        <w:t>投标文件（资格证明文件）</w:t>
      </w:r>
      <w:r>
        <w:rPr>
          <w:rFonts w:ascii="宋体" w:hAnsi="宋体"/>
          <w:b/>
          <w:color w:val="auto"/>
          <w:sz w:val="24"/>
          <w:highlight w:val="none"/>
        </w:rPr>
        <w:t>封面（非实质性格式）</w:t>
      </w:r>
    </w:p>
    <w:p w14:paraId="7E67D9F5">
      <w:pPr>
        <w:jc w:val="center"/>
        <w:rPr>
          <w:rFonts w:ascii="宋体" w:hAnsi="宋体"/>
          <w:color w:val="auto"/>
          <w:sz w:val="24"/>
          <w:highlight w:val="none"/>
        </w:rPr>
      </w:pPr>
    </w:p>
    <w:p w14:paraId="40626B93">
      <w:pPr>
        <w:jc w:val="center"/>
        <w:rPr>
          <w:rFonts w:ascii="宋体" w:hAnsi="宋体"/>
          <w:b/>
          <w:color w:val="auto"/>
          <w:spacing w:val="60"/>
          <w:sz w:val="24"/>
          <w:highlight w:val="none"/>
        </w:rPr>
      </w:pPr>
      <w:r>
        <w:rPr>
          <w:rFonts w:ascii="宋体" w:hAnsi="宋体"/>
          <w:b/>
          <w:color w:val="auto"/>
          <w:spacing w:val="60"/>
          <w:sz w:val="24"/>
          <w:highlight w:val="none"/>
        </w:rPr>
        <w:t>投 标 文 件</w:t>
      </w:r>
    </w:p>
    <w:p w14:paraId="10586927">
      <w:pPr>
        <w:jc w:val="center"/>
        <w:rPr>
          <w:rFonts w:ascii="宋体" w:hAnsi="宋体"/>
          <w:b/>
          <w:color w:val="auto"/>
          <w:spacing w:val="60"/>
          <w:sz w:val="24"/>
          <w:highlight w:val="none"/>
        </w:rPr>
      </w:pPr>
      <w:r>
        <w:rPr>
          <w:rFonts w:ascii="宋体" w:hAnsi="宋体"/>
          <w:b/>
          <w:color w:val="auto"/>
          <w:spacing w:val="60"/>
          <w:sz w:val="24"/>
          <w:highlight w:val="none"/>
        </w:rPr>
        <w:t>（资格证明文件）</w:t>
      </w:r>
    </w:p>
    <w:p w14:paraId="3385BFD6">
      <w:pPr>
        <w:ind w:firstLine="0" w:firstLineChars="0"/>
        <w:rPr>
          <w:rFonts w:ascii="宋体" w:hAnsi="宋体"/>
          <w:b/>
          <w:color w:val="auto"/>
          <w:spacing w:val="20"/>
          <w:sz w:val="24"/>
          <w:highlight w:val="none"/>
        </w:rPr>
      </w:pPr>
    </w:p>
    <w:p w14:paraId="310E004B">
      <w:pPr>
        <w:ind w:firstLine="0" w:firstLineChars="0"/>
        <w:rPr>
          <w:rFonts w:ascii="宋体" w:hAnsi="宋体"/>
          <w:b/>
          <w:color w:val="auto"/>
          <w:spacing w:val="20"/>
          <w:sz w:val="24"/>
          <w:highlight w:val="none"/>
        </w:rPr>
      </w:pPr>
    </w:p>
    <w:p w14:paraId="2E459AA9">
      <w:pPr>
        <w:rPr>
          <w:color w:val="auto"/>
          <w:highlight w:val="none"/>
        </w:rPr>
      </w:pPr>
    </w:p>
    <w:p w14:paraId="55B2EC9D">
      <w:pPr>
        <w:rPr>
          <w:color w:val="auto"/>
          <w:highlight w:val="none"/>
        </w:rPr>
      </w:pPr>
    </w:p>
    <w:p w14:paraId="48856A49">
      <w:pPr>
        <w:rPr>
          <w:color w:val="auto"/>
          <w:highlight w:val="none"/>
        </w:rPr>
      </w:pPr>
    </w:p>
    <w:p w14:paraId="327EF816">
      <w:pPr>
        <w:rPr>
          <w:color w:val="auto"/>
          <w:highlight w:val="none"/>
        </w:rPr>
      </w:pPr>
    </w:p>
    <w:p w14:paraId="3BC82135">
      <w:pPr>
        <w:rPr>
          <w:color w:val="auto"/>
          <w:highlight w:val="none"/>
        </w:rPr>
      </w:pPr>
    </w:p>
    <w:p w14:paraId="153104B3">
      <w:pPr>
        <w:ind w:firstLine="0" w:firstLineChars="0"/>
        <w:rPr>
          <w:rFonts w:hint="eastAsia" w:ascii="Times New Roman" w:hAnsi="Times New Roman"/>
          <w:b w:val="0"/>
          <w:color w:val="auto"/>
          <w:spacing w:val="0"/>
          <w:sz w:val="21"/>
          <w:highlight w:val="none"/>
        </w:rPr>
      </w:pPr>
    </w:p>
    <w:p w14:paraId="5B744B7C">
      <w:pPr>
        <w:rPr>
          <w:rFonts w:asciiTheme="minorEastAsia" w:hAnsiTheme="minorEastAsia" w:eastAsiaTheme="minorEastAsia"/>
          <w:b/>
          <w:bCs/>
          <w:i/>
          <w:color w:val="auto"/>
          <w:sz w:val="24"/>
          <w:szCs w:val="24"/>
          <w:highlight w:val="none"/>
        </w:rPr>
      </w:pPr>
      <w:r>
        <w:rPr>
          <w:rFonts w:asciiTheme="minorEastAsia" w:hAnsiTheme="minorEastAsia" w:eastAsiaTheme="minorEastAsia"/>
          <w:b/>
          <w:bCs/>
          <w:color w:val="auto"/>
          <w:sz w:val="24"/>
          <w:szCs w:val="24"/>
          <w:highlight w:val="none"/>
        </w:rPr>
        <w:t>项目名称</w:t>
      </w:r>
      <w:r>
        <w:rPr>
          <w:rFonts w:hint="eastAsia" w:asciiTheme="minorEastAsia" w:hAnsiTheme="minorEastAsia" w:eastAsiaTheme="minorEastAsia"/>
          <w:b/>
          <w:bCs/>
          <w:color w:val="auto"/>
          <w:sz w:val="24"/>
          <w:szCs w:val="24"/>
          <w:highlight w:val="none"/>
          <w:lang w:val="en-US" w:eastAsia="zh-CN"/>
        </w:rPr>
        <w:t>/标的名称</w:t>
      </w:r>
      <w:r>
        <w:rPr>
          <w:rFonts w:asciiTheme="minorEastAsia" w:hAnsiTheme="minorEastAsia" w:eastAsiaTheme="minorEastAsia"/>
          <w:b/>
          <w:bCs/>
          <w:i/>
          <w:color w:val="auto"/>
          <w:sz w:val="24"/>
          <w:szCs w:val="24"/>
          <w:highlight w:val="none"/>
        </w:rPr>
        <w:t>:</w:t>
      </w:r>
    </w:p>
    <w:p w14:paraId="018547D7">
      <w:pPr>
        <w:rPr>
          <w:rFonts w:asciiTheme="minorEastAsia" w:hAnsiTheme="minorEastAsia" w:eastAsiaTheme="minorEastAsia"/>
          <w:b/>
          <w:bCs/>
          <w:color w:val="auto"/>
          <w:sz w:val="24"/>
          <w:szCs w:val="24"/>
          <w:highlight w:val="none"/>
        </w:rPr>
      </w:pPr>
      <w:r>
        <w:rPr>
          <w:rFonts w:asciiTheme="minorEastAsia" w:hAnsiTheme="minorEastAsia" w:eastAsiaTheme="minorEastAsia"/>
          <w:b/>
          <w:bCs/>
          <w:color w:val="auto"/>
          <w:sz w:val="24"/>
          <w:szCs w:val="24"/>
          <w:highlight w:val="none"/>
        </w:rPr>
        <w:t>项目编号</w:t>
      </w:r>
      <w:r>
        <w:rPr>
          <w:rFonts w:asciiTheme="minorEastAsia" w:hAnsiTheme="minorEastAsia" w:eastAsiaTheme="minorEastAsia"/>
          <w:b/>
          <w:bCs/>
          <w:i/>
          <w:color w:val="auto"/>
          <w:sz w:val="24"/>
          <w:szCs w:val="24"/>
          <w:highlight w:val="none"/>
        </w:rPr>
        <w:t>/</w:t>
      </w:r>
      <w:r>
        <w:rPr>
          <w:rFonts w:asciiTheme="minorEastAsia" w:hAnsiTheme="minorEastAsia" w:eastAsiaTheme="minorEastAsia"/>
          <w:b/>
          <w:bCs/>
          <w:color w:val="auto"/>
          <w:sz w:val="24"/>
          <w:szCs w:val="24"/>
          <w:highlight w:val="none"/>
        </w:rPr>
        <w:t>包号：</w:t>
      </w:r>
    </w:p>
    <w:p w14:paraId="2D04FFF3">
      <w:pPr>
        <w:rPr>
          <w:rFonts w:asciiTheme="minorEastAsia" w:hAnsiTheme="minorEastAsia" w:eastAsiaTheme="minorEastAsia"/>
          <w:b/>
          <w:bCs/>
          <w:color w:val="auto"/>
          <w:sz w:val="16"/>
          <w:szCs w:val="16"/>
          <w:highlight w:val="none"/>
        </w:rPr>
      </w:pPr>
      <w:r>
        <w:rPr>
          <w:rFonts w:asciiTheme="minorEastAsia" w:hAnsiTheme="minorEastAsia" w:eastAsiaTheme="minorEastAsia"/>
          <w:b/>
          <w:bCs/>
          <w:color w:val="auto"/>
          <w:sz w:val="24"/>
          <w:szCs w:val="24"/>
          <w:highlight w:val="none"/>
        </w:rPr>
        <w:t>投标人名称</w:t>
      </w:r>
      <w:r>
        <w:rPr>
          <w:rFonts w:asciiTheme="minorEastAsia" w:hAnsiTheme="minorEastAsia" w:eastAsiaTheme="minorEastAsia"/>
          <w:b/>
          <w:bCs/>
          <w:color w:val="auto"/>
          <w:sz w:val="16"/>
          <w:szCs w:val="16"/>
          <w:highlight w:val="none"/>
        </w:rPr>
        <w:t>：</w:t>
      </w:r>
    </w:p>
    <w:p w14:paraId="5ED8A288">
      <w:pP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法定代表人或授权代表人（签字或盖章）：</w:t>
      </w:r>
    </w:p>
    <w:p w14:paraId="25F440DC">
      <w:pP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
          <w:bCs/>
          <w:color w:val="auto"/>
          <w:sz w:val="24"/>
          <w:szCs w:val="24"/>
          <w:highlight w:val="none"/>
        </w:rPr>
        <w:t>日期：</w:t>
      </w:r>
    </w:p>
    <w:p w14:paraId="720C0052">
      <w:pPr>
        <w:jc w:val="center"/>
        <w:rPr>
          <w:rFonts w:ascii="宋体" w:hAnsi="宋体"/>
          <w:b/>
          <w:color w:val="auto"/>
          <w:sz w:val="24"/>
          <w:highlight w:val="none"/>
        </w:rPr>
      </w:pPr>
    </w:p>
    <w:p w14:paraId="6181375D">
      <w:pPr>
        <w:rPr>
          <w:rFonts w:ascii="宋体" w:hAnsi="宋体"/>
          <w:b/>
          <w:color w:val="auto"/>
          <w:sz w:val="24"/>
          <w:highlight w:val="none"/>
        </w:rPr>
      </w:pPr>
      <w:r>
        <w:rPr>
          <w:rFonts w:ascii="宋体" w:hAnsi="宋体"/>
          <w:b/>
          <w:color w:val="auto"/>
          <w:spacing w:val="20"/>
          <w:sz w:val="24"/>
          <w:highlight w:val="none"/>
        </w:rPr>
        <w:br w:type="page"/>
      </w:r>
    </w:p>
    <w:p w14:paraId="4DE69417">
      <w:pPr>
        <w:spacing w:line="360" w:lineRule="auto"/>
        <w:rPr>
          <w:rFonts w:ascii="宋体" w:hAnsi="宋体"/>
          <w:color w:val="auto"/>
          <w:sz w:val="24"/>
          <w:highlight w:val="none"/>
        </w:rPr>
      </w:pPr>
      <w:r>
        <w:rPr>
          <w:rFonts w:ascii="宋体" w:hAnsi="宋体"/>
          <w:color w:val="auto"/>
          <w:sz w:val="24"/>
          <w:highlight w:val="none"/>
        </w:rPr>
        <w:t>1 满足《中华人民共和国政府采购法》第二十二条规定</w:t>
      </w:r>
      <w:r>
        <w:rPr>
          <w:rFonts w:hint="eastAsia" w:ascii="宋体" w:hAnsi="宋体"/>
          <w:color w:val="auto"/>
          <w:sz w:val="24"/>
          <w:highlight w:val="none"/>
        </w:rPr>
        <w:t>；</w:t>
      </w:r>
      <w:r>
        <w:rPr>
          <w:rFonts w:hint="eastAsia" w:ascii="宋体" w:hAnsi="宋体" w:cs="宋体"/>
          <w:color w:val="auto"/>
          <w:sz w:val="24"/>
          <w:highlight w:val="none"/>
          <w:shd w:val="clear" w:color="auto" w:fill="FFFFFF"/>
        </w:rPr>
        <w:t>《中华人民共和国政府采购法实施条例》第十七条规定</w:t>
      </w:r>
      <w:r>
        <w:rPr>
          <w:rFonts w:ascii="宋体" w:hAnsi="宋体"/>
          <w:color w:val="auto"/>
          <w:sz w:val="24"/>
          <w:highlight w:val="none"/>
        </w:rPr>
        <w:t>及法律法规的其他规定</w:t>
      </w:r>
      <w:r>
        <w:rPr>
          <w:rFonts w:hint="eastAsia" w:ascii="宋体" w:hAnsi="宋体"/>
          <w:color w:val="auto"/>
          <w:sz w:val="24"/>
          <w:highlight w:val="none"/>
        </w:rPr>
        <w:t>；</w:t>
      </w:r>
    </w:p>
    <w:p w14:paraId="488F3D83">
      <w:pPr>
        <w:spacing w:line="360" w:lineRule="auto"/>
        <w:outlineLvl w:val="2"/>
        <w:rPr>
          <w:rFonts w:ascii="宋体" w:hAnsi="宋体"/>
          <w:color w:val="auto"/>
          <w:sz w:val="24"/>
          <w:highlight w:val="none"/>
        </w:rPr>
      </w:pPr>
      <w:r>
        <w:rPr>
          <w:rFonts w:ascii="宋体" w:hAnsi="宋体"/>
          <w:color w:val="auto"/>
          <w:sz w:val="24"/>
          <w:highlight w:val="none"/>
        </w:rPr>
        <w:t>1-1营业执照等证明文件</w:t>
      </w:r>
    </w:p>
    <w:p w14:paraId="5D0CA9FA">
      <w:pPr>
        <w:tabs>
          <w:tab w:val="left" w:pos="1080"/>
        </w:tabs>
        <w:snapToGrid w:val="0"/>
        <w:rPr>
          <w:rFonts w:ascii="宋体" w:hAnsi="宋体"/>
          <w:color w:val="auto"/>
          <w:sz w:val="24"/>
          <w:highlight w:val="none"/>
        </w:rPr>
      </w:pPr>
    </w:p>
    <w:p w14:paraId="0A106589">
      <w:pPr>
        <w:widowControl/>
        <w:jc w:val="left"/>
        <w:rPr>
          <w:rFonts w:ascii="宋体" w:hAnsi="宋体"/>
          <w:color w:val="auto"/>
          <w:sz w:val="24"/>
          <w:highlight w:val="none"/>
        </w:rPr>
      </w:pPr>
      <w:r>
        <w:rPr>
          <w:rFonts w:ascii="宋体" w:hAnsi="宋体"/>
          <w:color w:val="auto"/>
          <w:sz w:val="24"/>
          <w:highlight w:val="none"/>
        </w:rPr>
        <w:br w:type="page"/>
      </w:r>
    </w:p>
    <w:p w14:paraId="3FB1E20D">
      <w:pPr>
        <w:pStyle w:val="4"/>
        <w:rPr>
          <w:rFonts w:hAnsi="宋体"/>
          <w:b w:val="0"/>
          <w:bCs/>
          <w:color w:val="auto"/>
          <w:szCs w:val="24"/>
          <w:highlight w:val="none"/>
          <w:u w:val="none"/>
        </w:rPr>
      </w:pPr>
      <w:r>
        <w:rPr>
          <w:rFonts w:hAnsi="宋体"/>
          <w:b w:val="0"/>
          <w:color w:val="auto"/>
          <w:szCs w:val="24"/>
          <w:highlight w:val="none"/>
          <w:u w:val="none"/>
        </w:rPr>
        <w:t>1-2 投标人资格声明书（实质性格式）</w:t>
      </w:r>
    </w:p>
    <w:p w14:paraId="34ABAE34">
      <w:pPr>
        <w:jc w:val="center"/>
        <w:rPr>
          <w:rFonts w:ascii="宋体" w:hAnsi="宋体"/>
          <w:b/>
          <w:color w:val="auto"/>
          <w:sz w:val="24"/>
          <w:highlight w:val="none"/>
        </w:rPr>
      </w:pPr>
      <w:r>
        <w:rPr>
          <w:rFonts w:hint="eastAsia" w:ascii="宋体" w:hAnsi="宋体"/>
          <w:b/>
          <w:color w:val="auto"/>
          <w:sz w:val="24"/>
          <w:highlight w:val="none"/>
        </w:rPr>
        <w:t>投标人资格声明书</w:t>
      </w:r>
    </w:p>
    <w:p w14:paraId="44AF09CA">
      <w:pPr>
        <w:tabs>
          <w:tab w:val="left" w:pos="5580"/>
        </w:tabs>
        <w:spacing w:line="360" w:lineRule="auto"/>
        <w:rPr>
          <w:rFonts w:ascii="宋体" w:hAnsi="宋体"/>
          <w:color w:val="auto"/>
          <w:sz w:val="24"/>
          <w:highlight w:val="none"/>
        </w:rPr>
      </w:pPr>
    </w:p>
    <w:p w14:paraId="2C46A78A">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1D06595C">
      <w:pPr>
        <w:spacing w:line="360" w:lineRule="auto"/>
        <w:ind w:firstLine="480" w:firstLineChars="200"/>
        <w:rPr>
          <w:rFonts w:ascii="宋体" w:hAnsi="宋体"/>
          <w:color w:val="auto"/>
          <w:sz w:val="24"/>
          <w:highlight w:val="none"/>
        </w:rPr>
      </w:pPr>
      <w:r>
        <w:rPr>
          <w:rFonts w:ascii="宋体" w:hAnsi="宋体"/>
          <w:color w:val="auto"/>
          <w:sz w:val="24"/>
          <w:highlight w:val="none"/>
        </w:rPr>
        <w:t>在参与本次项目投标中，我单位承诺：</w:t>
      </w:r>
    </w:p>
    <w:p w14:paraId="16FA4884">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具有良好的商业信誉和健全的财务会计制度；</w:t>
      </w:r>
    </w:p>
    <w:p w14:paraId="34735B44">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具有履行合同所必需的设备和专业技术能力；</w:t>
      </w:r>
    </w:p>
    <w:p w14:paraId="698EADFA">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有依法缴纳税收和社会保障资金的良好记录；</w:t>
      </w:r>
    </w:p>
    <w:p w14:paraId="2FA73432">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12235D">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我单位不属于政府采购法律、行政法规规定的公益一类事业单位、或使用事业编制且由财政拨款保障的群团组织（仅适用于政府购买服务项目）；</w:t>
      </w:r>
    </w:p>
    <w:p w14:paraId="1C0A8C5A">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我单位不存在为采购项目提供整体设计、规范编制或者项目管理、监理、检测等服务后，再参加该采购项目的其他采购活动的情形（单一来源采购项目除外）；</w:t>
      </w:r>
    </w:p>
    <w:p w14:paraId="30305A47">
      <w:pPr>
        <w:numPr>
          <w:ilvl w:val="0"/>
          <w:numId w:val="37"/>
        </w:numPr>
        <w:spacing w:line="360" w:lineRule="auto"/>
        <w:ind w:left="1134"/>
        <w:rPr>
          <w:rFonts w:ascii="宋体" w:hAnsi="宋体"/>
          <w:color w:val="auto"/>
          <w:sz w:val="24"/>
          <w:highlight w:val="none"/>
        </w:rPr>
      </w:pPr>
      <w:r>
        <w:rPr>
          <w:rFonts w:ascii="宋体" w:hAnsi="宋体"/>
          <w:color w:val="auto"/>
          <w:sz w:val="24"/>
          <w:highlight w:val="none"/>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08A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1F6A90">
            <w:pPr>
              <w:jc w:val="center"/>
              <w:rPr>
                <w:rFonts w:ascii="宋体" w:hAnsi="宋体"/>
                <w:color w:val="auto"/>
                <w:sz w:val="24"/>
                <w:highlight w:val="none"/>
              </w:rPr>
            </w:pPr>
            <w:r>
              <w:rPr>
                <w:rFonts w:ascii="宋体" w:hAnsi="宋体"/>
                <w:color w:val="auto"/>
                <w:sz w:val="24"/>
                <w:highlight w:val="none"/>
              </w:rPr>
              <w:t>序号</w:t>
            </w:r>
          </w:p>
        </w:tc>
        <w:tc>
          <w:tcPr>
            <w:tcW w:w="4574" w:type="dxa"/>
            <w:vAlign w:val="center"/>
          </w:tcPr>
          <w:p w14:paraId="43862DEF">
            <w:pPr>
              <w:jc w:val="center"/>
              <w:rPr>
                <w:rFonts w:ascii="宋体" w:hAnsi="宋体"/>
                <w:color w:val="auto"/>
                <w:sz w:val="24"/>
                <w:highlight w:val="none"/>
              </w:rPr>
            </w:pPr>
            <w:r>
              <w:rPr>
                <w:rFonts w:ascii="宋体" w:hAnsi="宋体"/>
                <w:color w:val="auto"/>
                <w:sz w:val="24"/>
                <w:highlight w:val="none"/>
              </w:rPr>
              <w:t>单位名称</w:t>
            </w:r>
          </w:p>
        </w:tc>
        <w:tc>
          <w:tcPr>
            <w:tcW w:w="2976" w:type="dxa"/>
            <w:vAlign w:val="center"/>
          </w:tcPr>
          <w:p w14:paraId="395987AB">
            <w:pPr>
              <w:jc w:val="center"/>
              <w:rPr>
                <w:rFonts w:ascii="宋体" w:hAnsi="宋体"/>
                <w:color w:val="auto"/>
                <w:sz w:val="24"/>
                <w:highlight w:val="none"/>
              </w:rPr>
            </w:pPr>
            <w:r>
              <w:rPr>
                <w:rFonts w:ascii="宋体" w:hAnsi="宋体"/>
                <w:color w:val="auto"/>
                <w:sz w:val="24"/>
                <w:highlight w:val="none"/>
              </w:rPr>
              <w:t>相互关系</w:t>
            </w:r>
          </w:p>
        </w:tc>
      </w:tr>
      <w:tr w14:paraId="0F7B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8BED61">
            <w:pPr>
              <w:jc w:val="center"/>
              <w:rPr>
                <w:rFonts w:ascii="宋体" w:hAnsi="宋体"/>
                <w:color w:val="auto"/>
                <w:sz w:val="24"/>
                <w:highlight w:val="none"/>
              </w:rPr>
            </w:pPr>
            <w:r>
              <w:rPr>
                <w:rFonts w:ascii="宋体" w:hAnsi="宋体"/>
                <w:color w:val="auto"/>
                <w:sz w:val="24"/>
                <w:highlight w:val="none"/>
              </w:rPr>
              <w:t>1</w:t>
            </w:r>
          </w:p>
        </w:tc>
        <w:tc>
          <w:tcPr>
            <w:tcW w:w="4574" w:type="dxa"/>
            <w:vAlign w:val="center"/>
          </w:tcPr>
          <w:p w14:paraId="13A9C059">
            <w:pPr>
              <w:jc w:val="center"/>
              <w:rPr>
                <w:rFonts w:ascii="宋体" w:hAnsi="宋体"/>
                <w:color w:val="auto"/>
                <w:sz w:val="24"/>
                <w:highlight w:val="none"/>
              </w:rPr>
            </w:pPr>
          </w:p>
        </w:tc>
        <w:tc>
          <w:tcPr>
            <w:tcW w:w="2976" w:type="dxa"/>
            <w:vAlign w:val="center"/>
          </w:tcPr>
          <w:p w14:paraId="087F9349">
            <w:pPr>
              <w:jc w:val="center"/>
              <w:rPr>
                <w:rFonts w:ascii="宋体" w:hAnsi="宋体"/>
                <w:color w:val="auto"/>
                <w:sz w:val="24"/>
                <w:highlight w:val="none"/>
              </w:rPr>
            </w:pPr>
          </w:p>
        </w:tc>
      </w:tr>
      <w:tr w14:paraId="10F2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049102">
            <w:pPr>
              <w:jc w:val="center"/>
              <w:rPr>
                <w:rFonts w:ascii="宋体" w:hAnsi="宋体"/>
                <w:color w:val="auto"/>
                <w:sz w:val="24"/>
                <w:highlight w:val="none"/>
              </w:rPr>
            </w:pPr>
            <w:r>
              <w:rPr>
                <w:rFonts w:ascii="宋体" w:hAnsi="宋体"/>
                <w:color w:val="auto"/>
                <w:sz w:val="24"/>
                <w:highlight w:val="none"/>
              </w:rPr>
              <w:t>2</w:t>
            </w:r>
          </w:p>
        </w:tc>
        <w:tc>
          <w:tcPr>
            <w:tcW w:w="4574" w:type="dxa"/>
            <w:vAlign w:val="center"/>
          </w:tcPr>
          <w:p w14:paraId="2C3AFC6E">
            <w:pPr>
              <w:jc w:val="center"/>
              <w:rPr>
                <w:rFonts w:ascii="宋体" w:hAnsi="宋体"/>
                <w:color w:val="auto"/>
                <w:sz w:val="24"/>
                <w:highlight w:val="none"/>
              </w:rPr>
            </w:pPr>
          </w:p>
        </w:tc>
        <w:tc>
          <w:tcPr>
            <w:tcW w:w="2976" w:type="dxa"/>
            <w:vAlign w:val="center"/>
          </w:tcPr>
          <w:p w14:paraId="1B64DB35">
            <w:pPr>
              <w:jc w:val="center"/>
              <w:rPr>
                <w:rFonts w:ascii="宋体" w:hAnsi="宋体"/>
                <w:color w:val="auto"/>
                <w:sz w:val="24"/>
                <w:highlight w:val="none"/>
              </w:rPr>
            </w:pPr>
          </w:p>
        </w:tc>
      </w:tr>
      <w:tr w14:paraId="19DDC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4F926">
            <w:pPr>
              <w:jc w:val="center"/>
              <w:rPr>
                <w:rFonts w:ascii="宋体" w:hAnsi="宋体"/>
                <w:color w:val="auto"/>
                <w:sz w:val="24"/>
                <w:highlight w:val="none"/>
              </w:rPr>
            </w:pPr>
            <w:r>
              <w:rPr>
                <w:rFonts w:ascii="宋体" w:hAnsi="宋体"/>
                <w:color w:val="auto"/>
                <w:sz w:val="24"/>
                <w:highlight w:val="none"/>
              </w:rPr>
              <w:t>…</w:t>
            </w:r>
          </w:p>
        </w:tc>
        <w:tc>
          <w:tcPr>
            <w:tcW w:w="4574" w:type="dxa"/>
            <w:vAlign w:val="center"/>
          </w:tcPr>
          <w:p w14:paraId="230D4FE3">
            <w:pPr>
              <w:jc w:val="center"/>
              <w:rPr>
                <w:rFonts w:ascii="宋体" w:hAnsi="宋体"/>
                <w:color w:val="auto"/>
                <w:sz w:val="24"/>
                <w:highlight w:val="none"/>
              </w:rPr>
            </w:pPr>
          </w:p>
        </w:tc>
        <w:tc>
          <w:tcPr>
            <w:tcW w:w="2976" w:type="dxa"/>
            <w:vAlign w:val="center"/>
          </w:tcPr>
          <w:p w14:paraId="725F7326">
            <w:pPr>
              <w:jc w:val="center"/>
              <w:rPr>
                <w:rFonts w:ascii="宋体" w:hAnsi="宋体"/>
                <w:color w:val="auto"/>
                <w:sz w:val="24"/>
                <w:highlight w:val="none"/>
              </w:rPr>
            </w:pPr>
          </w:p>
        </w:tc>
      </w:tr>
    </w:tbl>
    <w:p w14:paraId="286283BC">
      <w:pPr>
        <w:rPr>
          <w:rFonts w:ascii="宋体" w:hAnsi="宋体"/>
          <w:color w:val="auto"/>
          <w:sz w:val="24"/>
          <w:highlight w:val="none"/>
        </w:rPr>
      </w:pPr>
    </w:p>
    <w:p w14:paraId="31CEDD23">
      <w:pPr>
        <w:ind w:firstLine="480" w:firstLineChars="200"/>
        <w:rPr>
          <w:rFonts w:ascii="宋体" w:hAnsi="宋体"/>
          <w:color w:val="auto"/>
          <w:sz w:val="24"/>
          <w:highlight w:val="none"/>
        </w:rPr>
      </w:pPr>
      <w:r>
        <w:rPr>
          <w:rFonts w:ascii="宋体" w:hAnsi="宋体"/>
          <w:color w:val="auto"/>
          <w:sz w:val="24"/>
          <w:highlight w:val="none"/>
        </w:rPr>
        <w:t>上述声明真实有效，否则我方负全部责任。</w:t>
      </w:r>
    </w:p>
    <w:p w14:paraId="250FB437">
      <w:pPr>
        <w:spacing w:line="360" w:lineRule="auto"/>
        <w:rPr>
          <w:rFonts w:ascii="宋体" w:hAnsi="宋体"/>
          <w:color w:val="auto"/>
          <w:sz w:val="24"/>
          <w:highlight w:val="none"/>
        </w:rPr>
      </w:pPr>
    </w:p>
    <w:p w14:paraId="617065F3">
      <w:pPr>
        <w:autoSpaceDE w:val="0"/>
        <w:autoSpaceDN w:val="0"/>
        <w:adjustRightInd w:val="0"/>
        <w:snapToGrid w:val="0"/>
        <w:spacing w:before="25" w:after="25" w:line="360" w:lineRule="auto"/>
        <w:jc w:val="right"/>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14:paraId="72F935D0">
      <w:pPr>
        <w:spacing w:line="360" w:lineRule="auto"/>
        <w:ind w:right="360" w:firstLine="480"/>
        <w:jc w:val="right"/>
        <w:rPr>
          <w:rFonts w:ascii="宋体" w:hAnsi="宋体"/>
          <w:color w:val="auto"/>
          <w:sz w:val="24"/>
          <w:highlight w:val="none"/>
        </w:rPr>
      </w:pPr>
      <w:r>
        <w:rPr>
          <w:rFonts w:ascii="宋体" w:hAnsi="宋体"/>
          <w:color w:val="auto"/>
          <w:sz w:val="24"/>
          <w:highlight w:val="none"/>
        </w:rPr>
        <w:t xml:space="preserve">日期：_____年______月______日   </w:t>
      </w:r>
    </w:p>
    <w:p w14:paraId="0A68739B">
      <w:pPr>
        <w:spacing w:line="360" w:lineRule="auto"/>
        <w:rPr>
          <w:rFonts w:ascii="宋体" w:hAnsi="宋体"/>
          <w:color w:val="auto"/>
          <w:sz w:val="24"/>
          <w:highlight w:val="none"/>
        </w:rPr>
      </w:pPr>
      <w:r>
        <w:rPr>
          <w:rFonts w:ascii="宋体" w:hAnsi="宋体"/>
          <w:color w:val="auto"/>
          <w:sz w:val="24"/>
          <w:highlight w:val="none"/>
        </w:rPr>
        <w:t>说明：</w:t>
      </w:r>
      <w:r>
        <w:rPr>
          <w:rFonts w:hint="eastAsia" w:ascii="宋体" w:hAnsi="宋体"/>
          <w:color w:val="auto"/>
          <w:sz w:val="24"/>
          <w:highlight w:val="none"/>
        </w:rPr>
        <w:t>供应商承诺不实的，依据《政府采购法》第七十七条“提供虚假材料谋取中标、成交的”有关规定予以处理</w:t>
      </w:r>
      <w:r>
        <w:rPr>
          <w:rFonts w:ascii="宋体" w:hAnsi="宋体"/>
          <w:color w:val="auto"/>
          <w:sz w:val="24"/>
          <w:highlight w:val="none"/>
        </w:rPr>
        <w:t>。</w:t>
      </w:r>
    </w:p>
    <w:p w14:paraId="29C0FA40">
      <w:pPr>
        <w:spacing w:line="360" w:lineRule="auto"/>
        <w:outlineLvl w:val="2"/>
        <w:rPr>
          <w:rFonts w:ascii="宋体" w:hAnsi="宋体"/>
          <w:color w:val="auto"/>
          <w:sz w:val="24"/>
          <w:highlight w:val="none"/>
        </w:rPr>
      </w:pPr>
      <w:r>
        <w:rPr>
          <w:rFonts w:ascii="宋体" w:hAnsi="宋体"/>
          <w:color w:val="auto"/>
          <w:sz w:val="24"/>
          <w:highlight w:val="none"/>
        </w:rPr>
        <w:t>2 落实政府采购政策需满足的资格要求</w:t>
      </w:r>
    </w:p>
    <w:p w14:paraId="15914DC0">
      <w:pPr>
        <w:spacing w:line="360" w:lineRule="auto"/>
        <w:outlineLvl w:val="2"/>
        <w:rPr>
          <w:rFonts w:ascii="宋体" w:hAnsi="宋体"/>
          <w:color w:val="auto"/>
          <w:sz w:val="24"/>
          <w:highlight w:val="none"/>
        </w:rPr>
      </w:pPr>
      <w:r>
        <w:rPr>
          <w:rFonts w:ascii="宋体" w:hAnsi="宋体"/>
          <w:color w:val="auto"/>
          <w:sz w:val="24"/>
          <w:highlight w:val="none"/>
        </w:rPr>
        <w:t>2-1中小企业声明函</w:t>
      </w:r>
    </w:p>
    <w:p w14:paraId="2AA8E631">
      <w:pPr>
        <w:tabs>
          <w:tab w:val="left" w:pos="5580"/>
        </w:tabs>
        <w:spacing w:line="360" w:lineRule="auto"/>
        <w:rPr>
          <w:rFonts w:ascii="宋体" w:hAnsi="宋体"/>
          <w:color w:val="auto"/>
          <w:sz w:val="24"/>
          <w:highlight w:val="none"/>
        </w:rPr>
      </w:pPr>
    </w:p>
    <w:p w14:paraId="2250FEEB">
      <w:pPr>
        <w:tabs>
          <w:tab w:val="left" w:pos="5580"/>
        </w:tabs>
        <w:spacing w:line="360" w:lineRule="auto"/>
        <w:rPr>
          <w:rFonts w:ascii="宋体" w:hAnsi="宋体"/>
          <w:color w:val="auto"/>
          <w:sz w:val="24"/>
          <w:highlight w:val="none"/>
        </w:rPr>
      </w:pPr>
      <w:r>
        <w:rPr>
          <w:rFonts w:ascii="宋体" w:hAnsi="宋体"/>
          <w:color w:val="auto"/>
          <w:sz w:val="24"/>
          <w:highlight w:val="none"/>
        </w:rPr>
        <w:t>说明：</w:t>
      </w:r>
    </w:p>
    <w:p w14:paraId="120D4F63">
      <w:pPr>
        <w:tabs>
          <w:tab w:val="left" w:pos="5580"/>
        </w:tabs>
        <w:spacing w:line="360" w:lineRule="auto"/>
        <w:rPr>
          <w:rFonts w:ascii="宋体" w:hAnsi="宋体"/>
          <w:color w:val="auto"/>
          <w:sz w:val="24"/>
          <w:highlight w:val="none"/>
        </w:rPr>
      </w:pPr>
      <w:r>
        <w:rPr>
          <w:rFonts w:ascii="宋体" w:hAnsi="宋体"/>
          <w:color w:val="auto"/>
          <w:sz w:val="24"/>
          <w:highlight w:val="none"/>
        </w:rPr>
        <w:t>（1）如本项目（包）不专门面向中小企业预留采购份额，</w:t>
      </w:r>
      <w:r>
        <w:rPr>
          <w:rFonts w:hint="eastAsia" w:ascii="宋体" w:hAnsi="宋体"/>
          <w:color w:val="auto"/>
          <w:sz w:val="24"/>
          <w:highlight w:val="none"/>
        </w:rPr>
        <w:t>资格证明文件部分</w:t>
      </w:r>
      <w:r>
        <w:rPr>
          <w:rFonts w:ascii="宋体" w:hAnsi="宋体"/>
          <w:color w:val="auto"/>
          <w:sz w:val="24"/>
          <w:highlight w:val="none"/>
        </w:rPr>
        <w:t>无需提供《中小企业声明函》。</w:t>
      </w:r>
    </w:p>
    <w:p w14:paraId="5EADE940">
      <w:pPr>
        <w:tabs>
          <w:tab w:val="left" w:pos="5580"/>
        </w:tabs>
        <w:spacing w:line="360" w:lineRule="auto"/>
        <w:rPr>
          <w:rFonts w:ascii="宋体" w:hAnsi="宋体"/>
          <w:color w:val="auto"/>
          <w:sz w:val="24"/>
          <w:highlight w:val="none"/>
        </w:rPr>
      </w:pPr>
      <w:r>
        <w:rPr>
          <w:rFonts w:ascii="宋体" w:hAnsi="宋体"/>
          <w:color w:val="auto"/>
          <w:sz w:val="24"/>
          <w:highlight w:val="none"/>
        </w:rPr>
        <w:t>（2）如本项目（包）专门面向中小/小微企业采购，须提供《中小企业声明函》（实质性格式）。</w:t>
      </w:r>
    </w:p>
    <w:p w14:paraId="7BB82379">
      <w:pPr>
        <w:tabs>
          <w:tab w:val="left" w:pos="5580"/>
        </w:tabs>
        <w:spacing w:line="360" w:lineRule="auto"/>
        <w:rPr>
          <w:rFonts w:ascii="宋体" w:hAnsi="宋体"/>
          <w:color w:val="auto"/>
          <w:sz w:val="24"/>
          <w:highlight w:val="none"/>
        </w:rPr>
      </w:pPr>
      <w:r>
        <w:rPr>
          <w:rFonts w:ascii="宋体" w:hAnsi="宋体"/>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E86524E">
      <w:pPr>
        <w:tabs>
          <w:tab w:val="left" w:pos="5580"/>
        </w:tabs>
        <w:spacing w:line="360" w:lineRule="auto"/>
        <w:rPr>
          <w:rFonts w:ascii="宋体" w:hAnsi="宋体"/>
          <w:color w:val="auto"/>
          <w:sz w:val="24"/>
          <w:highlight w:val="none"/>
        </w:rPr>
      </w:pPr>
      <w:r>
        <w:rPr>
          <w:rFonts w:hint="eastAsia" w:ascii="宋体" w:hAnsi="宋体"/>
          <w:color w:val="auto"/>
          <w:sz w:val="24"/>
          <w:highlight w:val="none"/>
        </w:rPr>
        <w:t>（4）其他</w:t>
      </w:r>
    </w:p>
    <w:p w14:paraId="59D65AA9">
      <w:pPr>
        <w:tabs>
          <w:tab w:val="left" w:pos="5580"/>
        </w:tabs>
        <w:spacing w:line="360" w:lineRule="auto"/>
        <w:rPr>
          <w:rFonts w:ascii="宋体" w:hAnsi="宋体"/>
          <w:color w:val="auto"/>
          <w:sz w:val="24"/>
          <w:highlight w:val="none"/>
        </w:rPr>
      </w:pPr>
      <w:r>
        <w:rPr>
          <w:rFonts w:hint="eastAsia" w:ascii="宋体" w:hAnsi="宋体"/>
          <w:color w:val="auto"/>
          <w:sz w:val="24"/>
          <w:highlight w:val="none"/>
        </w:rPr>
        <w:t>1）中小企业参加政府采购活动，应当出具此格式文件。《中小企业声明函》由参加政府采购活动的投标人出具。联合体投标的，《中小企业声明函》由牵头人出具。</w:t>
      </w:r>
    </w:p>
    <w:p w14:paraId="49D12B15">
      <w:pPr>
        <w:tabs>
          <w:tab w:val="left" w:pos="5580"/>
        </w:tabs>
        <w:spacing w:line="360" w:lineRule="auto"/>
        <w:rPr>
          <w:rFonts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供应商应当在声明函“项目名称/标的名称”部分标明联合体中中小企业承担的具体内容或者中小企业的具体分包内容。</w:t>
      </w:r>
    </w:p>
    <w:p w14:paraId="4DD161E2">
      <w:pPr>
        <w:tabs>
          <w:tab w:val="left" w:pos="5580"/>
        </w:tabs>
        <w:spacing w:line="360" w:lineRule="auto"/>
        <w:rPr>
          <w:rFonts w:ascii="宋体" w:hAnsi="宋体"/>
          <w:color w:val="auto"/>
          <w:sz w:val="24"/>
          <w:highlight w:val="none"/>
        </w:rPr>
      </w:pPr>
      <w:r>
        <w:rPr>
          <w:rFonts w:hint="eastAsia" w:ascii="宋体" w:hAnsi="宋体"/>
          <w:color w:val="auto"/>
          <w:sz w:val="24"/>
          <w:highlight w:val="none"/>
        </w:rPr>
        <w:t>3）对于多标的的采购项目，投标人应充分、准确地了解所投产品制造企业信息。对相关情况了解不清楚的，不建议填报本声明函。</w:t>
      </w:r>
    </w:p>
    <w:p w14:paraId="60251CCA">
      <w:pPr>
        <w:tabs>
          <w:tab w:val="left" w:pos="5580"/>
        </w:tabs>
        <w:spacing w:line="360" w:lineRule="auto"/>
        <w:rPr>
          <w:rFonts w:ascii="宋体" w:hAnsi="宋体"/>
          <w:color w:val="auto"/>
          <w:sz w:val="24"/>
          <w:highlight w:val="none"/>
        </w:rPr>
      </w:pPr>
      <w:r>
        <w:rPr>
          <w:rFonts w:hint="eastAsia" w:ascii="宋体" w:hAnsi="宋体"/>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8BD3BCC">
      <w:pPr>
        <w:widowControl/>
        <w:jc w:val="left"/>
        <w:rPr>
          <w:rFonts w:ascii="宋体" w:hAnsi="宋体"/>
          <w:color w:val="auto"/>
          <w:sz w:val="24"/>
          <w:highlight w:val="none"/>
        </w:rPr>
      </w:pPr>
      <w:r>
        <w:rPr>
          <w:rFonts w:ascii="宋体" w:hAnsi="宋体"/>
          <w:color w:val="auto"/>
          <w:sz w:val="24"/>
          <w:highlight w:val="none"/>
        </w:rPr>
        <w:br w:type="page"/>
      </w:r>
    </w:p>
    <w:p w14:paraId="6353554E">
      <w:pPr>
        <w:spacing w:before="240" w:beforeLines="100" w:after="240" w:afterLines="100" w:line="360" w:lineRule="auto"/>
        <w:ind w:firstLine="2409" w:firstLineChars="1000"/>
        <w:jc w:val="both"/>
        <w:rPr>
          <w:rFonts w:ascii="宋体" w:hAnsi="宋体"/>
          <w:b/>
          <w:bCs/>
          <w:color w:val="auto"/>
          <w:sz w:val="24"/>
          <w:highlight w:val="none"/>
        </w:rPr>
      </w:pPr>
      <w:r>
        <w:rPr>
          <w:rFonts w:hint="eastAsia" w:ascii="宋体" w:hAnsi="宋体"/>
          <w:b/>
          <w:bCs/>
          <w:color w:val="auto"/>
          <w:sz w:val="24"/>
          <w:highlight w:val="none"/>
        </w:rPr>
        <w:t>中小企业声明函（服务）格式</w:t>
      </w:r>
    </w:p>
    <w:p w14:paraId="73FF4DF5">
      <w:pPr>
        <w:spacing w:line="360" w:lineRule="auto"/>
        <w:ind w:firstLine="504"/>
        <w:rPr>
          <w:rFonts w:ascii="宋体" w:hAnsi="宋体"/>
          <w:color w:val="auto"/>
          <w:spacing w:val="6"/>
          <w:sz w:val="24"/>
          <w:highlight w:val="none"/>
        </w:rPr>
      </w:pPr>
      <w:r>
        <w:rPr>
          <w:rFonts w:ascii="宋体" w:hAnsi="宋体"/>
          <w:color w:val="auto"/>
          <w:spacing w:val="6"/>
          <w:sz w:val="24"/>
          <w:highlight w:val="none"/>
        </w:rPr>
        <w:t>本公司（联合体）郑重声明，根据《政府采购促进中小企业发展管理办法》（财库﹝2020﹞46 号）的规定，本公司（联合体）参加</w:t>
      </w:r>
      <w:r>
        <w:rPr>
          <w:rFonts w:ascii="宋体" w:hAnsi="宋体"/>
          <w:color w:val="auto"/>
          <w:spacing w:val="6"/>
          <w:sz w:val="24"/>
          <w:highlight w:val="none"/>
          <w:u w:val="single"/>
        </w:rPr>
        <w:t>（单位名称）</w:t>
      </w:r>
      <w:r>
        <w:rPr>
          <w:rFonts w:ascii="宋体" w:hAnsi="宋体"/>
          <w:color w:val="auto"/>
          <w:spacing w:val="6"/>
          <w:sz w:val="24"/>
          <w:highlight w:val="none"/>
        </w:rPr>
        <w:t>的</w:t>
      </w:r>
      <w:r>
        <w:rPr>
          <w:rFonts w:ascii="宋体" w:hAnsi="宋体"/>
          <w:color w:val="auto"/>
          <w:spacing w:val="6"/>
          <w:sz w:val="24"/>
          <w:highlight w:val="none"/>
          <w:u w:val="single"/>
        </w:rPr>
        <w:t>（</w:t>
      </w:r>
      <w:r>
        <w:rPr>
          <w:rFonts w:hint="eastAsia" w:ascii="宋体" w:hAnsi="宋体"/>
          <w:color w:val="auto"/>
          <w:spacing w:val="6"/>
          <w:sz w:val="24"/>
          <w:highlight w:val="none"/>
          <w:u w:val="single"/>
        </w:rPr>
        <w:t>项目名称/标的名称</w:t>
      </w:r>
      <w:r>
        <w:rPr>
          <w:rFonts w:ascii="宋体" w:hAnsi="宋体"/>
          <w:color w:val="auto"/>
          <w:spacing w:val="6"/>
          <w:sz w:val="24"/>
          <w:highlight w:val="none"/>
          <w:u w:val="single"/>
        </w:rPr>
        <w:t>）</w:t>
      </w:r>
      <w:r>
        <w:rPr>
          <w:rFonts w:ascii="宋体" w:hAnsi="宋体"/>
          <w:color w:val="auto"/>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35A10D">
      <w:pPr>
        <w:spacing w:line="360" w:lineRule="auto"/>
        <w:ind w:firstLine="504"/>
        <w:rPr>
          <w:rFonts w:ascii="宋体" w:hAnsi="宋体"/>
          <w:color w:val="auto"/>
          <w:spacing w:val="6"/>
          <w:sz w:val="24"/>
          <w:highlight w:val="none"/>
        </w:rPr>
      </w:pPr>
      <w:r>
        <w:rPr>
          <w:rFonts w:ascii="宋体" w:hAnsi="宋体"/>
          <w:color w:val="auto"/>
          <w:spacing w:val="6"/>
          <w:sz w:val="24"/>
          <w:highlight w:val="none"/>
        </w:rPr>
        <w:t>1.</w:t>
      </w:r>
      <w:r>
        <w:rPr>
          <w:rFonts w:ascii="宋体" w:hAnsi="宋体"/>
          <w:color w:val="auto"/>
          <w:spacing w:val="6"/>
          <w:sz w:val="24"/>
          <w:highlight w:val="none"/>
          <w:u w:val="single"/>
        </w:rPr>
        <w:t>（标的名称）</w:t>
      </w:r>
      <w:r>
        <w:rPr>
          <w:rFonts w:ascii="宋体" w:hAnsi="宋体"/>
          <w:color w:val="auto"/>
          <w:spacing w:val="6"/>
          <w:sz w:val="24"/>
          <w:highlight w:val="none"/>
        </w:rPr>
        <w:t>，属于</w:t>
      </w:r>
      <w:r>
        <w:rPr>
          <w:rFonts w:ascii="宋体" w:hAnsi="宋体"/>
          <w:color w:val="auto"/>
          <w:spacing w:val="6"/>
          <w:sz w:val="24"/>
          <w:highlight w:val="none"/>
          <w:u w:val="single"/>
        </w:rPr>
        <w:t>（采购文件中明确的所属行业）</w:t>
      </w:r>
      <w:r>
        <w:rPr>
          <w:rFonts w:ascii="宋体" w:hAnsi="宋体"/>
          <w:color w:val="auto"/>
          <w:spacing w:val="6"/>
          <w:sz w:val="24"/>
          <w:highlight w:val="none"/>
        </w:rPr>
        <w:t>行业；承建（承接）企业为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w:t>
      </w:r>
      <w:r>
        <w:rPr>
          <w:rFonts w:ascii="宋体" w:hAnsi="宋体"/>
          <w:color w:val="auto"/>
          <w:spacing w:val="6"/>
          <w:sz w:val="24"/>
          <w:highlight w:val="none"/>
          <w:vertAlign w:val="superscript"/>
        </w:rPr>
        <w:t>1</w:t>
      </w:r>
      <w:r>
        <w:rPr>
          <w:rFonts w:ascii="宋体" w:hAnsi="宋体"/>
          <w:color w:val="auto"/>
          <w:spacing w:val="6"/>
          <w:sz w:val="24"/>
          <w:highlight w:val="none"/>
        </w:rPr>
        <w:t>，属于（中型企业、小型企业、微型企业）；</w:t>
      </w:r>
    </w:p>
    <w:p w14:paraId="05022820">
      <w:pPr>
        <w:spacing w:line="360" w:lineRule="auto"/>
        <w:ind w:firstLine="504"/>
        <w:rPr>
          <w:rFonts w:ascii="宋体" w:hAnsi="宋体"/>
          <w:color w:val="auto"/>
          <w:spacing w:val="6"/>
          <w:sz w:val="24"/>
          <w:highlight w:val="none"/>
        </w:rPr>
      </w:pPr>
      <w:r>
        <w:rPr>
          <w:rFonts w:ascii="宋体" w:hAnsi="宋体"/>
          <w:color w:val="auto"/>
          <w:spacing w:val="6"/>
          <w:sz w:val="24"/>
          <w:highlight w:val="none"/>
        </w:rPr>
        <w:t>2.</w:t>
      </w:r>
      <w:r>
        <w:rPr>
          <w:rFonts w:ascii="宋体" w:hAnsi="宋体"/>
          <w:color w:val="auto"/>
          <w:spacing w:val="6"/>
          <w:sz w:val="24"/>
          <w:highlight w:val="none"/>
          <w:u w:val="single"/>
        </w:rPr>
        <w:t>（标的名称）</w:t>
      </w:r>
      <w:r>
        <w:rPr>
          <w:rFonts w:ascii="宋体" w:hAnsi="宋体"/>
          <w:color w:val="auto"/>
          <w:spacing w:val="6"/>
          <w:sz w:val="24"/>
          <w:highlight w:val="none"/>
        </w:rPr>
        <w:t>，属于</w:t>
      </w:r>
      <w:r>
        <w:rPr>
          <w:rFonts w:ascii="宋体" w:hAnsi="宋体"/>
          <w:color w:val="auto"/>
          <w:spacing w:val="6"/>
          <w:sz w:val="24"/>
          <w:highlight w:val="none"/>
          <w:u w:val="single"/>
        </w:rPr>
        <w:t>（采购文件中明确的所属行业）</w:t>
      </w:r>
      <w:r>
        <w:rPr>
          <w:rFonts w:ascii="宋体" w:hAnsi="宋体"/>
          <w:color w:val="auto"/>
          <w:spacing w:val="6"/>
          <w:sz w:val="24"/>
          <w:highlight w:val="none"/>
        </w:rPr>
        <w:t>行业；承建（承接）企业为</w:t>
      </w:r>
      <w:r>
        <w:rPr>
          <w:rFonts w:ascii="宋体" w:hAnsi="宋体"/>
          <w:color w:val="auto"/>
          <w:spacing w:val="6"/>
          <w:sz w:val="24"/>
          <w:highlight w:val="none"/>
          <w:u w:val="single"/>
        </w:rPr>
        <w:t>（企业名称）</w:t>
      </w:r>
      <w:r>
        <w:rPr>
          <w:rFonts w:ascii="宋体" w:hAnsi="宋体"/>
          <w:color w:val="auto"/>
          <w:spacing w:val="6"/>
          <w:sz w:val="24"/>
          <w:highlight w:val="none"/>
        </w:rPr>
        <w:t>，从业人员______人，营业收入为______万元，资产总额为______万元，属于</w:t>
      </w:r>
      <w:r>
        <w:rPr>
          <w:rFonts w:ascii="宋体" w:hAnsi="宋体"/>
          <w:color w:val="auto"/>
          <w:spacing w:val="6"/>
          <w:sz w:val="24"/>
          <w:highlight w:val="none"/>
          <w:u w:val="single"/>
        </w:rPr>
        <w:t>（中型企业、小型企业、微型企业）</w:t>
      </w:r>
      <w:r>
        <w:rPr>
          <w:rFonts w:ascii="宋体" w:hAnsi="宋体"/>
          <w:color w:val="auto"/>
          <w:spacing w:val="6"/>
          <w:sz w:val="24"/>
          <w:highlight w:val="none"/>
        </w:rPr>
        <w:t>；</w:t>
      </w:r>
    </w:p>
    <w:p w14:paraId="748FECD5">
      <w:pPr>
        <w:spacing w:line="360" w:lineRule="auto"/>
        <w:ind w:firstLine="504"/>
        <w:rPr>
          <w:rFonts w:ascii="宋体" w:hAnsi="宋体"/>
          <w:color w:val="auto"/>
          <w:spacing w:val="6"/>
          <w:sz w:val="24"/>
          <w:highlight w:val="none"/>
        </w:rPr>
      </w:pPr>
    </w:p>
    <w:p w14:paraId="5C7570F8">
      <w:pPr>
        <w:spacing w:line="360" w:lineRule="auto"/>
        <w:ind w:firstLine="504"/>
        <w:rPr>
          <w:rFonts w:ascii="宋体" w:hAnsi="宋体"/>
          <w:color w:val="auto"/>
          <w:spacing w:val="6"/>
          <w:sz w:val="24"/>
          <w:highlight w:val="none"/>
        </w:rPr>
      </w:pPr>
      <w:r>
        <w:rPr>
          <w:rFonts w:ascii="宋体" w:hAnsi="宋体"/>
          <w:color w:val="auto"/>
          <w:spacing w:val="6"/>
          <w:sz w:val="24"/>
          <w:highlight w:val="none"/>
        </w:rPr>
        <w:t>……</w:t>
      </w:r>
    </w:p>
    <w:p w14:paraId="3B7E3425">
      <w:pPr>
        <w:spacing w:line="360" w:lineRule="auto"/>
        <w:ind w:firstLine="504"/>
        <w:rPr>
          <w:rFonts w:ascii="宋体" w:hAnsi="宋体"/>
          <w:color w:val="auto"/>
          <w:spacing w:val="6"/>
          <w:sz w:val="24"/>
          <w:highlight w:val="none"/>
        </w:rPr>
      </w:pPr>
      <w:r>
        <w:rPr>
          <w:rFonts w:ascii="宋体" w:hAnsi="宋体"/>
          <w:color w:val="auto"/>
          <w:spacing w:val="6"/>
          <w:sz w:val="24"/>
          <w:highlight w:val="none"/>
        </w:rPr>
        <w:t>以上企业，不属于大企业的分支机构，不存在控股股东为大企业的情形，也不存在与大企业的负责人为同一人的情形。</w:t>
      </w:r>
    </w:p>
    <w:p w14:paraId="7553A037">
      <w:pPr>
        <w:spacing w:line="360" w:lineRule="auto"/>
        <w:ind w:firstLine="504"/>
        <w:rPr>
          <w:rFonts w:ascii="宋体" w:hAnsi="宋体"/>
          <w:color w:val="auto"/>
          <w:spacing w:val="6"/>
          <w:sz w:val="24"/>
          <w:highlight w:val="none"/>
        </w:rPr>
      </w:pPr>
      <w:r>
        <w:rPr>
          <w:rFonts w:ascii="宋体" w:hAnsi="宋体"/>
          <w:color w:val="auto"/>
          <w:spacing w:val="6"/>
          <w:sz w:val="24"/>
          <w:highlight w:val="none"/>
        </w:rPr>
        <w:t>本企业对上述声明内容的真实性负责。如有虚假，将依法承担相应责任。</w:t>
      </w:r>
    </w:p>
    <w:p w14:paraId="2CDA4E1D">
      <w:pPr>
        <w:spacing w:line="360" w:lineRule="auto"/>
        <w:ind w:right="360" w:firstLine="480"/>
        <w:jc w:val="right"/>
        <w:rPr>
          <w:rFonts w:ascii="宋体" w:hAnsi="宋体"/>
          <w:color w:val="auto"/>
          <w:sz w:val="24"/>
          <w:highlight w:val="none"/>
        </w:rPr>
      </w:pPr>
    </w:p>
    <w:p w14:paraId="464765D9">
      <w:pPr>
        <w:spacing w:line="360" w:lineRule="auto"/>
        <w:ind w:right="360" w:firstLine="480"/>
        <w:jc w:val="right"/>
        <w:rPr>
          <w:rFonts w:ascii="宋体" w:hAnsi="宋体"/>
          <w:color w:val="auto"/>
          <w:sz w:val="24"/>
          <w:highlight w:val="none"/>
        </w:rPr>
      </w:pPr>
      <w:r>
        <w:rPr>
          <w:rFonts w:ascii="宋体" w:hAnsi="宋体"/>
          <w:color w:val="auto"/>
          <w:sz w:val="24"/>
          <w:highlight w:val="none"/>
        </w:rPr>
        <w:t>企业名称（盖章）：________</w:t>
      </w:r>
    </w:p>
    <w:p w14:paraId="2FA3ACB4">
      <w:pPr>
        <w:spacing w:line="360" w:lineRule="auto"/>
        <w:ind w:right="360" w:firstLine="480"/>
        <w:jc w:val="right"/>
        <w:rPr>
          <w:rFonts w:ascii="宋体" w:hAnsi="宋体"/>
          <w:color w:val="auto"/>
          <w:sz w:val="24"/>
          <w:highlight w:val="none"/>
        </w:rPr>
      </w:pPr>
      <w:r>
        <w:rPr>
          <w:rFonts w:ascii="宋体" w:hAnsi="宋体"/>
          <w:color w:val="auto"/>
          <w:sz w:val="24"/>
          <w:highlight w:val="none"/>
        </w:rPr>
        <w:t>日 期：________</w:t>
      </w:r>
    </w:p>
    <w:p w14:paraId="2754E737">
      <w:pPr>
        <w:adjustRightInd w:val="0"/>
        <w:snapToGrid w:val="0"/>
        <w:jc w:val="left"/>
        <w:rPr>
          <w:rFonts w:ascii="宋体" w:hAnsi="宋体"/>
          <w:color w:val="auto"/>
          <w:sz w:val="24"/>
          <w:highlight w:val="none"/>
        </w:rPr>
      </w:pPr>
    </w:p>
    <w:p w14:paraId="45625C49">
      <w:pPr>
        <w:adjustRightInd w:val="0"/>
        <w:snapToGrid w:val="0"/>
        <w:jc w:val="left"/>
        <w:rPr>
          <w:rFonts w:ascii="宋体" w:hAnsi="宋体"/>
          <w:color w:val="auto"/>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B863C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D025BD5">
            <w:pPr>
              <w:adjustRightInd w:val="0"/>
              <w:snapToGrid w:val="0"/>
              <w:jc w:val="left"/>
              <w:rPr>
                <w:rFonts w:ascii="宋体" w:hAnsi="宋体"/>
                <w:color w:val="auto"/>
                <w:sz w:val="24"/>
                <w:highlight w:val="none"/>
              </w:rPr>
            </w:pPr>
            <w:r>
              <w:rPr>
                <w:rFonts w:ascii="宋体" w:hAnsi="宋体"/>
                <w:color w:val="auto"/>
                <w:sz w:val="24"/>
                <w:highlight w:val="none"/>
                <w:vertAlign w:val="superscript"/>
              </w:rPr>
              <w:t>1</w:t>
            </w:r>
            <w:r>
              <w:rPr>
                <w:rFonts w:ascii="宋体" w:hAnsi="宋体"/>
                <w:color w:val="auto"/>
                <w:sz w:val="24"/>
                <w:highlight w:val="none"/>
              </w:rPr>
              <w:t>从业人员、营业收入、资产总额填报上一年度数据，无上一年度数据的新成立企业可不填报。</w:t>
            </w:r>
          </w:p>
        </w:tc>
      </w:tr>
    </w:tbl>
    <w:p w14:paraId="59981FB3">
      <w:pPr>
        <w:adjustRightInd w:val="0"/>
        <w:snapToGrid w:val="0"/>
        <w:jc w:val="left"/>
        <w:rPr>
          <w:rFonts w:ascii="宋体" w:hAnsi="宋体"/>
          <w:color w:val="auto"/>
          <w:sz w:val="24"/>
          <w:highlight w:val="none"/>
          <w:vertAlign w:val="superscript"/>
        </w:rPr>
      </w:pPr>
    </w:p>
    <w:p w14:paraId="6EEA6648">
      <w:pPr>
        <w:spacing w:line="360" w:lineRule="auto"/>
        <w:ind w:right="360" w:firstLine="480"/>
        <w:jc w:val="right"/>
        <w:rPr>
          <w:rFonts w:ascii="宋体" w:hAnsi="宋体"/>
          <w:color w:val="auto"/>
          <w:sz w:val="24"/>
          <w:highlight w:val="none"/>
        </w:rPr>
      </w:pPr>
    </w:p>
    <w:p w14:paraId="2FBEC2B1">
      <w:pPr>
        <w:spacing w:line="360" w:lineRule="auto"/>
        <w:ind w:right="360" w:firstLine="480"/>
        <w:jc w:val="right"/>
        <w:rPr>
          <w:rFonts w:ascii="宋体" w:hAnsi="宋体"/>
          <w:color w:val="auto"/>
          <w:sz w:val="24"/>
          <w:highlight w:val="none"/>
        </w:rPr>
      </w:pPr>
    </w:p>
    <w:p w14:paraId="727AA61D">
      <w:pPr>
        <w:spacing w:line="360" w:lineRule="auto"/>
        <w:outlineLvl w:val="9"/>
        <w:rPr>
          <w:rFonts w:ascii="宋体" w:hAnsi="宋体"/>
          <w:color w:val="auto"/>
          <w:sz w:val="24"/>
          <w:highlight w:val="none"/>
        </w:rPr>
      </w:pPr>
      <w:r>
        <w:rPr>
          <w:rFonts w:ascii="宋体" w:hAnsi="宋体"/>
          <w:color w:val="auto"/>
          <w:sz w:val="24"/>
          <w:highlight w:val="none"/>
        </w:rPr>
        <w:br w:type="page"/>
      </w:r>
    </w:p>
    <w:p w14:paraId="27C342AF">
      <w:pPr>
        <w:spacing w:before="240" w:beforeLines="100" w:after="240" w:afterLines="100" w:line="360" w:lineRule="auto"/>
        <w:jc w:val="center"/>
        <w:rPr>
          <w:rFonts w:ascii="宋体" w:hAnsi="宋体"/>
          <w:b/>
          <w:color w:val="auto"/>
          <w:sz w:val="24"/>
          <w:highlight w:val="none"/>
        </w:rPr>
      </w:pPr>
      <w:r>
        <w:rPr>
          <w:rFonts w:hint="eastAsia" w:ascii="宋体" w:hAnsi="宋体"/>
          <w:b/>
          <w:bCs/>
          <w:color w:val="auto"/>
          <w:sz w:val="24"/>
          <w:highlight w:val="none"/>
        </w:rPr>
        <w:t>残疾人福利性单位声明函格式</w:t>
      </w:r>
      <w:r>
        <w:rPr>
          <w:rFonts w:ascii="宋体" w:hAnsi="宋体"/>
          <w:b/>
          <w:color w:val="auto"/>
          <w:sz w:val="24"/>
          <w:highlight w:val="none"/>
        </w:rPr>
        <w:t xml:space="preserve">       </w:t>
      </w:r>
    </w:p>
    <w:p w14:paraId="67A48E7A">
      <w:pPr>
        <w:spacing w:line="588" w:lineRule="exact"/>
        <w:ind w:firstLine="504"/>
        <w:rPr>
          <w:rFonts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 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14:paraId="5F98C688">
      <w:pPr>
        <w:spacing w:line="588" w:lineRule="exact"/>
        <w:ind w:firstLine="482"/>
        <w:rPr>
          <w:rFonts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14:paraId="231E618A">
      <w:pPr>
        <w:spacing w:line="588" w:lineRule="exact"/>
        <w:ind w:firstLine="482"/>
        <w:rPr>
          <w:rFonts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1CA3A8A">
      <w:pPr>
        <w:spacing w:line="588" w:lineRule="exact"/>
        <w:ind w:firstLine="506" w:firstLineChars="200"/>
        <w:rPr>
          <w:rFonts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14:paraId="04DC9B33">
      <w:pPr>
        <w:spacing w:line="588" w:lineRule="exact"/>
        <w:ind w:firstLine="504" w:firstLineChars="200"/>
        <w:rPr>
          <w:rFonts w:ascii="宋体" w:hAnsi="宋体"/>
          <w:color w:val="auto"/>
          <w:spacing w:val="6"/>
          <w:sz w:val="24"/>
          <w:highlight w:val="none"/>
        </w:rPr>
      </w:pPr>
    </w:p>
    <w:p w14:paraId="76F400A3">
      <w:pPr>
        <w:spacing w:line="588" w:lineRule="exact"/>
        <w:ind w:firstLine="504" w:firstLineChars="200"/>
        <w:rPr>
          <w:rFonts w:ascii="宋体" w:hAnsi="宋体"/>
          <w:color w:val="auto"/>
          <w:spacing w:val="6"/>
          <w:sz w:val="24"/>
          <w:highlight w:val="none"/>
        </w:rPr>
      </w:pPr>
    </w:p>
    <w:p w14:paraId="4C8C8B08">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单位名称（盖章）：</w:t>
      </w:r>
    </w:p>
    <w:p w14:paraId="66FD8BE5">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日  期：</w:t>
      </w:r>
    </w:p>
    <w:p w14:paraId="6EC269DF">
      <w:pPr>
        <w:widowControl/>
        <w:jc w:val="left"/>
        <w:rPr>
          <w:rFonts w:ascii="宋体" w:hAnsi="宋体"/>
          <w:color w:val="auto"/>
          <w:sz w:val="24"/>
          <w:highlight w:val="none"/>
        </w:rPr>
      </w:pPr>
      <w:r>
        <w:rPr>
          <w:rFonts w:ascii="宋体" w:hAnsi="宋体"/>
          <w:color w:val="auto"/>
          <w:sz w:val="24"/>
          <w:highlight w:val="none"/>
        </w:rPr>
        <w:br w:type="page"/>
      </w:r>
    </w:p>
    <w:p w14:paraId="0959FECC">
      <w:pPr>
        <w:spacing w:line="360" w:lineRule="auto"/>
        <w:outlineLvl w:val="2"/>
        <w:rPr>
          <w:rFonts w:ascii="宋体" w:hAnsi="宋体"/>
          <w:color w:val="auto"/>
          <w:sz w:val="24"/>
          <w:highlight w:val="none"/>
        </w:rPr>
      </w:pPr>
      <w:r>
        <w:rPr>
          <w:rFonts w:ascii="宋体" w:hAnsi="宋体"/>
          <w:color w:val="auto"/>
          <w:sz w:val="24"/>
          <w:highlight w:val="none"/>
        </w:rPr>
        <w:t>2-2拟分包情况说明及分包意向协议（类型一）（实质性格式）</w:t>
      </w:r>
      <w:r>
        <w:rPr>
          <w:rFonts w:hint="eastAsia" w:ascii="宋体" w:hAnsi="宋体"/>
          <w:color w:val="auto"/>
          <w:sz w:val="24"/>
          <w:highlight w:val="none"/>
        </w:rPr>
        <w:t>（本项目不适用）</w:t>
      </w:r>
    </w:p>
    <w:p w14:paraId="4FCF9264">
      <w:pPr>
        <w:autoSpaceDE w:val="0"/>
        <w:autoSpaceDN w:val="0"/>
        <w:adjustRightInd w:val="0"/>
        <w:jc w:val="center"/>
        <w:rPr>
          <w:rFonts w:ascii="宋体" w:hAnsi="宋体"/>
          <w:color w:val="auto"/>
          <w:sz w:val="24"/>
          <w:highlight w:val="none"/>
        </w:rPr>
      </w:pPr>
    </w:p>
    <w:p w14:paraId="69F908A5">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拟分包情况说明</w:t>
      </w:r>
    </w:p>
    <w:p w14:paraId="7E0BACDB">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17362496">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我单位参加贵单位组织采购的项目编号为_______的_________项目（填写采购</w:t>
      </w:r>
      <w:r>
        <w:rPr>
          <w:rFonts w:hint="eastAsia" w:ascii="宋体" w:hAnsi="宋体"/>
          <w:color w:val="auto"/>
          <w:sz w:val="24"/>
          <w:highlight w:val="none"/>
        </w:rPr>
        <w:t>项目名称/标的名称</w:t>
      </w:r>
      <w:r>
        <w:rPr>
          <w:rFonts w:ascii="宋体" w:hAnsi="宋体"/>
          <w:color w:val="auto"/>
          <w:sz w:val="24"/>
          <w:highlight w:val="none"/>
        </w:rPr>
        <w:t>）中___包（填写包号）的投标。拟签订分包合同的单位情况如下表所示，我单位承诺一旦在该项目中获得采购合同将按下表所列情况进行分包，同时承诺分包承担主体不再次分包。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1A27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00F7C61">
            <w:pPr>
              <w:pStyle w:val="251"/>
              <w:jc w:val="center"/>
              <w:rPr>
                <w:color w:val="auto"/>
                <w:sz w:val="24"/>
                <w:szCs w:val="24"/>
                <w:highlight w:val="none"/>
              </w:rPr>
            </w:pPr>
            <w:r>
              <w:rPr>
                <w:color w:val="auto"/>
                <w:sz w:val="24"/>
                <w:szCs w:val="24"/>
                <w:highlight w:val="none"/>
              </w:rPr>
              <w:t>序号</w:t>
            </w:r>
          </w:p>
        </w:tc>
        <w:tc>
          <w:tcPr>
            <w:tcW w:w="1287" w:type="dxa"/>
            <w:vAlign w:val="center"/>
          </w:tcPr>
          <w:p w14:paraId="237D215C">
            <w:pPr>
              <w:pStyle w:val="251"/>
              <w:jc w:val="center"/>
              <w:rPr>
                <w:color w:val="auto"/>
                <w:sz w:val="24"/>
                <w:szCs w:val="24"/>
                <w:highlight w:val="none"/>
              </w:rPr>
            </w:pPr>
            <w:r>
              <w:rPr>
                <w:color w:val="auto"/>
                <w:sz w:val="24"/>
                <w:szCs w:val="24"/>
                <w:highlight w:val="none"/>
              </w:rPr>
              <w:t>分包承担</w:t>
            </w:r>
          </w:p>
          <w:p w14:paraId="578146CA">
            <w:pPr>
              <w:pStyle w:val="251"/>
              <w:jc w:val="center"/>
              <w:rPr>
                <w:color w:val="auto"/>
                <w:sz w:val="24"/>
                <w:szCs w:val="24"/>
                <w:highlight w:val="none"/>
              </w:rPr>
            </w:pPr>
            <w:r>
              <w:rPr>
                <w:color w:val="auto"/>
                <w:sz w:val="24"/>
                <w:szCs w:val="24"/>
                <w:highlight w:val="none"/>
              </w:rPr>
              <w:t>主体名称</w:t>
            </w:r>
          </w:p>
        </w:tc>
        <w:tc>
          <w:tcPr>
            <w:tcW w:w="1513" w:type="dxa"/>
            <w:vAlign w:val="center"/>
          </w:tcPr>
          <w:p w14:paraId="5BD9ADBD">
            <w:pPr>
              <w:pStyle w:val="251"/>
              <w:jc w:val="center"/>
              <w:rPr>
                <w:color w:val="auto"/>
                <w:sz w:val="24"/>
                <w:szCs w:val="24"/>
                <w:highlight w:val="none"/>
                <w:lang w:eastAsia="zh-CN"/>
              </w:rPr>
            </w:pPr>
            <w:r>
              <w:rPr>
                <w:color w:val="auto"/>
                <w:sz w:val="24"/>
                <w:szCs w:val="24"/>
                <w:highlight w:val="none"/>
                <w:lang w:eastAsia="zh-CN"/>
              </w:rPr>
              <w:t>分包承担</w:t>
            </w:r>
          </w:p>
          <w:p w14:paraId="129F525E">
            <w:pPr>
              <w:pStyle w:val="251"/>
              <w:jc w:val="center"/>
              <w:rPr>
                <w:color w:val="auto"/>
                <w:sz w:val="24"/>
                <w:szCs w:val="24"/>
                <w:highlight w:val="none"/>
                <w:lang w:eastAsia="zh-CN"/>
              </w:rPr>
            </w:pPr>
            <w:r>
              <w:rPr>
                <w:color w:val="auto"/>
                <w:sz w:val="24"/>
                <w:szCs w:val="24"/>
                <w:highlight w:val="none"/>
                <w:lang w:eastAsia="zh-CN"/>
              </w:rPr>
              <w:t>主体类型</w:t>
            </w:r>
          </w:p>
          <w:p w14:paraId="31868215">
            <w:pPr>
              <w:pStyle w:val="251"/>
              <w:jc w:val="center"/>
              <w:rPr>
                <w:color w:val="auto"/>
                <w:sz w:val="24"/>
                <w:szCs w:val="24"/>
                <w:highlight w:val="none"/>
                <w:lang w:eastAsia="zh-CN"/>
              </w:rPr>
            </w:pPr>
            <w:r>
              <w:rPr>
                <w:rFonts w:hint="eastAsia"/>
                <w:color w:val="auto"/>
                <w:sz w:val="24"/>
                <w:szCs w:val="24"/>
                <w:highlight w:val="none"/>
                <w:lang w:eastAsia="zh-CN"/>
              </w:rPr>
              <w:t>（勾选）</w:t>
            </w:r>
          </w:p>
        </w:tc>
        <w:tc>
          <w:tcPr>
            <w:tcW w:w="1125" w:type="dxa"/>
            <w:vAlign w:val="center"/>
          </w:tcPr>
          <w:p w14:paraId="515E09BD">
            <w:pPr>
              <w:pStyle w:val="251"/>
              <w:jc w:val="center"/>
              <w:rPr>
                <w:color w:val="auto"/>
                <w:sz w:val="24"/>
                <w:szCs w:val="24"/>
                <w:highlight w:val="none"/>
              </w:rPr>
            </w:pPr>
            <w:r>
              <w:rPr>
                <w:color w:val="auto"/>
                <w:sz w:val="24"/>
                <w:szCs w:val="24"/>
                <w:highlight w:val="none"/>
              </w:rPr>
              <w:t>资质等级</w:t>
            </w:r>
          </w:p>
        </w:tc>
        <w:tc>
          <w:tcPr>
            <w:tcW w:w="1558" w:type="dxa"/>
            <w:vAlign w:val="center"/>
          </w:tcPr>
          <w:p w14:paraId="1BA16EE6">
            <w:pPr>
              <w:pStyle w:val="251"/>
              <w:jc w:val="center"/>
              <w:rPr>
                <w:color w:val="auto"/>
                <w:sz w:val="24"/>
                <w:szCs w:val="24"/>
                <w:highlight w:val="none"/>
              </w:rPr>
            </w:pPr>
            <w:r>
              <w:rPr>
                <w:color w:val="auto"/>
                <w:sz w:val="24"/>
                <w:szCs w:val="24"/>
                <w:highlight w:val="none"/>
              </w:rPr>
              <w:t>拟分包</w:t>
            </w:r>
          </w:p>
          <w:p w14:paraId="7AFF02B3">
            <w:pPr>
              <w:pStyle w:val="251"/>
              <w:jc w:val="center"/>
              <w:rPr>
                <w:color w:val="auto"/>
                <w:sz w:val="24"/>
                <w:szCs w:val="24"/>
                <w:highlight w:val="none"/>
              </w:rPr>
            </w:pPr>
            <w:r>
              <w:rPr>
                <w:color w:val="auto"/>
                <w:sz w:val="24"/>
                <w:szCs w:val="24"/>
                <w:highlight w:val="none"/>
              </w:rPr>
              <w:t>合同内容</w:t>
            </w:r>
          </w:p>
        </w:tc>
        <w:tc>
          <w:tcPr>
            <w:tcW w:w="1498" w:type="dxa"/>
            <w:vAlign w:val="center"/>
          </w:tcPr>
          <w:p w14:paraId="3D030522">
            <w:pPr>
              <w:pStyle w:val="251"/>
              <w:jc w:val="center"/>
              <w:rPr>
                <w:color w:val="auto"/>
                <w:sz w:val="24"/>
                <w:szCs w:val="24"/>
                <w:highlight w:val="none"/>
                <w:lang w:eastAsia="zh-CN"/>
              </w:rPr>
            </w:pPr>
            <w:r>
              <w:rPr>
                <w:color w:val="auto"/>
                <w:sz w:val="24"/>
                <w:szCs w:val="24"/>
                <w:highlight w:val="none"/>
                <w:lang w:eastAsia="zh-CN"/>
              </w:rPr>
              <w:t>拟分包</w:t>
            </w:r>
          </w:p>
          <w:p w14:paraId="30440460">
            <w:pPr>
              <w:pStyle w:val="251"/>
              <w:jc w:val="center"/>
              <w:rPr>
                <w:color w:val="auto"/>
                <w:sz w:val="24"/>
                <w:szCs w:val="24"/>
                <w:highlight w:val="none"/>
                <w:lang w:eastAsia="zh-CN"/>
              </w:rPr>
            </w:pPr>
            <w:r>
              <w:rPr>
                <w:color w:val="auto"/>
                <w:sz w:val="24"/>
                <w:szCs w:val="24"/>
                <w:highlight w:val="none"/>
                <w:lang w:eastAsia="zh-CN"/>
              </w:rPr>
              <w:t>合同金额</w:t>
            </w:r>
          </w:p>
          <w:p w14:paraId="694E2F33">
            <w:pPr>
              <w:pStyle w:val="251"/>
              <w:jc w:val="center"/>
              <w:rPr>
                <w:color w:val="auto"/>
                <w:sz w:val="24"/>
                <w:szCs w:val="24"/>
                <w:highlight w:val="none"/>
                <w:lang w:eastAsia="zh-CN"/>
              </w:rPr>
            </w:pPr>
            <w:r>
              <w:rPr>
                <w:color w:val="auto"/>
                <w:sz w:val="24"/>
                <w:szCs w:val="24"/>
                <w:highlight w:val="none"/>
                <w:lang w:eastAsia="zh-CN"/>
              </w:rPr>
              <w:t>（人民币元）</w:t>
            </w:r>
          </w:p>
        </w:tc>
        <w:tc>
          <w:tcPr>
            <w:tcW w:w="1564" w:type="dxa"/>
            <w:vAlign w:val="center"/>
          </w:tcPr>
          <w:p w14:paraId="460835A2">
            <w:pPr>
              <w:pStyle w:val="251"/>
              <w:jc w:val="center"/>
              <w:rPr>
                <w:color w:val="auto"/>
                <w:sz w:val="24"/>
                <w:szCs w:val="24"/>
                <w:highlight w:val="none"/>
                <w:lang w:eastAsia="zh-CN"/>
              </w:rPr>
            </w:pPr>
            <w:r>
              <w:rPr>
                <w:color w:val="auto"/>
                <w:sz w:val="24"/>
                <w:szCs w:val="24"/>
                <w:highlight w:val="none"/>
                <w:lang w:eastAsia="zh-CN"/>
              </w:rPr>
              <w:t>占该采购包</w:t>
            </w:r>
          </w:p>
          <w:p w14:paraId="08F9D2F4">
            <w:pPr>
              <w:pStyle w:val="251"/>
              <w:jc w:val="center"/>
              <w:rPr>
                <w:b/>
                <w:color w:val="auto"/>
                <w:sz w:val="24"/>
                <w:szCs w:val="24"/>
                <w:highlight w:val="none"/>
                <w:lang w:eastAsia="zh-CN"/>
              </w:rPr>
            </w:pPr>
            <w:r>
              <w:rPr>
                <w:rFonts w:hint="eastAsia"/>
                <w:b/>
                <w:color w:val="auto"/>
                <w:sz w:val="24"/>
                <w:szCs w:val="24"/>
                <w:highlight w:val="none"/>
                <w:lang w:eastAsia="zh-CN"/>
              </w:rPr>
              <w:t>预算</w:t>
            </w:r>
            <w:r>
              <w:rPr>
                <w:b/>
                <w:color w:val="auto"/>
                <w:sz w:val="24"/>
                <w:szCs w:val="24"/>
                <w:highlight w:val="none"/>
                <w:lang w:eastAsia="zh-CN"/>
              </w:rPr>
              <w:t>金额的</w:t>
            </w:r>
          </w:p>
          <w:p w14:paraId="07C5BA83">
            <w:pPr>
              <w:pStyle w:val="251"/>
              <w:jc w:val="center"/>
              <w:rPr>
                <w:color w:val="auto"/>
                <w:sz w:val="24"/>
                <w:szCs w:val="24"/>
                <w:highlight w:val="none"/>
                <w:lang w:eastAsia="zh-CN"/>
              </w:rPr>
            </w:pPr>
            <w:r>
              <w:rPr>
                <w:color w:val="auto"/>
                <w:sz w:val="24"/>
                <w:szCs w:val="24"/>
                <w:highlight w:val="none"/>
                <w:lang w:eastAsia="zh-CN"/>
              </w:rPr>
              <w:t>比例</w:t>
            </w:r>
            <w:r>
              <w:rPr>
                <w:rFonts w:hint="eastAsia"/>
                <w:color w:val="auto"/>
                <w:sz w:val="24"/>
                <w:szCs w:val="24"/>
                <w:highlight w:val="none"/>
                <w:lang w:eastAsia="zh-CN"/>
              </w:rPr>
              <w:t>（</w:t>
            </w:r>
            <w:r>
              <w:rPr>
                <w:color w:val="auto"/>
                <w:sz w:val="24"/>
                <w:szCs w:val="24"/>
                <w:highlight w:val="none"/>
                <w:lang w:eastAsia="zh-CN"/>
              </w:rPr>
              <w:t>%</w:t>
            </w:r>
            <w:r>
              <w:rPr>
                <w:rFonts w:hint="eastAsia"/>
                <w:color w:val="auto"/>
                <w:sz w:val="24"/>
                <w:szCs w:val="24"/>
                <w:highlight w:val="none"/>
                <w:lang w:eastAsia="zh-CN"/>
              </w:rPr>
              <w:t>）</w:t>
            </w:r>
          </w:p>
        </w:tc>
      </w:tr>
      <w:tr w14:paraId="4808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BFC6C4">
            <w:pPr>
              <w:pStyle w:val="251"/>
              <w:jc w:val="center"/>
              <w:rPr>
                <w:color w:val="auto"/>
                <w:sz w:val="24"/>
                <w:szCs w:val="24"/>
                <w:highlight w:val="none"/>
              </w:rPr>
            </w:pPr>
            <w:r>
              <w:rPr>
                <w:color w:val="auto"/>
                <w:sz w:val="24"/>
                <w:szCs w:val="24"/>
                <w:highlight w:val="none"/>
              </w:rPr>
              <w:t>1</w:t>
            </w:r>
          </w:p>
        </w:tc>
        <w:tc>
          <w:tcPr>
            <w:tcW w:w="1287" w:type="dxa"/>
            <w:vAlign w:val="center"/>
          </w:tcPr>
          <w:p w14:paraId="6EE7E6A1">
            <w:pPr>
              <w:pStyle w:val="251"/>
              <w:jc w:val="center"/>
              <w:rPr>
                <w:rFonts w:cs="Times New Roman"/>
                <w:color w:val="auto"/>
                <w:sz w:val="24"/>
                <w:szCs w:val="24"/>
                <w:highlight w:val="none"/>
              </w:rPr>
            </w:pPr>
          </w:p>
        </w:tc>
        <w:tc>
          <w:tcPr>
            <w:tcW w:w="1513" w:type="dxa"/>
            <w:vAlign w:val="center"/>
          </w:tcPr>
          <w:p w14:paraId="2A423A5A">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□中型企业</w:t>
            </w:r>
          </w:p>
          <w:p w14:paraId="4A49AF7A">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tc>
        <w:tc>
          <w:tcPr>
            <w:tcW w:w="1125" w:type="dxa"/>
            <w:vAlign w:val="center"/>
          </w:tcPr>
          <w:p w14:paraId="052F5493">
            <w:pPr>
              <w:pStyle w:val="251"/>
              <w:jc w:val="center"/>
              <w:rPr>
                <w:color w:val="auto"/>
                <w:sz w:val="24"/>
                <w:szCs w:val="24"/>
                <w:highlight w:val="none"/>
                <w:lang w:eastAsia="zh-CN"/>
              </w:rPr>
            </w:pPr>
          </w:p>
        </w:tc>
        <w:tc>
          <w:tcPr>
            <w:tcW w:w="1558" w:type="dxa"/>
            <w:vAlign w:val="center"/>
          </w:tcPr>
          <w:p w14:paraId="4EDE453D">
            <w:pPr>
              <w:pStyle w:val="251"/>
              <w:jc w:val="center"/>
              <w:rPr>
                <w:color w:val="auto"/>
                <w:sz w:val="24"/>
                <w:szCs w:val="24"/>
                <w:highlight w:val="none"/>
                <w:lang w:eastAsia="zh-CN"/>
              </w:rPr>
            </w:pPr>
          </w:p>
        </w:tc>
        <w:tc>
          <w:tcPr>
            <w:tcW w:w="1498" w:type="dxa"/>
            <w:vAlign w:val="center"/>
          </w:tcPr>
          <w:p w14:paraId="433180FF">
            <w:pPr>
              <w:pStyle w:val="251"/>
              <w:jc w:val="center"/>
              <w:rPr>
                <w:color w:val="auto"/>
                <w:sz w:val="24"/>
                <w:szCs w:val="24"/>
                <w:highlight w:val="none"/>
                <w:lang w:eastAsia="zh-CN"/>
              </w:rPr>
            </w:pPr>
          </w:p>
        </w:tc>
        <w:tc>
          <w:tcPr>
            <w:tcW w:w="1564" w:type="dxa"/>
            <w:vAlign w:val="center"/>
          </w:tcPr>
          <w:p w14:paraId="2F265EBD">
            <w:pPr>
              <w:pStyle w:val="251"/>
              <w:jc w:val="center"/>
              <w:rPr>
                <w:color w:val="auto"/>
                <w:sz w:val="24"/>
                <w:szCs w:val="24"/>
                <w:highlight w:val="none"/>
                <w:lang w:eastAsia="zh-CN"/>
              </w:rPr>
            </w:pPr>
          </w:p>
        </w:tc>
      </w:tr>
      <w:tr w14:paraId="426E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2AD59F3">
            <w:pPr>
              <w:pStyle w:val="251"/>
              <w:jc w:val="center"/>
              <w:rPr>
                <w:color w:val="auto"/>
                <w:sz w:val="24"/>
                <w:szCs w:val="24"/>
                <w:highlight w:val="none"/>
                <w:lang w:eastAsia="zh-CN"/>
              </w:rPr>
            </w:pPr>
            <w:r>
              <w:rPr>
                <w:rFonts w:hint="eastAsia"/>
                <w:color w:val="auto"/>
                <w:sz w:val="24"/>
                <w:szCs w:val="24"/>
                <w:highlight w:val="none"/>
                <w:lang w:eastAsia="zh-CN"/>
              </w:rPr>
              <w:t>2</w:t>
            </w:r>
          </w:p>
        </w:tc>
        <w:tc>
          <w:tcPr>
            <w:tcW w:w="1287" w:type="dxa"/>
            <w:vAlign w:val="center"/>
          </w:tcPr>
          <w:p w14:paraId="3F803FEC">
            <w:pPr>
              <w:pStyle w:val="251"/>
              <w:jc w:val="center"/>
              <w:rPr>
                <w:color w:val="auto"/>
                <w:sz w:val="24"/>
                <w:szCs w:val="24"/>
                <w:highlight w:val="none"/>
              </w:rPr>
            </w:pPr>
          </w:p>
        </w:tc>
        <w:tc>
          <w:tcPr>
            <w:tcW w:w="1513" w:type="dxa"/>
            <w:vAlign w:val="center"/>
          </w:tcPr>
          <w:p w14:paraId="409D9694">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□中型企业</w:t>
            </w:r>
          </w:p>
          <w:p w14:paraId="74A5E9AF">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tc>
        <w:tc>
          <w:tcPr>
            <w:tcW w:w="1125" w:type="dxa"/>
            <w:vAlign w:val="center"/>
          </w:tcPr>
          <w:p w14:paraId="49618136">
            <w:pPr>
              <w:pStyle w:val="251"/>
              <w:jc w:val="center"/>
              <w:rPr>
                <w:color w:val="auto"/>
                <w:sz w:val="24"/>
                <w:szCs w:val="24"/>
                <w:highlight w:val="none"/>
                <w:lang w:eastAsia="zh-CN"/>
              </w:rPr>
            </w:pPr>
          </w:p>
        </w:tc>
        <w:tc>
          <w:tcPr>
            <w:tcW w:w="1558" w:type="dxa"/>
            <w:vAlign w:val="center"/>
          </w:tcPr>
          <w:p w14:paraId="327FEADA">
            <w:pPr>
              <w:pStyle w:val="251"/>
              <w:jc w:val="center"/>
              <w:rPr>
                <w:color w:val="auto"/>
                <w:sz w:val="24"/>
                <w:szCs w:val="24"/>
                <w:highlight w:val="none"/>
                <w:lang w:eastAsia="zh-CN"/>
              </w:rPr>
            </w:pPr>
          </w:p>
        </w:tc>
        <w:tc>
          <w:tcPr>
            <w:tcW w:w="1498" w:type="dxa"/>
            <w:vAlign w:val="center"/>
          </w:tcPr>
          <w:p w14:paraId="63B26CF2">
            <w:pPr>
              <w:pStyle w:val="251"/>
              <w:jc w:val="center"/>
              <w:rPr>
                <w:color w:val="auto"/>
                <w:sz w:val="24"/>
                <w:szCs w:val="24"/>
                <w:highlight w:val="none"/>
                <w:lang w:eastAsia="zh-CN"/>
              </w:rPr>
            </w:pPr>
          </w:p>
        </w:tc>
        <w:tc>
          <w:tcPr>
            <w:tcW w:w="1564" w:type="dxa"/>
            <w:vAlign w:val="center"/>
          </w:tcPr>
          <w:p w14:paraId="2FAA7C66">
            <w:pPr>
              <w:pStyle w:val="251"/>
              <w:jc w:val="center"/>
              <w:rPr>
                <w:color w:val="auto"/>
                <w:sz w:val="24"/>
                <w:szCs w:val="24"/>
                <w:highlight w:val="none"/>
                <w:lang w:eastAsia="zh-CN"/>
              </w:rPr>
            </w:pPr>
          </w:p>
        </w:tc>
      </w:tr>
      <w:tr w14:paraId="471FA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7CBF811">
            <w:pPr>
              <w:pStyle w:val="251"/>
              <w:jc w:val="center"/>
              <w:rPr>
                <w:color w:val="auto"/>
                <w:sz w:val="24"/>
                <w:szCs w:val="24"/>
                <w:highlight w:val="none"/>
                <w:lang w:eastAsia="zh-CN"/>
              </w:rPr>
            </w:pPr>
            <w:r>
              <w:rPr>
                <w:color w:val="auto"/>
                <w:sz w:val="24"/>
                <w:szCs w:val="24"/>
                <w:highlight w:val="none"/>
                <w:lang w:eastAsia="zh-CN"/>
              </w:rPr>
              <w:t>…</w:t>
            </w:r>
          </w:p>
        </w:tc>
        <w:tc>
          <w:tcPr>
            <w:tcW w:w="1287" w:type="dxa"/>
            <w:vAlign w:val="center"/>
          </w:tcPr>
          <w:p w14:paraId="24D1979B">
            <w:pPr>
              <w:pStyle w:val="251"/>
              <w:jc w:val="center"/>
              <w:rPr>
                <w:color w:val="auto"/>
                <w:sz w:val="24"/>
                <w:szCs w:val="24"/>
                <w:highlight w:val="none"/>
              </w:rPr>
            </w:pPr>
          </w:p>
        </w:tc>
        <w:tc>
          <w:tcPr>
            <w:tcW w:w="1513" w:type="dxa"/>
            <w:vAlign w:val="center"/>
          </w:tcPr>
          <w:p w14:paraId="2E30CF78">
            <w:pPr>
              <w:pStyle w:val="251"/>
              <w:tabs>
                <w:tab w:val="left" w:pos="235"/>
              </w:tabs>
              <w:jc w:val="center"/>
              <w:rPr>
                <w:color w:val="auto"/>
                <w:sz w:val="24"/>
                <w:szCs w:val="24"/>
                <w:highlight w:val="none"/>
              </w:rPr>
            </w:pPr>
          </w:p>
        </w:tc>
        <w:tc>
          <w:tcPr>
            <w:tcW w:w="1125" w:type="dxa"/>
            <w:vAlign w:val="center"/>
          </w:tcPr>
          <w:p w14:paraId="34177B8C">
            <w:pPr>
              <w:pStyle w:val="251"/>
              <w:jc w:val="center"/>
              <w:rPr>
                <w:color w:val="auto"/>
                <w:sz w:val="24"/>
                <w:szCs w:val="24"/>
                <w:highlight w:val="none"/>
              </w:rPr>
            </w:pPr>
          </w:p>
        </w:tc>
        <w:tc>
          <w:tcPr>
            <w:tcW w:w="1558" w:type="dxa"/>
            <w:vAlign w:val="center"/>
          </w:tcPr>
          <w:p w14:paraId="6A9129CD">
            <w:pPr>
              <w:pStyle w:val="251"/>
              <w:jc w:val="center"/>
              <w:rPr>
                <w:color w:val="auto"/>
                <w:sz w:val="24"/>
                <w:szCs w:val="24"/>
                <w:highlight w:val="none"/>
              </w:rPr>
            </w:pPr>
          </w:p>
        </w:tc>
        <w:tc>
          <w:tcPr>
            <w:tcW w:w="1498" w:type="dxa"/>
            <w:vAlign w:val="center"/>
          </w:tcPr>
          <w:p w14:paraId="65A3F17F">
            <w:pPr>
              <w:pStyle w:val="251"/>
              <w:jc w:val="center"/>
              <w:rPr>
                <w:color w:val="auto"/>
                <w:sz w:val="24"/>
                <w:szCs w:val="24"/>
                <w:highlight w:val="none"/>
              </w:rPr>
            </w:pPr>
          </w:p>
        </w:tc>
        <w:tc>
          <w:tcPr>
            <w:tcW w:w="1564" w:type="dxa"/>
            <w:vAlign w:val="center"/>
          </w:tcPr>
          <w:p w14:paraId="0F8FD93D">
            <w:pPr>
              <w:pStyle w:val="251"/>
              <w:jc w:val="center"/>
              <w:rPr>
                <w:color w:val="auto"/>
                <w:sz w:val="24"/>
                <w:szCs w:val="24"/>
                <w:highlight w:val="none"/>
              </w:rPr>
            </w:pPr>
          </w:p>
        </w:tc>
      </w:tr>
      <w:tr w14:paraId="2C2A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2B21F93">
            <w:pPr>
              <w:pStyle w:val="251"/>
              <w:ind w:right="57" w:rightChars="27"/>
              <w:jc w:val="right"/>
              <w:rPr>
                <w:color w:val="auto"/>
                <w:sz w:val="24"/>
                <w:szCs w:val="24"/>
                <w:highlight w:val="none"/>
                <w:lang w:eastAsia="zh-CN"/>
              </w:rPr>
            </w:pPr>
            <w:r>
              <w:rPr>
                <w:rFonts w:hint="eastAsia"/>
                <w:color w:val="auto"/>
                <w:sz w:val="24"/>
                <w:szCs w:val="24"/>
                <w:highlight w:val="none"/>
                <w:lang w:eastAsia="zh-CN"/>
              </w:rPr>
              <w:t>合计：</w:t>
            </w:r>
          </w:p>
        </w:tc>
        <w:tc>
          <w:tcPr>
            <w:tcW w:w="1498" w:type="dxa"/>
            <w:vAlign w:val="center"/>
          </w:tcPr>
          <w:p w14:paraId="08A782E1">
            <w:pPr>
              <w:pStyle w:val="251"/>
              <w:jc w:val="center"/>
              <w:rPr>
                <w:color w:val="auto"/>
                <w:sz w:val="24"/>
                <w:szCs w:val="24"/>
                <w:highlight w:val="none"/>
              </w:rPr>
            </w:pPr>
          </w:p>
        </w:tc>
        <w:tc>
          <w:tcPr>
            <w:tcW w:w="1564" w:type="dxa"/>
            <w:vAlign w:val="center"/>
          </w:tcPr>
          <w:p w14:paraId="28855A3B">
            <w:pPr>
              <w:pStyle w:val="251"/>
              <w:jc w:val="center"/>
              <w:rPr>
                <w:color w:val="auto"/>
                <w:sz w:val="24"/>
                <w:szCs w:val="24"/>
                <w:highlight w:val="none"/>
              </w:rPr>
            </w:pPr>
          </w:p>
        </w:tc>
      </w:tr>
    </w:tbl>
    <w:p w14:paraId="229F5CEC">
      <w:pPr>
        <w:adjustRightInd w:val="0"/>
        <w:snapToGrid w:val="0"/>
        <w:spacing w:line="360" w:lineRule="auto"/>
        <w:ind w:firstLine="480" w:firstLineChars="200"/>
        <w:jc w:val="left"/>
        <w:rPr>
          <w:rFonts w:ascii="宋体" w:hAnsi="宋体"/>
          <w:color w:val="auto"/>
          <w:sz w:val="24"/>
          <w:highlight w:val="none"/>
        </w:rPr>
      </w:pPr>
    </w:p>
    <w:p w14:paraId="10783F69">
      <w:pPr>
        <w:adjustRightInd w:val="0"/>
        <w:snapToGrid w:val="0"/>
        <w:spacing w:line="360" w:lineRule="auto"/>
        <w:jc w:val="left"/>
        <w:rPr>
          <w:rFonts w:ascii="宋体" w:hAnsi="宋体"/>
          <w:color w:val="auto"/>
          <w:sz w:val="24"/>
          <w:highlight w:val="none"/>
        </w:rPr>
      </w:pPr>
    </w:p>
    <w:p w14:paraId="0ED30677">
      <w:pPr>
        <w:autoSpaceDE w:val="0"/>
        <w:autoSpaceDN w:val="0"/>
        <w:adjustRightInd w:val="0"/>
        <w:snapToGrid w:val="0"/>
        <w:spacing w:before="25" w:after="25" w:line="360" w:lineRule="auto"/>
        <w:jc w:val="right"/>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0D83362A">
      <w:pPr>
        <w:spacing w:line="360" w:lineRule="auto"/>
        <w:ind w:right="-57" w:firstLine="480"/>
        <w:jc w:val="right"/>
        <w:rPr>
          <w:rFonts w:ascii="宋体" w:hAnsi="宋体"/>
          <w:color w:val="auto"/>
          <w:sz w:val="24"/>
          <w:highlight w:val="none"/>
        </w:rPr>
      </w:pPr>
      <w:r>
        <w:rPr>
          <w:rFonts w:ascii="宋体" w:hAnsi="宋体"/>
          <w:color w:val="auto"/>
          <w:sz w:val="24"/>
          <w:highlight w:val="none"/>
        </w:rPr>
        <w:t>日期：_____年______月______日</w:t>
      </w:r>
    </w:p>
    <w:p w14:paraId="4D4D5604">
      <w:pPr>
        <w:adjustRightInd w:val="0"/>
        <w:snapToGrid w:val="0"/>
        <w:spacing w:line="360" w:lineRule="auto"/>
        <w:jc w:val="left"/>
        <w:rPr>
          <w:rFonts w:ascii="宋体" w:hAnsi="宋体"/>
          <w:color w:val="auto"/>
          <w:sz w:val="24"/>
          <w:highlight w:val="none"/>
        </w:rPr>
      </w:pPr>
    </w:p>
    <w:p w14:paraId="1078C9B0">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说明：</w:t>
      </w:r>
    </w:p>
    <w:p w14:paraId="0C1D3BE6">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（1）本表仅在投标人“为落实政府采购政策”而向中小企业分包时填写，非因“为落实政府采购政策”而进行的分包请按照《拟分包情况说明（类型二）》要求填写。</w:t>
      </w:r>
    </w:p>
    <w:p w14:paraId="78E06595">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（2）如本招标文件《投标人须知资料表》载明本项目分包承担主体应具备的相应资质条件，则投标人须在本表中列明分包承担主体的资质等级，并后附资质证书电子件，否则</w:t>
      </w:r>
      <w:r>
        <w:rPr>
          <w:rFonts w:ascii="宋体" w:hAnsi="宋体"/>
          <w:b/>
          <w:color w:val="auto"/>
          <w:sz w:val="24"/>
          <w:highlight w:val="none"/>
        </w:rPr>
        <w:t>投标无效</w:t>
      </w:r>
      <w:r>
        <w:rPr>
          <w:rFonts w:ascii="宋体" w:hAnsi="宋体"/>
          <w:color w:val="auto"/>
          <w:sz w:val="24"/>
          <w:highlight w:val="none"/>
        </w:rPr>
        <w:t>。</w:t>
      </w:r>
    </w:p>
    <w:p w14:paraId="1E18D205">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（3）投标人与上述拟分包承担主体签署的《分包意向协议》后附。</w:t>
      </w:r>
    </w:p>
    <w:p w14:paraId="19992719">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附：分包意向协议（实质性格式）</w:t>
      </w:r>
      <w:r>
        <w:rPr>
          <w:rFonts w:hint="eastAsia" w:ascii="宋体" w:hAnsi="宋体"/>
          <w:color w:val="auto"/>
          <w:sz w:val="24"/>
          <w:highlight w:val="none"/>
        </w:rPr>
        <w:t>（本项目不适用）</w:t>
      </w:r>
    </w:p>
    <w:p w14:paraId="0C322FE4">
      <w:pPr>
        <w:autoSpaceDE w:val="0"/>
        <w:autoSpaceDN w:val="0"/>
        <w:adjustRightInd w:val="0"/>
        <w:spacing w:line="360" w:lineRule="auto"/>
        <w:jc w:val="center"/>
        <w:rPr>
          <w:rFonts w:ascii="宋体" w:hAnsi="宋体"/>
          <w:b/>
          <w:color w:val="auto"/>
          <w:sz w:val="24"/>
          <w:highlight w:val="none"/>
        </w:rPr>
      </w:pPr>
    </w:p>
    <w:p w14:paraId="0866192C">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甲方（投标人）：________</w:t>
      </w:r>
    </w:p>
    <w:p w14:paraId="45178CAA">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乙方（拟分包单位）：________</w:t>
      </w:r>
    </w:p>
    <w:p w14:paraId="76BF975E">
      <w:pPr>
        <w:tabs>
          <w:tab w:val="left" w:pos="5040"/>
        </w:tabs>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甲方承诺，一旦在_________（采购</w:t>
      </w:r>
      <w:r>
        <w:rPr>
          <w:rFonts w:hint="eastAsia" w:ascii="宋体" w:hAnsi="宋体"/>
          <w:color w:val="auto"/>
          <w:sz w:val="24"/>
          <w:highlight w:val="none"/>
        </w:rPr>
        <w:t>项目名称/标的名称</w:t>
      </w:r>
      <w:r>
        <w:rPr>
          <w:rFonts w:ascii="宋体" w:hAnsi="宋体"/>
          <w:color w:val="auto"/>
          <w:sz w:val="24"/>
          <w:highlight w:val="none"/>
        </w:rPr>
        <w:t>）（项目编号/包号为：_______）招标采购项目中获得采购合同，将按照下述约定将合同项下部分内容分包给乙方：</w:t>
      </w:r>
    </w:p>
    <w:p w14:paraId="5ACC273C">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1.分包内容：_____。</w:t>
      </w:r>
    </w:p>
    <w:p w14:paraId="5A36E63D">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2.分包金额：_____，该金额占该采购包预算总金额的比例为___%。</w:t>
      </w:r>
    </w:p>
    <w:p w14:paraId="4F4A8FDF">
      <w:pPr>
        <w:adjustRightInd w:val="0"/>
        <w:snapToGrid w:val="0"/>
        <w:spacing w:line="360" w:lineRule="auto"/>
        <w:ind w:firstLine="480" w:firstLineChars="200"/>
        <w:jc w:val="left"/>
        <w:rPr>
          <w:rFonts w:ascii="宋体" w:hAnsi="宋体"/>
          <w:bCs/>
          <w:color w:val="auto"/>
          <w:sz w:val="24"/>
          <w:highlight w:val="none"/>
        </w:rPr>
      </w:pPr>
      <w:r>
        <w:rPr>
          <w:rFonts w:ascii="宋体" w:hAnsi="宋体"/>
          <w:color w:val="auto"/>
          <w:sz w:val="24"/>
          <w:highlight w:val="none"/>
        </w:rPr>
        <w:t>乙方承诺将在上述情况下与甲方签订分包合同。</w:t>
      </w:r>
    </w:p>
    <w:p w14:paraId="2BD5732F">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本协议自各方盖章之日起生效，如甲方未在该项目（采购包）中标，本协议自动终止。</w:t>
      </w:r>
    </w:p>
    <w:p w14:paraId="4B11E3FB">
      <w:pPr>
        <w:spacing w:line="360" w:lineRule="auto"/>
        <w:ind w:firstLine="471"/>
        <w:rPr>
          <w:rFonts w:ascii="宋体" w:hAnsi="宋体"/>
          <w:b/>
          <w:color w:val="auto"/>
          <w:sz w:val="24"/>
          <w:highlight w:val="none"/>
        </w:rPr>
      </w:pPr>
    </w:p>
    <w:p w14:paraId="119FD6F7">
      <w:pPr>
        <w:spacing w:line="360" w:lineRule="auto"/>
        <w:ind w:firstLine="471"/>
        <w:rPr>
          <w:rFonts w:ascii="宋体" w:hAnsi="宋体"/>
          <w:b/>
          <w:color w:val="auto"/>
          <w:sz w:val="24"/>
          <w:highlight w:val="none"/>
        </w:rPr>
      </w:pPr>
      <w:r>
        <w:rPr>
          <w:rFonts w:ascii="宋体" w:hAnsi="宋体"/>
          <w:color w:val="auto"/>
          <w:sz w:val="24"/>
          <w:highlight w:val="none"/>
        </w:rPr>
        <w:t>甲方（盖章）：_________                 乙方（盖章）：_________</w:t>
      </w:r>
    </w:p>
    <w:p w14:paraId="31B13CDB">
      <w:pPr>
        <w:spacing w:line="360" w:lineRule="auto"/>
        <w:ind w:left="480"/>
        <w:jc w:val="right"/>
        <w:rPr>
          <w:rFonts w:ascii="宋体" w:hAnsi="宋体"/>
          <w:color w:val="auto"/>
          <w:sz w:val="24"/>
          <w:highlight w:val="none"/>
        </w:rPr>
      </w:pPr>
    </w:p>
    <w:p w14:paraId="2CDB44B2">
      <w:pPr>
        <w:wordWrap w:val="0"/>
        <w:spacing w:line="360" w:lineRule="auto"/>
        <w:ind w:left="480"/>
        <w:jc w:val="right"/>
        <w:rPr>
          <w:rFonts w:ascii="宋体" w:hAnsi="宋体"/>
          <w:b/>
          <w:color w:val="auto"/>
          <w:sz w:val="24"/>
          <w:highlight w:val="none"/>
        </w:rPr>
      </w:pPr>
      <w:r>
        <w:rPr>
          <w:rFonts w:ascii="宋体" w:hAnsi="宋体"/>
          <w:color w:val="auto"/>
          <w:sz w:val="24"/>
          <w:highlight w:val="none"/>
        </w:rPr>
        <w:t xml:space="preserve">日期：_____年______月______日   </w:t>
      </w:r>
    </w:p>
    <w:p w14:paraId="36A4D887">
      <w:pPr>
        <w:tabs>
          <w:tab w:val="left" w:pos="8280"/>
        </w:tabs>
        <w:spacing w:line="360" w:lineRule="auto"/>
        <w:ind w:firstLine="480"/>
        <w:rPr>
          <w:rFonts w:ascii="宋体" w:hAnsi="宋体"/>
          <w:color w:val="auto"/>
          <w:sz w:val="24"/>
          <w:highlight w:val="none"/>
        </w:rPr>
      </w:pPr>
    </w:p>
    <w:p w14:paraId="5A9448B0">
      <w:pPr>
        <w:tabs>
          <w:tab w:val="left" w:pos="8280"/>
        </w:tabs>
        <w:spacing w:line="360" w:lineRule="auto"/>
        <w:rPr>
          <w:rFonts w:ascii="宋体" w:hAnsi="宋体"/>
          <w:color w:val="auto"/>
          <w:sz w:val="24"/>
          <w:highlight w:val="none"/>
        </w:rPr>
        <w:sectPr>
          <w:headerReference r:id="rId31" w:type="default"/>
          <w:footerReference r:id="rId32" w:type="default"/>
          <w:pgSz w:w="11907" w:h="16840"/>
          <w:pgMar w:top="1418" w:right="1134" w:bottom="1418" w:left="1701" w:header="851" w:footer="851" w:gutter="0"/>
          <w:pgNumType w:fmt="decimal"/>
          <w:cols w:space="720" w:num="1"/>
          <w:docGrid w:linePitch="462" w:charSpace="0"/>
        </w:sectPr>
      </w:pPr>
      <w:r>
        <w:rPr>
          <w:rFonts w:ascii="宋体" w:hAnsi="宋体"/>
          <w:color w:val="auto"/>
          <w:sz w:val="24"/>
          <w:highlight w:val="none"/>
        </w:rPr>
        <w:t>说明：投标人须与所有拟分包单位分别签订《分包意向协议》，每单位签订一份，并在投标文件中提交全部协议原件的电子件，否则</w:t>
      </w:r>
      <w:r>
        <w:rPr>
          <w:rFonts w:ascii="宋体" w:hAnsi="宋体"/>
          <w:b/>
          <w:color w:val="auto"/>
          <w:sz w:val="24"/>
          <w:highlight w:val="none"/>
        </w:rPr>
        <w:t>投标无效</w:t>
      </w:r>
      <w:r>
        <w:rPr>
          <w:rFonts w:ascii="宋体" w:hAnsi="宋体"/>
          <w:color w:val="auto"/>
          <w:sz w:val="24"/>
          <w:highlight w:val="none"/>
        </w:rPr>
        <w:t>。</w:t>
      </w:r>
    </w:p>
    <w:p w14:paraId="1E545A31">
      <w:pPr>
        <w:spacing w:line="360" w:lineRule="auto"/>
        <w:outlineLvl w:val="2"/>
        <w:rPr>
          <w:rFonts w:ascii="宋体" w:hAnsi="宋体"/>
          <w:color w:val="auto"/>
          <w:sz w:val="24"/>
          <w:highlight w:val="none"/>
        </w:rPr>
      </w:pPr>
      <w:r>
        <w:rPr>
          <w:rFonts w:ascii="宋体" w:hAnsi="宋体"/>
          <w:color w:val="auto"/>
          <w:sz w:val="24"/>
          <w:highlight w:val="none"/>
        </w:rPr>
        <w:t>2-3 其它落实政府采购政策的资格要求</w:t>
      </w:r>
    </w:p>
    <w:p w14:paraId="3F157E5D">
      <w:pPr>
        <w:widowControl/>
        <w:jc w:val="left"/>
        <w:rPr>
          <w:rFonts w:ascii="宋体" w:hAnsi="宋体"/>
          <w:color w:val="auto"/>
          <w:sz w:val="24"/>
          <w:highlight w:val="none"/>
        </w:rPr>
      </w:pPr>
    </w:p>
    <w:p w14:paraId="5638E100">
      <w:pPr>
        <w:widowControl/>
        <w:jc w:val="left"/>
        <w:rPr>
          <w:rFonts w:ascii="宋体" w:hAnsi="宋体"/>
          <w:color w:val="auto"/>
          <w:sz w:val="24"/>
          <w:highlight w:val="none"/>
        </w:rPr>
      </w:pPr>
      <w:r>
        <w:rPr>
          <w:rFonts w:ascii="宋体" w:hAnsi="宋体"/>
          <w:color w:val="auto"/>
          <w:sz w:val="24"/>
          <w:highlight w:val="none"/>
        </w:rPr>
        <w:br w:type="page"/>
      </w:r>
    </w:p>
    <w:p w14:paraId="1AA6D044">
      <w:pPr>
        <w:spacing w:line="360" w:lineRule="auto"/>
        <w:outlineLvl w:val="2"/>
        <w:rPr>
          <w:rFonts w:ascii="宋体" w:hAnsi="宋体"/>
          <w:color w:val="auto"/>
          <w:sz w:val="24"/>
          <w:highlight w:val="none"/>
        </w:rPr>
      </w:pPr>
      <w:r>
        <w:rPr>
          <w:rFonts w:ascii="宋体" w:hAnsi="宋体"/>
          <w:color w:val="auto"/>
          <w:sz w:val="24"/>
          <w:highlight w:val="none"/>
        </w:rPr>
        <w:t>3 本项目的特定资格要求</w:t>
      </w:r>
    </w:p>
    <w:p w14:paraId="09DDB11F">
      <w:pPr>
        <w:spacing w:line="360" w:lineRule="auto"/>
        <w:outlineLvl w:val="2"/>
        <w:rPr>
          <w:rFonts w:ascii="宋体" w:hAnsi="宋体"/>
          <w:color w:val="auto"/>
          <w:sz w:val="24"/>
          <w:highlight w:val="none"/>
        </w:rPr>
      </w:pPr>
      <w:r>
        <w:rPr>
          <w:rFonts w:ascii="宋体" w:hAnsi="宋体"/>
          <w:color w:val="auto"/>
          <w:sz w:val="24"/>
          <w:highlight w:val="none"/>
        </w:rPr>
        <w:t>3-1联合协议（如有）（实质性格式）</w:t>
      </w:r>
      <w:r>
        <w:rPr>
          <w:rFonts w:hint="eastAsia" w:ascii="宋体" w:hAnsi="宋体"/>
          <w:color w:val="auto"/>
          <w:sz w:val="24"/>
          <w:highlight w:val="none"/>
        </w:rPr>
        <w:t>（本项目不适用）</w:t>
      </w:r>
    </w:p>
    <w:p w14:paraId="266D1EF7">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联合协议</w:t>
      </w:r>
    </w:p>
    <w:p w14:paraId="24C81F26">
      <w:pPr>
        <w:spacing w:line="360" w:lineRule="auto"/>
        <w:ind w:firstLine="828" w:firstLineChars="345"/>
        <w:rPr>
          <w:rFonts w:ascii="宋体" w:hAnsi="宋体"/>
          <w:bCs/>
          <w:color w:val="auto"/>
          <w:sz w:val="24"/>
          <w:highlight w:val="none"/>
        </w:rPr>
      </w:pPr>
      <w:r>
        <w:rPr>
          <w:rFonts w:ascii="宋体" w:hAnsi="宋体"/>
          <w:bCs/>
          <w:color w:val="auto"/>
          <w:sz w:val="24"/>
          <w:highlight w:val="none"/>
        </w:rPr>
        <w:t>______ 、 _____ 及 _____就“________（</w:t>
      </w:r>
      <w:r>
        <w:rPr>
          <w:rFonts w:hint="eastAsia" w:ascii="宋体" w:hAnsi="宋体"/>
          <w:bCs/>
          <w:color w:val="auto"/>
          <w:sz w:val="24"/>
          <w:highlight w:val="none"/>
        </w:rPr>
        <w:t>项目名称/标的名称</w:t>
      </w:r>
      <w:r>
        <w:rPr>
          <w:rFonts w:ascii="宋体" w:hAnsi="宋体"/>
          <w:bCs/>
          <w:color w:val="auto"/>
          <w:sz w:val="24"/>
          <w:highlight w:val="none"/>
        </w:rPr>
        <w:t>）</w:t>
      </w:r>
      <w:r>
        <w:rPr>
          <w:rFonts w:ascii="宋体" w:hAnsi="宋体"/>
          <w:color w:val="auto"/>
          <w:sz w:val="24"/>
          <w:highlight w:val="none"/>
        </w:rPr>
        <w:t>”____包</w:t>
      </w:r>
      <w:r>
        <w:rPr>
          <w:rFonts w:ascii="宋体" w:hAnsi="宋体"/>
          <w:bCs/>
          <w:color w:val="auto"/>
          <w:sz w:val="24"/>
          <w:highlight w:val="none"/>
        </w:rPr>
        <w:t>招标项目的投标事宜，经各方充分协商一致，达成如下协议：</w:t>
      </w:r>
    </w:p>
    <w:p w14:paraId="7BA08A3A">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由_________牵头，_________、__________参加，组成联合体共同进行招标项目的投标工作。</w:t>
      </w:r>
    </w:p>
    <w:p w14:paraId="3989E186">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______为本次投标的牵头人，联合体以牵头人的名义参加投标，联合体中标后，联合体各方共同与采购人签订合同，就</w:t>
      </w:r>
      <w:r>
        <w:rPr>
          <w:rFonts w:hint="eastAsia" w:ascii="宋体" w:hAnsi="宋体"/>
          <w:bCs/>
          <w:color w:val="auto"/>
          <w:sz w:val="24"/>
          <w:highlight w:val="none"/>
        </w:rPr>
        <w:t>采购合同约定的事项</w:t>
      </w:r>
      <w:r>
        <w:rPr>
          <w:rFonts w:ascii="宋体" w:hAnsi="宋体"/>
          <w:bCs/>
          <w:color w:val="auto"/>
          <w:sz w:val="24"/>
          <w:highlight w:val="none"/>
        </w:rPr>
        <w:t>对采购人承担连带责任。</w:t>
      </w:r>
    </w:p>
    <w:p w14:paraId="6A993FBD">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联合体各方均同意由牵头人代表其他联合体成员单位按招标文件要求出具《授权委托书》。</w:t>
      </w:r>
    </w:p>
    <w:p w14:paraId="113FE39B">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牵头人为项目的总负责单位；组织各参加方进行项目实施工作。</w:t>
      </w:r>
    </w:p>
    <w:p w14:paraId="1FF9CDF8">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______负责_____，具体工作范围、内容以投标文件及合同为准。</w:t>
      </w:r>
    </w:p>
    <w:p w14:paraId="1947E457">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______负责_____，具体工作范围、内容以投标文件及合同为准。</w:t>
      </w:r>
    </w:p>
    <w:p w14:paraId="509EB498">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______负责_____（如有），具体工作范围、内容以投标文件及合同为准。</w:t>
      </w:r>
    </w:p>
    <w:p w14:paraId="737BE663">
      <w:pPr>
        <w:numPr>
          <w:ilvl w:val="0"/>
          <w:numId w:val="38"/>
        </w:numPr>
        <w:spacing w:line="360" w:lineRule="auto"/>
        <w:rPr>
          <w:rFonts w:ascii="宋体" w:hAnsi="宋体"/>
          <w:color w:val="auto"/>
          <w:sz w:val="24"/>
          <w:highlight w:val="none"/>
        </w:rPr>
      </w:pPr>
      <w:r>
        <w:rPr>
          <w:rFonts w:ascii="宋体" w:hAnsi="宋体"/>
          <w:color w:val="auto"/>
          <w:sz w:val="24"/>
          <w:highlight w:val="none"/>
        </w:rPr>
        <w:t>本项目联合协议合同总额为________元，联合体各成员按照如下比例分摊（按联合体成员分别列明）：</w:t>
      </w:r>
    </w:p>
    <w:p w14:paraId="533E605A">
      <w:pPr>
        <w:tabs>
          <w:tab w:val="left" w:pos="720"/>
          <w:tab w:val="left" w:pos="900"/>
        </w:tabs>
        <w:spacing w:line="360" w:lineRule="auto"/>
        <w:ind w:left="851"/>
        <w:rPr>
          <w:rFonts w:ascii="宋体" w:hAnsi="宋体"/>
          <w:color w:val="auto"/>
          <w:sz w:val="24"/>
          <w:highlight w:val="none"/>
        </w:rPr>
      </w:pPr>
      <w:r>
        <w:rPr>
          <w:rFonts w:ascii="宋体" w:hAnsi="宋体"/>
          <w:color w:val="auto"/>
          <w:sz w:val="24"/>
          <w:highlight w:val="none"/>
        </w:rPr>
        <w:t>（1）</w:t>
      </w:r>
      <w:r>
        <w:rPr>
          <w:rFonts w:ascii="宋体" w:hAnsi="宋体"/>
          <w:bCs/>
          <w:color w:val="auto"/>
          <w:sz w:val="24"/>
          <w:highlight w:val="none"/>
        </w:rPr>
        <w:t>______</w:t>
      </w:r>
      <w:r>
        <w:rPr>
          <w:rFonts w:ascii="宋体" w:hAnsi="宋体"/>
          <w:color w:val="auto"/>
          <w:sz w:val="24"/>
          <w:highlight w:val="none"/>
        </w:rPr>
        <w:t>为□大型企业□中型企业、□小微企业（包含监狱企业、残疾人福利性单位）、□其他，合同金额为_____元；</w:t>
      </w:r>
    </w:p>
    <w:p w14:paraId="7C7FC0DF">
      <w:pPr>
        <w:tabs>
          <w:tab w:val="left" w:pos="720"/>
          <w:tab w:val="left" w:pos="900"/>
        </w:tabs>
        <w:spacing w:line="360" w:lineRule="auto"/>
        <w:ind w:left="851"/>
        <w:rPr>
          <w:rFonts w:ascii="宋体" w:hAnsi="宋体"/>
          <w:color w:val="auto"/>
          <w:sz w:val="24"/>
          <w:highlight w:val="none"/>
        </w:rPr>
      </w:pPr>
      <w:r>
        <w:rPr>
          <w:rFonts w:ascii="宋体" w:hAnsi="宋体"/>
          <w:color w:val="auto"/>
          <w:sz w:val="24"/>
          <w:highlight w:val="none"/>
        </w:rPr>
        <w:t>（2）</w:t>
      </w:r>
      <w:r>
        <w:rPr>
          <w:rFonts w:ascii="宋体" w:hAnsi="宋体"/>
          <w:bCs/>
          <w:color w:val="auto"/>
          <w:sz w:val="24"/>
          <w:highlight w:val="none"/>
        </w:rPr>
        <w:t>______</w:t>
      </w:r>
      <w:r>
        <w:rPr>
          <w:rFonts w:ascii="宋体" w:hAnsi="宋体"/>
          <w:color w:val="auto"/>
          <w:sz w:val="24"/>
          <w:highlight w:val="none"/>
        </w:rPr>
        <w:t>为□大型企业□中型企业、□小微企业（包含监狱企业、残疾人福利性单位）、□其他，合同金额为_____元；</w:t>
      </w:r>
    </w:p>
    <w:p w14:paraId="6241168D">
      <w:pPr>
        <w:tabs>
          <w:tab w:val="left" w:pos="720"/>
          <w:tab w:val="left" w:pos="900"/>
        </w:tabs>
        <w:spacing w:line="360" w:lineRule="auto"/>
        <w:ind w:left="851"/>
        <w:rPr>
          <w:rFonts w:ascii="宋体" w:hAnsi="宋体"/>
          <w:color w:val="auto"/>
          <w:sz w:val="24"/>
          <w:highlight w:val="none"/>
        </w:rPr>
      </w:pPr>
      <w:r>
        <w:rPr>
          <w:rFonts w:ascii="宋体" w:hAnsi="宋体"/>
          <w:color w:val="auto"/>
          <w:sz w:val="24"/>
          <w:highlight w:val="none"/>
        </w:rPr>
        <w:t>（…）</w:t>
      </w:r>
      <w:r>
        <w:rPr>
          <w:rFonts w:ascii="宋体" w:hAnsi="宋体"/>
          <w:bCs/>
          <w:color w:val="auto"/>
          <w:sz w:val="24"/>
          <w:highlight w:val="none"/>
        </w:rPr>
        <w:t>______</w:t>
      </w:r>
      <w:r>
        <w:rPr>
          <w:rFonts w:ascii="宋体" w:hAnsi="宋体"/>
          <w:color w:val="auto"/>
          <w:sz w:val="24"/>
          <w:highlight w:val="none"/>
        </w:rPr>
        <w:t>为□大型企业□中型企业、□小微企业（包含监狱企业、残疾人福利性单位）、□其他，合同金额为_____元。</w:t>
      </w:r>
    </w:p>
    <w:p w14:paraId="4D32425A">
      <w:pPr>
        <w:numPr>
          <w:ilvl w:val="0"/>
          <w:numId w:val="38"/>
        </w:numPr>
        <w:tabs>
          <w:tab w:val="left" w:pos="993"/>
        </w:tabs>
        <w:spacing w:line="360" w:lineRule="auto"/>
        <w:rPr>
          <w:rFonts w:ascii="宋体" w:hAnsi="宋体"/>
          <w:bCs/>
          <w:color w:val="auto"/>
          <w:sz w:val="24"/>
          <w:highlight w:val="none"/>
        </w:rPr>
      </w:pPr>
      <w:r>
        <w:rPr>
          <w:rFonts w:hint="eastAsia" w:ascii="宋体" w:hAnsi="宋体"/>
          <w:bCs/>
          <w:color w:val="auto"/>
          <w:sz w:val="24"/>
          <w:highlight w:val="none"/>
        </w:rPr>
        <w:t>以联合体形式参加政府采购活动的，联合体各方不得再单独参加或者与其他供应商另外组成联合体参加同一合同项下的政府采购活动</w:t>
      </w:r>
      <w:r>
        <w:rPr>
          <w:rFonts w:ascii="宋体" w:hAnsi="宋体"/>
          <w:bCs/>
          <w:color w:val="auto"/>
          <w:sz w:val="24"/>
          <w:highlight w:val="none"/>
        </w:rPr>
        <w:t>。</w:t>
      </w:r>
    </w:p>
    <w:p w14:paraId="112A8B43">
      <w:pPr>
        <w:numPr>
          <w:ilvl w:val="0"/>
          <w:numId w:val="38"/>
        </w:numPr>
        <w:spacing w:line="360" w:lineRule="auto"/>
        <w:rPr>
          <w:rFonts w:ascii="宋体" w:hAnsi="宋体"/>
          <w:bCs/>
          <w:color w:val="auto"/>
          <w:sz w:val="24"/>
          <w:highlight w:val="none"/>
        </w:rPr>
      </w:pPr>
      <w:r>
        <w:rPr>
          <w:rFonts w:ascii="宋体" w:hAnsi="宋体"/>
          <w:bCs/>
          <w:color w:val="auto"/>
          <w:sz w:val="24"/>
          <w:highlight w:val="none"/>
        </w:rPr>
        <w:t>其他约定（如有）：_______</w:t>
      </w:r>
      <w:r>
        <w:rPr>
          <w:rFonts w:hint="eastAsia" w:ascii="宋体" w:hAnsi="宋体"/>
          <w:bCs/>
          <w:color w:val="auto"/>
          <w:sz w:val="24"/>
          <w:highlight w:val="none"/>
        </w:rPr>
        <w:t>。</w:t>
      </w:r>
    </w:p>
    <w:p w14:paraId="3E5D65A3">
      <w:pPr>
        <w:tabs>
          <w:tab w:val="left" w:pos="780"/>
        </w:tabs>
        <w:spacing w:line="360" w:lineRule="auto"/>
        <w:ind w:firstLine="480" w:firstLineChars="200"/>
        <w:rPr>
          <w:rFonts w:ascii="宋体" w:hAnsi="宋体"/>
          <w:color w:val="auto"/>
          <w:sz w:val="24"/>
          <w:highlight w:val="none"/>
        </w:rPr>
      </w:pPr>
      <w:r>
        <w:rPr>
          <w:rFonts w:ascii="宋体" w:hAnsi="宋体"/>
          <w:bCs/>
          <w:color w:val="auto"/>
          <w:sz w:val="24"/>
          <w:highlight w:val="none"/>
        </w:rPr>
        <w:t>本协议自各方盖章后生效，</w:t>
      </w:r>
      <w:r>
        <w:rPr>
          <w:rFonts w:hint="eastAsia" w:ascii="宋体" w:hAnsi="宋体"/>
          <w:bCs/>
          <w:color w:val="auto"/>
          <w:sz w:val="24"/>
          <w:highlight w:val="none"/>
        </w:rPr>
        <w:t>采购合同履行完毕后自动失效。</w:t>
      </w:r>
      <w:r>
        <w:rPr>
          <w:rFonts w:ascii="宋体" w:hAnsi="宋体"/>
          <w:bCs/>
          <w:color w:val="auto"/>
          <w:sz w:val="24"/>
          <w:highlight w:val="none"/>
        </w:rPr>
        <w:t>如未中标，本协议自动终止。</w:t>
      </w:r>
      <w:r>
        <w:rPr>
          <w:rFonts w:ascii="宋体" w:hAnsi="宋体"/>
          <w:color w:val="auto"/>
          <w:sz w:val="24"/>
          <w:highlight w:val="none"/>
        </w:rPr>
        <w:br w:type="page"/>
      </w:r>
    </w:p>
    <w:p w14:paraId="281491FA">
      <w:pPr>
        <w:spacing w:line="360" w:lineRule="auto"/>
        <w:ind w:firstLine="471"/>
        <w:rPr>
          <w:rFonts w:ascii="宋体" w:hAnsi="宋体"/>
          <w:color w:val="auto"/>
          <w:sz w:val="24"/>
          <w:highlight w:val="none"/>
        </w:rPr>
      </w:pPr>
      <w:r>
        <w:rPr>
          <w:rFonts w:hint="eastAsia" w:ascii="宋体" w:hAnsi="宋体"/>
          <w:color w:val="auto"/>
          <w:sz w:val="24"/>
          <w:highlight w:val="none"/>
        </w:rPr>
        <w:t>联合体</w:t>
      </w:r>
      <w:r>
        <w:rPr>
          <w:rFonts w:ascii="宋体" w:hAnsi="宋体"/>
          <w:color w:val="auto"/>
          <w:sz w:val="24"/>
          <w:highlight w:val="none"/>
        </w:rPr>
        <w:t>牵头人</w:t>
      </w:r>
      <w:r>
        <w:rPr>
          <w:rFonts w:hint="eastAsia" w:ascii="宋体" w:hAnsi="宋体"/>
          <w:color w:val="auto"/>
          <w:sz w:val="24"/>
          <w:highlight w:val="none"/>
        </w:rPr>
        <w:t>名称：</w:t>
      </w:r>
      <w:r>
        <w:rPr>
          <w:rFonts w:ascii="宋体" w:hAnsi="宋体"/>
          <w:color w:val="auto"/>
          <w:sz w:val="24"/>
          <w:highlight w:val="none"/>
        </w:rPr>
        <w:t>______</w:t>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ab/>
      </w:r>
      <w:r>
        <w:rPr>
          <w:rFonts w:ascii="宋体" w:hAnsi="宋体"/>
          <w:color w:val="auto"/>
          <w:sz w:val="24"/>
          <w:highlight w:val="none"/>
        </w:rPr>
        <w:t xml:space="preserve"> </w:t>
      </w:r>
      <w:r>
        <w:rPr>
          <w:rFonts w:hint="eastAsia" w:ascii="宋体" w:hAnsi="宋体"/>
          <w:color w:val="auto"/>
          <w:sz w:val="24"/>
          <w:highlight w:val="none"/>
        </w:rPr>
        <w:t>联合体成员名称</w:t>
      </w:r>
      <w:r>
        <w:rPr>
          <w:rFonts w:ascii="宋体" w:hAnsi="宋体"/>
          <w:color w:val="auto"/>
          <w:sz w:val="24"/>
          <w:highlight w:val="none"/>
        </w:rPr>
        <w:t>：______</w:t>
      </w:r>
    </w:p>
    <w:p w14:paraId="0866038A">
      <w:pPr>
        <w:spacing w:line="360" w:lineRule="auto"/>
        <w:ind w:firstLine="471"/>
        <w:rPr>
          <w:rFonts w:ascii="宋体" w:hAnsi="宋体"/>
          <w:color w:val="auto"/>
          <w:sz w:val="24"/>
          <w:highlight w:val="none"/>
        </w:rPr>
      </w:pPr>
      <w:r>
        <w:rPr>
          <w:rFonts w:ascii="宋体" w:hAnsi="宋体"/>
          <w:color w:val="auto"/>
          <w:sz w:val="24"/>
          <w:highlight w:val="none"/>
        </w:rPr>
        <w:t>盖章：______                           盖章：______</w:t>
      </w:r>
    </w:p>
    <w:p w14:paraId="7C0A2328">
      <w:pPr>
        <w:spacing w:line="360" w:lineRule="auto"/>
        <w:ind w:firstLine="471"/>
        <w:rPr>
          <w:rFonts w:ascii="宋体" w:hAnsi="宋体"/>
          <w:color w:val="auto"/>
          <w:sz w:val="24"/>
          <w:highlight w:val="none"/>
        </w:rPr>
      </w:pPr>
    </w:p>
    <w:p w14:paraId="5665E199">
      <w:pPr>
        <w:spacing w:line="360" w:lineRule="auto"/>
        <w:ind w:firstLine="471"/>
        <w:rPr>
          <w:rFonts w:ascii="宋体" w:hAnsi="宋体"/>
          <w:color w:val="auto"/>
          <w:sz w:val="24"/>
          <w:highlight w:val="none"/>
        </w:rPr>
      </w:pPr>
    </w:p>
    <w:p w14:paraId="34691863">
      <w:pPr>
        <w:spacing w:line="360" w:lineRule="auto"/>
        <w:ind w:firstLine="471"/>
        <w:rPr>
          <w:rFonts w:ascii="宋体" w:hAnsi="宋体"/>
          <w:color w:val="auto"/>
          <w:sz w:val="24"/>
          <w:highlight w:val="none"/>
        </w:rPr>
      </w:pPr>
      <w:r>
        <w:rPr>
          <w:rFonts w:hint="eastAsia" w:ascii="宋体" w:hAnsi="宋体"/>
          <w:color w:val="auto"/>
          <w:sz w:val="24"/>
          <w:highlight w:val="none"/>
        </w:rPr>
        <w:t>联合体成员名称</w:t>
      </w:r>
      <w:r>
        <w:rPr>
          <w:rFonts w:ascii="宋体" w:hAnsi="宋体"/>
          <w:color w:val="auto"/>
          <w:sz w:val="24"/>
          <w:highlight w:val="none"/>
        </w:rPr>
        <w:t>：______</w:t>
      </w:r>
    </w:p>
    <w:p w14:paraId="00D4DE21">
      <w:pPr>
        <w:spacing w:line="360" w:lineRule="auto"/>
        <w:ind w:firstLine="471"/>
        <w:rPr>
          <w:rFonts w:ascii="宋体" w:hAnsi="宋体"/>
          <w:color w:val="auto"/>
          <w:sz w:val="24"/>
          <w:highlight w:val="none"/>
        </w:rPr>
      </w:pPr>
      <w:r>
        <w:rPr>
          <w:rFonts w:ascii="宋体" w:hAnsi="宋体"/>
          <w:color w:val="auto"/>
          <w:sz w:val="24"/>
          <w:highlight w:val="none"/>
        </w:rPr>
        <w:t xml:space="preserve">盖章：______                                </w:t>
      </w:r>
    </w:p>
    <w:p w14:paraId="566B2748">
      <w:pPr>
        <w:spacing w:line="360" w:lineRule="auto"/>
        <w:ind w:firstLine="471"/>
        <w:rPr>
          <w:rFonts w:ascii="宋体" w:hAnsi="宋体"/>
          <w:color w:val="auto"/>
          <w:sz w:val="24"/>
          <w:highlight w:val="none"/>
        </w:rPr>
      </w:pPr>
    </w:p>
    <w:p w14:paraId="3A08F9D6">
      <w:pPr>
        <w:spacing w:line="360" w:lineRule="auto"/>
        <w:ind w:firstLine="471"/>
        <w:rPr>
          <w:rFonts w:ascii="宋体" w:hAnsi="宋体"/>
          <w:color w:val="auto"/>
          <w:sz w:val="24"/>
          <w:highlight w:val="none"/>
        </w:rPr>
      </w:pPr>
    </w:p>
    <w:p w14:paraId="2ED37B65">
      <w:pPr>
        <w:spacing w:line="360" w:lineRule="auto"/>
        <w:ind w:left="480"/>
        <w:jc w:val="right"/>
        <w:rPr>
          <w:rFonts w:ascii="宋体" w:hAnsi="宋体"/>
          <w:color w:val="auto"/>
          <w:sz w:val="24"/>
          <w:highlight w:val="none"/>
        </w:rPr>
      </w:pPr>
    </w:p>
    <w:p w14:paraId="3E15F614">
      <w:pPr>
        <w:spacing w:line="360" w:lineRule="auto"/>
        <w:ind w:left="480"/>
        <w:jc w:val="right"/>
        <w:rPr>
          <w:rFonts w:ascii="宋体" w:hAnsi="宋体"/>
          <w:color w:val="auto"/>
          <w:sz w:val="24"/>
          <w:highlight w:val="none"/>
        </w:rPr>
      </w:pPr>
      <w:r>
        <w:rPr>
          <w:rFonts w:ascii="宋体" w:hAnsi="宋体"/>
          <w:color w:val="auto"/>
          <w:sz w:val="24"/>
          <w:highlight w:val="none"/>
        </w:rPr>
        <w:t>日期：_____年______月______日</w:t>
      </w:r>
    </w:p>
    <w:p w14:paraId="22ED4AA8">
      <w:pPr>
        <w:spacing w:line="360" w:lineRule="auto"/>
        <w:ind w:left="480"/>
        <w:jc w:val="right"/>
        <w:rPr>
          <w:rFonts w:ascii="宋体" w:hAnsi="宋体"/>
          <w:b/>
          <w:color w:val="auto"/>
          <w:sz w:val="24"/>
          <w:highlight w:val="none"/>
        </w:rPr>
      </w:pPr>
    </w:p>
    <w:p w14:paraId="721AC0E7">
      <w:pPr>
        <w:tabs>
          <w:tab w:val="left" w:pos="8280"/>
        </w:tabs>
        <w:spacing w:line="360" w:lineRule="auto"/>
        <w:ind w:firstLine="480"/>
        <w:rPr>
          <w:rFonts w:ascii="宋体" w:hAnsi="宋体"/>
          <w:color w:val="auto"/>
          <w:sz w:val="24"/>
          <w:highlight w:val="none"/>
        </w:rPr>
      </w:pPr>
    </w:p>
    <w:p w14:paraId="36A8A132">
      <w:pPr>
        <w:tabs>
          <w:tab w:val="left" w:pos="8280"/>
        </w:tabs>
        <w:spacing w:line="360" w:lineRule="auto"/>
        <w:ind w:firstLine="480"/>
        <w:rPr>
          <w:rFonts w:ascii="宋体" w:hAnsi="宋体"/>
          <w:color w:val="auto"/>
          <w:sz w:val="24"/>
          <w:highlight w:val="none"/>
        </w:rPr>
      </w:pPr>
    </w:p>
    <w:p w14:paraId="67138420">
      <w:pPr>
        <w:spacing w:line="360" w:lineRule="auto"/>
        <w:ind w:left="719" w:leftChars="228" w:hanging="240" w:hangingChars="100"/>
        <w:rPr>
          <w:rFonts w:ascii="宋体" w:hAnsi="宋体"/>
          <w:color w:val="auto"/>
          <w:sz w:val="24"/>
          <w:highlight w:val="none"/>
        </w:rPr>
      </w:pPr>
      <w:r>
        <w:rPr>
          <w:rFonts w:ascii="宋体" w:hAnsi="宋体"/>
          <w:color w:val="auto"/>
          <w:sz w:val="24"/>
          <w:highlight w:val="none"/>
        </w:rPr>
        <w:t>注：联合体各方成员应在本协议上共同盖章，不得分别签署协议书。</w:t>
      </w:r>
    </w:p>
    <w:p w14:paraId="682CE30E">
      <w:pPr>
        <w:spacing w:line="360" w:lineRule="auto"/>
        <w:ind w:left="719" w:leftChars="228" w:hanging="240" w:hangingChars="100"/>
        <w:rPr>
          <w:rFonts w:ascii="宋体" w:hAnsi="宋体"/>
          <w:color w:val="auto"/>
          <w:sz w:val="24"/>
          <w:highlight w:val="none"/>
        </w:rPr>
      </w:pPr>
      <w:r>
        <w:rPr>
          <w:rFonts w:ascii="宋体" w:hAnsi="宋体"/>
          <w:color w:val="auto"/>
          <w:sz w:val="24"/>
          <w:highlight w:val="none"/>
        </w:rPr>
        <w:br w:type="page"/>
      </w:r>
    </w:p>
    <w:p w14:paraId="25D18902">
      <w:pPr>
        <w:spacing w:line="360" w:lineRule="auto"/>
        <w:rPr>
          <w:rFonts w:ascii="宋体" w:hAnsi="宋体"/>
          <w:color w:val="auto"/>
          <w:sz w:val="24"/>
          <w:highlight w:val="none"/>
        </w:rPr>
      </w:pPr>
      <w:r>
        <w:rPr>
          <w:rFonts w:ascii="宋体" w:hAnsi="宋体"/>
          <w:color w:val="auto"/>
          <w:sz w:val="24"/>
          <w:highlight w:val="none"/>
        </w:rPr>
        <w:t>3-2其他特定资格要求</w:t>
      </w:r>
      <w:r>
        <w:rPr>
          <w:rFonts w:hint="eastAsia" w:ascii="宋体" w:hAnsi="宋体"/>
          <w:color w:val="auto"/>
          <w:sz w:val="24"/>
          <w:highlight w:val="none"/>
        </w:rPr>
        <w:t>（</w:t>
      </w:r>
      <w:r>
        <w:rPr>
          <w:rFonts w:hint="eastAsia" w:ascii="宋体" w:hAnsi="宋体"/>
          <w:bCs/>
          <w:color w:val="auto"/>
          <w:sz w:val="24"/>
          <w:highlight w:val="none"/>
        </w:rPr>
        <w:t>格式自拟）</w:t>
      </w:r>
    </w:p>
    <w:p w14:paraId="43F6B90A">
      <w:pPr>
        <w:widowControl/>
        <w:jc w:val="left"/>
        <w:rPr>
          <w:rFonts w:ascii="宋体" w:hAnsi="宋体"/>
          <w:color w:val="auto"/>
          <w:sz w:val="24"/>
          <w:highlight w:val="none"/>
        </w:rPr>
      </w:pPr>
      <w:r>
        <w:rPr>
          <w:rFonts w:ascii="宋体" w:hAnsi="宋体"/>
          <w:color w:val="auto"/>
          <w:sz w:val="24"/>
          <w:highlight w:val="none"/>
        </w:rPr>
        <w:br w:type="page"/>
      </w:r>
    </w:p>
    <w:p w14:paraId="1A681E64">
      <w:pPr>
        <w:shd w:val="clear"/>
        <w:spacing w:line="360" w:lineRule="auto"/>
        <w:outlineLvl w:val="2"/>
        <w:rPr>
          <w:rFonts w:hint="eastAsia" w:ascii="宋体" w:hAnsi="宋体" w:eastAsia="宋体"/>
          <w:color w:val="auto"/>
          <w:sz w:val="24"/>
          <w:highlight w:val="none"/>
          <w:lang w:eastAsia="zh-CN"/>
        </w:rPr>
      </w:pPr>
      <w:r>
        <w:rPr>
          <w:rFonts w:ascii="宋体" w:hAnsi="宋体"/>
          <w:color w:val="auto"/>
          <w:sz w:val="24"/>
          <w:highlight w:val="none"/>
        </w:rPr>
        <w:t>4 投标保证金</w:t>
      </w:r>
      <w:r>
        <w:rPr>
          <w:rFonts w:hint="eastAsia" w:ascii="宋体" w:hAnsi="宋体"/>
          <w:color w:val="auto"/>
          <w:sz w:val="24"/>
          <w:highlight w:val="none"/>
        </w:rPr>
        <w:t>凭证/</w:t>
      </w:r>
      <w:r>
        <w:rPr>
          <w:rFonts w:ascii="宋体" w:hAnsi="宋体"/>
          <w:color w:val="auto"/>
          <w:sz w:val="24"/>
          <w:highlight w:val="none"/>
        </w:rPr>
        <w:t>交款单据电子件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olor w:val="auto"/>
          <w:sz w:val="24"/>
          <w:highlight w:val="none"/>
          <w:lang w:eastAsia="zh-CN"/>
        </w:rPr>
        <w:t>）</w:t>
      </w:r>
    </w:p>
    <w:p w14:paraId="7A0791DA">
      <w:pPr>
        <w:spacing w:line="360" w:lineRule="auto"/>
        <w:rPr>
          <w:rFonts w:ascii="宋体" w:hAnsi="宋体"/>
          <w:color w:val="auto"/>
          <w:sz w:val="24"/>
          <w:highlight w:val="none"/>
        </w:rPr>
      </w:pPr>
    </w:p>
    <w:p w14:paraId="52763DE9">
      <w:pPr>
        <w:spacing w:line="360" w:lineRule="auto"/>
        <w:rPr>
          <w:rFonts w:ascii="宋体" w:hAnsi="宋体"/>
          <w:color w:val="auto"/>
          <w:sz w:val="24"/>
          <w:highlight w:val="none"/>
        </w:rPr>
      </w:pPr>
    </w:p>
    <w:p w14:paraId="49E0C733">
      <w:pPr>
        <w:widowControl/>
        <w:jc w:val="left"/>
        <w:rPr>
          <w:rFonts w:ascii="宋体" w:hAnsi="宋体"/>
          <w:color w:val="auto"/>
          <w:kern w:val="0"/>
          <w:sz w:val="24"/>
          <w:highlight w:val="none"/>
        </w:rPr>
      </w:pPr>
      <w:r>
        <w:rPr>
          <w:rFonts w:ascii="宋体" w:hAnsi="宋体"/>
          <w:color w:val="auto"/>
          <w:sz w:val="24"/>
          <w:highlight w:val="none"/>
        </w:rPr>
        <w:br w:type="page"/>
      </w:r>
    </w:p>
    <w:p w14:paraId="7BA39D46">
      <w:pPr>
        <w:keepNext/>
        <w:keepLines/>
        <w:autoSpaceDE w:val="0"/>
        <w:autoSpaceDN w:val="0"/>
        <w:adjustRightInd w:val="0"/>
        <w:spacing w:before="120" w:line="300" w:lineRule="auto"/>
        <w:jc w:val="left"/>
        <w:outlineLvl w:val="1"/>
        <w:rPr>
          <w:rFonts w:ascii="宋体" w:hAnsi="宋体"/>
          <w:b/>
          <w:color w:val="auto"/>
          <w:spacing w:val="20"/>
          <w:sz w:val="24"/>
          <w:highlight w:val="none"/>
        </w:rPr>
      </w:pPr>
      <w:r>
        <w:rPr>
          <w:rFonts w:ascii="宋体" w:hAnsi="宋体"/>
          <w:b/>
          <w:color w:val="auto"/>
          <w:spacing w:val="20"/>
          <w:sz w:val="24"/>
          <w:highlight w:val="none"/>
        </w:rPr>
        <w:t>二、商务技术文件格式</w:t>
      </w:r>
    </w:p>
    <w:p w14:paraId="23C3E495">
      <w:pPr>
        <w:rPr>
          <w:rFonts w:ascii="宋体" w:hAnsi="宋体"/>
          <w:b/>
          <w:color w:val="auto"/>
          <w:spacing w:val="20"/>
          <w:sz w:val="24"/>
          <w:highlight w:val="none"/>
        </w:rPr>
      </w:pPr>
    </w:p>
    <w:p w14:paraId="25729D23">
      <w:pPr>
        <w:rPr>
          <w:rFonts w:ascii="宋体" w:hAnsi="宋体"/>
          <w:b/>
          <w:color w:val="auto"/>
          <w:sz w:val="24"/>
          <w:highlight w:val="none"/>
        </w:rPr>
      </w:pPr>
      <w:r>
        <w:rPr>
          <w:rFonts w:ascii="宋体" w:hAnsi="宋体"/>
          <w:b/>
          <w:color w:val="auto"/>
          <w:spacing w:val="20"/>
          <w:sz w:val="24"/>
          <w:highlight w:val="none"/>
        </w:rPr>
        <w:t>投标文件（商务技术文件）</w:t>
      </w:r>
      <w:r>
        <w:rPr>
          <w:rFonts w:ascii="宋体" w:hAnsi="宋体"/>
          <w:b/>
          <w:color w:val="auto"/>
          <w:sz w:val="24"/>
          <w:highlight w:val="none"/>
        </w:rPr>
        <w:t>封面（非实质性格式）</w:t>
      </w:r>
    </w:p>
    <w:p w14:paraId="58120E51">
      <w:pPr>
        <w:jc w:val="center"/>
        <w:rPr>
          <w:rFonts w:ascii="宋体" w:hAnsi="宋体"/>
          <w:color w:val="auto"/>
          <w:sz w:val="24"/>
          <w:highlight w:val="none"/>
        </w:rPr>
      </w:pPr>
    </w:p>
    <w:p w14:paraId="5437CA68">
      <w:pPr>
        <w:jc w:val="center"/>
        <w:rPr>
          <w:rFonts w:ascii="宋体" w:hAnsi="宋体"/>
          <w:b/>
          <w:color w:val="auto"/>
          <w:spacing w:val="60"/>
          <w:sz w:val="24"/>
          <w:highlight w:val="none"/>
        </w:rPr>
      </w:pPr>
      <w:r>
        <w:rPr>
          <w:rFonts w:ascii="宋体" w:hAnsi="宋体"/>
          <w:b/>
          <w:color w:val="auto"/>
          <w:spacing w:val="60"/>
          <w:sz w:val="24"/>
          <w:highlight w:val="none"/>
        </w:rPr>
        <w:t>投 标 文 件</w:t>
      </w:r>
    </w:p>
    <w:p w14:paraId="624548CC">
      <w:pPr>
        <w:jc w:val="center"/>
        <w:rPr>
          <w:rFonts w:ascii="宋体" w:hAnsi="宋体"/>
          <w:b/>
          <w:color w:val="auto"/>
          <w:spacing w:val="60"/>
          <w:sz w:val="24"/>
          <w:highlight w:val="none"/>
        </w:rPr>
      </w:pPr>
      <w:r>
        <w:rPr>
          <w:rFonts w:ascii="宋体" w:hAnsi="宋体"/>
          <w:b/>
          <w:color w:val="auto"/>
          <w:spacing w:val="60"/>
          <w:sz w:val="24"/>
          <w:highlight w:val="none"/>
        </w:rPr>
        <w:t>（商务技术文件）</w:t>
      </w:r>
    </w:p>
    <w:p w14:paraId="2A27328B">
      <w:pPr>
        <w:ind w:firstLine="421" w:firstLineChars="150"/>
        <w:rPr>
          <w:rFonts w:ascii="宋体" w:hAnsi="宋体"/>
          <w:b/>
          <w:color w:val="auto"/>
          <w:spacing w:val="20"/>
          <w:sz w:val="24"/>
          <w:highlight w:val="none"/>
        </w:rPr>
      </w:pPr>
    </w:p>
    <w:p w14:paraId="14AB905F">
      <w:pPr>
        <w:ind w:firstLine="421" w:firstLineChars="150"/>
        <w:rPr>
          <w:rFonts w:ascii="宋体" w:hAnsi="宋体"/>
          <w:b/>
          <w:color w:val="auto"/>
          <w:spacing w:val="20"/>
          <w:sz w:val="24"/>
          <w:highlight w:val="none"/>
        </w:rPr>
      </w:pPr>
    </w:p>
    <w:p w14:paraId="3ED13A09">
      <w:pPr>
        <w:rPr>
          <w:rFonts w:asciiTheme="minorEastAsia" w:hAnsiTheme="minorEastAsia" w:eastAsiaTheme="minorEastAsia"/>
          <w:b/>
          <w:bCs/>
          <w:i w:val="0"/>
          <w:iCs w:val="0"/>
          <w:color w:val="auto"/>
          <w:sz w:val="24"/>
          <w:szCs w:val="24"/>
          <w:highlight w:val="none"/>
        </w:rPr>
      </w:pPr>
      <w:r>
        <w:rPr>
          <w:rFonts w:asciiTheme="minorEastAsia" w:hAnsiTheme="minorEastAsia" w:eastAsiaTheme="minorEastAsia"/>
          <w:b/>
          <w:bCs/>
          <w:i w:val="0"/>
          <w:iCs w:val="0"/>
          <w:color w:val="auto"/>
          <w:sz w:val="24"/>
          <w:szCs w:val="24"/>
          <w:highlight w:val="none"/>
        </w:rPr>
        <w:t>项目名称</w:t>
      </w:r>
      <w:r>
        <w:rPr>
          <w:rFonts w:hint="eastAsia" w:asciiTheme="minorEastAsia" w:hAnsiTheme="minorEastAsia" w:eastAsiaTheme="minorEastAsia"/>
          <w:b/>
          <w:bCs/>
          <w:i w:val="0"/>
          <w:iCs w:val="0"/>
          <w:color w:val="auto"/>
          <w:sz w:val="24"/>
          <w:szCs w:val="24"/>
          <w:highlight w:val="none"/>
          <w:lang w:val="en-US" w:eastAsia="zh-CN"/>
        </w:rPr>
        <w:t>/标的名称</w:t>
      </w:r>
      <w:r>
        <w:rPr>
          <w:rFonts w:asciiTheme="minorEastAsia" w:hAnsiTheme="minorEastAsia" w:eastAsiaTheme="minorEastAsia"/>
          <w:b/>
          <w:bCs/>
          <w:i w:val="0"/>
          <w:iCs w:val="0"/>
          <w:color w:val="auto"/>
          <w:sz w:val="24"/>
          <w:szCs w:val="24"/>
          <w:highlight w:val="none"/>
        </w:rPr>
        <w:t>:</w:t>
      </w:r>
    </w:p>
    <w:p w14:paraId="0E9AE9F2">
      <w:pP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项目编号</w:t>
      </w:r>
      <w:r>
        <w:rPr>
          <w:rFonts w:asciiTheme="minorEastAsia" w:hAnsiTheme="minorEastAsia" w:eastAsiaTheme="minorEastAsia"/>
          <w:b/>
          <w:bCs/>
          <w:i/>
          <w:color w:val="auto"/>
          <w:sz w:val="24"/>
          <w:highlight w:val="none"/>
        </w:rPr>
        <w:t>/</w:t>
      </w:r>
      <w:r>
        <w:rPr>
          <w:rFonts w:asciiTheme="minorEastAsia" w:hAnsiTheme="minorEastAsia" w:eastAsiaTheme="minorEastAsia"/>
          <w:b/>
          <w:bCs/>
          <w:color w:val="auto"/>
          <w:sz w:val="24"/>
          <w:highlight w:val="none"/>
        </w:rPr>
        <w:t>包号：</w:t>
      </w:r>
    </w:p>
    <w:p w14:paraId="3395DA68">
      <w:pPr>
        <w:rPr>
          <w:rFonts w:asciiTheme="minorEastAsia" w:hAnsiTheme="minorEastAsia" w:eastAsiaTheme="minorEastAsia"/>
          <w:b/>
          <w:bCs/>
          <w:color w:val="auto"/>
          <w:sz w:val="16"/>
          <w:szCs w:val="16"/>
          <w:highlight w:val="none"/>
        </w:rPr>
      </w:pPr>
      <w:r>
        <w:rPr>
          <w:rFonts w:asciiTheme="minorEastAsia" w:hAnsiTheme="minorEastAsia" w:eastAsiaTheme="minorEastAsia"/>
          <w:b/>
          <w:bCs/>
          <w:color w:val="auto"/>
          <w:sz w:val="24"/>
          <w:highlight w:val="none"/>
        </w:rPr>
        <w:t>投标人名称</w:t>
      </w:r>
      <w:r>
        <w:rPr>
          <w:rFonts w:asciiTheme="minorEastAsia" w:hAnsiTheme="minorEastAsia" w:eastAsiaTheme="minorEastAsia"/>
          <w:b/>
          <w:bCs/>
          <w:color w:val="auto"/>
          <w:sz w:val="16"/>
          <w:szCs w:val="16"/>
          <w:highlight w:val="none"/>
        </w:rPr>
        <w:t>：</w:t>
      </w:r>
    </w:p>
    <w:p w14:paraId="7449186F">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法定代表人或授权代表人（签字或盖章）：</w:t>
      </w:r>
    </w:p>
    <w:p w14:paraId="63BA0808">
      <w:pP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日期：</w:t>
      </w:r>
    </w:p>
    <w:p w14:paraId="03A6438F">
      <w:pPr>
        <w:jc w:val="center"/>
        <w:rPr>
          <w:rFonts w:ascii="宋体" w:hAnsi="宋体"/>
          <w:b/>
          <w:color w:val="auto"/>
          <w:sz w:val="24"/>
          <w:highlight w:val="none"/>
        </w:rPr>
      </w:pPr>
    </w:p>
    <w:p w14:paraId="6C857C27">
      <w:pPr>
        <w:widowControl/>
        <w:jc w:val="left"/>
        <w:rPr>
          <w:rFonts w:ascii="宋体" w:hAnsi="宋体"/>
          <w:b/>
          <w:color w:val="auto"/>
          <w:sz w:val="24"/>
          <w:highlight w:val="none"/>
        </w:rPr>
      </w:pPr>
      <w:r>
        <w:rPr>
          <w:rFonts w:ascii="宋体" w:hAnsi="宋体"/>
          <w:b/>
          <w:color w:val="auto"/>
          <w:sz w:val="24"/>
          <w:highlight w:val="none"/>
        </w:rPr>
        <w:br w:type="page"/>
      </w:r>
    </w:p>
    <w:p w14:paraId="1C1805C0">
      <w:pPr>
        <w:spacing w:line="360" w:lineRule="auto"/>
        <w:outlineLvl w:val="2"/>
        <w:rPr>
          <w:rFonts w:ascii="宋体" w:hAnsi="宋体"/>
          <w:color w:val="auto"/>
          <w:sz w:val="24"/>
          <w:highlight w:val="none"/>
        </w:rPr>
      </w:pPr>
      <w:bookmarkStart w:id="1096" w:name="_Hlt520355504"/>
      <w:bookmarkEnd w:id="1096"/>
      <w:bookmarkStart w:id="1097" w:name="_Hlt520343392"/>
      <w:bookmarkEnd w:id="1097"/>
      <w:bookmarkStart w:id="1098" w:name="_Hlt520343000"/>
      <w:bookmarkEnd w:id="1098"/>
      <w:bookmarkStart w:id="1099" w:name="_Hlt520274393"/>
      <w:bookmarkEnd w:id="1099"/>
      <w:bookmarkStart w:id="1100" w:name="_Hlt520274065"/>
      <w:bookmarkEnd w:id="1100"/>
      <w:bookmarkStart w:id="1101" w:name="_Hlt520271212"/>
      <w:bookmarkEnd w:id="1101"/>
      <w:bookmarkStart w:id="1102" w:name="_Hlt520274407"/>
      <w:bookmarkEnd w:id="1102"/>
      <w:bookmarkStart w:id="1103" w:name="_Hlt520350918"/>
      <w:bookmarkEnd w:id="1103"/>
      <w:bookmarkStart w:id="1104" w:name="_Hlt520273711"/>
      <w:bookmarkEnd w:id="1104"/>
      <w:bookmarkStart w:id="1105" w:name="_Hlt520274121"/>
      <w:bookmarkEnd w:id="1105"/>
      <w:bookmarkStart w:id="1106" w:name="_Ref467988698"/>
      <w:bookmarkStart w:id="1107" w:name="_Toc480942349"/>
      <w:bookmarkStart w:id="1108" w:name="_Toc226965829"/>
      <w:bookmarkStart w:id="1109" w:name="_Toc195842921"/>
      <w:bookmarkStart w:id="1110" w:name="_Toc226337252"/>
      <w:bookmarkStart w:id="1111" w:name="_Toc150774761"/>
      <w:bookmarkStart w:id="1112" w:name="_Toc142311058"/>
      <w:bookmarkStart w:id="1113" w:name="_Toc520356217"/>
      <w:bookmarkStart w:id="1114" w:name="_Toc226309800"/>
      <w:bookmarkStart w:id="1115" w:name="_Toc127151556"/>
      <w:bookmarkStart w:id="1116" w:name="_Toc150480794"/>
      <w:bookmarkStart w:id="1117" w:name="_Toc226965746"/>
      <w:r>
        <w:rPr>
          <w:rFonts w:ascii="宋体" w:hAnsi="宋体"/>
          <w:color w:val="auto"/>
          <w:sz w:val="24"/>
          <w:highlight w:val="none"/>
        </w:rPr>
        <w:t>1  投标</w:t>
      </w:r>
      <w:bookmarkEnd w:id="1106"/>
      <w:bookmarkEnd w:id="1107"/>
      <w:r>
        <w:rPr>
          <w:rFonts w:ascii="宋体" w:hAnsi="宋体"/>
          <w:color w:val="auto"/>
          <w:sz w:val="24"/>
          <w:highlight w:val="none"/>
        </w:rPr>
        <w:t>书</w:t>
      </w:r>
      <w:bookmarkEnd w:id="1108"/>
      <w:bookmarkEnd w:id="1109"/>
      <w:bookmarkEnd w:id="1110"/>
      <w:bookmarkEnd w:id="1111"/>
      <w:bookmarkEnd w:id="1112"/>
      <w:bookmarkEnd w:id="1113"/>
      <w:bookmarkEnd w:id="1114"/>
      <w:bookmarkEnd w:id="1115"/>
      <w:bookmarkEnd w:id="1116"/>
      <w:bookmarkEnd w:id="1117"/>
      <w:r>
        <w:rPr>
          <w:rFonts w:ascii="宋体" w:hAnsi="宋体"/>
          <w:color w:val="auto"/>
          <w:sz w:val="24"/>
          <w:highlight w:val="none"/>
        </w:rPr>
        <w:t>（实质性格式）</w:t>
      </w:r>
    </w:p>
    <w:p w14:paraId="3820F8E5">
      <w:pPr>
        <w:tabs>
          <w:tab w:val="left" w:pos="5580"/>
        </w:tabs>
        <w:spacing w:line="360" w:lineRule="auto"/>
        <w:rPr>
          <w:rFonts w:ascii="宋体" w:hAnsi="宋体"/>
          <w:color w:val="auto"/>
          <w:sz w:val="24"/>
          <w:highlight w:val="none"/>
        </w:rPr>
      </w:pPr>
    </w:p>
    <w:p w14:paraId="2E6FB5F6">
      <w:pPr>
        <w:spacing w:line="360" w:lineRule="auto"/>
        <w:jc w:val="center"/>
        <w:rPr>
          <w:rFonts w:ascii="宋体" w:hAnsi="宋体"/>
          <w:b/>
          <w:color w:val="auto"/>
          <w:sz w:val="24"/>
          <w:highlight w:val="none"/>
        </w:rPr>
      </w:pPr>
      <w:r>
        <w:rPr>
          <w:rFonts w:hint="eastAsia" w:ascii="宋体" w:hAnsi="宋体"/>
          <w:b/>
          <w:color w:val="auto"/>
          <w:sz w:val="24"/>
          <w:highlight w:val="none"/>
        </w:rPr>
        <w:t>投标书</w:t>
      </w:r>
    </w:p>
    <w:p w14:paraId="7C53310E">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660B78E7">
      <w:pPr>
        <w:tabs>
          <w:tab w:val="left" w:pos="5580"/>
        </w:tabs>
        <w:spacing w:line="360" w:lineRule="auto"/>
        <w:rPr>
          <w:rFonts w:ascii="宋体" w:hAnsi="宋体"/>
          <w:color w:val="auto"/>
          <w:sz w:val="24"/>
          <w:highlight w:val="none"/>
        </w:rPr>
      </w:pPr>
    </w:p>
    <w:p w14:paraId="11002905">
      <w:pPr>
        <w:tabs>
          <w:tab w:val="left" w:pos="5580"/>
        </w:tabs>
        <w:spacing w:line="360" w:lineRule="auto"/>
        <w:ind w:firstLine="408"/>
        <w:rPr>
          <w:rFonts w:ascii="宋体" w:hAnsi="宋体"/>
          <w:color w:val="auto"/>
          <w:sz w:val="24"/>
          <w:highlight w:val="none"/>
        </w:rPr>
      </w:pPr>
      <w:r>
        <w:rPr>
          <w:rFonts w:ascii="宋体" w:hAnsi="宋体"/>
          <w:color w:val="auto"/>
          <w:sz w:val="24"/>
          <w:highlight w:val="none"/>
        </w:rPr>
        <w:t>我方参加你方就___________（</w:t>
      </w:r>
      <w:r>
        <w:rPr>
          <w:rFonts w:hint="eastAsia" w:ascii="宋体" w:hAnsi="宋体"/>
          <w:color w:val="auto"/>
          <w:sz w:val="24"/>
          <w:highlight w:val="none"/>
        </w:rPr>
        <w:t>项目名称/标的名称</w:t>
      </w:r>
      <w:r>
        <w:rPr>
          <w:rFonts w:ascii="宋体" w:hAnsi="宋体"/>
          <w:color w:val="auto"/>
          <w:sz w:val="24"/>
          <w:highlight w:val="none"/>
        </w:rPr>
        <w:t>，项目编号/包号）组织的招标活动，并对此项目进行投标。</w:t>
      </w:r>
    </w:p>
    <w:p w14:paraId="402FD69B">
      <w:pPr>
        <w:tabs>
          <w:tab w:val="left" w:pos="5580"/>
        </w:tabs>
        <w:spacing w:line="360" w:lineRule="auto"/>
        <w:ind w:firstLine="408"/>
        <w:rPr>
          <w:rFonts w:ascii="宋体" w:hAnsi="宋体"/>
          <w:color w:val="auto"/>
          <w:sz w:val="24"/>
          <w:highlight w:val="none"/>
        </w:rPr>
      </w:pPr>
      <w:r>
        <w:rPr>
          <w:rFonts w:ascii="宋体" w:hAnsi="宋体"/>
          <w:color w:val="auto"/>
          <w:sz w:val="24"/>
          <w:highlight w:val="none"/>
        </w:rPr>
        <w:t>1. 我方已详细审查全部招标文件，自愿参与投标并承诺如下：</w:t>
      </w:r>
    </w:p>
    <w:p w14:paraId="53EB6D6F">
      <w:pPr>
        <w:tabs>
          <w:tab w:val="left" w:pos="720"/>
          <w:tab w:val="left" w:pos="900"/>
        </w:tabs>
        <w:spacing w:line="360" w:lineRule="auto"/>
        <w:ind w:left="360" w:firstLine="72" w:firstLineChars="30"/>
        <w:rPr>
          <w:rFonts w:ascii="宋体" w:hAnsi="宋体"/>
          <w:color w:val="auto"/>
          <w:sz w:val="24"/>
          <w:highlight w:val="none"/>
        </w:rPr>
      </w:pPr>
      <w:r>
        <w:rPr>
          <w:rFonts w:ascii="宋体" w:hAnsi="宋体"/>
          <w:color w:val="auto"/>
          <w:sz w:val="24"/>
          <w:highlight w:val="none"/>
        </w:rPr>
        <w:t>（1）本投标有效期为自提交投标文件的截止之日起_____个日历日。</w:t>
      </w:r>
    </w:p>
    <w:p w14:paraId="635299A5">
      <w:pPr>
        <w:tabs>
          <w:tab w:val="left" w:pos="720"/>
          <w:tab w:val="left" w:pos="900"/>
        </w:tabs>
        <w:spacing w:line="360" w:lineRule="auto"/>
        <w:ind w:left="360" w:firstLine="72" w:firstLineChars="30"/>
        <w:rPr>
          <w:rFonts w:ascii="宋体" w:hAnsi="宋体"/>
          <w:color w:val="auto"/>
          <w:sz w:val="24"/>
          <w:highlight w:val="none"/>
        </w:rPr>
      </w:pPr>
      <w:r>
        <w:rPr>
          <w:rFonts w:ascii="宋体" w:hAnsi="宋体"/>
          <w:color w:val="auto"/>
          <w:sz w:val="24"/>
          <w:highlight w:val="none"/>
        </w:rPr>
        <w:t>（2）除合同条款及采购需求偏离表列出的偏离外，我方响应招标文件的全部要求。</w:t>
      </w:r>
    </w:p>
    <w:p w14:paraId="3596B07C">
      <w:pPr>
        <w:tabs>
          <w:tab w:val="left" w:pos="5580"/>
        </w:tabs>
        <w:spacing w:line="360" w:lineRule="auto"/>
        <w:ind w:firstLine="420" w:firstLineChars="175"/>
        <w:rPr>
          <w:rFonts w:ascii="宋体" w:hAnsi="宋体"/>
          <w:color w:val="auto"/>
          <w:sz w:val="24"/>
          <w:highlight w:val="none"/>
        </w:rPr>
      </w:pPr>
      <w:r>
        <w:rPr>
          <w:rFonts w:ascii="宋体" w:hAnsi="宋体"/>
          <w:color w:val="auto"/>
          <w:sz w:val="24"/>
          <w:highlight w:val="none"/>
        </w:rPr>
        <w:t>（3）我方已提供的全部文件资料是真实、准确的，并对此承担一切法律后果。</w:t>
      </w:r>
    </w:p>
    <w:p w14:paraId="58B96132">
      <w:pPr>
        <w:tabs>
          <w:tab w:val="left" w:pos="5580"/>
        </w:tabs>
        <w:spacing w:line="360" w:lineRule="auto"/>
        <w:ind w:firstLine="420" w:firstLineChars="175"/>
        <w:rPr>
          <w:rFonts w:ascii="宋体" w:hAnsi="宋体"/>
          <w:color w:val="auto"/>
          <w:sz w:val="24"/>
          <w:highlight w:val="none"/>
        </w:rPr>
      </w:pPr>
      <w:r>
        <w:rPr>
          <w:rFonts w:ascii="宋体" w:hAnsi="宋体"/>
          <w:color w:val="auto"/>
          <w:sz w:val="24"/>
          <w:highlight w:val="none"/>
        </w:rPr>
        <w:t>（4）如我方中标，我方将在法律规定的期限内与你方签订合同，按照招标文件要求提交履约保证金，并在合同约定的期限内完成合同规定的全部义务。</w:t>
      </w:r>
    </w:p>
    <w:p w14:paraId="59B58F11">
      <w:pPr>
        <w:spacing w:line="360" w:lineRule="auto"/>
        <w:ind w:left="420"/>
        <w:rPr>
          <w:rFonts w:ascii="宋体" w:hAnsi="宋体"/>
          <w:color w:val="auto"/>
          <w:sz w:val="24"/>
          <w:highlight w:val="none"/>
        </w:rPr>
      </w:pPr>
      <w:r>
        <w:rPr>
          <w:rFonts w:ascii="宋体" w:hAnsi="宋体"/>
          <w:color w:val="auto"/>
          <w:sz w:val="24"/>
          <w:highlight w:val="none"/>
        </w:rPr>
        <w:t>2. 其他补充条款（如有）：___________。</w:t>
      </w:r>
    </w:p>
    <w:p w14:paraId="05268A50">
      <w:pPr>
        <w:spacing w:line="360" w:lineRule="auto"/>
        <w:ind w:firstLine="480" w:firstLineChars="200"/>
        <w:rPr>
          <w:rFonts w:ascii="宋体" w:hAnsi="宋体"/>
          <w:color w:val="auto"/>
          <w:sz w:val="24"/>
          <w:highlight w:val="none"/>
        </w:rPr>
      </w:pPr>
      <w:r>
        <w:rPr>
          <w:rFonts w:ascii="宋体" w:hAnsi="宋体"/>
          <w:color w:val="auto"/>
          <w:sz w:val="24"/>
          <w:highlight w:val="none"/>
        </w:rPr>
        <w:t>与本投标有关的一切正式往来信函请寄：</w:t>
      </w:r>
    </w:p>
    <w:p w14:paraId="076D94E3">
      <w:pPr>
        <w:tabs>
          <w:tab w:val="left" w:pos="5580"/>
        </w:tabs>
        <w:spacing w:line="360" w:lineRule="auto"/>
        <w:ind w:left="420"/>
        <w:rPr>
          <w:rFonts w:ascii="宋体" w:hAnsi="宋体"/>
          <w:color w:val="auto"/>
          <w:sz w:val="24"/>
          <w:highlight w:val="none"/>
        </w:rPr>
      </w:pPr>
    </w:p>
    <w:p w14:paraId="537CAD13">
      <w:pPr>
        <w:tabs>
          <w:tab w:val="left" w:pos="5580"/>
        </w:tabs>
        <w:spacing w:line="360" w:lineRule="auto"/>
        <w:ind w:left="420"/>
        <w:rPr>
          <w:rFonts w:ascii="宋体" w:hAnsi="宋体"/>
          <w:color w:val="auto"/>
          <w:sz w:val="24"/>
          <w:highlight w:val="none"/>
        </w:rPr>
      </w:pPr>
      <w:r>
        <w:rPr>
          <w:rFonts w:ascii="宋体" w:hAnsi="宋体"/>
          <w:color w:val="auto"/>
          <w:sz w:val="24"/>
          <w:highlight w:val="none"/>
        </w:rPr>
        <w:t>地址_________________________     传真____________________________</w:t>
      </w:r>
    </w:p>
    <w:p w14:paraId="07429B39">
      <w:pPr>
        <w:tabs>
          <w:tab w:val="left" w:pos="5580"/>
        </w:tabs>
        <w:spacing w:line="360" w:lineRule="auto"/>
        <w:ind w:left="420"/>
        <w:rPr>
          <w:rFonts w:ascii="宋体" w:hAnsi="宋体"/>
          <w:color w:val="auto"/>
          <w:sz w:val="24"/>
          <w:highlight w:val="none"/>
        </w:rPr>
      </w:pPr>
      <w:r>
        <w:rPr>
          <w:rFonts w:ascii="宋体" w:hAnsi="宋体"/>
          <w:color w:val="auto"/>
          <w:sz w:val="24"/>
          <w:highlight w:val="none"/>
        </w:rPr>
        <w:t>电话_________________________     电子函件________________________</w:t>
      </w:r>
    </w:p>
    <w:p w14:paraId="0A483424">
      <w:pPr>
        <w:tabs>
          <w:tab w:val="left" w:pos="5580"/>
        </w:tabs>
        <w:spacing w:line="360" w:lineRule="auto"/>
        <w:ind w:left="420"/>
        <w:rPr>
          <w:rFonts w:ascii="宋体" w:hAnsi="宋体"/>
          <w:color w:val="auto"/>
          <w:sz w:val="24"/>
          <w:highlight w:val="none"/>
        </w:rPr>
      </w:pPr>
    </w:p>
    <w:p w14:paraId="08EE2CD6">
      <w:pPr>
        <w:tabs>
          <w:tab w:val="left" w:pos="5580"/>
        </w:tabs>
        <w:spacing w:line="360" w:lineRule="auto"/>
        <w:ind w:left="420"/>
        <w:rPr>
          <w:rFonts w:ascii="宋体" w:hAnsi="宋体"/>
          <w:color w:val="auto"/>
          <w:sz w:val="24"/>
          <w:highlight w:val="none"/>
        </w:rPr>
      </w:pPr>
      <w:r>
        <w:rPr>
          <w:rFonts w:ascii="宋体" w:hAnsi="宋体"/>
          <w:color w:val="auto"/>
          <w:sz w:val="24"/>
          <w:highlight w:val="none"/>
        </w:rPr>
        <w:t>投标人名称（加盖公章） ___________</w:t>
      </w:r>
    </w:p>
    <w:p w14:paraId="1DD47714">
      <w:pPr>
        <w:tabs>
          <w:tab w:val="left" w:pos="5580"/>
        </w:tabs>
        <w:spacing w:line="360" w:lineRule="auto"/>
        <w:ind w:left="420"/>
        <w:rPr>
          <w:rFonts w:ascii="宋体" w:hAnsi="宋体"/>
          <w:color w:val="auto"/>
          <w:sz w:val="24"/>
          <w:highlight w:val="none"/>
        </w:rPr>
      </w:pPr>
      <w:r>
        <w:rPr>
          <w:rFonts w:ascii="宋体" w:hAnsi="宋体"/>
          <w:color w:val="auto"/>
          <w:sz w:val="24"/>
          <w:highlight w:val="none"/>
        </w:rPr>
        <w:t xml:space="preserve">日期：_____年______月______日    </w:t>
      </w:r>
    </w:p>
    <w:p w14:paraId="26233C62">
      <w:pPr>
        <w:tabs>
          <w:tab w:val="left" w:pos="5580"/>
        </w:tabs>
        <w:spacing w:line="360" w:lineRule="auto"/>
        <w:ind w:left="420"/>
        <w:rPr>
          <w:rFonts w:ascii="宋体" w:hAnsi="宋体"/>
          <w:color w:val="auto"/>
          <w:sz w:val="24"/>
          <w:highlight w:val="none"/>
          <w:u w:val="single"/>
        </w:rPr>
      </w:pPr>
    </w:p>
    <w:p w14:paraId="7DC11FD0">
      <w:pPr>
        <w:widowControl/>
        <w:jc w:val="left"/>
        <w:rPr>
          <w:rFonts w:ascii="宋体" w:hAnsi="宋体"/>
          <w:color w:val="auto"/>
          <w:sz w:val="24"/>
          <w:highlight w:val="none"/>
        </w:rPr>
      </w:pPr>
      <w:bookmarkStart w:id="1118" w:name="_Hlt520355938"/>
      <w:bookmarkEnd w:id="1118"/>
      <w:bookmarkStart w:id="1119" w:name="_Hlt520356243"/>
      <w:bookmarkEnd w:id="1119"/>
      <w:bookmarkStart w:id="1120" w:name="_Toc195842922"/>
      <w:bookmarkStart w:id="1121" w:name="_Ref467988705"/>
      <w:bookmarkStart w:id="1122" w:name="_Toc150774762"/>
      <w:bookmarkStart w:id="1123" w:name="_Toc480942350"/>
      <w:bookmarkStart w:id="1124" w:name="_Toc305158825"/>
      <w:bookmarkStart w:id="1125" w:name="_Toc127151557"/>
      <w:bookmarkStart w:id="1126" w:name="_Toc265228395"/>
      <w:bookmarkStart w:id="1127" w:name="_Toc226337253"/>
      <w:bookmarkStart w:id="1128" w:name="_Toc520356218"/>
      <w:bookmarkStart w:id="1129" w:name="_Toc226965747"/>
      <w:bookmarkStart w:id="1130" w:name="_Toc226309801"/>
      <w:bookmarkStart w:id="1131" w:name="_Toc305158899"/>
      <w:bookmarkStart w:id="1132" w:name="_Toc150480795"/>
      <w:bookmarkStart w:id="1133" w:name="_Toc226965830"/>
      <w:bookmarkStart w:id="1134" w:name="_Toc142311059"/>
      <w:bookmarkStart w:id="1135" w:name="_Toc264969247"/>
      <w:r>
        <w:rPr>
          <w:rFonts w:ascii="宋体" w:hAnsi="宋体"/>
          <w:color w:val="auto"/>
          <w:sz w:val="24"/>
          <w:highlight w:val="none"/>
        </w:rPr>
        <w:br w:type="page"/>
      </w:r>
    </w:p>
    <w:p w14:paraId="24F425E6">
      <w:pPr>
        <w:spacing w:line="360" w:lineRule="auto"/>
        <w:outlineLvl w:val="2"/>
        <w:rPr>
          <w:rFonts w:ascii="宋体" w:hAnsi="宋体"/>
          <w:color w:val="auto"/>
          <w:sz w:val="24"/>
          <w:highlight w:val="none"/>
        </w:rPr>
      </w:pPr>
      <w:r>
        <w:rPr>
          <w:rFonts w:ascii="宋体" w:hAnsi="宋体"/>
          <w:color w:val="auto"/>
          <w:sz w:val="24"/>
          <w:highlight w:val="none"/>
        </w:rPr>
        <w:t>2  授权委托书（实质性格式）</w:t>
      </w:r>
    </w:p>
    <w:p w14:paraId="720CD925">
      <w:pPr>
        <w:spacing w:line="360" w:lineRule="exact"/>
        <w:jc w:val="center"/>
        <w:rPr>
          <w:rFonts w:ascii="宋体" w:hAnsi="宋体"/>
          <w:b/>
          <w:color w:val="auto"/>
          <w:sz w:val="24"/>
          <w:highlight w:val="none"/>
        </w:rPr>
      </w:pPr>
      <w:r>
        <w:rPr>
          <w:rFonts w:hint="eastAsia" w:ascii="宋体" w:hAnsi="宋体"/>
          <w:b/>
          <w:color w:val="auto"/>
          <w:sz w:val="24"/>
          <w:highlight w:val="none"/>
        </w:rPr>
        <w:t>授权委托书</w:t>
      </w:r>
    </w:p>
    <w:p w14:paraId="608B23FB">
      <w:pPr>
        <w:spacing w:line="360" w:lineRule="auto"/>
        <w:ind w:firstLine="420"/>
        <w:rPr>
          <w:rFonts w:ascii="宋体" w:hAnsi="宋体"/>
          <w:color w:val="auto"/>
          <w:sz w:val="24"/>
          <w:highlight w:val="none"/>
        </w:rPr>
      </w:pPr>
    </w:p>
    <w:p w14:paraId="2B1CAB8B">
      <w:pPr>
        <w:spacing w:line="360" w:lineRule="auto"/>
        <w:ind w:firstLine="420"/>
        <w:rPr>
          <w:rFonts w:ascii="宋体" w:hAnsi="宋体"/>
          <w:color w:val="auto"/>
          <w:sz w:val="24"/>
          <w:highlight w:val="none"/>
        </w:rPr>
      </w:pPr>
      <w:r>
        <w:rPr>
          <w:rFonts w:hint="eastAsia" w:ascii="宋体" w:hAnsi="宋体"/>
          <w:color w:val="auto"/>
          <w:sz w:val="24"/>
          <w:highlight w:val="none"/>
        </w:rPr>
        <w:t>本人</w:t>
      </w:r>
      <w:r>
        <w:rPr>
          <w:rFonts w:ascii="宋体" w:hAnsi="宋体"/>
          <w:color w:val="auto"/>
          <w:sz w:val="24"/>
          <w:highlight w:val="none"/>
          <w:lang w:val="zh-CN"/>
        </w:rPr>
        <w:t>_______</w:t>
      </w:r>
      <w:r>
        <w:rPr>
          <w:rFonts w:ascii="宋体" w:hAnsi="宋体"/>
          <w:color w:val="auto"/>
          <w:sz w:val="24"/>
          <w:highlight w:val="none"/>
        </w:rPr>
        <w:t>（</w:t>
      </w:r>
      <w:r>
        <w:rPr>
          <w:rFonts w:hint="eastAsia" w:ascii="宋体" w:hAnsi="宋体"/>
          <w:color w:val="auto"/>
          <w:sz w:val="24"/>
          <w:highlight w:val="none"/>
        </w:rPr>
        <w:t>姓名</w:t>
      </w:r>
      <w:r>
        <w:rPr>
          <w:rFonts w:ascii="宋体" w:hAnsi="宋体"/>
          <w:color w:val="auto"/>
          <w:sz w:val="24"/>
          <w:highlight w:val="none"/>
        </w:rPr>
        <w:t>）</w:t>
      </w:r>
      <w:r>
        <w:rPr>
          <w:rFonts w:hint="eastAsia" w:ascii="宋体" w:hAnsi="宋体"/>
          <w:color w:val="auto"/>
          <w:sz w:val="24"/>
          <w:highlight w:val="none"/>
        </w:rPr>
        <w:t>系</w:t>
      </w:r>
      <w:r>
        <w:rPr>
          <w:rFonts w:ascii="宋体" w:hAnsi="宋体"/>
          <w:color w:val="auto"/>
          <w:sz w:val="24"/>
          <w:highlight w:val="none"/>
          <w:lang w:val="zh-CN"/>
        </w:rPr>
        <w:t>________________</w:t>
      </w:r>
      <w:r>
        <w:rPr>
          <w:rFonts w:ascii="宋体" w:hAnsi="宋体"/>
          <w:color w:val="auto"/>
          <w:sz w:val="24"/>
          <w:highlight w:val="none"/>
        </w:rPr>
        <w:t>（</w:t>
      </w:r>
      <w:r>
        <w:rPr>
          <w:rFonts w:hint="eastAsia" w:ascii="宋体" w:hAnsi="宋体"/>
          <w:color w:val="auto"/>
          <w:sz w:val="24"/>
          <w:highlight w:val="none"/>
        </w:rPr>
        <w:t>投标人</w:t>
      </w:r>
      <w:r>
        <w:rPr>
          <w:rFonts w:ascii="宋体" w:hAnsi="宋体"/>
          <w:color w:val="auto"/>
          <w:sz w:val="24"/>
          <w:highlight w:val="none"/>
        </w:rPr>
        <w:t>名称）</w:t>
      </w:r>
      <w:r>
        <w:rPr>
          <w:rFonts w:hint="eastAsia" w:ascii="宋体" w:hAnsi="宋体"/>
          <w:color w:val="auto"/>
          <w:sz w:val="24"/>
          <w:highlight w:val="none"/>
        </w:rPr>
        <w:t>的</w:t>
      </w:r>
      <w:r>
        <w:rPr>
          <w:rFonts w:ascii="宋体" w:hAnsi="宋体"/>
          <w:color w:val="auto"/>
          <w:sz w:val="24"/>
          <w:highlight w:val="none"/>
        </w:rPr>
        <w:t>法定代表人（</w:t>
      </w:r>
      <w:r>
        <w:rPr>
          <w:rFonts w:hint="eastAsia" w:ascii="宋体" w:hAnsi="宋体"/>
          <w:color w:val="auto"/>
          <w:sz w:val="24"/>
          <w:highlight w:val="none"/>
        </w:rPr>
        <w:t>单位</w:t>
      </w:r>
      <w:r>
        <w:rPr>
          <w:rFonts w:ascii="宋体" w:hAnsi="宋体"/>
          <w:color w:val="auto"/>
          <w:sz w:val="24"/>
          <w:highlight w:val="none"/>
        </w:rPr>
        <w:t>负责人）</w:t>
      </w:r>
      <w:r>
        <w:rPr>
          <w:rFonts w:hint="eastAsia" w:ascii="宋体" w:hAnsi="宋体"/>
          <w:color w:val="auto"/>
          <w:sz w:val="24"/>
          <w:highlight w:val="none"/>
        </w:rPr>
        <w:t>，</w:t>
      </w:r>
      <w:r>
        <w:rPr>
          <w:rFonts w:ascii="宋体" w:hAnsi="宋体"/>
          <w:color w:val="auto"/>
          <w:sz w:val="24"/>
          <w:highlight w:val="none"/>
        </w:rPr>
        <w:t>现委托</w:t>
      </w:r>
      <w:r>
        <w:rPr>
          <w:rFonts w:ascii="宋体" w:hAnsi="宋体"/>
          <w:color w:val="auto"/>
          <w:sz w:val="24"/>
          <w:highlight w:val="none"/>
          <w:lang w:val="zh-CN"/>
        </w:rPr>
        <w:t>_______</w:t>
      </w:r>
      <w:r>
        <w:rPr>
          <w:rFonts w:ascii="宋体" w:hAnsi="宋体"/>
          <w:color w:val="auto"/>
          <w:sz w:val="24"/>
          <w:highlight w:val="none"/>
        </w:rPr>
        <w:t>（</w:t>
      </w:r>
      <w:r>
        <w:rPr>
          <w:rFonts w:hint="eastAsia" w:ascii="宋体" w:hAnsi="宋体"/>
          <w:color w:val="auto"/>
          <w:sz w:val="24"/>
          <w:highlight w:val="none"/>
        </w:rPr>
        <w:t>姓名</w:t>
      </w:r>
      <w:r>
        <w:rPr>
          <w:rFonts w:ascii="宋体" w:hAnsi="宋体"/>
          <w:color w:val="auto"/>
          <w:sz w:val="24"/>
          <w:highlight w:val="none"/>
        </w:rPr>
        <w:t>）</w:t>
      </w:r>
      <w:r>
        <w:rPr>
          <w:rFonts w:hint="eastAsia" w:ascii="宋体" w:hAnsi="宋体"/>
          <w:color w:val="auto"/>
          <w:sz w:val="24"/>
          <w:highlight w:val="none"/>
        </w:rPr>
        <w:t>为</w:t>
      </w:r>
      <w:r>
        <w:rPr>
          <w:rFonts w:ascii="宋体" w:hAnsi="宋体"/>
          <w:color w:val="auto"/>
          <w:sz w:val="24"/>
          <w:highlight w:val="none"/>
        </w:rPr>
        <w:t>我方代理人。</w:t>
      </w:r>
      <w:r>
        <w:rPr>
          <w:rFonts w:hint="eastAsia" w:ascii="宋体" w:hAnsi="宋体"/>
          <w:color w:val="auto"/>
          <w:sz w:val="24"/>
          <w:highlight w:val="none"/>
        </w:rPr>
        <w:t>代理人根据</w:t>
      </w:r>
      <w:r>
        <w:rPr>
          <w:rFonts w:ascii="宋体" w:hAnsi="宋体"/>
          <w:color w:val="auto"/>
          <w:sz w:val="24"/>
          <w:highlight w:val="none"/>
        </w:rPr>
        <w:t>授权，以我方名义签署、澄清确认、递交、撤回、修改</w:t>
      </w:r>
      <w:r>
        <w:rPr>
          <w:rFonts w:ascii="宋体" w:hAnsi="宋体"/>
          <w:color w:val="auto"/>
          <w:sz w:val="24"/>
          <w:highlight w:val="none"/>
          <w:lang w:val="zh-CN"/>
        </w:rPr>
        <w:t>________________</w:t>
      </w:r>
      <w:r>
        <w:rPr>
          <w:rFonts w:ascii="宋体" w:hAnsi="宋体"/>
          <w:color w:val="auto"/>
          <w:sz w:val="24"/>
          <w:highlight w:val="none"/>
        </w:rPr>
        <w:t>（</w:t>
      </w:r>
      <w:r>
        <w:rPr>
          <w:rFonts w:hint="eastAsia" w:ascii="宋体" w:hAnsi="宋体"/>
          <w:color w:val="auto"/>
          <w:sz w:val="24"/>
          <w:highlight w:val="none"/>
        </w:rPr>
        <w:t>项目名称/标的名称</w:t>
      </w:r>
      <w:r>
        <w:rPr>
          <w:rFonts w:ascii="宋体" w:hAnsi="宋体"/>
          <w:color w:val="auto"/>
          <w:sz w:val="24"/>
          <w:highlight w:val="none"/>
        </w:rPr>
        <w:t>）</w:t>
      </w:r>
      <w:r>
        <w:rPr>
          <w:rFonts w:hint="eastAsia" w:ascii="宋体" w:hAnsi="宋体"/>
          <w:color w:val="auto"/>
          <w:sz w:val="24"/>
          <w:highlight w:val="none"/>
        </w:rPr>
        <w:t>响应</w:t>
      </w:r>
      <w:r>
        <w:rPr>
          <w:rFonts w:ascii="宋体" w:hAnsi="宋体"/>
          <w:color w:val="auto"/>
          <w:sz w:val="24"/>
          <w:highlight w:val="none"/>
        </w:rPr>
        <w:t>文件</w:t>
      </w:r>
      <w:r>
        <w:rPr>
          <w:rFonts w:hint="eastAsia" w:ascii="宋体" w:hAnsi="宋体"/>
          <w:color w:val="auto"/>
          <w:sz w:val="24"/>
          <w:highlight w:val="none"/>
        </w:rPr>
        <w:t>和</w:t>
      </w:r>
      <w:r>
        <w:rPr>
          <w:rFonts w:ascii="宋体" w:hAnsi="宋体"/>
          <w:color w:val="auto"/>
          <w:sz w:val="24"/>
          <w:highlight w:val="none"/>
        </w:rPr>
        <w:t>处理有关事宜，其法律后果由我方承担。</w:t>
      </w:r>
    </w:p>
    <w:p w14:paraId="65F9CA20">
      <w:pPr>
        <w:spacing w:line="360" w:lineRule="auto"/>
        <w:ind w:firstLine="420"/>
        <w:rPr>
          <w:rFonts w:ascii="宋体" w:hAnsi="宋体"/>
          <w:color w:val="auto"/>
          <w:sz w:val="24"/>
          <w:highlight w:val="none"/>
        </w:rPr>
      </w:pPr>
      <w:r>
        <w:rPr>
          <w:rFonts w:hint="eastAsia" w:ascii="宋体" w:hAnsi="宋体"/>
          <w:color w:val="auto"/>
          <w:sz w:val="24"/>
          <w:highlight w:val="none"/>
        </w:rPr>
        <w:t>委托</w:t>
      </w:r>
      <w:r>
        <w:rPr>
          <w:rFonts w:ascii="宋体" w:hAnsi="宋体"/>
          <w:color w:val="auto"/>
          <w:sz w:val="24"/>
          <w:highlight w:val="none"/>
        </w:rPr>
        <w:t>期限：自本</w:t>
      </w:r>
      <w:r>
        <w:rPr>
          <w:rFonts w:hint="eastAsia" w:ascii="宋体" w:hAnsi="宋体"/>
          <w:color w:val="auto"/>
          <w:sz w:val="24"/>
          <w:highlight w:val="none"/>
        </w:rPr>
        <w:t>授权</w:t>
      </w:r>
      <w:r>
        <w:rPr>
          <w:rFonts w:ascii="宋体" w:hAnsi="宋体"/>
          <w:color w:val="auto"/>
          <w:sz w:val="24"/>
          <w:highlight w:val="none"/>
        </w:rPr>
        <w:t>委托书签署之日起至</w:t>
      </w:r>
      <w:r>
        <w:rPr>
          <w:rFonts w:hint="eastAsia" w:ascii="宋体" w:hAnsi="宋体"/>
          <w:color w:val="auto"/>
          <w:sz w:val="24"/>
          <w:highlight w:val="none"/>
        </w:rPr>
        <w:t>响应</w:t>
      </w:r>
      <w:r>
        <w:rPr>
          <w:rFonts w:ascii="宋体" w:hAnsi="宋体"/>
          <w:color w:val="auto"/>
          <w:sz w:val="24"/>
          <w:highlight w:val="none"/>
        </w:rPr>
        <w:t>有效期</w:t>
      </w:r>
      <w:r>
        <w:rPr>
          <w:rFonts w:hint="eastAsia" w:ascii="宋体" w:hAnsi="宋体"/>
          <w:color w:val="auto"/>
          <w:sz w:val="24"/>
          <w:highlight w:val="none"/>
        </w:rPr>
        <w:t>届满</w:t>
      </w:r>
      <w:r>
        <w:rPr>
          <w:rFonts w:ascii="宋体" w:hAnsi="宋体"/>
          <w:color w:val="auto"/>
          <w:sz w:val="24"/>
          <w:highlight w:val="none"/>
        </w:rPr>
        <w:t>之日止。</w:t>
      </w:r>
    </w:p>
    <w:p w14:paraId="13729229">
      <w:pPr>
        <w:spacing w:line="360" w:lineRule="auto"/>
        <w:ind w:firstLine="420"/>
        <w:rPr>
          <w:rFonts w:ascii="宋体" w:hAnsi="宋体"/>
          <w:color w:val="auto"/>
          <w:sz w:val="24"/>
          <w:highlight w:val="none"/>
        </w:rPr>
      </w:pPr>
      <w:r>
        <w:rPr>
          <w:rFonts w:hint="eastAsia" w:ascii="宋体" w:hAnsi="宋体"/>
          <w:color w:val="auto"/>
          <w:sz w:val="24"/>
          <w:highlight w:val="none"/>
        </w:rPr>
        <w:t>代理人</w:t>
      </w:r>
      <w:r>
        <w:rPr>
          <w:rFonts w:ascii="宋体" w:hAnsi="宋体"/>
          <w:color w:val="auto"/>
          <w:sz w:val="24"/>
          <w:highlight w:val="none"/>
        </w:rPr>
        <w:t>无转委托权。</w:t>
      </w:r>
      <w:r>
        <w:rPr>
          <w:rFonts w:ascii="宋体" w:hAnsi="宋体"/>
          <w:color w:val="auto"/>
          <w:sz w:val="24"/>
          <w:highlight w:val="none"/>
        </w:rPr>
        <w:cr/>
      </w:r>
    </w:p>
    <w:p w14:paraId="5B3FD33B">
      <w:pPr>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5BA11547">
      <w:pPr>
        <w:spacing w:line="360" w:lineRule="auto"/>
        <w:rPr>
          <w:rFonts w:ascii="宋体" w:hAnsi="宋体"/>
          <w:color w:val="auto"/>
          <w:sz w:val="24"/>
          <w:highlight w:val="none"/>
        </w:rPr>
      </w:pPr>
      <w:r>
        <w:rPr>
          <w:rFonts w:ascii="宋体" w:hAnsi="宋体"/>
          <w:color w:val="auto"/>
          <w:sz w:val="24"/>
          <w:highlight w:val="none"/>
        </w:rPr>
        <w:t>法定代表人（单位负责人）（签字或</w:t>
      </w:r>
      <w:r>
        <w:rPr>
          <w:rFonts w:hint="eastAsia" w:ascii="宋体" w:hAnsi="宋体"/>
          <w:color w:val="auto"/>
          <w:sz w:val="24"/>
          <w:highlight w:val="none"/>
        </w:rPr>
        <w:t>盖章）</w:t>
      </w:r>
      <w:r>
        <w:rPr>
          <w:rFonts w:ascii="宋体" w:hAnsi="宋体"/>
          <w:color w:val="auto"/>
          <w:sz w:val="24"/>
          <w:highlight w:val="none"/>
        </w:rPr>
        <w:t>：</w:t>
      </w:r>
      <w:r>
        <w:rPr>
          <w:rFonts w:ascii="宋体" w:hAnsi="宋体"/>
          <w:color w:val="auto"/>
          <w:sz w:val="24"/>
          <w:highlight w:val="none"/>
          <w:lang w:val="zh-CN"/>
        </w:rPr>
        <w:t>________________</w:t>
      </w:r>
    </w:p>
    <w:p w14:paraId="41491BB7">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/签章</w:t>
      </w:r>
      <w:r>
        <w:rPr>
          <w:rFonts w:ascii="宋体" w:hAnsi="宋体"/>
          <w:color w:val="auto"/>
          <w:sz w:val="24"/>
          <w:highlight w:val="none"/>
        </w:rPr>
        <w:t>）：</w:t>
      </w:r>
      <w:r>
        <w:rPr>
          <w:rFonts w:ascii="宋体" w:hAnsi="宋体"/>
          <w:color w:val="auto"/>
          <w:sz w:val="24"/>
          <w:highlight w:val="none"/>
          <w:lang w:val="zh-CN"/>
        </w:rPr>
        <w:t>________________</w:t>
      </w:r>
      <w:r>
        <w:rPr>
          <w:rFonts w:ascii="宋体" w:hAnsi="宋体"/>
          <w:color w:val="auto"/>
          <w:sz w:val="24"/>
          <w:highlight w:val="none"/>
        </w:rPr>
        <w:t xml:space="preserve">    </w:t>
      </w:r>
      <w:r>
        <w:rPr>
          <w:rFonts w:ascii="宋体" w:hAnsi="宋体"/>
          <w:color w:val="auto"/>
          <w:sz w:val="24"/>
          <w:highlight w:val="none"/>
          <w:lang w:val="zh-CN"/>
        </w:rPr>
        <w:t xml:space="preserve">                      </w:t>
      </w:r>
    </w:p>
    <w:p w14:paraId="1CEAABFB">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1FD6F45E">
      <w:pPr>
        <w:tabs>
          <w:tab w:val="left" w:pos="5580"/>
        </w:tabs>
        <w:spacing w:line="360" w:lineRule="auto"/>
        <w:ind w:firstLine="480" w:firstLineChars="200"/>
        <w:rPr>
          <w:rFonts w:ascii="宋体" w:hAnsi="宋体"/>
          <w:color w:val="auto"/>
          <w:sz w:val="24"/>
          <w:highlight w:val="none"/>
        </w:rPr>
      </w:pPr>
    </w:p>
    <w:p w14:paraId="614A3A0F">
      <w:pPr>
        <w:tabs>
          <w:tab w:val="left" w:pos="5580"/>
        </w:tabs>
        <w:spacing w:line="360" w:lineRule="auto"/>
        <w:jc w:val="left"/>
        <w:rPr>
          <w:rFonts w:ascii="宋体" w:hAnsi="宋体"/>
          <w:color w:val="auto"/>
          <w:sz w:val="24"/>
          <w:highlight w:val="none"/>
        </w:rPr>
      </w:pPr>
      <w:r>
        <w:rPr>
          <w:rFonts w:ascii="宋体" w:hAnsi="宋体"/>
          <w:color w:val="auto"/>
          <w:sz w:val="24"/>
          <w:highlight w:val="none"/>
        </w:rPr>
        <w:t>法定代表人（单位负责人）有效期内的身份证</w:t>
      </w:r>
      <w:r>
        <w:rPr>
          <w:rFonts w:ascii="宋体" w:hAnsi="宋体"/>
          <w:b/>
          <w:color w:val="auto"/>
          <w:sz w:val="24"/>
          <w:highlight w:val="none"/>
        </w:rPr>
        <w:t>正反面</w:t>
      </w:r>
      <w:r>
        <w:rPr>
          <w:rFonts w:ascii="宋体" w:hAnsi="宋体"/>
          <w:color w:val="auto"/>
          <w:sz w:val="24"/>
          <w:highlight w:val="none"/>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22A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9A939D0">
            <w:pPr>
              <w:tabs>
                <w:tab w:val="left" w:pos="5580"/>
              </w:tabs>
              <w:spacing w:line="360" w:lineRule="auto"/>
              <w:jc w:val="left"/>
              <w:rPr>
                <w:rFonts w:ascii="宋体" w:hAnsi="宋体"/>
                <w:color w:val="auto"/>
                <w:sz w:val="24"/>
                <w:highlight w:val="none"/>
              </w:rPr>
            </w:pPr>
          </w:p>
          <w:p w14:paraId="45F8AE92">
            <w:pPr>
              <w:tabs>
                <w:tab w:val="left" w:pos="5580"/>
              </w:tabs>
              <w:spacing w:line="360" w:lineRule="auto"/>
              <w:jc w:val="left"/>
              <w:rPr>
                <w:rFonts w:ascii="宋体" w:hAnsi="宋体"/>
                <w:color w:val="auto"/>
                <w:sz w:val="24"/>
                <w:highlight w:val="none"/>
              </w:rPr>
            </w:pPr>
          </w:p>
          <w:p w14:paraId="6B973FBD">
            <w:pPr>
              <w:tabs>
                <w:tab w:val="left" w:pos="5580"/>
              </w:tabs>
              <w:spacing w:line="360" w:lineRule="auto"/>
              <w:jc w:val="left"/>
              <w:rPr>
                <w:rFonts w:ascii="宋体" w:hAnsi="宋体"/>
                <w:color w:val="auto"/>
                <w:sz w:val="24"/>
                <w:highlight w:val="none"/>
              </w:rPr>
            </w:pPr>
          </w:p>
        </w:tc>
        <w:tc>
          <w:tcPr>
            <w:tcW w:w="4536" w:type="dxa"/>
          </w:tcPr>
          <w:p w14:paraId="02FCAAD2">
            <w:pPr>
              <w:tabs>
                <w:tab w:val="left" w:pos="5580"/>
              </w:tabs>
              <w:spacing w:line="360" w:lineRule="auto"/>
              <w:jc w:val="left"/>
              <w:rPr>
                <w:rFonts w:ascii="宋体" w:hAnsi="宋体"/>
                <w:color w:val="auto"/>
                <w:sz w:val="24"/>
                <w:highlight w:val="none"/>
              </w:rPr>
            </w:pPr>
          </w:p>
          <w:p w14:paraId="4BECAAB9">
            <w:pPr>
              <w:tabs>
                <w:tab w:val="left" w:pos="5580"/>
              </w:tabs>
              <w:spacing w:line="360" w:lineRule="auto"/>
              <w:jc w:val="left"/>
              <w:rPr>
                <w:rFonts w:ascii="宋体" w:hAnsi="宋体"/>
                <w:color w:val="auto"/>
                <w:sz w:val="24"/>
                <w:highlight w:val="none"/>
              </w:rPr>
            </w:pPr>
          </w:p>
          <w:p w14:paraId="295B1E70">
            <w:pPr>
              <w:tabs>
                <w:tab w:val="left" w:pos="5580"/>
              </w:tabs>
              <w:spacing w:line="360" w:lineRule="auto"/>
              <w:jc w:val="left"/>
              <w:rPr>
                <w:rFonts w:ascii="宋体" w:hAnsi="宋体"/>
                <w:color w:val="auto"/>
                <w:sz w:val="24"/>
                <w:highlight w:val="none"/>
              </w:rPr>
            </w:pPr>
          </w:p>
        </w:tc>
      </w:tr>
    </w:tbl>
    <w:p w14:paraId="0160F035">
      <w:pPr>
        <w:tabs>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委托代理人</w:t>
      </w:r>
      <w:r>
        <w:rPr>
          <w:rFonts w:ascii="宋体" w:hAnsi="宋体"/>
          <w:color w:val="auto"/>
          <w:sz w:val="24"/>
          <w:highlight w:val="none"/>
        </w:rPr>
        <w:t>有效期内的身份证</w:t>
      </w:r>
      <w:r>
        <w:rPr>
          <w:rFonts w:ascii="宋体" w:hAnsi="宋体"/>
          <w:b/>
          <w:color w:val="auto"/>
          <w:sz w:val="24"/>
          <w:highlight w:val="none"/>
        </w:rPr>
        <w:t>正反面</w:t>
      </w:r>
      <w:r>
        <w:rPr>
          <w:rFonts w:ascii="宋体" w:hAnsi="宋体"/>
          <w:color w:val="auto"/>
          <w:sz w:val="24"/>
          <w:highlight w:val="none"/>
        </w:rPr>
        <w:t>电子件：</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7A0B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0CE21E3">
            <w:pPr>
              <w:tabs>
                <w:tab w:val="left" w:pos="5580"/>
              </w:tabs>
              <w:spacing w:line="360" w:lineRule="auto"/>
              <w:jc w:val="left"/>
              <w:rPr>
                <w:rFonts w:ascii="宋体" w:hAnsi="宋体"/>
                <w:color w:val="auto"/>
                <w:sz w:val="24"/>
                <w:highlight w:val="none"/>
              </w:rPr>
            </w:pPr>
          </w:p>
          <w:p w14:paraId="7AAFADC6">
            <w:pPr>
              <w:tabs>
                <w:tab w:val="left" w:pos="5580"/>
              </w:tabs>
              <w:spacing w:line="360" w:lineRule="auto"/>
              <w:jc w:val="left"/>
              <w:rPr>
                <w:rFonts w:ascii="宋体" w:hAnsi="宋体"/>
                <w:color w:val="auto"/>
                <w:sz w:val="24"/>
                <w:highlight w:val="none"/>
              </w:rPr>
            </w:pPr>
          </w:p>
          <w:p w14:paraId="0B77B669">
            <w:pPr>
              <w:tabs>
                <w:tab w:val="left" w:pos="5580"/>
              </w:tabs>
              <w:spacing w:line="360" w:lineRule="auto"/>
              <w:jc w:val="left"/>
              <w:rPr>
                <w:rFonts w:ascii="宋体" w:hAnsi="宋体"/>
                <w:color w:val="auto"/>
                <w:sz w:val="24"/>
                <w:highlight w:val="none"/>
              </w:rPr>
            </w:pPr>
          </w:p>
        </w:tc>
        <w:tc>
          <w:tcPr>
            <w:tcW w:w="4536" w:type="dxa"/>
          </w:tcPr>
          <w:p w14:paraId="2BA8684D">
            <w:pPr>
              <w:tabs>
                <w:tab w:val="left" w:pos="5580"/>
              </w:tabs>
              <w:spacing w:line="360" w:lineRule="auto"/>
              <w:jc w:val="left"/>
              <w:rPr>
                <w:rFonts w:ascii="宋体" w:hAnsi="宋体"/>
                <w:color w:val="auto"/>
                <w:sz w:val="24"/>
                <w:highlight w:val="none"/>
              </w:rPr>
            </w:pPr>
          </w:p>
          <w:p w14:paraId="34B80CEB">
            <w:pPr>
              <w:tabs>
                <w:tab w:val="left" w:pos="5580"/>
              </w:tabs>
              <w:spacing w:line="360" w:lineRule="auto"/>
              <w:jc w:val="left"/>
              <w:rPr>
                <w:rFonts w:ascii="宋体" w:hAnsi="宋体"/>
                <w:color w:val="auto"/>
                <w:sz w:val="24"/>
                <w:highlight w:val="none"/>
              </w:rPr>
            </w:pPr>
          </w:p>
          <w:p w14:paraId="45CC3E0D">
            <w:pPr>
              <w:tabs>
                <w:tab w:val="left" w:pos="5580"/>
              </w:tabs>
              <w:spacing w:line="360" w:lineRule="auto"/>
              <w:jc w:val="left"/>
              <w:rPr>
                <w:rFonts w:ascii="宋体" w:hAnsi="宋体"/>
                <w:color w:val="auto"/>
                <w:sz w:val="24"/>
                <w:highlight w:val="none"/>
              </w:rPr>
            </w:pPr>
          </w:p>
        </w:tc>
      </w:tr>
    </w:tbl>
    <w:p w14:paraId="0ABCAEC2">
      <w:pPr>
        <w:tabs>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说明</w:t>
      </w:r>
      <w:r>
        <w:rPr>
          <w:rFonts w:ascii="宋体" w:hAnsi="宋体"/>
          <w:color w:val="auto"/>
          <w:sz w:val="24"/>
          <w:highlight w:val="none"/>
        </w:rPr>
        <w:t>：</w:t>
      </w:r>
    </w:p>
    <w:p w14:paraId="114814D2">
      <w:pPr>
        <w:tabs>
          <w:tab w:val="left" w:pos="5580"/>
        </w:tabs>
        <w:spacing w:line="360" w:lineRule="auto"/>
        <w:jc w:val="left"/>
        <w:rPr>
          <w:rFonts w:ascii="宋体" w:hAnsi="宋体"/>
          <w:color w:val="auto"/>
          <w:sz w:val="24"/>
          <w:highlight w:val="none"/>
        </w:rPr>
      </w:pPr>
      <w:r>
        <w:rPr>
          <w:rFonts w:ascii="宋体" w:hAnsi="宋体"/>
          <w:color w:val="auto"/>
          <w:sz w:val="24"/>
          <w:highlight w:val="none"/>
        </w:rPr>
        <w:t>1.若供应商为事业单位或其他组织或分支机构（仅当</w:t>
      </w:r>
      <w:r>
        <w:rPr>
          <w:rFonts w:hint="eastAsia" w:ascii="宋体" w:hAnsi="宋体"/>
          <w:color w:val="auto"/>
          <w:sz w:val="24"/>
          <w:highlight w:val="none"/>
        </w:rPr>
        <w:t>招标</w:t>
      </w:r>
      <w:r>
        <w:rPr>
          <w:rFonts w:ascii="宋体" w:hAnsi="宋体"/>
          <w:color w:val="auto"/>
          <w:sz w:val="24"/>
          <w:highlight w:val="none"/>
        </w:rPr>
        <w:t>文件注明允许分支机构</w:t>
      </w:r>
      <w:r>
        <w:rPr>
          <w:rFonts w:hint="eastAsia" w:ascii="宋体" w:hAnsi="宋体"/>
          <w:color w:val="auto"/>
          <w:sz w:val="24"/>
          <w:highlight w:val="none"/>
        </w:rPr>
        <w:t>投标</w:t>
      </w:r>
      <w:r>
        <w:rPr>
          <w:rFonts w:ascii="宋体" w:hAnsi="宋体"/>
          <w:color w:val="auto"/>
          <w:sz w:val="24"/>
          <w:highlight w:val="none"/>
        </w:rPr>
        <w:t>的），则法定代表人（单位负责人）</w:t>
      </w:r>
      <w:r>
        <w:rPr>
          <w:rFonts w:hint="eastAsia" w:ascii="宋体" w:hAnsi="宋体"/>
          <w:color w:val="auto"/>
          <w:sz w:val="24"/>
          <w:highlight w:val="none"/>
        </w:rPr>
        <w:t>处</w:t>
      </w:r>
      <w:r>
        <w:rPr>
          <w:rFonts w:ascii="宋体" w:hAnsi="宋体"/>
          <w:color w:val="auto"/>
          <w:sz w:val="24"/>
          <w:highlight w:val="none"/>
        </w:rPr>
        <w:t>的签署人可为单位负责人</w:t>
      </w:r>
      <w:r>
        <w:rPr>
          <w:rFonts w:hint="eastAsia" w:ascii="宋体" w:hAnsi="宋体"/>
          <w:color w:val="auto"/>
          <w:sz w:val="24"/>
          <w:highlight w:val="none"/>
        </w:rPr>
        <w:t>。</w:t>
      </w:r>
    </w:p>
    <w:p w14:paraId="0734FEF5">
      <w:pPr>
        <w:tabs>
          <w:tab w:val="left" w:pos="5580"/>
        </w:tabs>
        <w:spacing w:line="360" w:lineRule="auto"/>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若</w:t>
      </w:r>
      <w:r>
        <w:rPr>
          <w:rFonts w:hint="eastAsia" w:ascii="宋体" w:hAnsi="宋体"/>
          <w:color w:val="auto"/>
          <w:sz w:val="24"/>
          <w:highlight w:val="none"/>
        </w:rPr>
        <w:t>投标</w:t>
      </w:r>
      <w:r>
        <w:rPr>
          <w:rFonts w:ascii="宋体" w:hAnsi="宋体"/>
          <w:color w:val="auto"/>
          <w:sz w:val="24"/>
          <w:highlight w:val="none"/>
        </w:rPr>
        <w:t>文件中签字之处均为法定代表人（单位负责人）本人签署，则可不提供本《</w:t>
      </w:r>
      <w:r>
        <w:rPr>
          <w:rFonts w:hint="eastAsia" w:ascii="宋体" w:hAnsi="宋体"/>
          <w:color w:val="auto"/>
          <w:sz w:val="24"/>
          <w:highlight w:val="none"/>
        </w:rPr>
        <w:t>授权委托书</w:t>
      </w:r>
      <w:r>
        <w:rPr>
          <w:rFonts w:ascii="宋体" w:hAnsi="宋体"/>
          <w:color w:val="auto"/>
          <w:sz w:val="24"/>
          <w:highlight w:val="none"/>
        </w:rPr>
        <w:t>》，但须提供</w:t>
      </w:r>
      <w:r>
        <w:rPr>
          <w:rFonts w:hint="eastAsia" w:ascii="宋体" w:hAnsi="宋体"/>
          <w:color w:val="auto"/>
          <w:sz w:val="24"/>
          <w:highlight w:val="none"/>
        </w:rPr>
        <w:t>《</w:t>
      </w:r>
      <w:r>
        <w:rPr>
          <w:rFonts w:ascii="宋体" w:hAnsi="宋体"/>
          <w:color w:val="auto"/>
          <w:sz w:val="24"/>
          <w:highlight w:val="none"/>
        </w:rPr>
        <w:t>法定代表人（单位负责人）身份证</w:t>
      </w:r>
      <w:r>
        <w:rPr>
          <w:rFonts w:hint="eastAsia" w:ascii="宋体" w:hAnsi="宋体"/>
          <w:color w:val="auto"/>
          <w:sz w:val="24"/>
          <w:highlight w:val="none"/>
        </w:rPr>
        <w:t>明》</w:t>
      </w:r>
      <w:r>
        <w:rPr>
          <w:rFonts w:ascii="宋体" w:hAnsi="宋体"/>
          <w:color w:val="auto"/>
          <w:sz w:val="24"/>
          <w:highlight w:val="none"/>
        </w:rPr>
        <w:t>（实质性格式）。</w:t>
      </w:r>
    </w:p>
    <w:p w14:paraId="4DAACE5D">
      <w:pPr>
        <w:tabs>
          <w:tab w:val="left" w:pos="5580"/>
        </w:tabs>
        <w:spacing w:line="360" w:lineRule="auto"/>
        <w:jc w:val="left"/>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供应商为自然人的情形，可不提供本</w:t>
      </w:r>
      <w:r>
        <w:rPr>
          <w:rFonts w:ascii="宋体" w:hAnsi="宋体"/>
          <w:color w:val="auto"/>
          <w:sz w:val="24"/>
          <w:highlight w:val="none"/>
        </w:rPr>
        <w:t>《</w:t>
      </w:r>
      <w:r>
        <w:rPr>
          <w:rFonts w:hint="eastAsia" w:ascii="宋体" w:hAnsi="宋体"/>
          <w:color w:val="auto"/>
          <w:sz w:val="24"/>
          <w:highlight w:val="none"/>
        </w:rPr>
        <w:t>授权委托书</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br w:type="page"/>
      </w:r>
    </w:p>
    <w:p w14:paraId="7206AA5E">
      <w:pPr>
        <w:spacing w:line="360" w:lineRule="exact"/>
        <w:jc w:val="center"/>
        <w:rPr>
          <w:rFonts w:ascii="宋体" w:hAnsi="宋体"/>
          <w:b/>
          <w:color w:val="auto"/>
          <w:sz w:val="24"/>
          <w:highlight w:val="none"/>
        </w:rPr>
      </w:pPr>
      <w:r>
        <w:rPr>
          <w:rFonts w:hint="eastAsia" w:ascii="宋体" w:hAnsi="宋体"/>
          <w:b/>
          <w:color w:val="auto"/>
          <w:sz w:val="24"/>
          <w:highlight w:val="none"/>
        </w:rPr>
        <w:t>附：</w:t>
      </w:r>
      <w:r>
        <w:rPr>
          <w:rFonts w:ascii="宋体" w:hAnsi="宋体"/>
          <w:b/>
          <w:color w:val="auto"/>
          <w:sz w:val="24"/>
          <w:highlight w:val="none"/>
        </w:rPr>
        <w:t>法定代表人（单位负责人）身份证明</w:t>
      </w:r>
    </w:p>
    <w:p w14:paraId="75F7388D">
      <w:pPr>
        <w:kinsoku w:val="0"/>
        <w:overflowPunct w:val="0"/>
        <w:spacing w:line="200" w:lineRule="exact"/>
        <w:rPr>
          <w:rFonts w:ascii="宋体" w:hAnsi="宋体"/>
          <w:color w:val="auto"/>
          <w:sz w:val="24"/>
          <w:highlight w:val="none"/>
        </w:rPr>
      </w:pPr>
    </w:p>
    <w:p w14:paraId="5B7EE24D">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采购人或</w:t>
      </w:r>
      <w:r>
        <w:rPr>
          <w:rFonts w:ascii="宋体" w:hAnsi="宋体"/>
          <w:color w:val="auto"/>
          <w:sz w:val="24"/>
          <w:highlight w:val="none"/>
          <w:u w:val="single"/>
        </w:rPr>
        <w:t>采购代理机构）</w:t>
      </w:r>
    </w:p>
    <w:p w14:paraId="22B365B3">
      <w:pPr>
        <w:pStyle w:val="17"/>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14:paraId="4B393D70">
      <w:pPr>
        <w:pStyle w:val="17"/>
        <w:tabs>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14:paraId="1874FE6F">
      <w:pPr>
        <w:pStyle w:val="17"/>
        <w:tabs>
          <w:tab w:val="left" w:pos="2412"/>
          <w:tab w:val="left" w:pos="3883"/>
          <w:tab w:val="left" w:pos="5352"/>
          <w:tab w:val="left" w:pos="6821"/>
        </w:tabs>
        <w:kinsoku w:val="0"/>
        <w:overflowPunct w:val="0"/>
        <w:spacing w:line="335" w:lineRule="exact"/>
        <w:rPr>
          <w:color w:val="auto"/>
          <w:highlight w:val="none"/>
        </w:rPr>
      </w:pPr>
    </w:p>
    <w:p w14:paraId="53384F8E">
      <w:pPr>
        <w:pStyle w:val="17"/>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投标人</w:t>
      </w:r>
      <w:r>
        <w:rPr>
          <w:color w:val="auto"/>
          <w:highlight w:val="none"/>
        </w:rPr>
        <w:t>名称）的法定代表人（单位负责人）。</w:t>
      </w:r>
    </w:p>
    <w:p w14:paraId="617D1B8F">
      <w:pPr>
        <w:pStyle w:val="17"/>
        <w:tabs>
          <w:tab w:val="left" w:pos="2412"/>
          <w:tab w:val="left" w:pos="3883"/>
          <w:tab w:val="left" w:pos="5352"/>
          <w:tab w:val="left" w:pos="6821"/>
        </w:tabs>
        <w:kinsoku w:val="0"/>
        <w:overflowPunct w:val="0"/>
        <w:spacing w:line="335" w:lineRule="exact"/>
        <w:rPr>
          <w:color w:val="auto"/>
          <w:highlight w:val="none"/>
        </w:rPr>
      </w:pPr>
    </w:p>
    <w:p w14:paraId="2855DF91">
      <w:pPr>
        <w:pStyle w:val="17"/>
        <w:tabs>
          <w:tab w:val="left" w:pos="2412"/>
          <w:tab w:val="left" w:pos="3883"/>
          <w:tab w:val="left" w:pos="5352"/>
          <w:tab w:val="left" w:pos="6821"/>
        </w:tabs>
        <w:kinsoku w:val="0"/>
        <w:overflowPunct w:val="0"/>
        <w:spacing w:line="335" w:lineRule="exact"/>
        <w:rPr>
          <w:color w:val="auto"/>
          <w:highlight w:val="none"/>
        </w:rPr>
      </w:pPr>
    </w:p>
    <w:p w14:paraId="7FA56FCE">
      <w:pPr>
        <w:pStyle w:val="17"/>
        <w:tabs>
          <w:tab w:val="left" w:pos="2412"/>
          <w:tab w:val="left" w:pos="3883"/>
          <w:tab w:val="left" w:pos="5352"/>
          <w:tab w:val="left" w:pos="6821"/>
        </w:tabs>
        <w:kinsoku w:val="0"/>
        <w:overflowPunct w:val="0"/>
        <w:spacing w:line="335" w:lineRule="exact"/>
        <w:rPr>
          <w:color w:val="auto"/>
          <w:highlight w:val="none"/>
        </w:rPr>
      </w:pPr>
    </w:p>
    <w:p w14:paraId="72D588CB">
      <w:pPr>
        <w:pStyle w:val="17"/>
        <w:kinsoku w:val="0"/>
        <w:overflowPunct w:val="0"/>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CB9C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7C4B3BD">
            <w:pPr>
              <w:tabs>
                <w:tab w:val="left" w:pos="5580"/>
              </w:tabs>
              <w:spacing w:line="360" w:lineRule="auto"/>
              <w:jc w:val="left"/>
              <w:rPr>
                <w:rFonts w:ascii="宋体" w:hAnsi="宋体"/>
                <w:color w:val="auto"/>
                <w:sz w:val="24"/>
                <w:highlight w:val="none"/>
              </w:rPr>
            </w:pPr>
          </w:p>
          <w:p w14:paraId="3BDBC4E7">
            <w:pPr>
              <w:tabs>
                <w:tab w:val="left" w:pos="5580"/>
              </w:tabs>
              <w:spacing w:line="360" w:lineRule="auto"/>
              <w:jc w:val="left"/>
              <w:rPr>
                <w:rFonts w:ascii="宋体" w:hAnsi="宋体"/>
                <w:color w:val="auto"/>
                <w:sz w:val="24"/>
                <w:highlight w:val="none"/>
              </w:rPr>
            </w:pPr>
          </w:p>
          <w:p w14:paraId="5CA7C7A8">
            <w:pPr>
              <w:tabs>
                <w:tab w:val="left" w:pos="5580"/>
              </w:tabs>
              <w:spacing w:line="360" w:lineRule="auto"/>
              <w:jc w:val="left"/>
              <w:rPr>
                <w:rFonts w:ascii="宋体" w:hAnsi="宋体"/>
                <w:color w:val="auto"/>
                <w:sz w:val="24"/>
                <w:highlight w:val="none"/>
              </w:rPr>
            </w:pPr>
          </w:p>
        </w:tc>
        <w:tc>
          <w:tcPr>
            <w:tcW w:w="4536" w:type="dxa"/>
          </w:tcPr>
          <w:p w14:paraId="2E77FBFA">
            <w:pPr>
              <w:tabs>
                <w:tab w:val="left" w:pos="5580"/>
              </w:tabs>
              <w:spacing w:line="360" w:lineRule="auto"/>
              <w:jc w:val="left"/>
              <w:rPr>
                <w:rFonts w:ascii="宋体" w:hAnsi="宋体"/>
                <w:color w:val="auto"/>
                <w:sz w:val="24"/>
                <w:highlight w:val="none"/>
              </w:rPr>
            </w:pPr>
          </w:p>
          <w:p w14:paraId="23FEBB12">
            <w:pPr>
              <w:tabs>
                <w:tab w:val="left" w:pos="5580"/>
              </w:tabs>
              <w:spacing w:line="360" w:lineRule="auto"/>
              <w:jc w:val="left"/>
              <w:rPr>
                <w:rFonts w:ascii="宋体" w:hAnsi="宋体"/>
                <w:color w:val="auto"/>
                <w:sz w:val="24"/>
                <w:highlight w:val="none"/>
              </w:rPr>
            </w:pPr>
          </w:p>
          <w:p w14:paraId="0226D8ED">
            <w:pPr>
              <w:tabs>
                <w:tab w:val="left" w:pos="5580"/>
              </w:tabs>
              <w:spacing w:line="360" w:lineRule="auto"/>
              <w:jc w:val="left"/>
              <w:rPr>
                <w:rFonts w:ascii="宋体" w:hAnsi="宋体"/>
                <w:color w:val="auto"/>
                <w:sz w:val="24"/>
                <w:highlight w:val="none"/>
              </w:rPr>
            </w:pPr>
          </w:p>
        </w:tc>
      </w:tr>
    </w:tbl>
    <w:p w14:paraId="61319DE1">
      <w:pPr>
        <w:pStyle w:val="17"/>
        <w:kinsoku w:val="0"/>
        <w:overflowPunct w:val="0"/>
        <w:spacing w:line="583" w:lineRule="auto"/>
        <w:ind w:right="4305"/>
        <w:rPr>
          <w:color w:val="auto"/>
          <w:spacing w:val="-3"/>
          <w:highlight w:val="none"/>
        </w:rPr>
      </w:pPr>
    </w:p>
    <w:p w14:paraId="697F3DCD">
      <w:pPr>
        <w:pStyle w:val="17"/>
        <w:kinsoku w:val="0"/>
        <w:overflowPunct w:val="0"/>
        <w:spacing w:line="583" w:lineRule="auto"/>
        <w:ind w:right="4305"/>
        <w:rPr>
          <w:color w:val="auto"/>
          <w:spacing w:val="-3"/>
          <w:highlight w:val="none"/>
        </w:rPr>
      </w:pPr>
    </w:p>
    <w:p w14:paraId="75BB1883">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3025C7B0">
      <w:pPr>
        <w:pStyle w:val="17"/>
        <w:kinsoku w:val="0"/>
        <w:overflowPunct w:val="0"/>
        <w:spacing w:line="583" w:lineRule="auto"/>
        <w:ind w:right="95"/>
        <w:rPr>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w:t>
      </w:r>
      <w:r>
        <w:rPr>
          <w:color w:val="auto"/>
          <w:highlight w:val="none"/>
        </w:rPr>
        <w:t>签字或</w:t>
      </w:r>
      <w:r>
        <w:rPr>
          <w:rFonts w:hint="eastAsia"/>
          <w:color w:val="auto"/>
          <w:highlight w:val="none"/>
        </w:rPr>
        <w:t>盖章</w:t>
      </w:r>
      <w:r>
        <w:rPr>
          <w:rFonts w:hint="eastAsia"/>
          <w:color w:val="auto"/>
          <w:spacing w:val="-3"/>
          <w:highlight w:val="none"/>
        </w:rPr>
        <w:t>）：_</w:t>
      </w:r>
      <w:r>
        <w:rPr>
          <w:color w:val="auto"/>
          <w:spacing w:val="-3"/>
          <w:highlight w:val="none"/>
        </w:rPr>
        <w:t>______</w:t>
      </w:r>
    </w:p>
    <w:p w14:paraId="22872119">
      <w:pPr>
        <w:autoSpaceDE w:val="0"/>
        <w:autoSpaceDN w:val="0"/>
        <w:adjustRightInd w:val="0"/>
        <w:snapToGrid w:val="0"/>
        <w:spacing w:line="360" w:lineRule="auto"/>
        <w:rPr>
          <w:rFonts w:ascii="宋体" w:hAnsi="宋体"/>
          <w:color w:val="auto"/>
          <w:sz w:val="24"/>
          <w:highlight w:val="none"/>
        </w:rPr>
      </w:pPr>
    </w:p>
    <w:p w14:paraId="4F3CD1F6">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15570D87">
      <w:pPr>
        <w:widowControl/>
        <w:jc w:val="left"/>
        <w:rPr>
          <w:rFonts w:ascii="宋体" w:hAnsi="宋体"/>
          <w:i/>
          <w:color w:val="auto"/>
          <w:sz w:val="24"/>
          <w:highlight w:val="none"/>
          <w:u w:val="single"/>
        </w:rPr>
      </w:pPr>
    </w:p>
    <w:p w14:paraId="6A879B31">
      <w:pPr>
        <w:widowControl/>
        <w:jc w:val="left"/>
        <w:rPr>
          <w:rFonts w:ascii="宋体" w:hAnsi="宋体"/>
          <w:color w:val="auto"/>
          <w:sz w:val="24"/>
          <w:highlight w:val="none"/>
        </w:rPr>
      </w:pPr>
      <w:r>
        <w:rPr>
          <w:rFonts w:ascii="宋体" w:hAnsi="宋体"/>
          <w:color w:val="auto"/>
          <w:sz w:val="24"/>
          <w:highlight w:val="none"/>
        </w:rPr>
        <w:br w:type="page"/>
      </w:r>
    </w:p>
    <w:p w14:paraId="37326D31">
      <w:pPr>
        <w:spacing w:line="360" w:lineRule="auto"/>
        <w:outlineLvl w:val="2"/>
        <w:rPr>
          <w:rFonts w:ascii="宋体" w:hAnsi="宋体"/>
          <w:color w:val="auto"/>
          <w:sz w:val="24"/>
          <w:highlight w:val="none"/>
        </w:rPr>
      </w:pPr>
      <w:r>
        <w:rPr>
          <w:rFonts w:ascii="宋体" w:hAnsi="宋体"/>
          <w:color w:val="auto"/>
          <w:sz w:val="24"/>
          <w:highlight w:val="none"/>
        </w:rPr>
        <w:t>3  开标一览表</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r>
        <w:rPr>
          <w:rFonts w:ascii="宋体" w:hAnsi="宋体"/>
          <w:color w:val="auto"/>
          <w:sz w:val="24"/>
          <w:highlight w:val="none"/>
        </w:rPr>
        <w:t>（实质性格式）</w:t>
      </w:r>
    </w:p>
    <w:p w14:paraId="770CFCED">
      <w:pPr>
        <w:tabs>
          <w:tab w:val="left" w:pos="5580"/>
        </w:tabs>
        <w:jc w:val="center"/>
        <w:rPr>
          <w:rFonts w:ascii="宋体" w:hAnsi="宋体"/>
          <w:b/>
          <w:color w:val="auto"/>
          <w:sz w:val="24"/>
          <w:highlight w:val="none"/>
        </w:rPr>
      </w:pPr>
      <w:bookmarkStart w:id="1136" w:name="_Toc164608672"/>
      <w:bookmarkStart w:id="1137" w:name="_Toc226965748"/>
      <w:bookmarkStart w:id="1138" w:name="_Toc226965831"/>
      <w:bookmarkStart w:id="1139" w:name="_Toc164608827"/>
      <w:bookmarkStart w:id="1140" w:name="_Toc264969248"/>
      <w:bookmarkStart w:id="1141" w:name="_Toc195842923"/>
      <w:bookmarkStart w:id="1142" w:name="_Toc226337254"/>
      <w:bookmarkStart w:id="1143" w:name="_Toc305158826"/>
      <w:bookmarkStart w:id="1144" w:name="_Toc226309802"/>
      <w:bookmarkStart w:id="1145" w:name="_Toc265228396"/>
      <w:bookmarkStart w:id="1146" w:name="_Toc305158900"/>
    </w:p>
    <w:p w14:paraId="79A18D18">
      <w:pPr>
        <w:tabs>
          <w:tab w:val="left" w:pos="5580"/>
        </w:tabs>
        <w:jc w:val="center"/>
        <w:rPr>
          <w:rFonts w:ascii="宋体" w:hAnsi="宋体"/>
          <w:b/>
          <w:color w:val="auto"/>
          <w:sz w:val="24"/>
          <w:highlight w:val="none"/>
        </w:rPr>
      </w:pPr>
      <w:r>
        <w:rPr>
          <w:rFonts w:hint="eastAsia" w:ascii="宋体" w:hAnsi="宋体"/>
          <w:b/>
          <w:color w:val="auto"/>
          <w:sz w:val="24"/>
          <w:highlight w:val="none"/>
        </w:rPr>
        <w:t>开标一览表</w:t>
      </w:r>
      <w:bookmarkEnd w:id="1136"/>
      <w:bookmarkEnd w:id="1137"/>
      <w:bookmarkEnd w:id="1138"/>
      <w:bookmarkEnd w:id="1139"/>
      <w:bookmarkEnd w:id="1140"/>
      <w:bookmarkEnd w:id="1141"/>
      <w:bookmarkEnd w:id="1142"/>
      <w:bookmarkEnd w:id="1143"/>
      <w:bookmarkEnd w:id="1144"/>
      <w:bookmarkEnd w:id="1145"/>
      <w:bookmarkEnd w:id="1146"/>
    </w:p>
    <w:p w14:paraId="4EBFA812">
      <w:pPr>
        <w:tabs>
          <w:tab w:val="left" w:pos="1800"/>
          <w:tab w:val="left" w:pos="5580"/>
        </w:tabs>
        <w:spacing w:line="360" w:lineRule="auto"/>
        <w:jc w:val="left"/>
        <w:rPr>
          <w:rFonts w:ascii="宋体" w:hAnsi="宋体"/>
          <w:i/>
          <w:color w:val="auto"/>
          <w:sz w:val="24"/>
          <w:highlight w:val="none"/>
        </w:rPr>
      </w:pPr>
    </w:p>
    <w:p w14:paraId="5C3311A7">
      <w:pPr>
        <w:tabs>
          <w:tab w:val="left" w:pos="1800"/>
          <w:tab w:val="left" w:pos="5580"/>
        </w:tabs>
        <w:spacing w:line="360" w:lineRule="auto"/>
        <w:jc w:val="left"/>
        <w:rPr>
          <w:rFonts w:ascii="宋体" w:hAnsi="宋体"/>
          <w:i/>
          <w:color w:val="auto"/>
          <w:sz w:val="24"/>
          <w:highlight w:val="none"/>
        </w:rPr>
      </w:pPr>
    </w:p>
    <w:p w14:paraId="1F279137">
      <w:pPr>
        <w:tabs>
          <w:tab w:val="left" w:pos="1800"/>
          <w:tab w:val="left" w:pos="5580"/>
        </w:tabs>
        <w:spacing w:line="360" w:lineRule="auto"/>
        <w:ind w:firstLine="240" w:firstLineChars="100"/>
        <w:jc w:val="left"/>
        <w:rPr>
          <w:rFonts w:ascii="宋体" w:hAnsi="宋体"/>
          <w:color w:val="auto"/>
          <w:sz w:val="24"/>
          <w:highlight w:val="none"/>
          <w:u w:val="single"/>
        </w:rPr>
      </w:pPr>
      <w:r>
        <w:rPr>
          <w:rFonts w:ascii="宋体" w:hAnsi="宋体"/>
          <w:color w:val="auto"/>
          <w:sz w:val="24"/>
          <w:highlight w:val="none"/>
        </w:rPr>
        <w:t xml:space="preserve">项目编号/包号：_____________________     </w:t>
      </w:r>
      <w:r>
        <w:rPr>
          <w:rFonts w:hint="eastAsia" w:ascii="宋体" w:hAnsi="宋体"/>
          <w:color w:val="auto"/>
          <w:sz w:val="24"/>
          <w:highlight w:val="none"/>
        </w:rPr>
        <w:t>项目名称/标的名称</w:t>
      </w:r>
      <w:r>
        <w:rPr>
          <w:rFonts w:ascii="宋体" w:hAnsi="宋体"/>
          <w:color w:val="auto"/>
          <w:sz w:val="24"/>
          <w:highlight w:val="none"/>
        </w:rPr>
        <w:t>：____________</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6E7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C6D6782">
            <w:pPr>
              <w:tabs>
                <w:tab w:val="left" w:pos="5580"/>
              </w:tabs>
              <w:jc w:val="center"/>
              <w:rPr>
                <w:rFonts w:ascii="宋体" w:hAnsi="宋体"/>
                <w:b/>
                <w:color w:val="auto"/>
                <w:sz w:val="24"/>
                <w:highlight w:val="none"/>
              </w:rPr>
            </w:pPr>
            <w:r>
              <w:rPr>
                <w:rFonts w:ascii="宋体" w:hAnsi="宋体"/>
                <w:b/>
                <w:color w:val="auto"/>
                <w:sz w:val="24"/>
                <w:highlight w:val="none"/>
              </w:rPr>
              <w:t>序号</w:t>
            </w:r>
          </w:p>
        </w:tc>
        <w:tc>
          <w:tcPr>
            <w:tcW w:w="2215" w:type="pct"/>
            <w:vMerge w:val="restart"/>
            <w:vAlign w:val="center"/>
          </w:tcPr>
          <w:p w14:paraId="74E8EE4A">
            <w:pPr>
              <w:tabs>
                <w:tab w:val="left" w:pos="5580"/>
              </w:tabs>
              <w:jc w:val="center"/>
              <w:rPr>
                <w:rFonts w:ascii="宋体" w:hAnsi="宋体"/>
                <w:b/>
                <w:color w:val="auto"/>
                <w:sz w:val="24"/>
                <w:highlight w:val="none"/>
              </w:rPr>
            </w:pPr>
            <w:r>
              <w:rPr>
                <w:rFonts w:ascii="宋体" w:hAnsi="宋体"/>
                <w:b/>
                <w:color w:val="auto"/>
                <w:sz w:val="24"/>
                <w:highlight w:val="none"/>
              </w:rPr>
              <w:t>投标人名称</w:t>
            </w:r>
          </w:p>
        </w:tc>
        <w:tc>
          <w:tcPr>
            <w:tcW w:w="2373" w:type="pct"/>
            <w:gridSpan w:val="2"/>
            <w:vAlign w:val="center"/>
          </w:tcPr>
          <w:p w14:paraId="436E42C9">
            <w:pPr>
              <w:tabs>
                <w:tab w:val="left" w:pos="5580"/>
              </w:tabs>
              <w:jc w:val="center"/>
              <w:rPr>
                <w:rFonts w:ascii="宋体" w:hAnsi="宋体"/>
                <w:b/>
                <w:color w:val="auto"/>
                <w:sz w:val="24"/>
                <w:highlight w:val="none"/>
              </w:rPr>
            </w:pPr>
            <w:r>
              <w:rPr>
                <w:rFonts w:ascii="宋体" w:hAnsi="宋体"/>
                <w:b/>
                <w:color w:val="auto"/>
                <w:sz w:val="24"/>
                <w:highlight w:val="none"/>
              </w:rPr>
              <w:t>投标报价</w:t>
            </w:r>
          </w:p>
        </w:tc>
      </w:tr>
      <w:tr w14:paraId="3137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5D5080B">
            <w:pPr>
              <w:tabs>
                <w:tab w:val="left" w:pos="5580"/>
              </w:tabs>
              <w:jc w:val="center"/>
              <w:rPr>
                <w:rFonts w:ascii="宋体" w:hAnsi="宋体"/>
                <w:color w:val="auto"/>
                <w:sz w:val="24"/>
                <w:highlight w:val="none"/>
              </w:rPr>
            </w:pPr>
          </w:p>
        </w:tc>
        <w:tc>
          <w:tcPr>
            <w:tcW w:w="2215" w:type="pct"/>
            <w:vMerge w:val="continue"/>
            <w:vAlign w:val="center"/>
          </w:tcPr>
          <w:p w14:paraId="2B589AFA">
            <w:pPr>
              <w:tabs>
                <w:tab w:val="left" w:pos="5580"/>
              </w:tabs>
              <w:jc w:val="center"/>
              <w:rPr>
                <w:rFonts w:ascii="宋体" w:hAnsi="宋体"/>
                <w:color w:val="auto"/>
                <w:sz w:val="24"/>
                <w:highlight w:val="none"/>
              </w:rPr>
            </w:pPr>
          </w:p>
        </w:tc>
        <w:tc>
          <w:tcPr>
            <w:tcW w:w="1188" w:type="pct"/>
            <w:vAlign w:val="center"/>
          </w:tcPr>
          <w:p w14:paraId="2D8293CA">
            <w:pPr>
              <w:tabs>
                <w:tab w:val="left" w:pos="5580"/>
              </w:tabs>
              <w:jc w:val="center"/>
              <w:rPr>
                <w:rFonts w:ascii="宋体" w:hAnsi="宋体"/>
                <w:b/>
                <w:color w:val="auto"/>
                <w:sz w:val="24"/>
                <w:highlight w:val="none"/>
              </w:rPr>
            </w:pPr>
            <w:r>
              <w:rPr>
                <w:rFonts w:ascii="宋体" w:hAnsi="宋体"/>
                <w:b/>
                <w:color w:val="auto"/>
                <w:sz w:val="24"/>
                <w:highlight w:val="none"/>
              </w:rPr>
              <w:t>大写</w:t>
            </w:r>
          </w:p>
        </w:tc>
        <w:tc>
          <w:tcPr>
            <w:tcW w:w="1182" w:type="pct"/>
            <w:vAlign w:val="center"/>
          </w:tcPr>
          <w:p w14:paraId="3DC54AEB">
            <w:pPr>
              <w:tabs>
                <w:tab w:val="left" w:pos="5580"/>
              </w:tabs>
              <w:jc w:val="center"/>
              <w:rPr>
                <w:rFonts w:ascii="宋体" w:hAnsi="宋体"/>
                <w:b/>
                <w:color w:val="auto"/>
                <w:sz w:val="24"/>
                <w:highlight w:val="none"/>
              </w:rPr>
            </w:pPr>
            <w:r>
              <w:rPr>
                <w:rFonts w:ascii="宋体" w:hAnsi="宋体"/>
                <w:b/>
                <w:color w:val="auto"/>
                <w:sz w:val="24"/>
                <w:highlight w:val="none"/>
              </w:rPr>
              <w:t>小写</w:t>
            </w:r>
          </w:p>
        </w:tc>
      </w:tr>
      <w:tr w14:paraId="156D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B63708E">
            <w:pPr>
              <w:tabs>
                <w:tab w:val="left" w:pos="5580"/>
              </w:tabs>
              <w:jc w:val="center"/>
              <w:rPr>
                <w:rFonts w:ascii="宋体" w:hAnsi="宋体"/>
                <w:color w:val="auto"/>
                <w:sz w:val="24"/>
                <w:highlight w:val="none"/>
              </w:rPr>
            </w:pPr>
          </w:p>
        </w:tc>
        <w:tc>
          <w:tcPr>
            <w:tcW w:w="2215" w:type="pct"/>
            <w:vAlign w:val="center"/>
          </w:tcPr>
          <w:p w14:paraId="50D1A026">
            <w:pPr>
              <w:tabs>
                <w:tab w:val="left" w:pos="5580"/>
              </w:tabs>
              <w:jc w:val="center"/>
              <w:rPr>
                <w:rFonts w:ascii="宋体" w:hAnsi="宋体"/>
                <w:color w:val="auto"/>
                <w:sz w:val="24"/>
                <w:highlight w:val="none"/>
              </w:rPr>
            </w:pPr>
          </w:p>
        </w:tc>
        <w:tc>
          <w:tcPr>
            <w:tcW w:w="1188" w:type="pct"/>
            <w:vAlign w:val="center"/>
          </w:tcPr>
          <w:p w14:paraId="157BFA09">
            <w:pPr>
              <w:tabs>
                <w:tab w:val="left" w:pos="5580"/>
              </w:tabs>
              <w:jc w:val="center"/>
              <w:rPr>
                <w:rFonts w:ascii="宋体" w:hAnsi="宋体"/>
                <w:color w:val="auto"/>
                <w:sz w:val="24"/>
                <w:highlight w:val="none"/>
              </w:rPr>
            </w:pPr>
          </w:p>
        </w:tc>
        <w:tc>
          <w:tcPr>
            <w:tcW w:w="1182" w:type="pct"/>
            <w:vAlign w:val="center"/>
          </w:tcPr>
          <w:p w14:paraId="1C06424C">
            <w:pPr>
              <w:tabs>
                <w:tab w:val="left" w:pos="5580"/>
              </w:tabs>
              <w:jc w:val="center"/>
              <w:rPr>
                <w:rFonts w:ascii="宋体" w:hAnsi="宋体"/>
                <w:color w:val="auto"/>
                <w:sz w:val="24"/>
                <w:highlight w:val="none"/>
              </w:rPr>
            </w:pPr>
          </w:p>
        </w:tc>
      </w:tr>
    </w:tbl>
    <w:p w14:paraId="5D7985E8">
      <w:pPr>
        <w:autoSpaceDE w:val="0"/>
        <w:autoSpaceDN w:val="0"/>
        <w:adjustRightInd w:val="0"/>
        <w:jc w:val="left"/>
        <w:rPr>
          <w:rFonts w:ascii="宋体" w:hAnsi="宋体"/>
          <w:color w:val="auto"/>
          <w:kern w:val="0"/>
          <w:sz w:val="24"/>
          <w:highlight w:val="none"/>
        </w:rPr>
      </w:pPr>
    </w:p>
    <w:p w14:paraId="17EC3C1D">
      <w:pPr>
        <w:autoSpaceDE w:val="0"/>
        <w:autoSpaceDN w:val="0"/>
        <w:adjustRightInd w:val="0"/>
        <w:jc w:val="left"/>
        <w:rPr>
          <w:rFonts w:ascii="宋体" w:hAnsi="宋体"/>
          <w:color w:val="auto"/>
          <w:sz w:val="24"/>
          <w:highlight w:val="none"/>
        </w:rPr>
      </w:pPr>
      <w:r>
        <w:rPr>
          <w:rFonts w:ascii="宋体" w:hAnsi="宋体"/>
          <w:color w:val="auto"/>
          <w:kern w:val="0"/>
          <w:sz w:val="24"/>
          <w:highlight w:val="none"/>
        </w:rPr>
        <w:t>注：1</w:t>
      </w:r>
      <w:r>
        <w:rPr>
          <w:rFonts w:ascii="宋体" w:hAnsi="宋体"/>
          <w:color w:val="auto"/>
          <w:sz w:val="24"/>
          <w:highlight w:val="none"/>
        </w:rPr>
        <w:t>.此表中，每包的投标报价应和《投标分项报价表》中的总价相一致。</w:t>
      </w:r>
    </w:p>
    <w:p w14:paraId="544E9546">
      <w:pPr>
        <w:tabs>
          <w:tab w:val="left" w:pos="5580"/>
        </w:tabs>
        <w:ind w:firstLine="480" w:firstLineChars="200"/>
        <w:rPr>
          <w:rFonts w:ascii="宋体" w:hAnsi="宋体"/>
          <w:color w:val="auto"/>
          <w:sz w:val="24"/>
          <w:highlight w:val="none"/>
        </w:rPr>
      </w:pPr>
      <w:r>
        <w:rPr>
          <w:rFonts w:ascii="宋体" w:hAnsi="宋体"/>
          <w:color w:val="auto"/>
          <w:sz w:val="24"/>
          <w:highlight w:val="none"/>
        </w:rPr>
        <w:t>2.本表必须按包分别填写。</w:t>
      </w:r>
    </w:p>
    <w:p w14:paraId="05D881DA">
      <w:pPr>
        <w:autoSpaceDE w:val="0"/>
        <w:autoSpaceDN w:val="0"/>
        <w:adjustRightInd w:val="0"/>
        <w:snapToGrid w:val="0"/>
        <w:spacing w:before="25" w:after="25" w:line="360" w:lineRule="auto"/>
        <w:rPr>
          <w:rFonts w:ascii="宋体" w:hAnsi="宋体"/>
          <w:color w:val="auto"/>
          <w:sz w:val="24"/>
          <w:highlight w:val="none"/>
          <w:lang w:val="zh-CN"/>
        </w:rPr>
      </w:pPr>
    </w:p>
    <w:p w14:paraId="64AA5514">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495957CB">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057A09E1">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5792EE93">
      <w:pPr>
        <w:widowControl/>
        <w:jc w:val="left"/>
        <w:rPr>
          <w:rFonts w:ascii="宋体" w:hAnsi="宋体"/>
          <w:color w:val="auto"/>
          <w:sz w:val="24"/>
          <w:highlight w:val="none"/>
        </w:rPr>
      </w:pPr>
      <w:bookmarkStart w:id="1147" w:name="_Toc226965832"/>
      <w:bookmarkStart w:id="1148" w:name="_Toc150480796"/>
      <w:bookmarkStart w:id="1149" w:name="_Toc195842924"/>
      <w:bookmarkStart w:id="1150" w:name="_Toc150774763"/>
      <w:bookmarkStart w:id="1151" w:name="_Toc264969249"/>
      <w:bookmarkStart w:id="1152" w:name="_Toc226337255"/>
      <w:bookmarkStart w:id="1153" w:name="_Toc305158901"/>
      <w:bookmarkStart w:id="1154" w:name="_Toc127151558"/>
      <w:bookmarkStart w:id="1155" w:name="_Toc305158827"/>
      <w:bookmarkStart w:id="1156" w:name="_Toc226965749"/>
      <w:bookmarkStart w:id="1157" w:name="_Toc226309803"/>
      <w:bookmarkStart w:id="1158" w:name="_Toc142311060"/>
      <w:bookmarkStart w:id="1159" w:name="_Toc265228397"/>
      <w:r>
        <w:rPr>
          <w:rFonts w:ascii="宋体" w:hAnsi="宋体"/>
          <w:color w:val="auto"/>
          <w:sz w:val="24"/>
          <w:highlight w:val="none"/>
        </w:rPr>
        <w:br w:type="page"/>
      </w:r>
    </w:p>
    <w:p w14:paraId="2DDB936A">
      <w:pPr>
        <w:spacing w:line="360" w:lineRule="auto"/>
        <w:outlineLvl w:val="2"/>
        <w:rPr>
          <w:rFonts w:ascii="宋体" w:hAnsi="宋体"/>
          <w:color w:val="auto"/>
          <w:sz w:val="24"/>
          <w:highlight w:val="none"/>
        </w:rPr>
      </w:pPr>
      <w:r>
        <w:rPr>
          <w:rFonts w:ascii="宋体" w:hAnsi="宋体"/>
          <w:color w:val="auto"/>
          <w:sz w:val="24"/>
          <w:highlight w:val="none"/>
        </w:rPr>
        <w:t>4  投标分项报价表</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r>
        <w:rPr>
          <w:rFonts w:ascii="宋体" w:hAnsi="宋体"/>
          <w:color w:val="auto"/>
          <w:sz w:val="24"/>
          <w:highlight w:val="none"/>
        </w:rPr>
        <w:t>（实质性格式）</w:t>
      </w:r>
    </w:p>
    <w:p w14:paraId="38A3C1E7">
      <w:pPr>
        <w:spacing w:line="360" w:lineRule="exact"/>
        <w:jc w:val="center"/>
        <w:rPr>
          <w:rFonts w:ascii="宋体" w:hAnsi="宋体"/>
          <w:color w:val="auto"/>
          <w:sz w:val="24"/>
          <w:highlight w:val="none"/>
        </w:rPr>
      </w:pPr>
    </w:p>
    <w:p w14:paraId="1C60FD52">
      <w:pPr>
        <w:spacing w:line="360" w:lineRule="exact"/>
        <w:jc w:val="center"/>
        <w:rPr>
          <w:rFonts w:ascii="宋体" w:hAnsi="宋体"/>
          <w:b/>
          <w:color w:val="auto"/>
          <w:sz w:val="24"/>
          <w:highlight w:val="none"/>
        </w:rPr>
      </w:pPr>
      <w:r>
        <w:rPr>
          <w:rFonts w:hint="eastAsia" w:ascii="宋体" w:hAnsi="宋体"/>
          <w:b/>
          <w:color w:val="auto"/>
          <w:sz w:val="24"/>
          <w:highlight w:val="none"/>
        </w:rPr>
        <w:t>投标分项报价表</w:t>
      </w:r>
    </w:p>
    <w:p w14:paraId="43A0DFC9">
      <w:pPr>
        <w:spacing w:line="260" w:lineRule="exact"/>
        <w:jc w:val="center"/>
        <w:rPr>
          <w:rFonts w:ascii="宋体" w:hAnsi="宋体"/>
          <w:color w:val="auto"/>
          <w:sz w:val="24"/>
          <w:highlight w:val="none"/>
        </w:rPr>
      </w:pPr>
    </w:p>
    <w:p w14:paraId="3897BE7D">
      <w:pPr>
        <w:tabs>
          <w:tab w:val="left" w:pos="1800"/>
          <w:tab w:val="left" w:pos="5580"/>
        </w:tabs>
        <w:rPr>
          <w:rFonts w:ascii="宋体" w:hAnsi="宋体"/>
          <w:color w:val="auto"/>
          <w:sz w:val="24"/>
          <w:highlight w:val="none"/>
        </w:rPr>
      </w:pPr>
      <w:r>
        <w:rPr>
          <w:rFonts w:ascii="宋体" w:hAnsi="宋体"/>
          <w:color w:val="auto"/>
          <w:sz w:val="24"/>
          <w:highlight w:val="none"/>
        </w:rPr>
        <w:t xml:space="preserve">项目编号/包号：___________ </w:t>
      </w:r>
      <w:r>
        <w:rPr>
          <w:rFonts w:hint="eastAsia" w:ascii="宋体" w:hAnsi="宋体"/>
          <w:color w:val="auto"/>
          <w:sz w:val="24"/>
          <w:highlight w:val="none"/>
        </w:rPr>
        <w:t>项目名称/标的名称</w:t>
      </w:r>
      <w:r>
        <w:rPr>
          <w:rFonts w:ascii="宋体" w:hAnsi="宋体"/>
          <w:color w:val="auto"/>
          <w:sz w:val="24"/>
          <w:highlight w:val="none"/>
        </w:rPr>
        <w:t>：__________报价单位：人民币元</w:t>
      </w:r>
    </w:p>
    <w:tbl>
      <w:tblPr>
        <w:tblStyle w:val="46"/>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5E3A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60D0EE11">
            <w:pPr>
              <w:adjustRightInd w:val="0"/>
              <w:snapToGrid w:val="0"/>
              <w:jc w:val="left"/>
              <w:rPr>
                <w:rFonts w:ascii="宋体" w:hAnsi="宋体"/>
                <w:b/>
                <w:color w:val="auto"/>
                <w:sz w:val="24"/>
                <w:highlight w:val="none"/>
              </w:rPr>
            </w:pPr>
            <w:r>
              <w:rPr>
                <w:rFonts w:ascii="宋体" w:hAnsi="宋体"/>
                <w:b/>
                <w:color w:val="auto"/>
                <w:sz w:val="24"/>
                <w:highlight w:val="none"/>
              </w:rPr>
              <w:t>序号</w:t>
            </w:r>
          </w:p>
        </w:tc>
        <w:tc>
          <w:tcPr>
            <w:tcW w:w="1847" w:type="pct"/>
            <w:vAlign w:val="center"/>
          </w:tcPr>
          <w:p w14:paraId="6C83F3FD">
            <w:pPr>
              <w:adjustRightInd w:val="0"/>
              <w:snapToGrid w:val="0"/>
              <w:jc w:val="left"/>
              <w:rPr>
                <w:rFonts w:ascii="宋体" w:hAnsi="宋体"/>
                <w:b/>
                <w:color w:val="auto"/>
                <w:sz w:val="24"/>
                <w:highlight w:val="none"/>
              </w:rPr>
            </w:pPr>
            <w:r>
              <w:rPr>
                <w:rFonts w:ascii="宋体" w:hAnsi="宋体"/>
                <w:b/>
                <w:color w:val="auto"/>
                <w:sz w:val="24"/>
                <w:highlight w:val="none"/>
              </w:rPr>
              <w:t>分项名称</w:t>
            </w:r>
          </w:p>
        </w:tc>
        <w:tc>
          <w:tcPr>
            <w:tcW w:w="848" w:type="pct"/>
            <w:vAlign w:val="center"/>
          </w:tcPr>
          <w:p w14:paraId="6007F007">
            <w:pPr>
              <w:adjustRightInd w:val="0"/>
              <w:snapToGrid w:val="0"/>
              <w:jc w:val="left"/>
              <w:rPr>
                <w:rFonts w:ascii="宋体" w:hAnsi="宋体"/>
                <w:b/>
                <w:color w:val="auto"/>
                <w:sz w:val="24"/>
                <w:highlight w:val="none"/>
              </w:rPr>
            </w:pPr>
            <w:r>
              <w:rPr>
                <w:rFonts w:ascii="宋体" w:hAnsi="宋体"/>
                <w:b/>
                <w:color w:val="auto"/>
                <w:sz w:val="24"/>
                <w:highlight w:val="none"/>
              </w:rPr>
              <w:t>单价（元）</w:t>
            </w:r>
          </w:p>
        </w:tc>
        <w:tc>
          <w:tcPr>
            <w:tcW w:w="847" w:type="pct"/>
            <w:vAlign w:val="center"/>
          </w:tcPr>
          <w:p w14:paraId="1D0F89B2">
            <w:pPr>
              <w:adjustRightInd w:val="0"/>
              <w:snapToGrid w:val="0"/>
              <w:jc w:val="left"/>
              <w:rPr>
                <w:rFonts w:ascii="宋体" w:hAnsi="宋体"/>
                <w:b/>
                <w:color w:val="auto"/>
                <w:sz w:val="24"/>
                <w:highlight w:val="none"/>
              </w:rPr>
            </w:pPr>
            <w:r>
              <w:rPr>
                <w:rFonts w:ascii="宋体" w:hAnsi="宋体"/>
                <w:b/>
                <w:color w:val="auto"/>
                <w:sz w:val="24"/>
                <w:highlight w:val="none"/>
              </w:rPr>
              <w:t>合价（元）</w:t>
            </w:r>
          </w:p>
        </w:tc>
        <w:tc>
          <w:tcPr>
            <w:tcW w:w="1076" w:type="pct"/>
            <w:vAlign w:val="center"/>
          </w:tcPr>
          <w:p w14:paraId="37603535">
            <w:pPr>
              <w:adjustRightInd w:val="0"/>
              <w:snapToGrid w:val="0"/>
              <w:jc w:val="left"/>
              <w:rPr>
                <w:rFonts w:ascii="宋体" w:hAnsi="宋体"/>
                <w:b/>
                <w:color w:val="auto"/>
                <w:sz w:val="24"/>
                <w:highlight w:val="none"/>
              </w:rPr>
            </w:pPr>
            <w:r>
              <w:rPr>
                <w:rFonts w:ascii="宋体" w:hAnsi="宋体"/>
                <w:b/>
                <w:color w:val="auto"/>
                <w:sz w:val="24"/>
                <w:highlight w:val="none"/>
              </w:rPr>
              <w:t>备注/说明</w:t>
            </w:r>
          </w:p>
        </w:tc>
      </w:tr>
      <w:tr w14:paraId="790B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195358E1">
            <w:pPr>
              <w:adjustRightInd w:val="0"/>
              <w:snapToGrid w:val="0"/>
              <w:jc w:val="center"/>
              <w:rPr>
                <w:rFonts w:ascii="宋体" w:hAnsi="宋体"/>
                <w:color w:val="auto"/>
                <w:sz w:val="24"/>
                <w:highlight w:val="none"/>
              </w:rPr>
            </w:pPr>
            <w:r>
              <w:rPr>
                <w:rFonts w:ascii="宋体" w:hAnsi="宋体"/>
                <w:color w:val="auto"/>
                <w:sz w:val="24"/>
                <w:highlight w:val="none"/>
              </w:rPr>
              <w:t>1</w:t>
            </w:r>
          </w:p>
        </w:tc>
        <w:tc>
          <w:tcPr>
            <w:tcW w:w="1847" w:type="pct"/>
            <w:vAlign w:val="center"/>
          </w:tcPr>
          <w:p w14:paraId="339A4A28">
            <w:pPr>
              <w:adjustRightInd w:val="0"/>
              <w:snapToGrid w:val="0"/>
              <w:jc w:val="left"/>
              <w:rPr>
                <w:rFonts w:ascii="宋体" w:hAnsi="宋体"/>
                <w:color w:val="auto"/>
                <w:sz w:val="24"/>
                <w:highlight w:val="none"/>
              </w:rPr>
            </w:pPr>
          </w:p>
        </w:tc>
        <w:tc>
          <w:tcPr>
            <w:tcW w:w="848" w:type="pct"/>
            <w:vAlign w:val="center"/>
          </w:tcPr>
          <w:p w14:paraId="1C1EF4FC">
            <w:pPr>
              <w:adjustRightInd w:val="0"/>
              <w:snapToGrid w:val="0"/>
              <w:jc w:val="left"/>
              <w:rPr>
                <w:rFonts w:ascii="宋体" w:hAnsi="宋体"/>
                <w:color w:val="auto"/>
                <w:sz w:val="24"/>
                <w:highlight w:val="none"/>
              </w:rPr>
            </w:pPr>
          </w:p>
        </w:tc>
        <w:tc>
          <w:tcPr>
            <w:tcW w:w="847" w:type="pct"/>
            <w:vAlign w:val="center"/>
          </w:tcPr>
          <w:p w14:paraId="1FDA065A">
            <w:pPr>
              <w:adjustRightInd w:val="0"/>
              <w:snapToGrid w:val="0"/>
              <w:jc w:val="left"/>
              <w:rPr>
                <w:rFonts w:ascii="宋体" w:hAnsi="宋体"/>
                <w:color w:val="auto"/>
                <w:sz w:val="24"/>
                <w:highlight w:val="none"/>
              </w:rPr>
            </w:pPr>
          </w:p>
        </w:tc>
        <w:tc>
          <w:tcPr>
            <w:tcW w:w="1076" w:type="pct"/>
            <w:vAlign w:val="center"/>
          </w:tcPr>
          <w:p w14:paraId="4E385BC6">
            <w:pPr>
              <w:adjustRightInd w:val="0"/>
              <w:snapToGrid w:val="0"/>
              <w:jc w:val="left"/>
              <w:rPr>
                <w:rFonts w:ascii="宋体" w:hAnsi="宋体"/>
                <w:color w:val="auto"/>
                <w:sz w:val="24"/>
                <w:highlight w:val="none"/>
              </w:rPr>
            </w:pPr>
          </w:p>
        </w:tc>
      </w:tr>
      <w:tr w14:paraId="5344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67CF8961">
            <w:pPr>
              <w:adjustRightInd w:val="0"/>
              <w:snapToGrid w:val="0"/>
              <w:jc w:val="center"/>
              <w:rPr>
                <w:rFonts w:ascii="宋体" w:hAnsi="宋体"/>
                <w:color w:val="auto"/>
                <w:sz w:val="24"/>
                <w:highlight w:val="none"/>
              </w:rPr>
            </w:pPr>
            <w:r>
              <w:rPr>
                <w:rFonts w:ascii="宋体" w:hAnsi="宋体"/>
                <w:color w:val="auto"/>
                <w:sz w:val="24"/>
                <w:highlight w:val="none"/>
              </w:rPr>
              <w:t>2</w:t>
            </w:r>
          </w:p>
        </w:tc>
        <w:tc>
          <w:tcPr>
            <w:tcW w:w="1847" w:type="pct"/>
            <w:vAlign w:val="center"/>
          </w:tcPr>
          <w:p w14:paraId="6CC4410D">
            <w:pPr>
              <w:adjustRightInd w:val="0"/>
              <w:snapToGrid w:val="0"/>
              <w:jc w:val="left"/>
              <w:rPr>
                <w:rFonts w:ascii="宋体" w:hAnsi="宋体"/>
                <w:color w:val="auto"/>
                <w:sz w:val="24"/>
                <w:highlight w:val="none"/>
              </w:rPr>
            </w:pPr>
          </w:p>
        </w:tc>
        <w:tc>
          <w:tcPr>
            <w:tcW w:w="848" w:type="pct"/>
            <w:vAlign w:val="center"/>
          </w:tcPr>
          <w:p w14:paraId="47F2F7DA">
            <w:pPr>
              <w:adjustRightInd w:val="0"/>
              <w:snapToGrid w:val="0"/>
              <w:jc w:val="left"/>
              <w:rPr>
                <w:rFonts w:ascii="宋体" w:hAnsi="宋体"/>
                <w:color w:val="auto"/>
                <w:sz w:val="24"/>
                <w:highlight w:val="none"/>
              </w:rPr>
            </w:pPr>
          </w:p>
        </w:tc>
        <w:tc>
          <w:tcPr>
            <w:tcW w:w="847" w:type="pct"/>
            <w:vAlign w:val="center"/>
          </w:tcPr>
          <w:p w14:paraId="7C8061BE">
            <w:pPr>
              <w:adjustRightInd w:val="0"/>
              <w:snapToGrid w:val="0"/>
              <w:jc w:val="left"/>
              <w:rPr>
                <w:rFonts w:ascii="宋体" w:hAnsi="宋体"/>
                <w:color w:val="auto"/>
                <w:sz w:val="24"/>
                <w:highlight w:val="none"/>
              </w:rPr>
            </w:pPr>
          </w:p>
        </w:tc>
        <w:tc>
          <w:tcPr>
            <w:tcW w:w="1076" w:type="pct"/>
            <w:vAlign w:val="center"/>
          </w:tcPr>
          <w:p w14:paraId="466997CF">
            <w:pPr>
              <w:adjustRightInd w:val="0"/>
              <w:snapToGrid w:val="0"/>
              <w:jc w:val="left"/>
              <w:rPr>
                <w:rFonts w:ascii="宋体" w:hAnsi="宋体"/>
                <w:color w:val="auto"/>
                <w:sz w:val="24"/>
                <w:highlight w:val="none"/>
              </w:rPr>
            </w:pPr>
          </w:p>
        </w:tc>
      </w:tr>
      <w:tr w14:paraId="7AD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46036F78">
            <w:pPr>
              <w:adjustRightInd w:val="0"/>
              <w:snapToGrid w:val="0"/>
              <w:jc w:val="center"/>
              <w:rPr>
                <w:rFonts w:ascii="宋体" w:hAnsi="宋体"/>
                <w:color w:val="auto"/>
                <w:sz w:val="24"/>
                <w:highlight w:val="none"/>
              </w:rPr>
            </w:pPr>
            <w:r>
              <w:rPr>
                <w:rFonts w:ascii="宋体" w:hAnsi="宋体"/>
                <w:color w:val="auto"/>
                <w:sz w:val="24"/>
                <w:highlight w:val="none"/>
              </w:rPr>
              <w:t>3</w:t>
            </w:r>
          </w:p>
        </w:tc>
        <w:tc>
          <w:tcPr>
            <w:tcW w:w="1847" w:type="pct"/>
            <w:vAlign w:val="center"/>
          </w:tcPr>
          <w:p w14:paraId="6910E011">
            <w:pPr>
              <w:adjustRightInd w:val="0"/>
              <w:snapToGrid w:val="0"/>
              <w:jc w:val="left"/>
              <w:rPr>
                <w:rFonts w:ascii="宋体" w:hAnsi="宋体"/>
                <w:color w:val="auto"/>
                <w:sz w:val="24"/>
                <w:highlight w:val="none"/>
              </w:rPr>
            </w:pPr>
            <w:r>
              <w:rPr>
                <w:rFonts w:ascii="宋体" w:hAnsi="宋体"/>
                <w:color w:val="auto"/>
                <w:sz w:val="24"/>
                <w:highlight w:val="none"/>
              </w:rPr>
              <w:t>…</w:t>
            </w:r>
          </w:p>
        </w:tc>
        <w:tc>
          <w:tcPr>
            <w:tcW w:w="848" w:type="pct"/>
            <w:vAlign w:val="center"/>
          </w:tcPr>
          <w:p w14:paraId="373726E3">
            <w:pPr>
              <w:adjustRightInd w:val="0"/>
              <w:snapToGrid w:val="0"/>
              <w:jc w:val="left"/>
              <w:rPr>
                <w:rFonts w:ascii="宋体" w:hAnsi="宋体"/>
                <w:color w:val="auto"/>
                <w:sz w:val="24"/>
                <w:highlight w:val="none"/>
              </w:rPr>
            </w:pPr>
          </w:p>
        </w:tc>
        <w:tc>
          <w:tcPr>
            <w:tcW w:w="847" w:type="pct"/>
            <w:vAlign w:val="center"/>
          </w:tcPr>
          <w:p w14:paraId="53B6C474">
            <w:pPr>
              <w:adjustRightInd w:val="0"/>
              <w:snapToGrid w:val="0"/>
              <w:jc w:val="left"/>
              <w:rPr>
                <w:rFonts w:ascii="宋体" w:hAnsi="宋体"/>
                <w:color w:val="auto"/>
                <w:sz w:val="24"/>
                <w:highlight w:val="none"/>
              </w:rPr>
            </w:pPr>
          </w:p>
        </w:tc>
        <w:tc>
          <w:tcPr>
            <w:tcW w:w="1076" w:type="pct"/>
            <w:vAlign w:val="center"/>
          </w:tcPr>
          <w:p w14:paraId="6FFC68A7">
            <w:pPr>
              <w:adjustRightInd w:val="0"/>
              <w:snapToGrid w:val="0"/>
              <w:jc w:val="left"/>
              <w:rPr>
                <w:rFonts w:ascii="宋体" w:hAnsi="宋体"/>
                <w:color w:val="auto"/>
                <w:sz w:val="24"/>
                <w:highlight w:val="none"/>
              </w:rPr>
            </w:pPr>
          </w:p>
        </w:tc>
      </w:tr>
      <w:tr w14:paraId="3E53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7C02B4CB">
            <w:pPr>
              <w:adjustRightInd w:val="0"/>
              <w:snapToGrid w:val="0"/>
              <w:jc w:val="right"/>
              <w:rPr>
                <w:rFonts w:ascii="宋体" w:hAnsi="宋体"/>
                <w:b/>
                <w:color w:val="auto"/>
                <w:sz w:val="24"/>
                <w:highlight w:val="none"/>
              </w:rPr>
            </w:pPr>
            <w:r>
              <w:rPr>
                <w:rFonts w:ascii="宋体" w:hAnsi="宋体"/>
                <w:b/>
                <w:color w:val="auto"/>
                <w:sz w:val="24"/>
                <w:highlight w:val="none"/>
              </w:rPr>
              <w:t>总价（元）</w:t>
            </w:r>
          </w:p>
        </w:tc>
        <w:tc>
          <w:tcPr>
            <w:tcW w:w="847" w:type="pct"/>
            <w:vAlign w:val="center"/>
          </w:tcPr>
          <w:p w14:paraId="5DC16405">
            <w:pPr>
              <w:adjustRightInd w:val="0"/>
              <w:snapToGrid w:val="0"/>
              <w:jc w:val="left"/>
              <w:rPr>
                <w:rFonts w:ascii="宋体" w:hAnsi="宋体"/>
                <w:color w:val="auto"/>
                <w:sz w:val="24"/>
                <w:highlight w:val="none"/>
              </w:rPr>
            </w:pPr>
          </w:p>
        </w:tc>
        <w:tc>
          <w:tcPr>
            <w:tcW w:w="1076" w:type="pct"/>
            <w:vAlign w:val="center"/>
          </w:tcPr>
          <w:p w14:paraId="2DC10D3B">
            <w:pPr>
              <w:adjustRightInd w:val="0"/>
              <w:snapToGrid w:val="0"/>
              <w:jc w:val="left"/>
              <w:rPr>
                <w:rFonts w:ascii="宋体" w:hAnsi="宋体"/>
                <w:color w:val="auto"/>
                <w:sz w:val="24"/>
                <w:highlight w:val="none"/>
              </w:rPr>
            </w:pPr>
          </w:p>
        </w:tc>
      </w:tr>
    </w:tbl>
    <w:p w14:paraId="38D3FB5F">
      <w:pPr>
        <w:tabs>
          <w:tab w:val="left" w:pos="1800"/>
          <w:tab w:val="left" w:pos="5580"/>
        </w:tabs>
        <w:jc w:val="left"/>
        <w:rPr>
          <w:rFonts w:ascii="宋体" w:hAnsi="宋体"/>
          <w:color w:val="auto"/>
          <w:sz w:val="24"/>
          <w:highlight w:val="none"/>
        </w:rPr>
      </w:pPr>
    </w:p>
    <w:p w14:paraId="7EE4B0A4">
      <w:pPr>
        <w:tabs>
          <w:tab w:val="left" w:pos="1800"/>
          <w:tab w:val="left" w:pos="5580"/>
        </w:tabs>
        <w:jc w:val="left"/>
        <w:rPr>
          <w:rFonts w:ascii="宋体" w:hAnsi="宋体"/>
          <w:color w:val="auto"/>
          <w:sz w:val="24"/>
          <w:highlight w:val="none"/>
        </w:rPr>
      </w:pPr>
    </w:p>
    <w:p w14:paraId="4713C8E6">
      <w:pPr>
        <w:tabs>
          <w:tab w:val="left" w:pos="1800"/>
          <w:tab w:val="left" w:pos="5580"/>
        </w:tabs>
        <w:jc w:val="left"/>
        <w:rPr>
          <w:rFonts w:ascii="宋体" w:hAnsi="宋体"/>
          <w:color w:val="auto"/>
          <w:sz w:val="24"/>
          <w:highlight w:val="none"/>
        </w:rPr>
      </w:pPr>
    </w:p>
    <w:p w14:paraId="1D7BE2C1">
      <w:pPr>
        <w:tabs>
          <w:tab w:val="left" w:pos="1800"/>
          <w:tab w:val="left" w:pos="5580"/>
        </w:tabs>
        <w:jc w:val="left"/>
        <w:rPr>
          <w:rFonts w:ascii="宋体" w:hAnsi="宋体"/>
          <w:color w:val="auto"/>
          <w:sz w:val="24"/>
          <w:highlight w:val="none"/>
        </w:rPr>
      </w:pPr>
    </w:p>
    <w:p w14:paraId="77B05A31">
      <w:pPr>
        <w:tabs>
          <w:tab w:val="left" w:pos="1800"/>
          <w:tab w:val="left" w:pos="5580"/>
        </w:tabs>
        <w:jc w:val="left"/>
        <w:rPr>
          <w:rFonts w:ascii="宋体" w:hAnsi="宋体"/>
          <w:color w:val="auto"/>
          <w:sz w:val="24"/>
          <w:highlight w:val="none"/>
        </w:rPr>
      </w:pPr>
      <w:r>
        <w:rPr>
          <w:rFonts w:ascii="宋体" w:hAnsi="宋体"/>
          <w:color w:val="auto"/>
          <w:sz w:val="24"/>
          <w:highlight w:val="none"/>
        </w:rPr>
        <w:t>注：1.本表应按包分别填写</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内容</w:t>
      </w:r>
      <w:r>
        <w:rPr>
          <w:rFonts w:hint="default" w:ascii="宋体" w:hAnsi="宋体"/>
          <w:color w:val="auto"/>
          <w:sz w:val="24"/>
          <w:highlight w:val="none"/>
          <w:lang w:val="en-US" w:eastAsia="zh-CN"/>
        </w:rPr>
        <w:t>投标人</w:t>
      </w:r>
      <w:r>
        <w:rPr>
          <w:rFonts w:hint="default" w:ascii="宋体" w:hAnsi="宋体"/>
          <w:color w:val="auto"/>
          <w:sz w:val="24"/>
          <w:highlight w:val="none"/>
        </w:rPr>
        <w:t>自拟</w:t>
      </w:r>
      <w:r>
        <w:rPr>
          <w:rFonts w:ascii="宋体" w:hAnsi="宋体"/>
          <w:color w:val="auto"/>
          <w:sz w:val="24"/>
          <w:highlight w:val="none"/>
        </w:rPr>
        <w:t>。</w:t>
      </w:r>
    </w:p>
    <w:p w14:paraId="373AEBAB">
      <w:pPr>
        <w:tabs>
          <w:tab w:val="left" w:pos="1800"/>
          <w:tab w:val="left" w:pos="5580"/>
        </w:tabs>
        <w:ind w:firstLine="480" w:firstLineChars="200"/>
        <w:jc w:val="left"/>
        <w:rPr>
          <w:rFonts w:ascii="宋体" w:hAnsi="宋体"/>
          <w:color w:val="auto"/>
          <w:sz w:val="24"/>
          <w:highlight w:val="none"/>
        </w:rPr>
      </w:pPr>
      <w:r>
        <w:rPr>
          <w:rFonts w:ascii="宋体" w:hAnsi="宋体"/>
          <w:color w:val="auto"/>
          <w:sz w:val="24"/>
          <w:highlight w:val="none"/>
        </w:rPr>
        <w:t>2.如果不提供分项报价将视为没有实质性响应招标文件。</w:t>
      </w:r>
    </w:p>
    <w:p w14:paraId="206DC3FD">
      <w:pPr>
        <w:tabs>
          <w:tab w:val="left" w:pos="1800"/>
          <w:tab w:val="left" w:pos="5580"/>
        </w:tabs>
        <w:ind w:firstLine="480" w:firstLineChars="200"/>
        <w:jc w:val="left"/>
        <w:rPr>
          <w:rFonts w:ascii="宋体" w:hAnsi="宋体"/>
          <w:color w:val="auto"/>
          <w:sz w:val="24"/>
          <w:highlight w:val="none"/>
        </w:rPr>
      </w:pPr>
      <w:r>
        <w:rPr>
          <w:rFonts w:ascii="宋体" w:hAnsi="宋体"/>
          <w:color w:val="auto"/>
          <w:sz w:val="24"/>
          <w:highlight w:val="none"/>
        </w:rPr>
        <w:t>3.上述各项的详细规格（如有），可另页描述。</w:t>
      </w:r>
    </w:p>
    <w:p w14:paraId="593FA382">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27E1BD3C">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6961827F">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34815039">
      <w:pPr>
        <w:spacing w:line="360" w:lineRule="auto"/>
        <w:outlineLvl w:val="2"/>
        <w:rPr>
          <w:rFonts w:ascii="宋体" w:hAnsi="宋体"/>
          <w:color w:val="auto"/>
          <w:sz w:val="24"/>
          <w:highlight w:val="none"/>
        </w:rPr>
      </w:pPr>
      <w:bookmarkStart w:id="1160" w:name="_Toc127151562"/>
      <w:bookmarkStart w:id="1161" w:name="_Toc305158830"/>
      <w:bookmarkStart w:id="1162" w:name="_Toc264969252"/>
      <w:bookmarkStart w:id="1163" w:name="_Toc305158904"/>
      <w:bookmarkStart w:id="1164" w:name="_Toc142311062"/>
      <w:bookmarkStart w:id="1165" w:name="_Toc226965752"/>
      <w:bookmarkStart w:id="1166" w:name="_Toc226965835"/>
      <w:bookmarkStart w:id="1167" w:name="_Toc195842927"/>
      <w:bookmarkStart w:id="1168" w:name="_Toc150774765"/>
      <w:bookmarkStart w:id="1169" w:name="_Toc226309806"/>
      <w:bookmarkStart w:id="1170" w:name="_Toc150480798"/>
      <w:bookmarkStart w:id="1171" w:name="_Toc265228400"/>
      <w:bookmarkStart w:id="1172" w:name="_Toc226337258"/>
      <w:bookmarkStart w:id="1173" w:name="_Toc264969251"/>
      <w:bookmarkStart w:id="1174" w:name="_Toc265228399"/>
      <w:bookmarkStart w:id="1175" w:name="_Toc305158903"/>
      <w:bookmarkStart w:id="1176" w:name="_Toc150480797"/>
      <w:bookmarkStart w:id="1177" w:name="_Toc226309805"/>
      <w:bookmarkStart w:id="1178" w:name="_Toc195842926"/>
      <w:bookmarkStart w:id="1179" w:name="_Toc305158829"/>
      <w:bookmarkStart w:id="1180" w:name="_Toc226337257"/>
      <w:bookmarkStart w:id="1181" w:name="_Toc127151561"/>
      <w:bookmarkStart w:id="1182" w:name="_Toc226965751"/>
      <w:bookmarkStart w:id="1183" w:name="_Toc150774764"/>
      <w:bookmarkStart w:id="1184" w:name="_Toc226965834"/>
      <w:bookmarkStart w:id="1185" w:name="_Toc142311061"/>
      <w:r>
        <w:rPr>
          <w:rFonts w:ascii="宋体" w:hAnsi="宋体"/>
          <w:color w:val="auto"/>
          <w:sz w:val="24"/>
          <w:highlight w:val="none"/>
        </w:rPr>
        <w:br w:type="page"/>
      </w:r>
      <w:r>
        <w:rPr>
          <w:rFonts w:ascii="宋体" w:hAnsi="宋体"/>
          <w:color w:val="auto"/>
          <w:sz w:val="24"/>
          <w:highlight w:val="none"/>
        </w:rPr>
        <w:t>5  合同条款偏离表</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r>
        <w:rPr>
          <w:rFonts w:ascii="宋体" w:hAnsi="宋体"/>
          <w:color w:val="auto"/>
          <w:sz w:val="24"/>
          <w:highlight w:val="none"/>
        </w:rPr>
        <w:t>（实质性格式）</w:t>
      </w:r>
    </w:p>
    <w:p w14:paraId="776D0548">
      <w:pPr>
        <w:spacing w:line="360" w:lineRule="auto"/>
        <w:rPr>
          <w:rFonts w:ascii="宋体" w:hAnsi="宋体"/>
          <w:color w:val="auto"/>
          <w:sz w:val="24"/>
          <w:highlight w:val="none"/>
        </w:rPr>
      </w:pPr>
    </w:p>
    <w:p w14:paraId="39294497">
      <w:pPr>
        <w:tabs>
          <w:tab w:val="left" w:pos="2775"/>
          <w:tab w:val="center" w:pos="4153"/>
        </w:tabs>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合同条款偏离表</w:t>
      </w:r>
    </w:p>
    <w:p w14:paraId="0DCB3E82">
      <w:pPr>
        <w:spacing w:line="360" w:lineRule="auto"/>
        <w:rPr>
          <w:rFonts w:ascii="宋体" w:hAnsi="宋体"/>
          <w:color w:val="auto"/>
          <w:sz w:val="24"/>
          <w:highlight w:val="none"/>
        </w:rPr>
      </w:pPr>
    </w:p>
    <w:p w14:paraId="5822122F">
      <w:pPr>
        <w:tabs>
          <w:tab w:val="left" w:pos="1800"/>
          <w:tab w:val="left" w:pos="5580"/>
        </w:tabs>
        <w:spacing w:line="360" w:lineRule="auto"/>
        <w:ind w:firstLine="360" w:firstLineChars="150"/>
        <w:jc w:val="left"/>
        <w:rPr>
          <w:rFonts w:ascii="宋体" w:hAnsi="宋体"/>
          <w:color w:val="auto"/>
          <w:sz w:val="24"/>
          <w:highlight w:val="none"/>
        </w:rPr>
      </w:pPr>
      <w:r>
        <w:rPr>
          <w:rFonts w:ascii="宋体" w:hAnsi="宋体"/>
          <w:color w:val="auto"/>
          <w:sz w:val="24"/>
          <w:highlight w:val="none"/>
        </w:rPr>
        <w:t xml:space="preserve">项目编号/包号：_____________________     </w:t>
      </w:r>
      <w:r>
        <w:rPr>
          <w:rFonts w:hint="eastAsia" w:ascii="宋体" w:hAnsi="宋体"/>
          <w:color w:val="auto"/>
          <w:sz w:val="24"/>
          <w:highlight w:val="none"/>
        </w:rPr>
        <w:t>项目名称/标的名称</w:t>
      </w:r>
      <w:r>
        <w:rPr>
          <w:rFonts w:ascii="宋体" w:hAnsi="宋体"/>
          <w:color w:val="auto"/>
          <w:sz w:val="24"/>
          <w:highlight w:val="none"/>
        </w:rPr>
        <w:t>：_____________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361E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240B290">
            <w:pPr>
              <w:adjustRightInd w:val="0"/>
              <w:snapToGrid w:val="0"/>
              <w:jc w:val="left"/>
              <w:rPr>
                <w:rFonts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w:t>
            </w:r>
            <w:r>
              <w:rPr>
                <w:rFonts w:ascii="宋体" w:hAnsi="宋体"/>
                <w:b/>
                <w:color w:val="auto"/>
                <w:sz w:val="24"/>
                <w:highlight w:val="none"/>
              </w:rPr>
              <w:t>合同条款的偏离情况（请进行勾选）：</w:t>
            </w:r>
          </w:p>
          <w:p w14:paraId="6AE5A4C8">
            <w:pPr>
              <w:adjustRightInd w:val="0"/>
              <w:snapToGrid w:val="0"/>
              <w:jc w:val="left"/>
              <w:rPr>
                <w:rFonts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（如无偏离，仅勾选无偏离即可）</w:t>
            </w:r>
          </w:p>
          <w:p w14:paraId="2372E864">
            <w:pPr>
              <w:adjustRightInd w:val="0"/>
              <w:snapToGrid w:val="0"/>
              <w:jc w:val="left"/>
              <w:rPr>
                <w:rFonts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（如有偏离，则</w:t>
            </w:r>
            <w:r>
              <w:rPr>
                <w:rFonts w:hint="eastAsia" w:ascii="宋体" w:hAnsi="宋体"/>
                <w:color w:val="auto"/>
                <w:sz w:val="24"/>
                <w:highlight w:val="none"/>
              </w:rPr>
              <w:t>应</w:t>
            </w:r>
            <w:r>
              <w:rPr>
                <w:rFonts w:ascii="宋体" w:hAnsi="宋体"/>
                <w:color w:val="auto"/>
                <w:sz w:val="24"/>
                <w:highlight w:val="none"/>
              </w:rPr>
              <w:t>在本表中对偏离项逐一列明）</w:t>
            </w:r>
          </w:p>
        </w:tc>
      </w:tr>
      <w:tr w14:paraId="1A46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2D23F1B">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301" w:type="dxa"/>
            <w:vAlign w:val="center"/>
          </w:tcPr>
          <w:p w14:paraId="259D57A0">
            <w:pPr>
              <w:adjustRightInd w:val="0"/>
              <w:snapToGrid w:val="0"/>
              <w:jc w:val="center"/>
              <w:rPr>
                <w:rFonts w:ascii="宋体" w:hAnsi="宋体"/>
                <w:color w:val="auto"/>
                <w:sz w:val="24"/>
                <w:highlight w:val="none"/>
              </w:rPr>
            </w:pPr>
            <w:r>
              <w:rPr>
                <w:rFonts w:ascii="宋体" w:hAnsi="宋体"/>
                <w:color w:val="auto"/>
                <w:sz w:val="24"/>
                <w:highlight w:val="none"/>
              </w:rPr>
              <w:t>招标文件条目号（页码）</w:t>
            </w:r>
          </w:p>
        </w:tc>
        <w:tc>
          <w:tcPr>
            <w:tcW w:w="2007" w:type="dxa"/>
            <w:vAlign w:val="center"/>
          </w:tcPr>
          <w:p w14:paraId="58153156">
            <w:pPr>
              <w:adjustRightInd w:val="0"/>
              <w:snapToGrid w:val="0"/>
              <w:jc w:val="center"/>
              <w:rPr>
                <w:rFonts w:ascii="宋体" w:hAnsi="宋体"/>
                <w:color w:val="auto"/>
                <w:sz w:val="24"/>
                <w:highlight w:val="none"/>
              </w:rPr>
            </w:pPr>
            <w:r>
              <w:rPr>
                <w:rFonts w:ascii="宋体" w:hAnsi="宋体"/>
                <w:color w:val="auto"/>
                <w:sz w:val="24"/>
                <w:highlight w:val="none"/>
              </w:rPr>
              <w:t>招标文件要求</w:t>
            </w:r>
          </w:p>
        </w:tc>
        <w:tc>
          <w:tcPr>
            <w:tcW w:w="2008" w:type="dxa"/>
            <w:vAlign w:val="center"/>
          </w:tcPr>
          <w:p w14:paraId="7EFC6420">
            <w:pPr>
              <w:adjustRightInd w:val="0"/>
              <w:snapToGrid w:val="0"/>
              <w:jc w:val="center"/>
              <w:rPr>
                <w:rFonts w:ascii="宋体" w:hAnsi="宋体"/>
                <w:color w:val="auto"/>
                <w:sz w:val="24"/>
                <w:highlight w:val="none"/>
              </w:rPr>
            </w:pPr>
            <w:r>
              <w:rPr>
                <w:rFonts w:ascii="宋体" w:hAnsi="宋体"/>
                <w:color w:val="auto"/>
                <w:sz w:val="24"/>
                <w:highlight w:val="none"/>
              </w:rPr>
              <w:t>投标文件内容</w:t>
            </w:r>
          </w:p>
        </w:tc>
        <w:tc>
          <w:tcPr>
            <w:tcW w:w="2458" w:type="dxa"/>
            <w:vAlign w:val="center"/>
          </w:tcPr>
          <w:p w14:paraId="1C88B10C">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788" w:type="dxa"/>
            <w:vAlign w:val="center"/>
          </w:tcPr>
          <w:p w14:paraId="61282146">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14:paraId="1511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273B3CF">
            <w:pPr>
              <w:adjustRightInd w:val="0"/>
              <w:snapToGrid w:val="0"/>
              <w:jc w:val="center"/>
              <w:rPr>
                <w:rFonts w:ascii="宋体" w:hAnsi="宋体"/>
                <w:color w:val="auto"/>
                <w:sz w:val="24"/>
                <w:highlight w:val="none"/>
              </w:rPr>
            </w:pPr>
          </w:p>
        </w:tc>
        <w:tc>
          <w:tcPr>
            <w:tcW w:w="1301" w:type="dxa"/>
            <w:vAlign w:val="center"/>
          </w:tcPr>
          <w:p w14:paraId="3D52A62E">
            <w:pPr>
              <w:adjustRightInd w:val="0"/>
              <w:snapToGrid w:val="0"/>
              <w:jc w:val="center"/>
              <w:rPr>
                <w:rFonts w:ascii="宋体" w:hAnsi="宋体"/>
                <w:color w:val="auto"/>
                <w:sz w:val="24"/>
                <w:highlight w:val="none"/>
              </w:rPr>
            </w:pPr>
          </w:p>
        </w:tc>
        <w:tc>
          <w:tcPr>
            <w:tcW w:w="2007" w:type="dxa"/>
            <w:vAlign w:val="center"/>
          </w:tcPr>
          <w:p w14:paraId="204B2752">
            <w:pPr>
              <w:adjustRightInd w:val="0"/>
              <w:snapToGrid w:val="0"/>
              <w:jc w:val="center"/>
              <w:rPr>
                <w:rFonts w:ascii="宋体" w:hAnsi="宋体"/>
                <w:color w:val="auto"/>
                <w:sz w:val="24"/>
                <w:highlight w:val="none"/>
              </w:rPr>
            </w:pPr>
          </w:p>
        </w:tc>
        <w:tc>
          <w:tcPr>
            <w:tcW w:w="2008" w:type="dxa"/>
            <w:vAlign w:val="center"/>
          </w:tcPr>
          <w:p w14:paraId="511800A9">
            <w:pPr>
              <w:adjustRightInd w:val="0"/>
              <w:snapToGrid w:val="0"/>
              <w:jc w:val="center"/>
              <w:rPr>
                <w:rFonts w:ascii="宋体" w:hAnsi="宋体"/>
                <w:color w:val="auto"/>
                <w:sz w:val="24"/>
                <w:highlight w:val="none"/>
              </w:rPr>
            </w:pPr>
          </w:p>
        </w:tc>
        <w:tc>
          <w:tcPr>
            <w:tcW w:w="2458" w:type="dxa"/>
            <w:vAlign w:val="center"/>
          </w:tcPr>
          <w:p w14:paraId="236FCE40">
            <w:pPr>
              <w:adjustRightInd w:val="0"/>
              <w:snapToGrid w:val="0"/>
              <w:jc w:val="center"/>
              <w:rPr>
                <w:rFonts w:ascii="宋体" w:hAnsi="宋体"/>
                <w:color w:val="auto"/>
                <w:sz w:val="24"/>
                <w:highlight w:val="none"/>
              </w:rPr>
            </w:pPr>
          </w:p>
        </w:tc>
        <w:tc>
          <w:tcPr>
            <w:tcW w:w="788" w:type="dxa"/>
            <w:vAlign w:val="center"/>
          </w:tcPr>
          <w:p w14:paraId="1CF0A4A9">
            <w:pPr>
              <w:adjustRightInd w:val="0"/>
              <w:snapToGrid w:val="0"/>
              <w:jc w:val="center"/>
              <w:rPr>
                <w:rFonts w:ascii="宋体" w:hAnsi="宋体"/>
                <w:color w:val="auto"/>
                <w:sz w:val="24"/>
                <w:highlight w:val="none"/>
              </w:rPr>
            </w:pPr>
          </w:p>
        </w:tc>
      </w:tr>
      <w:tr w14:paraId="22D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354B392">
            <w:pPr>
              <w:adjustRightInd w:val="0"/>
              <w:snapToGrid w:val="0"/>
              <w:jc w:val="center"/>
              <w:rPr>
                <w:rFonts w:ascii="宋体" w:hAnsi="宋体"/>
                <w:color w:val="auto"/>
                <w:sz w:val="24"/>
                <w:highlight w:val="none"/>
              </w:rPr>
            </w:pPr>
          </w:p>
        </w:tc>
        <w:tc>
          <w:tcPr>
            <w:tcW w:w="1301" w:type="dxa"/>
            <w:vAlign w:val="center"/>
          </w:tcPr>
          <w:p w14:paraId="65C2A10D">
            <w:pPr>
              <w:adjustRightInd w:val="0"/>
              <w:snapToGrid w:val="0"/>
              <w:jc w:val="center"/>
              <w:rPr>
                <w:rFonts w:ascii="宋体" w:hAnsi="宋体"/>
                <w:color w:val="auto"/>
                <w:sz w:val="24"/>
                <w:highlight w:val="none"/>
              </w:rPr>
            </w:pPr>
          </w:p>
        </w:tc>
        <w:tc>
          <w:tcPr>
            <w:tcW w:w="2007" w:type="dxa"/>
            <w:vAlign w:val="center"/>
          </w:tcPr>
          <w:p w14:paraId="60284EFD">
            <w:pPr>
              <w:adjustRightInd w:val="0"/>
              <w:snapToGrid w:val="0"/>
              <w:jc w:val="center"/>
              <w:rPr>
                <w:rFonts w:ascii="宋体" w:hAnsi="宋体"/>
                <w:color w:val="auto"/>
                <w:sz w:val="24"/>
                <w:highlight w:val="none"/>
              </w:rPr>
            </w:pPr>
          </w:p>
        </w:tc>
        <w:tc>
          <w:tcPr>
            <w:tcW w:w="2008" w:type="dxa"/>
            <w:vAlign w:val="center"/>
          </w:tcPr>
          <w:p w14:paraId="1AF8A36F">
            <w:pPr>
              <w:adjustRightInd w:val="0"/>
              <w:snapToGrid w:val="0"/>
              <w:jc w:val="center"/>
              <w:rPr>
                <w:rFonts w:ascii="宋体" w:hAnsi="宋体"/>
                <w:color w:val="auto"/>
                <w:sz w:val="24"/>
                <w:highlight w:val="none"/>
              </w:rPr>
            </w:pPr>
          </w:p>
        </w:tc>
        <w:tc>
          <w:tcPr>
            <w:tcW w:w="2458" w:type="dxa"/>
            <w:vAlign w:val="center"/>
          </w:tcPr>
          <w:p w14:paraId="0DB7B956">
            <w:pPr>
              <w:adjustRightInd w:val="0"/>
              <w:snapToGrid w:val="0"/>
              <w:jc w:val="center"/>
              <w:rPr>
                <w:rFonts w:ascii="宋体" w:hAnsi="宋体"/>
                <w:color w:val="auto"/>
                <w:sz w:val="24"/>
                <w:highlight w:val="none"/>
              </w:rPr>
            </w:pPr>
          </w:p>
        </w:tc>
        <w:tc>
          <w:tcPr>
            <w:tcW w:w="788" w:type="dxa"/>
            <w:vAlign w:val="center"/>
          </w:tcPr>
          <w:p w14:paraId="5B19D0A0">
            <w:pPr>
              <w:adjustRightInd w:val="0"/>
              <w:snapToGrid w:val="0"/>
              <w:jc w:val="center"/>
              <w:rPr>
                <w:rFonts w:ascii="宋体" w:hAnsi="宋体"/>
                <w:color w:val="auto"/>
                <w:sz w:val="24"/>
                <w:highlight w:val="none"/>
              </w:rPr>
            </w:pPr>
          </w:p>
        </w:tc>
      </w:tr>
      <w:tr w14:paraId="592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F301A73">
            <w:pPr>
              <w:adjustRightInd w:val="0"/>
              <w:snapToGrid w:val="0"/>
              <w:jc w:val="center"/>
              <w:rPr>
                <w:rFonts w:ascii="宋体" w:hAnsi="宋体"/>
                <w:color w:val="auto"/>
                <w:sz w:val="24"/>
                <w:highlight w:val="none"/>
              </w:rPr>
            </w:pPr>
          </w:p>
        </w:tc>
        <w:tc>
          <w:tcPr>
            <w:tcW w:w="1301" w:type="dxa"/>
            <w:vAlign w:val="center"/>
          </w:tcPr>
          <w:p w14:paraId="272C926B">
            <w:pPr>
              <w:adjustRightInd w:val="0"/>
              <w:snapToGrid w:val="0"/>
              <w:jc w:val="center"/>
              <w:rPr>
                <w:rFonts w:ascii="宋体" w:hAnsi="宋体"/>
                <w:color w:val="auto"/>
                <w:sz w:val="24"/>
                <w:highlight w:val="none"/>
              </w:rPr>
            </w:pPr>
          </w:p>
        </w:tc>
        <w:tc>
          <w:tcPr>
            <w:tcW w:w="2007" w:type="dxa"/>
            <w:vAlign w:val="center"/>
          </w:tcPr>
          <w:p w14:paraId="609600EB">
            <w:pPr>
              <w:adjustRightInd w:val="0"/>
              <w:snapToGrid w:val="0"/>
              <w:jc w:val="center"/>
              <w:rPr>
                <w:rFonts w:ascii="宋体" w:hAnsi="宋体"/>
                <w:color w:val="auto"/>
                <w:sz w:val="24"/>
                <w:highlight w:val="none"/>
              </w:rPr>
            </w:pPr>
          </w:p>
        </w:tc>
        <w:tc>
          <w:tcPr>
            <w:tcW w:w="2008" w:type="dxa"/>
            <w:vAlign w:val="center"/>
          </w:tcPr>
          <w:p w14:paraId="1243E153">
            <w:pPr>
              <w:adjustRightInd w:val="0"/>
              <w:snapToGrid w:val="0"/>
              <w:jc w:val="center"/>
              <w:rPr>
                <w:rFonts w:ascii="宋体" w:hAnsi="宋体"/>
                <w:color w:val="auto"/>
                <w:sz w:val="24"/>
                <w:highlight w:val="none"/>
              </w:rPr>
            </w:pPr>
          </w:p>
        </w:tc>
        <w:tc>
          <w:tcPr>
            <w:tcW w:w="2458" w:type="dxa"/>
            <w:vAlign w:val="center"/>
          </w:tcPr>
          <w:p w14:paraId="6B76905D">
            <w:pPr>
              <w:adjustRightInd w:val="0"/>
              <w:snapToGrid w:val="0"/>
              <w:jc w:val="center"/>
              <w:rPr>
                <w:rFonts w:ascii="宋体" w:hAnsi="宋体"/>
                <w:color w:val="auto"/>
                <w:sz w:val="24"/>
                <w:highlight w:val="none"/>
              </w:rPr>
            </w:pPr>
          </w:p>
        </w:tc>
        <w:tc>
          <w:tcPr>
            <w:tcW w:w="788" w:type="dxa"/>
            <w:vAlign w:val="center"/>
          </w:tcPr>
          <w:p w14:paraId="0A87DD47">
            <w:pPr>
              <w:adjustRightInd w:val="0"/>
              <w:snapToGrid w:val="0"/>
              <w:jc w:val="center"/>
              <w:rPr>
                <w:rFonts w:ascii="宋体" w:hAnsi="宋体"/>
                <w:color w:val="auto"/>
                <w:sz w:val="24"/>
                <w:highlight w:val="none"/>
              </w:rPr>
            </w:pPr>
          </w:p>
        </w:tc>
      </w:tr>
      <w:tr w14:paraId="33DA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C296A81">
            <w:pPr>
              <w:adjustRightInd w:val="0"/>
              <w:snapToGrid w:val="0"/>
              <w:jc w:val="center"/>
              <w:rPr>
                <w:rFonts w:ascii="宋体" w:hAnsi="宋体"/>
                <w:color w:val="auto"/>
                <w:sz w:val="24"/>
                <w:highlight w:val="none"/>
              </w:rPr>
            </w:pPr>
          </w:p>
        </w:tc>
        <w:tc>
          <w:tcPr>
            <w:tcW w:w="1301" w:type="dxa"/>
            <w:vAlign w:val="center"/>
          </w:tcPr>
          <w:p w14:paraId="1BE1679B">
            <w:pPr>
              <w:adjustRightInd w:val="0"/>
              <w:snapToGrid w:val="0"/>
              <w:jc w:val="center"/>
              <w:rPr>
                <w:rFonts w:ascii="宋体" w:hAnsi="宋体"/>
                <w:color w:val="auto"/>
                <w:sz w:val="24"/>
                <w:highlight w:val="none"/>
              </w:rPr>
            </w:pPr>
          </w:p>
        </w:tc>
        <w:tc>
          <w:tcPr>
            <w:tcW w:w="2007" w:type="dxa"/>
            <w:vAlign w:val="center"/>
          </w:tcPr>
          <w:p w14:paraId="0833E9B8">
            <w:pPr>
              <w:adjustRightInd w:val="0"/>
              <w:snapToGrid w:val="0"/>
              <w:jc w:val="center"/>
              <w:rPr>
                <w:rFonts w:ascii="宋体" w:hAnsi="宋体"/>
                <w:color w:val="auto"/>
                <w:sz w:val="24"/>
                <w:highlight w:val="none"/>
              </w:rPr>
            </w:pPr>
          </w:p>
        </w:tc>
        <w:tc>
          <w:tcPr>
            <w:tcW w:w="2008" w:type="dxa"/>
            <w:vAlign w:val="center"/>
          </w:tcPr>
          <w:p w14:paraId="08EBECB1">
            <w:pPr>
              <w:adjustRightInd w:val="0"/>
              <w:snapToGrid w:val="0"/>
              <w:jc w:val="center"/>
              <w:rPr>
                <w:rFonts w:ascii="宋体" w:hAnsi="宋体"/>
                <w:color w:val="auto"/>
                <w:sz w:val="24"/>
                <w:highlight w:val="none"/>
              </w:rPr>
            </w:pPr>
          </w:p>
        </w:tc>
        <w:tc>
          <w:tcPr>
            <w:tcW w:w="2458" w:type="dxa"/>
            <w:vAlign w:val="center"/>
          </w:tcPr>
          <w:p w14:paraId="5468D628">
            <w:pPr>
              <w:adjustRightInd w:val="0"/>
              <w:snapToGrid w:val="0"/>
              <w:jc w:val="center"/>
              <w:rPr>
                <w:rFonts w:ascii="宋体" w:hAnsi="宋体"/>
                <w:color w:val="auto"/>
                <w:sz w:val="24"/>
                <w:highlight w:val="none"/>
              </w:rPr>
            </w:pPr>
          </w:p>
        </w:tc>
        <w:tc>
          <w:tcPr>
            <w:tcW w:w="788" w:type="dxa"/>
            <w:vAlign w:val="center"/>
          </w:tcPr>
          <w:p w14:paraId="382BFFC4">
            <w:pPr>
              <w:adjustRightInd w:val="0"/>
              <w:snapToGrid w:val="0"/>
              <w:jc w:val="center"/>
              <w:rPr>
                <w:rFonts w:ascii="宋体" w:hAnsi="宋体"/>
                <w:color w:val="auto"/>
                <w:sz w:val="24"/>
                <w:highlight w:val="none"/>
              </w:rPr>
            </w:pPr>
          </w:p>
        </w:tc>
      </w:tr>
    </w:tbl>
    <w:p w14:paraId="5BBD9D09">
      <w:pPr>
        <w:tabs>
          <w:tab w:val="left" w:pos="1800"/>
          <w:tab w:val="left" w:pos="5580"/>
        </w:tabs>
        <w:jc w:val="left"/>
        <w:rPr>
          <w:rFonts w:ascii="宋体" w:hAnsi="宋体"/>
          <w:color w:val="auto"/>
          <w:sz w:val="24"/>
          <w:highlight w:val="none"/>
        </w:rPr>
      </w:pPr>
    </w:p>
    <w:p w14:paraId="69125BB5">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14:paraId="73092A2F">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对合同条款中的所有要求，除本表所列明的所有偏离外，均视作供应商已对之理解和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p>
    <w:p w14:paraId="07C5876D">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填写“正偏离”或“负偏离”。</w:t>
      </w:r>
    </w:p>
    <w:p w14:paraId="55AD7553">
      <w:pPr>
        <w:spacing w:line="360" w:lineRule="auto"/>
        <w:rPr>
          <w:rFonts w:ascii="宋体" w:hAnsi="宋体"/>
          <w:color w:val="auto"/>
          <w:sz w:val="24"/>
          <w:highlight w:val="none"/>
        </w:rPr>
      </w:pPr>
    </w:p>
    <w:p w14:paraId="0B4B7232">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7B71C1DC">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14:paraId="3AB74315">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10BD93CF">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ascii="宋体" w:hAnsi="宋体"/>
          <w:color w:val="auto"/>
          <w:sz w:val="24"/>
          <w:highlight w:val="none"/>
        </w:rPr>
        <w:t xml:space="preserve">6  </w:t>
      </w:r>
      <w:bookmarkEnd w:id="1173"/>
      <w:bookmarkEnd w:id="1174"/>
      <w:bookmarkEnd w:id="1175"/>
      <w:bookmarkEnd w:id="1176"/>
      <w:bookmarkEnd w:id="1177"/>
      <w:bookmarkEnd w:id="1178"/>
      <w:bookmarkEnd w:id="1179"/>
      <w:bookmarkEnd w:id="1180"/>
      <w:bookmarkEnd w:id="1181"/>
      <w:bookmarkEnd w:id="1182"/>
      <w:bookmarkEnd w:id="1183"/>
      <w:bookmarkEnd w:id="1184"/>
      <w:bookmarkEnd w:id="1185"/>
      <w:r>
        <w:rPr>
          <w:rFonts w:ascii="宋体" w:hAnsi="宋体"/>
          <w:color w:val="auto"/>
          <w:sz w:val="24"/>
          <w:highlight w:val="none"/>
        </w:rPr>
        <w:t>采购需求偏离表（实质性格式）</w:t>
      </w:r>
    </w:p>
    <w:p w14:paraId="07A8714C">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采购需求偏离表</w:t>
      </w:r>
    </w:p>
    <w:p w14:paraId="0CBCE543">
      <w:pPr>
        <w:tabs>
          <w:tab w:val="left" w:pos="1800"/>
          <w:tab w:val="left" w:pos="5580"/>
        </w:tabs>
        <w:spacing w:line="360" w:lineRule="auto"/>
        <w:ind w:firstLine="360" w:firstLineChars="150"/>
        <w:jc w:val="left"/>
        <w:rPr>
          <w:rFonts w:ascii="宋体" w:hAnsi="宋体"/>
          <w:color w:val="auto"/>
          <w:sz w:val="24"/>
          <w:highlight w:val="none"/>
          <w:u w:val="single"/>
        </w:rPr>
      </w:pPr>
      <w:r>
        <w:rPr>
          <w:rFonts w:ascii="宋体" w:hAnsi="宋体"/>
          <w:color w:val="auto"/>
          <w:sz w:val="24"/>
          <w:highlight w:val="none"/>
        </w:rPr>
        <w:t xml:space="preserve">项目编号/包号：_____________________    </w:t>
      </w:r>
      <w:r>
        <w:rPr>
          <w:rFonts w:hint="eastAsia" w:ascii="宋体" w:hAnsi="宋体"/>
          <w:color w:val="auto"/>
          <w:sz w:val="24"/>
          <w:highlight w:val="none"/>
        </w:rPr>
        <w:t>项目名称/标的名称</w:t>
      </w:r>
      <w:r>
        <w:rPr>
          <w:rFonts w:ascii="宋体" w:hAnsi="宋体"/>
          <w:color w:val="auto"/>
          <w:sz w:val="24"/>
          <w:highlight w:val="none"/>
        </w:rPr>
        <w:t>：____________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CC6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3193F4">
            <w:pPr>
              <w:adjustRightInd w:val="0"/>
              <w:snapToGrid w:val="0"/>
              <w:jc w:val="center"/>
              <w:rPr>
                <w:rFonts w:ascii="宋体" w:hAnsi="宋体"/>
                <w:color w:val="auto"/>
                <w:sz w:val="24"/>
                <w:highlight w:val="none"/>
              </w:rPr>
            </w:pPr>
            <w:r>
              <w:rPr>
                <w:rFonts w:ascii="宋体" w:hAnsi="宋体"/>
                <w:color w:val="auto"/>
                <w:sz w:val="24"/>
                <w:highlight w:val="none"/>
              </w:rPr>
              <w:t>序号</w:t>
            </w:r>
          </w:p>
        </w:tc>
        <w:tc>
          <w:tcPr>
            <w:tcW w:w="1482" w:type="dxa"/>
            <w:vAlign w:val="center"/>
          </w:tcPr>
          <w:p w14:paraId="7129EBEA">
            <w:pPr>
              <w:adjustRightInd w:val="0"/>
              <w:snapToGrid w:val="0"/>
              <w:jc w:val="center"/>
              <w:rPr>
                <w:rFonts w:ascii="宋体" w:hAnsi="宋体"/>
                <w:color w:val="auto"/>
                <w:sz w:val="24"/>
                <w:highlight w:val="none"/>
              </w:rPr>
            </w:pPr>
            <w:r>
              <w:rPr>
                <w:rFonts w:ascii="宋体" w:hAnsi="宋体"/>
                <w:color w:val="auto"/>
                <w:sz w:val="24"/>
                <w:highlight w:val="none"/>
              </w:rPr>
              <w:t>招标文件条目号(页码)</w:t>
            </w:r>
          </w:p>
        </w:tc>
        <w:tc>
          <w:tcPr>
            <w:tcW w:w="2384" w:type="dxa"/>
            <w:vAlign w:val="center"/>
          </w:tcPr>
          <w:p w14:paraId="2232FB27">
            <w:pPr>
              <w:adjustRightInd w:val="0"/>
              <w:snapToGrid w:val="0"/>
              <w:jc w:val="center"/>
              <w:rPr>
                <w:rFonts w:ascii="宋体" w:hAnsi="宋体"/>
                <w:color w:val="auto"/>
                <w:sz w:val="24"/>
                <w:highlight w:val="none"/>
              </w:rPr>
            </w:pPr>
            <w:r>
              <w:rPr>
                <w:rFonts w:ascii="宋体" w:hAnsi="宋体"/>
                <w:color w:val="auto"/>
                <w:sz w:val="24"/>
                <w:highlight w:val="none"/>
              </w:rPr>
              <w:t>招标文件要求</w:t>
            </w:r>
          </w:p>
        </w:tc>
        <w:tc>
          <w:tcPr>
            <w:tcW w:w="2126" w:type="dxa"/>
            <w:vAlign w:val="center"/>
          </w:tcPr>
          <w:p w14:paraId="6163ADD5">
            <w:pPr>
              <w:adjustRightInd w:val="0"/>
              <w:snapToGrid w:val="0"/>
              <w:jc w:val="center"/>
              <w:rPr>
                <w:rFonts w:ascii="宋体" w:hAnsi="宋体"/>
                <w:color w:val="auto"/>
                <w:sz w:val="24"/>
                <w:highlight w:val="none"/>
              </w:rPr>
            </w:pPr>
            <w:r>
              <w:rPr>
                <w:rFonts w:ascii="宋体" w:hAnsi="宋体"/>
                <w:color w:val="auto"/>
                <w:sz w:val="24"/>
                <w:highlight w:val="none"/>
              </w:rPr>
              <w:t>投标响应内容</w:t>
            </w:r>
          </w:p>
        </w:tc>
        <w:tc>
          <w:tcPr>
            <w:tcW w:w="1875" w:type="dxa"/>
            <w:vAlign w:val="center"/>
          </w:tcPr>
          <w:p w14:paraId="47BA9B80">
            <w:pPr>
              <w:adjustRightInd w:val="0"/>
              <w:snapToGrid w:val="0"/>
              <w:jc w:val="center"/>
              <w:rPr>
                <w:rFonts w:ascii="宋体" w:hAnsi="宋体"/>
                <w:color w:val="auto"/>
                <w:sz w:val="24"/>
                <w:highlight w:val="none"/>
              </w:rPr>
            </w:pPr>
            <w:r>
              <w:rPr>
                <w:rFonts w:ascii="宋体" w:hAnsi="宋体"/>
                <w:color w:val="auto"/>
                <w:sz w:val="24"/>
                <w:highlight w:val="none"/>
              </w:rPr>
              <w:t>偏离情况</w:t>
            </w:r>
          </w:p>
        </w:tc>
        <w:tc>
          <w:tcPr>
            <w:tcW w:w="1009" w:type="dxa"/>
            <w:vAlign w:val="center"/>
          </w:tcPr>
          <w:p w14:paraId="3489DBBC">
            <w:pPr>
              <w:adjustRightInd w:val="0"/>
              <w:snapToGrid w:val="0"/>
              <w:jc w:val="center"/>
              <w:rPr>
                <w:rFonts w:ascii="宋体" w:hAnsi="宋体"/>
                <w:color w:val="auto"/>
                <w:sz w:val="24"/>
                <w:highlight w:val="none"/>
              </w:rPr>
            </w:pPr>
            <w:r>
              <w:rPr>
                <w:rFonts w:ascii="宋体" w:hAnsi="宋体"/>
                <w:color w:val="auto"/>
                <w:sz w:val="24"/>
                <w:highlight w:val="none"/>
              </w:rPr>
              <w:t>说明</w:t>
            </w:r>
          </w:p>
        </w:tc>
      </w:tr>
      <w:tr w14:paraId="793C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D892E0">
            <w:pPr>
              <w:adjustRightInd w:val="0"/>
              <w:snapToGrid w:val="0"/>
              <w:jc w:val="center"/>
              <w:rPr>
                <w:rFonts w:ascii="宋体" w:hAnsi="宋体"/>
                <w:color w:val="auto"/>
                <w:sz w:val="24"/>
                <w:highlight w:val="none"/>
              </w:rPr>
            </w:pPr>
          </w:p>
        </w:tc>
        <w:tc>
          <w:tcPr>
            <w:tcW w:w="1482" w:type="dxa"/>
            <w:vAlign w:val="center"/>
          </w:tcPr>
          <w:p w14:paraId="364C9902">
            <w:pPr>
              <w:adjustRightInd w:val="0"/>
              <w:snapToGrid w:val="0"/>
              <w:jc w:val="center"/>
              <w:rPr>
                <w:rFonts w:ascii="宋体" w:hAnsi="宋体"/>
                <w:color w:val="auto"/>
                <w:sz w:val="24"/>
                <w:highlight w:val="none"/>
              </w:rPr>
            </w:pPr>
          </w:p>
        </w:tc>
        <w:tc>
          <w:tcPr>
            <w:tcW w:w="2384" w:type="dxa"/>
            <w:vAlign w:val="center"/>
          </w:tcPr>
          <w:p w14:paraId="7D66793E">
            <w:pPr>
              <w:adjustRightInd w:val="0"/>
              <w:snapToGrid w:val="0"/>
              <w:jc w:val="center"/>
              <w:rPr>
                <w:rFonts w:ascii="宋体" w:hAnsi="宋体"/>
                <w:color w:val="auto"/>
                <w:sz w:val="24"/>
                <w:highlight w:val="none"/>
              </w:rPr>
            </w:pPr>
          </w:p>
        </w:tc>
        <w:tc>
          <w:tcPr>
            <w:tcW w:w="2126" w:type="dxa"/>
            <w:vAlign w:val="center"/>
          </w:tcPr>
          <w:p w14:paraId="0CD0FC9F">
            <w:pPr>
              <w:adjustRightInd w:val="0"/>
              <w:snapToGrid w:val="0"/>
              <w:jc w:val="center"/>
              <w:rPr>
                <w:rFonts w:ascii="宋体" w:hAnsi="宋体"/>
                <w:color w:val="auto"/>
                <w:sz w:val="24"/>
                <w:highlight w:val="none"/>
              </w:rPr>
            </w:pPr>
          </w:p>
        </w:tc>
        <w:tc>
          <w:tcPr>
            <w:tcW w:w="1875" w:type="dxa"/>
            <w:vAlign w:val="center"/>
          </w:tcPr>
          <w:p w14:paraId="026E2FB9">
            <w:pPr>
              <w:adjustRightInd w:val="0"/>
              <w:snapToGrid w:val="0"/>
              <w:jc w:val="center"/>
              <w:rPr>
                <w:rFonts w:ascii="宋体" w:hAnsi="宋体"/>
                <w:color w:val="auto"/>
                <w:sz w:val="24"/>
                <w:highlight w:val="none"/>
              </w:rPr>
            </w:pPr>
          </w:p>
        </w:tc>
        <w:tc>
          <w:tcPr>
            <w:tcW w:w="1009" w:type="dxa"/>
            <w:vAlign w:val="center"/>
          </w:tcPr>
          <w:p w14:paraId="414DE13C">
            <w:pPr>
              <w:adjustRightInd w:val="0"/>
              <w:snapToGrid w:val="0"/>
              <w:jc w:val="center"/>
              <w:rPr>
                <w:rFonts w:ascii="宋体" w:hAnsi="宋体"/>
                <w:color w:val="auto"/>
                <w:sz w:val="24"/>
                <w:highlight w:val="none"/>
              </w:rPr>
            </w:pPr>
          </w:p>
        </w:tc>
      </w:tr>
      <w:tr w14:paraId="500C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741B58">
            <w:pPr>
              <w:adjustRightInd w:val="0"/>
              <w:snapToGrid w:val="0"/>
              <w:jc w:val="center"/>
              <w:rPr>
                <w:rFonts w:ascii="宋体" w:hAnsi="宋体"/>
                <w:color w:val="auto"/>
                <w:sz w:val="24"/>
                <w:highlight w:val="none"/>
              </w:rPr>
            </w:pPr>
          </w:p>
        </w:tc>
        <w:tc>
          <w:tcPr>
            <w:tcW w:w="1482" w:type="dxa"/>
            <w:vAlign w:val="center"/>
          </w:tcPr>
          <w:p w14:paraId="5B5783AD">
            <w:pPr>
              <w:adjustRightInd w:val="0"/>
              <w:snapToGrid w:val="0"/>
              <w:jc w:val="center"/>
              <w:rPr>
                <w:rFonts w:ascii="宋体" w:hAnsi="宋体"/>
                <w:color w:val="auto"/>
                <w:sz w:val="24"/>
                <w:highlight w:val="none"/>
              </w:rPr>
            </w:pPr>
          </w:p>
        </w:tc>
        <w:tc>
          <w:tcPr>
            <w:tcW w:w="2384" w:type="dxa"/>
            <w:vAlign w:val="center"/>
          </w:tcPr>
          <w:p w14:paraId="482AC625">
            <w:pPr>
              <w:adjustRightInd w:val="0"/>
              <w:snapToGrid w:val="0"/>
              <w:jc w:val="center"/>
              <w:rPr>
                <w:rFonts w:ascii="宋体" w:hAnsi="宋体"/>
                <w:color w:val="auto"/>
                <w:sz w:val="24"/>
                <w:highlight w:val="none"/>
              </w:rPr>
            </w:pPr>
          </w:p>
        </w:tc>
        <w:tc>
          <w:tcPr>
            <w:tcW w:w="2126" w:type="dxa"/>
            <w:vAlign w:val="center"/>
          </w:tcPr>
          <w:p w14:paraId="03C4C7CA">
            <w:pPr>
              <w:adjustRightInd w:val="0"/>
              <w:snapToGrid w:val="0"/>
              <w:jc w:val="center"/>
              <w:rPr>
                <w:rFonts w:ascii="宋体" w:hAnsi="宋体"/>
                <w:color w:val="auto"/>
                <w:sz w:val="24"/>
                <w:highlight w:val="none"/>
              </w:rPr>
            </w:pPr>
          </w:p>
        </w:tc>
        <w:tc>
          <w:tcPr>
            <w:tcW w:w="1875" w:type="dxa"/>
            <w:vAlign w:val="center"/>
          </w:tcPr>
          <w:p w14:paraId="226EE280">
            <w:pPr>
              <w:adjustRightInd w:val="0"/>
              <w:snapToGrid w:val="0"/>
              <w:jc w:val="center"/>
              <w:rPr>
                <w:rFonts w:ascii="宋体" w:hAnsi="宋体"/>
                <w:color w:val="auto"/>
                <w:sz w:val="24"/>
                <w:highlight w:val="none"/>
              </w:rPr>
            </w:pPr>
          </w:p>
        </w:tc>
        <w:tc>
          <w:tcPr>
            <w:tcW w:w="1009" w:type="dxa"/>
            <w:vAlign w:val="center"/>
          </w:tcPr>
          <w:p w14:paraId="4DABCE4B">
            <w:pPr>
              <w:adjustRightInd w:val="0"/>
              <w:snapToGrid w:val="0"/>
              <w:jc w:val="center"/>
              <w:rPr>
                <w:rFonts w:ascii="宋体" w:hAnsi="宋体"/>
                <w:color w:val="auto"/>
                <w:sz w:val="24"/>
                <w:highlight w:val="none"/>
              </w:rPr>
            </w:pPr>
          </w:p>
        </w:tc>
      </w:tr>
      <w:tr w14:paraId="2D3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68A9C8">
            <w:pPr>
              <w:adjustRightInd w:val="0"/>
              <w:snapToGrid w:val="0"/>
              <w:jc w:val="center"/>
              <w:rPr>
                <w:rFonts w:ascii="宋体" w:hAnsi="宋体"/>
                <w:color w:val="auto"/>
                <w:sz w:val="24"/>
                <w:highlight w:val="none"/>
              </w:rPr>
            </w:pPr>
          </w:p>
        </w:tc>
        <w:tc>
          <w:tcPr>
            <w:tcW w:w="1482" w:type="dxa"/>
            <w:vAlign w:val="center"/>
          </w:tcPr>
          <w:p w14:paraId="7F5E6CBA">
            <w:pPr>
              <w:adjustRightInd w:val="0"/>
              <w:snapToGrid w:val="0"/>
              <w:jc w:val="center"/>
              <w:rPr>
                <w:rFonts w:ascii="宋体" w:hAnsi="宋体"/>
                <w:color w:val="auto"/>
                <w:sz w:val="24"/>
                <w:highlight w:val="none"/>
              </w:rPr>
            </w:pPr>
          </w:p>
        </w:tc>
        <w:tc>
          <w:tcPr>
            <w:tcW w:w="2384" w:type="dxa"/>
            <w:vAlign w:val="center"/>
          </w:tcPr>
          <w:p w14:paraId="030B28D0">
            <w:pPr>
              <w:adjustRightInd w:val="0"/>
              <w:snapToGrid w:val="0"/>
              <w:jc w:val="center"/>
              <w:rPr>
                <w:rFonts w:ascii="宋体" w:hAnsi="宋体"/>
                <w:color w:val="auto"/>
                <w:sz w:val="24"/>
                <w:highlight w:val="none"/>
              </w:rPr>
            </w:pPr>
          </w:p>
        </w:tc>
        <w:tc>
          <w:tcPr>
            <w:tcW w:w="2126" w:type="dxa"/>
            <w:vAlign w:val="center"/>
          </w:tcPr>
          <w:p w14:paraId="668F30DF">
            <w:pPr>
              <w:adjustRightInd w:val="0"/>
              <w:snapToGrid w:val="0"/>
              <w:jc w:val="center"/>
              <w:rPr>
                <w:rFonts w:ascii="宋体" w:hAnsi="宋体"/>
                <w:color w:val="auto"/>
                <w:sz w:val="24"/>
                <w:highlight w:val="none"/>
              </w:rPr>
            </w:pPr>
          </w:p>
        </w:tc>
        <w:tc>
          <w:tcPr>
            <w:tcW w:w="1875" w:type="dxa"/>
            <w:vAlign w:val="center"/>
          </w:tcPr>
          <w:p w14:paraId="2EA2AFC3">
            <w:pPr>
              <w:adjustRightInd w:val="0"/>
              <w:snapToGrid w:val="0"/>
              <w:jc w:val="center"/>
              <w:rPr>
                <w:rFonts w:ascii="宋体" w:hAnsi="宋体"/>
                <w:color w:val="auto"/>
                <w:sz w:val="24"/>
                <w:highlight w:val="none"/>
              </w:rPr>
            </w:pPr>
          </w:p>
        </w:tc>
        <w:tc>
          <w:tcPr>
            <w:tcW w:w="1009" w:type="dxa"/>
            <w:vAlign w:val="center"/>
          </w:tcPr>
          <w:p w14:paraId="5D198448">
            <w:pPr>
              <w:adjustRightInd w:val="0"/>
              <w:snapToGrid w:val="0"/>
              <w:jc w:val="center"/>
              <w:rPr>
                <w:rFonts w:ascii="宋体" w:hAnsi="宋体"/>
                <w:color w:val="auto"/>
                <w:sz w:val="24"/>
                <w:highlight w:val="none"/>
              </w:rPr>
            </w:pPr>
          </w:p>
        </w:tc>
      </w:tr>
      <w:tr w14:paraId="2DF5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51EFB8">
            <w:pPr>
              <w:adjustRightInd w:val="0"/>
              <w:snapToGrid w:val="0"/>
              <w:jc w:val="center"/>
              <w:rPr>
                <w:rFonts w:ascii="宋体" w:hAnsi="宋体"/>
                <w:color w:val="auto"/>
                <w:sz w:val="24"/>
                <w:highlight w:val="none"/>
              </w:rPr>
            </w:pPr>
          </w:p>
        </w:tc>
        <w:tc>
          <w:tcPr>
            <w:tcW w:w="1482" w:type="dxa"/>
            <w:vAlign w:val="center"/>
          </w:tcPr>
          <w:p w14:paraId="799A9EAF">
            <w:pPr>
              <w:adjustRightInd w:val="0"/>
              <w:snapToGrid w:val="0"/>
              <w:jc w:val="center"/>
              <w:rPr>
                <w:rFonts w:ascii="宋体" w:hAnsi="宋体"/>
                <w:color w:val="auto"/>
                <w:sz w:val="24"/>
                <w:highlight w:val="none"/>
              </w:rPr>
            </w:pPr>
          </w:p>
        </w:tc>
        <w:tc>
          <w:tcPr>
            <w:tcW w:w="2384" w:type="dxa"/>
            <w:vAlign w:val="center"/>
          </w:tcPr>
          <w:p w14:paraId="2331821D">
            <w:pPr>
              <w:adjustRightInd w:val="0"/>
              <w:snapToGrid w:val="0"/>
              <w:jc w:val="center"/>
              <w:rPr>
                <w:rFonts w:ascii="宋体" w:hAnsi="宋体"/>
                <w:color w:val="auto"/>
                <w:sz w:val="24"/>
                <w:highlight w:val="none"/>
              </w:rPr>
            </w:pPr>
          </w:p>
        </w:tc>
        <w:tc>
          <w:tcPr>
            <w:tcW w:w="2126" w:type="dxa"/>
            <w:vAlign w:val="center"/>
          </w:tcPr>
          <w:p w14:paraId="10C36A68">
            <w:pPr>
              <w:adjustRightInd w:val="0"/>
              <w:snapToGrid w:val="0"/>
              <w:jc w:val="center"/>
              <w:rPr>
                <w:rFonts w:ascii="宋体" w:hAnsi="宋体"/>
                <w:color w:val="auto"/>
                <w:sz w:val="24"/>
                <w:highlight w:val="none"/>
              </w:rPr>
            </w:pPr>
          </w:p>
        </w:tc>
        <w:tc>
          <w:tcPr>
            <w:tcW w:w="1875" w:type="dxa"/>
            <w:vAlign w:val="center"/>
          </w:tcPr>
          <w:p w14:paraId="0A458322">
            <w:pPr>
              <w:adjustRightInd w:val="0"/>
              <w:snapToGrid w:val="0"/>
              <w:jc w:val="center"/>
              <w:rPr>
                <w:rFonts w:ascii="宋体" w:hAnsi="宋体"/>
                <w:color w:val="auto"/>
                <w:sz w:val="24"/>
                <w:highlight w:val="none"/>
              </w:rPr>
            </w:pPr>
          </w:p>
        </w:tc>
        <w:tc>
          <w:tcPr>
            <w:tcW w:w="1009" w:type="dxa"/>
            <w:vAlign w:val="center"/>
          </w:tcPr>
          <w:p w14:paraId="33EEAA69">
            <w:pPr>
              <w:adjustRightInd w:val="0"/>
              <w:snapToGrid w:val="0"/>
              <w:jc w:val="center"/>
              <w:rPr>
                <w:rFonts w:ascii="宋体" w:hAnsi="宋体"/>
                <w:color w:val="auto"/>
                <w:sz w:val="24"/>
                <w:highlight w:val="none"/>
              </w:rPr>
            </w:pPr>
          </w:p>
        </w:tc>
      </w:tr>
      <w:tr w14:paraId="1308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D17596">
            <w:pPr>
              <w:adjustRightInd w:val="0"/>
              <w:snapToGrid w:val="0"/>
              <w:jc w:val="center"/>
              <w:rPr>
                <w:rFonts w:ascii="宋体" w:hAnsi="宋体"/>
                <w:color w:val="auto"/>
                <w:sz w:val="24"/>
                <w:highlight w:val="none"/>
              </w:rPr>
            </w:pPr>
          </w:p>
        </w:tc>
        <w:tc>
          <w:tcPr>
            <w:tcW w:w="1482" w:type="dxa"/>
            <w:vAlign w:val="center"/>
          </w:tcPr>
          <w:p w14:paraId="04AEB605">
            <w:pPr>
              <w:adjustRightInd w:val="0"/>
              <w:snapToGrid w:val="0"/>
              <w:jc w:val="center"/>
              <w:rPr>
                <w:rFonts w:ascii="宋体" w:hAnsi="宋体"/>
                <w:color w:val="auto"/>
                <w:sz w:val="24"/>
                <w:highlight w:val="none"/>
              </w:rPr>
            </w:pPr>
          </w:p>
        </w:tc>
        <w:tc>
          <w:tcPr>
            <w:tcW w:w="2384" w:type="dxa"/>
            <w:vAlign w:val="center"/>
          </w:tcPr>
          <w:p w14:paraId="5B5CA02A">
            <w:pPr>
              <w:adjustRightInd w:val="0"/>
              <w:snapToGrid w:val="0"/>
              <w:jc w:val="center"/>
              <w:rPr>
                <w:rFonts w:ascii="宋体" w:hAnsi="宋体"/>
                <w:color w:val="auto"/>
                <w:sz w:val="24"/>
                <w:highlight w:val="none"/>
              </w:rPr>
            </w:pPr>
          </w:p>
        </w:tc>
        <w:tc>
          <w:tcPr>
            <w:tcW w:w="2126" w:type="dxa"/>
            <w:vAlign w:val="center"/>
          </w:tcPr>
          <w:p w14:paraId="0F83A96E">
            <w:pPr>
              <w:adjustRightInd w:val="0"/>
              <w:snapToGrid w:val="0"/>
              <w:jc w:val="center"/>
              <w:rPr>
                <w:rFonts w:ascii="宋体" w:hAnsi="宋体"/>
                <w:color w:val="auto"/>
                <w:sz w:val="24"/>
                <w:highlight w:val="none"/>
              </w:rPr>
            </w:pPr>
          </w:p>
        </w:tc>
        <w:tc>
          <w:tcPr>
            <w:tcW w:w="1875" w:type="dxa"/>
            <w:vAlign w:val="center"/>
          </w:tcPr>
          <w:p w14:paraId="323DEB6F">
            <w:pPr>
              <w:adjustRightInd w:val="0"/>
              <w:snapToGrid w:val="0"/>
              <w:jc w:val="center"/>
              <w:rPr>
                <w:rFonts w:ascii="宋体" w:hAnsi="宋体"/>
                <w:color w:val="auto"/>
                <w:sz w:val="24"/>
                <w:highlight w:val="none"/>
              </w:rPr>
            </w:pPr>
          </w:p>
        </w:tc>
        <w:tc>
          <w:tcPr>
            <w:tcW w:w="1009" w:type="dxa"/>
            <w:vAlign w:val="center"/>
          </w:tcPr>
          <w:p w14:paraId="764597DC">
            <w:pPr>
              <w:adjustRightInd w:val="0"/>
              <w:snapToGrid w:val="0"/>
              <w:jc w:val="center"/>
              <w:rPr>
                <w:rFonts w:ascii="宋体" w:hAnsi="宋体"/>
                <w:color w:val="auto"/>
                <w:sz w:val="24"/>
                <w:highlight w:val="none"/>
              </w:rPr>
            </w:pPr>
          </w:p>
        </w:tc>
      </w:tr>
      <w:tr w14:paraId="5AD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3DD23C">
            <w:pPr>
              <w:adjustRightInd w:val="0"/>
              <w:snapToGrid w:val="0"/>
              <w:jc w:val="center"/>
              <w:rPr>
                <w:rFonts w:ascii="宋体" w:hAnsi="宋体"/>
                <w:color w:val="auto"/>
                <w:sz w:val="24"/>
                <w:highlight w:val="none"/>
              </w:rPr>
            </w:pPr>
          </w:p>
        </w:tc>
        <w:tc>
          <w:tcPr>
            <w:tcW w:w="1482" w:type="dxa"/>
            <w:vAlign w:val="center"/>
          </w:tcPr>
          <w:p w14:paraId="4C8D0D15">
            <w:pPr>
              <w:adjustRightInd w:val="0"/>
              <w:snapToGrid w:val="0"/>
              <w:jc w:val="center"/>
              <w:rPr>
                <w:rFonts w:ascii="宋体" w:hAnsi="宋体"/>
                <w:color w:val="auto"/>
                <w:sz w:val="24"/>
                <w:highlight w:val="none"/>
              </w:rPr>
            </w:pPr>
          </w:p>
        </w:tc>
        <w:tc>
          <w:tcPr>
            <w:tcW w:w="2384" w:type="dxa"/>
            <w:vAlign w:val="center"/>
          </w:tcPr>
          <w:p w14:paraId="49110E8E">
            <w:pPr>
              <w:adjustRightInd w:val="0"/>
              <w:snapToGrid w:val="0"/>
              <w:jc w:val="center"/>
              <w:rPr>
                <w:rFonts w:ascii="宋体" w:hAnsi="宋体"/>
                <w:color w:val="auto"/>
                <w:sz w:val="24"/>
                <w:highlight w:val="none"/>
              </w:rPr>
            </w:pPr>
          </w:p>
        </w:tc>
        <w:tc>
          <w:tcPr>
            <w:tcW w:w="2126" w:type="dxa"/>
            <w:vAlign w:val="center"/>
          </w:tcPr>
          <w:p w14:paraId="23833EB8">
            <w:pPr>
              <w:adjustRightInd w:val="0"/>
              <w:snapToGrid w:val="0"/>
              <w:jc w:val="center"/>
              <w:rPr>
                <w:rFonts w:ascii="宋体" w:hAnsi="宋体"/>
                <w:color w:val="auto"/>
                <w:sz w:val="24"/>
                <w:highlight w:val="none"/>
              </w:rPr>
            </w:pPr>
          </w:p>
        </w:tc>
        <w:tc>
          <w:tcPr>
            <w:tcW w:w="1875" w:type="dxa"/>
            <w:vAlign w:val="center"/>
          </w:tcPr>
          <w:p w14:paraId="79D5C1E9">
            <w:pPr>
              <w:adjustRightInd w:val="0"/>
              <w:snapToGrid w:val="0"/>
              <w:jc w:val="center"/>
              <w:rPr>
                <w:rFonts w:ascii="宋体" w:hAnsi="宋体"/>
                <w:color w:val="auto"/>
                <w:sz w:val="24"/>
                <w:highlight w:val="none"/>
              </w:rPr>
            </w:pPr>
          </w:p>
        </w:tc>
        <w:tc>
          <w:tcPr>
            <w:tcW w:w="1009" w:type="dxa"/>
            <w:vAlign w:val="center"/>
          </w:tcPr>
          <w:p w14:paraId="267D9598">
            <w:pPr>
              <w:adjustRightInd w:val="0"/>
              <w:snapToGrid w:val="0"/>
              <w:jc w:val="center"/>
              <w:rPr>
                <w:rFonts w:ascii="宋体" w:hAnsi="宋体"/>
                <w:color w:val="auto"/>
                <w:sz w:val="24"/>
                <w:highlight w:val="none"/>
              </w:rPr>
            </w:pPr>
          </w:p>
        </w:tc>
      </w:tr>
    </w:tbl>
    <w:p w14:paraId="4A217882">
      <w:pPr>
        <w:tabs>
          <w:tab w:val="left" w:pos="1800"/>
          <w:tab w:val="left" w:pos="5580"/>
        </w:tabs>
        <w:spacing w:line="360" w:lineRule="auto"/>
        <w:ind w:firstLine="360" w:firstLineChars="150"/>
        <w:jc w:val="left"/>
        <w:rPr>
          <w:rFonts w:ascii="宋体" w:hAnsi="宋体"/>
          <w:color w:val="auto"/>
          <w:sz w:val="24"/>
          <w:highlight w:val="none"/>
          <w:u w:val="single"/>
        </w:rPr>
      </w:pPr>
    </w:p>
    <w:p w14:paraId="3C677039">
      <w:pPr>
        <w:tabs>
          <w:tab w:val="left" w:pos="1800"/>
          <w:tab w:val="left" w:pos="5580"/>
        </w:tabs>
        <w:spacing w:line="360" w:lineRule="auto"/>
        <w:ind w:firstLine="360" w:firstLineChars="150"/>
        <w:jc w:val="left"/>
        <w:rPr>
          <w:rFonts w:ascii="宋体" w:hAnsi="宋体"/>
          <w:color w:val="auto"/>
          <w:sz w:val="24"/>
          <w:highlight w:val="none"/>
          <w:u w:val="single"/>
        </w:rPr>
      </w:pPr>
    </w:p>
    <w:p w14:paraId="2E8E7DBB">
      <w:pPr>
        <w:tabs>
          <w:tab w:val="left" w:pos="1800"/>
          <w:tab w:val="left" w:pos="5580"/>
        </w:tabs>
        <w:jc w:val="left"/>
        <w:rPr>
          <w:rFonts w:ascii="宋体" w:hAnsi="宋体"/>
          <w:color w:val="auto"/>
          <w:sz w:val="24"/>
          <w:highlight w:val="none"/>
        </w:rPr>
      </w:pPr>
      <w:r>
        <w:rPr>
          <w:rFonts w:ascii="宋体" w:hAnsi="宋体"/>
          <w:color w:val="auto"/>
          <w:sz w:val="24"/>
          <w:highlight w:val="none"/>
        </w:rPr>
        <w:t>注：</w:t>
      </w:r>
    </w:p>
    <w:p w14:paraId="21AF3B4B">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对招标文件中的所有商务、技术要求，除本表所列明的所有偏离外，均视作供应商已对之理解和</w:t>
      </w:r>
      <w:r>
        <w:rPr>
          <w:rFonts w:hint="eastAsia" w:ascii="宋体" w:hAnsi="宋体"/>
          <w:color w:val="auto"/>
          <w:sz w:val="24"/>
          <w:highlight w:val="none"/>
        </w:rPr>
        <w:t>响应</w:t>
      </w:r>
      <w:r>
        <w:rPr>
          <w:rFonts w:ascii="宋体" w:hAnsi="宋体"/>
          <w:color w:val="auto"/>
          <w:sz w:val="24"/>
          <w:highlight w:val="none"/>
        </w:rPr>
        <w:t>。</w:t>
      </w:r>
      <w:r>
        <w:rPr>
          <w:rFonts w:hint="eastAsia" w:ascii="宋体" w:hAnsi="宋体"/>
          <w:color w:val="auto"/>
          <w:sz w:val="24"/>
          <w:highlight w:val="none"/>
        </w:rPr>
        <w:t>此表中若无任何文字说明，内容为空白，</w:t>
      </w:r>
      <w:r>
        <w:rPr>
          <w:rFonts w:hint="eastAsia" w:ascii="宋体" w:hAnsi="宋体"/>
          <w:b/>
          <w:color w:val="auto"/>
          <w:sz w:val="24"/>
          <w:highlight w:val="none"/>
        </w:rPr>
        <w:t>投标无效。</w:t>
      </w:r>
    </w:p>
    <w:p w14:paraId="6F3368A7">
      <w:pPr>
        <w:tabs>
          <w:tab w:val="left" w:pos="1800"/>
          <w:tab w:val="left" w:pos="5580"/>
        </w:tabs>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“偏离情况”列应</w:t>
      </w:r>
      <w:r>
        <w:rPr>
          <w:rFonts w:ascii="宋体" w:hAnsi="宋体"/>
          <w:color w:val="auto"/>
          <w:sz w:val="24"/>
          <w:highlight w:val="none"/>
        </w:rPr>
        <w:t>据实</w:t>
      </w:r>
      <w:r>
        <w:rPr>
          <w:rFonts w:hint="eastAsia" w:ascii="宋体" w:hAnsi="宋体"/>
          <w:color w:val="auto"/>
          <w:sz w:val="24"/>
          <w:highlight w:val="none"/>
        </w:rPr>
        <w:t>填写“正偏离”、“负偏离”或“无偏离”。</w:t>
      </w:r>
    </w:p>
    <w:p w14:paraId="5E0A4E03">
      <w:pPr>
        <w:tabs>
          <w:tab w:val="left" w:pos="1800"/>
          <w:tab w:val="left" w:pos="5580"/>
        </w:tabs>
        <w:jc w:val="left"/>
        <w:rPr>
          <w:rFonts w:ascii="宋体" w:hAnsi="宋体"/>
          <w:color w:val="auto"/>
          <w:sz w:val="24"/>
          <w:highlight w:val="none"/>
        </w:rPr>
      </w:pPr>
    </w:p>
    <w:p w14:paraId="5F272F21">
      <w:pPr>
        <w:tabs>
          <w:tab w:val="left" w:pos="1800"/>
          <w:tab w:val="left" w:pos="5580"/>
        </w:tabs>
        <w:jc w:val="left"/>
        <w:rPr>
          <w:rFonts w:ascii="宋体" w:hAnsi="宋体"/>
          <w:color w:val="auto"/>
          <w:sz w:val="24"/>
          <w:highlight w:val="none"/>
        </w:rPr>
      </w:pPr>
    </w:p>
    <w:p w14:paraId="32888775">
      <w:pPr>
        <w:rPr>
          <w:rFonts w:ascii="宋体" w:hAnsi="宋体"/>
          <w:color w:val="auto"/>
          <w:sz w:val="24"/>
          <w:highlight w:val="none"/>
        </w:rPr>
      </w:pPr>
    </w:p>
    <w:p w14:paraId="30E84DFF">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14659A1E">
      <w:pPr>
        <w:autoSpaceDE w:val="0"/>
        <w:autoSpaceDN w:val="0"/>
        <w:adjustRightInd w:val="0"/>
        <w:snapToGrid w:val="0"/>
        <w:spacing w:before="25" w:after="25" w:line="360" w:lineRule="auto"/>
        <w:rPr>
          <w:rFonts w:ascii="宋体" w:hAnsi="宋体"/>
          <w:color w:val="auto"/>
          <w:sz w:val="24"/>
          <w:highlight w:val="none"/>
          <w:u w:val="single"/>
          <w:lang w:val="zh-CN"/>
        </w:rPr>
      </w:pPr>
      <w:r>
        <w:rPr>
          <w:rFonts w:ascii="宋体" w:hAnsi="宋体"/>
          <w:color w:val="auto"/>
          <w:sz w:val="24"/>
          <w:highlight w:val="none"/>
        </w:rPr>
        <w:t>投标人名称（加盖公章）</w:t>
      </w:r>
      <w:r>
        <w:rPr>
          <w:rFonts w:ascii="宋体" w:hAnsi="宋体"/>
          <w:color w:val="auto"/>
          <w:sz w:val="24"/>
          <w:highlight w:val="none"/>
          <w:lang w:val="zh-CN"/>
        </w:rPr>
        <w:t>：</w:t>
      </w:r>
      <w:r>
        <w:rPr>
          <w:rFonts w:hint="eastAsia" w:ascii="宋体" w:hAnsi="宋体"/>
          <w:color w:val="auto"/>
          <w:sz w:val="24"/>
          <w:highlight w:val="none"/>
          <w:u w:val="single"/>
        </w:rPr>
        <w:t xml:space="preserve">              </w:t>
      </w:r>
      <w:r>
        <w:rPr>
          <w:rFonts w:ascii="宋体" w:hAnsi="宋体"/>
          <w:color w:val="auto"/>
          <w:sz w:val="24"/>
          <w:highlight w:val="none"/>
          <w:u w:val="single"/>
          <w:lang w:val="zh-CN"/>
        </w:rPr>
        <w:t xml:space="preserve"> </w:t>
      </w:r>
    </w:p>
    <w:p w14:paraId="5F3901E1">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 xml:space="preserve">日期：_____年______月______日   </w:t>
      </w:r>
    </w:p>
    <w:p w14:paraId="0FD2DFEC">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ascii="宋体" w:hAnsi="宋体"/>
          <w:color w:val="auto"/>
          <w:sz w:val="24"/>
          <w:highlight w:val="none"/>
        </w:rPr>
        <w:t>7  中小企业声明函</w:t>
      </w:r>
    </w:p>
    <w:p w14:paraId="6A1887FC">
      <w:pPr>
        <w:tabs>
          <w:tab w:val="left" w:pos="5580"/>
        </w:tabs>
        <w:spacing w:line="360" w:lineRule="auto"/>
        <w:rPr>
          <w:rFonts w:ascii="宋体" w:hAnsi="宋体"/>
          <w:color w:val="auto"/>
          <w:sz w:val="24"/>
          <w:highlight w:val="none"/>
        </w:rPr>
      </w:pPr>
      <w:r>
        <w:rPr>
          <w:rFonts w:hint="eastAsia" w:ascii="宋体" w:hAnsi="宋体"/>
          <w:color w:val="auto"/>
          <w:sz w:val="24"/>
          <w:highlight w:val="none"/>
        </w:rPr>
        <w:t>说明：</w:t>
      </w:r>
    </w:p>
    <w:p w14:paraId="1EBFC614">
      <w:pPr>
        <w:tabs>
          <w:tab w:val="left" w:pos="5580"/>
        </w:tabs>
        <w:spacing w:line="360" w:lineRule="auto"/>
        <w:rPr>
          <w:rFonts w:ascii="宋体" w:hAnsi="宋体"/>
          <w:color w:val="auto"/>
          <w:sz w:val="24"/>
          <w:highlight w:val="none"/>
        </w:rPr>
      </w:pPr>
      <w:r>
        <w:rPr>
          <w:rFonts w:hint="eastAsia" w:ascii="宋体" w:hAnsi="宋体"/>
          <w:color w:val="auto"/>
          <w:sz w:val="24"/>
          <w:highlight w:val="none"/>
        </w:rPr>
        <w:t>1）中小企业参加政府采购活动，应当出具此格式文件。《中小企业声明函》由参加政府采购活动的投标人出具。联合体投标的，《中小企业声明函》由牵头人出具。</w:t>
      </w:r>
    </w:p>
    <w:p w14:paraId="282E671F">
      <w:pPr>
        <w:tabs>
          <w:tab w:val="left" w:pos="5580"/>
        </w:tabs>
        <w:spacing w:line="360" w:lineRule="auto"/>
        <w:rPr>
          <w:rFonts w:ascii="宋体" w:hAnsi="宋体"/>
          <w:color w:val="auto"/>
          <w:sz w:val="24"/>
          <w:highlight w:val="none"/>
        </w:rPr>
      </w:pPr>
      <w:r>
        <w:rPr>
          <w:rFonts w:hint="eastAsia" w:ascii="宋体" w:hAnsi="宋体"/>
          <w:color w:val="auto"/>
          <w:sz w:val="24"/>
          <w:highlight w:val="none"/>
        </w:rPr>
        <w:t>2）对于联合体中由中小企业承担的部分，或者分包给中小企业的部分，必须全部由中小企业制造、承建或者承接。供应商应当在声明函“项目名称/标的名称”部分标明联合体中中小企业承担的具体内容或者中小企业的具体分包内容。</w:t>
      </w:r>
    </w:p>
    <w:p w14:paraId="62FCA229">
      <w:pPr>
        <w:tabs>
          <w:tab w:val="left" w:pos="5580"/>
        </w:tabs>
        <w:spacing w:line="360" w:lineRule="auto"/>
        <w:rPr>
          <w:rFonts w:ascii="宋体" w:hAnsi="宋体"/>
          <w:color w:val="auto"/>
          <w:sz w:val="24"/>
          <w:highlight w:val="none"/>
        </w:rPr>
      </w:pPr>
      <w:r>
        <w:rPr>
          <w:rFonts w:hint="eastAsia" w:ascii="宋体" w:hAnsi="宋体"/>
          <w:color w:val="auto"/>
          <w:sz w:val="24"/>
          <w:highlight w:val="none"/>
        </w:rPr>
        <w:t>3）对于多标的的采购项目，投标人应充分、准确地了解所投产品制造企业信息。对相关情况了解不清楚的，不建议填报本声明函。</w:t>
      </w:r>
    </w:p>
    <w:p w14:paraId="6AFBFCE0">
      <w:pPr>
        <w:tabs>
          <w:tab w:val="left" w:pos="5580"/>
        </w:tabs>
        <w:spacing w:line="360" w:lineRule="auto"/>
        <w:rPr>
          <w:rFonts w:ascii="宋体" w:hAnsi="宋体"/>
          <w:color w:val="auto"/>
          <w:sz w:val="24"/>
          <w:highlight w:val="none"/>
        </w:rPr>
      </w:pPr>
      <w:r>
        <w:rPr>
          <w:rFonts w:hint="eastAsia" w:ascii="宋体" w:hAnsi="宋体"/>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22D6E4C">
      <w:pPr>
        <w:autoSpaceDE w:val="0"/>
        <w:autoSpaceDN w:val="0"/>
        <w:adjustRightInd w:val="0"/>
        <w:ind w:firstLine="420"/>
        <w:jc w:val="left"/>
        <w:rPr>
          <w:rFonts w:ascii="宋体" w:hAnsi="宋体"/>
          <w:color w:val="auto"/>
          <w:sz w:val="24"/>
          <w:highlight w:val="none"/>
        </w:rPr>
      </w:pPr>
      <w:r>
        <w:rPr>
          <w:rFonts w:ascii="宋体" w:hAnsi="宋体"/>
          <w:b/>
          <w:bCs/>
          <w:color w:val="auto"/>
          <w:sz w:val="24"/>
          <w:highlight w:val="none"/>
        </w:rPr>
        <w:br w:type="page"/>
      </w:r>
    </w:p>
    <w:p w14:paraId="78F8658A">
      <w:pPr>
        <w:spacing w:before="240" w:beforeLines="100" w:after="240" w:afterLines="100" w:line="360" w:lineRule="auto"/>
        <w:ind w:firstLine="2409" w:firstLineChars="1000"/>
        <w:jc w:val="both"/>
        <w:rPr>
          <w:rFonts w:ascii="宋体" w:hAnsi="宋体"/>
          <w:b/>
          <w:bCs/>
          <w:color w:val="auto"/>
          <w:sz w:val="24"/>
          <w:highlight w:val="none"/>
        </w:rPr>
      </w:pPr>
      <w:r>
        <w:rPr>
          <w:rFonts w:ascii="宋体" w:hAnsi="宋体"/>
          <w:b/>
          <w:bCs/>
          <w:color w:val="auto"/>
          <w:sz w:val="24"/>
          <w:highlight w:val="none"/>
        </w:rPr>
        <w:t>中小企业声明函（服务）格式</w:t>
      </w:r>
    </w:p>
    <w:p w14:paraId="61E65ABE">
      <w:pPr>
        <w:autoSpaceDE w:val="0"/>
        <w:autoSpaceDN w:val="0"/>
        <w:spacing w:line="360" w:lineRule="auto"/>
        <w:ind w:left="220" w:right="415" w:firstLine="640"/>
        <w:jc w:val="left"/>
        <w:rPr>
          <w:rFonts w:ascii="宋体" w:hAnsi="宋体"/>
          <w:color w:val="auto"/>
          <w:kern w:val="0"/>
          <w:sz w:val="24"/>
          <w:highlight w:val="none"/>
        </w:rPr>
      </w:pPr>
      <w:r>
        <w:rPr>
          <w:rFonts w:ascii="宋体" w:hAnsi="宋体"/>
          <w:color w:val="auto"/>
          <w:kern w:val="0"/>
          <w:sz w:val="24"/>
          <w:highlight w:val="none"/>
        </w:rPr>
        <w:t>本公司（联合体）郑重声明，根据《政府采购促进中小企业发展管理办法》（财库﹝2020﹞46号）的规定，本公司（联合体）参加</w:t>
      </w:r>
      <w:r>
        <w:rPr>
          <w:rFonts w:ascii="宋体" w:hAnsi="宋体"/>
          <w:i w:val="0"/>
          <w:iCs/>
          <w:color w:val="auto"/>
          <w:kern w:val="0"/>
          <w:sz w:val="24"/>
          <w:highlight w:val="none"/>
          <w:u w:val="single"/>
        </w:rPr>
        <w:t>（单位名称）</w:t>
      </w:r>
      <w:r>
        <w:rPr>
          <w:rFonts w:ascii="宋体" w:hAnsi="宋体"/>
          <w:iCs/>
          <w:color w:val="auto"/>
          <w:kern w:val="0"/>
          <w:sz w:val="24"/>
          <w:highlight w:val="none"/>
        </w:rPr>
        <w:t>的</w:t>
      </w:r>
      <w:r>
        <w:rPr>
          <w:rFonts w:ascii="宋体" w:hAnsi="宋体"/>
          <w:i w:val="0"/>
          <w:iCs/>
          <w:color w:val="auto"/>
          <w:kern w:val="0"/>
          <w:sz w:val="24"/>
          <w:highlight w:val="none"/>
          <w:u w:val="single"/>
        </w:rPr>
        <w:t>（</w:t>
      </w:r>
      <w:r>
        <w:rPr>
          <w:rFonts w:hint="eastAsia" w:ascii="宋体" w:hAnsi="宋体"/>
          <w:i w:val="0"/>
          <w:iCs/>
          <w:color w:val="auto"/>
          <w:kern w:val="0"/>
          <w:sz w:val="24"/>
          <w:highlight w:val="none"/>
          <w:u w:val="single"/>
        </w:rPr>
        <w:t>项目名称/标的名称</w:t>
      </w:r>
      <w:r>
        <w:rPr>
          <w:rFonts w:ascii="宋体" w:hAnsi="宋体"/>
          <w:i w:val="0"/>
          <w:iCs/>
          <w:color w:val="auto"/>
          <w:kern w:val="0"/>
          <w:sz w:val="24"/>
          <w:highlight w:val="none"/>
          <w:u w:val="single"/>
        </w:rPr>
        <w:t>）</w:t>
      </w:r>
      <w:r>
        <w:rPr>
          <w:rFonts w:ascii="宋体" w:hAnsi="宋体"/>
          <w:iCs/>
          <w:color w:val="auto"/>
          <w:kern w:val="0"/>
          <w:sz w:val="24"/>
          <w:highlight w:val="none"/>
        </w:rPr>
        <w:t>采购活动，工程的施工单位全部为符合政策要求</w:t>
      </w:r>
      <w:r>
        <w:rPr>
          <w:rFonts w:ascii="宋体" w:hAnsi="宋体"/>
          <w:color w:val="auto"/>
          <w:kern w:val="0"/>
          <w:sz w:val="24"/>
          <w:highlight w:val="none"/>
        </w:rPr>
        <w:t>的中小企业（或者：服务全部由符合政策要求的中小企业承接）。相关企业（含联合体中的中小企业、签订分包意向协议的中小企业）的具体情况如下：</w:t>
      </w:r>
    </w:p>
    <w:p w14:paraId="1009D346">
      <w:pPr>
        <w:numPr>
          <w:ilvl w:val="0"/>
          <w:numId w:val="39"/>
        </w:numPr>
        <w:tabs>
          <w:tab w:val="left" w:pos="1276"/>
          <w:tab w:val="left" w:pos="5005"/>
          <w:tab w:val="left" w:pos="7227"/>
        </w:tabs>
        <w:autoSpaceDE w:val="0"/>
        <w:autoSpaceDN w:val="0"/>
        <w:spacing w:line="360" w:lineRule="auto"/>
        <w:ind w:left="284" w:right="236" w:firstLine="576"/>
        <w:jc w:val="left"/>
        <w:rPr>
          <w:rFonts w:ascii="宋体" w:hAnsi="宋体"/>
          <w:iCs/>
          <w:color w:val="auto"/>
          <w:kern w:val="0"/>
          <w:sz w:val="24"/>
          <w:highlight w:val="none"/>
        </w:rPr>
      </w:pPr>
      <w:r>
        <w:rPr>
          <w:rFonts w:ascii="宋体" w:hAnsi="宋体"/>
          <w:i w:val="0"/>
          <w:iCs/>
          <w:color w:val="auto"/>
          <w:kern w:val="0"/>
          <w:sz w:val="24"/>
          <w:highlight w:val="none"/>
          <w:u w:val="single" w:color="000000"/>
        </w:rPr>
        <w:t>（标的名称）</w:t>
      </w:r>
      <w:r>
        <w:rPr>
          <w:rFonts w:ascii="宋体" w:hAnsi="宋体"/>
          <w:iCs/>
          <w:color w:val="auto"/>
          <w:kern w:val="0"/>
          <w:sz w:val="24"/>
          <w:highlight w:val="none"/>
        </w:rPr>
        <w:t>，属于</w:t>
      </w:r>
      <w:r>
        <w:rPr>
          <w:rFonts w:ascii="宋体" w:hAnsi="宋体"/>
          <w:i w:val="0"/>
          <w:iCs/>
          <w:color w:val="auto"/>
          <w:kern w:val="0"/>
          <w:sz w:val="24"/>
          <w:highlight w:val="none"/>
        </w:rPr>
        <w:t>（</w:t>
      </w:r>
      <w:r>
        <w:rPr>
          <w:rFonts w:ascii="宋体" w:hAnsi="宋体"/>
          <w:i w:val="0"/>
          <w:iCs/>
          <w:color w:val="auto"/>
          <w:kern w:val="0"/>
          <w:sz w:val="24"/>
          <w:highlight w:val="none"/>
          <w:u w:val="single" w:color="000000"/>
        </w:rPr>
        <w:t>采购文件中明确的所属行业）</w:t>
      </w:r>
      <w:r>
        <w:rPr>
          <w:rFonts w:ascii="宋体" w:hAnsi="宋体"/>
          <w:iCs/>
          <w:color w:val="auto"/>
          <w:kern w:val="0"/>
          <w:sz w:val="24"/>
          <w:highlight w:val="none"/>
        </w:rPr>
        <w:t>；承建（承接）企业为</w:t>
      </w:r>
      <w:r>
        <w:rPr>
          <w:rFonts w:ascii="宋体" w:hAnsi="宋体"/>
          <w:i w:val="0"/>
          <w:iCs/>
          <w:color w:val="auto"/>
          <w:kern w:val="0"/>
          <w:sz w:val="24"/>
          <w:highlight w:val="none"/>
          <w:u w:val="single"/>
        </w:rPr>
        <w:t>（企业名称）</w:t>
      </w:r>
      <w:r>
        <w:rPr>
          <w:rFonts w:ascii="宋体" w:hAnsi="宋体"/>
          <w:iCs/>
          <w:color w:val="auto"/>
          <w:kern w:val="0"/>
          <w:sz w:val="24"/>
          <w:highlight w:val="none"/>
        </w:rPr>
        <w:t>，从业人员</w:t>
      </w:r>
      <w:r>
        <w:rPr>
          <w:rFonts w:ascii="宋体" w:hAnsi="宋体"/>
          <w:iCs/>
          <w:color w:val="auto"/>
          <w:kern w:val="0"/>
          <w:sz w:val="24"/>
          <w:highlight w:val="none"/>
          <w:u w:val="single"/>
        </w:rPr>
        <w:tab/>
      </w:r>
      <w:r>
        <w:rPr>
          <w:rFonts w:ascii="宋体" w:hAnsi="宋体"/>
          <w:iCs/>
          <w:color w:val="auto"/>
          <w:kern w:val="0"/>
          <w:sz w:val="24"/>
          <w:highlight w:val="none"/>
        </w:rPr>
        <w:t>人，营业收入为</w:t>
      </w:r>
      <w:r>
        <w:rPr>
          <w:rFonts w:ascii="宋体" w:hAnsi="宋体"/>
          <w:iCs/>
          <w:color w:val="auto"/>
          <w:kern w:val="0"/>
          <w:sz w:val="24"/>
          <w:highlight w:val="none"/>
          <w:u w:val="single"/>
        </w:rPr>
        <w:tab/>
      </w:r>
      <w:r>
        <w:rPr>
          <w:rFonts w:ascii="宋体" w:hAnsi="宋体"/>
          <w:iCs/>
          <w:color w:val="auto"/>
          <w:kern w:val="0"/>
          <w:sz w:val="24"/>
          <w:highlight w:val="none"/>
        </w:rPr>
        <w:t>万元，资产总额为</w:t>
      </w:r>
      <w:r>
        <w:rPr>
          <w:rFonts w:ascii="宋体" w:hAnsi="宋体"/>
          <w:iCs/>
          <w:color w:val="auto"/>
          <w:kern w:val="0"/>
          <w:sz w:val="24"/>
          <w:highlight w:val="none"/>
          <w:u w:val="single"/>
        </w:rPr>
        <w:tab/>
      </w:r>
      <w:r>
        <w:rPr>
          <w:rFonts w:ascii="宋体" w:hAnsi="宋体"/>
          <w:iCs/>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iCs/>
          <w:color w:val="auto"/>
          <w:kern w:val="0"/>
          <w:position w:val="16"/>
          <w:sz w:val="24"/>
          <w:highlight w:val="none"/>
        </w:rPr>
        <w:t>1</w:t>
      </w:r>
      <w:r>
        <w:rPr>
          <w:rFonts w:ascii="宋体" w:hAnsi="宋体"/>
          <w:iCs/>
          <w:color w:val="auto"/>
          <w:kern w:val="0"/>
          <w:position w:val="16"/>
          <w:sz w:val="24"/>
          <w:highlight w:val="none"/>
        </w:rPr>
        <w:fldChar w:fldCharType="end"/>
      </w:r>
      <w:r>
        <w:rPr>
          <w:rFonts w:ascii="宋体" w:hAnsi="宋体"/>
          <w:iCs/>
          <w:color w:val="auto"/>
          <w:kern w:val="0"/>
          <w:sz w:val="24"/>
          <w:highlight w:val="none"/>
        </w:rPr>
        <w:t>，属于</w:t>
      </w:r>
      <w:r>
        <w:rPr>
          <w:rFonts w:ascii="宋体" w:hAnsi="宋体"/>
          <w:i w:val="0"/>
          <w:iCs/>
          <w:color w:val="auto"/>
          <w:kern w:val="0"/>
          <w:sz w:val="24"/>
          <w:highlight w:val="none"/>
          <w:u w:val="single"/>
        </w:rPr>
        <w:t>（中型企业、小型企业、微型企业）</w:t>
      </w:r>
      <w:r>
        <w:rPr>
          <w:rFonts w:ascii="宋体" w:hAnsi="宋体"/>
          <w:iCs/>
          <w:color w:val="auto"/>
          <w:kern w:val="0"/>
          <w:sz w:val="24"/>
          <w:highlight w:val="none"/>
        </w:rPr>
        <w:t>；</w:t>
      </w:r>
    </w:p>
    <w:p w14:paraId="2191CA86">
      <w:pPr>
        <w:numPr>
          <w:ilvl w:val="0"/>
          <w:numId w:val="39"/>
        </w:numPr>
        <w:tabs>
          <w:tab w:val="left" w:pos="1243"/>
          <w:tab w:val="left" w:pos="1806"/>
          <w:tab w:val="left" w:pos="5005"/>
          <w:tab w:val="left" w:pos="7213"/>
        </w:tabs>
        <w:autoSpaceDE w:val="0"/>
        <w:autoSpaceDN w:val="0"/>
        <w:spacing w:line="360" w:lineRule="auto"/>
        <w:ind w:left="205" w:right="258" w:firstLine="655"/>
        <w:jc w:val="left"/>
        <w:rPr>
          <w:rFonts w:ascii="宋体" w:hAnsi="宋体"/>
          <w:iCs/>
          <w:color w:val="auto"/>
          <w:kern w:val="0"/>
          <w:sz w:val="24"/>
          <w:highlight w:val="none"/>
        </w:rPr>
      </w:pPr>
      <w:r>
        <w:rPr>
          <w:rFonts w:ascii="宋体" w:hAnsi="宋体"/>
          <w:i w:val="0"/>
          <w:iCs/>
          <w:color w:val="auto"/>
          <w:kern w:val="0"/>
          <w:sz w:val="24"/>
          <w:highlight w:val="none"/>
          <w:u w:val="single" w:color="000000"/>
        </w:rPr>
        <w:t>（标的名称）</w:t>
      </w:r>
      <w:r>
        <w:rPr>
          <w:rFonts w:ascii="宋体" w:hAnsi="宋体"/>
          <w:iCs/>
          <w:color w:val="auto"/>
          <w:kern w:val="0"/>
          <w:sz w:val="24"/>
          <w:highlight w:val="none"/>
        </w:rPr>
        <w:t>，属于</w:t>
      </w:r>
      <w:r>
        <w:rPr>
          <w:rFonts w:ascii="宋体" w:hAnsi="宋体"/>
          <w:i w:val="0"/>
          <w:iCs/>
          <w:color w:val="auto"/>
          <w:kern w:val="0"/>
          <w:sz w:val="24"/>
          <w:highlight w:val="none"/>
        </w:rPr>
        <w:t>（</w:t>
      </w:r>
      <w:r>
        <w:rPr>
          <w:rFonts w:ascii="宋体" w:hAnsi="宋体"/>
          <w:i w:val="0"/>
          <w:iCs/>
          <w:color w:val="auto"/>
          <w:kern w:val="0"/>
          <w:sz w:val="24"/>
          <w:highlight w:val="none"/>
          <w:u w:val="single" w:color="000000"/>
        </w:rPr>
        <w:t>采购文件中明确的所属行业）</w:t>
      </w:r>
      <w:r>
        <w:rPr>
          <w:rFonts w:ascii="宋体" w:hAnsi="宋体"/>
          <w:iCs/>
          <w:color w:val="auto"/>
          <w:kern w:val="0"/>
          <w:sz w:val="24"/>
          <w:highlight w:val="none"/>
        </w:rPr>
        <w:t>；承建（承接）企业为</w:t>
      </w:r>
      <w:r>
        <w:rPr>
          <w:rFonts w:ascii="宋体" w:hAnsi="宋体"/>
          <w:i w:val="0"/>
          <w:iCs/>
          <w:color w:val="auto"/>
          <w:kern w:val="0"/>
          <w:sz w:val="24"/>
          <w:highlight w:val="none"/>
          <w:u w:val="single" w:color="000000"/>
        </w:rPr>
        <w:t>（企业名称）</w:t>
      </w:r>
      <w:r>
        <w:rPr>
          <w:rFonts w:ascii="宋体" w:hAnsi="宋体"/>
          <w:iCs/>
          <w:color w:val="auto"/>
          <w:kern w:val="0"/>
          <w:sz w:val="24"/>
          <w:highlight w:val="none"/>
        </w:rPr>
        <w:t>，从业人员</w:t>
      </w:r>
      <w:r>
        <w:rPr>
          <w:rFonts w:ascii="宋体" w:hAnsi="宋体"/>
          <w:iCs/>
          <w:color w:val="auto"/>
          <w:kern w:val="0"/>
          <w:sz w:val="24"/>
          <w:highlight w:val="none"/>
          <w:u w:val="single" w:color="000000"/>
        </w:rPr>
        <w:tab/>
      </w:r>
      <w:r>
        <w:rPr>
          <w:rFonts w:ascii="宋体" w:hAnsi="宋体"/>
          <w:iCs/>
          <w:color w:val="auto"/>
          <w:kern w:val="0"/>
          <w:sz w:val="24"/>
          <w:highlight w:val="none"/>
        </w:rPr>
        <w:t>人，营业收入为</w:t>
      </w:r>
      <w:r>
        <w:rPr>
          <w:rFonts w:ascii="宋体" w:hAnsi="宋体"/>
          <w:iCs/>
          <w:color w:val="auto"/>
          <w:kern w:val="0"/>
          <w:sz w:val="24"/>
          <w:highlight w:val="none"/>
          <w:u w:val="single" w:color="000000"/>
        </w:rPr>
        <w:tab/>
      </w:r>
      <w:r>
        <w:rPr>
          <w:rFonts w:ascii="宋体" w:hAnsi="宋体"/>
          <w:iCs/>
          <w:color w:val="auto"/>
          <w:kern w:val="0"/>
          <w:sz w:val="24"/>
          <w:highlight w:val="none"/>
        </w:rPr>
        <w:t>万元，资产总额为</w:t>
      </w:r>
      <w:r>
        <w:rPr>
          <w:rFonts w:ascii="宋体" w:hAnsi="宋体"/>
          <w:iCs/>
          <w:color w:val="auto"/>
          <w:kern w:val="0"/>
          <w:sz w:val="24"/>
          <w:highlight w:val="none"/>
          <w:u w:val="single" w:color="000000"/>
        </w:rPr>
        <w:tab/>
      </w:r>
      <w:r>
        <w:rPr>
          <w:rFonts w:ascii="宋体" w:hAnsi="宋体"/>
          <w:iCs/>
          <w:color w:val="auto"/>
          <w:kern w:val="0"/>
          <w:sz w:val="24"/>
          <w:highlight w:val="none"/>
        </w:rPr>
        <w:t>万元，属于</w:t>
      </w:r>
      <w:r>
        <w:rPr>
          <w:rFonts w:ascii="宋体" w:hAnsi="宋体"/>
          <w:i w:val="0"/>
          <w:iCs/>
          <w:color w:val="auto"/>
          <w:kern w:val="0"/>
          <w:sz w:val="24"/>
          <w:highlight w:val="none"/>
          <w:u w:val="single" w:color="000000"/>
        </w:rPr>
        <w:t>（中型企业、小型企业、微型企业）</w:t>
      </w:r>
      <w:r>
        <w:rPr>
          <w:rFonts w:ascii="宋体" w:hAnsi="宋体"/>
          <w:iCs/>
          <w:color w:val="auto"/>
          <w:kern w:val="0"/>
          <w:sz w:val="24"/>
          <w:highlight w:val="none"/>
        </w:rPr>
        <w:t>；</w:t>
      </w:r>
    </w:p>
    <w:p w14:paraId="29DE1CAE">
      <w:pPr>
        <w:autoSpaceDE w:val="0"/>
        <w:autoSpaceDN w:val="0"/>
        <w:spacing w:line="360" w:lineRule="auto"/>
        <w:ind w:left="860"/>
        <w:jc w:val="left"/>
        <w:rPr>
          <w:rFonts w:ascii="宋体" w:hAnsi="宋体"/>
          <w:color w:val="auto"/>
          <w:kern w:val="0"/>
          <w:sz w:val="24"/>
          <w:highlight w:val="none"/>
        </w:rPr>
      </w:pPr>
      <w:r>
        <w:rPr>
          <w:rFonts w:ascii="宋体" w:hAnsi="宋体"/>
          <w:color w:val="auto"/>
          <w:kern w:val="0"/>
          <w:sz w:val="24"/>
          <w:highlight w:val="none"/>
        </w:rPr>
        <w:t>……</w:t>
      </w:r>
    </w:p>
    <w:p w14:paraId="04283F39">
      <w:pPr>
        <w:autoSpaceDE w:val="0"/>
        <w:autoSpaceDN w:val="0"/>
        <w:spacing w:line="360" w:lineRule="auto"/>
        <w:ind w:left="220" w:right="417" w:firstLine="645"/>
        <w:rPr>
          <w:rFonts w:ascii="宋体" w:hAnsi="宋体"/>
          <w:color w:val="auto"/>
          <w:kern w:val="0"/>
          <w:sz w:val="24"/>
          <w:highlight w:val="none"/>
        </w:rPr>
      </w:pPr>
      <w:r>
        <w:rPr>
          <w:rFonts w:ascii="宋体" w:hAnsi="宋体"/>
          <w:color w:val="auto"/>
          <w:kern w:val="0"/>
          <w:sz w:val="24"/>
          <w:highlight w:val="none"/>
        </w:rPr>
        <w:t>以上企业，不属于大企业的分支机构，不存在控股股东为大企业的情形，也不存在与大企业的负责人为同一人的情形。</w:t>
      </w:r>
    </w:p>
    <w:p w14:paraId="11FEC074">
      <w:pPr>
        <w:spacing w:line="360" w:lineRule="auto"/>
        <w:ind w:firstLine="504"/>
        <w:rPr>
          <w:rFonts w:ascii="宋体" w:hAnsi="宋体"/>
          <w:color w:val="auto"/>
          <w:spacing w:val="6"/>
          <w:sz w:val="24"/>
          <w:highlight w:val="none"/>
        </w:rPr>
      </w:pPr>
      <w:r>
        <w:rPr>
          <w:rFonts w:ascii="宋体" w:hAnsi="宋体"/>
          <w:color w:val="auto"/>
          <w:kern w:val="0"/>
          <w:sz w:val="24"/>
          <w:highlight w:val="none"/>
        </w:rPr>
        <w:t>本企业对上述声明内容的真实性负责。如有虚假，将依法承担相应责任。</w:t>
      </w:r>
    </w:p>
    <w:p w14:paraId="748CB5F5">
      <w:pPr>
        <w:spacing w:line="360" w:lineRule="auto"/>
        <w:ind w:firstLine="504"/>
        <w:rPr>
          <w:rFonts w:ascii="宋体" w:hAnsi="宋体"/>
          <w:color w:val="auto"/>
          <w:spacing w:val="6"/>
          <w:sz w:val="24"/>
          <w:highlight w:val="none"/>
        </w:rPr>
      </w:pPr>
    </w:p>
    <w:p w14:paraId="3D556CF4">
      <w:pPr>
        <w:spacing w:line="360" w:lineRule="auto"/>
        <w:ind w:right="360" w:firstLine="480"/>
        <w:jc w:val="right"/>
        <w:rPr>
          <w:rFonts w:ascii="宋体" w:hAnsi="宋体"/>
          <w:color w:val="auto"/>
          <w:sz w:val="24"/>
          <w:highlight w:val="none"/>
        </w:rPr>
      </w:pPr>
    </w:p>
    <w:p w14:paraId="23E5E583">
      <w:pPr>
        <w:spacing w:line="360" w:lineRule="auto"/>
        <w:ind w:right="360" w:firstLine="480"/>
        <w:jc w:val="right"/>
        <w:rPr>
          <w:rFonts w:ascii="宋体" w:hAnsi="宋体"/>
          <w:color w:val="auto"/>
          <w:sz w:val="24"/>
          <w:highlight w:val="none"/>
        </w:rPr>
      </w:pPr>
      <w:r>
        <w:rPr>
          <w:rFonts w:ascii="宋体" w:hAnsi="宋体"/>
          <w:color w:val="auto"/>
          <w:sz w:val="24"/>
          <w:highlight w:val="none"/>
        </w:rPr>
        <w:t>企业名称（盖章）：________</w:t>
      </w:r>
    </w:p>
    <w:p w14:paraId="76B44275">
      <w:pPr>
        <w:spacing w:line="360" w:lineRule="auto"/>
        <w:ind w:right="360" w:firstLine="480"/>
        <w:jc w:val="right"/>
        <w:rPr>
          <w:rFonts w:ascii="宋体" w:hAnsi="宋体"/>
          <w:color w:val="auto"/>
          <w:sz w:val="24"/>
          <w:highlight w:val="none"/>
        </w:rPr>
      </w:pPr>
      <w:r>
        <w:rPr>
          <w:rFonts w:ascii="宋体" w:hAnsi="宋体"/>
          <w:color w:val="auto"/>
          <w:sz w:val="24"/>
          <w:highlight w:val="none"/>
        </w:rPr>
        <w:t>日 期：________</w:t>
      </w:r>
    </w:p>
    <w:p w14:paraId="21218CBE">
      <w:pPr>
        <w:spacing w:line="360" w:lineRule="auto"/>
        <w:ind w:right="360" w:firstLine="480"/>
        <w:jc w:val="right"/>
        <w:rPr>
          <w:rFonts w:ascii="宋体" w:hAnsi="宋体"/>
          <w:color w:val="auto"/>
          <w:sz w:val="24"/>
          <w:highlight w:val="none"/>
        </w:rPr>
      </w:pPr>
    </w:p>
    <w:p w14:paraId="71AC58F7">
      <w:pPr>
        <w:adjustRightInd w:val="0"/>
        <w:snapToGrid w:val="0"/>
        <w:jc w:val="left"/>
        <w:rPr>
          <w:rFonts w:ascii="宋体" w:hAnsi="宋体"/>
          <w:color w:val="auto"/>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A7946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78F8A01">
            <w:pPr>
              <w:adjustRightInd w:val="0"/>
              <w:snapToGrid w:val="0"/>
              <w:jc w:val="left"/>
              <w:rPr>
                <w:rFonts w:ascii="宋体" w:hAnsi="宋体"/>
                <w:color w:val="auto"/>
                <w:sz w:val="24"/>
                <w:highlight w:val="none"/>
              </w:rPr>
            </w:pPr>
            <w:r>
              <w:rPr>
                <w:rFonts w:ascii="宋体" w:hAnsi="宋体"/>
                <w:color w:val="auto"/>
                <w:sz w:val="24"/>
                <w:highlight w:val="none"/>
                <w:vertAlign w:val="superscript"/>
              </w:rPr>
              <w:t>1</w:t>
            </w:r>
            <w:r>
              <w:rPr>
                <w:rFonts w:ascii="宋体" w:hAnsi="宋体"/>
                <w:color w:val="auto"/>
                <w:sz w:val="24"/>
                <w:highlight w:val="none"/>
              </w:rPr>
              <w:t>从业人员、营业收入、资产总额填报上一年度数据，无上一年度数据的新成立企业可不填报。</w:t>
            </w:r>
          </w:p>
        </w:tc>
      </w:tr>
    </w:tbl>
    <w:p w14:paraId="64A04868">
      <w:pPr>
        <w:adjustRightInd w:val="0"/>
        <w:snapToGrid w:val="0"/>
        <w:jc w:val="left"/>
        <w:rPr>
          <w:rFonts w:ascii="宋体" w:hAnsi="宋体"/>
          <w:color w:val="auto"/>
          <w:sz w:val="24"/>
          <w:highlight w:val="none"/>
          <w:vertAlign w:val="superscript"/>
        </w:rPr>
      </w:pPr>
    </w:p>
    <w:p w14:paraId="344AE3F7">
      <w:pPr>
        <w:spacing w:line="360" w:lineRule="auto"/>
        <w:ind w:right="360" w:firstLine="480"/>
        <w:jc w:val="right"/>
        <w:rPr>
          <w:rFonts w:ascii="宋体" w:hAnsi="宋体"/>
          <w:color w:val="auto"/>
          <w:sz w:val="24"/>
          <w:highlight w:val="none"/>
        </w:rPr>
      </w:pPr>
    </w:p>
    <w:p w14:paraId="12E8CE47">
      <w:pPr>
        <w:spacing w:line="360" w:lineRule="auto"/>
        <w:ind w:right="360" w:firstLine="480"/>
        <w:jc w:val="right"/>
        <w:rPr>
          <w:rFonts w:ascii="宋体" w:hAnsi="宋体"/>
          <w:color w:val="auto"/>
          <w:sz w:val="24"/>
          <w:highlight w:val="none"/>
        </w:rPr>
      </w:pPr>
    </w:p>
    <w:p w14:paraId="37BE04BF">
      <w:pPr>
        <w:spacing w:line="360" w:lineRule="auto"/>
        <w:outlineLvl w:val="9"/>
        <w:rPr>
          <w:rFonts w:ascii="宋体" w:hAnsi="宋体"/>
          <w:color w:val="auto"/>
          <w:sz w:val="24"/>
          <w:highlight w:val="none"/>
        </w:rPr>
      </w:pPr>
      <w:r>
        <w:rPr>
          <w:rFonts w:ascii="宋体" w:hAnsi="宋体"/>
          <w:color w:val="auto"/>
          <w:sz w:val="24"/>
          <w:highlight w:val="none"/>
        </w:rPr>
        <w:br w:type="page"/>
      </w:r>
    </w:p>
    <w:p w14:paraId="241A8584">
      <w:pPr>
        <w:spacing w:before="240" w:beforeLines="100" w:after="240" w:afterLines="100" w:line="360" w:lineRule="auto"/>
        <w:jc w:val="center"/>
        <w:rPr>
          <w:rFonts w:ascii="宋体" w:hAnsi="宋体"/>
          <w:color w:val="auto"/>
          <w:sz w:val="24"/>
          <w:highlight w:val="none"/>
        </w:rPr>
      </w:pPr>
      <w:r>
        <w:rPr>
          <w:rFonts w:ascii="宋体" w:hAnsi="宋体"/>
          <w:b/>
          <w:bCs/>
          <w:color w:val="auto"/>
          <w:sz w:val="24"/>
          <w:highlight w:val="none"/>
        </w:rPr>
        <w:t>残疾人福利性单位声明函格式</w:t>
      </w:r>
      <w:r>
        <w:rPr>
          <w:rFonts w:ascii="宋体" w:hAnsi="宋体"/>
          <w:color w:val="auto"/>
          <w:sz w:val="24"/>
          <w:highlight w:val="none"/>
        </w:rPr>
        <w:t xml:space="preserve"> </w:t>
      </w:r>
    </w:p>
    <w:p w14:paraId="10BB1949">
      <w:pPr>
        <w:spacing w:line="588" w:lineRule="exact"/>
        <w:ind w:firstLine="504"/>
        <w:rPr>
          <w:rFonts w:ascii="宋体" w:hAnsi="宋体"/>
          <w:color w:val="auto"/>
          <w:spacing w:val="6"/>
          <w:sz w:val="24"/>
          <w:highlight w:val="none"/>
        </w:rPr>
      </w:pPr>
      <w:r>
        <w:rPr>
          <w:rFonts w:ascii="宋体" w:hAnsi="宋体"/>
          <w:color w:val="auto"/>
          <w:spacing w:val="6"/>
          <w:sz w:val="24"/>
          <w:highlight w:val="none"/>
        </w:rPr>
        <w:t>本单位郑重声明，根据《财政部 民政部 中国残疾人联合会关于促进残疾人就业政府采购政策的通知》（财库</w:t>
      </w:r>
      <w:r>
        <w:rPr>
          <w:rFonts w:ascii="宋体" w:hAnsi="宋体"/>
          <w:color w:val="auto"/>
          <w:sz w:val="24"/>
          <w:highlight w:val="none"/>
        </w:rPr>
        <w:t>〔2017〕141</w:t>
      </w:r>
      <w:r>
        <w:rPr>
          <w:rFonts w:ascii="宋体" w:hAnsi="宋体"/>
          <w:color w:val="auto"/>
          <w:spacing w:val="6"/>
          <w:sz w:val="24"/>
          <w:highlight w:val="none"/>
        </w:rPr>
        <w:t>号）的规定，本单位</w:t>
      </w:r>
      <w:r>
        <w:rPr>
          <w:rFonts w:ascii="宋体" w:hAnsi="宋体"/>
          <w:b/>
          <w:color w:val="auto"/>
          <w:sz w:val="24"/>
          <w:highlight w:val="none"/>
        </w:rPr>
        <w:t>（请进行勾选）</w:t>
      </w:r>
      <w:r>
        <w:rPr>
          <w:rFonts w:ascii="宋体" w:hAnsi="宋体"/>
          <w:color w:val="auto"/>
          <w:spacing w:val="6"/>
          <w:sz w:val="24"/>
          <w:highlight w:val="none"/>
        </w:rPr>
        <w:t>：</w:t>
      </w:r>
    </w:p>
    <w:p w14:paraId="18664D98">
      <w:pPr>
        <w:spacing w:line="588" w:lineRule="exact"/>
        <w:ind w:firstLine="482"/>
        <w:rPr>
          <w:rFonts w:ascii="宋体" w:hAnsi="宋体"/>
          <w:b/>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不属于符合条件的残疾人福利性单位。</w:t>
      </w:r>
    </w:p>
    <w:p w14:paraId="19922311">
      <w:pPr>
        <w:spacing w:line="588" w:lineRule="exact"/>
        <w:ind w:firstLine="482"/>
        <w:rPr>
          <w:rFonts w:ascii="宋体" w:hAnsi="宋体"/>
          <w:color w:val="auto"/>
          <w:spacing w:val="6"/>
          <w:sz w:val="24"/>
          <w:highlight w:val="none"/>
        </w:rPr>
      </w:pPr>
      <w:r>
        <w:rPr>
          <w:rFonts w:ascii="宋体" w:hAnsi="宋体"/>
          <w:b/>
          <w:color w:val="auto"/>
          <w:sz w:val="24"/>
          <w:highlight w:val="none"/>
        </w:rPr>
        <w:t>□</w:t>
      </w:r>
      <w:r>
        <w:rPr>
          <w:rFonts w:ascii="宋体" w:hAnsi="宋体"/>
          <w:b/>
          <w:color w:val="auto"/>
          <w:spacing w:val="6"/>
          <w:sz w:val="24"/>
          <w:highlight w:val="none"/>
        </w:rPr>
        <w:t>属于符合条件的残疾人福利性单位，</w:t>
      </w:r>
      <w:r>
        <w:rPr>
          <w:rFonts w:ascii="宋体" w:hAnsi="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059CC47">
      <w:pPr>
        <w:spacing w:line="588" w:lineRule="exact"/>
        <w:ind w:firstLine="506" w:firstLineChars="200"/>
        <w:rPr>
          <w:rFonts w:ascii="宋体" w:hAnsi="宋体"/>
          <w:color w:val="auto"/>
          <w:spacing w:val="6"/>
          <w:sz w:val="24"/>
          <w:highlight w:val="none"/>
        </w:rPr>
      </w:pPr>
      <w:r>
        <w:rPr>
          <w:rFonts w:ascii="宋体" w:hAnsi="宋体"/>
          <w:b/>
          <w:color w:val="auto"/>
          <w:spacing w:val="6"/>
          <w:sz w:val="24"/>
          <w:highlight w:val="none"/>
        </w:rPr>
        <w:t>本单位对上述声明的真实性负责。如有虚假，将依法承担相应责任。</w:t>
      </w:r>
    </w:p>
    <w:p w14:paraId="49796B23">
      <w:pPr>
        <w:spacing w:line="588" w:lineRule="exact"/>
        <w:ind w:firstLine="504" w:firstLineChars="200"/>
        <w:rPr>
          <w:rFonts w:ascii="宋体" w:hAnsi="宋体"/>
          <w:color w:val="auto"/>
          <w:spacing w:val="6"/>
          <w:sz w:val="24"/>
          <w:highlight w:val="none"/>
        </w:rPr>
      </w:pPr>
    </w:p>
    <w:p w14:paraId="3FAC7D9C">
      <w:pPr>
        <w:spacing w:line="588" w:lineRule="exact"/>
        <w:ind w:firstLine="504" w:firstLineChars="200"/>
        <w:rPr>
          <w:rFonts w:ascii="宋体" w:hAnsi="宋体"/>
          <w:color w:val="auto"/>
          <w:spacing w:val="6"/>
          <w:sz w:val="24"/>
          <w:highlight w:val="none"/>
        </w:rPr>
      </w:pPr>
    </w:p>
    <w:p w14:paraId="5D598E0D">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单位名称（盖章）：</w:t>
      </w:r>
    </w:p>
    <w:p w14:paraId="773E3BE2">
      <w:pPr>
        <w:tabs>
          <w:tab w:val="left" w:pos="4860"/>
        </w:tabs>
        <w:spacing w:line="588" w:lineRule="exact"/>
        <w:ind w:right="1560" w:firstLine="504" w:firstLineChars="200"/>
        <w:jc w:val="center"/>
        <w:rPr>
          <w:rFonts w:ascii="宋体" w:hAnsi="宋体"/>
          <w:color w:val="auto"/>
          <w:spacing w:val="6"/>
          <w:sz w:val="24"/>
          <w:highlight w:val="none"/>
        </w:rPr>
      </w:pPr>
      <w:r>
        <w:rPr>
          <w:rFonts w:ascii="宋体" w:hAnsi="宋体"/>
          <w:color w:val="auto"/>
          <w:spacing w:val="6"/>
          <w:sz w:val="24"/>
          <w:highlight w:val="none"/>
        </w:rPr>
        <w:t xml:space="preserve">       日  期：</w:t>
      </w:r>
    </w:p>
    <w:p w14:paraId="6C566524">
      <w:pPr>
        <w:spacing w:line="360" w:lineRule="auto"/>
        <w:outlineLvl w:val="2"/>
        <w:rPr>
          <w:rFonts w:ascii="宋体" w:hAnsi="宋体"/>
          <w:color w:val="auto"/>
          <w:sz w:val="24"/>
          <w:highlight w:val="none"/>
        </w:rPr>
      </w:pPr>
      <w:r>
        <w:rPr>
          <w:rFonts w:ascii="宋体" w:hAnsi="宋体"/>
          <w:color w:val="auto"/>
          <w:sz w:val="24"/>
          <w:highlight w:val="none"/>
        </w:rPr>
        <w:br w:type="page"/>
      </w:r>
      <w:r>
        <w:rPr>
          <w:rFonts w:ascii="宋体" w:hAnsi="宋体"/>
          <w:color w:val="auto"/>
          <w:sz w:val="24"/>
          <w:highlight w:val="none"/>
        </w:rPr>
        <w:t>8  拟分包情况说明（类型二）（实质性格式）</w:t>
      </w:r>
      <w:r>
        <w:rPr>
          <w:rFonts w:hint="eastAsia" w:ascii="宋体" w:hAnsi="宋体"/>
          <w:color w:val="auto"/>
          <w:sz w:val="24"/>
          <w:highlight w:val="none"/>
        </w:rPr>
        <w:t>（本项目不适用）</w:t>
      </w:r>
    </w:p>
    <w:p w14:paraId="78A49BE9">
      <w:pPr>
        <w:autoSpaceDE w:val="0"/>
        <w:autoSpaceDN w:val="0"/>
        <w:adjustRightInd w:val="0"/>
        <w:jc w:val="center"/>
        <w:rPr>
          <w:rFonts w:ascii="宋体" w:hAnsi="宋体"/>
          <w:color w:val="auto"/>
          <w:sz w:val="24"/>
          <w:highlight w:val="none"/>
        </w:rPr>
      </w:pPr>
    </w:p>
    <w:p w14:paraId="03A83729">
      <w:pPr>
        <w:autoSpaceDE w:val="0"/>
        <w:autoSpaceDN w:val="0"/>
        <w:adjustRightInd w:val="0"/>
        <w:spacing w:line="360" w:lineRule="auto"/>
        <w:jc w:val="center"/>
        <w:rPr>
          <w:rFonts w:ascii="宋体" w:hAnsi="宋体"/>
          <w:b/>
          <w:color w:val="auto"/>
          <w:sz w:val="24"/>
          <w:highlight w:val="none"/>
        </w:rPr>
      </w:pPr>
      <w:r>
        <w:rPr>
          <w:rFonts w:hint="eastAsia" w:ascii="宋体" w:hAnsi="宋体"/>
          <w:b/>
          <w:color w:val="auto"/>
          <w:sz w:val="24"/>
          <w:highlight w:val="none"/>
        </w:rPr>
        <w:t>拟分包情况说明</w:t>
      </w:r>
    </w:p>
    <w:p w14:paraId="374D4C09">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（采购人或采购代理机构）</w:t>
      </w:r>
    </w:p>
    <w:p w14:paraId="6A3BC7A6">
      <w:pPr>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我单位参加贵单位组织采购的项目编号为_______的_________项目（填写采购</w:t>
      </w:r>
      <w:r>
        <w:rPr>
          <w:rFonts w:hint="eastAsia" w:ascii="宋体" w:hAnsi="宋体"/>
          <w:color w:val="auto"/>
          <w:sz w:val="24"/>
          <w:highlight w:val="none"/>
        </w:rPr>
        <w:t>项目名称/标的名称</w:t>
      </w:r>
      <w:r>
        <w:rPr>
          <w:rFonts w:ascii="宋体" w:hAnsi="宋体"/>
          <w:color w:val="auto"/>
          <w:sz w:val="24"/>
          <w:highlight w:val="none"/>
        </w:rPr>
        <w:t>）中___包（填写包号）的投标。拟签订分包合同的单位情况如下表所示，我单位承诺一旦在该项目中获得采购合同将按下表所列情况进行分包，同时承诺分包承担主体不再次分包。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3C7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67592E1">
            <w:pPr>
              <w:pStyle w:val="251"/>
              <w:jc w:val="center"/>
              <w:rPr>
                <w:color w:val="auto"/>
                <w:sz w:val="24"/>
                <w:szCs w:val="24"/>
                <w:highlight w:val="none"/>
              </w:rPr>
            </w:pPr>
            <w:r>
              <w:rPr>
                <w:color w:val="auto"/>
                <w:sz w:val="24"/>
                <w:szCs w:val="24"/>
                <w:highlight w:val="none"/>
              </w:rPr>
              <w:t>序号</w:t>
            </w:r>
          </w:p>
        </w:tc>
        <w:tc>
          <w:tcPr>
            <w:tcW w:w="1287" w:type="dxa"/>
            <w:vAlign w:val="center"/>
          </w:tcPr>
          <w:p w14:paraId="674258F2">
            <w:pPr>
              <w:pStyle w:val="251"/>
              <w:jc w:val="center"/>
              <w:rPr>
                <w:color w:val="auto"/>
                <w:sz w:val="24"/>
                <w:szCs w:val="24"/>
                <w:highlight w:val="none"/>
              </w:rPr>
            </w:pPr>
            <w:r>
              <w:rPr>
                <w:color w:val="auto"/>
                <w:sz w:val="24"/>
                <w:szCs w:val="24"/>
                <w:highlight w:val="none"/>
              </w:rPr>
              <w:t>分包承担</w:t>
            </w:r>
          </w:p>
          <w:p w14:paraId="7C347D67">
            <w:pPr>
              <w:pStyle w:val="251"/>
              <w:jc w:val="center"/>
              <w:rPr>
                <w:color w:val="auto"/>
                <w:sz w:val="24"/>
                <w:szCs w:val="24"/>
                <w:highlight w:val="none"/>
              </w:rPr>
            </w:pPr>
            <w:r>
              <w:rPr>
                <w:color w:val="auto"/>
                <w:sz w:val="24"/>
                <w:szCs w:val="24"/>
                <w:highlight w:val="none"/>
              </w:rPr>
              <w:t>主体名称</w:t>
            </w:r>
          </w:p>
        </w:tc>
        <w:tc>
          <w:tcPr>
            <w:tcW w:w="1513" w:type="dxa"/>
            <w:vAlign w:val="center"/>
          </w:tcPr>
          <w:p w14:paraId="706CA26A">
            <w:pPr>
              <w:pStyle w:val="251"/>
              <w:jc w:val="center"/>
              <w:rPr>
                <w:color w:val="auto"/>
                <w:sz w:val="24"/>
                <w:szCs w:val="24"/>
                <w:highlight w:val="none"/>
                <w:lang w:eastAsia="zh-CN"/>
              </w:rPr>
            </w:pPr>
            <w:r>
              <w:rPr>
                <w:color w:val="auto"/>
                <w:sz w:val="24"/>
                <w:szCs w:val="24"/>
                <w:highlight w:val="none"/>
                <w:lang w:eastAsia="zh-CN"/>
              </w:rPr>
              <w:t>分包承担</w:t>
            </w:r>
          </w:p>
          <w:p w14:paraId="49E1A246">
            <w:pPr>
              <w:pStyle w:val="251"/>
              <w:jc w:val="center"/>
              <w:rPr>
                <w:color w:val="auto"/>
                <w:sz w:val="24"/>
                <w:szCs w:val="24"/>
                <w:highlight w:val="none"/>
                <w:lang w:eastAsia="zh-CN"/>
              </w:rPr>
            </w:pPr>
            <w:r>
              <w:rPr>
                <w:color w:val="auto"/>
                <w:sz w:val="24"/>
                <w:szCs w:val="24"/>
                <w:highlight w:val="none"/>
                <w:lang w:eastAsia="zh-CN"/>
              </w:rPr>
              <w:t>主体类型</w:t>
            </w:r>
          </w:p>
          <w:p w14:paraId="224430FB">
            <w:pPr>
              <w:pStyle w:val="251"/>
              <w:jc w:val="center"/>
              <w:rPr>
                <w:color w:val="auto"/>
                <w:sz w:val="24"/>
                <w:szCs w:val="24"/>
                <w:highlight w:val="none"/>
                <w:lang w:eastAsia="zh-CN"/>
              </w:rPr>
            </w:pPr>
            <w:r>
              <w:rPr>
                <w:rFonts w:hint="eastAsia"/>
                <w:color w:val="auto"/>
                <w:sz w:val="24"/>
                <w:szCs w:val="24"/>
                <w:highlight w:val="none"/>
                <w:lang w:eastAsia="zh-CN"/>
              </w:rPr>
              <w:t>（勾选）</w:t>
            </w:r>
          </w:p>
        </w:tc>
        <w:tc>
          <w:tcPr>
            <w:tcW w:w="1125" w:type="dxa"/>
            <w:vAlign w:val="center"/>
          </w:tcPr>
          <w:p w14:paraId="0D190A91">
            <w:pPr>
              <w:pStyle w:val="251"/>
              <w:jc w:val="center"/>
              <w:rPr>
                <w:color w:val="auto"/>
                <w:sz w:val="24"/>
                <w:szCs w:val="24"/>
                <w:highlight w:val="none"/>
              </w:rPr>
            </w:pPr>
            <w:r>
              <w:rPr>
                <w:color w:val="auto"/>
                <w:sz w:val="24"/>
                <w:szCs w:val="24"/>
                <w:highlight w:val="none"/>
              </w:rPr>
              <w:t>资质等级</w:t>
            </w:r>
          </w:p>
        </w:tc>
        <w:tc>
          <w:tcPr>
            <w:tcW w:w="1558" w:type="dxa"/>
            <w:vAlign w:val="center"/>
          </w:tcPr>
          <w:p w14:paraId="3A1DFD77">
            <w:pPr>
              <w:pStyle w:val="251"/>
              <w:jc w:val="center"/>
              <w:rPr>
                <w:color w:val="auto"/>
                <w:sz w:val="24"/>
                <w:szCs w:val="24"/>
                <w:highlight w:val="none"/>
              </w:rPr>
            </w:pPr>
            <w:r>
              <w:rPr>
                <w:color w:val="auto"/>
                <w:sz w:val="24"/>
                <w:szCs w:val="24"/>
                <w:highlight w:val="none"/>
              </w:rPr>
              <w:t>拟分包</w:t>
            </w:r>
          </w:p>
          <w:p w14:paraId="315976CA">
            <w:pPr>
              <w:pStyle w:val="251"/>
              <w:jc w:val="center"/>
              <w:rPr>
                <w:color w:val="auto"/>
                <w:sz w:val="24"/>
                <w:szCs w:val="24"/>
                <w:highlight w:val="none"/>
              </w:rPr>
            </w:pPr>
            <w:r>
              <w:rPr>
                <w:color w:val="auto"/>
                <w:sz w:val="24"/>
                <w:szCs w:val="24"/>
                <w:highlight w:val="none"/>
              </w:rPr>
              <w:t>合同内容</w:t>
            </w:r>
          </w:p>
        </w:tc>
        <w:tc>
          <w:tcPr>
            <w:tcW w:w="1498" w:type="dxa"/>
            <w:vAlign w:val="center"/>
          </w:tcPr>
          <w:p w14:paraId="04E436D8">
            <w:pPr>
              <w:pStyle w:val="251"/>
              <w:jc w:val="center"/>
              <w:rPr>
                <w:color w:val="auto"/>
                <w:sz w:val="24"/>
                <w:szCs w:val="24"/>
                <w:highlight w:val="none"/>
                <w:lang w:eastAsia="zh-CN"/>
              </w:rPr>
            </w:pPr>
            <w:r>
              <w:rPr>
                <w:color w:val="auto"/>
                <w:sz w:val="24"/>
                <w:szCs w:val="24"/>
                <w:highlight w:val="none"/>
                <w:lang w:eastAsia="zh-CN"/>
              </w:rPr>
              <w:t>拟分包</w:t>
            </w:r>
          </w:p>
          <w:p w14:paraId="1006FEE7">
            <w:pPr>
              <w:pStyle w:val="251"/>
              <w:jc w:val="center"/>
              <w:rPr>
                <w:color w:val="auto"/>
                <w:sz w:val="24"/>
                <w:szCs w:val="24"/>
                <w:highlight w:val="none"/>
                <w:lang w:eastAsia="zh-CN"/>
              </w:rPr>
            </w:pPr>
            <w:r>
              <w:rPr>
                <w:color w:val="auto"/>
                <w:sz w:val="24"/>
                <w:szCs w:val="24"/>
                <w:highlight w:val="none"/>
                <w:lang w:eastAsia="zh-CN"/>
              </w:rPr>
              <w:t>合同金额</w:t>
            </w:r>
          </w:p>
          <w:p w14:paraId="215635E4">
            <w:pPr>
              <w:pStyle w:val="251"/>
              <w:jc w:val="center"/>
              <w:rPr>
                <w:color w:val="auto"/>
                <w:sz w:val="24"/>
                <w:szCs w:val="24"/>
                <w:highlight w:val="none"/>
                <w:lang w:eastAsia="zh-CN"/>
              </w:rPr>
            </w:pPr>
            <w:r>
              <w:rPr>
                <w:color w:val="auto"/>
                <w:sz w:val="24"/>
                <w:szCs w:val="24"/>
                <w:highlight w:val="none"/>
                <w:lang w:eastAsia="zh-CN"/>
              </w:rPr>
              <w:t>（人民币元）</w:t>
            </w:r>
          </w:p>
        </w:tc>
        <w:tc>
          <w:tcPr>
            <w:tcW w:w="1564" w:type="dxa"/>
            <w:vAlign w:val="center"/>
          </w:tcPr>
          <w:p w14:paraId="23132A5F">
            <w:pPr>
              <w:pStyle w:val="251"/>
              <w:jc w:val="center"/>
              <w:rPr>
                <w:b/>
                <w:color w:val="auto"/>
                <w:sz w:val="24"/>
                <w:szCs w:val="24"/>
                <w:highlight w:val="none"/>
                <w:lang w:eastAsia="zh-CN"/>
              </w:rPr>
            </w:pPr>
            <w:r>
              <w:rPr>
                <w:b/>
                <w:color w:val="auto"/>
                <w:sz w:val="24"/>
                <w:szCs w:val="24"/>
                <w:highlight w:val="none"/>
                <w:lang w:eastAsia="zh-CN"/>
              </w:rPr>
              <w:t>占</w:t>
            </w:r>
            <w:r>
              <w:rPr>
                <w:rFonts w:hint="eastAsia"/>
                <w:b/>
                <w:color w:val="auto"/>
                <w:sz w:val="24"/>
                <w:szCs w:val="24"/>
                <w:highlight w:val="none"/>
                <w:lang w:eastAsia="zh-CN"/>
              </w:rPr>
              <w:t>投标报价</w:t>
            </w:r>
          </w:p>
          <w:p w14:paraId="6FD4C159">
            <w:pPr>
              <w:pStyle w:val="251"/>
              <w:jc w:val="center"/>
              <w:rPr>
                <w:color w:val="auto"/>
                <w:sz w:val="24"/>
                <w:szCs w:val="24"/>
                <w:highlight w:val="none"/>
                <w:lang w:eastAsia="zh-CN"/>
              </w:rPr>
            </w:pPr>
            <w:r>
              <w:rPr>
                <w:b/>
                <w:color w:val="auto"/>
                <w:sz w:val="24"/>
                <w:szCs w:val="24"/>
                <w:highlight w:val="none"/>
                <w:lang w:eastAsia="zh-CN"/>
              </w:rPr>
              <w:t>的比例</w:t>
            </w:r>
            <w:r>
              <w:rPr>
                <w:rFonts w:hint="eastAsia"/>
                <w:b/>
                <w:color w:val="auto"/>
                <w:sz w:val="24"/>
                <w:szCs w:val="24"/>
                <w:highlight w:val="none"/>
                <w:lang w:eastAsia="zh-CN"/>
              </w:rPr>
              <w:t>（</w:t>
            </w:r>
            <w:r>
              <w:rPr>
                <w:b/>
                <w:color w:val="auto"/>
                <w:sz w:val="24"/>
                <w:szCs w:val="24"/>
                <w:highlight w:val="none"/>
                <w:lang w:eastAsia="zh-CN"/>
              </w:rPr>
              <w:t>%</w:t>
            </w:r>
            <w:r>
              <w:rPr>
                <w:rFonts w:hint="eastAsia"/>
                <w:b/>
                <w:color w:val="auto"/>
                <w:sz w:val="24"/>
                <w:szCs w:val="24"/>
                <w:highlight w:val="none"/>
                <w:lang w:eastAsia="zh-CN"/>
              </w:rPr>
              <w:t>）</w:t>
            </w:r>
          </w:p>
        </w:tc>
      </w:tr>
      <w:tr w14:paraId="454E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164D854">
            <w:pPr>
              <w:pStyle w:val="251"/>
              <w:jc w:val="center"/>
              <w:rPr>
                <w:color w:val="auto"/>
                <w:sz w:val="24"/>
                <w:szCs w:val="24"/>
                <w:highlight w:val="none"/>
              </w:rPr>
            </w:pPr>
            <w:r>
              <w:rPr>
                <w:color w:val="auto"/>
                <w:sz w:val="24"/>
                <w:szCs w:val="24"/>
                <w:highlight w:val="none"/>
              </w:rPr>
              <w:t>1</w:t>
            </w:r>
          </w:p>
        </w:tc>
        <w:tc>
          <w:tcPr>
            <w:tcW w:w="1287" w:type="dxa"/>
            <w:vAlign w:val="center"/>
          </w:tcPr>
          <w:p w14:paraId="504A87F0">
            <w:pPr>
              <w:pStyle w:val="251"/>
              <w:jc w:val="center"/>
              <w:rPr>
                <w:rFonts w:cs="Times New Roman"/>
                <w:color w:val="auto"/>
                <w:sz w:val="24"/>
                <w:szCs w:val="24"/>
                <w:highlight w:val="none"/>
              </w:rPr>
            </w:pPr>
          </w:p>
        </w:tc>
        <w:tc>
          <w:tcPr>
            <w:tcW w:w="1513" w:type="dxa"/>
            <w:vAlign w:val="center"/>
          </w:tcPr>
          <w:p w14:paraId="076963A5">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p w14:paraId="53B2EEE3">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w:t>
            </w:r>
            <w:r>
              <w:rPr>
                <w:rFonts w:hint="eastAsia" w:cs="Times New Roman"/>
                <w:color w:val="auto"/>
                <w:sz w:val="24"/>
                <w:szCs w:val="24"/>
                <w:highlight w:val="none"/>
                <w:lang w:eastAsia="zh-CN"/>
              </w:rPr>
              <w:t>其他类型</w:t>
            </w:r>
          </w:p>
        </w:tc>
        <w:tc>
          <w:tcPr>
            <w:tcW w:w="1125" w:type="dxa"/>
            <w:vAlign w:val="center"/>
          </w:tcPr>
          <w:p w14:paraId="43E6C69A">
            <w:pPr>
              <w:pStyle w:val="251"/>
              <w:jc w:val="center"/>
              <w:rPr>
                <w:color w:val="auto"/>
                <w:sz w:val="24"/>
                <w:szCs w:val="24"/>
                <w:highlight w:val="none"/>
                <w:lang w:eastAsia="zh-CN"/>
              </w:rPr>
            </w:pPr>
          </w:p>
        </w:tc>
        <w:tc>
          <w:tcPr>
            <w:tcW w:w="1558" w:type="dxa"/>
            <w:vAlign w:val="center"/>
          </w:tcPr>
          <w:p w14:paraId="4D171326">
            <w:pPr>
              <w:pStyle w:val="251"/>
              <w:jc w:val="center"/>
              <w:rPr>
                <w:color w:val="auto"/>
                <w:sz w:val="24"/>
                <w:szCs w:val="24"/>
                <w:highlight w:val="none"/>
                <w:lang w:eastAsia="zh-CN"/>
              </w:rPr>
            </w:pPr>
          </w:p>
        </w:tc>
        <w:tc>
          <w:tcPr>
            <w:tcW w:w="1498" w:type="dxa"/>
            <w:vAlign w:val="center"/>
          </w:tcPr>
          <w:p w14:paraId="61098EF9">
            <w:pPr>
              <w:pStyle w:val="251"/>
              <w:jc w:val="center"/>
              <w:rPr>
                <w:color w:val="auto"/>
                <w:sz w:val="24"/>
                <w:szCs w:val="24"/>
                <w:highlight w:val="none"/>
                <w:lang w:eastAsia="zh-CN"/>
              </w:rPr>
            </w:pPr>
          </w:p>
        </w:tc>
        <w:tc>
          <w:tcPr>
            <w:tcW w:w="1564" w:type="dxa"/>
            <w:vAlign w:val="center"/>
          </w:tcPr>
          <w:p w14:paraId="1D99DCA2">
            <w:pPr>
              <w:pStyle w:val="251"/>
              <w:jc w:val="center"/>
              <w:rPr>
                <w:color w:val="auto"/>
                <w:sz w:val="24"/>
                <w:szCs w:val="24"/>
                <w:highlight w:val="none"/>
                <w:lang w:eastAsia="zh-CN"/>
              </w:rPr>
            </w:pPr>
          </w:p>
        </w:tc>
      </w:tr>
      <w:tr w14:paraId="47640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9070256">
            <w:pPr>
              <w:pStyle w:val="251"/>
              <w:jc w:val="center"/>
              <w:rPr>
                <w:color w:val="auto"/>
                <w:sz w:val="24"/>
                <w:szCs w:val="24"/>
                <w:highlight w:val="none"/>
                <w:lang w:eastAsia="zh-CN"/>
              </w:rPr>
            </w:pPr>
            <w:r>
              <w:rPr>
                <w:rFonts w:hint="eastAsia"/>
                <w:color w:val="auto"/>
                <w:sz w:val="24"/>
                <w:szCs w:val="24"/>
                <w:highlight w:val="none"/>
                <w:lang w:eastAsia="zh-CN"/>
              </w:rPr>
              <w:t>2</w:t>
            </w:r>
          </w:p>
        </w:tc>
        <w:tc>
          <w:tcPr>
            <w:tcW w:w="1287" w:type="dxa"/>
            <w:vAlign w:val="center"/>
          </w:tcPr>
          <w:p w14:paraId="4A12B6DB">
            <w:pPr>
              <w:pStyle w:val="251"/>
              <w:jc w:val="center"/>
              <w:rPr>
                <w:color w:val="auto"/>
                <w:sz w:val="24"/>
                <w:szCs w:val="24"/>
                <w:highlight w:val="none"/>
              </w:rPr>
            </w:pPr>
          </w:p>
        </w:tc>
        <w:tc>
          <w:tcPr>
            <w:tcW w:w="1513" w:type="dxa"/>
            <w:vAlign w:val="center"/>
          </w:tcPr>
          <w:p w14:paraId="28F17CD8">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□小微企业</w:t>
            </w:r>
          </w:p>
          <w:p w14:paraId="35B0AF11">
            <w:pPr>
              <w:pStyle w:val="251"/>
              <w:tabs>
                <w:tab w:val="left" w:pos="235"/>
              </w:tabs>
              <w:ind w:left="1" w:leftChars="-43" w:hanging="91" w:hangingChars="38"/>
              <w:jc w:val="center"/>
              <w:rPr>
                <w:rFonts w:cs="Times New Roman"/>
                <w:color w:val="auto"/>
                <w:sz w:val="24"/>
                <w:szCs w:val="24"/>
                <w:highlight w:val="none"/>
                <w:lang w:eastAsia="zh-CN"/>
              </w:rPr>
            </w:pPr>
            <w:r>
              <w:rPr>
                <w:rFonts w:cs="Times New Roman"/>
                <w:color w:val="auto"/>
                <w:sz w:val="24"/>
                <w:szCs w:val="24"/>
                <w:highlight w:val="none"/>
                <w:lang w:eastAsia="zh-CN"/>
              </w:rPr>
              <w:t>□</w:t>
            </w:r>
            <w:r>
              <w:rPr>
                <w:rFonts w:hint="eastAsia" w:cs="Times New Roman"/>
                <w:color w:val="auto"/>
                <w:sz w:val="24"/>
                <w:szCs w:val="24"/>
                <w:highlight w:val="none"/>
                <w:lang w:eastAsia="zh-CN"/>
              </w:rPr>
              <w:t>其他类型</w:t>
            </w:r>
          </w:p>
        </w:tc>
        <w:tc>
          <w:tcPr>
            <w:tcW w:w="1125" w:type="dxa"/>
            <w:vAlign w:val="center"/>
          </w:tcPr>
          <w:p w14:paraId="2E1A85C1">
            <w:pPr>
              <w:pStyle w:val="251"/>
              <w:jc w:val="center"/>
              <w:rPr>
                <w:color w:val="auto"/>
                <w:sz w:val="24"/>
                <w:szCs w:val="24"/>
                <w:highlight w:val="none"/>
                <w:lang w:eastAsia="zh-CN"/>
              </w:rPr>
            </w:pPr>
          </w:p>
        </w:tc>
        <w:tc>
          <w:tcPr>
            <w:tcW w:w="1558" w:type="dxa"/>
            <w:vAlign w:val="center"/>
          </w:tcPr>
          <w:p w14:paraId="6E08D5F8">
            <w:pPr>
              <w:pStyle w:val="251"/>
              <w:jc w:val="center"/>
              <w:rPr>
                <w:color w:val="auto"/>
                <w:sz w:val="24"/>
                <w:szCs w:val="24"/>
                <w:highlight w:val="none"/>
                <w:lang w:eastAsia="zh-CN"/>
              </w:rPr>
            </w:pPr>
          </w:p>
        </w:tc>
        <w:tc>
          <w:tcPr>
            <w:tcW w:w="1498" w:type="dxa"/>
            <w:vAlign w:val="center"/>
          </w:tcPr>
          <w:p w14:paraId="6BEF1EB0">
            <w:pPr>
              <w:pStyle w:val="251"/>
              <w:jc w:val="center"/>
              <w:rPr>
                <w:color w:val="auto"/>
                <w:sz w:val="24"/>
                <w:szCs w:val="24"/>
                <w:highlight w:val="none"/>
                <w:lang w:eastAsia="zh-CN"/>
              </w:rPr>
            </w:pPr>
          </w:p>
        </w:tc>
        <w:tc>
          <w:tcPr>
            <w:tcW w:w="1564" w:type="dxa"/>
            <w:vAlign w:val="center"/>
          </w:tcPr>
          <w:p w14:paraId="7AB1979B">
            <w:pPr>
              <w:pStyle w:val="251"/>
              <w:jc w:val="center"/>
              <w:rPr>
                <w:color w:val="auto"/>
                <w:sz w:val="24"/>
                <w:szCs w:val="24"/>
                <w:highlight w:val="none"/>
                <w:lang w:eastAsia="zh-CN"/>
              </w:rPr>
            </w:pPr>
          </w:p>
        </w:tc>
      </w:tr>
      <w:tr w14:paraId="16D0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094DB50">
            <w:pPr>
              <w:pStyle w:val="251"/>
              <w:jc w:val="center"/>
              <w:rPr>
                <w:color w:val="auto"/>
                <w:sz w:val="24"/>
                <w:szCs w:val="24"/>
                <w:highlight w:val="none"/>
                <w:lang w:eastAsia="zh-CN"/>
              </w:rPr>
            </w:pPr>
            <w:r>
              <w:rPr>
                <w:color w:val="auto"/>
                <w:sz w:val="24"/>
                <w:szCs w:val="24"/>
                <w:highlight w:val="none"/>
                <w:lang w:eastAsia="zh-CN"/>
              </w:rPr>
              <w:t>…</w:t>
            </w:r>
          </w:p>
        </w:tc>
        <w:tc>
          <w:tcPr>
            <w:tcW w:w="1287" w:type="dxa"/>
            <w:vAlign w:val="center"/>
          </w:tcPr>
          <w:p w14:paraId="7C83C7D2">
            <w:pPr>
              <w:pStyle w:val="251"/>
              <w:jc w:val="center"/>
              <w:rPr>
                <w:color w:val="auto"/>
                <w:sz w:val="24"/>
                <w:szCs w:val="24"/>
                <w:highlight w:val="none"/>
              </w:rPr>
            </w:pPr>
          </w:p>
        </w:tc>
        <w:tc>
          <w:tcPr>
            <w:tcW w:w="1513" w:type="dxa"/>
            <w:vAlign w:val="center"/>
          </w:tcPr>
          <w:p w14:paraId="4F55BCD7">
            <w:pPr>
              <w:pStyle w:val="251"/>
              <w:tabs>
                <w:tab w:val="left" w:pos="235"/>
              </w:tabs>
              <w:jc w:val="center"/>
              <w:rPr>
                <w:color w:val="auto"/>
                <w:sz w:val="24"/>
                <w:szCs w:val="24"/>
                <w:highlight w:val="none"/>
              </w:rPr>
            </w:pPr>
          </w:p>
        </w:tc>
        <w:tc>
          <w:tcPr>
            <w:tcW w:w="1125" w:type="dxa"/>
            <w:vAlign w:val="center"/>
          </w:tcPr>
          <w:p w14:paraId="2E58D35D">
            <w:pPr>
              <w:pStyle w:val="251"/>
              <w:jc w:val="center"/>
              <w:rPr>
                <w:color w:val="auto"/>
                <w:sz w:val="24"/>
                <w:szCs w:val="24"/>
                <w:highlight w:val="none"/>
              </w:rPr>
            </w:pPr>
          </w:p>
        </w:tc>
        <w:tc>
          <w:tcPr>
            <w:tcW w:w="1558" w:type="dxa"/>
            <w:vAlign w:val="center"/>
          </w:tcPr>
          <w:p w14:paraId="0C7E97E9">
            <w:pPr>
              <w:pStyle w:val="251"/>
              <w:jc w:val="center"/>
              <w:rPr>
                <w:color w:val="auto"/>
                <w:sz w:val="24"/>
                <w:szCs w:val="24"/>
                <w:highlight w:val="none"/>
              </w:rPr>
            </w:pPr>
          </w:p>
        </w:tc>
        <w:tc>
          <w:tcPr>
            <w:tcW w:w="1498" w:type="dxa"/>
            <w:vAlign w:val="center"/>
          </w:tcPr>
          <w:p w14:paraId="62210843">
            <w:pPr>
              <w:pStyle w:val="251"/>
              <w:jc w:val="center"/>
              <w:rPr>
                <w:color w:val="auto"/>
                <w:sz w:val="24"/>
                <w:szCs w:val="24"/>
                <w:highlight w:val="none"/>
              </w:rPr>
            </w:pPr>
          </w:p>
        </w:tc>
        <w:tc>
          <w:tcPr>
            <w:tcW w:w="1564" w:type="dxa"/>
            <w:vAlign w:val="center"/>
          </w:tcPr>
          <w:p w14:paraId="12853664">
            <w:pPr>
              <w:pStyle w:val="251"/>
              <w:jc w:val="center"/>
              <w:rPr>
                <w:color w:val="auto"/>
                <w:sz w:val="24"/>
                <w:szCs w:val="24"/>
                <w:highlight w:val="none"/>
              </w:rPr>
            </w:pPr>
          </w:p>
        </w:tc>
      </w:tr>
      <w:tr w14:paraId="15FE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0A89AD">
            <w:pPr>
              <w:pStyle w:val="251"/>
              <w:ind w:right="57" w:rightChars="27"/>
              <w:jc w:val="right"/>
              <w:rPr>
                <w:color w:val="auto"/>
                <w:sz w:val="24"/>
                <w:szCs w:val="24"/>
                <w:highlight w:val="none"/>
                <w:lang w:eastAsia="zh-CN"/>
              </w:rPr>
            </w:pPr>
            <w:r>
              <w:rPr>
                <w:rFonts w:hint="eastAsia"/>
                <w:color w:val="auto"/>
                <w:sz w:val="24"/>
                <w:szCs w:val="24"/>
                <w:highlight w:val="none"/>
                <w:lang w:eastAsia="zh-CN"/>
              </w:rPr>
              <w:t>合计：</w:t>
            </w:r>
          </w:p>
        </w:tc>
        <w:tc>
          <w:tcPr>
            <w:tcW w:w="1498" w:type="dxa"/>
            <w:vAlign w:val="center"/>
          </w:tcPr>
          <w:p w14:paraId="5BC8953C">
            <w:pPr>
              <w:pStyle w:val="251"/>
              <w:jc w:val="center"/>
              <w:rPr>
                <w:color w:val="auto"/>
                <w:sz w:val="24"/>
                <w:szCs w:val="24"/>
                <w:highlight w:val="none"/>
              </w:rPr>
            </w:pPr>
          </w:p>
        </w:tc>
        <w:tc>
          <w:tcPr>
            <w:tcW w:w="1564" w:type="dxa"/>
            <w:vAlign w:val="center"/>
          </w:tcPr>
          <w:p w14:paraId="41745DAF">
            <w:pPr>
              <w:pStyle w:val="251"/>
              <w:jc w:val="center"/>
              <w:rPr>
                <w:color w:val="auto"/>
                <w:sz w:val="24"/>
                <w:szCs w:val="24"/>
                <w:highlight w:val="none"/>
              </w:rPr>
            </w:pPr>
          </w:p>
        </w:tc>
      </w:tr>
    </w:tbl>
    <w:p w14:paraId="230FEE63">
      <w:pPr>
        <w:adjustRightInd w:val="0"/>
        <w:snapToGrid w:val="0"/>
        <w:spacing w:line="360" w:lineRule="auto"/>
        <w:ind w:firstLine="480" w:firstLineChars="200"/>
        <w:jc w:val="left"/>
        <w:rPr>
          <w:rFonts w:ascii="宋体" w:hAnsi="宋体"/>
          <w:color w:val="auto"/>
          <w:sz w:val="24"/>
          <w:highlight w:val="none"/>
        </w:rPr>
      </w:pPr>
    </w:p>
    <w:p w14:paraId="21BA1DD7">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 xml:space="preserve">注： </w:t>
      </w:r>
    </w:p>
    <w:p w14:paraId="3030D7B3">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1.本表仅在投标人非因“为落实政府采购政策”而分包时填写；投标人“为落实政府采购政策”而向中小企业分包时请按照《拟分包情况说明及分包意向协议》（类型一）要求填写。</w:t>
      </w:r>
    </w:p>
    <w:p w14:paraId="23E3F7F0">
      <w:pPr>
        <w:adjustRightInd w:val="0"/>
        <w:snapToGrid w:val="0"/>
        <w:spacing w:line="360" w:lineRule="auto"/>
        <w:jc w:val="left"/>
        <w:rPr>
          <w:rFonts w:ascii="宋体" w:hAnsi="宋体"/>
          <w:color w:val="auto"/>
          <w:sz w:val="24"/>
          <w:highlight w:val="none"/>
        </w:rPr>
      </w:pPr>
      <w:r>
        <w:rPr>
          <w:rFonts w:ascii="宋体" w:hAnsi="宋体"/>
          <w:color w:val="auto"/>
          <w:sz w:val="24"/>
          <w:highlight w:val="none"/>
        </w:rPr>
        <w:t>2.如本招标文件《投标人须知资料表》载明本项目分包承担主体应具备的相应资质条件，则投标人须在本表中列明分包承担主体的资质等级，并后附资质证书</w:t>
      </w:r>
      <w:r>
        <w:rPr>
          <w:rFonts w:hint="eastAsia" w:ascii="宋体" w:hAnsi="宋体"/>
          <w:color w:val="auto"/>
          <w:sz w:val="24"/>
          <w:highlight w:val="none"/>
        </w:rPr>
        <w:t>电子件，</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w:t>
      </w:r>
    </w:p>
    <w:p w14:paraId="09EB15E8">
      <w:pPr>
        <w:adjustRightInd w:val="0"/>
        <w:snapToGrid w:val="0"/>
        <w:spacing w:line="360" w:lineRule="auto"/>
        <w:jc w:val="left"/>
        <w:rPr>
          <w:rFonts w:ascii="宋体" w:hAnsi="宋体"/>
          <w:color w:val="auto"/>
          <w:sz w:val="24"/>
          <w:highlight w:val="none"/>
        </w:rPr>
      </w:pPr>
    </w:p>
    <w:p w14:paraId="71C41F63">
      <w:pPr>
        <w:adjustRightInd w:val="0"/>
        <w:snapToGrid w:val="0"/>
        <w:spacing w:line="360" w:lineRule="auto"/>
        <w:jc w:val="left"/>
        <w:rPr>
          <w:rFonts w:ascii="宋体" w:hAnsi="宋体"/>
          <w:color w:val="auto"/>
          <w:sz w:val="24"/>
          <w:highlight w:val="none"/>
        </w:rPr>
      </w:pPr>
    </w:p>
    <w:p w14:paraId="70DE5B15">
      <w:pPr>
        <w:adjustRightInd w:val="0"/>
        <w:snapToGrid w:val="0"/>
        <w:spacing w:line="360" w:lineRule="auto"/>
        <w:ind w:firstLine="480" w:firstLineChars="200"/>
        <w:jc w:val="right"/>
        <w:rPr>
          <w:rFonts w:ascii="宋体" w:hAnsi="宋体"/>
          <w:color w:val="auto"/>
          <w:sz w:val="24"/>
          <w:highlight w:val="none"/>
        </w:rPr>
      </w:pPr>
      <w:r>
        <w:rPr>
          <w:rFonts w:ascii="宋体" w:hAnsi="宋体"/>
          <w:color w:val="auto"/>
          <w:sz w:val="24"/>
          <w:highlight w:val="none"/>
        </w:rPr>
        <w:t>投标人名称（盖章）：______</w:t>
      </w:r>
    </w:p>
    <w:p w14:paraId="2BF7A3F3">
      <w:pPr>
        <w:adjustRightInd w:val="0"/>
        <w:snapToGrid w:val="0"/>
        <w:spacing w:line="360" w:lineRule="auto"/>
        <w:ind w:firstLine="480" w:firstLineChars="200"/>
        <w:jc w:val="right"/>
        <w:rPr>
          <w:rFonts w:ascii="宋体" w:hAnsi="宋体"/>
          <w:color w:val="auto"/>
          <w:sz w:val="24"/>
          <w:highlight w:val="none"/>
        </w:rPr>
      </w:pPr>
      <w:r>
        <w:rPr>
          <w:rFonts w:ascii="宋体" w:hAnsi="宋体"/>
          <w:color w:val="auto"/>
          <w:sz w:val="24"/>
          <w:highlight w:val="none"/>
        </w:rPr>
        <w:t>日期：_____年______月______日</w:t>
      </w:r>
    </w:p>
    <w:p w14:paraId="5F1CB5FE">
      <w:pPr>
        <w:spacing w:line="360" w:lineRule="auto"/>
        <w:rPr>
          <w:rFonts w:ascii="宋体" w:hAnsi="宋体"/>
          <w:b/>
          <w:color w:val="auto"/>
          <w:sz w:val="24"/>
          <w:highlight w:val="none"/>
        </w:rPr>
      </w:pPr>
    </w:p>
    <w:p w14:paraId="5C81C390">
      <w:pPr>
        <w:spacing w:line="360" w:lineRule="auto"/>
        <w:outlineLvl w:val="2"/>
        <w:rPr>
          <w:rFonts w:ascii="宋体" w:hAnsi="宋体"/>
          <w:b/>
          <w:color w:val="auto"/>
          <w:sz w:val="24"/>
          <w:highlight w:val="none"/>
        </w:rPr>
      </w:pPr>
      <w:r>
        <w:rPr>
          <w:rFonts w:ascii="宋体" w:hAnsi="宋体"/>
          <w:color w:val="auto"/>
          <w:sz w:val="24"/>
          <w:highlight w:val="none"/>
        </w:rPr>
        <w:br w:type="page"/>
      </w:r>
      <w:r>
        <w:rPr>
          <w:rFonts w:ascii="宋体" w:hAnsi="宋体"/>
          <w:color w:val="auto"/>
          <w:sz w:val="24"/>
          <w:highlight w:val="none"/>
        </w:rPr>
        <w:t>9  招标文件要求提供或投标人认为应附的其他材料</w:t>
      </w:r>
    </w:p>
    <w:p w14:paraId="73878096">
      <w:pPr>
        <w:pStyle w:val="5"/>
        <w:jc w:val="center"/>
        <w:rPr>
          <w:rFonts w:ascii="宋体" w:hAnsi="宋体" w:eastAsia="宋体"/>
          <w:color w:val="auto"/>
          <w:sz w:val="24"/>
          <w:szCs w:val="24"/>
          <w:highlight w:val="none"/>
        </w:rPr>
      </w:pPr>
      <w:bookmarkStart w:id="1186" w:name="_Toc434831571"/>
      <w:bookmarkStart w:id="1187" w:name="_Toc2623"/>
      <w:bookmarkStart w:id="1188" w:name="_Toc4266"/>
      <w:r>
        <w:rPr>
          <w:rFonts w:hint="eastAsia" w:ascii="宋体" w:hAnsi="宋体"/>
          <w:color w:val="auto"/>
          <w:sz w:val="24"/>
          <w:highlight w:val="none"/>
        </w:rPr>
        <w:t>9</w:t>
      </w:r>
      <w:r>
        <w:rPr>
          <w:rFonts w:ascii="宋体" w:hAnsi="宋体"/>
          <w:color w:val="auto"/>
          <w:sz w:val="24"/>
          <w:highlight w:val="none"/>
        </w:rPr>
        <w:t>.1</w:t>
      </w:r>
      <w:r>
        <w:rPr>
          <w:rFonts w:ascii="宋体" w:hAnsi="宋体" w:eastAsia="宋体"/>
          <w:color w:val="auto"/>
          <w:sz w:val="24"/>
          <w:szCs w:val="24"/>
          <w:highlight w:val="none"/>
        </w:rPr>
        <w:t>供应商基本情况表</w:t>
      </w:r>
      <w:bookmarkEnd w:id="1186"/>
      <w:bookmarkEnd w:id="1187"/>
      <w:bookmarkEnd w:id="1188"/>
    </w:p>
    <w:p w14:paraId="2D6EB7E9">
      <w:pPr>
        <w:rPr>
          <w:rFonts w:ascii="宋体" w:hAnsi="宋体"/>
          <w:color w:val="auto"/>
          <w:sz w:val="24"/>
          <w:highlight w:val="none"/>
        </w:rPr>
      </w:pPr>
    </w:p>
    <w:tbl>
      <w:tblPr>
        <w:tblStyle w:val="46"/>
        <w:tblW w:w="86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8"/>
        <w:gridCol w:w="898"/>
        <w:gridCol w:w="1247"/>
        <w:gridCol w:w="544"/>
        <w:gridCol w:w="223"/>
        <w:gridCol w:w="1873"/>
        <w:gridCol w:w="203"/>
        <w:gridCol w:w="860"/>
        <w:gridCol w:w="992"/>
      </w:tblGrid>
      <w:tr w14:paraId="0CD28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88" w:type="dxa"/>
            <w:tcBorders>
              <w:top w:val="single" w:color="auto" w:sz="4" w:space="0"/>
              <w:left w:val="single" w:color="auto" w:sz="4" w:space="0"/>
              <w:bottom w:val="single" w:color="auto" w:sz="4" w:space="0"/>
              <w:right w:val="single" w:color="auto" w:sz="4" w:space="0"/>
            </w:tcBorders>
            <w:vAlign w:val="center"/>
          </w:tcPr>
          <w:p w14:paraId="29CBDF85">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FB06964">
            <w:pPr>
              <w:topLinePunct/>
              <w:spacing w:line="440" w:lineRule="exact"/>
              <w:jc w:val="center"/>
              <w:rPr>
                <w:rFonts w:ascii="宋体" w:hAnsi="宋体" w:cs="宋体"/>
                <w:color w:val="auto"/>
                <w:sz w:val="24"/>
                <w:highlight w:val="none"/>
                <w:shd w:val="clear" w:color="auto" w:fill="FFFFFF"/>
              </w:rPr>
            </w:pPr>
          </w:p>
        </w:tc>
      </w:tr>
      <w:tr w14:paraId="6B1F5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88" w:type="dxa"/>
            <w:tcBorders>
              <w:top w:val="single" w:color="auto" w:sz="4" w:space="0"/>
              <w:left w:val="single" w:color="auto" w:sz="4" w:space="0"/>
              <w:bottom w:val="single" w:color="auto" w:sz="4" w:space="0"/>
              <w:right w:val="single" w:color="auto" w:sz="4" w:space="0"/>
            </w:tcBorders>
            <w:vAlign w:val="center"/>
          </w:tcPr>
          <w:p w14:paraId="71BC37D2">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注册地址</w:t>
            </w:r>
          </w:p>
        </w:tc>
        <w:tc>
          <w:tcPr>
            <w:tcW w:w="2912" w:type="dxa"/>
            <w:gridSpan w:val="4"/>
            <w:tcBorders>
              <w:top w:val="single" w:color="auto" w:sz="4" w:space="0"/>
              <w:left w:val="single" w:color="auto" w:sz="4" w:space="0"/>
              <w:bottom w:val="single" w:color="auto" w:sz="4" w:space="0"/>
              <w:right w:val="single" w:color="auto" w:sz="4" w:space="0"/>
            </w:tcBorders>
            <w:vAlign w:val="center"/>
          </w:tcPr>
          <w:p w14:paraId="2D4235CC">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3D09A607">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邮政编码</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06E36C11">
            <w:pPr>
              <w:topLinePunct/>
              <w:spacing w:line="440" w:lineRule="exact"/>
              <w:jc w:val="center"/>
              <w:rPr>
                <w:rFonts w:ascii="宋体" w:hAnsi="宋体" w:cs="宋体"/>
                <w:color w:val="auto"/>
                <w:sz w:val="24"/>
                <w:highlight w:val="none"/>
                <w:shd w:val="clear" w:color="auto" w:fill="FFFFFF"/>
              </w:rPr>
            </w:pPr>
          </w:p>
        </w:tc>
      </w:tr>
      <w:tr w14:paraId="2EF86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88" w:type="dxa"/>
            <w:tcBorders>
              <w:top w:val="single" w:color="auto" w:sz="4" w:space="0"/>
              <w:left w:val="single" w:color="auto" w:sz="4" w:space="0"/>
              <w:bottom w:val="single" w:color="auto" w:sz="4" w:space="0"/>
              <w:right w:val="single" w:color="auto" w:sz="4" w:space="0"/>
            </w:tcBorders>
            <w:vAlign w:val="center"/>
          </w:tcPr>
          <w:p w14:paraId="06F4E3DF">
            <w:pPr>
              <w:topLinePunct/>
              <w:spacing w:line="440" w:lineRule="exact"/>
              <w:jc w:val="center"/>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供应商所属性别</w:t>
            </w:r>
          </w:p>
        </w:tc>
        <w:tc>
          <w:tcPr>
            <w:tcW w:w="2912" w:type="dxa"/>
            <w:gridSpan w:val="4"/>
            <w:tcBorders>
              <w:top w:val="single" w:color="auto" w:sz="4" w:space="0"/>
              <w:left w:val="single" w:color="auto" w:sz="4" w:space="0"/>
              <w:bottom w:val="single" w:color="auto" w:sz="4" w:space="0"/>
              <w:right w:val="single" w:color="auto" w:sz="4" w:space="0"/>
            </w:tcBorders>
            <w:vAlign w:val="center"/>
          </w:tcPr>
          <w:p w14:paraId="34350AF2">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7FA05DFE">
            <w:pPr>
              <w:keepNext w:val="0"/>
              <w:keepLines w:val="0"/>
              <w:widowControl/>
              <w:suppressLineNumbers w:val="0"/>
              <w:jc w:val="left"/>
              <w:rPr>
                <w:rFonts w:hint="eastAsia" w:ascii="宋体" w:hAnsi="宋体" w:cs="宋体"/>
                <w:color w:val="auto"/>
                <w:sz w:val="24"/>
                <w:highlight w:val="none"/>
                <w:shd w:val="clear" w:color="auto" w:fill="FFFFFF"/>
              </w:rPr>
            </w:pPr>
            <w:r>
              <w:rPr>
                <w:rFonts w:ascii="FZShuSong-Z01" w:hAnsi="FZShuSong-Z01" w:eastAsia="FZShuSong-Z01" w:cs="FZShuSong-Z01"/>
                <w:color w:val="auto"/>
                <w:kern w:val="0"/>
                <w:sz w:val="24"/>
                <w:szCs w:val="24"/>
                <w:highlight w:val="none"/>
                <w:lang w:val="en-US" w:eastAsia="zh-CN" w:bidi="ar"/>
              </w:rPr>
              <w:t>外商投资类型</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1CD2F717">
            <w:pPr>
              <w:topLinePunct/>
              <w:spacing w:line="440" w:lineRule="exact"/>
              <w:jc w:val="center"/>
              <w:rPr>
                <w:rFonts w:ascii="宋体" w:hAnsi="宋体" w:cs="宋体"/>
                <w:color w:val="auto"/>
                <w:sz w:val="24"/>
                <w:highlight w:val="none"/>
                <w:shd w:val="clear" w:color="auto" w:fill="FFFFFF"/>
              </w:rPr>
            </w:pPr>
          </w:p>
        </w:tc>
      </w:tr>
      <w:tr w14:paraId="08894E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7FBD2DB3">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87E12F4">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联系人</w:t>
            </w:r>
          </w:p>
        </w:tc>
        <w:tc>
          <w:tcPr>
            <w:tcW w:w="2014" w:type="dxa"/>
            <w:gridSpan w:val="3"/>
            <w:tcBorders>
              <w:top w:val="single" w:color="auto" w:sz="4" w:space="0"/>
              <w:left w:val="single" w:color="auto" w:sz="4" w:space="0"/>
              <w:bottom w:val="single" w:color="auto" w:sz="4" w:space="0"/>
              <w:right w:val="single" w:color="auto" w:sz="4" w:space="0"/>
            </w:tcBorders>
            <w:vAlign w:val="center"/>
          </w:tcPr>
          <w:p w14:paraId="3F0CE198">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7C63FAFB">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电 话</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4852F10B">
            <w:pPr>
              <w:topLinePunct/>
              <w:spacing w:line="440" w:lineRule="exact"/>
              <w:jc w:val="center"/>
              <w:rPr>
                <w:rFonts w:ascii="宋体" w:hAnsi="宋体" w:cs="宋体"/>
                <w:color w:val="auto"/>
                <w:sz w:val="24"/>
                <w:highlight w:val="none"/>
                <w:shd w:val="clear" w:color="auto" w:fill="FFFFFF"/>
              </w:rPr>
            </w:pPr>
          </w:p>
        </w:tc>
      </w:tr>
      <w:tr w14:paraId="63281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1C00B43B">
            <w:pPr>
              <w:topLinePunct/>
              <w:spacing w:line="440" w:lineRule="exact"/>
              <w:jc w:val="center"/>
              <w:rPr>
                <w:rFonts w:ascii="宋体" w:hAnsi="宋体" w:cs="宋体"/>
                <w:color w:val="auto"/>
                <w:sz w:val="24"/>
                <w:highlight w:val="none"/>
                <w:shd w:val="clear" w:color="auto" w:fill="FFFFFF"/>
              </w:rPr>
            </w:pPr>
          </w:p>
        </w:tc>
        <w:tc>
          <w:tcPr>
            <w:tcW w:w="898" w:type="dxa"/>
            <w:tcBorders>
              <w:top w:val="single" w:color="auto" w:sz="4" w:space="0"/>
              <w:left w:val="single" w:color="auto" w:sz="4" w:space="0"/>
              <w:bottom w:val="single" w:color="auto" w:sz="4" w:space="0"/>
              <w:right w:val="single" w:color="auto" w:sz="4" w:space="0"/>
            </w:tcBorders>
            <w:vAlign w:val="center"/>
          </w:tcPr>
          <w:p w14:paraId="5D8C06F1">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传  真</w:t>
            </w:r>
          </w:p>
        </w:tc>
        <w:tc>
          <w:tcPr>
            <w:tcW w:w="2014" w:type="dxa"/>
            <w:gridSpan w:val="3"/>
            <w:tcBorders>
              <w:top w:val="single" w:color="auto" w:sz="4" w:space="0"/>
              <w:left w:val="single" w:color="auto" w:sz="4" w:space="0"/>
              <w:bottom w:val="single" w:color="auto" w:sz="4" w:space="0"/>
              <w:right w:val="single" w:color="auto" w:sz="4" w:space="0"/>
            </w:tcBorders>
            <w:vAlign w:val="center"/>
          </w:tcPr>
          <w:p w14:paraId="65D27582">
            <w:pPr>
              <w:topLinePunct/>
              <w:spacing w:line="440" w:lineRule="exact"/>
              <w:jc w:val="center"/>
              <w:rPr>
                <w:rFonts w:ascii="宋体" w:hAnsi="宋体" w:cs="宋体"/>
                <w:color w:val="auto"/>
                <w:sz w:val="24"/>
                <w:highlight w:val="none"/>
                <w:shd w:val="clear" w:color="auto" w:fill="FFFFFF"/>
              </w:rPr>
            </w:pPr>
          </w:p>
        </w:tc>
        <w:tc>
          <w:tcPr>
            <w:tcW w:w="1873" w:type="dxa"/>
            <w:tcBorders>
              <w:top w:val="single" w:color="auto" w:sz="4" w:space="0"/>
              <w:left w:val="single" w:color="auto" w:sz="4" w:space="0"/>
              <w:bottom w:val="single" w:color="auto" w:sz="4" w:space="0"/>
              <w:right w:val="single" w:color="auto" w:sz="4" w:space="0"/>
            </w:tcBorders>
            <w:vAlign w:val="center"/>
          </w:tcPr>
          <w:p w14:paraId="38F6C770">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网 址</w:t>
            </w:r>
          </w:p>
        </w:tc>
        <w:tc>
          <w:tcPr>
            <w:tcW w:w="2055" w:type="dxa"/>
            <w:gridSpan w:val="3"/>
            <w:tcBorders>
              <w:top w:val="single" w:color="auto" w:sz="4" w:space="0"/>
              <w:left w:val="single" w:color="auto" w:sz="4" w:space="0"/>
              <w:bottom w:val="single" w:color="auto" w:sz="4" w:space="0"/>
              <w:right w:val="single" w:color="auto" w:sz="4" w:space="0"/>
            </w:tcBorders>
            <w:vAlign w:val="center"/>
          </w:tcPr>
          <w:p w14:paraId="70F6E88C">
            <w:pPr>
              <w:topLinePunct/>
              <w:spacing w:line="440" w:lineRule="exact"/>
              <w:jc w:val="center"/>
              <w:rPr>
                <w:rFonts w:ascii="宋体" w:hAnsi="宋体" w:cs="宋体"/>
                <w:color w:val="auto"/>
                <w:sz w:val="24"/>
                <w:highlight w:val="none"/>
                <w:shd w:val="clear" w:color="auto" w:fill="FFFFFF"/>
              </w:rPr>
            </w:pPr>
          </w:p>
        </w:tc>
      </w:tr>
      <w:tr w14:paraId="12303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88" w:type="dxa"/>
            <w:tcBorders>
              <w:top w:val="single" w:color="auto" w:sz="4" w:space="0"/>
              <w:left w:val="single" w:color="auto" w:sz="4" w:space="0"/>
              <w:bottom w:val="single" w:color="auto" w:sz="4" w:space="0"/>
              <w:right w:val="single" w:color="auto" w:sz="4" w:space="0"/>
            </w:tcBorders>
            <w:vAlign w:val="center"/>
          </w:tcPr>
          <w:p w14:paraId="1536C2BE">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BCE284A">
            <w:pPr>
              <w:topLinePunct/>
              <w:spacing w:line="440" w:lineRule="exact"/>
              <w:jc w:val="center"/>
              <w:rPr>
                <w:rFonts w:ascii="宋体" w:hAnsi="宋体" w:cs="宋体"/>
                <w:color w:val="auto"/>
                <w:sz w:val="24"/>
                <w:highlight w:val="none"/>
                <w:shd w:val="clear" w:color="auto" w:fill="FFFFFF"/>
              </w:rPr>
            </w:pPr>
          </w:p>
        </w:tc>
      </w:tr>
      <w:tr w14:paraId="3619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88" w:type="dxa"/>
            <w:tcBorders>
              <w:top w:val="single" w:color="auto" w:sz="4" w:space="0"/>
              <w:left w:val="single" w:color="auto" w:sz="4" w:space="0"/>
              <w:bottom w:val="single" w:color="auto" w:sz="4" w:space="0"/>
              <w:right w:val="single" w:color="auto" w:sz="4" w:space="0"/>
            </w:tcBorders>
            <w:vAlign w:val="center"/>
          </w:tcPr>
          <w:p w14:paraId="0A216530">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054F13ED">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姓名</w:t>
            </w:r>
          </w:p>
        </w:tc>
        <w:tc>
          <w:tcPr>
            <w:tcW w:w="1247" w:type="dxa"/>
            <w:tcBorders>
              <w:top w:val="single" w:color="auto" w:sz="4" w:space="0"/>
              <w:left w:val="single" w:color="auto" w:sz="4" w:space="0"/>
              <w:bottom w:val="single" w:color="auto" w:sz="4" w:space="0"/>
              <w:right w:val="single" w:color="auto" w:sz="4" w:space="0"/>
            </w:tcBorders>
            <w:vAlign w:val="center"/>
          </w:tcPr>
          <w:p w14:paraId="08DD6467">
            <w:pPr>
              <w:topLinePunct/>
              <w:spacing w:line="440" w:lineRule="exact"/>
              <w:jc w:val="center"/>
              <w:rPr>
                <w:rFonts w:ascii="宋体" w:hAnsi="宋体" w:cs="宋体"/>
                <w:color w:val="auto"/>
                <w:sz w:val="24"/>
                <w:highlight w:val="none"/>
                <w:shd w:val="clear" w:color="auto" w:fill="FFFFFF"/>
              </w:rPr>
            </w:pPr>
          </w:p>
        </w:tc>
        <w:tc>
          <w:tcPr>
            <w:tcW w:w="767" w:type="dxa"/>
            <w:gridSpan w:val="2"/>
            <w:tcBorders>
              <w:top w:val="single" w:color="auto" w:sz="4" w:space="0"/>
              <w:left w:val="single" w:color="auto" w:sz="4" w:space="0"/>
              <w:bottom w:val="single" w:color="auto" w:sz="4" w:space="0"/>
              <w:right w:val="single" w:color="auto" w:sz="4" w:space="0"/>
            </w:tcBorders>
            <w:vAlign w:val="center"/>
          </w:tcPr>
          <w:p w14:paraId="6B80FFD4">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技术职称</w:t>
            </w:r>
          </w:p>
        </w:tc>
        <w:tc>
          <w:tcPr>
            <w:tcW w:w="1873" w:type="dxa"/>
            <w:tcBorders>
              <w:top w:val="single" w:color="auto" w:sz="4" w:space="0"/>
              <w:left w:val="single" w:color="auto" w:sz="4" w:space="0"/>
              <w:bottom w:val="single" w:color="auto" w:sz="4" w:space="0"/>
              <w:right w:val="single" w:color="auto" w:sz="4" w:space="0"/>
            </w:tcBorders>
            <w:vAlign w:val="center"/>
          </w:tcPr>
          <w:p w14:paraId="2CA25EDB">
            <w:pPr>
              <w:topLinePunct/>
              <w:spacing w:line="440" w:lineRule="exact"/>
              <w:jc w:val="center"/>
              <w:rPr>
                <w:rFonts w:ascii="宋体" w:hAnsi="宋体" w:cs="宋体"/>
                <w:color w:val="auto"/>
                <w:sz w:val="24"/>
                <w:highlight w:val="none"/>
                <w:shd w:val="clear" w:color="auto" w:fill="FFFFFF"/>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14:paraId="4EDAAC9F">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E81A1F9">
            <w:pPr>
              <w:topLinePunct/>
              <w:spacing w:line="440" w:lineRule="exact"/>
              <w:jc w:val="center"/>
              <w:rPr>
                <w:rFonts w:ascii="宋体" w:hAnsi="宋体" w:cs="宋体"/>
                <w:color w:val="auto"/>
                <w:sz w:val="24"/>
                <w:highlight w:val="none"/>
                <w:shd w:val="clear" w:color="auto" w:fill="FFFFFF"/>
              </w:rPr>
            </w:pPr>
          </w:p>
        </w:tc>
      </w:tr>
      <w:tr w14:paraId="16FE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88" w:type="dxa"/>
            <w:tcBorders>
              <w:top w:val="single" w:color="auto" w:sz="4" w:space="0"/>
              <w:left w:val="single" w:color="auto" w:sz="4" w:space="0"/>
              <w:bottom w:val="single" w:color="auto" w:sz="4" w:space="0"/>
              <w:right w:val="single" w:color="auto" w:sz="4" w:space="0"/>
            </w:tcBorders>
            <w:vAlign w:val="center"/>
          </w:tcPr>
          <w:p w14:paraId="0E8A26A3">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成立时间</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A8AC0D3">
            <w:pPr>
              <w:topLinePunct/>
              <w:spacing w:line="440" w:lineRule="exact"/>
              <w:jc w:val="center"/>
              <w:rPr>
                <w:rFonts w:ascii="宋体" w:hAnsi="宋体" w:cs="宋体"/>
                <w:color w:val="auto"/>
                <w:sz w:val="24"/>
                <w:highlight w:val="none"/>
                <w:shd w:val="clear" w:color="auto" w:fill="FFFFFF"/>
              </w:rPr>
            </w:pPr>
          </w:p>
        </w:tc>
        <w:tc>
          <w:tcPr>
            <w:tcW w:w="4695" w:type="dxa"/>
            <w:gridSpan w:val="6"/>
            <w:tcBorders>
              <w:top w:val="single" w:color="auto" w:sz="4" w:space="0"/>
              <w:left w:val="single" w:color="auto" w:sz="4" w:space="0"/>
              <w:bottom w:val="single" w:color="auto" w:sz="4" w:space="0"/>
              <w:right w:val="single" w:color="auto" w:sz="4" w:space="0"/>
            </w:tcBorders>
            <w:vAlign w:val="center"/>
          </w:tcPr>
          <w:p w14:paraId="03E55504">
            <w:pPr>
              <w:topLinePunct/>
              <w:spacing w:line="440" w:lineRule="exact"/>
              <w:ind w:firstLine="120" w:firstLineChars="50"/>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员工总人数：</w:t>
            </w:r>
          </w:p>
        </w:tc>
      </w:tr>
      <w:tr w14:paraId="4F5D2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88" w:type="dxa"/>
            <w:tcBorders>
              <w:top w:val="single" w:color="auto" w:sz="4" w:space="0"/>
              <w:left w:val="single" w:color="auto" w:sz="4" w:space="0"/>
              <w:bottom w:val="single" w:color="auto" w:sz="4" w:space="0"/>
              <w:right w:val="single" w:color="auto" w:sz="4" w:space="0"/>
            </w:tcBorders>
            <w:vAlign w:val="center"/>
          </w:tcPr>
          <w:p w14:paraId="4D196E95">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企业资质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B227290">
            <w:pPr>
              <w:topLinePunct/>
              <w:spacing w:line="440" w:lineRule="exact"/>
              <w:jc w:val="center"/>
              <w:rPr>
                <w:rFonts w:ascii="宋体" w:hAnsi="宋体" w:cs="宋体"/>
                <w:color w:val="auto"/>
                <w:sz w:val="24"/>
                <w:highlight w:val="none"/>
                <w:shd w:val="clear" w:color="auto" w:fill="FFFFFF"/>
              </w:rPr>
            </w:pPr>
          </w:p>
        </w:tc>
      </w:tr>
      <w:tr w14:paraId="58D7F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88" w:type="dxa"/>
            <w:tcBorders>
              <w:top w:val="single" w:color="auto" w:sz="4" w:space="0"/>
              <w:left w:val="single" w:color="auto" w:sz="4" w:space="0"/>
              <w:bottom w:val="single" w:color="auto" w:sz="4" w:space="0"/>
              <w:right w:val="single" w:color="auto" w:sz="4" w:space="0"/>
            </w:tcBorders>
            <w:vAlign w:val="center"/>
          </w:tcPr>
          <w:p w14:paraId="0D4E95B8">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统一社会</w:t>
            </w:r>
          </w:p>
          <w:p w14:paraId="4E98A59F">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信用代码</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C9BE260">
            <w:pPr>
              <w:topLinePunct/>
              <w:spacing w:line="440" w:lineRule="exact"/>
              <w:jc w:val="center"/>
              <w:rPr>
                <w:rFonts w:ascii="宋体" w:hAnsi="宋体" w:cs="宋体"/>
                <w:color w:val="auto"/>
                <w:sz w:val="24"/>
                <w:highlight w:val="none"/>
                <w:shd w:val="clear" w:color="auto" w:fill="FFFFFF"/>
              </w:rPr>
            </w:pPr>
          </w:p>
        </w:tc>
      </w:tr>
      <w:tr w14:paraId="2DC49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788" w:type="dxa"/>
            <w:tcBorders>
              <w:top w:val="single" w:color="auto" w:sz="4" w:space="0"/>
              <w:left w:val="single" w:color="auto" w:sz="4" w:space="0"/>
              <w:bottom w:val="single" w:color="auto" w:sz="4" w:space="0"/>
              <w:right w:val="single" w:color="auto" w:sz="4" w:space="0"/>
            </w:tcBorders>
            <w:vAlign w:val="center"/>
          </w:tcPr>
          <w:p w14:paraId="563B5E2F">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注册资金</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F18266D">
            <w:pPr>
              <w:topLinePunct/>
              <w:spacing w:line="440" w:lineRule="exact"/>
              <w:jc w:val="center"/>
              <w:rPr>
                <w:rFonts w:ascii="宋体" w:hAnsi="宋体" w:cs="宋体"/>
                <w:color w:val="auto"/>
                <w:sz w:val="24"/>
                <w:highlight w:val="none"/>
                <w:shd w:val="clear" w:color="auto" w:fill="FFFFFF"/>
              </w:rPr>
            </w:pPr>
          </w:p>
        </w:tc>
      </w:tr>
      <w:tr w14:paraId="2CCF3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88" w:type="dxa"/>
            <w:tcBorders>
              <w:top w:val="single" w:color="auto" w:sz="4" w:space="0"/>
              <w:left w:val="single" w:color="auto" w:sz="4" w:space="0"/>
              <w:bottom w:val="single" w:color="auto" w:sz="4" w:space="0"/>
              <w:right w:val="single" w:color="auto" w:sz="4" w:space="0"/>
            </w:tcBorders>
            <w:vAlign w:val="center"/>
          </w:tcPr>
          <w:p w14:paraId="3830B876">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开户银行</w:t>
            </w:r>
          </w:p>
        </w:tc>
        <w:tc>
          <w:tcPr>
            <w:tcW w:w="2689" w:type="dxa"/>
            <w:gridSpan w:val="3"/>
            <w:tcBorders>
              <w:top w:val="single" w:color="auto" w:sz="4" w:space="0"/>
              <w:left w:val="single" w:color="auto" w:sz="4" w:space="0"/>
              <w:bottom w:val="single" w:color="auto" w:sz="4" w:space="0"/>
              <w:right w:val="single" w:color="auto" w:sz="4" w:space="0"/>
            </w:tcBorders>
            <w:vAlign w:val="center"/>
          </w:tcPr>
          <w:p w14:paraId="34E0AA5D">
            <w:pPr>
              <w:topLinePunct/>
              <w:spacing w:line="440" w:lineRule="exact"/>
              <w:jc w:val="center"/>
              <w:rPr>
                <w:rFonts w:ascii="宋体" w:hAnsi="宋体" w:cs="宋体"/>
                <w:color w:val="auto"/>
                <w:sz w:val="24"/>
                <w:highlight w:val="none"/>
                <w:shd w:val="clear" w:color="auto" w:fill="FFFFFF"/>
              </w:rPr>
            </w:pPr>
          </w:p>
        </w:tc>
        <w:tc>
          <w:tcPr>
            <w:tcW w:w="2299" w:type="dxa"/>
            <w:gridSpan w:val="3"/>
            <w:tcBorders>
              <w:top w:val="single" w:color="auto" w:sz="4" w:space="0"/>
              <w:left w:val="single" w:color="auto" w:sz="4" w:space="0"/>
              <w:bottom w:val="single" w:color="auto" w:sz="4" w:space="0"/>
              <w:right w:val="single" w:color="auto" w:sz="4" w:space="0"/>
            </w:tcBorders>
            <w:vAlign w:val="center"/>
          </w:tcPr>
          <w:p w14:paraId="73EA5E0B">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账号</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6D1E11">
            <w:pPr>
              <w:topLinePunct/>
              <w:spacing w:line="440" w:lineRule="exact"/>
              <w:jc w:val="center"/>
              <w:rPr>
                <w:rFonts w:ascii="宋体" w:hAnsi="宋体" w:cs="宋体"/>
                <w:color w:val="auto"/>
                <w:sz w:val="24"/>
                <w:highlight w:val="none"/>
                <w:shd w:val="clear" w:color="auto" w:fill="FFFFFF"/>
              </w:rPr>
            </w:pPr>
          </w:p>
        </w:tc>
      </w:tr>
      <w:tr w14:paraId="2EE68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788" w:type="dxa"/>
            <w:tcBorders>
              <w:top w:val="single" w:color="auto" w:sz="4" w:space="0"/>
              <w:left w:val="single" w:color="auto" w:sz="4" w:space="0"/>
              <w:right w:val="single" w:color="auto" w:sz="4" w:space="0"/>
            </w:tcBorders>
            <w:vAlign w:val="center"/>
          </w:tcPr>
          <w:p w14:paraId="11906804">
            <w:pPr>
              <w:topLinePunct/>
              <w:spacing w:line="440" w:lineRule="exact"/>
              <w:ind w:firstLine="240" w:firstLineChars="100"/>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经营范围</w:t>
            </w:r>
          </w:p>
        </w:tc>
        <w:tc>
          <w:tcPr>
            <w:tcW w:w="6840" w:type="dxa"/>
            <w:gridSpan w:val="8"/>
            <w:tcBorders>
              <w:top w:val="single" w:color="auto" w:sz="4" w:space="0"/>
              <w:left w:val="single" w:color="auto" w:sz="4" w:space="0"/>
              <w:right w:val="single" w:color="auto" w:sz="4" w:space="0"/>
            </w:tcBorders>
            <w:vAlign w:val="center"/>
          </w:tcPr>
          <w:p w14:paraId="419A28A8">
            <w:pPr>
              <w:topLinePunct/>
              <w:spacing w:line="440" w:lineRule="exact"/>
              <w:jc w:val="center"/>
              <w:rPr>
                <w:rFonts w:ascii="宋体" w:hAnsi="宋体" w:cs="宋体"/>
                <w:color w:val="auto"/>
                <w:sz w:val="24"/>
                <w:highlight w:val="none"/>
                <w:shd w:val="clear" w:color="auto" w:fill="FFFFFF"/>
              </w:rPr>
            </w:pPr>
          </w:p>
          <w:p w14:paraId="43706450">
            <w:pPr>
              <w:topLinePunct/>
              <w:spacing w:line="440" w:lineRule="exact"/>
              <w:jc w:val="center"/>
              <w:rPr>
                <w:rFonts w:ascii="宋体" w:hAnsi="宋体" w:cs="宋体"/>
                <w:color w:val="auto"/>
                <w:sz w:val="24"/>
                <w:highlight w:val="none"/>
                <w:shd w:val="clear" w:color="auto" w:fill="FFFFFF"/>
              </w:rPr>
            </w:pPr>
          </w:p>
          <w:p w14:paraId="72A319E5">
            <w:pPr>
              <w:topLinePunct/>
              <w:spacing w:line="440" w:lineRule="exact"/>
              <w:rPr>
                <w:rFonts w:ascii="宋体" w:hAnsi="宋体" w:cs="宋体"/>
                <w:color w:val="auto"/>
                <w:sz w:val="24"/>
                <w:highlight w:val="none"/>
                <w:shd w:val="clear" w:color="auto" w:fill="FFFFFF"/>
              </w:rPr>
            </w:pPr>
          </w:p>
        </w:tc>
      </w:tr>
      <w:tr w14:paraId="0EF54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8" w:type="dxa"/>
            <w:tcBorders>
              <w:top w:val="single" w:color="auto" w:sz="4" w:space="0"/>
              <w:left w:val="single" w:color="auto" w:sz="4" w:space="0"/>
              <w:bottom w:val="single" w:color="auto" w:sz="4" w:space="0"/>
              <w:right w:val="single" w:color="auto" w:sz="4" w:space="0"/>
            </w:tcBorders>
            <w:vAlign w:val="center"/>
          </w:tcPr>
          <w:p w14:paraId="0E6AAC25">
            <w:pPr>
              <w:topLinePunct/>
              <w:spacing w:line="440" w:lineRule="exact"/>
              <w:ind w:firstLine="240" w:firstLineChars="100"/>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管理体系</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0221C7F4">
            <w:pPr>
              <w:topLinePunct/>
              <w:spacing w:line="440" w:lineRule="exact"/>
              <w:ind w:firstLine="240" w:firstLineChars="100"/>
              <w:jc w:val="center"/>
              <w:rPr>
                <w:rFonts w:ascii="宋体" w:hAnsi="宋体" w:cs="宋体"/>
                <w:color w:val="auto"/>
                <w:sz w:val="24"/>
                <w:highlight w:val="none"/>
                <w:shd w:val="clear" w:color="auto" w:fill="FFFFFF"/>
              </w:rPr>
            </w:pPr>
          </w:p>
        </w:tc>
      </w:tr>
      <w:tr w14:paraId="47252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8" w:type="dxa"/>
            <w:tcBorders>
              <w:top w:val="single" w:color="auto" w:sz="4" w:space="0"/>
              <w:left w:val="single" w:color="auto" w:sz="4" w:space="0"/>
              <w:bottom w:val="single" w:color="auto" w:sz="4" w:space="0"/>
              <w:right w:val="single" w:color="auto" w:sz="4" w:space="0"/>
            </w:tcBorders>
            <w:vAlign w:val="center"/>
          </w:tcPr>
          <w:p w14:paraId="7844B117">
            <w:pPr>
              <w:topLinePunct/>
              <w:spacing w:line="44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FE1228B">
            <w:pPr>
              <w:topLinePunct/>
              <w:spacing w:line="440" w:lineRule="exact"/>
              <w:jc w:val="center"/>
              <w:rPr>
                <w:rFonts w:ascii="宋体" w:hAnsi="宋体" w:cs="宋体"/>
                <w:color w:val="auto"/>
                <w:sz w:val="24"/>
                <w:highlight w:val="none"/>
                <w:shd w:val="clear" w:color="auto" w:fill="FFFFFF"/>
              </w:rPr>
            </w:pPr>
          </w:p>
        </w:tc>
      </w:tr>
    </w:tbl>
    <w:p w14:paraId="04296738">
      <w:pPr>
        <w:spacing w:line="440" w:lineRule="exact"/>
        <w:ind w:left="601" w:leftChars="50" w:hanging="496" w:hangingChars="207"/>
        <w:rPr>
          <w:rFonts w:ascii="宋体" w:hAnsi="宋体"/>
          <w:color w:val="auto"/>
          <w:sz w:val="24"/>
          <w:highlight w:val="none"/>
        </w:rPr>
      </w:pPr>
      <w:r>
        <w:rPr>
          <w:rFonts w:ascii="宋体" w:hAnsi="宋体"/>
          <w:color w:val="auto"/>
          <w:sz w:val="24"/>
          <w:highlight w:val="none"/>
        </w:rPr>
        <w:t>注：</w:t>
      </w:r>
      <w:r>
        <w:rPr>
          <w:rFonts w:hint="eastAsia" w:ascii="宋体" w:hAnsi="宋体"/>
          <w:color w:val="auto"/>
          <w:sz w:val="24"/>
          <w:highlight w:val="none"/>
          <w:lang w:val="en-US" w:eastAsia="zh-CN"/>
        </w:rPr>
        <w:t>1.</w:t>
      </w:r>
      <w:r>
        <w:rPr>
          <w:rFonts w:ascii="宋体" w:hAnsi="宋体"/>
          <w:color w:val="auto"/>
          <w:sz w:val="24"/>
          <w:highlight w:val="none"/>
        </w:rPr>
        <w:t>对于法人发生重组或变更的供应商</w:t>
      </w:r>
      <w:r>
        <w:rPr>
          <w:rFonts w:hint="eastAsia" w:ascii="宋体" w:hAnsi="宋体"/>
          <w:color w:val="auto"/>
          <w:sz w:val="24"/>
          <w:highlight w:val="none"/>
        </w:rPr>
        <w:t>，</w:t>
      </w:r>
      <w:r>
        <w:rPr>
          <w:rFonts w:ascii="宋体" w:hAnsi="宋体"/>
          <w:color w:val="auto"/>
          <w:sz w:val="24"/>
          <w:highlight w:val="none"/>
        </w:rPr>
        <w:t>应在本表后附有法人重组或变更时相关部门的合法批件、变更时的企业法人营业执照的副本变更记录扫描件</w:t>
      </w:r>
      <w:r>
        <w:rPr>
          <w:rFonts w:hint="eastAsia" w:ascii="宋体" w:hAnsi="宋体"/>
          <w:color w:val="auto"/>
          <w:sz w:val="24"/>
          <w:highlight w:val="none"/>
        </w:rPr>
        <w:t>、提供</w:t>
      </w:r>
      <w:r>
        <w:rPr>
          <w:rFonts w:hint="eastAsia" w:ascii="宋体" w:hAnsi="宋体" w:cs="宋体"/>
          <w:color w:val="auto"/>
          <w:sz w:val="24"/>
          <w:highlight w:val="none"/>
          <w:shd w:val="clear" w:color="auto" w:fill="FFFFFF"/>
        </w:rPr>
        <w:t>管理体系</w:t>
      </w:r>
      <w:r>
        <w:rPr>
          <w:rFonts w:ascii="宋体" w:hAnsi="宋体"/>
          <w:color w:val="auto"/>
          <w:sz w:val="24"/>
          <w:highlight w:val="none"/>
        </w:rPr>
        <w:t>证书复印件加盖公章。</w:t>
      </w:r>
    </w:p>
    <w:p w14:paraId="28039F5A">
      <w:pPr>
        <w:spacing w:line="440" w:lineRule="exact"/>
        <w:ind w:left="601" w:leftChars="50" w:hanging="496" w:hangingChars="207"/>
        <w:rPr>
          <w:rFonts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lang w:val="en-US" w:eastAsia="zh-CN"/>
        </w:rPr>
        <w:t>.</w:t>
      </w:r>
      <w:r>
        <w:rPr>
          <w:rFonts w:hint="default" w:ascii="宋体" w:hAnsi="宋体"/>
          <w:color w:val="auto"/>
          <w:sz w:val="24"/>
          <w:highlight w:val="none"/>
          <w:lang w:val="en-US" w:eastAsia="zh-CN"/>
        </w:rPr>
        <w:t xml:space="preserve">供应商如为联合体，则应填写联合体各成员信息。 </w:t>
      </w:r>
    </w:p>
    <w:p w14:paraId="6FE3800D">
      <w:pPr>
        <w:spacing w:line="440" w:lineRule="exact"/>
        <w:ind w:left="601" w:leftChars="50" w:hanging="496" w:hangingChars="207"/>
        <w:rPr>
          <w:rFonts w:ascii="宋体" w:hAnsi="宋体"/>
          <w:color w:val="auto"/>
          <w:sz w:val="24"/>
          <w:highlight w:val="none"/>
        </w:rPr>
      </w:pPr>
      <w:r>
        <w:rPr>
          <w:rFonts w:hint="eastAsia" w:ascii="宋体" w:hAnsi="宋体"/>
          <w:color w:val="auto"/>
          <w:sz w:val="24"/>
          <w:highlight w:val="none"/>
          <w:lang w:val="en-US" w:eastAsia="zh-CN"/>
        </w:rPr>
        <w:t>3</w:t>
      </w:r>
      <w:r>
        <w:rPr>
          <w:rFonts w:hint="default" w:ascii="宋体" w:hAnsi="宋体"/>
          <w:color w:val="auto"/>
          <w:sz w:val="24"/>
          <w:highlight w:val="none"/>
          <w:lang w:val="en-US" w:eastAsia="zh-CN"/>
        </w:rPr>
        <w:t xml:space="preserve">.供应商所属性别请填写“男”或“女”，指拥有供应商 51%以上绝对所有权的性别； </w:t>
      </w:r>
    </w:p>
    <w:p w14:paraId="7C0D0E1A">
      <w:pPr>
        <w:spacing w:line="440" w:lineRule="exact"/>
        <w:ind w:left="601" w:leftChars="50" w:hanging="496" w:hangingChars="207"/>
        <w:rPr>
          <w:rFonts w:ascii="宋体" w:hAnsi="宋体"/>
          <w:color w:val="auto"/>
          <w:sz w:val="24"/>
          <w:highlight w:val="none"/>
        </w:rPr>
      </w:pPr>
      <w:r>
        <w:rPr>
          <w:rFonts w:hint="default" w:ascii="宋体" w:hAnsi="宋体"/>
          <w:color w:val="auto"/>
          <w:sz w:val="24"/>
          <w:highlight w:val="none"/>
          <w:lang w:val="en-US" w:eastAsia="zh-CN"/>
        </w:rPr>
        <w:t xml:space="preserve">绝对所有权拥有者可以是一个人，也可以是多人合计计算。 </w:t>
      </w:r>
    </w:p>
    <w:p w14:paraId="0E809542">
      <w:pPr>
        <w:spacing w:line="440" w:lineRule="exact"/>
        <w:ind w:left="601" w:leftChars="50" w:hanging="496" w:hangingChars="207"/>
        <w:rPr>
          <w:rFonts w:ascii="宋体" w:hAnsi="宋体"/>
          <w:color w:val="auto"/>
          <w:sz w:val="24"/>
          <w:highlight w:val="none"/>
        </w:rPr>
      </w:pPr>
      <w:r>
        <w:rPr>
          <w:rFonts w:hint="eastAsia" w:ascii="宋体" w:hAnsi="宋体"/>
          <w:color w:val="auto"/>
          <w:sz w:val="24"/>
          <w:highlight w:val="none"/>
          <w:lang w:val="en-US" w:eastAsia="zh-CN"/>
        </w:rPr>
        <w:t>4</w:t>
      </w:r>
      <w:r>
        <w:rPr>
          <w:rFonts w:hint="default" w:ascii="宋体" w:hAnsi="宋体"/>
          <w:color w:val="auto"/>
          <w:sz w:val="24"/>
          <w:highlight w:val="none"/>
          <w:lang w:val="en-US" w:eastAsia="zh-CN"/>
        </w:rPr>
        <w:t>.外商投资类型请填写“外商单独投资”、“外商部分投资”或“内资”。</w:t>
      </w:r>
    </w:p>
    <w:p w14:paraId="71F8D5FD">
      <w:pPr>
        <w:pStyle w:val="5"/>
        <w:jc w:val="center"/>
        <w:rPr>
          <w:rFonts w:hint="eastAsia" w:ascii="宋体" w:hAnsi="宋体"/>
          <w:color w:val="auto"/>
          <w:sz w:val="24"/>
          <w:highlight w:val="none"/>
        </w:rPr>
        <w:sectPr>
          <w:headerReference r:id="rId34" w:type="first"/>
          <w:footerReference r:id="rId36" w:type="first"/>
          <w:headerReference r:id="rId33" w:type="even"/>
          <w:footerReference r:id="rId35" w:type="even"/>
          <w:pgSz w:w="11907" w:h="16840"/>
          <w:pgMar w:top="1418" w:right="1134" w:bottom="1418" w:left="1701" w:header="851" w:footer="851" w:gutter="0"/>
          <w:pgNumType w:fmt="decimal"/>
          <w:cols w:space="720" w:num="1"/>
          <w:docGrid w:linePitch="462" w:charSpace="0"/>
        </w:sectPr>
      </w:pPr>
    </w:p>
    <w:p w14:paraId="3B896B3B">
      <w:pPr>
        <w:pStyle w:val="5"/>
        <w:jc w:val="center"/>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.2</w:t>
      </w:r>
      <w:r>
        <w:rPr>
          <w:rFonts w:hint="eastAsia" w:ascii="宋体" w:hAnsi="宋体" w:eastAsia="宋体"/>
          <w:color w:val="auto"/>
          <w:sz w:val="24"/>
          <w:szCs w:val="24"/>
          <w:highlight w:val="none"/>
        </w:rPr>
        <w:t>近年完成的类似项目情况表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6208"/>
      </w:tblGrid>
      <w:tr w14:paraId="42BB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52" w:type="dxa"/>
            <w:vAlign w:val="center"/>
          </w:tcPr>
          <w:p w14:paraId="0B8B904D">
            <w:pPr>
              <w:topLinePunct/>
              <w:spacing w:line="440" w:lineRule="exact"/>
              <w:jc w:val="center"/>
              <w:rPr>
                <w:rFonts w:ascii="宋体" w:hAnsi="宋体"/>
                <w:color w:val="auto"/>
                <w:sz w:val="24"/>
                <w:highlight w:val="none"/>
              </w:rPr>
            </w:pPr>
            <w:r>
              <w:rPr>
                <w:rFonts w:ascii="宋体" w:hAnsi="宋体"/>
                <w:color w:val="auto"/>
                <w:sz w:val="24"/>
                <w:highlight w:val="none"/>
              </w:rPr>
              <w:t>项目名称</w:t>
            </w:r>
          </w:p>
        </w:tc>
        <w:tc>
          <w:tcPr>
            <w:tcW w:w="6208" w:type="dxa"/>
          </w:tcPr>
          <w:p w14:paraId="0B6A6B6C">
            <w:pPr>
              <w:topLinePunct/>
              <w:spacing w:line="440" w:lineRule="exact"/>
              <w:rPr>
                <w:rFonts w:ascii="宋体" w:hAnsi="宋体"/>
                <w:color w:val="auto"/>
                <w:sz w:val="24"/>
                <w:highlight w:val="none"/>
              </w:rPr>
            </w:pPr>
          </w:p>
        </w:tc>
      </w:tr>
      <w:tr w14:paraId="29F1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2" w:type="dxa"/>
            <w:vAlign w:val="center"/>
          </w:tcPr>
          <w:p w14:paraId="3C4C82DF">
            <w:pPr>
              <w:topLinePunct/>
              <w:spacing w:line="440" w:lineRule="exact"/>
              <w:jc w:val="center"/>
              <w:rPr>
                <w:rFonts w:ascii="宋体" w:hAnsi="宋体"/>
                <w:color w:val="auto"/>
                <w:sz w:val="24"/>
                <w:highlight w:val="none"/>
              </w:rPr>
            </w:pPr>
            <w:r>
              <w:rPr>
                <w:rFonts w:ascii="宋体" w:hAnsi="宋体"/>
                <w:color w:val="auto"/>
                <w:sz w:val="24"/>
                <w:highlight w:val="none"/>
              </w:rPr>
              <w:t>项目内容</w:t>
            </w:r>
          </w:p>
        </w:tc>
        <w:tc>
          <w:tcPr>
            <w:tcW w:w="6208" w:type="dxa"/>
          </w:tcPr>
          <w:p w14:paraId="092EDCAA">
            <w:pPr>
              <w:topLinePunct/>
              <w:spacing w:line="440" w:lineRule="exact"/>
              <w:rPr>
                <w:rFonts w:ascii="宋体" w:hAnsi="宋体"/>
                <w:color w:val="auto"/>
                <w:sz w:val="24"/>
                <w:highlight w:val="none"/>
              </w:rPr>
            </w:pPr>
          </w:p>
        </w:tc>
      </w:tr>
      <w:tr w14:paraId="4AED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52" w:type="dxa"/>
            <w:vAlign w:val="center"/>
          </w:tcPr>
          <w:p w14:paraId="2C09DE85">
            <w:pPr>
              <w:topLinePunct/>
              <w:spacing w:line="440" w:lineRule="exact"/>
              <w:jc w:val="center"/>
              <w:rPr>
                <w:rFonts w:ascii="宋体" w:hAnsi="宋体"/>
                <w:color w:val="auto"/>
                <w:sz w:val="24"/>
                <w:highlight w:val="none"/>
              </w:rPr>
            </w:pPr>
            <w:r>
              <w:rPr>
                <w:rFonts w:hint="eastAsia" w:ascii="宋体" w:hAnsi="宋体"/>
                <w:color w:val="auto"/>
                <w:sz w:val="24"/>
                <w:highlight w:val="none"/>
              </w:rPr>
              <w:t>采购</w:t>
            </w:r>
            <w:r>
              <w:rPr>
                <w:rFonts w:ascii="宋体" w:hAnsi="宋体"/>
                <w:color w:val="auto"/>
                <w:sz w:val="24"/>
                <w:highlight w:val="none"/>
              </w:rPr>
              <w:t>人名称</w:t>
            </w:r>
          </w:p>
        </w:tc>
        <w:tc>
          <w:tcPr>
            <w:tcW w:w="6208" w:type="dxa"/>
          </w:tcPr>
          <w:p w14:paraId="31F305F0">
            <w:pPr>
              <w:topLinePunct/>
              <w:spacing w:line="440" w:lineRule="exact"/>
              <w:rPr>
                <w:rFonts w:ascii="宋体" w:hAnsi="宋体"/>
                <w:color w:val="auto"/>
                <w:sz w:val="24"/>
                <w:highlight w:val="none"/>
              </w:rPr>
            </w:pPr>
          </w:p>
        </w:tc>
      </w:tr>
      <w:tr w14:paraId="581B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52" w:type="dxa"/>
            <w:vAlign w:val="center"/>
          </w:tcPr>
          <w:p w14:paraId="617185FD">
            <w:pPr>
              <w:topLinePunct/>
              <w:spacing w:line="440" w:lineRule="exact"/>
              <w:jc w:val="center"/>
              <w:rPr>
                <w:rFonts w:ascii="宋体" w:hAnsi="宋体"/>
                <w:color w:val="auto"/>
                <w:sz w:val="24"/>
                <w:highlight w:val="none"/>
              </w:rPr>
            </w:pPr>
            <w:r>
              <w:rPr>
                <w:rFonts w:ascii="宋体" w:hAnsi="宋体"/>
                <w:color w:val="auto"/>
                <w:sz w:val="24"/>
                <w:highlight w:val="none"/>
              </w:rPr>
              <w:t>合同价格</w:t>
            </w:r>
          </w:p>
        </w:tc>
        <w:tc>
          <w:tcPr>
            <w:tcW w:w="6208" w:type="dxa"/>
          </w:tcPr>
          <w:p w14:paraId="289153D6">
            <w:pPr>
              <w:topLinePunct/>
              <w:spacing w:line="440" w:lineRule="exact"/>
              <w:rPr>
                <w:rFonts w:ascii="宋体" w:hAnsi="宋体"/>
                <w:color w:val="auto"/>
                <w:sz w:val="24"/>
                <w:highlight w:val="none"/>
              </w:rPr>
            </w:pPr>
          </w:p>
        </w:tc>
      </w:tr>
      <w:tr w14:paraId="21CC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2" w:type="dxa"/>
            <w:vAlign w:val="center"/>
          </w:tcPr>
          <w:p w14:paraId="5F23F181">
            <w:pPr>
              <w:topLinePunct/>
              <w:spacing w:line="440" w:lineRule="exact"/>
              <w:jc w:val="center"/>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期</w:t>
            </w:r>
          </w:p>
        </w:tc>
        <w:tc>
          <w:tcPr>
            <w:tcW w:w="6208" w:type="dxa"/>
          </w:tcPr>
          <w:p w14:paraId="0E13BCC4">
            <w:pPr>
              <w:topLinePunct/>
              <w:spacing w:line="440" w:lineRule="exact"/>
              <w:rPr>
                <w:rFonts w:ascii="宋体" w:hAnsi="宋体"/>
                <w:color w:val="auto"/>
                <w:sz w:val="24"/>
                <w:highlight w:val="none"/>
              </w:rPr>
            </w:pPr>
          </w:p>
        </w:tc>
      </w:tr>
      <w:tr w14:paraId="54A7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52" w:type="dxa"/>
            <w:vAlign w:val="center"/>
          </w:tcPr>
          <w:p w14:paraId="1DF33412">
            <w:pPr>
              <w:topLinePunct/>
              <w:spacing w:line="440" w:lineRule="exact"/>
              <w:jc w:val="center"/>
              <w:rPr>
                <w:rFonts w:ascii="宋体" w:hAnsi="宋体"/>
                <w:color w:val="auto"/>
                <w:sz w:val="24"/>
                <w:highlight w:val="none"/>
              </w:rPr>
            </w:pPr>
            <w:r>
              <w:rPr>
                <w:rFonts w:ascii="宋体" w:hAnsi="宋体"/>
                <w:color w:val="auto"/>
                <w:sz w:val="24"/>
                <w:highlight w:val="none"/>
              </w:rPr>
              <w:t>项目负责人</w:t>
            </w:r>
          </w:p>
        </w:tc>
        <w:tc>
          <w:tcPr>
            <w:tcW w:w="6208" w:type="dxa"/>
          </w:tcPr>
          <w:p w14:paraId="592E1451">
            <w:pPr>
              <w:topLinePunct/>
              <w:spacing w:line="440" w:lineRule="exact"/>
              <w:rPr>
                <w:rFonts w:ascii="宋体" w:hAnsi="宋体"/>
                <w:color w:val="auto"/>
                <w:sz w:val="24"/>
                <w:highlight w:val="none"/>
              </w:rPr>
            </w:pPr>
          </w:p>
        </w:tc>
      </w:tr>
      <w:tr w14:paraId="0446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252" w:type="dxa"/>
            <w:vAlign w:val="center"/>
          </w:tcPr>
          <w:p w14:paraId="5B2E55AD">
            <w:pPr>
              <w:topLinePunct/>
              <w:spacing w:line="440" w:lineRule="exact"/>
              <w:jc w:val="center"/>
              <w:rPr>
                <w:rFonts w:ascii="宋体" w:hAnsi="宋体"/>
                <w:color w:val="auto"/>
                <w:sz w:val="24"/>
                <w:highlight w:val="none"/>
              </w:rPr>
            </w:pPr>
            <w:r>
              <w:rPr>
                <w:rFonts w:ascii="宋体" w:hAnsi="宋体"/>
                <w:color w:val="auto"/>
                <w:sz w:val="24"/>
                <w:highlight w:val="none"/>
              </w:rPr>
              <w:t>备注</w:t>
            </w:r>
          </w:p>
        </w:tc>
        <w:tc>
          <w:tcPr>
            <w:tcW w:w="6208" w:type="dxa"/>
          </w:tcPr>
          <w:p w14:paraId="2D2A828B">
            <w:pPr>
              <w:topLinePunct/>
              <w:spacing w:line="440" w:lineRule="exact"/>
              <w:rPr>
                <w:rFonts w:ascii="宋体" w:hAnsi="宋体"/>
                <w:color w:val="auto"/>
                <w:sz w:val="24"/>
                <w:highlight w:val="none"/>
              </w:rPr>
            </w:pPr>
          </w:p>
          <w:p w14:paraId="6AAE2B72">
            <w:pPr>
              <w:topLinePunct/>
              <w:spacing w:line="440" w:lineRule="exact"/>
              <w:rPr>
                <w:rFonts w:ascii="宋体" w:hAnsi="宋体"/>
                <w:color w:val="auto"/>
                <w:sz w:val="24"/>
                <w:highlight w:val="none"/>
              </w:rPr>
            </w:pPr>
          </w:p>
        </w:tc>
      </w:tr>
    </w:tbl>
    <w:p w14:paraId="1AD56D1E">
      <w:pPr>
        <w:pStyle w:val="18"/>
        <w:spacing w:line="440" w:lineRule="exact"/>
        <w:ind w:left="601" w:leftChars="50" w:hanging="496" w:hangingChars="207"/>
        <w:rPr>
          <w:rFonts w:ascii="宋体" w:hAnsi="宋体"/>
          <w:color w:val="auto"/>
          <w:highlight w:val="none"/>
        </w:rPr>
      </w:pPr>
      <w:r>
        <w:rPr>
          <w:rFonts w:ascii="宋体" w:hAnsi="宋体"/>
          <w:color w:val="auto"/>
          <w:highlight w:val="none"/>
        </w:rPr>
        <w:t>注：1、每张表格只填写一个项目</w:t>
      </w:r>
      <w:r>
        <w:rPr>
          <w:rFonts w:hint="eastAsia" w:ascii="宋体" w:hAnsi="宋体"/>
          <w:color w:val="auto"/>
          <w:highlight w:val="none"/>
        </w:rPr>
        <w:t>，</w:t>
      </w:r>
      <w:r>
        <w:rPr>
          <w:rFonts w:ascii="宋体" w:hAnsi="宋体"/>
          <w:color w:val="auto"/>
          <w:highlight w:val="none"/>
        </w:rPr>
        <w:t>并标明序号。</w:t>
      </w:r>
    </w:p>
    <w:p w14:paraId="2470161E">
      <w:pPr>
        <w:pStyle w:val="18"/>
        <w:numPr>
          <w:ilvl w:val="0"/>
          <w:numId w:val="40"/>
        </w:numPr>
        <w:spacing w:line="440" w:lineRule="exact"/>
        <w:ind w:firstLine="480" w:firstLineChars="200"/>
        <w:rPr>
          <w:rFonts w:ascii="宋体" w:hAnsi="宋体"/>
          <w:color w:val="auto"/>
          <w:highlight w:val="none"/>
        </w:rPr>
      </w:pPr>
      <w:r>
        <w:rPr>
          <w:rFonts w:ascii="宋体" w:hAnsi="宋体"/>
          <w:color w:val="auto"/>
          <w:highlight w:val="none"/>
        </w:rPr>
        <w:t>本表后须附业绩需提供</w:t>
      </w:r>
      <w:r>
        <w:rPr>
          <w:rFonts w:hint="eastAsia" w:ascii="宋体" w:hAnsi="宋体" w:cs="宋体"/>
          <w:color w:val="auto"/>
          <w:sz w:val="24"/>
          <w:highlight w:val="none"/>
        </w:rPr>
        <w:t>合同关键页和盖章页复印件</w:t>
      </w:r>
      <w:r>
        <w:rPr>
          <w:rFonts w:ascii="宋体" w:hAnsi="宋体"/>
          <w:color w:val="auto"/>
          <w:highlight w:val="none"/>
        </w:rPr>
        <w:t>作为证明材料</w:t>
      </w:r>
      <w:r>
        <w:rPr>
          <w:rFonts w:hint="eastAsia" w:ascii="宋体" w:hAnsi="宋体"/>
          <w:color w:val="auto"/>
          <w:highlight w:val="none"/>
        </w:rPr>
        <w:t>，</w:t>
      </w:r>
      <w:r>
        <w:rPr>
          <w:rFonts w:ascii="宋体" w:hAnsi="宋体"/>
          <w:color w:val="auto"/>
          <w:highlight w:val="none"/>
        </w:rPr>
        <w:t>复印件加盖公章。</w:t>
      </w:r>
    </w:p>
    <w:p w14:paraId="390D0EE4">
      <w:pPr>
        <w:pStyle w:val="18"/>
        <w:numPr>
          <w:ilvl w:val="0"/>
          <w:numId w:val="40"/>
        </w:numPr>
        <w:spacing w:line="440" w:lineRule="exact"/>
        <w:ind w:firstLine="480" w:firstLineChars="200"/>
        <w:rPr>
          <w:rFonts w:ascii="宋体" w:hAnsi="宋体"/>
          <w:color w:val="auto"/>
          <w:highlight w:val="none"/>
        </w:rPr>
      </w:pPr>
      <w:r>
        <w:rPr>
          <w:rFonts w:ascii="宋体" w:hAnsi="宋体"/>
          <w:color w:val="auto"/>
          <w:highlight w:val="none"/>
        </w:rPr>
        <w:t>如近年来</w:t>
      </w:r>
      <w:r>
        <w:rPr>
          <w:rFonts w:hint="eastAsia" w:ascii="宋体" w:hAnsi="宋体"/>
          <w:color w:val="auto"/>
          <w:highlight w:val="none"/>
        </w:rPr>
        <w:t>，</w:t>
      </w:r>
      <w:r>
        <w:rPr>
          <w:rFonts w:ascii="宋体" w:hAnsi="宋体"/>
          <w:color w:val="auto"/>
          <w:highlight w:val="none"/>
        </w:rPr>
        <w:t>服务商法人机构发生合法变更或重组或法人名称变更时</w:t>
      </w:r>
      <w:r>
        <w:rPr>
          <w:rFonts w:hint="eastAsia" w:ascii="宋体" w:hAnsi="宋体"/>
          <w:color w:val="auto"/>
          <w:highlight w:val="none"/>
        </w:rPr>
        <w:t>，</w:t>
      </w:r>
      <w:r>
        <w:rPr>
          <w:rFonts w:ascii="宋体" w:hAnsi="宋体"/>
          <w:color w:val="auto"/>
          <w:highlight w:val="none"/>
        </w:rPr>
        <w:t>应提供相关部门的合法批件或其他相关证明材料来证明其所附业绩的继承性。</w:t>
      </w:r>
    </w:p>
    <w:p w14:paraId="7D8A92B4">
      <w:pPr>
        <w:ind w:firstLine="480" w:firstLineChars="200"/>
        <w:rPr>
          <w:rFonts w:ascii="宋体" w:hAnsi="宋体" w:eastAsia="宋体"/>
          <w:color w:val="auto"/>
          <w:sz w:val="24"/>
          <w:highlight w:val="none"/>
        </w:rPr>
      </w:pPr>
      <w:r>
        <w:rPr>
          <w:rFonts w:hint="default" w:ascii="宋体" w:hAnsi="宋体" w:eastAsia="宋体"/>
          <w:color w:val="auto"/>
          <w:sz w:val="24"/>
          <w:highlight w:val="none"/>
          <w:lang w:val="en-US" w:eastAsia="zh-CN"/>
        </w:rPr>
        <w:t>4、</w:t>
      </w:r>
      <w:r>
        <w:rPr>
          <w:rFonts w:hint="default" w:ascii="宋体" w:hAnsi="宋体" w:eastAsia="宋体" w:cs="Times New Roman"/>
          <w:color w:val="auto"/>
          <w:sz w:val="24"/>
          <w:szCs w:val="24"/>
          <w:highlight w:val="none"/>
        </w:rPr>
        <w:t>近三年</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val="en-US" w:eastAsia="zh-CN"/>
        </w:rPr>
        <w:t>指的从</w:t>
      </w:r>
      <w:r>
        <w:rPr>
          <w:rFonts w:hint="eastAsia" w:ascii="宋体" w:hAnsi="宋体" w:cs="Times New Roman"/>
          <w:color w:val="auto"/>
          <w:sz w:val="24"/>
          <w:szCs w:val="24"/>
          <w:highlight w:val="none"/>
          <w:lang w:val="en-US" w:eastAsia="zh-CN"/>
        </w:rPr>
        <w:t>2023年1月1日</w:t>
      </w:r>
      <w:r>
        <w:rPr>
          <w:rFonts w:hint="default" w:ascii="宋体" w:hAnsi="宋体" w:eastAsia="宋体" w:cs="Times New Roman"/>
          <w:color w:val="auto"/>
          <w:sz w:val="24"/>
          <w:szCs w:val="24"/>
          <w:highlight w:val="none"/>
          <w:lang w:val="en-US" w:eastAsia="zh-CN"/>
        </w:rPr>
        <w:t>至今</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已完成或正在履约的</w:t>
      </w:r>
      <w:r>
        <w:rPr>
          <w:rFonts w:hint="default" w:ascii="宋体" w:hAnsi="宋体" w:eastAsia="宋体" w:cs="Times New Roman"/>
          <w:color w:val="auto"/>
          <w:sz w:val="24"/>
          <w:szCs w:val="24"/>
          <w:highlight w:val="none"/>
          <w:lang w:val="en-US" w:eastAsia="zh-CN"/>
        </w:rPr>
        <w:t>同类项目。</w:t>
      </w:r>
    </w:p>
    <w:p w14:paraId="24423D16">
      <w:pPr>
        <w:rPr>
          <w:rFonts w:ascii="宋体" w:hAnsi="宋体"/>
          <w:b/>
          <w:color w:val="auto"/>
          <w:sz w:val="24"/>
          <w:highlight w:val="none"/>
        </w:rPr>
      </w:pPr>
    </w:p>
    <w:p w14:paraId="5070454F">
      <w:pPr>
        <w:rPr>
          <w:rFonts w:ascii="宋体" w:hAnsi="宋体"/>
          <w:color w:val="auto"/>
          <w:sz w:val="24"/>
          <w:highlight w:val="none"/>
        </w:rPr>
      </w:pPr>
    </w:p>
    <w:p w14:paraId="2BEC15CA">
      <w:pPr>
        <w:rPr>
          <w:rFonts w:ascii="宋体" w:hAnsi="宋体"/>
          <w:b/>
          <w:color w:val="auto"/>
          <w:sz w:val="24"/>
          <w:highlight w:val="none"/>
        </w:rPr>
      </w:pPr>
    </w:p>
    <w:p w14:paraId="222630B7">
      <w:pPr>
        <w:rPr>
          <w:rFonts w:ascii="宋体" w:hAnsi="宋体"/>
          <w:color w:val="auto"/>
          <w:sz w:val="24"/>
          <w:highlight w:val="none"/>
        </w:rPr>
      </w:pPr>
    </w:p>
    <w:p w14:paraId="7354B568">
      <w:pPr>
        <w:rPr>
          <w:rFonts w:ascii="宋体" w:hAnsi="宋体"/>
          <w:b/>
          <w:color w:val="auto"/>
          <w:sz w:val="24"/>
          <w:highlight w:val="none"/>
        </w:rPr>
      </w:pPr>
    </w:p>
    <w:p w14:paraId="59ADCDD5">
      <w:pPr>
        <w:rPr>
          <w:rFonts w:ascii="宋体" w:hAnsi="宋体"/>
          <w:color w:val="auto"/>
          <w:sz w:val="24"/>
          <w:highlight w:val="none"/>
        </w:rPr>
      </w:pPr>
    </w:p>
    <w:p w14:paraId="1DE2B4DF">
      <w:pPr>
        <w:rPr>
          <w:rFonts w:ascii="宋体" w:hAnsi="宋体"/>
          <w:b/>
          <w:color w:val="auto"/>
          <w:sz w:val="24"/>
          <w:highlight w:val="none"/>
        </w:rPr>
      </w:pPr>
    </w:p>
    <w:p w14:paraId="25686017">
      <w:pPr>
        <w:rPr>
          <w:rFonts w:ascii="宋体" w:hAnsi="宋体"/>
          <w:b/>
          <w:color w:val="auto"/>
          <w:sz w:val="24"/>
          <w:highlight w:val="none"/>
        </w:rPr>
      </w:pPr>
    </w:p>
    <w:p w14:paraId="4AE8435D">
      <w:pPr>
        <w:widowControl/>
        <w:jc w:val="left"/>
        <w:rPr>
          <w:rFonts w:ascii="宋体" w:hAnsi="宋体" w:eastAsia="黑体"/>
          <w:b/>
          <w:color w:val="auto"/>
          <w:kern w:val="0"/>
          <w:sz w:val="24"/>
          <w:szCs w:val="20"/>
          <w:highlight w:val="none"/>
        </w:rPr>
      </w:pPr>
      <w:r>
        <w:rPr>
          <w:rFonts w:ascii="宋体" w:hAnsi="宋体"/>
          <w:color w:val="auto"/>
          <w:sz w:val="24"/>
          <w:highlight w:val="none"/>
        </w:rPr>
        <w:br w:type="page"/>
      </w:r>
    </w:p>
    <w:p w14:paraId="4166FCA3">
      <w:pPr>
        <w:pStyle w:val="5"/>
        <w:jc w:val="center"/>
        <w:rPr>
          <w:rFonts w:ascii="宋体" w:hAnsi="宋体"/>
          <w:color w:val="auto"/>
          <w:sz w:val="24"/>
          <w:highlight w:val="none"/>
        </w:rPr>
      </w:pPr>
      <w:r>
        <w:rPr>
          <w:rFonts w:hint="eastAsia" w:ascii="宋体" w:hAnsi="宋体" w:cs="宋体"/>
          <w:b/>
          <w:bCs/>
          <w:color w:val="auto"/>
          <w:kern w:val="0"/>
          <w:sz w:val="24"/>
          <w:highlight w:val="none"/>
          <w:lang w:bidi="ar"/>
        </w:rPr>
        <w:t>9</w:t>
      </w:r>
      <w:r>
        <w:rPr>
          <w:rFonts w:ascii="宋体" w:hAnsi="宋体" w:cs="宋体"/>
          <w:b/>
          <w:bCs/>
          <w:color w:val="auto"/>
          <w:kern w:val="0"/>
          <w:sz w:val="24"/>
          <w:highlight w:val="none"/>
          <w:lang w:bidi="ar"/>
        </w:rPr>
        <w:t>.3</w:t>
      </w:r>
      <w:r>
        <w:rPr>
          <w:rFonts w:hint="eastAsia" w:ascii="宋体" w:hAnsi="宋体" w:cs="宋体"/>
          <w:b/>
          <w:bCs/>
          <w:color w:val="auto"/>
          <w:kern w:val="0"/>
          <w:sz w:val="24"/>
          <w:highlight w:val="none"/>
          <w:lang w:bidi="ar"/>
        </w:rPr>
        <w:t>技术文件</w:t>
      </w:r>
      <w:r>
        <w:rPr>
          <w:rFonts w:hint="eastAsia" w:ascii="宋体" w:hAnsi="宋体"/>
          <w:color w:val="auto"/>
          <w:sz w:val="24"/>
          <w:highlight w:val="none"/>
        </w:rPr>
        <w:t>（格式自拟）</w:t>
      </w:r>
    </w:p>
    <w:p w14:paraId="75A885E4">
      <w:pPr>
        <w:ind w:firstLine="480" w:firstLineChars="200"/>
        <w:rPr>
          <w:rFonts w:ascii="宋体" w:hAnsi="宋体"/>
          <w:color w:val="auto"/>
          <w:sz w:val="24"/>
          <w:highlight w:val="none"/>
        </w:rPr>
      </w:pPr>
      <w:r>
        <w:rPr>
          <w:rFonts w:hint="eastAsia" w:ascii="宋体" w:hAnsi="宋体" w:cs="宋体"/>
          <w:color w:val="auto"/>
          <w:sz w:val="24"/>
          <w:highlight w:val="none"/>
        </w:rPr>
        <w:t>不限定格式，由投标人根据第四章评标方法中的要求，自拟格式编撰。</w:t>
      </w:r>
    </w:p>
    <w:p w14:paraId="0E35F55F">
      <w:pPr>
        <w:widowControl/>
        <w:jc w:val="left"/>
        <w:rPr>
          <w:rFonts w:ascii="宋体" w:hAnsi="宋体"/>
          <w:b/>
          <w:color w:val="auto"/>
          <w:sz w:val="24"/>
          <w:highlight w:val="none"/>
        </w:rPr>
      </w:pPr>
    </w:p>
    <w:p w14:paraId="7A1EF141">
      <w:pPr>
        <w:rPr>
          <w:color w:val="auto"/>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91BC">
    <w:pPr>
      <w:pStyle w:val="29"/>
      <w:ind w:right="360"/>
      <w:rPr>
        <w:rStyle w:val="51"/>
      </w:rPr>
    </w:pPr>
  </w:p>
  <w:p w14:paraId="7C94B46D">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A44D">
    <w:pPr>
      <w:pStyle w:val="1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A356E">
                          <w:pPr>
                            <w:pStyle w:val="2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CA356E">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7CFC">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8A90C">
                          <w:pPr>
                            <w:pStyle w:val="29"/>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08A90C">
                    <w:pPr>
                      <w:pStyle w:val="29"/>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3E49">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A8461">
                          <w:pPr>
                            <w:pStyle w:val="29"/>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9A8461">
                    <w:pPr>
                      <w:pStyle w:val="29"/>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6524">
    <w:pPr>
      <w:spacing w:line="173" w:lineRule="auto"/>
      <w:ind w:left="445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6D70B">
                          <w:pPr>
                            <w:pStyle w:val="2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B26D70B">
                    <w:pPr>
                      <w:pStyle w:val="2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D246">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7F99A">
                          <w:pPr>
                            <w:pStyle w:val="29"/>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47F99A">
                    <w:pPr>
                      <w:pStyle w:val="29"/>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B5069">
    <w:pPr>
      <w:pStyle w:val="29"/>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separate"/>
    </w:r>
    <w:r>
      <w:rPr>
        <w:rStyle w:val="51"/>
      </w:rPr>
      <w:t>- 0 -</w:t>
    </w:r>
    <w:r>
      <w:rPr>
        <w:rStyle w:val="51"/>
      </w:rPr>
      <w:fldChar w:fldCharType="end"/>
    </w:r>
  </w:p>
  <w:p w14:paraId="7AD83DA8">
    <w:pPr>
      <w:pStyle w:val="2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9345">
    <w:pPr>
      <w:pStyle w:val="2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F721C">
                          <w:pPr>
                            <w:pStyle w:val="29"/>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87F721C">
                    <w:pPr>
                      <w:pStyle w:val="29"/>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5559">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051E00C4">
    <w:pPr>
      <w:pStyle w:val="29"/>
      <w:ind w:right="360"/>
    </w:pPr>
  </w:p>
  <w:p w14:paraId="77C17830"/>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99DF6">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886D">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946E6">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8946E6">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4BAB">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CDB8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3CDB8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452B">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65A2B7E9">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3274">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7F62">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54914">
                          <w:pPr>
                            <w:pStyle w:val="2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A054914">
                    <w:pPr>
                      <w:pStyle w:val="29"/>
                    </w:pPr>
                    <w:r>
                      <w:fldChar w:fldCharType="begin"/>
                    </w:r>
                    <w:r>
                      <w:instrText xml:space="preserve"> PAGE  \* MERGEFORMAT </w:instrText>
                    </w:r>
                    <w:r>
                      <w:fldChar w:fldCharType="separate"/>
                    </w:r>
                    <w:r>
                      <w:t>56</w:t>
                    </w:r>
                    <w:r>
                      <w:fldChar w:fldCharType="end"/>
                    </w:r>
                  </w:p>
                </w:txbxContent>
              </v:textbox>
            </v:shape>
          </w:pict>
        </mc:Fallback>
      </mc:AlternateContent>
    </w:r>
  </w:p>
  <w:p w14:paraId="72143635">
    <w:pPr>
      <w:pStyle w:val="29"/>
      <w:rPr>
        <w:rFonts w:ascii="华文细黑" w:hAnsi="华文细黑" w:eastAsia="华文细黑"/>
        <w:sz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8CAD">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72ECF">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972ECF">
                    <w:pPr>
                      <w:pStyle w:val="29"/>
                    </w:pPr>
                    <w:r>
                      <w:fldChar w:fldCharType="begin"/>
                    </w:r>
                    <w:r>
                      <w:instrText xml:space="preserve"> PAGE  \* MERGEFORMAT </w:instrText>
                    </w:r>
                    <w:r>
                      <w:fldChar w:fldCharType="separate"/>
                    </w:r>
                    <w:r>
                      <w:t>60</w:t>
                    </w:r>
                    <w:r>
                      <w:fldChar w:fldCharType="end"/>
                    </w:r>
                  </w:p>
                </w:txbxContent>
              </v:textbox>
            </v:shape>
          </w:pict>
        </mc:Fallback>
      </mc:AlternateContent>
    </w:r>
  </w:p>
  <w:p w14:paraId="036E5EBD">
    <w:pPr>
      <w:pStyle w:val="29"/>
      <w:rPr>
        <w:rFonts w:ascii="华文细黑" w:hAnsi="华文细黑" w:eastAsia="华文细黑"/>
        <w:sz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FA3C">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3072C">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5F3072C">
                    <w:pPr>
                      <w:pStyle w:val="29"/>
                    </w:pPr>
                    <w:r>
                      <w:fldChar w:fldCharType="begin"/>
                    </w:r>
                    <w:r>
                      <w:instrText xml:space="preserve"> PAGE  \* MERGEFORMAT </w:instrText>
                    </w:r>
                    <w:r>
                      <w:fldChar w:fldCharType="separate"/>
                    </w:r>
                    <w:r>
                      <w:t>60</w:t>
                    </w:r>
                    <w:r>
                      <w:fldChar w:fldCharType="end"/>
                    </w:r>
                  </w:p>
                </w:txbxContent>
              </v:textbox>
            </v:shape>
          </w:pict>
        </mc:Fallback>
      </mc:AlternateContent>
    </w:r>
  </w:p>
  <w:p w14:paraId="4403DC41">
    <w:pPr>
      <w:pStyle w:val="29"/>
      <w:rPr>
        <w:rFonts w:ascii="华文细黑" w:hAnsi="华文细黑" w:eastAsia="华文细黑"/>
        <w:sz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F325">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7FB4C">
                          <w:pPr>
                            <w:pStyle w:val="2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E7FB4C">
                    <w:pPr>
                      <w:pStyle w:val="29"/>
                    </w:pPr>
                    <w:r>
                      <w:fldChar w:fldCharType="begin"/>
                    </w:r>
                    <w:r>
                      <w:instrText xml:space="preserve"> PAGE  \* MERGEFORMAT </w:instrText>
                    </w:r>
                    <w:r>
                      <w:fldChar w:fldCharType="separate"/>
                    </w:r>
                    <w:r>
                      <w:t>60</w:t>
                    </w:r>
                    <w:r>
                      <w:fldChar w:fldCharType="end"/>
                    </w:r>
                  </w:p>
                </w:txbxContent>
              </v:textbox>
            </v:shape>
          </w:pict>
        </mc:Fallback>
      </mc:AlternateContent>
    </w:r>
  </w:p>
  <w:p w14:paraId="5E81AB24">
    <w:pPr>
      <w:pStyle w:val="29"/>
      <w:rPr>
        <w:rFonts w:ascii="华文细黑" w:hAnsi="华文细黑" w:eastAsia="华文细黑"/>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6F85">
    <w:pPr>
      <w:pStyle w:val="30"/>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410C6">
    <w:pPr>
      <w:pStyle w:val="30"/>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32A1">
    <w:pPr>
      <w:pStyle w:val="30"/>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752D">
    <w:pPr>
      <w:pStyle w:val="30"/>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F088">
    <w:pPr>
      <w:pStyle w:val="30"/>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EFA9">
    <w:pPr>
      <w:pStyle w:val="30"/>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31AC6">
    <w:pPr>
      <w:pStyle w:val="30"/>
    </w:pPr>
  </w:p>
  <w:p w14:paraId="6BF79A8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405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059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F6CB">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FC55">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24176">
    <w:pPr>
      <w:pStyle w:val="30"/>
      <w:pBdr>
        <w:bottom w:val="none" w:color="auto" w:sz="0" w:space="1"/>
      </w:pBdr>
      <w:ind w:right="-92"/>
      <w:jc w:val="right"/>
      <w:rPr>
        <w:rFonts w:ascii="华文细黑" w:hAnsi="华文细黑" w:eastAsia="华文细黑"/>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AFAD0">
    <w:pPr>
      <w:pStyle w:val="30"/>
      <w:pBdr>
        <w:bottom w:val="none" w:color="auto" w:sz="0" w:space="1"/>
      </w:pBdr>
      <w:ind w:right="-92"/>
      <w:jc w:val="right"/>
      <w:rPr>
        <w:rFonts w:ascii="华文细黑" w:hAnsi="华文细黑" w:eastAsia="华文细黑"/>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2238">
    <w:pPr>
      <w:pStyle w:val="30"/>
      <w:pBdr>
        <w:bottom w:val="none" w:color="auto" w:sz="0" w:space="1"/>
      </w:pBdr>
      <w:ind w:right="-92"/>
      <w:jc w:val="right"/>
      <w:rPr>
        <w:rFonts w:ascii="华文细黑" w:hAnsi="华文细黑" w:eastAsia="华文细黑"/>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F820">
    <w:pPr>
      <w:pStyle w:val="30"/>
      <w:pBdr>
        <w:bottom w:val="none" w:color="auto" w:sz="0" w:space="1"/>
      </w:pBdr>
      <w:ind w:right="-92"/>
      <w:jc w:val="right"/>
      <w:rPr>
        <w:rFonts w:ascii="华文细黑" w:hAnsi="华文细黑" w:eastAsia="华文细黑"/>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0298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FA4"/>
    <w:multiLevelType w:val="singleLevel"/>
    <w:tmpl w:val="841A5FA4"/>
    <w:lvl w:ilvl="0" w:tentative="0">
      <w:start w:val="6"/>
      <w:numFmt w:val="chineseCounting"/>
      <w:suff w:val="nothing"/>
      <w:lvlText w:val="%1、"/>
      <w:lvlJc w:val="left"/>
      <w:rPr>
        <w:rFonts w:hint="eastAsia"/>
      </w:rPr>
    </w:lvl>
  </w:abstractNum>
  <w:abstractNum w:abstractNumId="1">
    <w:nsid w:val="8BEB66D6"/>
    <w:multiLevelType w:val="singleLevel"/>
    <w:tmpl w:val="8BEB66D6"/>
    <w:lvl w:ilvl="0" w:tentative="0">
      <w:start w:val="4"/>
      <w:numFmt w:val="chineseCounting"/>
      <w:suff w:val="nothing"/>
      <w:lvlText w:val="%1、"/>
      <w:lvlJc w:val="left"/>
      <w:rPr>
        <w:rFonts w:hint="eastAsia"/>
      </w:rPr>
    </w:lvl>
  </w:abstractNum>
  <w:abstractNum w:abstractNumId="2">
    <w:nsid w:val="9438FC7F"/>
    <w:multiLevelType w:val="singleLevel"/>
    <w:tmpl w:val="9438FC7F"/>
    <w:lvl w:ilvl="0" w:tentative="0">
      <w:start w:val="2"/>
      <w:numFmt w:val="decimal"/>
      <w:suff w:val="space"/>
      <w:lvlText w:val="%1."/>
      <w:lvlJc w:val="left"/>
    </w:lvl>
  </w:abstractNum>
  <w:abstractNum w:abstractNumId="3">
    <w:nsid w:val="9E910FAB"/>
    <w:multiLevelType w:val="singleLevel"/>
    <w:tmpl w:val="9E910FAB"/>
    <w:lvl w:ilvl="0" w:tentative="0">
      <w:start w:val="2"/>
      <w:numFmt w:val="decimal"/>
      <w:suff w:val="space"/>
      <w:lvlText w:val="%1."/>
      <w:lvlJc w:val="left"/>
    </w:lvl>
  </w:abstractNum>
  <w:abstractNum w:abstractNumId="4">
    <w:nsid w:val="A9720635"/>
    <w:multiLevelType w:val="singleLevel"/>
    <w:tmpl w:val="A9720635"/>
    <w:lvl w:ilvl="0" w:tentative="0">
      <w:start w:val="3"/>
      <w:numFmt w:val="decimal"/>
      <w:lvlText w:val="%1."/>
      <w:lvlJc w:val="left"/>
      <w:pPr>
        <w:tabs>
          <w:tab w:val="left" w:pos="312"/>
        </w:tabs>
      </w:pPr>
    </w:lvl>
  </w:abstractNum>
  <w:abstractNum w:abstractNumId="5">
    <w:nsid w:val="B4D0BF95"/>
    <w:multiLevelType w:val="singleLevel"/>
    <w:tmpl w:val="B4D0BF95"/>
    <w:lvl w:ilvl="0" w:tentative="0">
      <w:start w:val="2"/>
      <w:numFmt w:val="decimal"/>
      <w:suff w:val="space"/>
      <w:lvlText w:val="%1."/>
      <w:lvlJc w:val="left"/>
    </w:lvl>
  </w:abstractNum>
  <w:abstractNum w:abstractNumId="6">
    <w:nsid w:val="BD7F9F17"/>
    <w:multiLevelType w:val="singleLevel"/>
    <w:tmpl w:val="BD7F9F17"/>
    <w:lvl w:ilvl="0" w:tentative="0">
      <w:start w:val="15"/>
      <w:numFmt w:val="chineseCounting"/>
      <w:suff w:val="space"/>
      <w:lvlText w:val="第%1条"/>
      <w:lvlJc w:val="left"/>
      <w:rPr>
        <w:rFonts w:hint="eastAsia"/>
      </w:rPr>
    </w:lvl>
  </w:abstractNum>
  <w:abstractNum w:abstractNumId="7">
    <w:nsid w:val="D1B54404"/>
    <w:multiLevelType w:val="singleLevel"/>
    <w:tmpl w:val="D1B54404"/>
    <w:lvl w:ilvl="0" w:tentative="0">
      <w:start w:val="1"/>
      <w:numFmt w:val="chineseCounting"/>
      <w:suff w:val="space"/>
      <w:lvlText w:val="第%1章"/>
      <w:lvlJc w:val="left"/>
      <w:rPr>
        <w:rFonts w:hint="eastAsia"/>
      </w:rPr>
    </w:lvl>
  </w:abstractNum>
  <w:abstractNum w:abstractNumId="8">
    <w:nsid w:val="D6913A9E"/>
    <w:multiLevelType w:val="singleLevel"/>
    <w:tmpl w:val="D6913A9E"/>
    <w:lvl w:ilvl="0" w:tentative="0">
      <w:start w:val="2"/>
      <w:numFmt w:val="decimal"/>
      <w:suff w:val="space"/>
      <w:lvlText w:val="%1."/>
      <w:lvlJc w:val="left"/>
    </w:lvl>
  </w:abstractNum>
  <w:abstractNum w:abstractNumId="9">
    <w:nsid w:val="DF6757C2"/>
    <w:multiLevelType w:val="singleLevel"/>
    <w:tmpl w:val="DF6757C2"/>
    <w:lvl w:ilvl="0" w:tentative="0">
      <w:start w:val="2"/>
      <w:numFmt w:val="decimal"/>
      <w:suff w:val="space"/>
      <w:lvlText w:val="%1."/>
      <w:lvlJc w:val="left"/>
    </w:lvl>
  </w:abstractNum>
  <w:abstractNum w:abstractNumId="10">
    <w:nsid w:val="DFD75AAE"/>
    <w:multiLevelType w:val="singleLevel"/>
    <w:tmpl w:val="DFD75AAE"/>
    <w:lvl w:ilvl="0" w:tentative="0">
      <w:start w:val="1"/>
      <w:numFmt w:val="decimal"/>
      <w:suff w:val="nothing"/>
      <w:lvlText w:val="（%1）"/>
      <w:lvlJc w:val="left"/>
    </w:lvl>
  </w:abstractNum>
  <w:abstractNum w:abstractNumId="11">
    <w:nsid w:val="F5FBFC1B"/>
    <w:multiLevelType w:val="singleLevel"/>
    <w:tmpl w:val="F5FBFC1B"/>
    <w:lvl w:ilvl="0" w:tentative="0">
      <w:start w:val="1"/>
      <w:numFmt w:val="decimal"/>
      <w:suff w:val="nothing"/>
      <w:lvlText w:val="（%1）"/>
      <w:lvlJc w:val="left"/>
    </w:lvl>
  </w:abstractNum>
  <w:abstractNum w:abstractNumId="1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3">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16">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1">
    <w:nsid w:val="027B863F"/>
    <w:multiLevelType w:val="singleLevel"/>
    <w:tmpl w:val="027B863F"/>
    <w:lvl w:ilvl="0" w:tentative="0">
      <w:start w:val="2"/>
      <w:numFmt w:val="chineseCounting"/>
      <w:suff w:val="nothing"/>
      <w:lvlText w:val="%1、"/>
      <w:lvlJc w:val="left"/>
      <w:rPr>
        <w:rFonts w:hint="eastAsia"/>
      </w:rPr>
    </w:lvl>
  </w:abstractNum>
  <w:abstractNum w:abstractNumId="22">
    <w:nsid w:val="0C891CAF"/>
    <w:multiLevelType w:val="multilevel"/>
    <w:tmpl w:val="0C891CAF"/>
    <w:lvl w:ilvl="0" w:tentative="0">
      <w:start w:val="1"/>
      <w:numFmt w:val="decimal"/>
      <w:lvlText w:val="%1."/>
      <w:lvlJc w:val="left"/>
      <w:pPr>
        <w:ind w:left="915"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23">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4">
    <w:nsid w:val="0E5F01B7"/>
    <w:multiLevelType w:val="multilevel"/>
    <w:tmpl w:val="0E5F01B7"/>
    <w:lvl w:ilvl="0" w:tentative="0">
      <w:start w:val="1"/>
      <w:numFmt w:val="decimal"/>
      <w:lvlText w:val="%1."/>
      <w:lvlJc w:val="left"/>
      <w:pPr>
        <w:ind w:left="967"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64" w:hanging="264"/>
      </w:pPr>
      <w:rPr>
        <w:rFonts w:hint="default"/>
      </w:rPr>
    </w:lvl>
    <w:lvl w:ilvl="2" w:tentative="0">
      <w:start w:val="0"/>
      <w:numFmt w:val="bullet"/>
      <w:lvlText w:val="•"/>
      <w:lvlJc w:val="left"/>
      <w:pPr>
        <w:ind w:left="2569" w:hanging="264"/>
      </w:pPr>
      <w:rPr>
        <w:rFonts w:hint="default"/>
      </w:rPr>
    </w:lvl>
    <w:lvl w:ilvl="3" w:tentative="0">
      <w:start w:val="0"/>
      <w:numFmt w:val="bullet"/>
      <w:lvlText w:val="•"/>
      <w:lvlJc w:val="left"/>
      <w:pPr>
        <w:ind w:left="3373" w:hanging="264"/>
      </w:pPr>
      <w:rPr>
        <w:rFonts w:hint="default"/>
      </w:rPr>
    </w:lvl>
    <w:lvl w:ilvl="4" w:tentative="0">
      <w:start w:val="0"/>
      <w:numFmt w:val="bullet"/>
      <w:lvlText w:val="•"/>
      <w:lvlJc w:val="left"/>
      <w:pPr>
        <w:ind w:left="4178" w:hanging="264"/>
      </w:pPr>
      <w:rPr>
        <w:rFonts w:hint="default"/>
      </w:rPr>
    </w:lvl>
    <w:lvl w:ilvl="5" w:tentative="0">
      <w:start w:val="0"/>
      <w:numFmt w:val="bullet"/>
      <w:lvlText w:val="•"/>
      <w:lvlJc w:val="left"/>
      <w:pPr>
        <w:ind w:left="4983" w:hanging="264"/>
      </w:pPr>
      <w:rPr>
        <w:rFonts w:hint="default"/>
      </w:rPr>
    </w:lvl>
    <w:lvl w:ilvl="6" w:tentative="0">
      <w:start w:val="0"/>
      <w:numFmt w:val="bullet"/>
      <w:lvlText w:val="•"/>
      <w:lvlJc w:val="left"/>
      <w:pPr>
        <w:ind w:left="5787" w:hanging="264"/>
      </w:pPr>
      <w:rPr>
        <w:rFonts w:hint="default"/>
      </w:rPr>
    </w:lvl>
    <w:lvl w:ilvl="7" w:tentative="0">
      <w:start w:val="0"/>
      <w:numFmt w:val="bullet"/>
      <w:lvlText w:val="•"/>
      <w:lvlJc w:val="left"/>
      <w:pPr>
        <w:ind w:left="6592" w:hanging="264"/>
      </w:pPr>
      <w:rPr>
        <w:rFonts w:hint="default"/>
      </w:rPr>
    </w:lvl>
    <w:lvl w:ilvl="8" w:tentative="0">
      <w:start w:val="0"/>
      <w:numFmt w:val="bullet"/>
      <w:lvlText w:val="•"/>
      <w:lvlJc w:val="left"/>
      <w:pPr>
        <w:ind w:left="7397" w:hanging="264"/>
      </w:pPr>
      <w:rPr>
        <w:rFonts w:hint="default"/>
      </w:rPr>
    </w:lvl>
  </w:abstractNum>
  <w:abstractNum w:abstractNumId="2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14582523"/>
    <w:multiLevelType w:val="multilevel"/>
    <w:tmpl w:val="14582523"/>
    <w:lvl w:ilvl="0" w:tentative="0">
      <w:start w:val="1"/>
      <w:numFmt w:val="decimal"/>
      <w:lvlText w:val="%1."/>
      <w:lvlJc w:val="left"/>
      <w:pPr>
        <w:ind w:left="91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27">
    <w:nsid w:val="16331683"/>
    <w:multiLevelType w:val="singleLevel"/>
    <w:tmpl w:val="16331683"/>
    <w:lvl w:ilvl="0" w:tentative="0">
      <w:start w:val="2"/>
      <w:numFmt w:val="decimal"/>
      <w:suff w:val="space"/>
      <w:lvlText w:val="%1."/>
      <w:lvlJc w:val="left"/>
    </w:lvl>
  </w:abstractNum>
  <w:abstractNum w:abstractNumId="28">
    <w:nsid w:val="217B14E8"/>
    <w:multiLevelType w:val="multilevel"/>
    <w:tmpl w:val="217B14E8"/>
    <w:lvl w:ilvl="0" w:tentative="0">
      <w:start w:val="1"/>
      <w:numFmt w:val="decimal"/>
      <w:lvlText w:val="%1."/>
      <w:lvlJc w:val="left"/>
      <w:pPr>
        <w:ind w:left="91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2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427E1C14"/>
    <w:multiLevelType w:val="singleLevel"/>
    <w:tmpl w:val="427E1C14"/>
    <w:lvl w:ilvl="0" w:tentative="0">
      <w:start w:val="2"/>
      <w:numFmt w:val="decimal"/>
      <w:suff w:val="nothing"/>
      <w:lvlText w:val="%1、"/>
      <w:lvlJc w:val="left"/>
    </w:lvl>
  </w:abstractNum>
  <w:abstractNum w:abstractNumId="3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3">
    <w:nsid w:val="4D2F4B30"/>
    <w:multiLevelType w:val="multilevel"/>
    <w:tmpl w:val="4D2F4B30"/>
    <w:lvl w:ilvl="0" w:tentative="0">
      <w:start w:val="1"/>
      <w:numFmt w:val="decimal"/>
      <w:lvlText w:val="%1."/>
      <w:lvlJc w:val="left"/>
      <w:pPr>
        <w:ind w:left="223" w:hanging="267"/>
      </w:pPr>
      <w:rPr>
        <w:rFonts w:hint="default" w:ascii="Times New Roman" w:hAnsi="Times New Roman" w:eastAsia="Times New Roman" w:cs="Times New Roman"/>
        <w:w w:val="100"/>
        <w:sz w:val="21"/>
        <w:szCs w:val="21"/>
      </w:rPr>
    </w:lvl>
    <w:lvl w:ilvl="1" w:tentative="0">
      <w:start w:val="0"/>
      <w:numFmt w:val="bullet"/>
      <w:lvlText w:val="•"/>
      <w:lvlJc w:val="left"/>
      <w:pPr>
        <w:ind w:left="1098" w:hanging="267"/>
      </w:pPr>
      <w:rPr>
        <w:rFonts w:hint="default"/>
      </w:rPr>
    </w:lvl>
    <w:lvl w:ilvl="2" w:tentative="0">
      <w:start w:val="0"/>
      <w:numFmt w:val="bullet"/>
      <w:lvlText w:val="•"/>
      <w:lvlJc w:val="left"/>
      <w:pPr>
        <w:ind w:left="1977" w:hanging="267"/>
      </w:pPr>
      <w:rPr>
        <w:rFonts w:hint="default"/>
      </w:rPr>
    </w:lvl>
    <w:lvl w:ilvl="3" w:tentative="0">
      <w:start w:val="0"/>
      <w:numFmt w:val="bullet"/>
      <w:lvlText w:val="•"/>
      <w:lvlJc w:val="left"/>
      <w:pPr>
        <w:ind w:left="2855" w:hanging="267"/>
      </w:pPr>
      <w:rPr>
        <w:rFonts w:hint="default"/>
      </w:rPr>
    </w:lvl>
    <w:lvl w:ilvl="4" w:tentative="0">
      <w:start w:val="0"/>
      <w:numFmt w:val="bullet"/>
      <w:lvlText w:val="•"/>
      <w:lvlJc w:val="left"/>
      <w:pPr>
        <w:ind w:left="3734" w:hanging="267"/>
      </w:pPr>
      <w:rPr>
        <w:rFonts w:hint="default"/>
      </w:rPr>
    </w:lvl>
    <w:lvl w:ilvl="5" w:tentative="0">
      <w:start w:val="0"/>
      <w:numFmt w:val="bullet"/>
      <w:lvlText w:val="•"/>
      <w:lvlJc w:val="left"/>
      <w:pPr>
        <w:ind w:left="4613" w:hanging="267"/>
      </w:pPr>
      <w:rPr>
        <w:rFonts w:hint="default"/>
      </w:rPr>
    </w:lvl>
    <w:lvl w:ilvl="6" w:tentative="0">
      <w:start w:val="0"/>
      <w:numFmt w:val="bullet"/>
      <w:lvlText w:val="•"/>
      <w:lvlJc w:val="left"/>
      <w:pPr>
        <w:ind w:left="5491" w:hanging="267"/>
      </w:pPr>
      <w:rPr>
        <w:rFonts w:hint="default"/>
      </w:rPr>
    </w:lvl>
    <w:lvl w:ilvl="7" w:tentative="0">
      <w:start w:val="0"/>
      <w:numFmt w:val="bullet"/>
      <w:lvlText w:val="•"/>
      <w:lvlJc w:val="left"/>
      <w:pPr>
        <w:ind w:left="6370" w:hanging="267"/>
      </w:pPr>
      <w:rPr>
        <w:rFonts w:hint="default"/>
      </w:rPr>
    </w:lvl>
    <w:lvl w:ilvl="8" w:tentative="0">
      <w:start w:val="0"/>
      <w:numFmt w:val="bullet"/>
      <w:lvlText w:val="•"/>
      <w:lvlJc w:val="left"/>
      <w:pPr>
        <w:ind w:left="7249" w:hanging="267"/>
      </w:pPr>
      <w:rPr>
        <w:rFonts w:hint="default"/>
      </w:rPr>
    </w:lvl>
  </w:abstractNum>
  <w:abstractNum w:abstractNumId="34">
    <w:nsid w:val="4E6B1545"/>
    <w:multiLevelType w:val="multilevel"/>
    <w:tmpl w:val="4E6B1545"/>
    <w:lvl w:ilvl="0" w:tentative="0">
      <w:start w:val="1"/>
      <w:numFmt w:val="decimal"/>
      <w:lvlText w:val="%1."/>
      <w:lvlJc w:val="left"/>
      <w:pPr>
        <w:ind w:left="223" w:hanging="264"/>
      </w:pPr>
      <w:rPr>
        <w:rFonts w:hint="default" w:ascii="Times New Roman" w:hAnsi="Times New Roman" w:eastAsia="Times New Roman" w:cs="Times New Roman"/>
        <w:w w:val="100"/>
        <w:sz w:val="21"/>
        <w:szCs w:val="21"/>
      </w:rPr>
    </w:lvl>
    <w:lvl w:ilvl="1" w:tentative="0">
      <w:start w:val="0"/>
      <w:numFmt w:val="bullet"/>
      <w:lvlText w:val="•"/>
      <w:lvlJc w:val="left"/>
      <w:pPr>
        <w:ind w:left="1098" w:hanging="264"/>
      </w:pPr>
      <w:rPr>
        <w:rFonts w:hint="default"/>
      </w:rPr>
    </w:lvl>
    <w:lvl w:ilvl="2" w:tentative="0">
      <w:start w:val="0"/>
      <w:numFmt w:val="bullet"/>
      <w:lvlText w:val="•"/>
      <w:lvlJc w:val="left"/>
      <w:pPr>
        <w:ind w:left="1977" w:hanging="264"/>
      </w:pPr>
      <w:rPr>
        <w:rFonts w:hint="default"/>
      </w:rPr>
    </w:lvl>
    <w:lvl w:ilvl="3" w:tentative="0">
      <w:start w:val="0"/>
      <w:numFmt w:val="bullet"/>
      <w:lvlText w:val="•"/>
      <w:lvlJc w:val="left"/>
      <w:pPr>
        <w:ind w:left="2855" w:hanging="264"/>
      </w:pPr>
      <w:rPr>
        <w:rFonts w:hint="default"/>
      </w:rPr>
    </w:lvl>
    <w:lvl w:ilvl="4" w:tentative="0">
      <w:start w:val="0"/>
      <w:numFmt w:val="bullet"/>
      <w:lvlText w:val="•"/>
      <w:lvlJc w:val="left"/>
      <w:pPr>
        <w:ind w:left="3734" w:hanging="264"/>
      </w:pPr>
      <w:rPr>
        <w:rFonts w:hint="default"/>
      </w:rPr>
    </w:lvl>
    <w:lvl w:ilvl="5" w:tentative="0">
      <w:start w:val="0"/>
      <w:numFmt w:val="bullet"/>
      <w:lvlText w:val="•"/>
      <w:lvlJc w:val="left"/>
      <w:pPr>
        <w:ind w:left="4613" w:hanging="264"/>
      </w:pPr>
      <w:rPr>
        <w:rFonts w:hint="default"/>
      </w:rPr>
    </w:lvl>
    <w:lvl w:ilvl="6" w:tentative="0">
      <w:start w:val="0"/>
      <w:numFmt w:val="bullet"/>
      <w:lvlText w:val="•"/>
      <w:lvlJc w:val="left"/>
      <w:pPr>
        <w:ind w:left="5491" w:hanging="264"/>
      </w:pPr>
      <w:rPr>
        <w:rFonts w:hint="default"/>
      </w:rPr>
    </w:lvl>
    <w:lvl w:ilvl="7" w:tentative="0">
      <w:start w:val="0"/>
      <w:numFmt w:val="bullet"/>
      <w:lvlText w:val="•"/>
      <w:lvlJc w:val="left"/>
      <w:pPr>
        <w:ind w:left="6370" w:hanging="264"/>
      </w:pPr>
      <w:rPr>
        <w:rFonts w:hint="default"/>
      </w:rPr>
    </w:lvl>
    <w:lvl w:ilvl="8" w:tentative="0">
      <w:start w:val="0"/>
      <w:numFmt w:val="bullet"/>
      <w:lvlText w:val="•"/>
      <w:lvlJc w:val="left"/>
      <w:pPr>
        <w:ind w:left="7249" w:hanging="264"/>
      </w:pPr>
      <w:rPr>
        <w:rFonts w:hint="default"/>
      </w:rPr>
    </w:lvl>
  </w:abstractNum>
  <w:abstractNum w:abstractNumId="35">
    <w:nsid w:val="504075CB"/>
    <w:multiLevelType w:val="multilevel"/>
    <w:tmpl w:val="504075CB"/>
    <w:lvl w:ilvl="0" w:tentative="0">
      <w:start w:val="1"/>
      <w:numFmt w:val="decimal"/>
      <w:lvlText w:val="%1."/>
      <w:lvlJc w:val="left"/>
      <w:pPr>
        <w:ind w:left="915"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36">
    <w:nsid w:val="520463E4"/>
    <w:multiLevelType w:val="singleLevel"/>
    <w:tmpl w:val="520463E4"/>
    <w:lvl w:ilvl="0" w:tentative="0">
      <w:start w:val="2"/>
      <w:numFmt w:val="decimal"/>
      <w:suff w:val="space"/>
      <w:lvlText w:val="%1."/>
      <w:lvlJc w:val="left"/>
    </w:lvl>
  </w:abstractNum>
  <w:abstractNum w:abstractNumId="37">
    <w:nsid w:val="5911182D"/>
    <w:multiLevelType w:val="multilevel"/>
    <w:tmpl w:val="5911182D"/>
    <w:lvl w:ilvl="0" w:tentative="0">
      <w:start w:val="1"/>
      <w:numFmt w:val="decimal"/>
      <w:lvlText w:val="%1."/>
      <w:lvlJc w:val="left"/>
      <w:pPr>
        <w:ind w:left="223" w:hanging="267"/>
      </w:pPr>
      <w:rPr>
        <w:rFonts w:hint="default" w:ascii="Times New Roman" w:hAnsi="Times New Roman" w:eastAsia="Times New Roman" w:cs="Times New Roman"/>
        <w:w w:val="100"/>
        <w:sz w:val="21"/>
        <w:szCs w:val="21"/>
      </w:rPr>
    </w:lvl>
    <w:lvl w:ilvl="1" w:tentative="0">
      <w:start w:val="0"/>
      <w:numFmt w:val="bullet"/>
      <w:lvlText w:val="•"/>
      <w:lvlJc w:val="left"/>
      <w:pPr>
        <w:ind w:left="1098" w:hanging="267"/>
      </w:pPr>
      <w:rPr>
        <w:rFonts w:hint="default"/>
      </w:rPr>
    </w:lvl>
    <w:lvl w:ilvl="2" w:tentative="0">
      <w:start w:val="0"/>
      <w:numFmt w:val="bullet"/>
      <w:lvlText w:val="•"/>
      <w:lvlJc w:val="left"/>
      <w:pPr>
        <w:ind w:left="1977" w:hanging="267"/>
      </w:pPr>
      <w:rPr>
        <w:rFonts w:hint="default"/>
      </w:rPr>
    </w:lvl>
    <w:lvl w:ilvl="3" w:tentative="0">
      <w:start w:val="0"/>
      <w:numFmt w:val="bullet"/>
      <w:lvlText w:val="•"/>
      <w:lvlJc w:val="left"/>
      <w:pPr>
        <w:ind w:left="2855" w:hanging="267"/>
      </w:pPr>
      <w:rPr>
        <w:rFonts w:hint="default"/>
      </w:rPr>
    </w:lvl>
    <w:lvl w:ilvl="4" w:tentative="0">
      <w:start w:val="0"/>
      <w:numFmt w:val="bullet"/>
      <w:lvlText w:val="•"/>
      <w:lvlJc w:val="left"/>
      <w:pPr>
        <w:ind w:left="3734" w:hanging="267"/>
      </w:pPr>
      <w:rPr>
        <w:rFonts w:hint="default"/>
      </w:rPr>
    </w:lvl>
    <w:lvl w:ilvl="5" w:tentative="0">
      <w:start w:val="0"/>
      <w:numFmt w:val="bullet"/>
      <w:lvlText w:val="•"/>
      <w:lvlJc w:val="left"/>
      <w:pPr>
        <w:ind w:left="4613" w:hanging="267"/>
      </w:pPr>
      <w:rPr>
        <w:rFonts w:hint="default"/>
      </w:rPr>
    </w:lvl>
    <w:lvl w:ilvl="6" w:tentative="0">
      <w:start w:val="0"/>
      <w:numFmt w:val="bullet"/>
      <w:lvlText w:val="•"/>
      <w:lvlJc w:val="left"/>
      <w:pPr>
        <w:ind w:left="5491" w:hanging="267"/>
      </w:pPr>
      <w:rPr>
        <w:rFonts w:hint="default"/>
      </w:rPr>
    </w:lvl>
    <w:lvl w:ilvl="7" w:tentative="0">
      <w:start w:val="0"/>
      <w:numFmt w:val="bullet"/>
      <w:lvlText w:val="•"/>
      <w:lvlJc w:val="left"/>
      <w:pPr>
        <w:ind w:left="6370" w:hanging="267"/>
      </w:pPr>
      <w:rPr>
        <w:rFonts w:hint="default"/>
      </w:rPr>
    </w:lvl>
    <w:lvl w:ilvl="8" w:tentative="0">
      <w:start w:val="0"/>
      <w:numFmt w:val="bullet"/>
      <w:lvlText w:val="•"/>
      <w:lvlJc w:val="left"/>
      <w:pPr>
        <w:ind w:left="7249" w:hanging="267"/>
      </w:pPr>
      <w:rPr>
        <w:rFonts w:hint="default"/>
      </w:rPr>
    </w:lvl>
  </w:abstractNum>
  <w:abstractNum w:abstractNumId="38">
    <w:nsid w:val="66021B69"/>
    <w:multiLevelType w:val="multilevel"/>
    <w:tmpl w:val="66021B69"/>
    <w:lvl w:ilvl="0" w:tentative="0">
      <w:start w:val="1"/>
      <w:numFmt w:val="decimal"/>
      <w:lvlText w:val="%1."/>
      <w:lvlJc w:val="left"/>
      <w:pPr>
        <w:ind w:left="914" w:hanging="264"/>
      </w:pPr>
      <w:rPr>
        <w:rFonts w:hint="default" w:ascii="Times New Roman" w:hAnsi="Times New Roman" w:eastAsia="Times New Roman" w:cs="Times New Roman"/>
        <w:w w:val="100"/>
        <w:sz w:val="21"/>
        <w:szCs w:val="21"/>
      </w:rPr>
    </w:lvl>
    <w:lvl w:ilvl="1" w:tentative="0">
      <w:start w:val="0"/>
      <w:numFmt w:val="bullet"/>
      <w:lvlText w:val="•"/>
      <w:lvlJc w:val="left"/>
      <w:pPr>
        <w:ind w:left="1728" w:hanging="264"/>
      </w:pPr>
      <w:rPr>
        <w:rFonts w:hint="default"/>
      </w:rPr>
    </w:lvl>
    <w:lvl w:ilvl="2" w:tentative="0">
      <w:start w:val="0"/>
      <w:numFmt w:val="bullet"/>
      <w:lvlText w:val="•"/>
      <w:lvlJc w:val="left"/>
      <w:pPr>
        <w:ind w:left="2537" w:hanging="264"/>
      </w:pPr>
      <w:rPr>
        <w:rFonts w:hint="default"/>
      </w:rPr>
    </w:lvl>
    <w:lvl w:ilvl="3" w:tentative="0">
      <w:start w:val="0"/>
      <w:numFmt w:val="bullet"/>
      <w:lvlText w:val="•"/>
      <w:lvlJc w:val="left"/>
      <w:pPr>
        <w:ind w:left="3345" w:hanging="264"/>
      </w:pPr>
      <w:rPr>
        <w:rFonts w:hint="default"/>
      </w:rPr>
    </w:lvl>
    <w:lvl w:ilvl="4" w:tentative="0">
      <w:start w:val="0"/>
      <w:numFmt w:val="bullet"/>
      <w:lvlText w:val="•"/>
      <w:lvlJc w:val="left"/>
      <w:pPr>
        <w:ind w:left="4154" w:hanging="264"/>
      </w:pPr>
      <w:rPr>
        <w:rFonts w:hint="default"/>
      </w:rPr>
    </w:lvl>
    <w:lvl w:ilvl="5" w:tentative="0">
      <w:start w:val="0"/>
      <w:numFmt w:val="bullet"/>
      <w:lvlText w:val="•"/>
      <w:lvlJc w:val="left"/>
      <w:pPr>
        <w:ind w:left="4963" w:hanging="264"/>
      </w:pPr>
      <w:rPr>
        <w:rFonts w:hint="default"/>
      </w:rPr>
    </w:lvl>
    <w:lvl w:ilvl="6" w:tentative="0">
      <w:start w:val="0"/>
      <w:numFmt w:val="bullet"/>
      <w:lvlText w:val="•"/>
      <w:lvlJc w:val="left"/>
      <w:pPr>
        <w:ind w:left="5771" w:hanging="264"/>
      </w:pPr>
      <w:rPr>
        <w:rFonts w:hint="default"/>
      </w:rPr>
    </w:lvl>
    <w:lvl w:ilvl="7" w:tentative="0">
      <w:start w:val="0"/>
      <w:numFmt w:val="bullet"/>
      <w:lvlText w:val="•"/>
      <w:lvlJc w:val="left"/>
      <w:pPr>
        <w:ind w:left="6580" w:hanging="264"/>
      </w:pPr>
      <w:rPr>
        <w:rFonts w:hint="default"/>
      </w:rPr>
    </w:lvl>
    <w:lvl w:ilvl="8" w:tentative="0">
      <w:start w:val="0"/>
      <w:numFmt w:val="bullet"/>
      <w:lvlText w:val="•"/>
      <w:lvlJc w:val="left"/>
      <w:pPr>
        <w:ind w:left="7389" w:hanging="264"/>
      </w:pPr>
      <w:rPr>
        <w:rFonts w:hint="default"/>
      </w:rPr>
    </w:lvl>
  </w:abstractNum>
  <w:abstractNum w:abstractNumId="3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6"/>
  </w:num>
  <w:num w:numId="2">
    <w:abstractNumId w:val="19"/>
  </w:num>
  <w:num w:numId="3">
    <w:abstractNumId w:val="13"/>
  </w:num>
  <w:num w:numId="4">
    <w:abstractNumId w:val="17"/>
  </w:num>
  <w:num w:numId="5">
    <w:abstractNumId w:val="15"/>
  </w:num>
  <w:num w:numId="6">
    <w:abstractNumId w:val="14"/>
  </w:num>
  <w:num w:numId="7">
    <w:abstractNumId w:val="23"/>
  </w:num>
  <w:num w:numId="8">
    <w:abstractNumId w:val="7"/>
  </w:num>
  <w:num w:numId="9">
    <w:abstractNumId w:val="4"/>
  </w:num>
  <w:num w:numId="10">
    <w:abstractNumId w:val="1"/>
  </w:num>
  <w:num w:numId="11">
    <w:abstractNumId w:val="0"/>
  </w:num>
  <w:num w:numId="12">
    <w:abstractNumId w:val="10"/>
  </w:num>
  <w:num w:numId="13">
    <w:abstractNumId w:val="18"/>
  </w:num>
  <w:num w:numId="14">
    <w:abstractNumId w:val="12"/>
  </w:num>
  <w:num w:numId="15">
    <w:abstractNumId w:val="30"/>
  </w:num>
  <w:num w:numId="16">
    <w:abstractNumId w:val="25"/>
  </w:num>
  <w:num w:numId="17">
    <w:abstractNumId w:val="39"/>
  </w:num>
  <w:num w:numId="18">
    <w:abstractNumId w:val="21"/>
  </w:num>
  <w:num w:numId="19">
    <w:abstractNumId w:val="2"/>
  </w:num>
  <w:num w:numId="20">
    <w:abstractNumId w:val="8"/>
  </w:num>
  <w:num w:numId="21">
    <w:abstractNumId w:val="36"/>
  </w:num>
  <w:num w:numId="22">
    <w:abstractNumId w:val="3"/>
  </w:num>
  <w:num w:numId="23">
    <w:abstractNumId w:val="9"/>
  </w:num>
  <w:num w:numId="24">
    <w:abstractNumId w:val="5"/>
  </w:num>
  <w:num w:numId="25">
    <w:abstractNumId w:val="27"/>
  </w:num>
  <w:num w:numId="26">
    <w:abstractNumId w:val="6"/>
  </w:num>
  <w:num w:numId="27">
    <w:abstractNumId w:val="11"/>
  </w:num>
  <w:num w:numId="28">
    <w:abstractNumId w:val="35"/>
  </w:num>
  <w:num w:numId="29">
    <w:abstractNumId w:val="24"/>
  </w:num>
  <w:num w:numId="30">
    <w:abstractNumId w:val="26"/>
  </w:num>
  <w:num w:numId="31">
    <w:abstractNumId w:val="38"/>
  </w:num>
  <w:num w:numId="32">
    <w:abstractNumId w:val="37"/>
  </w:num>
  <w:num w:numId="33">
    <w:abstractNumId w:val="33"/>
  </w:num>
  <w:num w:numId="34">
    <w:abstractNumId w:val="22"/>
  </w:num>
  <w:num w:numId="35">
    <w:abstractNumId w:val="28"/>
  </w:num>
  <w:num w:numId="36">
    <w:abstractNumId w:val="34"/>
  </w:num>
  <w:num w:numId="37">
    <w:abstractNumId w:val="29"/>
  </w:num>
  <w:num w:numId="38">
    <w:abstractNumId w:val="32"/>
  </w:num>
  <w:num w:numId="39">
    <w:abstractNumId w:val="2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TBiMDc2YjYwYzMwMzkxMzNkZmEzNTEyZGEzYTNiN2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03"/>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5ED"/>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1DD"/>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5"/>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208"/>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33"/>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93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14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31"/>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3A"/>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CAD"/>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609E6"/>
    <w:rsid w:val="017D7944"/>
    <w:rsid w:val="01934780"/>
    <w:rsid w:val="01A76F41"/>
    <w:rsid w:val="01F4007C"/>
    <w:rsid w:val="0206437E"/>
    <w:rsid w:val="02D23086"/>
    <w:rsid w:val="02EB4148"/>
    <w:rsid w:val="031817A0"/>
    <w:rsid w:val="034B4BE6"/>
    <w:rsid w:val="035A307B"/>
    <w:rsid w:val="04217AD8"/>
    <w:rsid w:val="043D3538"/>
    <w:rsid w:val="04642403"/>
    <w:rsid w:val="04712DBD"/>
    <w:rsid w:val="05663F59"/>
    <w:rsid w:val="05DB15F2"/>
    <w:rsid w:val="0785786D"/>
    <w:rsid w:val="07F40332"/>
    <w:rsid w:val="084F33CB"/>
    <w:rsid w:val="08534C69"/>
    <w:rsid w:val="087F5A5E"/>
    <w:rsid w:val="08D06B67"/>
    <w:rsid w:val="08D44EE3"/>
    <w:rsid w:val="09517549"/>
    <w:rsid w:val="0A454A85"/>
    <w:rsid w:val="0A527726"/>
    <w:rsid w:val="0A6A26DF"/>
    <w:rsid w:val="0A7035A0"/>
    <w:rsid w:val="0ACC2AB1"/>
    <w:rsid w:val="0B660C1A"/>
    <w:rsid w:val="0B8B3238"/>
    <w:rsid w:val="0BC67500"/>
    <w:rsid w:val="0BDF2A32"/>
    <w:rsid w:val="0C395387"/>
    <w:rsid w:val="0C686809"/>
    <w:rsid w:val="0C794EB2"/>
    <w:rsid w:val="0C8C0026"/>
    <w:rsid w:val="0C922E43"/>
    <w:rsid w:val="0D356267"/>
    <w:rsid w:val="0D471FF6"/>
    <w:rsid w:val="0D6B035F"/>
    <w:rsid w:val="0D7D62E4"/>
    <w:rsid w:val="0D8B27AF"/>
    <w:rsid w:val="0DF03979"/>
    <w:rsid w:val="0F604556"/>
    <w:rsid w:val="0F9C29B1"/>
    <w:rsid w:val="100D77A5"/>
    <w:rsid w:val="103D5DA2"/>
    <w:rsid w:val="10790FE5"/>
    <w:rsid w:val="108D7ADF"/>
    <w:rsid w:val="109B4F41"/>
    <w:rsid w:val="11130052"/>
    <w:rsid w:val="114C04A7"/>
    <w:rsid w:val="11823EC9"/>
    <w:rsid w:val="11A55E09"/>
    <w:rsid w:val="12541D09"/>
    <w:rsid w:val="12742E5A"/>
    <w:rsid w:val="12AC38F3"/>
    <w:rsid w:val="130D2D9A"/>
    <w:rsid w:val="1316302A"/>
    <w:rsid w:val="13235E29"/>
    <w:rsid w:val="13243B42"/>
    <w:rsid w:val="13531FC1"/>
    <w:rsid w:val="139220F4"/>
    <w:rsid w:val="145D29FB"/>
    <w:rsid w:val="14852F53"/>
    <w:rsid w:val="14EB3FC1"/>
    <w:rsid w:val="15712BD2"/>
    <w:rsid w:val="15BC2AF1"/>
    <w:rsid w:val="16692350"/>
    <w:rsid w:val="16777D74"/>
    <w:rsid w:val="16F05D79"/>
    <w:rsid w:val="16FC64CC"/>
    <w:rsid w:val="17A96653"/>
    <w:rsid w:val="17DE3E23"/>
    <w:rsid w:val="17F93E0B"/>
    <w:rsid w:val="18356139"/>
    <w:rsid w:val="18AA473A"/>
    <w:rsid w:val="18F74850"/>
    <w:rsid w:val="19280074"/>
    <w:rsid w:val="196B15B6"/>
    <w:rsid w:val="19B86B69"/>
    <w:rsid w:val="1A2A67F3"/>
    <w:rsid w:val="1A580BB8"/>
    <w:rsid w:val="1A683BFC"/>
    <w:rsid w:val="1A96604E"/>
    <w:rsid w:val="1B1B3361"/>
    <w:rsid w:val="1B324BB2"/>
    <w:rsid w:val="1B80591D"/>
    <w:rsid w:val="1B813443"/>
    <w:rsid w:val="1B9C202B"/>
    <w:rsid w:val="1BA32B8B"/>
    <w:rsid w:val="1C455CA5"/>
    <w:rsid w:val="1C5B1EE6"/>
    <w:rsid w:val="1C7D3C0B"/>
    <w:rsid w:val="1C8C6544"/>
    <w:rsid w:val="1CC17F9B"/>
    <w:rsid w:val="1D2C69D2"/>
    <w:rsid w:val="1D6B6A72"/>
    <w:rsid w:val="1D9E652E"/>
    <w:rsid w:val="1E1F09F2"/>
    <w:rsid w:val="1E9F255E"/>
    <w:rsid w:val="20321B47"/>
    <w:rsid w:val="20C23E79"/>
    <w:rsid w:val="20D5741D"/>
    <w:rsid w:val="20FB76C1"/>
    <w:rsid w:val="213A47C0"/>
    <w:rsid w:val="21774099"/>
    <w:rsid w:val="21863464"/>
    <w:rsid w:val="21D00C81"/>
    <w:rsid w:val="22387D8C"/>
    <w:rsid w:val="223B3D5F"/>
    <w:rsid w:val="22B40A7B"/>
    <w:rsid w:val="22CC31F6"/>
    <w:rsid w:val="230B75CD"/>
    <w:rsid w:val="239E00B4"/>
    <w:rsid w:val="23EB5A33"/>
    <w:rsid w:val="23FB7503"/>
    <w:rsid w:val="24164E4D"/>
    <w:rsid w:val="251D5F8B"/>
    <w:rsid w:val="251E74A4"/>
    <w:rsid w:val="25207829"/>
    <w:rsid w:val="25253091"/>
    <w:rsid w:val="258A5081"/>
    <w:rsid w:val="259E30C1"/>
    <w:rsid w:val="26B81261"/>
    <w:rsid w:val="26D66D39"/>
    <w:rsid w:val="27155AE7"/>
    <w:rsid w:val="275C2927"/>
    <w:rsid w:val="27615893"/>
    <w:rsid w:val="27843CE5"/>
    <w:rsid w:val="27914877"/>
    <w:rsid w:val="27CF7A19"/>
    <w:rsid w:val="27FE1E28"/>
    <w:rsid w:val="28164F13"/>
    <w:rsid w:val="287C0FAB"/>
    <w:rsid w:val="28A10C81"/>
    <w:rsid w:val="28A33EF2"/>
    <w:rsid w:val="298874A0"/>
    <w:rsid w:val="2A160A04"/>
    <w:rsid w:val="2A7E571E"/>
    <w:rsid w:val="2AC85B58"/>
    <w:rsid w:val="2ADB2B70"/>
    <w:rsid w:val="2AE00186"/>
    <w:rsid w:val="2B6C5576"/>
    <w:rsid w:val="2B6E29D3"/>
    <w:rsid w:val="2B96499B"/>
    <w:rsid w:val="2CC41AE9"/>
    <w:rsid w:val="2CD07D87"/>
    <w:rsid w:val="2E386EB8"/>
    <w:rsid w:val="2E4B0F5C"/>
    <w:rsid w:val="2EAF62E1"/>
    <w:rsid w:val="2ECD11A7"/>
    <w:rsid w:val="2EE02D95"/>
    <w:rsid w:val="2F1667B3"/>
    <w:rsid w:val="2F7401D4"/>
    <w:rsid w:val="2FAA7EAA"/>
    <w:rsid w:val="30080905"/>
    <w:rsid w:val="30E04669"/>
    <w:rsid w:val="311A7BD5"/>
    <w:rsid w:val="31FC3C8C"/>
    <w:rsid w:val="32180206"/>
    <w:rsid w:val="32236BAB"/>
    <w:rsid w:val="328D7C62"/>
    <w:rsid w:val="32A45F3D"/>
    <w:rsid w:val="32EB653A"/>
    <w:rsid w:val="33266736"/>
    <w:rsid w:val="33540A40"/>
    <w:rsid w:val="338B22AA"/>
    <w:rsid w:val="33FC76B3"/>
    <w:rsid w:val="348A3241"/>
    <w:rsid w:val="359F2CBB"/>
    <w:rsid w:val="36030592"/>
    <w:rsid w:val="361F010B"/>
    <w:rsid w:val="364C5CFB"/>
    <w:rsid w:val="371D1E1A"/>
    <w:rsid w:val="378849BA"/>
    <w:rsid w:val="37A748D6"/>
    <w:rsid w:val="37B24C58"/>
    <w:rsid w:val="38841C4D"/>
    <w:rsid w:val="38C5276A"/>
    <w:rsid w:val="38EF77E6"/>
    <w:rsid w:val="39152F35"/>
    <w:rsid w:val="39541302"/>
    <w:rsid w:val="39821E90"/>
    <w:rsid w:val="3A306308"/>
    <w:rsid w:val="3A6F0BDF"/>
    <w:rsid w:val="3AF345E7"/>
    <w:rsid w:val="3B444C94"/>
    <w:rsid w:val="3BAA2675"/>
    <w:rsid w:val="3BCB6780"/>
    <w:rsid w:val="3C20166A"/>
    <w:rsid w:val="3C2F54FE"/>
    <w:rsid w:val="3C5A1B15"/>
    <w:rsid w:val="3D3B56F0"/>
    <w:rsid w:val="3D690831"/>
    <w:rsid w:val="3D873086"/>
    <w:rsid w:val="3DB336C4"/>
    <w:rsid w:val="3E0A24EF"/>
    <w:rsid w:val="3E102DD6"/>
    <w:rsid w:val="3E6622F9"/>
    <w:rsid w:val="3E941725"/>
    <w:rsid w:val="3ECF2BC4"/>
    <w:rsid w:val="3EE70AED"/>
    <w:rsid w:val="3F201DA4"/>
    <w:rsid w:val="3F2F6B8F"/>
    <w:rsid w:val="3F41404F"/>
    <w:rsid w:val="3FD15D8C"/>
    <w:rsid w:val="40AD6F34"/>
    <w:rsid w:val="415871CF"/>
    <w:rsid w:val="417B7E86"/>
    <w:rsid w:val="419B49AF"/>
    <w:rsid w:val="41AE17BB"/>
    <w:rsid w:val="41B82E6B"/>
    <w:rsid w:val="42176EA0"/>
    <w:rsid w:val="42CD0A98"/>
    <w:rsid w:val="431A0C09"/>
    <w:rsid w:val="43770B04"/>
    <w:rsid w:val="445A645C"/>
    <w:rsid w:val="448977B3"/>
    <w:rsid w:val="44BF2763"/>
    <w:rsid w:val="44E95A32"/>
    <w:rsid w:val="45022C7A"/>
    <w:rsid w:val="457B3806"/>
    <w:rsid w:val="45C2539B"/>
    <w:rsid w:val="45C73FC5"/>
    <w:rsid w:val="45D93CF8"/>
    <w:rsid w:val="461421F0"/>
    <w:rsid w:val="46465D0C"/>
    <w:rsid w:val="46E45B53"/>
    <w:rsid w:val="472206DF"/>
    <w:rsid w:val="47282841"/>
    <w:rsid w:val="480E2158"/>
    <w:rsid w:val="49023D0E"/>
    <w:rsid w:val="497D499A"/>
    <w:rsid w:val="4A3E4415"/>
    <w:rsid w:val="4AAE5753"/>
    <w:rsid w:val="4B65373A"/>
    <w:rsid w:val="4BF26D26"/>
    <w:rsid w:val="4C0F3FD0"/>
    <w:rsid w:val="4C60274C"/>
    <w:rsid w:val="4CB674C6"/>
    <w:rsid w:val="4D00163A"/>
    <w:rsid w:val="4DAC584E"/>
    <w:rsid w:val="4DFB1C76"/>
    <w:rsid w:val="4F0F5BE3"/>
    <w:rsid w:val="4F1F09CE"/>
    <w:rsid w:val="4F5C1D7C"/>
    <w:rsid w:val="505A77E4"/>
    <w:rsid w:val="50642410"/>
    <w:rsid w:val="508C2A5F"/>
    <w:rsid w:val="50BE5FC4"/>
    <w:rsid w:val="50CA4969"/>
    <w:rsid w:val="512C3BE3"/>
    <w:rsid w:val="515C792B"/>
    <w:rsid w:val="52422029"/>
    <w:rsid w:val="53202F66"/>
    <w:rsid w:val="532077EA"/>
    <w:rsid w:val="534E7B17"/>
    <w:rsid w:val="53590226"/>
    <w:rsid w:val="53745F79"/>
    <w:rsid w:val="539605FB"/>
    <w:rsid w:val="53A5521A"/>
    <w:rsid w:val="542A1C14"/>
    <w:rsid w:val="542D58D7"/>
    <w:rsid w:val="547B7D5C"/>
    <w:rsid w:val="549612F9"/>
    <w:rsid w:val="54CF5C32"/>
    <w:rsid w:val="54FA14E3"/>
    <w:rsid w:val="55040901"/>
    <w:rsid w:val="55A51D72"/>
    <w:rsid w:val="55F61D5C"/>
    <w:rsid w:val="567B7329"/>
    <w:rsid w:val="56C500AD"/>
    <w:rsid w:val="56DF05DE"/>
    <w:rsid w:val="56E50C8E"/>
    <w:rsid w:val="56F70118"/>
    <w:rsid w:val="570A1FEC"/>
    <w:rsid w:val="57FC6189"/>
    <w:rsid w:val="587D72AF"/>
    <w:rsid w:val="58931AE5"/>
    <w:rsid w:val="598246AC"/>
    <w:rsid w:val="5A171CE7"/>
    <w:rsid w:val="5A413F98"/>
    <w:rsid w:val="5A423206"/>
    <w:rsid w:val="5AA53259"/>
    <w:rsid w:val="5B3C2907"/>
    <w:rsid w:val="5C0B3D49"/>
    <w:rsid w:val="5C0F5717"/>
    <w:rsid w:val="5C1B4497"/>
    <w:rsid w:val="5C3C46CC"/>
    <w:rsid w:val="5C6B755C"/>
    <w:rsid w:val="5C9D16DC"/>
    <w:rsid w:val="5CFE60C6"/>
    <w:rsid w:val="5D323FC2"/>
    <w:rsid w:val="5DB744C7"/>
    <w:rsid w:val="5DD7016B"/>
    <w:rsid w:val="5DFB7B4A"/>
    <w:rsid w:val="5E0A0EA9"/>
    <w:rsid w:val="5EFD415C"/>
    <w:rsid w:val="5F073306"/>
    <w:rsid w:val="5F092BBD"/>
    <w:rsid w:val="5F5F73B9"/>
    <w:rsid w:val="5F6A3D47"/>
    <w:rsid w:val="5F9678A6"/>
    <w:rsid w:val="5FD749AD"/>
    <w:rsid w:val="600F4147"/>
    <w:rsid w:val="60732F4D"/>
    <w:rsid w:val="61750921"/>
    <w:rsid w:val="61F25ACE"/>
    <w:rsid w:val="61F375D0"/>
    <w:rsid w:val="62015D11"/>
    <w:rsid w:val="62DF1CAC"/>
    <w:rsid w:val="63461ABD"/>
    <w:rsid w:val="63892CD6"/>
    <w:rsid w:val="63F47255"/>
    <w:rsid w:val="64974DD0"/>
    <w:rsid w:val="64AE54F5"/>
    <w:rsid w:val="65585F5F"/>
    <w:rsid w:val="65917D7D"/>
    <w:rsid w:val="65B3280B"/>
    <w:rsid w:val="65BD63F3"/>
    <w:rsid w:val="65BE20CE"/>
    <w:rsid w:val="65D57BE0"/>
    <w:rsid w:val="65FA7647"/>
    <w:rsid w:val="661A4B5C"/>
    <w:rsid w:val="6704066B"/>
    <w:rsid w:val="67675300"/>
    <w:rsid w:val="676E3E49"/>
    <w:rsid w:val="67987117"/>
    <w:rsid w:val="6838144E"/>
    <w:rsid w:val="683A0C71"/>
    <w:rsid w:val="684A04CC"/>
    <w:rsid w:val="68602147"/>
    <w:rsid w:val="688202CA"/>
    <w:rsid w:val="68AA7398"/>
    <w:rsid w:val="696A4AE4"/>
    <w:rsid w:val="69E21D66"/>
    <w:rsid w:val="69EC2A30"/>
    <w:rsid w:val="6A4D6295"/>
    <w:rsid w:val="6ABB3713"/>
    <w:rsid w:val="6B32518D"/>
    <w:rsid w:val="6BF1329A"/>
    <w:rsid w:val="6C2B5CFA"/>
    <w:rsid w:val="6C836885"/>
    <w:rsid w:val="6D8536C2"/>
    <w:rsid w:val="6E0B11D7"/>
    <w:rsid w:val="6E2D0E2F"/>
    <w:rsid w:val="6EBA700A"/>
    <w:rsid w:val="6F5C4ECE"/>
    <w:rsid w:val="6F97D24A"/>
    <w:rsid w:val="6FC54822"/>
    <w:rsid w:val="7004359C"/>
    <w:rsid w:val="700C0F42"/>
    <w:rsid w:val="70C80A99"/>
    <w:rsid w:val="70CC1BE0"/>
    <w:rsid w:val="70ED4030"/>
    <w:rsid w:val="70FD6430"/>
    <w:rsid w:val="71381023"/>
    <w:rsid w:val="71E909FE"/>
    <w:rsid w:val="71FF6F8F"/>
    <w:rsid w:val="73CC7D67"/>
    <w:rsid w:val="73EB0045"/>
    <w:rsid w:val="742C597A"/>
    <w:rsid w:val="744378C5"/>
    <w:rsid w:val="74E31AB7"/>
    <w:rsid w:val="74FD4A5E"/>
    <w:rsid w:val="758F7694"/>
    <w:rsid w:val="75DD3483"/>
    <w:rsid w:val="765608C9"/>
    <w:rsid w:val="76621A08"/>
    <w:rsid w:val="769F0492"/>
    <w:rsid w:val="77004391"/>
    <w:rsid w:val="77975BED"/>
    <w:rsid w:val="77C35AEB"/>
    <w:rsid w:val="77C43611"/>
    <w:rsid w:val="77E31119"/>
    <w:rsid w:val="77E37423"/>
    <w:rsid w:val="78CD2936"/>
    <w:rsid w:val="79792748"/>
    <w:rsid w:val="7B9F686F"/>
    <w:rsid w:val="7BC506FF"/>
    <w:rsid w:val="7BE75B20"/>
    <w:rsid w:val="7C143B8B"/>
    <w:rsid w:val="7C61572E"/>
    <w:rsid w:val="7C9A6307"/>
    <w:rsid w:val="7D5D078F"/>
    <w:rsid w:val="7D87580C"/>
    <w:rsid w:val="7DFD787D"/>
    <w:rsid w:val="7E384246"/>
    <w:rsid w:val="7E775881"/>
    <w:rsid w:val="7E961A7A"/>
    <w:rsid w:val="7E9C0E44"/>
    <w:rsid w:val="7EA00100"/>
    <w:rsid w:val="7EC77F12"/>
    <w:rsid w:val="7EF7251E"/>
    <w:rsid w:val="7F15557D"/>
    <w:rsid w:val="7F594F87"/>
    <w:rsid w:val="7F97D7F2"/>
    <w:rsid w:val="7FD36AE7"/>
    <w:rsid w:val="7FFE7DEB"/>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1"/>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8"/>
    <w:qFormat/>
    <w:uiPriority w:val="0"/>
    <w:pPr>
      <w:shd w:val="clear" w:color="auto" w:fill="000080"/>
    </w:pPr>
  </w:style>
  <w:style w:type="paragraph" w:styleId="15">
    <w:name w:val="annotation text"/>
    <w:basedOn w:val="1"/>
    <w:link w:val="69"/>
    <w:qFormat/>
    <w:uiPriority w:val="99"/>
    <w:pPr>
      <w:jc w:val="left"/>
    </w:pPr>
  </w:style>
  <w:style w:type="paragraph" w:styleId="16">
    <w:name w:val="Body Text 3"/>
    <w:basedOn w:val="1"/>
    <w:link w:val="70"/>
    <w:qFormat/>
    <w:uiPriority w:val="0"/>
    <w:pPr>
      <w:spacing w:after="120"/>
    </w:pPr>
    <w:rPr>
      <w:sz w:val="16"/>
      <w:szCs w:val="16"/>
    </w:rPr>
  </w:style>
  <w:style w:type="paragraph" w:styleId="17">
    <w:name w:val="Body Text"/>
    <w:basedOn w:val="1"/>
    <w:link w:val="71"/>
    <w:qFormat/>
    <w:uiPriority w:val="0"/>
    <w:pPr>
      <w:tabs>
        <w:tab w:val="left" w:pos="567"/>
      </w:tabs>
      <w:spacing w:before="120" w:line="22" w:lineRule="atLeast"/>
    </w:pPr>
    <w:rPr>
      <w:rFonts w:ascii="宋体" w:hAnsi="宋体"/>
      <w:sz w:val="24"/>
    </w:rPr>
  </w:style>
  <w:style w:type="paragraph" w:styleId="18">
    <w:name w:val="Body Text Indent"/>
    <w:basedOn w:val="1"/>
    <w:next w:val="19"/>
    <w:link w:val="72"/>
    <w:qFormat/>
    <w:uiPriority w:val="0"/>
    <w:pPr>
      <w:spacing w:line="360" w:lineRule="auto"/>
      <w:ind w:firstLine="570"/>
    </w:pPr>
    <w:rPr>
      <w:sz w:val="24"/>
    </w:rPr>
  </w:style>
  <w:style w:type="paragraph" w:styleId="19">
    <w:name w:val="envelope return"/>
    <w:basedOn w:val="1"/>
    <w:unhideWhenUsed/>
    <w:qFormat/>
    <w:uiPriority w:val="99"/>
    <w:pPr>
      <w:snapToGrid w:val="0"/>
    </w:pPr>
    <w:rPr>
      <w:rFonts w:ascii="Arial" w:hAnsi="Arial"/>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4"/>
    <w:qFormat/>
    <w:uiPriority w:val="0"/>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0"/>
    <w:rPr>
      <w:sz w:val="18"/>
      <w:szCs w:val="18"/>
    </w:rPr>
  </w:style>
  <w:style w:type="paragraph" w:styleId="29">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footnote text"/>
    <w:basedOn w:val="1"/>
    <w:qFormat/>
    <w:uiPriority w:val="0"/>
    <w:pPr>
      <w:snapToGrid w:val="0"/>
    </w:pPr>
    <w:rPr>
      <w:sz w:val="18"/>
      <w:szCs w:val="18"/>
    </w:r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rFonts w:asciiTheme="minorHAnsi" w:hAnsiTheme="minorHAnsi" w:eastAsiaTheme="minorEastAsia" w:cstheme="minorBidi"/>
      <w:b/>
      <w:bCs/>
      <w:sz w:val="72"/>
      <w:szCs w:val="22"/>
    </w:rPr>
  </w:style>
  <w:style w:type="paragraph" w:styleId="39">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1"/>
    <w:qFormat/>
    <w:uiPriority w:val="0"/>
    <w:pPr>
      <w:jc w:val="center"/>
      <w:outlineLvl w:val="0"/>
    </w:pPr>
    <w:rPr>
      <w:b/>
      <w:sz w:val="32"/>
      <w:szCs w:val="20"/>
    </w:rPr>
  </w:style>
  <w:style w:type="paragraph" w:styleId="43">
    <w:name w:val="annotation subject"/>
    <w:basedOn w:val="15"/>
    <w:next w:val="15"/>
    <w:link w:val="82"/>
    <w:qFormat/>
    <w:uiPriority w:val="0"/>
    <w:rPr>
      <w:b/>
      <w:bCs/>
    </w:rPr>
  </w:style>
  <w:style w:type="paragraph" w:styleId="44">
    <w:name w:val="Body Text First Indent 2"/>
    <w:basedOn w:val="18"/>
    <w:next w:val="45"/>
    <w:link w:val="84"/>
    <w:qFormat/>
    <w:uiPriority w:val="0"/>
    <w:pPr>
      <w:spacing w:after="120" w:line="480" w:lineRule="exact"/>
      <w:ind w:left="420" w:leftChars="200" w:firstLine="420" w:firstLineChars="200"/>
    </w:pPr>
    <w:rPr>
      <w:szCs w:val="20"/>
    </w:rPr>
  </w:style>
  <w:style w:type="paragraph" w:customStyle="1" w:styleId="45">
    <w:name w:val="样式 标题 2 + Times New Roman 四号 非加粗 段前: 5 磅 段后: 0 磅 行距: 固定值 20..."/>
    <w:basedOn w:val="2"/>
    <w:next w:val="33"/>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basedOn w:val="49"/>
    <w:qFormat/>
    <w:uiPriority w:val="99"/>
    <w:rPr>
      <w:color w:val="0000FF"/>
      <w:u w:val="single"/>
    </w:rPr>
  </w:style>
  <w:style w:type="character" w:styleId="55">
    <w:name w:val="annotation reference"/>
    <w:basedOn w:val="49"/>
    <w:qFormat/>
    <w:uiPriority w:val="99"/>
    <w:rPr>
      <w:sz w:val="21"/>
      <w:szCs w:val="21"/>
    </w:rPr>
  </w:style>
  <w:style w:type="character" w:styleId="56">
    <w:name w:val="HTML Cite"/>
    <w:qFormat/>
    <w:uiPriority w:val="0"/>
    <w:rPr>
      <w:i/>
      <w:iCs/>
    </w:rPr>
  </w:style>
  <w:style w:type="character" w:customStyle="1" w:styleId="57">
    <w:name w:val="标题 3 Char"/>
    <w:qFormat/>
    <w:uiPriority w:val="0"/>
    <w:rPr>
      <w:rFonts w:ascii="宋体" w:eastAsia="宋体"/>
      <w:b/>
      <w:sz w:val="24"/>
      <w:u w:val="single"/>
      <w:lang w:val="en-US" w:eastAsia="zh-CN" w:bidi="ar-SA"/>
    </w:rPr>
  </w:style>
  <w:style w:type="character" w:customStyle="1" w:styleId="58">
    <w:name w:val="标题 2 字符"/>
    <w:link w:val="2"/>
    <w:qFormat/>
    <w:uiPriority w:val="0"/>
    <w:rPr>
      <w:rFonts w:ascii="Arial" w:hAnsi="Arial" w:eastAsia="黑体"/>
      <w:b/>
      <w:sz w:val="30"/>
      <w:lang w:val="en-US" w:eastAsia="zh-CN" w:bidi="ar-SA"/>
    </w:rPr>
  </w:style>
  <w:style w:type="character" w:customStyle="1" w:styleId="59">
    <w:name w:val="标题 1 字符"/>
    <w:basedOn w:val="49"/>
    <w:link w:val="3"/>
    <w:qFormat/>
    <w:uiPriority w:val="0"/>
    <w:rPr>
      <w:rFonts w:ascii="宋体"/>
      <w:b/>
      <w:kern w:val="44"/>
      <w:sz w:val="32"/>
    </w:rPr>
  </w:style>
  <w:style w:type="character" w:customStyle="1" w:styleId="60">
    <w:name w:val="标题 3 字符"/>
    <w:link w:val="4"/>
    <w:qFormat/>
    <w:uiPriority w:val="0"/>
    <w:rPr>
      <w:rFonts w:ascii="宋体" w:eastAsia="宋体"/>
      <w:b/>
      <w:sz w:val="24"/>
      <w:u w:val="single"/>
      <w:lang w:val="en-US" w:eastAsia="zh-CN" w:bidi="ar-SA"/>
    </w:rPr>
  </w:style>
  <w:style w:type="character" w:customStyle="1" w:styleId="61">
    <w:name w:val="正文缩进 字符"/>
    <w:link w:val="12"/>
    <w:qFormat/>
    <w:uiPriority w:val="0"/>
    <w:rPr>
      <w:rFonts w:ascii="宋体" w:eastAsia="宋体"/>
      <w:kern w:val="2"/>
      <w:sz w:val="24"/>
      <w:szCs w:val="24"/>
      <w:lang w:val="en-US" w:eastAsia="zh-CN" w:bidi="ar-SA"/>
    </w:rPr>
  </w:style>
  <w:style w:type="character" w:customStyle="1" w:styleId="62">
    <w:name w:val="标题 4 字符"/>
    <w:basedOn w:val="49"/>
    <w:link w:val="5"/>
    <w:qFormat/>
    <w:uiPriority w:val="0"/>
    <w:rPr>
      <w:rFonts w:ascii="Arial" w:hAnsi="Arial" w:eastAsia="黑体"/>
      <w:b/>
      <w:sz w:val="28"/>
    </w:rPr>
  </w:style>
  <w:style w:type="character" w:customStyle="1" w:styleId="63">
    <w:name w:val="标题 5 字符"/>
    <w:basedOn w:val="49"/>
    <w:link w:val="6"/>
    <w:qFormat/>
    <w:uiPriority w:val="0"/>
    <w:rPr>
      <w:b/>
      <w:sz w:val="28"/>
    </w:rPr>
  </w:style>
  <w:style w:type="character" w:customStyle="1" w:styleId="64">
    <w:name w:val="标题 6 字符"/>
    <w:basedOn w:val="49"/>
    <w:link w:val="7"/>
    <w:qFormat/>
    <w:uiPriority w:val="0"/>
    <w:rPr>
      <w:rFonts w:ascii="Arial" w:hAnsi="Arial" w:eastAsia="黑体"/>
      <w:b/>
      <w:sz w:val="24"/>
    </w:rPr>
  </w:style>
  <w:style w:type="character" w:customStyle="1" w:styleId="65">
    <w:name w:val="标题 7 字符"/>
    <w:basedOn w:val="49"/>
    <w:link w:val="8"/>
    <w:qFormat/>
    <w:uiPriority w:val="0"/>
    <w:rPr>
      <w:b/>
      <w:sz w:val="24"/>
    </w:rPr>
  </w:style>
  <w:style w:type="character" w:customStyle="1" w:styleId="66">
    <w:name w:val="标题 8 字符"/>
    <w:basedOn w:val="49"/>
    <w:link w:val="9"/>
    <w:qFormat/>
    <w:uiPriority w:val="0"/>
    <w:rPr>
      <w:rFonts w:ascii="Arial" w:hAnsi="Arial" w:eastAsia="黑体"/>
      <w:sz w:val="24"/>
    </w:rPr>
  </w:style>
  <w:style w:type="character" w:customStyle="1" w:styleId="67">
    <w:name w:val="标题 9 字符"/>
    <w:basedOn w:val="49"/>
    <w:link w:val="10"/>
    <w:qFormat/>
    <w:uiPriority w:val="0"/>
    <w:rPr>
      <w:rFonts w:ascii="Arial" w:hAnsi="Arial" w:eastAsia="黑体"/>
      <w:sz w:val="21"/>
    </w:rPr>
  </w:style>
  <w:style w:type="character" w:customStyle="1" w:styleId="68">
    <w:name w:val="文档结构图 字符"/>
    <w:basedOn w:val="49"/>
    <w:link w:val="14"/>
    <w:qFormat/>
    <w:uiPriority w:val="0"/>
    <w:rPr>
      <w:kern w:val="2"/>
      <w:sz w:val="21"/>
      <w:szCs w:val="24"/>
      <w:shd w:val="clear" w:color="auto" w:fill="000080"/>
    </w:rPr>
  </w:style>
  <w:style w:type="character" w:customStyle="1" w:styleId="69">
    <w:name w:val="批注文字 字符1"/>
    <w:link w:val="15"/>
    <w:qFormat/>
    <w:uiPriority w:val="99"/>
    <w:rPr>
      <w:kern w:val="2"/>
      <w:sz w:val="21"/>
      <w:szCs w:val="24"/>
    </w:rPr>
  </w:style>
  <w:style w:type="character" w:customStyle="1" w:styleId="70">
    <w:name w:val="正文文本 3 字符"/>
    <w:basedOn w:val="49"/>
    <w:link w:val="16"/>
    <w:qFormat/>
    <w:uiPriority w:val="0"/>
    <w:rPr>
      <w:kern w:val="2"/>
      <w:sz w:val="16"/>
      <w:szCs w:val="16"/>
    </w:rPr>
  </w:style>
  <w:style w:type="character" w:customStyle="1" w:styleId="71">
    <w:name w:val="正文文本 字符"/>
    <w:basedOn w:val="49"/>
    <w:link w:val="17"/>
    <w:qFormat/>
    <w:uiPriority w:val="0"/>
    <w:rPr>
      <w:rFonts w:ascii="宋体" w:hAnsi="宋体"/>
      <w:kern w:val="2"/>
      <w:sz w:val="24"/>
      <w:szCs w:val="24"/>
    </w:rPr>
  </w:style>
  <w:style w:type="character" w:customStyle="1" w:styleId="72">
    <w:name w:val="正文文本缩进 字符"/>
    <w:link w:val="18"/>
    <w:qFormat/>
    <w:uiPriority w:val="0"/>
    <w:rPr>
      <w:rFonts w:eastAsia="宋体"/>
      <w:kern w:val="2"/>
      <w:sz w:val="24"/>
      <w:szCs w:val="24"/>
      <w:lang w:val="en-US" w:eastAsia="zh-CN" w:bidi="ar-SA"/>
    </w:rPr>
  </w:style>
  <w:style w:type="character" w:customStyle="1" w:styleId="73">
    <w:name w:val="纯文本 字符2"/>
    <w:basedOn w:val="49"/>
    <w:link w:val="24"/>
    <w:qFormat/>
    <w:uiPriority w:val="0"/>
    <w:rPr>
      <w:rFonts w:hint="eastAsia" w:ascii="宋体" w:hAnsi="Courier New" w:eastAsia="宋体" w:cs="宋体"/>
      <w:kern w:val="2"/>
      <w:sz w:val="21"/>
    </w:rPr>
  </w:style>
  <w:style w:type="character" w:customStyle="1" w:styleId="74">
    <w:name w:val="日期 字符"/>
    <w:basedOn w:val="49"/>
    <w:link w:val="26"/>
    <w:qFormat/>
    <w:uiPriority w:val="0"/>
    <w:rPr>
      <w:rFonts w:ascii="仿宋_GB2312" w:hAnsi="宋体" w:eastAsia="仿宋_GB2312"/>
      <w:color w:val="000000"/>
      <w:kern w:val="2"/>
      <w:sz w:val="24"/>
      <w:szCs w:val="24"/>
    </w:rPr>
  </w:style>
  <w:style w:type="character" w:customStyle="1" w:styleId="75">
    <w:name w:val="正文文本缩进 2 字符"/>
    <w:basedOn w:val="49"/>
    <w:link w:val="27"/>
    <w:qFormat/>
    <w:uiPriority w:val="0"/>
    <w:rPr>
      <w:rFonts w:ascii="仿宋_GB2312" w:eastAsia="仿宋_GB2312"/>
      <w:kern w:val="2"/>
      <w:sz w:val="24"/>
      <w:szCs w:val="24"/>
    </w:rPr>
  </w:style>
  <w:style w:type="character" w:customStyle="1" w:styleId="76">
    <w:name w:val="批注框文本 字符"/>
    <w:basedOn w:val="49"/>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正文文本缩进 3 字符"/>
    <w:basedOn w:val="49"/>
    <w:link w:val="35"/>
    <w:qFormat/>
    <w:uiPriority w:val="0"/>
    <w:rPr>
      <w:rFonts w:ascii="宋体"/>
      <w:sz w:val="24"/>
    </w:rPr>
  </w:style>
  <w:style w:type="character" w:customStyle="1" w:styleId="80">
    <w:name w:val="HTML 预设格式 字符"/>
    <w:basedOn w:val="49"/>
    <w:link w:val="39"/>
    <w:qFormat/>
    <w:uiPriority w:val="0"/>
    <w:rPr>
      <w:rFonts w:ascii="宋体" w:hAnsi="宋体" w:cs="宋体"/>
      <w:sz w:val="24"/>
      <w:szCs w:val="24"/>
    </w:rPr>
  </w:style>
  <w:style w:type="character" w:customStyle="1" w:styleId="81">
    <w:name w:val="标题 字符"/>
    <w:link w:val="42"/>
    <w:qFormat/>
    <w:uiPriority w:val="0"/>
    <w:rPr>
      <w:b/>
      <w:kern w:val="2"/>
      <w:sz w:val="32"/>
    </w:rPr>
  </w:style>
  <w:style w:type="character" w:customStyle="1" w:styleId="82">
    <w:name w:val="批注主题 字符"/>
    <w:basedOn w:val="83"/>
    <w:link w:val="43"/>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2"/>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9"/>
    <w:qFormat/>
    <w:uiPriority w:val="0"/>
  </w:style>
  <w:style w:type="character" w:customStyle="1" w:styleId="90">
    <w:name w:val="locality"/>
    <w:basedOn w:val="49"/>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9"/>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9"/>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1"/>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3"/>
    <w:qFormat/>
    <w:uiPriority w:val="0"/>
    <w:pPr>
      <w:jc w:val="left"/>
    </w:pPr>
    <w:rPr>
      <w:sz w:val="24"/>
      <w:szCs w:val="24"/>
    </w:rPr>
  </w:style>
  <w:style w:type="paragraph" w:customStyle="1" w:styleId="208">
    <w:name w:val="正文小标题"/>
    <w:basedOn w:val="1"/>
    <w:next w:val="12"/>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12"/>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样式 标题 1 + 四号 居中 段前: 12 磅 段后: 12 磅 行距: 单倍行距"/>
    <w:basedOn w:val="3"/>
    <w:qFormat/>
    <w:uiPriority w:val="0"/>
    <w:pPr>
      <w:spacing w:after="240" w:line="240" w:lineRule="auto"/>
    </w:pPr>
    <w:rPr>
      <w:rFonts w:cs="宋体"/>
      <w:bCs/>
      <w:sz w:val="28"/>
    </w:rPr>
  </w:style>
  <w:style w:type="paragraph" w:customStyle="1" w:styleId="253">
    <w:name w:val="Blockquote"/>
    <w:basedOn w:val="1"/>
    <w:qFormat/>
    <w:uiPriority w:val="0"/>
    <w:pPr>
      <w:widowControl/>
      <w:spacing w:before="102" w:after="102" w:line="566" w:lineRule="atLeast"/>
      <w:ind w:left="357" w:right="357" w:firstLine="419"/>
      <w:textAlignment w:val="baseline"/>
    </w:pPr>
    <w:rPr>
      <w:color w:val="000000"/>
      <w:kern w:val="0"/>
      <w:u w:color="000000"/>
    </w:rPr>
  </w:style>
  <w:style w:type="paragraph" w:customStyle="1" w:styleId="254">
    <w:name w:val="a一"/>
    <w:basedOn w:val="1"/>
    <w:qFormat/>
    <w:uiPriority w:val="0"/>
    <w:pPr>
      <w:spacing w:line="300" w:lineRule="auto"/>
    </w:pPr>
    <w:rPr>
      <w:rFonts w:ascii="Calibri" w:hAnsi="Calibri"/>
      <w:b/>
      <w:color w:val="000000"/>
      <w:sz w:val="28"/>
    </w:rPr>
  </w:style>
  <w:style w:type="paragraph" w:customStyle="1" w:styleId="25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171</Pages>
  <Words>86310</Words>
  <Characters>90740</Characters>
  <Lines>292</Lines>
  <Paragraphs>82</Paragraphs>
  <TotalTime>104</TotalTime>
  <ScaleCrop>false</ScaleCrop>
  <LinksUpToDate>false</LinksUpToDate>
  <CharactersWithSpaces>94850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2023-11-24T17:01:00Z</dcterms:created>
  <dc:creator>尹皓</dc:creator>
  <cp:lastModifiedBy>Administrator</cp:lastModifiedBy>
  <cp:lastPrinted>2023-03-08T08:57:00Z</cp:lastPrinted>
  <dcterms:modified xsi:type="dcterms:W3CDTF">2025-12-09T08:57:54Z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2B034C099F82497A9A1E68DCBB9C5307_13</vt:lpwstr>
  </property>
  <property fmtid="{D5CDD505-2E9C-101B-9397-08002B2CF9AE}" pid="4" name="KSOTemplateDocerSaveRecord">
    <vt:lpwstr>eyJoZGlkIjoiYmVmNGU5YTc2NjEzMTUzZmRiZDhkMjk1YmZlMzMxYmIiLCJ1c2VySWQiOiI3NTU4MDczNTQifQ==</vt:lpwstr>
  </property>
</Properties>
</file>