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087FF" w14:textId="0EA6E97F" w:rsidR="00305C5C" w:rsidRDefault="00E9654B" w:rsidP="00E9654B">
      <w:pPr>
        <w:spacing w:line="276" w:lineRule="auto"/>
        <w:jc w:val="center"/>
        <w:rPr>
          <w:b/>
          <w:bCs/>
          <w:sz w:val="36"/>
          <w:szCs w:val="36"/>
        </w:rPr>
      </w:pPr>
      <w:bookmarkStart w:id="0" w:name="_Toc28359022"/>
      <w:bookmarkStart w:id="1" w:name="_Toc35393809"/>
      <w:r w:rsidRPr="00E9654B">
        <w:rPr>
          <w:rFonts w:hint="eastAsia"/>
          <w:b/>
          <w:bCs/>
          <w:sz w:val="36"/>
          <w:szCs w:val="36"/>
        </w:rPr>
        <w:t>北京信息科技大学沙河校区教学科研楼宇物业服务外包项目</w:t>
      </w:r>
      <w:r w:rsidR="00511A1E">
        <w:rPr>
          <w:rFonts w:hint="eastAsia"/>
          <w:b/>
          <w:bCs/>
          <w:sz w:val="36"/>
          <w:szCs w:val="36"/>
        </w:rPr>
        <w:t>中标</w:t>
      </w:r>
      <w:r w:rsidR="007C3FD0">
        <w:rPr>
          <w:rFonts w:hint="eastAsia"/>
          <w:b/>
          <w:bCs/>
          <w:sz w:val="36"/>
          <w:szCs w:val="36"/>
        </w:rPr>
        <w:t>公告</w:t>
      </w:r>
      <w:bookmarkEnd w:id="0"/>
      <w:bookmarkEnd w:id="1"/>
    </w:p>
    <w:p w14:paraId="242E2FDC" w14:textId="63C9B51E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E9654B" w:rsidRPr="00E9654B">
        <w:rPr>
          <w:rFonts w:ascii="宋体" w:hAnsi="宋体"/>
          <w:sz w:val="24"/>
          <w:szCs w:val="24"/>
        </w:rPr>
        <w:t>BMCC-ZC25-1605</w:t>
      </w:r>
    </w:p>
    <w:p w14:paraId="1AEEC5E5" w14:textId="4CA10D5C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E9654B" w:rsidRPr="00E9654B">
        <w:rPr>
          <w:rFonts w:ascii="宋体" w:hAnsi="宋体" w:hint="eastAsia"/>
          <w:sz w:val="24"/>
          <w:szCs w:val="24"/>
        </w:rPr>
        <w:t>北京信息科技大学沙河校区教学科研楼宇物业服务外包项目</w:t>
      </w:r>
    </w:p>
    <w:p w14:paraId="552A93CB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6177F7DE" w14:textId="70D8416E" w:rsidR="00305C5C" w:rsidRPr="00FA33DB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FA33DB">
        <w:rPr>
          <w:rFonts w:ascii="宋体" w:hAnsi="宋体" w:hint="eastAsia"/>
          <w:sz w:val="24"/>
          <w:szCs w:val="24"/>
        </w:rPr>
        <w:t>供应商名称：</w:t>
      </w:r>
      <w:r w:rsidR="00E9654B" w:rsidRPr="00E9654B">
        <w:rPr>
          <w:rFonts w:ascii="宋体" w:hAnsi="宋体" w:hint="eastAsia"/>
          <w:sz w:val="24"/>
          <w:szCs w:val="24"/>
        </w:rPr>
        <w:t>北京国基伟业物业管理有限公司</w:t>
      </w:r>
    </w:p>
    <w:p w14:paraId="526CEADF" w14:textId="75B3E435" w:rsidR="00305C5C" w:rsidRPr="00FA33DB" w:rsidRDefault="007C3FD0">
      <w:pPr>
        <w:spacing w:line="360" w:lineRule="auto"/>
        <w:rPr>
          <w:rFonts w:ascii="宋体" w:hAnsi="宋体"/>
          <w:sz w:val="24"/>
          <w:szCs w:val="24"/>
        </w:rPr>
      </w:pPr>
      <w:r w:rsidRPr="00FA33DB">
        <w:rPr>
          <w:rFonts w:ascii="宋体" w:hAnsi="宋体" w:hint="eastAsia"/>
          <w:sz w:val="24"/>
          <w:szCs w:val="24"/>
        </w:rPr>
        <w:t>供应商地址：</w:t>
      </w:r>
      <w:r w:rsidR="00E9654B" w:rsidRPr="00E9654B">
        <w:rPr>
          <w:rFonts w:ascii="宋体" w:hAnsi="宋体" w:hint="eastAsia"/>
          <w:sz w:val="24"/>
          <w:szCs w:val="24"/>
        </w:rPr>
        <w:t>北京市西城区阜成门外大街1号东楼1208室</w:t>
      </w:r>
    </w:p>
    <w:p w14:paraId="377B4414" w14:textId="49B47FD0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 w:rsidRPr="00FA33DB">
        <w:rPr>
          <w:rFonts w:ascii="宋体" w:hAnsi="宋体" w:hint="eastAsia"/>
          <w:sz w:val="24"/>
          <w:szCs w:val="24"/>
        </w:rPr>
        <w:t>中标金额：</w:t>
      </w:r>
      <w:r w:rsidR="00E9654B" w:rsidRPr="00E9654B">
        <w:rPr>
          <w:rFonts w:ascii="宋体" w:hAnsi="宋体"/>
          <w:sz w:val="24"/>
          <w:szCs w:val="24"/>
        </w:rPr>
        <w:t>9,479,260.44</w:t>
      </w:r>
      <w:r w:rsidRPr="00FA33DB">
        <w:rPr>
          <w:rFonts w:ascii="宋体" w:hAnsi="宋体" w:hint="eastAsia"/>
          <w:sz w:val="24"/>
          <w:szCs w:val="24"/>
        </w:rPr>
        <w:t>元</w:t>
      </w:r>
    </w:p>
    <w:p w14:paraId="24F78CFB" w14:textId="4B21DB69" w:rsidR="00510640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9003"/>
      </w:tblGrid>
      <w:tr w:rsidR="00AF1440" w14:paraId="13CD4355" w14:textId="77777777" w:rsidTr="008D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53B0" w14:textId="77777777" w:rsidR="00AF1440" w:rsidRDefault="00AF144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AF1440" w14:paraId="62160FF3" w14:textId="77777777" w:rsidTr="008D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D6CA" w14:textId="7381086A" w:rsidR="00AF1440" w:rsidRDefault="009E45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</w:t>
            </w:r>
            <w:r w:rsidR="00AF1440">
              <w:rPr>
                <w:rFonts w:ascii="宋体" w:hAnsi="宋体" w:hint="eastAsia"/>
                <w:b/>
                <w:sz w:val="24"/>
                <w:szCs w:val="24"/>
              </w:rPr>
              <w:t>名称：</w:t>
            </w:r>
            <w:r w:rsidR="00E9654B" w:rsidRPr="00E9654B">
              <w:rPr>
                <w:rFonts w:ascii="宋体" w:hAnsi="宋体" w:hint="eastAsia"/>
                <w:sz w:val="24"/>
                <w:szCs w:val="24"/>
              </w:rPr>
              <w:t>北京信息科技大学沙河校区教学科研楼宇物业服务外包项目</w:t>
            </w:r>
          </w:p>
          <w:p w14:paraId="4FE8E517" w14:textId="11307429" w:rsidR="00AF1440" w:rsidRDefault="00AF144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服务范围：</w:t>
            </w:r>
            <w:r w:rsidR="00E9654B" w:rsidRPr="00E9654B">
              <w:rPr>
                <w:rFonts w:ascii="宋体" w:hAnsi="宋体" w:hint="eastAsia"/>
                <w:sz w:val="24"/>
                <w:szCs w:val="24"/>
              </w:rPr>
              <w:t>为图书馆、科研楼、信息楼、文理楼、工学楼提供全方位的物业服务，合计建筑面积：182642.05㎡</w:t>
            </w:r>
            <w:r w:rsidR="00F24759" w:rsidRPr="00F24759">
              <w:rPr>
                <w:rFonts w:ascii="宋体" w:hAnsi="宋体" w:hint="eastAsia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465C225" w14:textId="78AF08F0" w:rsidR="00AF1440" w:rsidRPr="00E9654B" w:rsidRDefault="00AF144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服务要求：</w:t>
            </w:r>
            <w:r w:rsidR="00E9654B" w:rsidRPr="00E9654B">
              <w:rPr>
                <w:rFonts w:ascii="宋体" w:hAnsi="宋体" w:hint="eastAsia"/>
                <w:sz w:val="24"/>
                <w:szCs w:val="24"/>
              </w:rPr>
              <w:t>提供全方位的物业服务包括公共保洁服务及楼内垃圾清运、前台值守及楼内巡查、公共设施设备配件维修费用（不含高压配电室</w:t>
            </w:r>
            <w:r w:rsidR="00E9654B">
              <w:rPr>
                <w:rFonts w:ascii="宋体" w:hAnsi="宋体" w:hint="eastAsia"/>
                <w:sz w:val="24"/>
                <w:szCs w:val="24"/>
              </w:rPr>
              <w:t>、弱电间、消防设施）、会议及重大活动保障</w:t>
            </w:r>
            <w:r w:rsidR="00F24759" w:rsidRPr="00F24759">
              <w:rPr>
                <w:rFonts w:ascii="宋体" w:hAnsi="宋体" w:hint="eastAsia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ED5FB01" w14:textId="55BD0F98" w:rsidR="00AF1440" w:rsidRPr="00E9654B" w:rsidRDefault="00AF1440" w:rsidP="00E9654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服务标准：</w:t>
            </w:r>
            <w:r w:rsidR="00E9654B" w:rsidRPr="00E9654B">
              <w:rPr>
                <w:rFonts w:ascii="宋体" w:hAnsi="宋体" w:hint="eastAsia"/>
                <w:sz w:val="24"/>
                <w:szCs w:val="24"/>
              </w:rPr>
              <w:t>《物业管理条例》（中华人民共和国国务院第379号令自2007年10月01日起施行）</w:t>
            </w:r>
            <w:r w:rsidR="00E9654B">
              <w:rPr>
                <w:rFonts w:ascii="宋体" w:hAnsi="宋体" w:hint="eastAsia"/>
                <w:sz w:val="24"/>
                <w:szCs w:val="24"/>
              </w:rPr>
              <w:t>、</w:t>
            </w:r>
            <w:r w:rsidR="00E9654B" w:rsidRPr="00E9654B">
              <w:rPr>
                <w:rFonts w:ascii="宋体" w:hAnsi="宋体" w:hint="eastAsia"/>
                <w:sz w:val="24"/>
                <w:szCs w:val="24"/>
              </w:rPr>
              <w:t>《北京市物业管理条例》2020年5月1日起实施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CB317F0" w14:textId="2DAA4893" w:rsidR="00E9654B" w:rsidRPr="00AF1440" w:rsidRDefault="00E9654B" w:rsidP="00F2475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服务时间：</w:t>
            </w:r>
            <w:r w:rsidRPr="00E9654B">
              <w:rPr>
                <w:rFonts w:ascii="宋体" w:hAnsi="宋体" w:hint="eastAsia"/>
                <w:sz w:val="24"/>
                <w:szCs w:val="24"/>
              </w:rPr>
              <w:t>自合同签订生效之日起一年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20B2EFA" w14:textId="77777777" w:rsidR="00AF1440" w:rsidRDefault="00AF144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具体内容详见招标文件</w:t>
            </w:r>
          </w:p>
        </w:tc>
      </w:tr>
    </w:tbl>
    <w:p w14:paraId="7FF4FFEE" w14:textId="414A4133" w:rsidR="00305C5C" w:rsidRDefault="007C3FD0">
      <w:pPr>
        <w:spacing w:line="360" w:lineRule="auto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>五、评审专家名单</w:t>
      </w:r>
      <w:r w:rsidRPr="00FA33DB">
        <w:rPr>
          <w:rFonts w:ascii="宋体" w:hAnsi="宋体" w:hint="eastAsia"/>
          <w:sz w:val="24"/>
          <w:szCs w:val="24"/>
        </w:rPr>
        <w:t>：</w:t>
      </w:r>
      <w:r w:rsidR="00E9654B" w:rsidRPr="00E9654B">
        <w:rPr>
          <w:rFonts w:ascii="宋体" w:hAnsi="宋体" w:hint="eastAsia"/>
          <w:sz w:val="24"/>
          <w:szCs w:val="24"/>
        </w:rPr>
        <w:t>李跃</w:t>
      </w:r>
      <w:r w:rsidRPr="00FA33DB">
        <w:rPr>
          <w:rFonts w:ascii="宋体" w:hAnsi="宋体" w:hint="eastAsia"/>
          <w:sz w:val="24"/>
          <w:szCs w:val="24"/>
        </w:rPr>
        <w:t>、</w:t>
      </w:r>
      <w:r w:rsidR="00E9654B" w:rsidRPr="00E9654B">
        <w:rPr>
          <w:rFonts w:ascii="宋体" w:hAnsi="宋体" w:hint="eastAsia"/>
          <w:sz w:val="24"/>
          <w:szCs w:val="24"/>
        </w:rPr>
        <w:t>金灿灿</w:t>
      </w:r>
      <w:r w:rsidRPr="00FA33DB">
        <w:rPr>
          <w:rFonts w:ascii="宋体" w:hAnsi="宋体" w:hint="eastAsia"/>
          <w:sz w:val="24"/>
          <w:szCs w:val="24"/>
        </w:rPr>
        <w:t>、</w:t>
      </w:r>
      <w:r w:rsidR="00E9654B" w:rsidRPr="00E9654B">
        <w:rPr>
          <w:rFonts w:ascii="宋体" w:hAnsi="宋体" w:hint="eastAsia"/>
          <w:sz w:val="24"/>
          <w:szCs w:val="24"/>
        </w:rPr>
        <w:t>吴发恩</w:t>
      </w:r>
      <w:r w:rsidRPr="00FA33DB">
        <w:rPr>
          <w:rFonts w:ascii="宋体" w:hAnsi="宋体" w:hint="eastAsia"/>
          <w:sz w:val="24"/>
          <w:szCs w:val="24"/>
        </w:rPr>
        <w:t>、</w:t>
      </w:r>
      <w:r w:rsidR="00E9654B" w:rsidRPr="00E9654B">
        <w:rPr>
          <w:rFonts w:ascii="宋体" w:hAnsi="宋体" w:hint="eastAsia"/>
          <w:sz w:val="24"/>
          <w:szCs w:val="24"/>
        </w:rPr>
        <w:t>张欣</w:t>
      </w:r>
      <w:r w:rsidRPr="00FA33DB">
        <w:rPr>
          <w:rFonts w:ascii="宋体" w:hAnsi="宋体" w:hint="eastAsia"/>
          <w:sz w:val="24"/>
          <w:szCs w:val="24"/>
        </w:rPr>
        <w:t>、</w:t>
      </w:r>
      <w:r w:rsidR="00E9654B" w:rsidRPr="00E9654B">
        <w:rPr>
          <w:rFonts w:ascii="宋体" w:hAnsi="宋体" w:hint="eastAsia"/>
          <w:sz w:val="24"/>
          <w:szCs w:val="24"/>
        </w:rPr>
        <w:t>俞芳</w:t>
      </w:r>
      <w:r w:rsidR="00AF1440">
        <w:rPr>
          <w:rFonts w:ascii="宋体" w:hAnsi="宋体" w:hint="eastAsia"/>
          <w:sz w:val="24"/>
          <w:szCs w:val="24"/>
        </w:rPr>
        <w:t>、</w:t>
      </w:r>
      <w:r w:rsidR="00E9654B" w:rsidRPr="00E9654B">
        <w:rPr>
          <w:rFonts w:ascii="宋体" w:hAnsi="宋体" w:hint="eastAsia"/>
          <w:sz w:val="24"/>
          <w:szCs w:val="24"/>
        </w:rPr>
        <w:t>杨丽珍</w:t>
      </w:r>
      <w:r w:rsidR="00FA33DB">
        <w:rPr>
          <w:rFonts w:ascii="宋体" w:hAnsi="宋体" w:hint="eastAsia"/>
          <w:sz w:val="24"/>
          <w:szCs w:val="24"/>
        </w:rPr>
        <w:t>、</w:t>
      </w:r>
      <w:r w:rsidR="00E9654B" w:rsidRPr="00E9654B">
        <w:rPr>
          <w:rFonts w:ascii="宋体" w:hAnsi="宋体" w:hint="eastAsia"/>
          <w:sz w:val="24"/>
          <w:szCs w:val="24"/>
        </w:rPr>
        <w:t>李相</w:t>
      </w:r>
      <w:proofErr w:type="gramStart"/>
      <w:r w:rsidR="00E9654B" w:rsidRPr="00E9654B">
        <w:rPr>
          <w:rFonts w:ascii="宋体" w:hAnsi="宋体" w:hint="eastAsia"/>
          <w:sz w:val="24"/>
          <w:szCs w:val="24"/>
        </w:rPr>
        <w:t>豸</w:t>
      </w:r>
      <w:proofErr w:type="gramEnd"/>
      <w:r w:rsidR="00AF1440">
        <w:rPr>
          <w:rFonts w:ascii="宋体" w:hAnsi="宋体" w:hint="eastAsia"/>
          <w:sz w:val="24"/>
          <w:szCs w:val="24"/>
        </w:rPr>
        <w:t>（采购人代表）、</w:t>
      </w:r>
      <w:r w:rsidR="00E9654B" w:rsidRPr="00E9654B">
        <w:rPr>
          <w:rFonts w:ascii="宋体" w:hAnsi="宋体" w:hint="eastAsia"/>
          <w:sz w:val="24"/>
          <w:szCs w:val="24"/>
        </w:rPr>
        <w:t>陈国迎</w:t>
      </w:r>
      <w:r w:rsidR="009E45CA">
        <w:rPr>
          <w:rFonts w:ascii="宋体" w:hAnsi="宋体" w:hint="eastAsia"/>
          <w:sz w:val="24"/>
          <w:szCs w:val="24"/>
        </w:rPr>
        <w:t>（采购人代表）、</w:t>
      </w:r>
      <w:r w:rsidR="00E9654B" w:rsidRPr="00E9654B">
        <w:rPr>
          <w:rFonts w:ascii="宋体" w:hAnsi="宋体" w:hint="eastAsia"/>
          <w:sz w:val="24"/>
          <w:szCs w:val="24"/>
        </w:rPr>
        <w:t>孟李辛</w:t>
      </w:r>
      <w:r>
        <w:rPr>
          <w:rFonts w:ascii="宋体" w:hAnsi="宋体" w:hint="eastAsia"/>
          <w:sz w:val="24"/>
          <w:szCs w:val="24"/>
        </w:rPr>
        <w:t>（采购人代表）。</w:t>
      </w:r>
    </w:p>
    <w:p w14:paraId="750B4CD6" w14:textId="6145D2EE" w:rsidR="00305C5C" w:rsidRDefault="007C3FD0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E9654B" w:rsidRPr="00E9654B">
        <w:rPr>
          <w:rFonts w:ascii="宋体" w:hAnsi="宋体" w:hint="eastAsia"/>
          <w:sz w:val="24"/>
          <w:szCs w:val="24"/>
        </w:rPr>
        <w:t>按《招标代理服务收费管理暂行办法》（计价格[2002]1980号）及《国家发展改革委办公厅关于招标代理服务收费有关问题的通知》（发改办价格[2003]857号）执行，按中标金额差额定率累进法计算</w:t>
      </w:r>
      <w:r>
        <w:rPr>
          <w:rFonts w:ascii="宋体" w:hAnsi="宋体" w:hint="eastAsia"/>
          <w:sz w:val="24"/>
          <w:szCs w:val="24"/>
        </w:rPr>
        <w:t>。</w:t>
      </w:r>
    </w:p>
    <w:p w14:paraId="4D8FA5DA" w14:textId="1201D046"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E9654B" w:rsidRPr="00E9654B">
        <w:rPr>
          <w:rFonts w:ascii="宋体" w:hAnsi="宋体"/>
          <w:sz w:val="24"/>
          <w:szCs w:val="24"/>
        </w:rPr>
        <w:t>67156.67</w:t>
      </w:r>
      <w:r w:rsidR="003F498B">
        <w:rPr>
          <w:rFonts w:ascii="宋体" w:hAnsi="宋体"/>
          <w:sz w:val="24"/>
          <w:szCs w:val="24"/>
        </w:rPr>
        <w:t>元</w:t>
      </w:r>
    </w:p>
    <w:p w14:paraId="1ADA7CA1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4AEBFD8F" w14:textId="77777777"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25740A9" w14:textId="59A8003E" w:rsidR="0038699E" w:rsidRDefault="007C3FD0" w:rsidP="009E45CA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 w:rsidR="00AB6FCE">
        <w:rPr>
          <w:rFonts w:ascii="宋体" w:hAnsi="宋体" w:cs="仿宋" w:hint="eastAsia"/>
          <w:sz w:val="24"/>
          <w:szCs w:val="24"/>
        </w:rPr>
        <w:t>1.</w:t>
      </w:r>
      <w:r w:rsidR="0038699E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E9654B" w:rsidRPr="00E9654B">
        <w:rPr>
          <w:rFonts w:ascii="宋体" w:hAnsi="宋体" w:cs="仿宋"/>
          <w:sz w:val="24"/>
          <w:szCs w:val="24"/>
        </w:rPr>
        <w:t>94.89</w:t>
      </w:r>
      <w:r w:rsidR="0038699E" w:rsidRPr="007238AC">
        <w:rPr>
          <w:rFonts w:ascii="宋体" w:hAnsi="宋体" w:cs="仿宋" w:hint="eastAsia"/>
          <w:sz w:val="24"/>
          <w:szCs w:val="24"/>
        </w:rPr>
        <w:t>分</w:t>
      </w:r>
    </w:p>
    <w:p w14:paraId="30D69F80" w14:textId="5A93BD96" w:rsidR="00AB6FCE" w:rsidRPr="00AB6FCE" w:rsidRDefault="00AB6FCE" w:rsidP="000A3DF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lastRenderedPageBreak/>
        <w:t>2.招标公告发布日期：</w:t>
      </w:r>
      <w:r w:rsidR="00E9654B" w:rsidRPr="00E9654B">
        <w:rPr>
          <w:rFonts w:ascii="宋体" w:hAnsi="宋体" w:cs="宋体" w:hint="eastAsia"/>
          <w:kern w:val="0"/>
          <w:sz w:val="24"/>
          <w:szCs w:val="24"/>
        </w:rPr>
        <w:t>2025年11月17日</w:t>
      </w:r>
    </w:p>
    <w:p w14:paraId="04DBF1A6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04D22F3F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0E6B315F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北京信息科技大学</w:t>
      </w:r>
    </w:p>
    <w:p w14:paraId="4151C6C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北京市</w:t>
      </w:r>
      <w:proofErr w:type="gramStart"/>
      <w:r w:rsidR="007238AC" w:rsidRPr="007238AC"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 w:rsidR="007238AC" w:rsidRPr="007238AC">
        <w:rPr>
          <w:rFonts w:ascii="宋体" w:hAnsi="宋体" w:hint="eastAsia"/>
          <w:sz w:val="24"/>
          <w:szCs w:val="24"/>
          <w:u w:val="single"/>
        </w:rPr>
        <w:t>太行路55号</w:t>
      </w:r>
    </w:p>
    <w:p w14:paraId="794496A3" w14:textId="6D4C865D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E9654B" w:rsidRPr="00E9654B">
        <w:rPr>
          <w:rFonts w:ascii="宋体" w:hAnsi="宋体" w:hint="eastAsia"/>
          <w:sz w:val="24"/>
          <w:szCs w:val="24"/>
          <w:u w:val="single"/>
        </w:rPr>
        <w:t>杨老师，010-80187368</w:t>
      </w:r>
    </w:p>
    <w:p w14:paraId="5753E832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48FF9F1B" w14:textId="7777777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11879997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1A1BF3F9" w14:textId="1A15033E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0" w:name="_Toc35393812"/>
      <w:bookmarkStart w:id="11" w:name="_Toc35393643"/>
      <w:bookmarkStart w:id="12" w:name="_Toc28359025"/>
      <w:bookmarkStart w:id="13" w:name="_Toc28359102"/>
      <w:r w:rsidR="00E9654B" w:rsidRPr="00E9654B">
        <w:rPr>
          <w:rFonts w:ascii="宋体" w:hAnsi="宋体" w:hint="eastAsia"/>
          <w:sz w:val="24"/>
          <w:szCs w:val="24"/>
          <w:u w:val="single"/>
        </w:rPr>
        <w:t>韩伯阳、杜畅、周洁琼、吕绍山</w:t>
      </w:r>
      <w:r>
        <w:rPr>
          <w:rFonts w:ascii="宋体" w:hAnsi="宋体" w:hint="eastAsia"/>
          <w:sz w:val="24"/>
          <w:szCs w:val="24"/>
          <w:u w:val="single"/>
        </w:rPr>
        <w:t>，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E9654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3D6B6130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5B7C3E16" w14:textId="5FE2FB91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韩伯阳、杜畅、</w:t>
      </w:r>
      <w:r w:rsidR="008D74CB">
        <w:rPr>
          <w:rFonts w:ascii="宋体" w:hAnsi="宋体" w:hint="eastAsia"/>
          <w:sz w:val="24"/>
          <w:szCs w:val="24"/>
          <w:u w:val="single"/>
        </w:rPr>
        <w:t>周洁琼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、吕绍山</w:t>
      </w:r>
    </w:p>
    <w:p w14:paraId="4866AF0E" w14:textId="71EFE199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E9654B">
        <w:rPr>
          <w:rFonts w:ascii="宋体" w:hAnsi="宋体" w:hint="eastAsia"/>
          <w:sz w:val="24"/>
          <w:szCs w:val="24"/>
          <w:u w:val="single"/>
        </w:rPr>
        <w:t>-</w:t>
      </w:r>
      <w:bookmarkStart w:id="14" w:name="_GoBack"/>
      <w:bookmarkEnd w:id="14"/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2656767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20CD777B" w14:textId="1D5456AA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DC27" w14:textId="77777777" w:rsidR="00FD4394" w:rsidRDefault="00FD4394" w:rsidP="00127E8C">
      <w:r>
        <w:separator/>
      </w:r>
    </w:p>
  </w:endnote>
  <w:endnote w:type="continuationSeparator" w:id="0">
    <w:p w14:paraId="0DB61367" w14:textId="77777777" w:rsidR="00FD4394" w:rsidRDefault="00FD4394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6B9A5" w14:textId="77777777" w:rsidR="00FD4394" w:rsidRDefault="00FD4394" w:rsidP="00127E8C">
      <w:r>
        <w:separator/>
      </w:r>
    </w:p>
  </w:footnote>
  <w:footnote w:type="continuationSeparator" w:id="0">
    <w:p w14:paraId="445E7992" w14:textId="77777777" w:rsidR="00FD4394" w:rsidRDefault="00FD4394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774CF"/>
    <w:rsid w:val="00082C22"/>
    <w:rsid w:val="00084BBF"/>
    <w:rsid w:val="000A1D55"/>
    <w:rsid w:val="000A3DFD"/>
    <w:rsid w:val="000A52D9"/>
    <w:rsid w:val="000F2521"/>
    <w:rsid w:val="00127E8C"/>
    <w:rsid w:val="001536D6"/>
    <w:rsid w:val="001C301D"/>
    <w:rsid w:val="00207DD5"/>
    <w:rsid w:val="00256DB0"/>
    <w:rsid w:val="00273FB4"/>
    <w:rsid w:val="002A06B0"/>
    <w:rsid w:val="002C7235"/>
    <w:rsid w:val="00305C5C"/>
    <w:rsid w:val="00374F97"/>
    <w:rsid w:val="003765FF"/>
    <w:rsid w:val="0038699E"/>
    <w:rsid w:val="003A3828"/>
    <w:rsid w:val="003B1DDC"/>
    <w:rsid w:val="003B5984"/>
    <w:rsid w:val="003C07E1"/>
    <w:rsid w:val="003F498B"/>
    <w:rsid w:val="00431CCD"/>
    <w:rsid w:val="004E072A"/>
    <w:rsid w:val="005028C0"/>
    <w:rsid w:val="00510640"/>
    <w:rsid w:val="00511A1E"/>
    <w:rsid w:val="0051285A"/>
    <w:rsid w:val="00576401"/>
    <w:rsid w:val="00576E24"/>
    <w:rsid w:val="005967F1"/>
    <w:rsid w:val="006269B7"/>
    <w:rsid w:val="006A0531"/>
    <w:rsid w:val="006B2516"/>
    <w:rsid w:val="006B7341"/>
    <w:rsid w:val="006C3C60"/>
    <w:rsid w:val="007014CE"/>
    <w:rsid w:val="007238AC"/>
    <w:rsid w:val="00754076"/>
    <w:rsid w:val="0078034E"/>
    <w:rsid w:val="007C3FD0"/>
    <w:rsid w:val="008433CD"/>
    <w:rsid w:val="0085587B"/>
    <w:rsid w:val="008D45B8"/>
    <w:rsid w:val="008D74CB"/>
    <w:rsid w:val="008E653F"/>
    <w:rsid w:val="00914399"/>
    <w:rsid w:val="00956E9A"/>
    <w:rsid w:val="00980E1B"/>
    <w:rsid w:val="0098551C"/>
    <w:rsid w:val="009E45CA"/>
    <w:rsid w:val="00A4774E"/>
    <w:rsid w:val="00AB6FCE"/>
    <w:rsid w:val="00AD2A80"/>
    <w:rsid w:val="00AF1440"/>
    <w:rsid w:val="00B2792A"/>
    <w:rsid w:val="00B65040"/>
    <w:rsid w:val="00BF122E"/>
    <w:rsid w:val="00C038D9"/>
    <w:rsid w:val="00C04F1C"/>
    <w:rsid w:val="00C355E7"/>
    <w:rsid w:val="00C4634B"/>
    <w:rsid w:val="00CA2A20"/>
    <w:rsid w:val="00CC1CB3"/>
    <w:rsid w:val="00D42CCB"/>
    <w:rsid w:val="00D45C8E"/>
    <w:rsid w:val="00D614CB"/>
    <w:rsid w:val="00D64E07"/>
    <w:rsid w:val="00D92689"/>
    <w:rsid w:val="00DE0488"/>
    <w:rsid w:val="00E803EE"/>
    <w:rsid w:val="00E844A1"/>
    <w:rsid w:val="00E96107"/>
    <w:rsid w:val="00E9654B"/>
    <w:rsid w:val="00EB17B0"/>
    <w:rsid w:val="00ED20C5"/>
    <w:rsid w:val="00F24759"/>
    <w:rsid w:val="00F524C4"/>
    <w:rsid w:val="00F55E8C"/>
    <w:rsid w:val="00FA33DB"/>
    <w:rsid w:val="00FD4394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D0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64</cp:revision>
  <cp:lastPrinted>2024-10-10T02:41:00Z</cp:lastPrinted>
  <dcterms:created xsi:type="dcterms:W3CDTF">2023-06-28T07:43:00Z</dcterms:created>
  <dcterms:modified xsi:type="dcterms:W3CDTF">2025-12-16T06:05:00Z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