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CF9022E">
      <w:pPr>
        <w:spacing w:line="360" w:lineRule="auto"/>
        <w:jc w:val="center"/>
        <w:rPr>
          <w:rFonts w:hint="eastAsia" w:ascii="宋体" w:hAnsi="宋体"/>
          <w:b/>
          <w:sz w:val="52"/>
          <w:szCs w:val="52"/>
        </w:rPr>
      </w:pPr>
      <w:r>
        <w:rPr>
          <w:rFonts w:hint="eastAsia" w:ascii="宋体" w:hAnsi="宋体"/>
          <w:b/>
          <w:sz w:val="52"/>
          <w:szCs w:val="52"/>
        </w:rPr>
        <w:t>项目名称：双高计划-北青政-数字媒体艺术设计专业群（全媒体运营实训智慧</w:t>
      </w:r>
      <w:r>
        <w:rPr>
          <w:rFonts w:hint="eastAsia" w:ascii="宋体" w:hAnsi="宋体"/>
          <w:b/>
          <w:sz w:val="52"/>
          <w:szCs w:val="52"/>
          <w:lang w:val="en-US" w:eastAsia="zh-CN"/>
        </w:rPr>
        <w:t>教</w:t>
      </w:r>
      <w:r>
        <w:rPr>
          <w:rFonts w:hint="eastAsia" w:ascii="宋体" w:hAnsi="宋体"/>
          <w:b/>
          <w:sz w:val="52"/>
          <w:szCs w:val="52"/>
        </w:rPr>
        <w:t>室）</w:t>
      </w:r>
    </w:p>
    <w:p w14:paraId="7DC96EB5">
      <w:pPr>
        <w:spacing w:line="360" w:lineRule="auto"/>
        <w:jc w:val="center"/>
        <w:rPr>
          <w:rFonts w:hint="eastAsia" w:ascii="宋体" w:hAnsi="宋体"/>
          <w:b/>
          <w:sz w:val="52"/>
          <w:szCs w:val="52"/>
        </w:rPr>
      </w:pPr>
    </w:p>
    <w:p w14:paraId="183A148A">
      <w:pPr>
        <w:jc w:val="center"/>
        <w:rPr>
          <w:rFonts w:hint="eastAsia" w:ascii="宋体" w:hAnsi="宋体"/>
          <w:b/>
          <w:sz w:val="52"/>
          <w:szCs w:val="52"/>
        </w:rPr>
      </w:pPr>
    </w:p>
    <w:p w14:paraId="07329F18">
      <w:pPr>
        <w:jc w:val="center"/>
        <w:rPr>
          <w:rFonts w:hint="eastAsia" w:ascii="宋体" w:hAnsi="宋体"/>
          <w:b/>
          <w:sz w:val="52"/>
          <w:szCs w:val="52"/>
        </w:rPr>
      </w:pPr>
    </w:p>
    <w:p w14:paraId="3C0E0E98">
      <w:pPr>
        <w:jc w:val="center"/>
        <w:rPr>
          <w:rFonts w:hint="eastAsia" w:ascii="宋体" w:hAnsi="宋体"/>
          <w:b/>
          <w:sz w:val="84"/>
          <w:szCs w:val="84"/>
        </w:rPr>
      </w:pPr>
      <w:r>
        <w:rPr>
          <w:rFonts w:hint="eastAsia" w:ascii="宋体" w:hAnsi="宋体"/>
          <w:b/>
          <w:sz w:val="84"/>
          <w:szCs w:val="84"/>
        </w:rPr>
        <w:t>招 标 文 件</w:t>
      </w:r>
    </w:p>
    <w:p w14:paraId="0252C3E0">
      <w:pPr>
        <w:ind w:firstLine="2814" w:firstLineChars="1001"/>
        <w:rPr>
          <w:rFonts w:hint="eastAsia" w:ascii="宋体" w:hAnsi="宋体"/>
          <w:b/>
          <w:sz w:val="28"/>
        </w:rPr>
      </w:pPr>
    </w:p>
    <w:p w14:paraId="3C311602">
      <w:pPr>
        <w:ind w:firstLine="2814" w:firstLineChars="1001"/>
        <w:rPr>
          <w:rFonts w:hint="eastAsia" w:ascii="宋体" w:hAnsi="宋体"/>
          <w:b/>
          <w:sz w:val="28"/>
        </w:rPr>
      </w:pPr>
    </w:p>
    <w:p w14:paraId="422615F5">
      <w:pPr>
        <w:ind w:firstLine="3213" w:firstLineChars="1000"/>
        <w:rPr>
          <w:rFonts w:hint="eastAsia" w:ascii="宋体" w:hAnsi="宋体"/>
          <w:b/>
          <w:sz w:val="32"/>
        </w:rPr>
      </w:pPr>
    </w:p>
    <w:p w14:paraId="4A253092">
      <w:pPr>
        <w:jc w:val="center"/>
        <w:rPr>
          <w:rFonts w:hint="eastAsia" w:ascii="宋体" w:hAnsi="宋体"/>
          <w:b/>
          <w:color w:val="000000" w:themeColor="text1"/>
          <w:sz w:val="32"/>
          <w14:textFill>
            <w14:solidFill>
              <w14:schemeClr w14:val="tx1"/>
            </w14:solidFill>
          </w14:textFill>
        </w:rPr>
      </w:pPr>
      <w:r>
        <w:rPr>
          <w:rFonts w:hint="eastAsia" w:ascii="宋体" w:hAnsi="宋体"/>
          <w:b/>
          <w:sz w:val="32"/>
        </w:rPr>
        <w:t>招</w:t>
      </w:r>
      <w:r>
        <w:rPr>
          <w:rFonts w:hint="eastAsia" w:ascii="宋体" w:hAnsi="宋体"/>
          <w:b/>
          <w:color w:val="000000" w:themeColor="text1"/>
          <w:sz w:val="32"/>
          <w14:textFill>
            <w14:solidFill>
              <w14:schemeClr w14:val="tx1"/>
            </w14:solidFill>
          </w14:textFill>
        </w:rPr>
        <w:t>标编号：</w:t>
      </w:r>
      <w:r>
        <w:rPr>
          <w:rFonts w:ascii="宋体" w:hAnsi="宋体"/>
          <w:b/>
          <w:color w:val="000000" w:themeColor="text1"/>
          <w:sz w:val="32"/>
          <w14:textFill>
            <w14:solidFill>
              <w14:schemeClr w14:val="tx1"/>
            </w14:solidFill>
          </w14:textFill>
        </w:rPr>
        <w:t>BMCC-ZC25-1589</w:t>
      </w:r>
    </w:p>
    <w:p w14:paraId="0FC51F58">
      <w:pPr>
        <w:jc w:val="center"/>
        <w:rPr>
          <w:rFonts w:hint="eastAsia" w:ascii="宋体" w:hAnsi="宋体"/>
          <w:b/>
          <w:sz w:val="52"/>
        </w:rPr>
      </w:pPr>
    </w:p>
    <w:p w14:paraId="18501F54">
      <w:pPr>
        <w:jc w:val="center"/>
        <w:rPr>
          <w:rFonts w:hint="eastAsia" w:ascii="宋体" w:hAnsi="宋体"/>
          <w:b/>
          <w:sz w:val="52"/>
        </w:rPr>
      </w:pPr>
    </w:p>
    <w:p w14:paraId="54CEA15F">
      <w:pPr>
        <w:spacing w:line="360" w:lineRule="auto"/>
        <w:jc w:val="center"/>
        <w:rPr>
          <w:rFonts w:hint="eastAsia" w:ascii="宋体" w:hAnsi="宋体"/>
          <w:b/>
          <w:sz w:val="36"/>
          <w:szCs w:val="36"/>
        </w:rPr>
      </w:pPr>
      <w:r>
        <w:rPr>
          <w:rFonts w:hint="eastAsia" w:ascii="宋体" w:hAnsi="宋体"/>
          <w:b/>
          <w:sz w:val="36"/>
          <w:szCs w:val="36"/>
        </w:rPr>
        <w:t>北京明德致信咨询有限公司</w:t>
      </w:r>
    </w:p>
    <w:p w14:paraId="16119AC6">
      <w:pPr>
        <w:spacing w:line="360" w:lineRule="auto"/>
        <w:jc w:val="center"/>
        <w:rPr>
          <w:rFonts w:hint="eastAsia" w:ascii="宋体" w:hAnsi="宋体"/>
          <w:b/>
          <w:sz w:val="36"/>
          <w:szCs w:val="36"/>
        </w:rPr>
      </w:pPr>
      <w:r>
        <w:rPr>
          <w:rFonts w:hint="eastAsia" w:ascii="宋体" w:hAnsi="宋体"/>
          <w:b/>
          <w:sz w:val="36"/>
          <w:szCs w:val="36"/>
        </w:rPr>
        <w:t>2</w:t>
      </w:r>
      <w:r>
        <w:rPr>
          <w:rFonts w:ascii="宋体" w:hAnsi="宋体"/>
          <w:b/>
          <w:sz w:val="36"/>
          <w:szCs w:val="36"/>
        </w:rPr>
        <w:t>025</w:t>
      </w:r>
      <w:r>
        <w:rPr>
          <w:rFonts w:hint="eastAsia" w:ascii="宋体" w:hAnsi="宋体"/>
          <w:b/>
          <w:sz w:val="36"/>
          <w:szCs w:val="36"/>
        </w:rPr>
        <w:t>年11月</w:t>
      </w:r>
    </w:p>
    <w:p w14:paraId="075562B0">
      <w:pPr>
        <w:spacing w:line="360" w:lineRule="auto"/>
        <w:ind w:firstLine="7228" w:firstLineChars="1000"/>
        <w:rPr>
          <w:rFonts w:hint="eastAsia" w:ascii="宋体" w:hAnsi="宋体"/>
          <w:b/>
          <w:sz w:val="72"/>
        </w:rPr>
        <w:sectPr>
          <w:headerReference r:id="rId5" w:type="first"/>
          <w:footerReference r:id="rId8" w:type="first"/>
          <w:headerReference r:id="rId3" w:type="default"/>
          <w:footerReference r:id="rId6" w:type="default"/>
          <w:headerReference r:id="rId4" w:type="even"/>
          <w:footerReference r:id="rId7" w:type="even"/>
          <w:type w:val="nextColumn"/>
          <w:pgSz w:w="11907" w:h="16840"/>
          <w:pgMar w:top="1911" w:right="1474" w:bottom="1882" w:left="1587" w:header="851" w:footer="851" w:gutter="0"/>
          <w:pgNumType w:start="1"/>
          <w:cols w:space="720" w:num="1"/>
          <w:titlePg/>
          <w:docGrid w:linePitch="462" w:charSpace="0"/>
        </w:sectPr>
      </w:pPr>
    </w:p>
    <w:p w14:paraId="71B7BFFE">
      <w:pPr>
        <w:spacing w:line="360" w:lineRule="auto"/>
        <w:jc w:val="center"/>
        <w:outlineLvl w:val="0"/>
        <w:rPr>
          <w:rFonts w:hint="eastAsia" w:ascii="宋体" w:hAnsi="宋体"/>
          <w:b/>
          <w:sz w:val="36"/>
          <w:szCs w:val="36"/>
        </w:rPr>
      </w:pPr>
      <w:bookmarkStart w:id="0" w:name="_Toc99301418"/>
      <w:bookmarkStart w:id="1" w:name="_Toc100564784"/>
      <w:bookmarkStart w:id="2" w:name="_Toc200734037"/>
      <w:r>
        <w:rPr>
          <w:rFonts w:ascii="宋体" w:hAnsi="宋体"/>
          <w:b/>
          <w:sz w:val="36"/>
          <w:szCs w:val="36"/>
        </w:rPr>
        <w:t>目  录</w:t>
      </w:r>
      <w:bookmarkEnd w:id="0"/>
      <w:bookmarkEnd w:id="1"/>
      <w:bookmarkEnd w:id="2"/>
    </w:p>
    <w:p w14:paraId="3F5BFBEE">
      <w:pPr>
        <w:pStyle w:val="31"/>
        <w:tabs>
          <w:tab w:val="right" w:leader="dot" w:pos="9062"/>
        </w:tabs>
        <w:spacing w:line="360" w:lineRule="auto"/>
        <w:rPr>
          <w:rFonts w:hint="eastAsia" w:ascii="宋体" w:hAnsi="宋体" w:cstheme="minorBidi"/>
          <w:sz w:val="24"/>
          <w14:ligatures w14:val="standardContextual"/>
        </w:rPr>
      </w:pPr>
      <w:r>
        <w:rPr>
          <w:rFonts w:ascii="宋体" w:hAnsi="宋体"/>
          <w:b/>
          <w:sz w:val="24"/>
        </w:rPr>
        <w:fldChar w:fldCharType="begin"/>
      </w:r>
      <w:r>
        <w:rPr>
          <w:rFonts w:ascii="宋体" w:hAnsi="宋体"/>
          <w:sz w:val="24"/>
        </w:rPr>
        <w:instrText xml:space="preserve"> TOC \o "1-1" \h \z \u </w:instrText>
      </w:r>
      <w:r>
        <w:rPr>
          <w:rFonts w:ascii="宋体" w:hAnsi="宋体"/>
          <w:b/>
          <w:sz w:val="24"/>
        </w:rPr>
        <w:fldChar w:fldCharType="separate"/>
      </w:r>
    </w:p>
    <w:p w14:paraId="46DCA3DD">
      <w:pPr>
        <w:pStyle w:val="31"/>
        <w:tabs>
          <w:tab w:val="right" w:leader="dot" w:pos="9062"/>
        </w:tabs>
        <w:spacing w:line="360" w:lineRule="auto"/>
        <w:rPr>
          <w:rFonts w:hint="eastAsia" w:ascii="宋体" w:hAnsi="宋体" w:cstheme="minorBidi"/>
          <w:sz w:val="24"/>
          <w14:ligatures w14:val="standardContextual"/>
        </w:rPr>
      </w:pPr>
      <w:r>
        <w:fldChar w:fldCharType="begin"/>
      </w:r>
      <w:r>
        <w:instrText xml:space="preserve"> HYPERLINK \l "_Toc200734038" </w:instrText>
      </w:r>
      <w:r>
        <w:fldChar w:fldCharType="separate"/>
      </w:r>
      <w:r>
        <w:rPr>
          <w:rStyle w:val="53"/>
          <w:rFonts w:hint="eastAsia" w:ascii="宋体" w:hAnsi="宋体"/>
          <w:b/>
          <w:sz w:val="24"/>
        </w:rPr>
        <w:t>第一章  投标邀请</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_Toc200734038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1</w:t>
      </w:r>
      <w:r>
        <w:rPr>
          <w:rFonts w:hint="eastAsia" w:ascii="宋体" w:hAnsi="宋体"/>
          <w:sz w:val="24"/>
        </w:rPr>
        <w:fldChar w:fldCharType="end"/>
      </w:r>
      <w:r>
        <w:rPr>
          <w:rFonts w:hint="eastAsia" w:ascii="宋体" w:hAnsi="宋体"/>
          <w:sz w:val="24"/>
        </w:rPr>
        <w:fldChar w:fldCharType="end"/>
      </w:r>
    </w:p>
    <w:p w14:paraId="7446F7DA">
      <w:pPr>
        <w:pStyle w:val="31"/>
        <w:tabs>
          <w:tab w:val="right" w:leader="dot" w:pos="9062"/>
        </w:tabs>
        <w:spacing w:line="360" w:lineRule="auto"/>
        <w:rPr>
          <w:rFonts w:hint="eastAsia" w:ascii="宋体" w:hAnsi="宋体" w:cstheme="minorBidi"/>
          <w:sz w:val="24"/>
          <w14:ligatures w14:val="standardContextual"/>
        </w:rPr>
      </w:pPr>
      <w:r>
        <w:fldChar w:fldCharType="begin"/>
      </w:r>
      <w:r>
        <w:instrText xml:space="preserve"> HYPERLINK \l "_Toc200734040" </w:instrText>
      </w:r>
      <w:r>
        <w:fldChar w:fldCharType="separate"/>
      </w:r>
      <w:r>
        <w:rPr>
          <w:rStyle w:val="53"/>
          <w:rFonts w:hint="eastAsia" w:ascii="宋体" w:hAnsi="宋体"/>
          <w:b/>
          <w:sz w:val="24"/>
        </w:rPr>
        <w:t>第二章  投标人须知</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_Toc200734040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6</w:t>
      </w:r>
      <w:r>
        <w:rPr>
          <w:rFonts w:hint="eastAsia" w:ascii="宋体" w:hAnsi="宋体"/>
          <w:sz w:val="24"/>
        </w:rPr>
        <w:fldChar w:fldCharType="end"/>
      </w:r>
      <w:r>
        <w:rPr>
          <w:rFonts w:hint="eastAsia" w:ascii="宋体" w:hAnsi="宋体"/>
          <w:sz w:val="24"/>
        </w:rPr>
        <w:fldChar w:fldCharType="end"/>
      </w:r>
    </w:p>
    <w:p w14:paraId="619F5A55">
      <w:pPr>
        <w:pStyle w:val="31"/>
        <w:tabs>
          <w:tab w:val="right" w:leader="dot" w:pos="9062"/>
        </w:tabs>
        <w:spacing w:line="360" w:lineRule="auto"/>
        <w:rPr>
          <w:rFonts w:hint="eastAsia" w:ascii="宋体" w:hAnsi="宋体" w:cstheme="minorBidi"/>
          <w:sz w:val="24"/>
          <w14:ligatures w14:val="standardContextual"/>
        </w:rPr>
      </w:pPr>
      <w:r>
        <w:fldChar w:fldCharType="begin"/>
      </w:r>
      <w:r>
        <w:instrText xml:space="preserve"> HYPERLINK \l "_Toc200734041" </w:instrText>
      </w:r>
      <w:r>
        <w:fldChar w:fldCharType="separate"/>
      </w:r>
      <w:r>
        <w:rPr>
          <w:rStyle w:val="53"/>
          <w:rFonts w:hint="eastAsia" w:ascii="宋体" w:hAnsi="宋体"/>
          <w:b/>
          <w:sz w:val="24"/>
        </w:rPr>
        <w:t>第三章  资格审查</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_Toc200734041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23</w:t>
      </w:r>
      <w:r>
        <w:rPr>
          <w:rFonts w:hint="eastAsia" w:ascii="宋体" w:hAnsi="宋体"/>
          <w:sz w:val="24"/>
        </w:rPr>
        <w:fldChar w:fldCharType="end"/>
      </w:r>
      <w:r>
        <w:rPr>
          <w:rFonts w:hint="eastAsia" w:ascii="宋体" w:hAnsi="宋体"/>
          <w:sz w:val="24"/>
        </w:rPr>
        <w:fldChar w:fldCharType="end"/>
      </w:r>
    </w:p>
    <w:p w14:paraId="39595DB3">
      <w:pPr>
        <w:pStyle w:val="31"/>
        <w:tabs>
          <w:tab w:val="right" w:leader="dot" w:pos="9062"/>
        </w:tabs>
        <w:spacing w:line="360" w:lineRule="auto"/>
        <w:rPr>
          <w:rFonts w:hint="eastAsia" w:ascii="宋体" w:hAnsi="宋体" w:cstheme="minorBidi"/>
          <w:sz w:val="24"/>
          <w14:ligatures w14:val="standardContextual"/>
        </w:rPr>
      </w:pPr>
      <w:r>
        <w:fldChar w:fldCharType="begin"/>
      </w:r>
      <w:r>
        <w:instrText xml:space="preserve"> HYPERLINK \l "_Toc200734042" </w:instrText>
      </w:r>
      <w:r>
        <w:fldChar w:fldCharType="separate"/>
      </w:r>
      <w:r>
        <w:rPr>
          <w:rStyle w:val="53"/>
          <w:rFonts w:hint="eastAsia" w:ascii="宋体" w:hAnsi="宋体"/>
          <w:b/>
          <w:sz w:val="24"/>
        </w:rPr>
        <w:t>第四章  评标程序、评标方法和评标标准</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_Toc200734042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27</w:t>
      </w:r>
      <w:r>
        <w:rPr>
          <w:rFonts w:hint="eastAsia" w:ascii="宋体" w:hAnsi="宋体"/>
          <w:sz w:val="24"/>
        </w:rPr>
        <w:fldChar w:fldCharType="end"/>
      </w:r>
      <w:r>
        <w:rPr>
          <w:rFonts w:hint="eastAsia" w:ascii="宋体" w:hAnsi="宋体"/>
          <w:sz w:val="24"/>
        </w:rPr>
        <w:fldChar w:fldCharType="end"/>
      </w:r>
    </w:p>
    <w:p w14:paraId="346C684E">
      <w:pPr>
        <w:pStyle w:val="31"/>
        <w:tabs>
          <w:tab w:val="right" w:leader="dot" w:pos="9062"/>
        </w:tabs>
        <w:spacing w:line="360" w:lineRule="auto"/>
        <w:rPr>
          <w:rFonts w:hint="eastAsia" w:ascii="宋体" w:hAnsi="宋体" w:cstheme="minorBidi"/>
          <w:sz w:val="24"/>
          <w14:ligatures w14:val="standardContextual"/>
        </w:rPr>
      </w:pPr>
      <w:r>
        <w:fldChar w:fldCharType="begin"/>
      </w:r>
      <w:r>
        <w:instrText xml:space="preserve"> HYPERLINK \l "_Toc200734043" </w:instrText>
      </w:r>
      <w:r>
        <w:fldChar w:fldCharType="separate"/>
      </w:r>
      <w:r>
        <w:rPr>
          <w:rStyle w:val="53"/>
          <w:rFonts w:hint="eastAsia" w:ascii="宋体" w:hAnsi="宋体"/>
          <w:b/>
          <w:sz w:val="24"/>
        </w:rPr>
        <w:t>第五章  采购需求</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_Toc200734043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38</w:t>
      </w:r>
      <w:r>
        <w:rPr>
          <w:rFonts w:hint="eastAsia" w:ascii="宋体" w:hAnsi="宋体"/>
          <w:sz w:val="24"/>
        </w:rPr>
        <w:fldChar w:fldCharType="end"/>
      </w:r>
      <w:r>
        <w:rPr>
          <w:rFonts w:hint="eastAsia" w:ascii="宋体" w:hAnsi="宋体"/>
          <w:sz w:val="24"/>
        </w:rPr>
        <w:fldChar w:fldCharType="end"/>
      </w:r>
    </w:p>
    <w:p w14:paraId="3DEA4EBB">
      <w:pPr>
        <w:pStyle w:val="31"/>
        <w:tabs>
          <w:tab w:val="right" w:leader="dot" w:pos="9062"/>
        </w:tabs>
        <w:spacing w:line="360" w:lineRule="auto"/>
        <w:rPr>
          <w:rFonts w:hint="eastAsia" w:ascii="宋体" w:hAnsi="宋体" w:cstheme="minorBidi"/>
          <w:sz w:val="24"/>
          <w14:ligatures w14:val="standardContextual"/>
        </w:rPr>
      </w:pPr>
      <w:r>
        <w:fldChar w:fldCharType="begin"/>
      </w:r>
      <w:r>
        <w:instrText xml:space="preserve"> HYPERLINK \l "_Toc200734044" </w:instrText>
      </w:r>
      <w:r>
        <w:fldChar w:fldCharType="separate"/>
      </w:r>
      <w:r>
        <w:rPr>
          <w:rStyle w:val="53"/>
          <w:rFonts w:hint="eastAsia" w:ascii="宋体" w:hAnsi="宋体"/>
          <w:b/>
          <w:sz w:val="24"/>
        </w:rPr>
        <w:t>第六章  拟签订的合同文本</w:t>
      </w:r>
      <w:r>
        <w:rPr>
          <w:rFonts w:hint="eastAsia" w:ascii="宋体" w:hAnsi="宋体"/>
          <w:sz w:val="24"/>
        </w:rPr>
        <w:tab/>
      </w:r>
      <w:r>
        <w:rPr>
          <w:rFonts w:hint="eastAsia" w:ascii="宋体" w:hAnsi="宋体"/>
          <w:sz w:val="24"/>
        </w:rPr>
        <w:fldChar w:fldCharType="begin"/>
      </w:r>
      <w:r>
        <w:rPr>
          <w:rFonts w:hint="eastAsia" w:ascii="宋体" w:hAnsi="宋体"/>
          <w:sz w:val="24"/>
        </w:rPr>
        <w:instrText xml:space="preserve"> </w:instrText>
      </w:r>
      <w:r>
        <w:rPr>
          <w:rFonts w:ascii="宋体" w:hAnsi="宋体"/>
          <w:sz w:val="24"/>
        </w:rPr>
        <w:instrText xml:space="preserve">PAGEREF _Toc200734044 \h</w:instrText>
      </w:r>
      <w:r>
        <w:rPr>
          <w:rFonts w:hint="eastAsia" w:ascii="宋体" w:hAnsi="宋体"/>
          <w:sz w:val="24"/>
        </w:rPr>
        <w:instrText xml:space="preserve"> </w:instrText>
      </w:r>
      <w:r>
        <w:rPr>
          <w:rFonts w:hint="eastAsia" w:ascii="宋体" w:hAnsi="宋体"/>
          <w:sz w:val="24"/>
        </w:rPr>
        <w:fldChar w:fldCharType="separate"/>
      </w:r>
      <w:r>
        <w:rPr>
          <w:rFonts w:hint="eastAsia" w:ascii="宋体" w:hAnsi="宋体"/>
          <w:sz w:val="24"/>
        </w:rPr>
        <w:t>54</w:t>
      </w:r>
      <w:r>
        <w:rPr>
          <w:rFonts w:hint="eastAsia" w:ascii="宋体" w:hAnsi="宋体"/>
          <w:sz w:val="24"/>
        </w:rPr>
        <w:fldChar w:fldCharType="end"/>
      </w:r>
      <w:r>
        <w:rPr>
          <w:rFonts w:hint="eastAsia" w:ascii="宋体" w:hAnsi="宋体"/>
          <w:sz w:val="24"/>
        </w:rPr>
        <w:fldChar w:fldCharType="end"/>
      </w:r>
    </w:p>
    <w:p w14:paraId="1855618F">
      <w:pPr>
        <w:pStyle w:val="81"/>
        <w:spacing w:line="360" w:lineRule="auto"/>
        <w:rPr>
          <w:rFonts w:hint="eastAsia"/>
          <w:b w:val="0"/>
        </w:rPr>
      </w:pPr>
      <w:r>
        <w:rPr>
          <w:b w:val="0"/>
        </w:rPr>
        <w:fldChar w:fldCharType="end"/>
      </w:r>
    </w:p>
    <w:p w14:paraId="1E8C725C">
      <w:pPr>
        <w:spacing w:line="360" w:lineRule="auto"/>
        <w:jc w:val="center"/>
        <w:outlineLvl w:val="0"/>
        <w:rPr>
          <w:rFonts w:hint="eastAsia" w:ascii="宋体" w:hAnsi="宋体"/>
          <w:b/>
          <w:sz w:val="36"/>
          <w:szCs w:val="36"/>
        </w:rPr>
      </w:pPr>
      <w:r>
        <w:rPr>
          <w:rFonts w:ascii="宋体" w:hAnsi="宋体"/>
          <w:sz w:val="24"/>
        </w:rPr>
        <w:br w:type="page"/>
      </w:r>
      <w:bookmarkStart w:id="3" w:name="_Toc200734038"/>
      <w:r>
        <w:rPr>
          <w:rFonts w:ascii="宋体" w:hAnsi="宋体"/>
          <w:b/>
          <w:sz w:val="36"/>
          <w:szCs w:val="36"/>
        </w:rPr>
        <w:t>第一章  投标邀请</w:t>
      </w:r>
      <w:bookmarkEnd w:id="3"/>
    </w:p>
    <w:p w14:paraId="0D0BEADF">
      <w:pPr>
        <w:spacing w:line="360" w:lineRule="auto"/>
        <w:jc w:val="center"/>
        <w:outlineLvl w:val="0"/>
        <w:rPr>
          <w:rFonts w:hint="eastAsia" w:ascii="宋体" w:hAnsi="宋体"/>
          <w:b/>
          <w:sz w:val="36"/>
          <w:szCs w:val="36"/>
        </w:rPr>
      </w:pPr>
      <w:bookmarkStart w:id="4" w:name="_Toc200734039"/>
      <w:r>
        <w:rPr>
          <w:rFonts w:hint="eastAsia" w:ascii="宋体" w:hAnsi="宋体"/>
          <w:b/>
          <w:sz w:val="36"/>
          <w:szCs w:val="36"/>
        </w:rPr>
        <w:t>采购公告</w:t>
      </w:r>
      <w:bookmarkEnd w:id="4"/>
    </w:p>
    <w:p w14:paraId="1D3E3060">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宋体" w:hAnsi="宋体"/>
          <w:sz w:val="24"/>
        </w:rPr>
      </w:pPr>
      <w:r>
        <w:rPr>
          <w:rFonts w:hint="eastAsia" w:ascii="宋体" w:hAnsi="宋体"/>
          <w:sz w:val="24"/>
        </w:rPr>
        <w:t>项目概况</w:t>
      </w:r>
    </w:p>
    <w:p w14:paraId="75D291A9">
      <w:pPr>
        <w:pBdr>
          <w:top w:val="single" w:color="auto" w:sz="4" w:space="1"/>
          <w:left w:val="single" w:color="auto" w:sz="4" w:space="4"/>
          <w:bottom w:val="single" w:color="auto" w:sz="4" w:space="1"/>
          <w:right w:val="single" w:color="auto" w:sz="4" w:space="4"/>
        </w:pBdr>
        <w:spacing w:line="360" w:lineRule="auto"/>
        <w:ind w:firstLine="480" w:firstLineChars="200"/>
        <w:jc w:val="left"/>
        <w:rPr>
          <w:rFonts w:hint="eastAsia" w:ascii="宋体" w:hAnsi="宋体"/>
          <w:sz w:val="24"/>
        </w:rPr>
      </w:pPr>
      <w:r>
        <w:rPr>
          <w:rFonts w:hint="eastAsia" w:ascii="宋体" w:hAnsi="宋体"/>
          <w:sz w:val="24"/>
          <w:u w:val="single"/>
        </w:rPr>
        <w:t>下述</w:t>
      </w:r>
      <w:r>
        <w:rPr>
          <w:rFonts w:hint="eastAsia" w:ascii="宋体" w:hAnsi="宋体"/>
          <w:sz w:val="24"/>
        </w:rPr>
        <w:t>采购项目的潜在投标人应在</w:t>
      </w:r>
      <w:r>
        <w:rPr>
          <w:rFonts w:hint="eastAsia" w:ascii="宋体" w:hAnsi="宋体"/>
          <w:color w:val="000000"/>
          <w:sz w:val="24"/>
          <w:u w:val="single"/>
        </w:rPr>
        <w:t>（北京市政府采购电子交易平台,具体方式详见“其他补充事宜”）</w:t>
      </w:r>
      <w:r>
        <w:rPr>
          <w:rFonts w:hint="eastAsia" w:ascii="宋体" w:hAnsi="宋体"/>
          <w:sz w:val="24"/>
        </w:rPr>
        <w:t>获取招标文件，并于</w:t>
      </w:r>
      <w:r>
        <w:rPr>
          <w:rFonts w:hint="eastAsia" w:ascii="宋体" w:hAnsi="宋体"/>
          <w:sz w:val="24"/>
          <w:u w:val="single"/>
        </w:rPr>
        <w:t>提交投标文件截止时间</w:t>
      </w:r>
      <w:r>
        <w:rPr>
          <w:rFonts w:hint="eastAsia" w:ascii="宋体" w:hAnsi="宋体"/>
          <w:bCs/>
          <w:sz w:val="24"/>
        </w:rPr>
        <w:t>前递交投标</w:t>
      </w:r>
      <w:r>
        <w:rPr>
          <w:rFonts w:ascii="宋体" w:hAnsi="宋体"/>
          <w:bCs/>
          <w:sz w:val="24"/>
        </w:rPr>
        <w:t>文件</w:t>
      </w:r>
      <w:r>
        <w:rPr>
          <w:rFonts w:hint="eastAsia" w:ascii="宋体" w:hAnsi="宋体"/>
          <w:sz w:val="24"/>
        </w:rPr>
        <w:t>。</w:t>
      </w:r>
    </w:p>
    <w:p w14:paraId="2A2B08D7">
      <w:pPr>
        <w:spacing w:line="360" w:lineRule="auto"/>
        <w:jc w:val="left"/>
        <w:rPr>
          <w:rFonts w:hint="eastAsia" w:ascii="宋体" w:hAnsi="宋体"/>
        </w:rPr>
      </w:pPr>
    </w:p>
    <w:p w14:paraId="4FFEF11A">
      <w:pPr>
        <w:pStyle w:val="297"/>
        <w:ind w:firstLine="482"/>
        <w:jc w:val="left"/>
        <w:rPr>
          <w:rFonts w:hint="eastAsia"/>
          <w:b/>
          <w:bCs/>
        </w:rPr>
      </w:pPr>
      <w:r>
        <w:rPr>
          <w:rFonts w:hint="eastAsia"/>
          <w:b/>
          <w:bCs/>
        </w:rPr>
        <w:t>一、项目基本情况</w:t>
      </w:r>
    </w:p>
    <w:p w14:paraId="027459DA">
      <w:pPr>
        <w:pStyle w:val="297"/>
        <w:jc w:val="left"/>
        <w:rPr>
          <w:rFonts w:hint="eastAsia"/>
          <w:color w:val="FF0000"/>
        </w:rPr>
      </w:pPr>
      <w:r>
        <w:rPr>
          <w:rFonts w:hint="eastAsia"/>
        </w:rPr>
        <w:t>项目编号：</w:t>
      </w:r>
      <w:r>
        <w:t>BMCC-ZC25-1589</w:t>
      </w:r>
    </w:p>
    <w:p w14:paraId="44A7A6C9">
      <w:pPr>
        <w:pStyle w:val="297"/>
        <w:jc w:val="left"/>
        <w:rPr>
          <w:rFonts w:hint="eastAsia"/>
        </w:rPr>
      </w:pPr>
      <w:r>
        <w:rPr>
          <w:rFonts w:hint="eastAsia"/>
        </w:rPr>
        <w:t>项目名称：双高计划-北青政-数字媒体艺术设计专业群（全媒体运营实训智慧</w:t>
      </w:r>
      <w:r>
        <w:rPr>
          <w:rFonts w:hint="eastAsia"/>
          <w:lang w:val="en-US" w:eastAsia="zh-CN"/>
        </w:rPr>
        <w:t>教</w:t>
      </w:r>
      <w:r>
        <w:rPr>
          <w:rFonts w:hint="eastAsia"/>
        </w:rPr>
        <w:t>室）</w:t>
      </w:r>
    </w:p>
    <w:p w14:paraId="3667FB9C">
      <w:pPr>
        <w:pStyle w:val="297"/>
        <w:jc w:val="left"/>
        <w:rPr>
          <w:rFonts w:hint="eastAsia"/>
        </w:rPr>
      </w:pPr>
      <w:r>
        <w:rPr>
          <w:rFonts w:hint="eastAsia"/>
        </w:rPr>
        <w:t>最高限价：241.7万元</w:t>
      </w:r>
    </w:p>
    <w:tbl>
      <w:tblPr>
        <w:tblStyle w:val="45"/>
        <w:tblW w:w="68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426"/>
        <w:gridCol w:w="2309"/>
      </w:tblGrid>
      <w:tr w14:paraId="794FA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75FDAFF8">
            <w:pPr>
              <w:widowControl/>
              <w:spacing w:line="276" w:lineRule="auto"/>
              <w:jc w:val="center"/>
              <w:rPr>
                <w:rFonts w:hint="eastAsia" w:ascii="宋体" w:hAnsi="宋体"/>
                <w:b/>
                <w:bCs/>
                <w:kern w:val="0"/>
                <w:sz w:val="24"/>
              </w:rPr>
            </w:pPr>
            <w:bookmarkStart w:id="5" w:name="_Hlk214266470"/>
            <w:r>
              <w:rPr>
                <w:rFonts w:hint="eastAsia" w:ascii="宋体" w:hAnsi="宋体"/>
                <w:b/>
                <w:bCs/>
                <w:kern w:val="0"/>
                <w:sz w:val="24"/>
              </w:rPr>
              <w:t>序号</w:t>
            </w:r>
          </w:p>
        </w:tc>
        <w:tc>
          <w:tcPr>
            <w:tcW w:w="3426" w:type="dxa"/>
            <w:vAlign w:val="center"/>
          </w:tcPr>
          <w:p w14:paraId="2054BD13">
            <w:pPr>
              <w:widowControl/>
              <w:spacing w:line="276" w:lineRule="auto"/>
              <w:jc w:val="center"/>
              <w:rPr>
                <w:rFonts w:hint="eastAsia" w:ascii="宋体" w:hAnsi="宋体"/>
                <w:b/>
                <w:bCs/>
                <w:kern w:val="0"/>
                <w:sz w:val="24"/>
              </w:rPr>
            </w:pPr>
            <w:r>
              <w:rPr>
                <w:rFonts w:hint="eastAsia" w:ascii="宋体" w:hAnsi="宋体"/>
                <w:b/>
                <w:bCs/>
                <w:kern w:val="0"/>
                <w:sz w:val="24"/>
              </w:rPr>
              <w:t>标的名称</w:t>
            </w:r>
          </w:p>
        </w:tc>
        <w:tc>
          <w:tcPr>
            <w:tcW w:w="2309" w:type="dxa"/>
          </w:tcPr>
          <w:p w14:paraId="37775DA0">
            <w:pPr>
              <w:widowControl/>
              <w:spacing w:line="276" w:lineRule="auto"/>
              <w:jc w:val="center"/>
              <w:rPr>
                <w:rFonts w:hint="eastAsia" w:ascii="宋体" w:hAnsi="宋体"/>
                <w:b/>
                <w:bCs/>
                <w:kern w:val="0"/>
                <w:sz w:val="24"/>
              </w:rPr>
            </w:pPr>
            <w:r>
              <w:rPr>
                <w:rFonts w:hint="eastAsia" w:ascii="宋体" w:hAnsi="宋体"/>
                <w:b/>
                <w:bCs/>
                <w:kern w:val="0"/>
                <w:sz w:val="24"/>
              </w:rPr>
              <w:t>最高限价（万元）</w:t>
            </w:r>
          </w:p>
        </w:tc>
      </w:tr>
      <w:tr w14:paraId="72A68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7FD50F6C">
            <w:pPr>
              <w:widowControl/>
              <w:spacing w:line="276" w:lineRule="auto"/>
              <w:jc w:val="center"/>
              <w:rPr>
                <w:rFonts w:hint="eastAsia" w:ascii="宋体" w:hAnsi="宋体"/>
                <w:kern w:val="0"/>
                <w:sz w:val="24"/>
              </w:rPr>
            </w:pPr>
            <w:r>
              <w:rPr>
                <w:rFonts w:hint="eastAsia" w:ascii="宋体" w:hAnsi="宋体"/>
                <w:kern w:val="0"/>
                <w:sz w:val="24"/>
              </w:rPr>
              <w:t>1</w:t>
            </w:r>
          </w:p>
        </w:tc>
        <w:tc>
          <w:tcPr>
            <w:tcW w:w="3426" w:type="dxa"/>
            <w:vAlign w:val="center"/>
          </w:tcPr>
          <w:p w14:paraId="2BBDA4B0">
            <w:pPr>
              <w:widowControl/>
              <w:spacing w:line="276" w:lineRule="auto"/>
              <w:jc w:val="center"/>
              <w:rPr>
                <w:rFonts w:hint="eastAsia" w:ascii="宋体" w:hAnsi="宋体"/>
                <w:kern w:val="0"/>
                <w:sz w:val="24"/>
              </w:rPr>
            </w:pPr>
            <w:r>
              <w:rPr>
                <w:rFonts w:hint="eastAsia" w:ascii="宋体" w:hAnsi="宋体"/>
                <w:kern w:val="0"/>
                <w:sz w:val="24"/>
              </w:rPr>
              <w:t>显示系统</w:t>
            </w:r>
          </w:p>
        </w:tc>
        <w:tc>
          <w:tcPr>
            <w:tcW w:w="2309" w:type="dxa"/>
            <w:vAlign w:val="center"/>
          </w:tcPr>
          <w:p w14:paraId="4B50B7C3">
            <w:pPr>
              <w:widowControl/>
              <w:spacing w:line="276" w:lineRule="auto"/>
              <w:jc w:val="center"/>
              <w:rPr>
                <w:rFonts w:hint="eastAsia" w:ascii="宋体" w:hAnsi="宋体"/>
                <w:kern w:val="0"/>
                <w:sz w:val="24"/>
              </w:rPr>
            </w:pPr>
            <w:r>
              <w:rPr>
                <w:rFonts w:hint="eastAsia" w:ascii="宋体" w:hAnsi="宋体"/>
                <w:kern w:val="0"/>
                <w:sz w:val="24"/>
              </w:rPr>
              <w:t>5.5</w:t>
            </w:r>
          </w:p>
        </w:tc>
      </w:tr>
      <w:tr w14:paraId="189E34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79F5251F">
            <w:pPr>
              <w:widowControl/>
              <w:spacing w:line="276" w:lineRule="auto"/>
              <w:jc w:val="center"/>
              <w:rPr>
                <w:rFonts w:hint="eastAsia" w:ascii="宋体" w:hAnsi="宋体"/>
                <w:kern w:val="0"/>
                <w:sz w:val="24"/>
              </w:rPr>
            </w:pPr>
            <w:r>
              <w:rPr>
                <w:rFonts w:hint="eastAsia" w:ascii="宋体" w:hAnsi="宋体"/>
                <w:kern w:val="0"/>
                <w:sz w:val="24"/>
              </w:rPr>
              <w:t>2</w:t>
            </w:r>
          </w:p>
        </w:tc>
        <w:tc>
          <w:tcPr>
            <w:tcW w:w="3426" w:type="dxa"/>
            <w:vAlign w:val="center"/>
          </w:tcPr>
          <w:p w14:paraId="4C9E16C3">
            <w:pPr>
              <w:widowControl/>
              <w:spacing w:line="276" w:lineRule="auto"/>
              <w:jc w:val="center"/>
              <w:rPr>
                <w:rFonts w:hint="eastAsia" w:ascii="宋体" w:hAnsi="宋体"/>
                <w:kern w:val="0"/>
                <w:sz w:val="24"/>
              </w:rPr>
            </w:pPr>
            <w:r>
              <w:rPr>
                <w:rFonts w:hint="eastAsia" w:ascii="宋体" w:hAnsi="宋体"/>
                <w:kern w:val="0"/>
                <w:sz w:val="24"/>
              </w:rPr>
              <w:t>AIGC新媒体内容创作系统</w:t>
            </w:r>
          </w:p>
        </w:tc>
        <w:tc>
          <w:tcPr>
            <w:tcW w:w="2309" w:type="dxa"/>
            <w:vAlign w:val="center"/>
          </w:tcPr>
          <w:p w14:paraId="6A5D4EA0">
            <w:pPr>
              <w:widowControl/>
              <w:spacing w:line="276" w:lineRule="auto"/>
              <w:jc w:val="center"/>
              <w:rPr>
                <w:rFonts w:hint="eastAsia" w:ascii="宋体" w:hAnsi="宋体"/>
                <w:kern w:val="0"/>
                <w:sz w:val="24"/>
              </w:rPr>
            </w:pPr>
            <w:r>
              <w:rPr>
                <w:rFonts w:hint="eastAsia" w:ascii="宋体" w:hAnsi="宋体"/>
                <w:kern w:val="0"/>
                <w:sz w:val="24"/>
              </w:rPr>
              <w:t>32.5</w:t>
            </w:r>
          </w:p>
        </w:tc>
      </w:tr>
      <w:tr w14:paraId="011EA7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0852082C">
            <w:pPr>
              <w:widowControl/>
              <w:spacing w:line="276" w:lineRule="auto"/>
              <w:jc w:val="center"/>
              <w:rPr>
                <w:rFonts w:hint="eastAsia" w:ascii="宋体" w:hAnsi="宋体"/>
                <w:kern w:val="0"/>
                <w:sz w:val="24"/>
              </w:rPr>
            </w:pPr>
            <w:r>
              <w:rPr>
                <w:rFonts w:hint="eastAsia" w:ascii="宋体" w:hAnsi="宋体"/>
                <w:kern w:val="0"/>
                <w:sz w:val="24"/>
              </w:rPr>
              <w:t xml:space="preserve">3 </w:t>
            </w:r>
          </w:p>
        </w:tc>
        <w:tc>
          <w:tcPr>
            <w:tcW w:w="3426" w:type="dxa"/>
            <w:vAlign w:val="center"/>
          </w:tcPr>
          <w:p w14:paraId="4E102D64">
            <w:pPr>
              <w:widowControl/>
              <w:spacing w:line="276" w:lineRule="auto"/>
              <w:jc w:val="center"/>
              <w:rPr>
                <w:rFonts w:hint="eastAsia" w:ascii="宋体" w:hAnsi="宋体"/>
                <w:kern w:val="0"/>
                <w:sz w:val="24"/>
              </w:rPr>
            </w:pPr>
            <w:r>
              <w:rPr>
                <w:rFonts w:hint="eastAsia" w:ascii="宋体" w:hAnsi="宋体"/>
                <w:kern w:val="0"/>
                <w:sz w:val="24"/>
              </w:rPr>
              <w:t>短视频虚拟仿真实训系统</w:t>
            </w:r>
          </w:p>
        </w:tc>
        <w:tc>
          <w:tcPr>
            <w:tcW w:w="2309" w:type="dxa"/>
            <w:vAlign w:val="center"/>
          </w:tcPr>
          <w:p w14:paraId="6BCF0C7A">
            <w:pPr>
              <w:widowControl/>
              <w:spacing w:line="276" w:lineRule="auto"/>
              <w:jc w:val="center"/>
              <w:rPr>
                <w:rFonts w:hint="eastAsia" w:ascii="宋体" w:hAnsi="宋体"/>
                <w:kern w:val="0"/>
                <w:sz w:val="24"/>
              </w:rPr>
            </w:pPr>
            <w:r>
              <w:rPr>
                <w:rFonts w:hint="eastAsia" w:ascii="宋体" w:hAnsi="宋体"/>
                <w:kern w:val="0"/>
                <w:sz w:val="24"/>
              </w:rPr>
              <w:t>35</w:t>
            </w:r>
          </w:p>
        </w:tc>
      </w:tr>
      <w:tr w14:paraId="45241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0FFF15FA">
            <w:pPr>
              <w:widowControl/>
              <w:spacing w:line="276" w:lineRule="auto"/>
              <w:jc w:val="center"/>
              <w:rPr>
                <w:rFonts w:hint="eastAsia" w:ascii="宋体" w:hAnsi="宋体"/>
                <w:kern w:val="0"/>
                <w:sz w:val="24"/>
              </w:rPr>
            </w:pPr>
            <w:r>
              <w:rPr>
                <w:rFonts w:hint="eastAsia" w:ascii="宋体" w:hAnsi="宋体"/>
                <w:kern w:val="0"/>
                <w:sz w:val="24"/>
              </w:rPr>
              <w:t>4</w:t>
            </w:r>
          </w:p>
        </w:tc>
        <w:tc>
          <w:tcPr>
            <w:tcW w:w="3426" w:type="dxa"/>
            <w:vAlign w:val="center"/>
          </w:tcPr>
          <w:p w14:paraId="47FAE200">
            <w:pPr>
              <w:widowControl/>
              <w:spacing w:line="276" w:lineRule="auto"/>
              <w:jc w:val="center"/>
              <w:rPr>
                <w:rFonts w:hint="eastAsia" w:ascii="宋体" w:hAnsi="宋体"/>
                <w:kern w:val="0"/>
                <w:sz w:val="24"/>
              </w:rPr>
            </w:pPr>
            <w:r>
              <w:rPr>
                <w:rFonts w:hint="eastAsia" w:ascii="宋体" w:hAnsi="宋体"/>
                <w:kern w:val="0"/>
                <w:sz w:val="24"/>
              </w:rPr>
              <w:t>新媒体数据分析仿真实训系统</w:t>
            </w:r>
          </w:p>
        </w:tc>
        <w:tc>
          <w:tcPr>
            <w:tcW w:w="2309" w:type="dxa"/>
            <w:vAlign w:val="center"/>
          </w:tcPr>
          <w:p w14:paraId="53176FAD">
            <w:pPr>
              <w:widowControl/>
              <w:spacing w:line="276" w:lineRule="auto"/>
              <w:jc w:val="center"/>
              <w:rPr>
                <w:rFonts w:hint="eastAsia" w:ascii="宋体" w:hAnsi="宋体"/>
                <w:kern w:val="0"/>
                <w:sz w:val="24"/>
              </w:rPr>
            </w:pPr>
            <w:r>
              <w:rPr>
                <w:rFonts w:hint="eastAsia" w:ascii="宋体" w:hAnsi="宋体"/>
                <w:kern w:val="0"/>
                <w:sz w:val="24"/>
              </w:rPr>
              <w:t>35</w:t>
            </w:r>
          </w:p>
        </w:tc>
      </w:tr>
      <w:tr w14:paraId="2CD9B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139E7643">
            <w:pPr>
              <w:widowControl/>
              <w:spacing w:line="276" w:lineRule="auto"/>
              <w:jc w:val="center"/>
              <w:rPr>
                <w:rFonts w:hint="eastAsia" w:ascii="宋体" w:hAnsi="宋体"/>
                <w:kern w:val="0"/>
                <w:sz w:val="24"/>
              </w:rPr>
            </w:pPr>
            <w:r>
              <w:rPr>
                <w:rFonts w:hint="eastAsia" w:ascii="宋体" w:hAnsi="宋体"/>
                <w:kern w:val="0"/>
                <w:sz w:val="24"/>
              </w:rPr>
              <w:t>5</w:t>
            </w:r>
          </w:p>
        </w:tc>
        <w:tc>
          <w:tcPr>
            <w:tcW w:w="3426" w:type="dxa"/>
            <w:vAlign w:val="center"/>
          </w:tcPr>
          <w:p w14:paraId="412B9B4B">
            <w:pPr>
              <w:widowControl/>
              <w:spacing w:line="276" w:lineRule="auto"/>
              <w:jc w:val="center"/>
              <w:rPr>
                <w:rFonts w:hint="eastAsia" w:ascii="宋体" w:hAnsi="宋体"/>
                <w:kern w:val="0"/>
                <w:sz w:val="24"/>
              </w:rPr>
            </w:pPr>
            <w:r>
              <w:rPr>
                <w:rFonts w:hint="eastAsia" w:ascii="宋体" w:hAnsi="宋体"/>
                <w:kern w:val="0"/>
                <w:sz w:val="24"/>
              </w:rPr>
              <w:t>交互媒体设计系统（核心产品）</w:t>
            </w:r>
          </w:p>
        </w:tc>
        <w:tc>
          <w:tcPr>
            <w:tcW w:w="2309" w:type="dxa"/>
            <w:vAlign w:val="center"/>
          </w:tcPr>
          <w:p w14:paraId="4FEF5D43">
            <w:pPr>
              <w:widowControl/>
              <w:spacing w:line="276" w:lineRule="auto"/>
              <w:jc w:val="center"/>
              <w:rPr>
                <w:rFonts w:hint="eastAsia" w:ascii="宋体" w:hAnsi="宋体"/>
                <w:kern w:val="0"/>
                <w:sz w:val="24"/>
              </w:rPr>
            </w:pPr>
            <w:r>
              <w:rPr>
                <w:rFonts w:hint="eastAsia" w:ascii="宋体" w:hAnsi="宋体"/>
                <w:kern w:val="0"/>
                <w:sz w:val="24"/>
              </w:rPr>
              <w:t>86.1</w:t>
            </w:r>
          </w:p>
        </w:tc>
      </w:tr>
      <w:tr w14:paraId="551E27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376ADD26">
            <w:pPr>
              <w:widowControl/>
              <w:spacing w:line="276" w:lineRule="auto"/>
              <w:jc w:val="center"/>
              <w:rPr>
                <w:rFonts w:hint="eastAsia" w:ascii="宋体" w:hAnsi="宋体"/>
                <w:kern w:val="0"/>
                <w:sz w:val="24"/>
              </w:rPr>
            </w:pPr>
            <w:r>
              <w:rPr>
                <w:rFonts w:hint="eastAsia" w:ascii="宋体" w:hAnsi="宋体"/>
                <w:kern w:val="0"/>
                <w:sz w:val="24"/>
              </w:rPr>
              <w:t>6</w:t>
            </w:r>
          </w:p>
        </w:tc>
        <w:tc>
          <w:tcPr>
            <w:tcW w:w="3426" w:type="dxa"/>
            <w:vAlign w:val="center"/>
          </w:tcPr>
          <w:p w14:paraId="19B2CE94">
            <w:pPr>
              <w:widowControl/>
              <w:spacing w:line="276" w:lineRule="auto"/>
              <w:jc w:val="center"/>
              <w:rPr>
                <w:rFonts w:hint="eastAsia" w:ascii="宋体" w:hAnsi="宋体"/>
                <w:kern w:val="0"/>
                <w:sz w:val="24"/>
              </w:rPr>
            </w:pPr>
            <w:r>
              <w:rPr>
                <w:rFonts w:hint="eastAsia" w:ascii="宋体" w:hAnsi="宋体"/>
                <w:kern w:val="0"/>
                <w:sz w:val="24"/>
              </w:rPr>
              <w:t>智慧教学系统</w:t>
            </w:r>
          </w:p>
        </w:tc>
        <w:tc>
          <w:tcPr>
            <w:tcW w:w="2309" w:type="dxa"/>
            <w:vAlign w:val="center"/>
          </w:tcPr>
          <w:p w14:paraId="01A5EA67">
            <w:pPr>
              <w:widowControl/>
              <w:spacing w:line="276" w:lineRule="auto"/>
              <w:jc w:val="center"/>
              <w:rPr>
                <w:rFonts w:hint="eastAsia" w:ascii="宋体" w:hAnsi="宋体"/>
                <w:kern w:val="0"/>
                <w:sz w:val="24"/>
              </w:rPr>
            </w:pPr>
            <w:r>
              <w:rPr>
                <w:rFonts w:hint="eastAsia" w:ascii="宋体" w:hAnsi="宋体"/>
                <w:kern w:val="0"/>
                <w:sz w:val="24"/>
              </w:rPr>
              <w:t>7.2</w:t>
            </w:r>
          </w:p>
        </w:tc>
      </w:tr>
      <w:tr w14:paraId="410A6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00DED258">
            <w:pPr>
              <w:widowControl/>
              <w:spacing w:line="276" w:lineRule="auto"/>
              <w:jc w:val="center"/>
              <w:rPr>
                <w:rFonts w:hint="eastAsia" w:ascii="宋体" w:hAnsi="宋体"/>
                <w:kern w:val="0"/>
                <w:sz w:val="24"/>
              </w:rPr>
            </w:pPr>
            <w:r>
              <w:rPr>
                <w:rFonts w:hint="eastAsia" w:ascii="宋体" w:hAnsi="宋体"/>
                <w:kern w:val="0"/>
                <w:sz w:val="24"/>
              </w:rPr>
              <w:t>7</w:t>
            </w:r>
          </w:p>
        </w:tc>
        <w:tc>
          <w:tcPr>
            <w:tcW w:w="3426" w:type="dxa"/>
            <w:vAlign w:val="center"/>
          </w:tcPr>
          <w:p w14:paraId="7F381B4F">
            <w:pPr>
              <w:widowControl/>
              <w:spacing w:line="276" w:lineRule="auto"/>
              <w:jc w:val="center"/>
              <w:rPr>
                <w:rFonts w:hint="eastAsia" w:ascii="宋体" w:hAnsi="宋体"/>
                <w:kern w:val="0"/>
                <w:sz w:val="24"/>
              </w:rPr>
            </w:pPr>
            <w:r>
              <w:rPr>
                <w:rFonts w:hint="eastAsia" w:ascii="宋体" w:hAnsi="宋体"/>
                <w:kern w:val="0"/>
                <w:sz w:val="24"/>
              </w:rPr>
              <w:t>互动教学系统</w:t>
            </w:r>
          </w:p>
        </w:tc>
        <w:tc>
          <w:tcPr>
            <w:tcW w:w="2309" w:type="dxa"/>
            <w:vAlign w:val="center"/>
          </w:tcPr>
          <w:p w14:paraId="665409D7">
            <w:pPr>
              <w:widowControl/>
              <w:spacing w:line="276" w:lineRule="auto"/>
              <w:jc w:val="center"/>
              <w:rPr>
                <w:rFonts w:hint="eastAsia" w:ascii="宋体" w:hAnsi="宋体"/>
                <w:kern w:val="0"/>
                <w:sz w:val="24"/>
              </w:rPr>
            </w:pPr>
            <w:r>
              <w:rPr>
                <w:rFonts w:hint="eastAsia" w:ascii="宋体" w:hAnsi="宋体"/>
                <w:kern w:val="0"/>
                <w:sz w:val="24"/>
              </w:rPr>
              <w:t>5.5</w:t>
            </w:r>
          </w:p>
        </w:tc>
      </w:tr>
      <w:tr w14:paraId="70D93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4676BF69">
            <w:pPr>
              <w:widowControl/>
              <w:spacing w:line="276" w:lineRule="auto"/>
              <w:jc w:val="center"/>
              <w:rPr>
                <w:rFonts w:hint="eastAsia" w:ascii="宋体" w:hAnsi="宋体"/>
                <w:kern w:val="0"/>
                <w:sz w:val="24"/>
              </w:rPr>
            </w:pPr>
            <w:r>
              <w:rPr>
                <w:rFonts w:hint="eastAsia" w:ascii="宋体" w:hAnsi="宋体"/>
                <w:kern w:val="0"/>
                <w:sz w:val="24"/>
              </w:rPr>
              <w:t>8</w:t>
            </w:r>
          </w:p>
        </w:tc>
        <w:tc>
          <w:tcPr>
            <w:tcW w:w="3426" w:type="dxa"/>
            <w:vAlign w:val="center"/>
          </w:tcPr>
          <w:p w14:paraId="549A01D3">
            <w:pPr>
              <w:widowControl/>
              <w:spacing w:line="276" w:lineRule="auto"/>
              <w:jc w:val="center"/>
              <w:rPr>
                <w:rFonts w:hint="eastAsia" w:ascii="宋体" w:hAnsi="宋体"/>
                <w:kern w:val="0"/>
                <w:sz w:val="24"/>
              </w:rPr>
            </w:pPr>
            <w:r>
              <w:rPr>
                <w:rFonts w:hint="eastAsia" w:ascii="宋体" w:hAnsi="宋体"/>
                <w:kern w:val="0"/>
                <w:sz w:val="24"/>
              </w:rPr>
              <w:t>可视化综合信息管理平台</w:t>
            </w:r>
          </w:p>
        </w:tc>
        <w:tc>
          <w:tcPr>
            <w:tcW w:w="2309" w:type="dxa"/>
            <w:vAlign w:val="center"/>
          </w:tcPr>
          <w:p w14:paraId="5494F073">
            <w:pPr>
              <w:widowControl/>
              <w:spacing w:line="276" w:lineRule="auto"/>
              <w:jc w:val="center"/>
              <w:rPr>
                <w:rFonts w:hint="eastAsia" w:ascii="宋体" w:hAnsi="宋体"/>
                <w:kern w:val="0"/>
                <w:sz w:val="24"/>
              </w:rPr>
            </w:pPr>
            <w:r>
              <w:rPr>
                <w:rFonts w:hint="eastAsia" w:ascii="宋体" w:hAnsi="宋体"/>
                <w:kern w:val="0"/>
                <w:sz w:val="24"/>
              </w:rPr>
              <w:t>12</w:t>
            </w:r>
          </w:p>
        </w:tc>
      </w:tr>
      <w:tr w14:paraId="45D7D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59311D00">
            <w:pPr>
              <w:widowControl/>
              <w:spacing w:line="276" w:lineRule="auto"/>
              <w:jc w:val="center"/>
              <w:rPr>
                <w:rFonts w:hint="eastAsia" w:ascii="宋体" w:hAnsi="宋体"/>
                <w:kern w:val="0"/>
                <w:sz w:val="24"/>
              </w:rPr>
            </w:pPr>
            <w:r>
              <w:rPr>
                <w:rFonts w:hint="eastAsia" w:ascii="宋体" w:hAnsi="宋体"/>
                <w:kern w:val="0"/>
                <w:sz w:val="24"/>
              </w:rPr>
              <w:t>9</w:t>
            </w:r>
          </w:p>
        </w:tc>
        <w:tc>
          <w:tcPr>
            <w:tcW w:w="3426" w:type="dxa"/>
            <w:vAlign w:val="center"/>
          </w:tcPr>
          <w:p w14:paraId="4C327F03">
            <w:pPr>
              <w:widowControl/>
              <w:spacing w:line="276" w:lineRule="auto"/>
              <w:jc w:val="center"/>
              <w:rPr>
                <w:rFonts w:hint="eastAsia" w:ascii="宋体" w:hAnsi="宋体"/>
                <w:kern w:val="0"/>
                <w:sz w:val="24"/>
              </w:rPr>
            </w:pPr>
            <w:r>
              <w:rPr>
                <w:rFonts w:hint="eastAsia" w:ascii="宋体" w:hAnsi="宋体"/>
                <w:kern w:val="0"/>
                <w:sz w:val="24"/>
              </w:rPr>
              <w:t>智能录播设备</w:t>
            </w:r>
          </w:p>
        </w:tc>
        <w:tc>
          <w:tcPr>
            <w:tcW w:w="2309" w:type="dxa"/>
            <w:vAlign w:val="center"/>
          </w:tcPr>
          <w:p w14:paraId="13ABEE0B">
            <w:pPr>
              <w:widowControl/>
              <w:spacing w:line="276" w:lineRule="auto"/>
              <w:jc w:val="center"/>
              <w:rPr>
                <w:rFonts w:hint="eastAsia" w:ascii="宋体" w:hAnsi="宋体"/>
                <w:kern w:val="0"/>
                <w:sz w:val="24"/>
              </w:rPr>
            </w:pPr>
            <w:r>
              <w:rPr>
                <w:rFonts w:hint="eastAsia" w:ascii="宋体" w:hAnsi="宋体"/>
                <w:kern w:val="0"/>
                <w:sz w:val="24"/>
              </w:rPr>
              <w:t>7.9</w:t>
            </w:r>
          </w:p>
        </w:tc>
      </w:tr>
      <w:tr w14:paraId="66EA7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03EB9EE0">
            <w:pPr>
              <w:widowControl/>
              <w:spacing w:line="276" w:lineRule="auto"/>
              <w:jc w:val="center"/>
              <w:rPr>
                <w:rFonts w:hint="eastAsia" w:ascii="宋体" w:hAnsi="宋体"/>
                <w:kern w:val="0"/>
                <w:sz w:val="24"/>
              </w:rPr>
            </w:pPr>
            <w:r>
              <w:rPr>
                <w:rFonts w:hint="eastAsia" w:ascii="宋体" w:hAnsi="宋体"/>
                <w:kern w:val="0"/>
                <w:sz w:val="24"/>
              </w:rPr>
              <w:t>10</w:t>
            </w:r>
          </w:p>
        </w:tc>
        <w:tc>
          <w:tcPr>
            <w:tcW w:w="3426" w:type="dxa"/>
            <w:vAlign w:val="center"/>
          </w:tcPr>
          <w:p w14:paraId="013A9952">
            <w:pPr>
              <w:widowControl/>
              <w:spacing w:line="276" w:lineRule="auto"/>
              <w:jc w:val="center"/>
              <w:rPr>
                <w:rFonts w:hint="eastAsia" w:ascii="宋体" w:hAnsi="宋体"/>
                <w:kern w:val="0"/>
                <w:sz w:val="24"/>
              </w:rPr>
            </w:pPr>
            <w:r>
              <w:rPr>
                <w:rFonts w:hint="eastAsia" w:ascii="宋体" w:hAnsi="宋体"/>
                <w:kern w:val="0"/>
                <w:sz w:val="24"/>
              </w:rPr>
              <w:t>融媒刊创作系统</w:t>
            </w:r>
          </w:p>
        </w:tc>
        <w:tc>
          <w:tcPr>
            <w:tcW w:w="2309" w:type="dxa"/>
            <w:vAlign w:val="center"/>
          </w:tcPr>
          <w:p w14:paraId="37B99DE0">
            <w:pPr>
              <w:widowControl/>
              <w:spacing w:line="276" w:lineRule="auto"/>
              <w:jc w:val="center"/>
              <w:rPr>
                <w:rFonts w:hint="eastAsia" w:ascii="宋体" w:hAnsi="宋体"/>
                <w:kern w:val="0"/>
                <w:sz w:val="24"/>
              </w:rPr>
            </w:pPr>
            <w:r>
              <w:rPr>
                <w:rFonts w:hint="eastAsia" w:ascii="宋体" w:hAnsi="宋体"/>
                <w:kern w:val="0"/>
                <w:sz w:val="24"/>
              </w:rPr>
              <w:t>15</w:t>
            </w:r>
          </w:p>
        </w:tc>
      </w:tr>
      <w:bookmarkEnd w:id="5"/>
    </w:tbl>
    <w:p w14:paraId="6EB63566">
      <w:pPr>
        <w:pStyle w:val="297"/>
        <w:jc w:val="left"/>
        <w:rPr>
          <w:rFonts w:hint="eastAsia"/>
        </w:rPr>
      </w:pPr>
      <w:r>
        <w:rPr>
          <w:rFonts w:hint="eastAsia"/>
        </w:rPr>
        <w:t xml:space="preserve"> </w:t>
      </w:r>
    </w:p>
    <w:p w14:paraId="5F2B8CBA">
      <w:pPr>
        <w:pStyle w:val="297"/>
        <w:jc w:val="left"/>
        <w:rPr>
          <w:rFonts w:hint="eastAsia"/>
        </w:rPr>
      </w:pPr>
      <w:r>
        <w:rPr>
          <w:rFonts w:hint="eastAsia"/>
        </w:rPr>
        <w:t>采购需求：</w:t>
      </w:r>
    </w:p>
    <w:tbl>
      <w:tblPr>
        <w:tblStyle w:val="45"/>
        <w:tblW w:w="9962"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72"/>
        <w:gridCol w:w="851"/>
        <w:gridCol w:w="2976"/>
        <w:gridCol w:w="1247"/>
        <w:gridCol w:w="993"/>
        <w:gridCol w:w="1314"/>
      </w:tblGrid>
      <w:tr w14:paraId="0CA2E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09" w:type="dxa"/>
            <w:vAlign w:val="center"/>
          </w:tcPr>
          <w:p w14:paraId="2F46D595">
            <w:pPr>
              <w:pStyle w:val="298"/>
              <w:spacing w:line="360" w:lineRule="auto"/>
              <w:ind w:firstLine="0" w:firstLineChars="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包号</w:t>
            </w:r>
          </w:p>
        </w:tc>
        <w:tc>
          <w:tcPr>
            <w:tcW w:w="1872" w:type="dxa"/>
            <w:vAlign w:val="center"/>
          </w:tcPr>
          <w:p w14:paraId="4B7C7FC2">
            <w:pPr>
              <w:pStyle w:val="298"/>
              <w:spacing w:line="360" w:lineRule="auto"/>
              <w:ind w:firstLine="0" w:firstLineChars="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项目名称</w:t>
            </w:r>
          </w:p>
        </w:tc>
        <w:tc>
          <w:tcPr>
            <w:tcW w:w="851" w:type="dxa"/>
            <w:vAlign w:val="center"/>
          </w:tcPr>
          <w:p w14:paraId="023E0C06">
            <w:pPr>
              <w:pStyle w:val="298"/>
              <w:spacing w:line="360" w:lineRule="auto"/>
              <w:ind w:firstLine="0" w:firstLineChars="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数量</w:t>
            </w:r>
          </w:p>
        </w:tc>
        <w:tc>
          <w:tcPr>
            <w:tcW w:w="2976" w:type="dxa"/>
            <w:vAlign w:val="center"/>
          </w:tcPr>
          <w:p w14:paraId="215FEDCA">
            <w:pPr>
              <w:pStyle w:val="298"/>
              <w:spacing w:line="360" w:lineRule="auto"/>
              <w:ind w:firstLine="0" w:firstLineChars="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简要技术需求</w:t>
            </w:r>
          </w:p>
        </w:tc>
        <w:tc>
          <w:tcPr>
            <w:tcW w:w="1247" w:type="dxa"/>
            <w:vAlign w:val="center"/>
          </w:tcPr>
          <w:p w14:paraId="78322D48">
            <w:pPr>
              <w:pStyle w:val="298"/>
              <w:spacing w:line="360" w:lineRule="auto"/>
              <w:ind w:firstLine="0" w:firstLineChars="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预算</w:t>
            </w:r>
          </w:p>
          <w:p w14:paraId="38001E44">
            <w:pPr>
              <w:pStyle w:val="298"/>
              <w:spacing w:line="360" w:lineRule="auto"/>
              <w:ind w:firstLine="0" w:firstLineChars="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（万元）</w:t>
            </w:r>
          </w:p>
        </w:tc>
        <w:tc>
          <w:tcPr>
            <w:tcW w:w="993" w:type="dxa"/>
            <w:vAlign w:val="center"/>
          </w:tcPr>
          <w:p w14:paraId="7795DAF6">
            <w:pPr>
              <w:pStyle w:val="298"/>
              <w:spacing w:line="360" w:lineRule="auto"/>
              <w:ind w:firstLine="0" w:firstLineChars="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是否接受进口</w:t>
            </w:r>
          </w:p>
        </w:tc>
        <w:tc>
          <w:tcPr>
            <w:tcW w:w="1314" w:type="dxa"/>
            <w:vAlign w:val="center"/>
          </w:tcPr>
          <w:p w14:paraId="4AFDFB6A">
            <w:pPr>
              <w:pStyle w:val="298"/>
              <w:spacing w:line="360" w:lineRule="auto"/>
              <w:ind w:firstLine="0" w:firstLineChars="0"/>
              <w:jc w:val="center"/>
              <w:rPr>
                <w:rFonts w:hint="eastAsia"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是否免税</w:t>
            </w:r>
          </w:p>
        </w:tc>
      </w:tr>
      <w:tr w14:paraId="5F816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709" w:type="dxa"/>
            <w:vAlign w:val="center"/>
          </w:tcPr>
          <w:p w14:paraId="60C40BA8">
            <w:pPr>
              <w:pStyle w:val="298"/>
              <w:spacing w:line="360" w:lineRule="auto"/>
              <w:ind w:firstLine="0" w:firstLineChars="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01</w:t>
            </w:r>
          </w:p>
        </w:tc>
        <w:tc>
          <w:tcPr>
            <w:tcW w:w="1872" w:type="dxa"/>
            <w:vAlign w:val="center"/>
          </w:tcPr>
          <w:p w14:paraId="45D6A5E8">
            <w:pPr>
              <w:pStyle w:val="298"/>
              <w:spacing w:line="360" w:lineRule="auto"/>
              <w:ind w:firstLine="0" w:firstLineChars="0"/>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双高计划-北青政-数字媒体艺术设计专业群（全媒体运营实训智慧</w:t>
            </w:r>
            <w:r>
              <w:rPr>
                <w:rFonts w:hint="eastAsia" w:ascii="宋体" w:hAnsi="宋体"/>
                <w:color w:val="000000" w:themeColor="text1"/>
                <w:sz w:val="24"/>
                <w:szCs w:val="24"/>
                <w:lang w:val="en-US" w:eastAsia="zh-CN"/>
                <w14:textFill>
                  <w14:solidFill>
                    <w14:schemeClr w14:val="tx1"/>
                  </w14:solidFill>
                </w14:textFill>
              </w:rPr>
              <w:t>教</w:t>
            </w:r>
            <w:r>
              <w:rPr>
                <w:rFonts w:hint="eastAsia" w:ascii="宋体" w:hAnsi="宋体"/>
                <w:color w:val="000000" w:themeColor="text1"/>
                <w:sz w:val="24"/>
                <w:szCs w:val="24"/>
                <w14:textFill>
                  <w14:solidFill>
                    <w14:schemeClr w14:val="tx1"/>
                  </w14:solidFill>
                </w14:textFill>
              </w:rPr>
              <w:t>室）</w:t>
            </w:r>
          </w:p>
        </w:tc>
        <w:tc>
          <w:tcPr>
            <w:tcW w:w="851" w:type="dxa"/>
            <w:vAlign w:val="center"/>
          </w:tcPr>
          <w:p w14:paraId="0CD9150B">
            <w:pPr>
              <w:pStyle w:val="298"/>
              <w:spacing w:line="360" w:lineRule="auto"/>
              <w:ind w:firstLine="0" w:firstLineChars="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一批</w:t>
            </w:r>
          </w:p>
        </w:tc>
        <w:tc>
          <w:tcPr>
            <w:tcW w:w="2976" w:type="dxa"/>
            <w:vAlign w:val="center"/>
          </w:tcPr>
          <w:p w14:paraId="7F08F812">
            <w:pPr>
              <w:pStyle w:val="298"/>
              <w:spacing w:line="360" w:lineRule="auto"/>
              <w:ind w:firstLine="0" w:firstLineChars="0"/>
              <w:jc w:val="left"/>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建设项目显示系统、交互媒体设计系统、智慧教学系统、互动教学系统、短视频虚仿系统、新媒体数据分析系统、AIGC内容创作系统、智能录播系统等</w:t>
            </w:r>
            <w:r>
              <w:rPr>
                <w:rFonts w:ascii="宋体" w:hAnsi="宋体"/>
                <w:color w:val="000000" w:themeColor="text1"/>
                <w:sz w:val="24"/>
                <w:szCs w:val="24"/>
                <w14:textFill>
                  <w14:solidFill>
                    <w14:schemeClr w14:val="tx1"/>
                  </w14:solidFill>
                </w14:textFill>
              </w:rPr>
              <w:t>…</w:t>
            </w:r>
          </w:p>
        </w:tc>
        <w:tc>
          <w:tcPr>
            <w:tcW w:w="1247" w:type="dxa"/>
            <w:vAlign w:val="center"/>
          </w:tcPr>
          <w:p w14:paraId="1621C9C5">
            <w:pPr>
              <w:pStyle w:val="298"/>
              <w:spacing w:line="360" w:lineRule="auto"/>
              <w:ind w:firstLine="0" w:firstLineChars="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241.7</w:t>
            </w:r>
          </w:p>
        </w:tc>
        <w:tc>
          <w:tcPr>
            <w:tcW w:w="993" w:type="dxa"/>
            <w:vAlign w:val="center"/>
          </w:tcPr>
          <w:p w14:paraId="29464E87">
            <w:pPr>
              <w:pStyle w:val="298"/>
              <w:spacing w:line="360" w:lineRule="auto"/>
              <w:ind w:firstLine="0" w:firstLineChars="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否</w:t>
            </w:r>
          </w:p>
        </w:tc>
        <w:tc>
          <w:tcPr>
            <w:tcW w:w="1314" w:type="dxa"/>
            <w:vAlign w:val="center"/>
          </w:tcPr>
          <w:p w14:paraId="093F6138">
            <w:pPr>
              <w:pStyle w:val="298"/>
              <w:spacing w:line="360" w:lineRule="auto"/>
              <w:ind w:firstLine="0" w:firstLineChars="0"/>
              <w:jc w:val="center"/>
              <w:rPr>
                <w:rFonts w:hint="eastAsia" w:ascii="宋体" w:hAnsi="宋体"/>
                <w:color w:val="000000" w:themeColor="text1"/>
                <w:sz w:val="24"/>
                <w:szCs w:val="24"/>
                <w14:textFill>
                  <w14:solidFill>
                    <w14:schemeClr w14:val="tx1"/>
                  </w14:solidFill>
                </w14:textFill>
              </w:rPr>
            </w:pPr>
            <w:r>
              <w:rPr>
                <w:rFonts w:hint="eastAsia" w:ascii="宋体" w:hAnsi="宋体"/>
                <w:color w:val="000000" w:themeColor="text1"/>
                <w:sz w:val="24"/>
                <w:szCs w:val="24"/>
                <w14:textFill>
                  <w14:solidFill>
                    <w14:schemeClr w14:val="tx1"/>
                  </w14:solidFill>
                </w14:textFill>
              </w:rPr>
              <w:t>否</w:t>
            </w:r>
          </w:p>
        </w:tc>
      </w:tr>
    </w:tbl>
    <w:p w14:paraId="700D0A04">
      <w:pPr>
        <w:pStyle w:val="297"/>
        <w:jc w:val="left"/>
        <w:rPr>
          <w:rFonts w:hint="eastAsia"/>
          <w:u w:val="single"/>
        </w:rPr>
      </w:pPr>
      <w:r>
        <w:rPr>
          <w:rFonts w:hint="eastAsia"/>
        </w:rPr>
        <w:t>……详见采购文件。</w:t>
      </w:r>
    </w:p>
    <w:p w14:paraId="3F462181">
      <w:pPr>
        <w:pStyle w:val="297"/>
        <w:jc w:val="left"/>
        <w:rPr>
          <w:rFonts w:hint="eastAsia"/>
          <w:u w:val="single"/>
        </w:rPr>
      </w:pPr>
      <w:r>
        <w:rPr>
          <w:rFonts w:hint="eastAsia"/>
        </w:rPr>
        <w:t>合同履行期限：自合同签订生效后开始至双方合同义务完全履行后截止。</w:t>
      </w:r>
    </w:p>
    <w:p w14:paraId="00803AFE">
      <w:pPr>
        <w:spacing w:line="360" w:lineRule="auto"/>
        <w:ind w:firstLine="480" w:firstLineChars="200"/>
        <w:rPr>
          <w:rFonts w:hint="eastAsia" w:ascii="宋体" w:hAnsi="宋体"/>
          <w:sz w:val="24"/>
        </w:rPr>
      </w:pPr>
      <w:r>
        <w:rPr>
          <w:rFonts w:hint="eastAsia" w:ascii="宋体" w:hAnsi="宋体"/>
          <w:sz w:val="24"/>
        </w:rPr>
        <w:t>本项目（</w:t>
      </w:r>
      <w:r>
        <w:rPr>
          <w:rFonts w:ascii="宋体" w:hAnsi="宋体"/>
          <w:i/>
          <w:sz w:val="24"/>
        </w:rPr>
        <w:t>否</w:t>
      </w:r>
      <w:r>
        <w:rPr>
          <w:rFonts w:hint="eastAsia" w:ascii="宋体" w:hAnsi="宋体"/>
          <w:sz w:val="24"/>
        </w:rPr>
        <w:t>）接受联合体投标。</w:t>
      </w:r>
    </w:p>
    <w:p w14:paraId="6168DDC0">
      <w:pPr>
        <w:tabs>
          <w:tab w:val="left" w:pos="900"/>
          <w:tab w:val="left" w:pos="1134"/>
          <w:tab w:val="left" w:pos="1589"/>
          <w:tab w:val="left" w:pos="5521"/>
        </w:tabs>
        <w:snapToGrid w:val="0"/>
        <w:spacing w:line="360" w:lineRule="auto"/>
        <w:ind w:firstLine="480" w:firstLineChars="200"/>
        <w:rPr>
          <w:color w:val="000000"/>
          <w:sz w:val="24"/>
        </w:rPr>
      </w:pPr>
      <w:r>
        <w:rPr>
          <w:rFonts w:hint="eastAsia"/>
          <w:color w:val="000000"/>
          <w:sz w:val="24"/>
        </w:rPr>
        <w:t>本项目是否接受分支机构参与投标：否；</w:t>
      </w:r>
    </w:p>
    <w:p w14:paraId="0F100A29">
      <w:pPr>
        <w:tabs>
          <w:tab w:val="left" w:pos="900"/>
          <w:tab w:val="left" w:pos="1134"/>
          <w:tab w:val="left" w:pos="1589"/>
          <w:tab w:val="left" w:pos="5521"/>
        </w:tabs>
        <w:snapToGrid w:val="0"/>
        <w:spacing w:line="360" w:lineRule="auto"/>
        <w:ind w:firstLine="480" w:firstLineChars="200"/>
        <w:rPr>
          <w:color w:val="000000"/>
          <w:sz w:val="24"/>
        </w:rPr>
      </w:pPr>
      <w:r>
        <w:rPr>
          <w:rFonts w:hint="eastAsia"/>
          <w:color w:val="000000"/>
          <w:sz w:val="24"/>
        </w:rPr>
        <w:t>本项目是否属于政府购买服务：否</w:t>
      </w:r>
    </w:p>
    <w:p w14:paraId="5263CFAE">
      <w:pPr>
        <w:pStyle w:val="297"/>
        <w:jc w:val="left"/>
        <w:rPr>
          <w:rFonts w:hint="eastAsia"/>
        </w:rPr>
      </w:pPr>
      <w:r>
        <w:rPr>
          <w:rFonts w:hint="eastAsia"/>
        </w:rPr>
        <w:t>二、申请人的资格要求：</w:t>
      </w:r>
    </w:p>
    <w:p w14:paraId="5A2322E6">
      <w:pPr>
        <w:spacing w:line="360" w:lineRule="auto"/>
        <w:ind w:firstLine="480" w:firstLineChars="200"/>
        <w:rPr>
          <w:rFonts w:hint="eastAsia" w:ascii="宋体" w:hAnsi="宋体"/>
          <w:sz w:val="24"/>
        </w:rPr>
      </w:pPr>
      <w:bookmarkStart w:id="6" w:name="_Hlk38728588"/>
      <w:r>
        <w:rPr>
          <w:rFonts w:hint="eastAsia" w:ascii="宋体" w:hAnsi="宋体"/>
          <w:sz w:val="24"/>
        </w:rPr>
        <w:t>1.满足《中华人民共和国政府采购法》第二十二条规定；</w:t>
      </w:r>
    </w:p>
    <w:p w14:paraId="10FEAAF3">
      <w:pPr>
        <w:spacing w:line="360" w:lineRule="auto"/>
        <w:ind w:firstLine="480" w:firstLineChars="200"/>
        <w:rPr>
          <w:rFonts w:hint="eastAsia" w:ascii="宋体" w:hAnsi="宋体"/>
          <w:sz w:val="24"/>
        </w:rPr>
      </w:pPr>
      <w:r>
        <w:rPr>
          <w:rFonts w:ascii="宋体" w:hAnsi="宋体"/>
          <w:sz w:val="24"/>
        </w:rPr>
        <w:t>2</w:t>
      </w:r>
      <w:r>
        <w:rPr>
          <w:rFonts w:hint="eastAsia" w:ascii="宋体" w:hAnsi="宋体"/>
          <w:sz w:val="24"/>
        </w:rPr>
        <w:t>.落实政府采购政策需满足的资格要求：</w:t>
      </w:r>
    </w:p>
    <w:p w14:paraId="6E84A554">
      <w:pPr>
        <w:spacing w:line="360" w:lineRule="auto"/>
        <w:ind w:firstLine="480" w:firstLineChars="200"/>
        <w:rPr>
          <w:rFonts w:hint="eastAsia" w:ascii="宋体" w:hAnsi="宋体"/>
          <w:color w:val="000000"/>
          <w:sz w:val="24"/>
        </w:rPr>
      </w:pPr>
      <w:r>
        <w:rPr>
          <w:rFonts w:hint="eastAsia" w:ascii="宋体" w:hAnsi="宋体"/>
          <w:color w:val="000000"/>
          <w:sz w:val="24"/>
        </w:rPr>
        <w:t>（1）本项目是否专门面向中小企业采购：否</w:t>
      </w:r>
    </w:p>
    <w:p w14:paraId="0D829B5C">
      <w:pPr>
        <w:spacing w:line="360" w:lineRule="auto"/>
        <w:ind w:firstLine="480" w:firstLineChars="200"/>
        <w:rPr>
          <w:rFonts w:hint="eastAsia" w:ascii="宋体" w:hAnsi="宋体"/>
          <w:sz w:val="24"/>
          <w:u w:val="single"/>
        </w:rPr>
      </w:pPr>
      <w:r>
        <w:rPr>
          <w:rFonts w:hint="eastAsia" w:ascii="宋体" w:hAnsi="宋体"/>
          <w:sz w:val="24"/>
        </w:rPr>
        <w:t>3.</w:t>
      </w:r>
      <w:r>
        <w:rPr>
          <w:rFonts w:hint="eastAsia"/>
        </w:rPr>
        <w:t xml:space="preserve"> </w:t>
      </w:r>
      <w:r>
        <w:rPr>
          <w:rFonts w:hint="eastAsia" w:ascii="宋体" w:hAnsi="宋体"/>
          <w:sz w:val="24"/>
        </w:rPr>
        <w:t>其他特定资格要求：</w:t>
      </w:r>
    </w:p>
    <w:bookmarkEnd w:id="6"/>
    <w:p w14:paraId="668ED317">
      <w:pPr>
        <w:pStyle w:val="297"/>
        <w:jc w:val="left"/>
        <w:rPr>
          <w:rFonts w:hint="eastAsia"/>
          <w:color w:val="auto"/>
          <w:kern w:val="2"/>
        </w:rPr>
      </w:pPr>
      <w:r>
        <w:rPr>
          <w:rFonts w:hint="eastAsia"/>
          <w:color w:val="auto"/>
          <w:kern w:val="2"/>
        </w:rPr>
        <w:t>（1）本项目采用电子化与线下流程相结合的招标方式，投标人须按规定获取招标文件。</w:t>
      </w:r>
    </w:p>
    <w:p w14:paraId="1044FBD1">
      <w:pPr>
        <w:pStyle w:val="297"/>
        <w:jc w:val="left"/>
        <w:rPr>
          <w:rFonts w:hint="eastAsia"/>
          <w:color w:val="auto"/>
          <w:kern w:val="2"/>
        </w:rPr>
      </w:pPr>
      <w:r>
        <w:rPr>
          <w:rFonts w:hint="eastAsia"/>
          <w:color w:val="auto"/>
          <w:kern w:val="2"/>
        </w:rPr>
        <w:t>（2）</w:t>
      </w:r>
      <w:bookmarkStart w:id="7" w:name="_Hlk126589215"/>
      <w:r>
        <w:rPr>
          <w:rFonts w:hint="eastAsia"/>
          <w:color w:val="auto"/>
          <w:kern w:val="2"/>
        </w:rPr>
        <w:t>单位负责人为同一人或者存在直接控股、管理关系的不同供应商，不得同时参加同一采购包的政府采购活动；为某一采购包提供整体设计、规范编制或者项目管理、监理、检测等服务的供应商，不得再参加该采购包的其他采购活动。本项目的采购代理机构及其分支机构不得参加本项目的投标或者代理投标。</w:t>
      </w:r>
      <w:bookmarkEnd w:id="7"/>
    </w:p>
    <w:p w14:paraId="417D27F7">
      <w:pPr>
        <w:pStyle w:val="297"/>
        <w:jc w:val="left"/>
        <w:rPr>
          <w:rFonts w:hint="eastAsia"/>
          <w:color w:val="auto"/>
          <w:kern w:val="2"/>
        </w:rPr>
      </w:pPr>
      <w:r>
        <w:rPr>
          <w:rFonts w:hint="eastAsia"/>
          <w:color w:val="auto"/>
          <w:kern w:val="2"/>
        </w:rPr>
        <w:t>（3）通过“信用中国”网站（www.creditchina.gov.cn）和中国政府采购网（www.ccgp.gov.cn）查询信用记录（截止时点为投标截止时间），被列入失信被执行人、重大税收违法案件当事人名单、政府采购严重违法失信行为记录名单的供应商，没有资格参加本项目的采购活动。</w:t>
      </w:r>
    </w:p>
    <w:p w14:paraId="7972FA8E">
      <w:pPr>
        <w:pStyle w:val="297"/>
        <w:jc w:val="left"/>
        <w:rPr>
          <w:rFonts w:hint="eastAsia"/>
          <w:b/>
        </w:rPr>
      </w:pPr>
      <w:r>
        <w:rPr>
          <w:rFonts w:hint="eastAsia"/>
        </w:rPr>
        <w:t>三、</w:t>
      </w:r>
      <w:bookmarkStart w:id="8" w:name="_Hlk152248731"/>
      <w:r>
        <w:rPr>
          <w:rFonts w:hint="eastAsia"/>
        </w:rPr>
        <w:t>获取招标文件</w:t>
      </w:r>
      <w:bookmarkEnd w:id="8"/>
    </w:p>
    <w:p w14:paraId="4B0312E5">
      <w:pPr>
        <w:pStyle w:val="297"/>
        <w:jc w:val="left"/>
        <w:rPr>
          <w:rFonts w:hint="eastAsia"/>
        </w:rPr>
      </w:pPr>
      <w:r>
        <w:rPr>
          <w:rFonts w:hint="eastAsia"/>
        </w:rPr>
        <w:t>时间：</w:t>
      </w:r>
      <w:r>
        <w:rPr>
          <w:rFonts w:hint="eastAsia"/>
          <w:u w:val="single"/>
        </w:rPr>
        <w:t>采购公告发出之日</w:t>
      </w:r>
      <w:r>
        <w:rPr>
          <w:rFonts w:hint="eastAsia"/>
        </w:rPr>
        <w:t>至</w:t>
      </w:r>
      <w:r>
        <w:rPr>
          <w:u w:val="single"/>
        </w:rPr>
        <w:t>2025</w:t>
      </w:r>
      <w:r>
        <w:rPr>
          <w:rFonts w:hint="eastAsia"/>
          <w:u w:val="single"/>
        </w:rPr>
        <w:t>年12月</w:t>
      </w:r>
      <w:r>
        <w:rPr>
          <w:rFonts w:hint="eastAsia"/>
          <w:u w:val="single"/>
          <w:lang w:val="en-US" w:eastAsia="zh-CN"/>
        </w:rPr>
        <w:t>2</w:t>
      </w:r>
      <w:r>
        <w:rPr>
          <w:rFonts w:hint="eastAsia"/>
          <w:u w:val="single"/>
        </w:rPr>
        <w:t>日</w:t>
      </w:r>
      <w:r>
        <w:rPr>
          <w:rFonts w:hint="eastAsia"/>
        </w:rPr>
        <w:t>，每天9:</w:t>
      </w:r>
      <w:r>
        <w:t>0</w:t>
      </w:r>
      <w:r>
        <w:rPr>
          <w:rFonts w:hint="eastAsia"/>
        </w:rPr>
        <w:t>0至</w:t>
      </w:r>
      <w:r>
        <w:t>17</w:t>
      </w:r>
      <w:r>
        <w:rPr>
          <w:rFonts w:hint="eastAsia"/>
        </w:rPr>
        <w:t>:</w:t>
      </w:r>
      <w:r>
        <w:t>0</w:t>
      </w:r>
      <w:r>
        <w:rPr>
          <w:rFonts w:hint="eastAsia"/>
        </w:rPr>
        <w:t>0（北京时间）</w:t>
      </w:r>
    </w:p>
    <w:p w14:paraId="13B8C068">
      <w:pPr>
        <w:pStyle w:val="297"/>
        <w:jc w:val="left"/>
        <w:rPr>
          <w:rFonts w:hint="eastAsia"/>
          <w:u w:val="single"/>
        </w:rPr>
      </w:pPr>
      <w:r>
        <w:rPr>
          <w:rFonts w:hint="eastAsia"/>
        </w:rPr>
        <w:t>地点：北京市政府采购电子交易平台,具体方式详见“其他补充事宜”</w:t>
      </w:r>
    </w:p>
    <w:p w14:paraId="31BA23C8">
      <w:pPr>
        <w:pStyle w:val="297"/>
        <w:jc w:val="left"/>
        <w:rPr>
          <w:rFonts w:hint="eastAsia"/>
          <w:u w:val="single"/>
        </w:rPr>
      </w:pPr>
      <w:r>
        <w:rPr>
          <w:rFonts w:hint="eastAsia"/>
        </w:rPr>
        <w:t>方式：供应商按照规定办理CA数字认证证书（北京一证通数字证书）后，自招标公告发布之日起持供应商自身数字证书登录北京市政府采购电子交易平台免费获取电子版招标文件。</w:t>
      </w:r>
    </w:p>
    <w:p w14:paraId="4CFB8CDE">
      <w:pPr>
        <w:pStyle w:val="297"/>
        <w:jc w:val="left"/>
        <w:rPr>
          <w:rFonts w:hint="eastAsia"/>
        </w:rPr>
      </w:pPr>
      <w:r>
        <w:rPr>
          <w:rFonts w:hint="eastAsia"/>
        </w:rPr>
        <w:t>售价：0元</w:t>
      </w:r>
    </w:p>
    <w:p w14:paraId="6957F8FD">
      <w:pPr>
        <w:pStyle w:val="297"/>
        <w:jc w:val="left"/>
        <w:rPr>
          <w:rFonts w:hint="eastAsia"/>
          <w:b/>
        </w:rPr>
      </w:pPr>
      <w:r>
        <w:rPr>
          <w:rFonts w:hint="eastAsia"/>
        </w:rPr>
        <w:t>四、提交投标文件截止时间、开标时间和地点</w:t>
      </w:r>
    </w:p>
    <w:p w14:paraId="6EF7E1AA">
      <w:pPr>
        <w:pStyle w:val="297"/>
        <w:jc w:val="left"/>
        <w:rPr>
          <w:rFonts w:hint="eastAsia"/>
          <w:bCs/>
          <w:u w:val="single"/>
        </w:rPr>
      </w:pPr>
      <w:r>
        <w:rPr>
          <w:rFonts w:hint="eastAsia"/>
          <w:bCs/>
        </w:rPr>
        <w:t>时间：202</w:t>
      </w:r>
      <w:r>
        <w:rPr>
          <w:bCs/>
        </w:rPr>
        <w:t>5</w:t>
      </w:r>
      <w:r>
        <w:rPr>
          <w:rFonts w:hint="eastAsia"/>
          <w:bCs/>
        </w:rPr>
        <w:t>年12月</w:t>
      </w:r>
      <w:r>
        <w:rPr>
          <w:rFonts w:hint="eastAsia"/>
          <w:bCs/>
          <w:lang w:val="en-US" w:eastAsia="zh-CN"/>
        </w:rPr>
        <w:t>17</w:t>
      </w:r>
      <w:bookmarkStart w:id="871" w:name="_GoBack"/>
      <w:bookmarkEnd w:id="871"/>
      <w:r>
        <w:rPr>
          <w:rFonts w:hint="eastAsia"/>
          <w:bCs/>
        </w:rPr>
        <w:t xml:space="preserve">日 09点 </w:t>
      </w:r>
      <w:r>
        <w:rPr>
          <w:rFonts w:hint="eastAsia"/>
          <w:bCs/>
          <w:lang w:val="en-US" w:eastAsia="zh-CN"/>
        </w:rPr>
        <w:t>00</w:t>
      </w:r>
      <w:r>
        <w:rPr>
          <w:rFonts w:hint="eastAsia"/>
          <w:bCs/>
        </w:rPr>
        <w:t xml:space="preserve"> 分（北京时间）</w:t>
      </w:r>
    </w:p>
    <w:p w14:paraId="36993C35">
      <w:pPr>
        <w:pStyle w:val="297"/>
        <w:jc w:val="left"/>
        <w:rPr>
          <w:rFonts w:hint="eastAsia"/>
          <w:bCs/>
          <w:u w:val="single"/>
        </w:rPr>
      </w:pPr>
      <w:r>
        <w:rPr>
          <w:rFonts w:hint="eastAsia"/>
        </w:rPr>
        <w:t>地点：北京市海淀区学院路30号科大天工大厦B座17层1706第一会议室</w:t>
      </w:r>
    </w:p>
    <w:p w14:paraId="4882263D">
      <w:pPr>
        <w:pStyle w:val="297"/>
        <w:jc w:val="left"/>
        <w:rPr>
          <w:rFonts w:hint="eastAsia"/>
          <w:b/>
        </w:rPr>
      </w:pPr>
      <w:r>
        <w:rPr>
          <w:rFonts w:hint="eastAsia"/>
        </w:rPr>
        <w:t>五、公告期限</w:t>
      </w:r>
    </w:p>
    <w:p w14:paraId="4401D67D">
      <w:pPr>
        <w:pStyle w:val="297"/>
        <w:jc w:val="left"/>
        <w:rPr>
          <w:rFonts w:hint="eastAsia"/>
        </w:rPr>
      </w:pPr>
      <w:r>
        <w:rPr>
          <w:rFonts w:hint="eastAsia"/>
        </w:rPr>
        <w:t>自本公告发布之日起5个工作日。</w:t>
      </w:r>
    </w:p>
    <w:p w14:paraId="158E5B92">
      <w:pPr>
        <w:pStyle w:val="297"/>
        <w:jc w:val="left"/>
        <w:rPr>
          <w:rFonts w:hint="eastAsia" w:cs="仿宋"/>
          <w:bCs/>
        </w:rPr>
      </w:pPr>
      <w:r>
        <w:rPr>
          <w:rFonts w:hint="eastAsia"/>
          <w:bCs/>
        </w:rPr>
        <w:t>六、其他补充事宜</w:t>
      </w:r>
      <w:r>
        <w:rPr>
          <w:rFonts w:hint="eastAsia"/>
          <w:bCs/>
        </w:rPr>
        <w:br w:type="textWrapping"/>
      </w:r>
      <w:bookmarkStart w:id="9" w:name="_Hlk80608498"/>
      <w:r>
        <w:rPr>
          <w:rFonts w:hint="eastAsia" w:cs="仿宋"/>
          <w:bCs/>
        </w:rPr>
        <w:t>1、</w:t>
      </w:r>
      <w:bookmarkStart w:id="10" w:name="_Hlk80609223"/>
      <w:r>
        <w:rPr>
          <w:rFonts w:hint="eastAsia" w:cs="仿宋"/>
          <w:bCs/>
        </w:rPr>
        <w:t>本项目采用电子化与线下流程相结合的招标方式，相关操作如下：</w:t>
      </w:r>
      <w:bookmarkEnd w:id="9"/>
      <w:bookmarkEnd w:id="10"/>
      <w:r>
        <w:rPr>
          <w:rFonts w:hint="eastAsia" w:cs="仿宋"/>
          <w:bCs/>
        </w:rPr>
        <w:br w:type="textWrapping"/>
      </w:r>
      <w:r>
        <w:rPr>
          <w:rFonts w:hint="eastAsia" w:cs="仿宋"/>
          <w:bCs/>
        </w:rPr>
        <w:t>（1）招标文件获取方式：供应商使用电子营业执照、或按照规定办理CA数字认证证书后，自招标公告发布之日起登录北京市政府采购电子交易平台免费获取电子版招标文件。</w:t>
      </w:r>
      <w:r>
        <w:rPr>
          <w:rFonts w:hint="eastAsia" w:cs="仿宋"/>
          <w:bCs/>
        </w:rPr>
        <w:br w:type="textWrapping"/>
      </w:r>
      <w:r>
        <w:rPr>
          <w:rFonts w:hint="eastAsia" w:cs="仿宋"/>
          <w:bCs/>
        </w:rPr>
        <w:t xml:space="preserve">    ①办理CA认证证书：详见北京市政府采购电子交易平台（http://zbcg-bjzc.zhongcy.com/bjczj-portal-site/index.html#/home，或登录北京市政府采购网选择“政府采购电子交易平台”进入）查阅“用户指南”-“操作指南”-“市场主体CA办理操作流程指引”，按照程序要求办理。</w:t>
      </w:r>
    </w:p>
    <w:p w14:paraId="115BA192">
      <w:pPr>
        <w:pStyle w:val="297"/>
        <w:jc w:val="left"/>
        <w:rPr>
          <w:rFonts w:hint="eastAsia" w:cs="仿宋"/>
          <w:bCs/>
        </w:rPr>
      </w:pPr>
      <w:r>
        <w:rPr>
          <w:rFonts w:hint="eastAsia" w:cs="仿宋"/>
          <w:bCs/>
        </w:rPr>
        <w:t>② 于北京市政府采购电子交易平台“用户指南”-“操作指南”-“市场主体注册入库操作流程指引”进行自助注册绑定。</w:t>
      </w:r>
      <w:r>
        <w:rPr>
          <w:rFonts w:hint="eastAsia" w:cs="仿宋"/>
          <w:bCs/>
        </w:rPr>
        <w:br w:type="textWrapping"/>
      </w:r>
      <w:r>
        <w:rPr>
          <w:rFonts w:hint="eastAsia" w:cs="仿宋"/>
          <w:bCs/>
        </w:rPr>
        <w:t xml:space="preserve">    ③证书驱动下载：于北京市政府采购电子交易平台“用户指南”-“工具下载”-“招标采购系统文件驱动安装包”下载相关驱动。</w:t>
      </w:r>
    </w:p>
    <w:p w14:paraId="035213FE">
      <w:pPr>
        <w:pStyle w:val="297"/>
        <w:jc w:val="left"/>
        <w:rPr>
          <w:rFonts w:hint="eastAsia" w:cs="仿宋"/>
          <w:bCs/>
        </w:rPr>
      </w:pPr>
      <w:r>
        <w:rPr>
          <w:rFonts w:hint="eastAsia" w:cs="仿宋"/>
          <w:bCs/>
        </w:rPr>
        <w:t>（2）下载时间：</w:t>
      </w:r>
      <w:bookmarkStart w:id="11" w:name="_Hlk80608220"/>
      <w:r>
        <w:rPr>
          <w:rFonts w:hint="eastAsia" w:cs="仿宋"/>
          <w:bCs/>
        </w:rPr>
        <w:t>同招标公告中“获取招标文件”的时间</w:t>
      </w:r>
      <w:bookmarkEnd w:id="11"/>
      <w:r>
        <w:rPr>
          <w:rFonts w:hint="eastAsia" w:cs="仿宋"/>
          <w:bCs/>
        </w:rPr>
        <w:t>。</w:t>
      </w:r>
    </w:p>
    <w:p w14:paraId="7ED5A25B">
      <w:pPr>
        <w:pStyle w:val="297"/>
        <w:jc w:val="left"/>
        <w:rPr>
          <w:rFonts w:hint="eastAsia" w:cs="仿宋"/>
          <w:bCs/>
        </w:rPr>
      </w:pPr>
      <w:r>
        <w:rPr>
          <w:rFonts w:hint="eastAsia" w:cs="仿宋"/>
          <w:bCs/>
        </w:rPr>
        <w:t>（3）未按上述获取方式和期限下载招标文件的投标无效。</w:t>
      </w:r>
    </w:p>
    <w:p w14:paraId="64C267E8">
      <w:pPr>
        <w:pStyle w:val="297"/>
        <w:jc w:val="left"/>
        <w:rPr>
          <w:rFonts w:hint="eastAsia" w:cs="仿宋"/>
          <w:bCs/>
        </w:rPr>
      </w:pPr>
      <w:r>
        <w:rPr>
          <w:rFonts w:hint="eastAsia" w:cs="仿宋"/>
          <w:bCs/>
        </w:rPr>
        <w:t>（4）服务热线：</w:t>
      </w:r>
    </w:p>
    <w:p w14:paraId="111920F3">
      <w:pPr>
        <w:pStyle w:val="297"/>
        <w:jc w:val="left"/>
        <w:rPr>
          <w:rFonts w:hint="eastAsia" w:cs="仿宋"/>
          <w:bCs/>
        </w:rPr>
      </w:pPr>
      <w:r>
        <w:rPr>
          <w:rFonts w:hint="eastAsia" w:cs="仿宋"/>
          <w:bCs/>
        </w:rPr>
        <w:t>CA认证证书服务热线010-58515511</w:t>
      </w:r>
    </w:p>
    <w:p w14:paraId="0C11D2D0">
      <w:pPr>
        <w:pStyle w:val="297"/>
        <w:jc w:val="left"/>
        <w:rPr>
          <w:rFonts w:hint="eastAsia" w:cs="仿宋"/>
          <w:bCs/>
        </w:rPr>
      </w:pPr>
      <w:r>
        <w:rPr>
          <w:rFonts w:hint="eastAsia" w:cs="仿宋"/>
          <w:bCs/>
        </w:rPr>
        <w:t>技术支持服务热线010-86483801</w:t>
      </w:r>
    </w:p>
    <w:p w14:paraId="22D12272">
      <w:pPr>
        <w:pStyle w:val="297"/>
        <w:jc w:val="left"/>
        <w:rPr>
          <w:rFonts w:hint="eastAsia" w:cs="仿宋"/>
          <w:bCs/>
        </w:rPr>
      </w:pPr>
      <w:r>
        <w:rPr>
          <w:rFonts w:hint="eastAsia" w:cs="仿宋"/>
          <w:bCs/>
        </w:rPr>
        <w:t>（5）注意：请供应商认真学习北京市政府采购电子交易平台发布的相关操作手册，平台网站相关技术支持请联系010-86483801。</w:t>
      </w:r>
    </w:p>
    <w:p w14:paraId="3C18A316">
      <w:pPr>
        <w:pStyle w:val="297"/>
        <w:jc w:val="left"/>
        <w:rPr>
          <w:rFonts w:hint="eastAsia" w:cs="仿宋"/>
          <w:bCs/>
        </w:rPr>
      </w:pPr>
      <w:r>
        <w:rPr>
          <w:rFonts w:hint="eastAsia" w:cs="仿宋"/>
          <w:bCs/>
        </w:rPr>
        <w:t>（6）</w:t>
      </w:r>
      <w:r>
        <w:fldChar w:fldCharType="begin"/>
      </w:r>
      <w:r>
        <w:instrText xml:space="preserve"> HYPERLINK "mailto:中标人请于合同签订后，将合同的pdf彩色扫描件发送至FC@zbbmcc.com（该邮箱只用于接收合同），并联系010-83021521" </w:instrText>
      </w:r>
      <w:r>
        <w:fldChar w:fldCharType="separate"/>
      </w:r>
      <w:r>
        <w:rPr>
          <w:rFonts w:hint="eastAsia" w:cs="仿宋"/>
          <w:bCs/>
        </w:rPr>
        <w:t>中标人请于合同签订后，将合同的pdf彩色扫描件发送至</w:t>
      </w:r>
      <w:r>
        <w:rPr>
          <w:rFonts w:cs="仿宋"/>
          <w:bCs/>
        </w:rPr>
        <w:t>FC@zbbmcc.com（</w:t>
      </w:r>
      <w:r>
        <w:rPr>
          <w:rFonts w:hint="eastAsia" w:cs="仿宋"/>
          <w:bCs/>
        </w:rPr>
        <w:t>该邮箱只用于接收合同</w:t>
      </w:r>
      <w:r>
        <w:rPr>
          <w:rFonts w:cs="仿宋"/>
          <w:bCs/>
        </w:rPr>
        <w:t>），并联系</w:t>
      </w:r>
      <w:r>
        <w:rPr>
          <w:rFonts w:hint="eastAsia" w:cs="仿宋"/>
          <w:bCs/>
        </w:rPr>
        <w:t>0</w:t>
      </w:r>
      <w:r>
        <w:rPr>
          <w:rFonts w:cs="仿宋"/>
          <w:bCs/>
        </w:rPr>
        <w:t>10-83021521</w:t>
      </w:r>
      <w:r>
        <w:rPr>
          <w:rFonts w:cs="仿宋"/>
          <w:bCs/>
        </w:rPr>
        <w:fldChar w:fldCharType="end"/>
      </w:r>
      <w:r>
        <w:rPr>
          <w:rFonts w:hint="eastAsia" w:cs="仿宋"/>
          <w:bCs/>
        </w:rPr>
        <w:t>办理保证金退还事宜。</w:t>
      </w:r>
    </w:p>
    <w:p w14:paraId="4C2341AF">
      <w:pPr>
        <w:pStyle w:val="297"/>
        <w:jc w:val="left"/>
        <w:rPr>
          <w:rFonts w:hint="eastAsia" w:cs="仿宋"/>
          <w:bCs/>
        </w:rPr>
      </w:pPr>
      <w:r>
        <w:rPr>
          <w:rFonts w:hint="eastAsia" w:cs="仿宋"/>
          <w:bCs/>
        </w:rPr>
        <w:t>2、投标保证金的递交说明：</w:t>
      </w:r>
      <w:r>
        <w:rPr>
          <w:rFonts w:hint="eastAsia" w:cs="仿宋"/>
          <w:bCs/>
        </w:rPr>
        <w:br w:type="textWrapping"/>
      </w:r>
      <w:r>
        <w:rPr>
          <w:rFonts w:hint="eastAsia" w:cs="仿宋"/>
          <w:bCs/>
        </w:rPr>
        <w:t>公司名称：北京明德致信咨询有限公司</w:t>
      </w:r>
    </w:p>
    <w:p w14:paraId="7F9BC158">
      <w:pPr>
        <w:pStyle w:val="297"/>
        <w:jc w:val="left"/>
        <w:rPr>
          <w:rFonts w:hint="eastAsia" w:cs="仿宋"/>
          <w:bCs/>
        </w:rPr>
      </w:pPr>
      <w:r>
        <w:rPr>
          <w:rFonts w:hint="eastAsia" w:cs="仿宋"/>
          <w:bCs/>
        </w:rPr>
        <w:t>开 户 行：中国工商银行股份有限公司北京东升路支行</w:t>
      </w:r>
    </w:p>
    <w:p w14:paraId="155546F4">
      <w:pPr>
        <w:pStyle w:val="297"/>
        <w:jc w:val="left"/>
        <w:rPr>
          <w:rFonts w:hint="eastAsia" w:cs="仿宋"/>
          <w:bCs/>
        </w:rPr>
      </w:pPr>
      <w:r>
        <w:rPr>
          <w:rFonts w:hint="eastAsia" w:cs="仿宋"/>
          <w:bCs/>
        </w:rPr>
        <w:t>账    号：0200 0062 1920 0492 968</w:t>
      </w:r>
    </w:p>
    <w:p w14:paraId="038FCD65">
      <w:pPr>
        <w:pStyle w:val="297"/>
        <w:jc w:val="left"/>
        <w:rPr>
          <w:rFonts w:hint="eastAsia" w:cs="仿宋"/>
          <w:bCs/>
        </w:rPr>
      </w:pPr>
      <w:r>
        <w:rPr>
          <w:rFonts w:hint="eastAsia" w:cs="仿宋"/>
          <w:bCs/>
        </w:rPr>
        <w:t xml:space="preserve">汇款或转账时请务必附言“项目编号+用途”，例如：BMCC-XXXX保证金或服务费。 </w:t>
      </w:r>
    </w:p>
    <w:p w14:paraId="3EC74B7F">
      <w:pPr>
        <w:pStyle w:val="297"/>
        <w:jc w:val="left"/>
        <w:rPr>
          <w:rFonts w:hint="eastAsia" w:cs="仿宋"/>
          <w:bCs/>
        </w:rPr>
      </w:pPr>
      <w:r>
        <w:rPr>
          <w:rFonts w:cs="仿宋"/>
          <w:bCs/>
        </w:rPr>
        <w:t>3</w:t>
      </w:r>
      <w:r>
        <w:rPr>
          <w:rFonts w:hint="eastAsia" w:cs="仿宋"/>
          <w:bCs/>
        </w:rPr>
        <w:t>、投标文件请于投标当日投标截止时间之前递交至投标地点，逾期递交的文件恕不接受，届时请投标人派代表参加开标仪式。</w:t>
      </w:r>
    </w:p>
    <w:p w14:paraId="7EA81CA0">
      <w:pPr>
        <w:pStyle w:val="297"/>
        <w:jc w:val="left"/>
        <w:rPr>
          <w:rFonts w:hint="eastAsia" w:cs="仿宋"/>
          <w:bCs/>
        </w:rPr>
      </w:pPr>
      <w:r>
        <w:rPr>
          <w:rFonts w:cs="仿宋"/>
          <w:bCs/>
        </w:rPr>
        <w:t>4</w:t>
      </w:r>
      <w:r>
        <w:rPr>
          <w:rFonts w:hint="eastAsia" w:cs="仿宋"/>
          <w:bCs/>
        </w:rPr>
        <w:t>、评标方法：综合评分法</w:t>
      </w:r>
    </w:p>
    <w:p w14:paraId="125F2FFF">
      <w:pPr>
        <w:pStyle w:val="297"/>
        <w:jc w:val="left"/>
        <w:rPr>
          <w:rFonts w:hint="eastAsia" w:cs="仿宋"/>
          <w:bCs/>
        </w:rPr>
      </w:pPr>
      <w:r>
        <w:rPr>
          <w:rFonts w:cs="仿宋"/>
          <w:bCs/>
        </w:rPr>
        <w:t>5</w:t>
      </w:r>
      <w:r>
        <w:rPr>
          <w:rFonts w:hint="eastAsia" w:cs="仿宋"/>
          <w:bCs/>
        </w:rPr>
        <w:t>、采购项目需要落实的政府采购政策：政府采购促进中小企业发展；政府采购支持监狱企业发展；政府采购促进残疾人就业；节能产品、环境标志产品；进口产品管理等。</w:t>
      </w:r>
    </w:p>
    <w:p w14:paraId="68C10581">
      <w:pPr>
        <w:pStyle w:val="297"/>
        <w:jc w:val="left"/>
        <w:rPr>
          <w:rFonts w:hint="eastAsia"/>
        </w:rPr>
      </w:pPr>
      <w:r>
        <w:rPr>
          <w:rFonts w:cs="仿宋"/>
          <w:bCs/>
        </w:rPr>
        <w:t>6</w:t>
      </w:r>
      <w:r>
        <w:rPr>
          <w:rFonts w:hint="eastAsia" w:cs="仿宋"/>
          <w:bCs/>
        </w:rPr>
        <w:t>、</w:t>
      </w:r>
      <w:r>
        <w:rPr>
          <w:rFonts w:hint="eastAsia"/>
        </w:rPr>
        <w:t>发布公告的媒介：中国政府采购网、北京市政府采购网发布（非在</w:t>
      </w:r>
      <w:r>
        <w:rPr>
          <w:rFonts w:hint="eastAsia"/>
          <w:u w:val="single"/>
        </w:rPr>
        <w:t>北京市政府采购电子交易平台</w:t>
      </w:r>
      <w:r>
        <w:rPr>
          <w:rFonts w:hint="eastAsia"/>
        </w:rPr>
        <w:t>报名的项目不涉及）。</w:t>
      </w:r>
    </w:p>
    <w:p w14:paraId="4FFD04B9">
      <w:pPr>
        <w:pStyle w:val="297"/>
        <w:jc w:val="left"/>
        <w:rPr>
          <w:rFonts w:hint="eastAsia" w:cs="仿宋"/>
          <w:bCs/>
        </w:rPr>
      </w:pPr>
      <w:r>
        <w:rPr>
          <w:rFonts w:cs="仿宋"/>
          <w:bCs/>
        </w:rPr>
        <w:t>7</w:t>
      </w:r>
      <w:r>
        <w:rPr>
          <w:rFonts w:hint="eastAsia" w:cs="仿宋"/>
          <w:bCs/>
        </w:rPr>
        <w:t>、届时请投标人派代表参加开标仪式。</w:t>
      </w:r>
    </w:p>
    <w:p w14:paraId="38AB0566">
      <w:pPr>
        <w:pStyle w:val="297"/>
        <w:jc w:val="left"/>
        <w:rPr>
          <w:rFonts w:hint="eastAsia" w:cs="仿宋"/>
          <w:bCs/>
        </w:rPr>
      </w:pPr>
      <w:r>
        <w:rPr>
          <w:rFonts w:cs="仿宋"/>
          <w:bCs/>
        </w:rPr>
        <w:t>8</w:t>
      </w:r>
      <w:r>
        <w:rPr>
          <w:rFonts w:hint="eastAsia" w:cs="仿宋"/>
          <w:bCs/>
        </w:rPr>
        <w:t>、如本公告内容和招标文件内容不一致，以招标文件为准。</w:t>
      </w:r>
    </w:p>
    <w:p w14:paraId="13FAEBE1">
      <w:pPr>
        <w:pStyle w:val="297"/>
        <w:jc w:val="left"/>
        <w:rPr>
          <w:rFonts w:hint="eastAsia" w:cs="仿宋"/>
          <w:bCs/>
        </w:rPr>
      </w:pPr>
    </w:p>
    <w:p w14:paraId="1C37D7B4">
      <w:pPr>
        <w:pStyle w:val="297"/>
        <w:jc w:val="left"/>
        <w:rPr>
          <w:rFonts w:hint="eastAsia"/>
          <w:b/>
        </w:rPr>
      </w:pPr>
      <w:r>
        <w:rPr>
          <w:rFonts w:hint="eastAsia"/>
        </w:rPr>
        <w:t>七、对本次招标提出询问，请按</w:t>
      </w:r>
      <w:r>
        <w:t>以下方式</w:t>
      </w:r>
      <w:r>
        <w:rPr>
          <w:rFonts w:hint="eastAsia"/>
        </w:rPr>
        <w:t>联系。</w:t>
      </w:r>
    </w:p>
    <w:p w14:paraId="255ADA60">
      <w:pPr>
        <w:pStyle w:val="297"/>
        <w:jc w:val="left"/>
        <w:rPr>
          <w:rFonts w:hint="eastAsia"/>
        </w:rPr>
      </w:pPr>
      <w:r>
        <w:rPr>
          <w:rFonts w:hint="eastAsia"/>
        </w:rPr>
        <w:t>1.采购人信息</w:t>
      </w:r>
    </w:p>
    <w:p w14:paraId="2AC524E8">
      <w:pPr>
        <w:spacing w:line="360" w:lineRule="auto"/>
        <w:ind w:firstLine="480" w:firstLineChars="200"/>
        <w:jc w:val="left"/>
        <w:rPr>
          <w:rFonts w:hint="eastAsia" w:ascii="宋体" w:hAnsi="宋体"/>
          <w:sz w:val="24"/>
        </w:rPr>
      </w:pPr>
      <w:r>
        <w:rPr>
          <w:rFonts w:hint="eastAsia" w:ascii="宋体" w:hAnsi="宋体"/>
          <w:color w:val="000000"/>
          <w:kern w:val="0"/>
          <w:sz w:val="24"/>
        </w:rPr>
        <w:t>名 称</w:t>
      </w:r>
      <w:r>
        <w:rPr>
          <w:rFonts w:hint="eastAsia" w:ascii="宋体" w:hAnsi="宋体"/>
          <w:sz w:val="24"/>
        </w:rPr>
        <w:t>：</w:t>
      </w:r>
      <w:r>
        <w:rPr>
          <w:rFonts w:hint="eastAsia" w:ascii="宋体" w:hAnsi="宋体"/>
          <w:sz w:val="24"/>
          <w:u w:val="single"/>
        </w:rPr>
        <w:t>北京青年政治学院</w:t>
      </w:r>
    </w:p>
    <w:p w14:paraId="68259280">
      <w:pPr>
        <w:spacing w:line="360" w:lineRule="auto"/>
        <w:ind w:firstLine="480" w:firstLineChars="200"/>
        <w:jc w:val="left"/>
        <w:rPr>
          <w:rFonts w:hint="eastAsia" w:ascii="宋体" w:hAnsi="宋体"/>
          <w:sz w:val="24"/>
        </w:rPr>
      </w:pPr>
      <w:r>
        <w:rPr>
          <w:rFonts w:hint="eastAsia" w:ascii="宋体" w:hAnsi="宋体"/>
          <w:sz w:val="24"/>
        </w:rPr>
        <w:t>地址：</w:t>
      </w:r>
      <w:r>
        <w:rPr>
          <w:rFonts w:hint="eastAsia" w:ascii="宋体" w:hAnsi="宋体"/>
          <w:sz w:val="24"/>
          <w:u w:val="single"/>
        </w:rPr>
        <w:t>北京市朝阳区花家地街9号</w:t>
      </w:r>
    </w:p>
    <w:p w14:paraId="04721783">
      <w:pPr>
        <w:spacing w:line="360" w:lineRule="auto"/>
        <w:ind w:firstLine="480" w:firstLineChars="200"/>
        <w:jc w:val="left"/>
        <w:rPr>
          <w:rFonts w:hint="eastAsia" w:ascii="宋体" w:hAnsi="宋体"/>
          <w:sz w:val="24"/>
          <w:u w:val="single"/>
        </w:rPr>
      </w:pPr>
      <w:r>
        <w:rPr>
          <w:rFonts w:hint="eastAsia" w:ascii="宋体" w:hAnsi="宋体"/>
          <w:sz w:val="24"/>
        </w:rPr>
        <w:t>联系方式：</w:t>
      </w:r>
      <w:r>
        <w:rPr>
          <w:rFonts w:hint="eastAsia" w:ascii="宋体" w:hAnsi="宋体"/>
          <w:sz w:val="24"/>
          <w:u w:val="single"/>
        </w:rPr>
        <w:t>龚老师；</w:t>
      </w:r>
      <w:r>
        <w:rPr>
          <w:rFonts w:ascii="宋体" w:hAnsi="宋体"/>
          <w:sz w:val="24"/>
          <w:u w:val="single"/>
        </w:rPr>
        <w:t>84778332</w:t>
      </w:r>
    </w:p>
    <w:p w14:paraId="45CB9915">
      <w:pPr>
        <w:pStyle w:val="297"/>
        <w:jc w:val="left"/>
        <w:rPr>
          <w:rFonts w:hint="eastAsia"/>
        </w:rPr>
      </w:pPr>
      <w:r>
        <w:t>2.采购代理机构信息</w:t>
      </w:r>
    </w:p>
    <w:p w14:paraId="2EBC936C">
      <w:pPr>
        <w:pStyle w:val="297"/>
        <w:jc w:val="left"/>
        <w:rPr>
          <w:rFonts w:hint="eastAsia"/>
        </w:rPr>
      </w:pPr>
      <w:bookmarkStart w:id="12" w:name="_Toc28359010"/>
      <w:bookmarkStart w:id="13" w:name="_Toc28359087"/>
      <w:r>
        <w:t>名</w:t>
      </w:r>
      <w:r>
        <w:rPr>
          <w:rFonts w:hint="eastAsia"/>
        </w:rPr>
        <w:t xml:space="preserve"> </w:t>
      </w:r>
      <w:r>
        <w:t xml:space="preserve">   称：</w:t>
      </w:r>
      <w:r>
        <w:rPr>
          <w:rFonts w:hint="eastAsia"/>
        </w:rPr>
        <w:t>北京明德致信咨询有限公司</w:t>
      </w:r>
    </w:p>
    <w:p w14:paraId="13705314">
      <w:pPr>
        <w:pStyle w:val="297"/>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572FEC9F">
      <w:pPr>
        <w:pStyle w:val="297"/>
        <w:jc w:val="left"/>
        <w:rPr>
          <w:rFonts w:hint="eastAsia"/>
        </w:rPr>
      </w:pPr>
      <w:r>
        <w:t>联系人：张乐、王经理</w:t>
      </w:r>
    </w:p>
    <w:p w14:paraId="64957F1A">
      <w:pPr>
        <w:pStyle w:val="297"/>
        <w:jc w:val="left"/>
        <w:rPr>
          <w:rFonts w:hint="eastAsia"/>
        </w:rPr>
      </w:pPr>
      <w:r>
        <w:t>联系方式：</w:t>
      </w:r>
      <w:r>
        <w:rPr>
          <w:rFonts w:hint="eastAsia"/>
        </w:rPr>
        <w:t>010－8237</w:t>
      </w:r>
      <w:r>
        <w:t>0045</w:t>
      </w:r>
      <w:r>
        <w:rPr>
          <w:rFonts w:hint="eastAsia"/>
        </w:rPr>
        <w:t>、</w:t>
      </w:r>
      <w:r>
        <w:t>61192275</w:t>
      </w:r>
    </w:p>
    <w:p w14:paraId="563A0580">
      <w:pPr>
        <w:pStyle w:val="297"/>
        <w:jc w:val="left"/>
        <w:rPr>
          <w:rFonts w:hint="eastAsia"/>
        </w:rPr>
      </w:pPr>
      <w:r>
        <w:t>3.项目联系方式</w:t>
      </w:r>
      <w:bookmarkEnd w:id="12"/>
      <w:bookmarkEnd w:id="13"/>
    </w:p>
    <w:p w14:paraId="0AF1DF69">
      <w:pPr>
        <w:pStyle w:val="297"/>
        <w:jc w:val="left"/>
        <w:rPr>
          <w:rFonts w:hint="eastAsia"/>
        </w:rPr>
      </w:pPr>
      <w:r>
        <w:t>项目联系人：张乐、王经理</w:t>
      </w:r>
    </w:p>
    <w:p w14:paraId="7C1485CC">
      <w:pPr>
        <w:pStyle w:val="297"/>
        <w:jc w:val="left"/>
        <w:rPr>
          <w:rFonts w:hint="eastAsia"/>
        </w:rPr>
      </w:pPr>
      <w:r>
        <w:t>电话：010－82370045、61192275</w:t>
      </w:r>
    </w:p>
    <w:p w14:paraId="3A5DEE54">
      <w:pPr>
        <w:pStyle w:val="297"/>
        <w:jc w:val="left"/>
        <w:rPr>
          <w:rFonts w:hint="eastAsia"/>
        </w:rPr>
      </w:pPr>
      <w:r>
        <w:t>邮编：100083</w:t>
      </w:r>
    </w:p>
    <w:p w14:paraId="408CD2E0">
      <w:pPr>
        <w:pStyle w:val="297"/>
        <w:jc w:val="left"/>
        <w:rPr>
          <w:rFonts w:hint="eastAsia"/>
        </w:rPr>
      </w:pPr>
      <w:r>
        <w:t>传真：010－82370049</w:t>
      </w:r>
    </w:p>
    <w:p w14:paraId="7582A45A">
      <w:pPr>
        <w:pStyle w:val="297"/>
        <w:jc w:val="left"/>
        <w:rPr>
          <w:rFonts w:hint="eastAsia"/>
        </w:rPr>
      </w:pPr>
      <w:r>
        <w:t>地</w:t>
      </w:r>
      <w:r>
        <w:rPr>
          <w:rFonts w:hint="eastAsia"/>
        </w:rPr>
        <w:t xml:space="preserve"> </w:t>
      </w:r>
      <w:r>
        <w:t xml:space="preserve">   址：</w:t>
      </w:r>
      <w:r>
        <w:rPr>
          <w:rFonts w:hint="eastAsia"/>
        </w:rPr>
        <w:t>北京市海淀区学院路30号科大天工大厦B座17层1709室（北四环学院桥东北角）</w:t>
      </w:r>
    </w:p>
    <w:p w14:paraId="49931FEC">
      <w:pPr>
        <w:spacing w:line="360" w:lineRule="auto"/>
        <w:outlineLvl w:val="0"/>
        <w:rPr>
          <w:rFonts w:hint="eastAsia" w:ascii="宋体" w:hAnsi="宋体"/>
          <w:b/>
          <w:sz w:val="32"/>
          <w:szCs w:val="32"/>
        </w:rPr>
      </w:pPr>
      <w:r>
        <w:rPr>
          <w:rFonts w:ascii="宋体" w:hAnsi="宋体"/>
          <w:sz w:val="24"/>
        </w:rPr>
        <w:br w:type="page"/>
      </w:r>
      <w:bookmarkStart w:id="14" w:name="_Toc127161488"/>
      <w:bookmarkStart w:id="15" w:name="_Toc264969275"/>
      <w:bookmarkStart w:id="16" w:name="_Toc226965856"/>
      <w:bookmarkStart w:id="17" w:name="_Toc353825548"/>
      <w:bookmarkStart w:id="18" w:name="_Toc195842950"/>
      <w:bookmarkStart w:id="19" w:name="_Toc127151777"/>
      <w:bookmarkStart w:id="20" w:name="_Toc200734040"/>
      <w:bookmarkStart w:id="21" w:name="_Toc305158854"/>
      <w:bookmarkStart w:id="22" w:name="_Toc305158928"/>
      <w:bookmarkStart w:id="23" w:name="_Toc512937850"/>
      <w:bookmarkStart w:id="24" w:name="_Toc265228423"/>
      <w:bookmarkStart w:id="25" w:name="_Toc150774783"/>
      <w:bookmarkStart w:id="26" w:name="_Toc353873938"/>
      <w:r>
        <w:rPr>
          <w:rFonts w:ascii="宋体" w:hAnsi="宋体"/>
          <w:b/>
          <w:sz w:val="36"/>
          <w:szCs w:val="36"/>
        </w:rPr>
        <w:t>第二章  投标人须知</w:t>
      </w:r>
      <w:bookmarkEnd w:id="14"/>
      <w:bookmarkEnd w:id="15"/>
      <w:bookmarkEnd w:id="16"/>
      <w:bookmarkEnd w:id="17"/>
      <w:bookmarkEnd w:id="18"/>
      <w:bookmarkEnd w:id="19"/>
      <w:bookmarkEnd w:id="20"/>
      <w:bookmarkEnd w:id="21"/>
      <w:bookmarkEnd w:id="22"/>
      <w:bookmarkEnd w:id="23"/>
      <w:bookmarkEnd w:id="24"/>
      <w:bookmarkEnd w:id="25"/>
      <w:bookmarkEnd w:id="26"/>
    </w:p>
    <w:p w14:paraId="2C3C8178">
      <w:pPr>
        <w:pStyle w:val="3"/>
        <w:tabs>
          <w:tab w:val="center" w:pos="4592"/>
          <w:tab w:val="left" w:pos="7860"/>
        </w:tabs>
        <w:spacing w:before="0" w:line="360" w:lineRule="auto"/>
        <w:rPr>
          <w:rFonts w:hint="eastAsia" w:ascii="宋体" w:hAnsi="宋体" w:eastAsia="宋体"/>
          <w:sz w:val="28"/>
        </w:rPr>
      </w:pPr>
      <w:bookmarkStart w:id="27" w:name="_Toc226965792"/>
      <w:bookmarkStart w:id="28" w:name="_Toc151193689"/>
      <w:bookmarkStart w:id="29" w:name="_Toc150774724"/>
      <w:bookmarkStart w:id="30" w:name="_Toc164608633"/>
      <w:bookmarkStart w:id="31" w:name="_Toc164351613"/>
      <w:bookmarkStart w:id="32" w:name="_Toc226309763"/>
      <w:bookmarkStart w:id="33" w:name="_Toc226965709"/>
      <w:bookmarkStart w:id="34" w:name="_Toc150774619"/>
      <w:bookmarkStart w:id="35" w:name="_Toc151193761"/>
      <w:bookmarkStart w:id="36" w:name="_Toc151193617"/>
      <w:bookmarkStart w:id="37" w:name="_Toc151190146"/>
      <w:bookmarkStart w:id="38" w:name="_Toc142311021"/>
      <w:bookmarkStart w:id="39" w:name="_Toc164229214"/>
      <w:bookmarkStart w:id="40" w:name="_Toc164229360"/>
      <w:bookmarkStart w:id="41" w:name="_Toc127161433"/>
      <w:bookmarkStart w:id="42" w:name="_Toc151193907"/>
      <w:bookmarkStart w:id="43" w:name="_Toc151193833"/>
      <w:bookmarkStart w:id="44" w:name="_Toc149720812"/>
      <w:bookmarkStart w:id="45" w:name="_Toc164608788"/>
      <w:bookmarkStart w:id="46" w:name="_Toc127151720"/>
      <w:bookmarkStart w:id="47" w:name="_Toc150480757"/>
      <w:bookmarkStart w:id="48" w:name="_Toc226337215"/>
      <w:bookmarkStart w:id="49" w:name="_Toc127151519"/>
      <w:bookmarkStart w:id="50" w:name="_Toc195842884"/>
      <w:bookmarkStart w:id="51" w:name="_Toc150509270"/>
      <w:bookmarkStart w:id="52" w:name="_Toc520356144"/>
      <w:r>
        <w:rPr>
          <w:rFonts w:ascii="宋体" w:hAnsi="宋体" w:eastAsia="宋体"/>
          <w:sz w:val="28"/>
        </w:rPr>
        <w:t>投标人须知资料表</w:t>
      </w:r>
    </w:p>
    <w:p w14:paraId="283F9F2E">
      <w:pPr>
        <w:spacing w:line="360" w:lineRule="auto"/>
        <w:ind w:firstLine="480"/>
        <w:rPr>
          <w:rFonts w:hint="eastAsia" w:ascii="宋体" w:hAnsi="宋体"/>
          <w:sz w:val="24"/>
        </w:rPr>
      </w:pPr>
      <w:r>
        <w:rPr>
          <w:rFonts w:ascii="宋体" w:hAnsi="宋体"/>
          <w:sz w:val="24"/>
        </w:rPr>
        <w:t>本表是对投标人须知的具体补充和修改，如有矛盾，均以本资料表为准。标记</w:t>
      </w:r>
      <w:r>
        <w:rPr>
          <w:rFonts w:ascii="宋体" w:hAnsi="宋体"/>
          <w:color w:val="000000"/>
          <w:sz w:val="24"/>
        </w:rPr>
        <w:t>“</w:t>
      </w:r>
      <w:r>
        <w:rPr>
          <w:rFonts w:ascii="宋体" w:hAnsi="宋体"/>
          <w:b/>
          <w:color w:val="000000"/>
          <w:sz w:val="24"/>
        </w:rPr>
        <w:t>■</w:t>
      </w:r>
      <w:r>
        <w:rPr>
          <w:rFonts w:ascii="宋体" w:hAnsi="宋体"/>
          <w:color w:val="000000"/>
          <w:sz w:val="24"/>
        </w:rPr>
        <w:t>”</w:t>
      </w:r>
      <w:r>
        <w:rPr>
          <w:rFonts w:ascii="宋体" w:hAnsi="宋体"/>
          <w:sz w:val="24"/>
        </w:rPr>
        <w:t>的选项意为适用于本项目，标记“□”的选项意为不适用于本项目。</w:t>
      </w:r>
    </w:p>
    <w:tbl>
      <w:tblPr>
        <w:tblStyle w:val="45"/>
        <w:tblW w:w="102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1701"/>
        <w:gridCol w:w="7540"/>
      </w:tblGrid>
      <w:tr w14:paraId="63076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988" w:type="dxa"/>
            <w:vAlign w:val="center"/>
          </w:tcPr>
          <w:p w14:paraId="2BCA5F3C">
            <w:pPr>
              <w:spacing w:line="288" w:lineRule="auto"/>
              <w:jc w:val="center"/>
              <w:rPr>
                <w:rFonts w:hint="eastAsia" w:ascii="宋体" w:hAnsi="宋体"/>
                <w:b/>
                <w:bCs/>
                <w:sz w:val="24"/>
              </w:rPr>
            </w:pPr>
            <w:r>
              <w:rPr>
                <w:rFonts w:ascii="宋体" w:hAnsi="宋体"/>
                <w:b/>
                <w:sz w:val="24"/>
              </w:rPr>
              <w:t>条款号</w:t>
            </w:r>
          </w:p>
        </w:tc>
        <w:tc>
          <w:tcPr>
            <w:tcW w:w="1701" w:type="dxa"/>
            <w:vAlign w:val="center"/>
          </w:tcPr>
          <w:p w14:paraId="0DB44B21">
            <w:pPr>
              <w:spacing w:line="288" w:lineRule="auto"/>
              <w:jc w:val="center"/>
              <w:rPr>
                <w:rFonts w:hint="eastAsia" w:ascii="宋体" w:hAnsi="宋体"/>
                <w:b/>
                <w:bCs/>
                <w:sz w:val="24"/>
              </w:rPr>
            </w:pPr>
            <w:r>
              <w:rPr>
                <w:rFonts w:ascii="宋体" w:hAnsi="宋体"/>
                <w:b/>
                <w:bCs/>
                <w:sz w:val="24"/>
              </w:rPr>
              <w:t>条目</w:t>
            </w:r>
          </w:p>
        </w:tc>
        <w:tc>
          <w:tcPr>
            <w:tcW w:w="7540" w:type="dxa"/>
            <w:vAlign w:val="center"/>
          </w:tcPr>
          <w:p w14:paraId="58B2EBA8">
            <w:pPr>
              <w:spacing w:line="288" w:lineRule="auto"/>
              <w:jc w:val="center"/>
              <w:rPr>
                <w:rFonts w:hint="eastAsia" w:ascii="宋体" w:hAnsi="宋体"/>
                <w:b/>
                <w:bCs/>
                <w:sz w:val="24"/>
              </w:rPr>
            </w:pPr>
            <w:r>
              <w:rPr>
                <w:rFonts w:ascii="宋体" w:hAnsi="宋体"/>
                <w:b/>
                <w:bCs/>
                <w:sz w:val="24"/>
              </w:rPr>
              <w:t>内容</w:t>
            </w:r>
          </w:p>
        </w:tc>
      </w:tr>
      <w:tr w14:paraId="5C89F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F267ED0">
            <w:pPr>
              <w:pStyle w:val="24"/>
              <w:adjustRightInd w:val="0"/>
              <w:snapToGrid w:val="0"/>
              <w:spacing w:line="288" w:lineRule="auto"/>
              <w:jc w:val="center"/>
              <w:rPr>
                <w:rFonts w:hAnsi="宋体"/>
                <w:sz w:val="24"/>
                <w:szCs w:val="24"/>
              </w:rPr>
            </w:pPr>
            <w:r>
              <w:rPr>
                <w:rFonts w:hint="default" w:hAnsi="宋体"/>
                <w:sz w:val="24"/>
                <w:szCs w:val="24"/>
              </w:rPr>
              <w:t>2.2</w:t>
            </w:r>
          </w:p>
        </w:tc>
        <w:tc>
          <w:tcPr>
            <w:tcW w:w="1701" w:type="dxa"/>
            <w:vAlign w:val="center"/>
          </w:tcPr>
          <w:p w14:paraId="72DBBD63">
            <w:pPr>
              <w:spacing w:line="288" w:lineRule="auto"/>
              <w:jc w:val="center"/>
              <w:rPr>
                <w:rFonts w:hint="eastAsia" w:ascii="宋体" w:hAnsi="宋体"/>
                <w:sz w:val="24"/>
              </w:rPr>
            </w:pPr>
            <w:r>
              <w:rPr>
                <w:rFonts w:ascii="宋体" w:hAnsi="宋体"/>
                <w:sz w:val="24"/>
              </w:rPr>
              <w:t>项目属性</w:t>
            </w:r>
          </w:p>
        </w:tc>
        <w:tc>
          <w:tcPr>
            <w:tcW w:w="7540" w:type="dxa"/>
            <w:vAlign w:val="center"/>
          </w:tcPr>
          <w:p w14:paraId="00FBF245">
            <w:pPr>
              <w:spacing w:line="288" w:lineRule="auto"/>
              <w:jc w:val="left"/>
              <w:rPr>
                <w:rFonts w:hint="eastAsia" w:ascii="宋体" w:hAnsi="宋体"/>
                <w:sz w:val="24"/>
                <w:u w:val="single"/>
              </w:rPr>
            </w:pPr>
            <w:r>
              <w:rPr>
                <w:sz w:val="24"/>
              </w:rPr>
              <w:t>项目属性：</w:t>
            </w:r>
            <w:r>
              <w:rPr>
                <w:rFonts w:hint="eastAsia"/>
                <w:sz w:val="24"/>
              </w:rPr>
              <w:t>货物</w:t>
            </w:r>
          </w:p>
        </w:tc>
      </w:tr>
      <w:tr w14:paraId="2EE5B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3C7C68D">
            <w:pPr>
              <w:pStyle w:val="24"/>
              <w:adjustRightInd w:val="0"/>
              <w:snapToGrid w:val="0"/>
              <w:spacing w:line="288" w:lineRule="auto"/>
              <w:jc w:val="center"/>
              <w:rPr>
                <w:rFonts w:hAnsi="宋体"/>
                <w:sz w:val="24"/>
                <w:szCs w:val="24"/>
              </w:rPr>
            </w:pPr>
            <w:r>
              <w:rPr>
                <w:rFonts w:hint="default" w:hAnsi="宋体"/>
                <w:sz w:val="24"/>
                <w:szCs w:val="24"/>
              </w:rPr>
              <w:t>2.3</w:t>
            </w:r>
          </w:p>
        </w:tc>
        <w:tc>
          <w:tcPr>
            <w:tcW w:w="1701" w:type="dxa"/>
            <w:vAlign w:val="center"/>
          </w:tcPr>
          <w:p w14:paraId="1218CD6B">
            <w:pPr>
              <w:spacing w:line="288" w:lineRule="auto"/>
              <w:jc w:val="center"/>
              <w:rPr>
                <w:rFonts w:hint="eastAsia" w:ascii="宋体" w:hAnsi="宋体"/>
                <w:sz w:val="24"/>
              </w:rPr>
            </w:pPr>
            <w:r>
              <w:rPr>
                <w:rFonts w:ascii="宋体" w:hAnsi="宋体"/>
                <w:sz w:val="24"/>
              </w:rPr>
              <w:t>科研仪器设备</w:t>
            </w:r>
          </w:p>
        </w:tc>
        <w:tc>
          <w:tcPr>
            <w:tcW w:w="7540" w:type="dxa"/>
            <w:vAlign w:val="center"/>
          </w:tcPr>
          <w:p w14:paraId="5C8D2C34">
            <w:pPr>
              <w:spacing w:line="288" w:lineRule="auto"/>
              <w:jc w:val="left"/>
              <w:rPr>
                <w:rFonts w:hint="eastAsia" w:ascii="宋体" w:hAnsi="宋体"/>
                <w:sz w:val="24"/>
              </w:rPr>
            </w:pPr>
            <w:r>
              <w:rPr>
                <w:rFonts w:ascii="宋体" w:hAnsi="宋体"/>
                <w:sz w:val="24"/>
              </w:rPr>
              <w:t>是否属于科研仪器设备采购项目：</w:t>
            </w:r>
            <w:r>
              <w:rPr>
                <w:rFonts w:hint="eastAsia" w:ascii="宋体" w:hAnsi="宋体"/>
                <w:sz w:val="24"/>
              </w:rPr>
              <w:t>详见第五章，如未提及则不属于</w:t>
            </w:r>
          </w:p>
        </w:tc>
      </w:tr>
      <w:tr w14:paraId="1A05D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DEEAE18">
            <w:pPr>
              <w:pStyle w:val="24"/>
              <w:adjustRightInd w:val="0"/>
              <w:snapToGrid w:val="0"/>
              <w:spacing w:line="288" w:lineRule="auto"/>
              <w:jc w:val="center"/>
              <w:rPr>
                <w:rFonts w:hAnsi="宋体"/>
                <w:sz w:val="24"/>
                <w:szCs w:val="24"/>
              </w:rPr>
            </w:pPr>
            <w:r>
              <w:rPr>
                <w:rFonts w:hint="default" w:hAnsi="宋体"/>
                <w:sz w:val="24"/>
                <w:szCs w:val="24"/>
              </w:rPr>
              <w:t>2.4</w:t>
            </w:r>
          </w:p>
        </w:tc>
        <w:tc>
          <w:tcPr>
            <w:tcW w:w="1701" w:type="dxa"/>
            <w:vAlign w:val="center"/>
          </w:tcPr>
          <w:p w14:paraId="0899959B">
            <w:pPr>
              <w:spacing w:line="288" w:lineRule="auto"/>
              <w:jc w:val="center"/>
              <w:rPr>
                <w:rFonts w:hint="eastAsia" w:ascii="宋体" w:hAnsi="宋体"/>
                <w:sz w:val="24"/>
              </w:rPr>
            </w:pPr>
            <w:r>
              <w:rPr>
                <w:rFonts w:ascii="宋体" w:hAnsi="宋体"/>
                <w:sz w:val="24"/>
              </w:rPr>
              <w:t>核心产品</w:t>
            </w:r>
          </w:p>
        </w:tc>
        <w:tc>
          <w:tcPr>
            <w:tcW w:w="7540" w:type="dxa"/>
            <w:vAlign w:val="center"/>
          </w:tcPr>
          <w:p w14:paraId="070D0858">
            <w:pPr>
              <w:pStyle w:val="24"/>
              <w:adjustRightInd w:val="0"/>
              <w:snapToGrid w:val="0"/>
              <w:spacing w:line="288" w:lineRule="auto"/>
              <w:rPr>
                <w:rFonts w:hAnsi="宋体"/>
                <w:sz w:val="24"/>
                <w:szCs w:val="24"/>
              </w:rPr>
            </w:pPr>
            <w:r>
              <w:rPr>
                <w:rFonts w:hAnsi="宋体"/>
                <w:b/>
                <w:color w:val="000000"/>
                <w:sz w:val="24"/>
                <w:szCs w:val="24"/>
              </w:rPr>
              <w:t>■</w:t>
            </w:r>
            <w:r>
              <w:rPr>
                <w:rFonts w:hAnsi="宋体"/>
                <w:sz w:val="24"/>
              </w:rPr>
              <w:t>本项目如为非单一产品采购项目，各分包的核心产品为</w:t>
            </w:r>
            <w:r>
              <w:rPr>
                <w:rFonts w:hAnsi="宋体"/>
                <w:sz w:val="24"/>
                <w:szCs w:val="24"/>
              </w:rPr>
              <w:t>详见第五章，如为单一产品采购则不涉及核心产品，服务项目不涉及。</w:t>
            </w:r>
          </w:p>
        </w:tc>
      </w:tr>
      <w:tr w14:paraId="3E97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restart"/>
            <w:vAlign w:val="center"/>
          </w:tcPr>
          <w:p w14:paraId="6C4EFB17">
            <w:pPr>
              <w:pStyle w:val="24"/>
              <w:adjustRightInd w:val="0"/>
              <w:snapToGrid w:val="0"/>
              <w:spacing w:line="288" w:lineRule="auto"/>
              <w:jc w:val="center"/>
              <w:rPr>
                <w:rFonts w:hAnsi="宋体"/>
                <w:sz w:val="24"/>
                <w:szCs w:val="24"/>
              </w:rPr>
            </w:pPr>
            <w:r>
              <w:rPr>
                <w:rFonts w:hint="default" w:hAnsi="宋体"/>
                <w:sz w:val="24"/>
                <w:szCs w:val="24"/>
              </w:rPr>
              <w:t>3.1</w:t>
            </w:r>
          </w:p>
        </w:tc>
        <w:tc>
          <w:tcPr>
            <w:tcW w:w="1701" w:type="dxa"/>
            <w:vAlign w:val="center"/>
          </w:tcPr>
          <w:p w14:paraId="2D039C17">
            <w:pPr>
              <w:spacing w:line="288" w:lineRule="auto"/>
              <w:jc w:val="center"/>
              <w:rPr>
                <w:rFonts w:hint="eastAsia" w:ascii="宋体" w:hAnsi="宋体"/>
                <w:sz w:val="24"/>
              </w:rPr>
            </w:pPr>
            <w:r>
              <w:rPr>
                <w:rFonts w:ascii="宋体" w:hAnsi="宋体"/>
                <w:sz w:val="24"/>
              </w:rPr>
              <w:t>现场考察</w:t>
            </w:r>
          </w:p>
        </w:tc>
        <w:tc>
          <w:tcPr>
            <w:tcW w:w="7540" w:type="dxa"/>
            <w:vAlign w:val="center"/>
          </w:tcPr>
          <w:p w14:paraId="7E87E635">
            <w:pPr>
              <w:pStyle w:val="24"/>
              <w:adjustRightInd w:val="0"/>
              <w:snapToGrid w:val="0"/>
              <w:spacing w:line="288" w:lineRule="auto"/>
              <w:rPr>
                <w:rFonts w:hAnsi="宋体"/>
                <w:sz w:val="24"/>
                <w:szCs w:val="24"/>
              </w:rPr>
            </w:pPr>
            <w:r>
              <w:rPr>
                <w:rFonts w:ascii="Times New Roman" w:hAnsi="宋体"/>
                <w:b/>
                <w:color w:val="000000"/>
                <w:sz w:val="24"/>
                <w:szCs w:val="24"/>
              </w:rPr>
              <w:t>详见第五章，如未要求则不涉及</w:t>
            </w:r>
          </w:p>
        </w:tc>
      </w:tr>
      <w:tr w14:paraId="66375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Merge w:val="continue"/>
            <w:vAlign w:val="center"/>
          </w:tcPr>
          <w:p w14:paraId="561E1085">
            <w:pPr>
              <w:pStyle w:val="24"/>
              <w:adjustRightInd w:val="0"/>
              <w:snapToGrid w:val="0"/>
              <w:spacing w:line="288" w:lineRule="auto"/>
              <w:jc w:val="center"/>
              <w:rPr>
                <w:rFonts w:hAnsi="宋体"/>
                <w:sz w:val="24"/>
                <w:szCs w:val="24"/>
              </w:rPr>
            </w:pPr>
          </w:p>
        </w:tc>
        <w:tc>
          <w:tcPr>
            <w:tcW w:w="1701" w:type="dxa"/>
            <w:vAlign w:val="center"/>
          </w:tcPr>
          <w:p w14:paraId="5A6CB3A7">
            <w:pPr>
              <w:spacing w:line="288" w:lineRule="auto"/>
              <w:jc w:val="center"/>
              <w:rPr>
                <w:rFonts w:hint="eastAsia" w:ascii="宋体" w:hAnsi="宋体"/>
                <w:sz w:val="24"/>
              </w:rPr>
            </w:pPr>
            <w:r>
              <w:rPr>
                <w:rFonts w:ascii="宋体" w:hAnsi="宋体"/>
                <w:sz w:val="24"/>
              </w:rPr>
              <w:t>开标前答疑会</w:t>
            </w:r>
          </w:p>
        </w:tc>
        <w:tc>
          <w:tcPr>
            <w:tcW w:w="7540" w:type="dxa"/>
            <w:vAlign w:val="center"/>
          </w:tcPr>
          <w:p w14:paraId="1734F8BE">
            <w:pPr>
              <w:spacing w:line="288" w:lineRule="auto"/>
              <w:jc w:val="left"/>
              <w:rPr>
                <w:rFonts w:hint="eastAsia" w:ascii="宋体" w:hAnsi="宋体"/>
                <w:sz w:val="24"/>
              </w:rPr>
            </w:pPr>
            <w:r>
              <w:rPr>
                <w:rFonts w:hint="eastAsia" w:hAnsi="宋体"/>
                <w:b/>
                <w:color w:val="000000"/>
                <w:sz w:val="24"/>
              </w:rPr>
              <w:t>详见第五章，</w:t>
            </w:r>
            <w:r>
              <w:rPr>
                <w:rFonts w:hAnsi="宋体"/>
                <w:b/>
                <w:color w:val="000000"/>
                <w:sz w:val="24"/>
              </w:rPr>
              <w:t>如未要求则不涉及</w:t>
            </w:r>
          </w:p>
        </w:tc>
      </w:tr>
      <w:tr w14:paraId="68C46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48A6ECB">
            <w:pPr>
              <w:pStyle w:val="24"/>
              <w:adjustRightInd w:val="0"/>
              <w:snapToGrid w:val="0"/>
              <w:spacing w:line="288" w:lineRule="auto"/>
              <w:jc w:val="center"/>
              <w:rPr>
                <w:rFonts w:hAnsi="宋体"/>
                <w:sz w:val="24"/>
                <w:szCs w:val="24"/>
              </w:rPr>
            </w:pPr>
            <w:r>
              <w:rPr>
                <w:rFonts w:hint="default" w:hAnsi="宋体"/>
                <w:sz w:val="24"/>
                <w:szCs w:val="24"/>
              </w:rPr>
              <w:t>4.1</w:t>
            </w:r>
          </w:p>
        </w:tc>
        <w:tc>
          <w:tcPr>
            <w:tcW w:w="1701" w:type="dxa"/>
            <w:vAlign w:val="center"/>
          </w:tcPr>
          <w:p w14:paraId="7DC95FC6">
            <w:pPr>
              <w:spacing w:line="288" w:lineRule="auto"/>
              <w:jc w:val="center"/>
              <w:rPr>
                <w:rFonts w:hint="eastAsia" w:ascii="宋体" w:hAnsi="宋体"/>
                <w:sz w:val="24"/>
              </w:rPr>
            </w:pPr>
            <w:r>
              <w:rPr>
                <w:rFonts w:ascii="宋体" w:hAnsi="宋体"/>
                <w:sz w:val="24"/>
              </w:rPr>
              <w:t>样品</w:t>
            </w:r>
          </w:p>
        </w:tc>
        <w:tc>
          <w:tcPr>
            <w:tcW w:w="7540" w:type="dxa"/>
            <w:vAlign w:val="center"/>
          </w:tcPr>
          <w:p w14:paraId="316C1CDA">
            <w:pPr>
              <w:spacing w:line="288" w:lineRule="auto"/>
              <w:jc w:val="left"/>
              <w:rPr>
                <w:rFonts w:hint="eastAsia" w:ascii="宋体" w:hAnsi="宋体"/>
                <w:sz w:val="24"/>
              </w:rPr>
            </w:pPr>
            <w:r>
              <w:rPr>
                <w:rFonts w:ascii="宋体" w:hAnsi="宋体"/>
                <w:sz w:val="24"/>
              </w:rPr>
              <w:t>投标样品递交：</w:t>
            </w:r>
          </w:p>
          <w:p w14:paraId="1B9B9CA8">
            <w:pPr>
              <w:spacing w:line="288" w:lineRule="auto"/>
              <w:jc w:val="left"/>
              <w:rPr>
                <w:rFonts w:hint="eastAsia" w:ascii="宋体" w:hAnsi="宋体"/>
                <w:sz w:val="24"/>
              </w:rPr>
            </w:pPr>
            <w:r>
              <w:rPr>
                <w:rFonts w:hAnsi="宋体"/>
                <w:b/>
                <w:color w:val="000000"/>
                <w:sz w:val="24"/>
              </w:rPr>
              <w:t>■</w:t>
            </w:r>
            <w:r>
              <w:rPr>
                <w:rFonts w:hint="eastAsia" w:ascii="宋体" w:hAnsi="宋体"/>
                <w:sz w:val="24"/>
              </w:rPr>
              <w:t>是否需要详见第五章，如未要求则不需要</w:t>
            </w:r>
          </w:p>
          <w:p w14:paraId="3BD59B1E">
            <w:pPr>
              <w:spacing w:line="288" w:lineRule="auto"/>
              <w:jc w:val="left"/>
              <w:rPr>
                <w:rFonts w:hint="eastAsia" w:ascii="宋体" w:hAnsi="宋体"/>
                <w:sz w:val="24"/>
              </w:rPr>
            </w:pPr>
            <w:r>
              <w:rPr>
                <w:rFonts w:hint="eastAsia" w:ascii="宋体" w:hAnsi="宋体"/>
                <w:sz w:val="24"/>
              </w:rPr>
              <w:t>如需要则</w:t>
            </w:r>
            <w:r>
              <w:rPr>
                <w:rFonts w:ascii="宋体" w:hAnsi="宋体"/>
                <w:sz w:val="24"/>
              </w:rPr>
              <w:t>具体要求如下：</w:t>
            </w:r>
          </w:p>
          <w:p w14:paraId="0CACAFAF">
            <w:pPr>
              <w:spacing w:line="288" w:lineRule="auto"/>
              <w:jc w:val="left"/>
              <w:rPr>
                <w:rFonts w:hint="eastAsia" w:ascii="宋体" w:hAnsi="宋体"/>
                <w:sz w:val="24"/>
                <w:u w:val="single"/>
              </w:rPr>
            </w:pPr>
            <w:r>
              <w:rPr>
                <w:rFonts w:ascii="宋体" w:hAnsi="宋体"/>
                <w:sz w:val="24"/>
              </w:rPr>
              <w:t>（1）样品制作的标准和要求</w:t>
            </w:r>
            <w:r>
              <w:rPr>
                <w:rFonts w:hint="eastAsia" w:ascii="宋体" w:hAnsi="宋体"/>
                <w:sz w:val="24"/>
              </w:rPr>
              <w:t>详见第五章</w:t>
            </w:r>
          </w:p>
          <w:p w14:paraId="57DC819F">
            <w:pPr>
              <w:spacing w:line="288" w:lineRule="auto"/>
              <w:jc w:val="left"/>
              <w:rPr>
                <w:rFonts w:hint="eastAsia" w:ascii="宋体" w:hAnsi="宋体"/>
                <w:sz w:val="24"/>
              </w:rPr>
            </w:pPr>
            <w:r>
              <w:rPr>
                <w:rFonts w:ascii="宋体" w:hAnsi="宋体"/>
                <w:sz w:val="24"/>
              </w:rPr>
              <w:t>（2）是否需要随样品提交相关检测报告：</w:t>
            </w:r>
            <w:r>
              <w:rPr>
                <w:rFonts w:hint="eastAsia" w:ascii="宋体" w:hAnsi="宋体"/>
                <w:sz w:val="24"/>
              </w:rPr>
              <w:t>详见第五章，如未提供则不需要</w:t>
            </w:r>
          </w:p>
          <w:p w14:paraId="4165A1AE">
            <w:pPr>
              <w:spacing w:line="288" w:lineRule="auto"/>
              <w:jc w:val="left"/>
              <w:rPr>
                <w:rFonts w:hint="eastAsia" w:ascii="宋体" w:hAnsi="宋体"/>
                <w:sz w:val="24"/>
              </w:rPr>
            </w:pPr>
            <w:r>
              <w:rPr>
                <w:rFonts w:ascii="宋体" w:hAnsi="宋体"/>
                <w:sz w:val="24"/>
              </w:rPr>
              <w:t>（3）样品递交要求：</w:t>
            </w:r>
            <w:r>
              <w:rPr>
                <w:rFonts w:hint="eastAsia" w:ascii="宋体" w:hAnsi="宋体"/>
                <w:sz w:val="24"/>
              </w:rPr>
              <w:t>详见第五章</w:t>
            </w:r>
          </w:p>
          <w:p w14:paraId="72F85FC8">
            <w:pPr>
              <w:spacing w:line="288" w:lineRule="auto"/>
              <w:jc w:val="left"/>
              <w:rPr>
                <w:rFonts w:hint="eastAsia" w:ascii="宋体" w:hAnsi="宋体"/>
                <w:sz w:val="24"/>
              </w:rPr>
            </w:pPr>
            <w:r>
              <w:rPr>
                <w:rFonts w:ascii="宋体" w:hAnsi="宋体"/>
                <w:sz w:val="24"/>
              </w:rPr>
              <w:t>（4）未中标人样品退还：</w:t>
            </w:r>
            <w:r>
              <w:rPr>
                <w:rFonts w:hint="eastAsia" w:ascii="宋体" w:hAnsi="宋体"/>
                <w:sz w:val="24"/>
              </w:rPr>
              <w:t>详见第五章</w:t>
            </w:r>
          </w:p>
          <w:p w14:paraId="3D7F781D">
            <w:pPr>
              <w:spacing w:line="288" w:lineRule="auto"/>
              <w:jc w:val="left"/>
              <w:rPr>
                <w:rFonts w:hint="eastAsia" w:ascii="宋体" w:hAnsi="宋体"/>
                <w:sz w:val="24"/>
                <w:u w:val="single"/>
              </w:rPr>
            </w:pPr>
            <w:r>
              <w:rPr>
                <w:rFonts w:ascii="宋体" w:hAnsi="宋体"/>
                <w:sz w:val="24"/>
              </w:rPr>
              <w:t>（5）中标人样品保管、封存及退还：</w:t>
            </w:r>
            <w:r>
              <w:rPr>
                <w:rFonts w:hint="eastAsia" w:ascii="宋体" w:hAnsi="宋体"/>
                <w:sz w:val="24"/>
              </w:rPr>
              <w:t>详见第五章</w:t>
            </w:r>
          </w:p>
          <w:p w14:paraId="5E2FBF22">
            <w:pPr>
              <w:spacing w:line="288" w:lineRule="auto"/>
              <w:jc w:val="left"/>
              <w:rPr>
                <w:rFonts w:hint="eastAsia" w:ascii="宋体" w:hAnsi="宋体"/>
                <w:sz w:val="24"/>
              </w:rPr>
            </w:pPr>
            <w:r>
              <w:rPr>
                <w:rFonts w:ascii="宋体" w:hAnsi="宋体"/>
                <w:sz w:val="24"/>
              </w:rPr>
              <w:t>（6）其他要求：</w:t>
            </w:r>
            <w:r>
              <w:rPr>
                <w:rFonts w:hint="eastAsia" w:ascii="宋体" w:hAnsi="宋体"/>
                <w:sz w:val="24"/>
              </w:rPr>
              <w:t>详见第五章</w:t>
            </w:r>
          </w:p>
        </w:tc>
      </w:tr>
      <w:tr w14:paraId="298D9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22146A6">
            <w:pPr>
              <w:pStyle w:val="24"/>
              <w:adjustRightInd w:val="0"/>
              <w:snapToGrid w:val="0"/>
              <w:spacing w:line="288" w:lineRule="auto"/>
              <w:jc w:val="center"/>
              <w:rPr>
                <w:rFonts w:hAnsi="宋体"/>
                <w:sz w:val="24"/>
                <w:szCs w:val="24"/>
              </w:rPr>
            </w:pPr>
            <w:r>
              <w:rPr>
                <w:rFonts w:hint="default" w:hAnsi="宋体"/>
                <w:sz w:val="24"/>
                <w:szCs w:val="24"/>
              </w:rPr>
              <w:t>5.2.5</w:t>
            </w:r>
          </w:p>
        </w:tc>
        <w:tc>
          <w:tcPr>
            <w:tcW w:w="1701" w:type="dxa"/>
            <w:vAlign w:val="center"/>
          </w:tcPr>
          <w:p w14:paraId="61A0310F">
            <w:pPr>
              <w:spacing w:line="288" w:lineRule="auto"/>
              <w:jc w:val="center"/>
              <w:rPr>
                <w:rFonts w:hint="eastAsia" w:ascii="宋体" w:hAnsi="宋体"/>
                <w:sz w:val="24"/>
              </w:rPr>
            </w:pPr>
            <w:r>
              <w:rPr>
                <w:rFonts w:ascii="宋体" w:hAnsi="宋体"/>
                <w:sz w:val="24"/>
              </w:rPr>
              <w:t>标的所属行业</w:t>
            </w:r>
          </w:p>
        </w:tc>
        <w:tc>
          <w:tcPr>
            <w:tcW w:w="7540" w:type="dxa"/>
            <w:vAlign w:val="center"/>
          </w:tcPr>
          <w:p w14:paraId="5986F5B9">
            <w:pPr>
              <w:spacing w:line="288" w:lineRule="auto"/>
              <w:jc w:val="left"/>
              <w:rPr>
                <w:rFonts w:hint="eastAsia" w:ascii="宋体" w:hAnsi="宋体"/>
                <w:sz w:val="24"/>
              </w:rPr>
            </w:pPr>
            <w:r>
              <w:rPr>
                <w:rFonts w:ascii="宋体" w:hAnsi="宋体"/>
                <w:sz w:val="24"/>
              </w:rPr>
              <w:t>本项目采购标的对应的中小企业划分标准所属行业：</w:t>
            </w:r>
            <w:r>
              <w:rPr>
                <w:rFonts w:hint="eastAsia" w:ascii="宋体" w:hAnsi="宋体"/>
                <w:sz w:val="24"/>
              </w:rPr>
              <w:t>详见第五章</w:t>
            </w:r>
          </w:p>
        </w:tc>
      </w:tr>
      <w:tr w14:paraId="38AF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8A33474">
            <w:pPr>
              <w:pStyle w:val="24"/>
              <w:adjustRightInd w:val="0"/>
              <w:snapToGrid w:val="0"/>
              <w:spacing w:line="288" w:lineRule="auto"/>
              <w:jc w:val="center"/>
              <w:rPr>
                <w:rFonts w:hAnsi="宋体"/>
                <w:sz w:val="24"/>
                <w:szCs w:val="24"/>
              </w:rPr>
            </w:pPr>
            <w:r>
              <w:rPr>
                <w:rFonts w:hAnsi="宋体"/>
                <w:sz w:val="24"/>
                <w:szCs w:val="24"/>
              </w:rPr>
              <w:t>1</w:t>
            </w:r>
            <w:r>
              <w:rPr>
                <w:rFonts w:hint="default" w:hAnsi="宋体"/>
                <w:sz w:val="24"/>
                <w:szCs w:val="24"/>
              </w:rPr>
              <w:t>1.2</w:t>
            </w:r>
          </w:p>
        </w:tc>
        <w:tc>
          <w:tcPr>
            <w:tcW w:w="1701" w:type="dxa"/>
            <w:vAlign w:val="center"/>
          </w:tcPr>
          <w:p w14:paraId="682014D0">
            <w:pPr>
              <w:spacing w:line="288" w:lineRule="auto"/>
              <w:jc w:val="center"/>
              <w:rPr>
                <w:rFonts w:hint="eastAsia" w:ascii="宋体" w:hAnsi="宋体"/>
                <w:sz w:val="24"/>
              </w:rPr>
            </w:pPr>
            <w:r>
              <w:rPr>
                <w:rFonts w:hint="eastAsia" w:ascii="宋体" w:hAnsi="宋体"/>
                <w:sz w:val="24"/>
              </w:rPr>
              <w:t>投标报价</w:t>
            </w:r>
          </w:p>
        </w:tc>
        <w:tc>
          <w:tcPr>
            <w:tcW w:w="7540" w:type="dxa"/>
            <w:vAlign w:val="center"/>
          </w:tcPr>
          <w:p w14:paraId="31CB6520">
            <w:pPr>
              <w:spacing w:line="288" w:lineRule="auto"/>
              <w:jc w:val="left"/>
              <w:rPr>
                <w:rFonts w:hint="eastAsia" w:ascii="宋体" w:hAnsi="宋体"/>
                <w:sz w:val="24"/>
              </w:rPr>
            </w:pPr>
            <w:r>
              <w:rPr>
                <w:rFonts w:hint="eastAsia" w:ascii="宋体" w:hAnsi="宋体"/>
                <w:sz w:val="24"/>
              </w:rPr>
              <w:t>投标报价的特殊规定：</w:t>
            </w:r>
          </w:p>
          <w:p w14:paraId="62F3563D">
            <w:pPr>
              <w:spacing w:line="288" w:lineRule="auto"/>
              <w:jc w:val="left"/>
              <w:rPr>
                <w:rFonts w:hint="eastAsia" w:ascii="宋体" w:hAnsi="宋体"/>
                <w:sz w:val="24"/>
              </w:rPr>
            </w:pPr>
            <w:r>
              <w:rPr>
                <w:rFonts w:ascii="宋体" w:hAnsi="宋体"/>
                <w:b/>
                <w:color w:val="000000"/>
                <w:sz w:val="24"/>
              </w:rPr>
              <w:t>■</w:t>
            </w:r>
            <w:r>
              <w:rPr>
                <w:rFonts w:ascii="宋体" w:hAnsi="宋体"/>
                <w:sz w:val="24"/>
              </w:rPr>
              <w:t>无</w:t>
            </w:r>
          </w:p>
          <w:p w14:paraId="2C40454B">
            <w:pPr>
              <w:spacing w:line="288" w:lineRule="auto"/>
              <w:jc w:val="left"/>
              <w:rPr>
                <w:rFonts w:hint="eastAsia" w:ascii="宋体" w:hAnsi="宋体"/>
                <w:sz w:val="24"/>
                <w:u w:val="single"/>
              </w:rPr>
            </w:pPr>
            <w:r>
              <w:rPr>
                <w:rFonts w:ascii="宋体" w:hAnsi="宋体"/>
                <w:sz w:val="24"/>
              </w:rPr>
              <w:t xml:space="preserve">□有，具体情形： </w:t>
            </w:r>
            <w:r>
              <w:rPr>
                <w:rFonts w:hint="eastAsia" w:ascii="宋体" w:hAnsi="宋体"/>
                <w:sz w:val="24"/>
                <w:u w:val="single"/>
              </w:rPr>
              <w:t xml:space="preserve"> </w:t>
            </w:r>
            <w:r>
              <w:rPr>
                <w:rFonts w:ascii="宋体" w:hAnsi="宋体"/>
                <w:sz w:val="24"/>
                <w:u w:val="single"/>
              </w:rPr>
              <w:t xml:space="preserve">              </w:t>
            </w:r>
          </w:p>
        </w:tc>
      </w:tr>
      <w:tr w14:paraId="572AF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EAAF351">
            <w:pPr>
              <w:pStyle w:val="24"/>
              <w:adjustRightInd w:val="0"/>
              <w:snapToGrid w:val="0"/>
              <w:spacing w:line="288" w:lineRule="auto"/>
              <w:jc w:val="center"/>
              <w:rPr>
                <w:rFonts w:hAnsi="宋体"/>
                <w:sz w:val="24"/>
                <w:szCs w:val="24"/>
              </w:rPr>
            </w:pPr>
            <w:r>
              <w:rPr>
                <w:rFonts w:hint="default" w:hAnsi="宋体"/>
                <w:sz w:val="24"/>
                <w:szCs w:val="24"/>
              </w:rPr>
              <w:t>12.1</w:t>
            </w:r>
          </w:p>
        </w:tc>
        <w:tc>
          <w:tcPr>
            <w:tcW w:w="1701" w:type="dxa"/>
            <w:vMerge w:val="restart"/>
            <w:vAlign w:val="center"/>
          </w:tcPr>
          <w:p w14:paraId="6F4540BE">
            <w:pPr>
              <w:spacing w:line="288" w:lineRule="auto"/>
              <w:jc w:val="center"/>
              <w:rPr>
                <w:rFonts w:hint="eastAsia" w:ascii="宋体" w:hAnsi="宋体"/>
                <w:sz w:val="24"/>
              </w:rPr>
            </w:pPr>
            <w:r>
              <w:rPr>
                <w:rFonts w:ascii="宋体" w:hAnsi="宋体"/>
                <w:sz w:val="24"/>
              </w:rPr>
              <w:t>投标保证金</w:t>
            </w:r>
          </w:p>
        </w:tc>
        <w:tc>
          <w:tcPr>
            <w:tcW w:w="7540" w:type="dxa"/>
            <w:vAlign w:val="center"/>
          </w:tcPr>
          <w:p w14:paraId="4ED19C74">
            <w:pPr>
              <w:pStyle w:val="24"/>
              <w:adjustRightInd w:val="0"/>
              <w:snapToGrid w:val="0"/>
              <w:spacing w:line="288" w:lineRule="auto"/>
              <w:rPr>
                <w:rFonts w:hAnsi="宋体"/>
                <w:sz w:val="24"/>
                <w:szCs w:val="24"/>
              </w:rPr>
            </w:pPr>
            <w:bookmarkStart w:id="53" w:name="OLE_LINK5"/>
            <w:r>
              <w:rPr>
                <w:rFonts w:hint="default" w:hAnsi="宋体"/>
                <w:sz w:val="24"/>
                <w:szCs w:val="24"/>
              </w:rPr>
              <w:t>投标保证金金额：</w:t>
            </w:r>
          </w:p>
          <w:p w14:paraId="5A6BE97A">
            <w:pPr>
              <w:jc w:val="left"/>
              <w:rPr>
                <w:rFonts w:hint="eastAsia" w:hAnsi="宋体"/>
                <w:sz w:val="24"/>
                <w:u w:val="single"/>
              </w:rPr>
            </w:pPr>
            <w:r>
              <w:rPr>
                <w:rFonts w:hAnsi="宋体"/>
                <w:sz w:val="24"/>
                <w:u w:val="single"/>
              </w:rPr>
              <w:t>项目</w:t>
            </w:r>
            <w:r>
              <w:rPr>
                <w:rFonts w:hint="eastAsia" w:hAnsi="宋体"/>
                <w:sz w:val="24"/>
                <w:u w:val="single"/>
              </w:rPr>
              <w:t>（所投包号）</w:t>
            </w:r>
            <w:r>
              <w:rPr>
                <w:rFonts w:hAnsi="宋体"/>
                <w:sz w:val="24"/>
                <w:u w:val="single"/>
              </w:rPr>
              <w:t>预算金额的2%</w:t>
            </w:r>
            <w:r>
              <w:rPr>
                <w:rFonts w:hint="eastAsia" w:hAnsi="宋体"/>
                <w:sz w:val="24"/>
              </w:rPr>
              <w:t>（注“保证金需精确到元，元后面（小数点后）的金额不用考虑四舍五入，直接省略即可，如</w:t>
            </w:r>
            <w:r>
              <w:rPr>
                <w:rFonts w:hAnsi="宋体"/>
                <w:sz w:val="24"/>
              </w:rPr>
              <w:t>100.7635</w:t>
            </w:r>
            <w:r>
              <w:rPr>
                <w:rFonts w:hint="eastAsia" w:hAnsi="宋体"/>
                <w:sz w:val="24"/>
              </w:rPr>
              <w:t>元，则汇</w:t>
            </w:r>
            <w:r>
              <w:rPr>
                <w:rFonts w:hAnsi="宋体"/>
                <w:sz w:val="24"/>
              </w:rPr>
              <w:t>100</w:t>
            </w:r>
            <w:r>
              <w:rPr>
                <w:rFonts w:hint="eastAsia" w:hAnsi="宋体"/>
                <w:sz w:val="24"/>
              </w:rPr>
              <w:t>元即可”），如一招多年的项目，需按多年总预算计算保证金。</w:t>
            </w:r>
          </w:p>
          <w:bookmarkEnd w:id="53"/>
          <w:p w14:paraId="78E8D744">
            <w:pPr>
              <w:jc w:val="left"/>
              <w:rPr>
                <w:sz w:val="24"/>
              </w:rPr>
            </w:pPr>
            <w:r>
              <w:rPr>
                <w:sz w:val="24"/>
              </w:rPr>
              <w:t>磋商保证金</w:t>
            </w:r>
            <w:r>
              <w:rPr>
                <w:rFonts w:hint="eastAsia"/>
                <w:sz w:val="24"/>
              </w:rPr>
              <w:t>、购买采购文件</w:t>
            </w:r>
            <w:r>
              <w:rPr>
                <w:sz w:val="24"/>
              </w:rPr>
              <w:t>收受人信息：</w:t>
            </w:r>
          </w:p>
          <w:p w14:paraId="179745C4">
            <w:pPr>
              <w:spacing w:line="360" w:lineRule="auto"/>
              <w:ind w:firstLine="480" w:firstLineChars="200"/>
              <w:rPr>
                <w:rFonts w:hint="eastAsia" w:ascii="宋体" w:hAnsi="宋体"/>
                <w:sz w:val="24"/>
              </w:rPr>
            </w:pPr>
            <w:r>
              <w:rPr>
                <w:rFonts w:hint="eastAsia" w:ascii="宋体" w:hAnsi="宋体"/>
                <w:sz w:val="24"/>
              </w:rPr>
              <w:t>公司名称：北京明德致信咨询有限公司</w:t>
            </w:r>
          </w:p>
          <w:p w14:paraId="215C1FA3">
            <w:pPr>
              <w:spacing w:line="360" w:lineRule="auto"/>
              <w:ind w:firstLine="480" w:firstLineChars="200"/>
              <w:rPr>
                <w:rFonts w:hint="eastAsia" w:ascii="宋体" w:hAnsi="宋体"/>
                <w:sz w:val="24"/>
              </w:rPr>
            </w:pPr>
            <w:r>
              <w:rPr>
                <w:rFonts w:hint="eastAsia" w:ascii="宋体" w:hAnsi="宋体"/>
                <w:sz w:val="24"/>
              </w:rPr>
              <w:t>开 户 行：中国工商银行股份有限公司北京东升路支行</w:t>
            </w:r>
          </w:p>
          <w:p w14:paraId="663662DD">
            <w:pPr>
              <w:spacing w:line="360" w:lineRule="auto"/>
              <w:ind w:firstLine="480" w:firstLineChars="200"/>
              <w:rPr>
                <w:rFonts w:hint="eastAsia" w:ascii="宋体" w:hAnsi="宋体"/>
                <w:sz w:val="24"/>
              </w:rPr>
            </w:pPr>
            <w:r>
              <w:rPr>
                <w:rFonts w:hint="eastAsia" w:ascii="宋体" w:hAnsi="宋体"/>
                <w:sz w:val="24"/>
              </w:rPr>
              <w:t>账    号：</w:t>
            </w:r>
            <w:r>
              <w:rPr>
                <w:rFonts w:ascii="宋体" w:hAnsi="宋体"/>
                <w:color w:val="000000"/>
                <w:sz w:val="24"/>
              </w:rPr>
              <w:t>0200 0062 1920 0492 968</w:t>
            </w:r>
          </w:p>
          <w:p w14:paraId="4F7BB065">
            <w:pPr>
              <w:spacing w:line="360" w:lineRule="auto"/>
              <w:ind w:firstLine="480" w:firstLineChars="200"/>
              <w:rPr>
                <w:rFonts w:hint="eastAsia" w:ascii="宋体" w:hAnsi="宋体"/>
                <w:sz w:val="24"/>
              </w:rPr>
            </w:pPr>
            <w:r>
              <w:rPr>
                <w:rFonts w:hint="eastAsia" w:ascii="宋体" w:hAnsi="宋体"/>
                <w:sz w:val="24"/>
              </w:rPr>
              <w:t>汇款或转账时请务必附言“项目编号+用途”，例如：</w:t>
            </w:r>
            <w:r>
              <w:rPr>
                <w:rFonts w:ascii="宋体" w:hAnsi="宋体"/>
                <w:sz w:val="24"/>
              </w:rPr>
              <w:t>BMCC-XXXX</w:t>
            </w:r>
            <w:r>
              <w:rPr>
                <w:rFonts w:hint="eastAsia" w:ascii="宋体" w:hAnsi="宋体"/>
                <w:sz w:val="24"/>
              </w:rPr>
              <w:t>保证金或服务费。</w:t>
            </w:r>
          </w:p>
        </w:tc>
      </w:tr>
      <w:tr w14:paraId="4F53D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5BB03D4">
            <w:pPr>
              <w:pStyle w:val="24"/>
              <w:adjustRightInd w:val="0"/>
              <w:snapToGrid w:val="0"/>
              <w:spacing w:line="288" w:lineRule="auto"/>
              <w:jc w:val="center"/>
              <w:rPr>
                <w:rFonts w:hAnsi="宋体"/>
                <w:sz w:val="24"/>
                <w:szCs w:val="24"/>
              </w:rPr>
            </w:pPr>
            <w:r>
              <w:rPr>
                <w:rFonts w:hint="default" w:hAnsi="宋体"/>
                <w:sz w:val="24"/>
                <w:szCs w:val="24"/>
              </w:rPr>
              <w:t>12.7.2</w:t>
            </w:r>
          </w:p>
        </w:tc>
        <w:tc>
          <w:tcPr>
            <w:tcW w:w="1701" w:type="dxa"/>
            <w:vMerge w:val="continue"/>
            <w:vAlign w:val="center"/>
          </w:tcPr>
          <w:p w14:paraId="128EA825">
            <w:pPr>
              <w:spacing w:line="288" w:lineRule="auto"/>
              <w:jc w:val="center"/>
              <w:rPr>
                <w:rFonts w:hint="eastAsia" w:ascii="宋体" w:hAnsi="宋体"/>
                <w:sz w:val="24"/>
              </w:rPr>
            </w:pPr>
          </w:p>
        </w:tc>
        <w:tc>
          <w:tcPr>
            <w:tcW w:w="7540" w:type="dxa"/>
            <w:vAlign w:val="center"/>
          </w:tcPr>
          <w:p w14:paraId="05D55BE7">
            <w:pPr>
              <w:spacing w:line="288" w:lineRule="auto"/>
              <w:jc w:val="left"/>
              <w:rPr>
                <w:rFonts w:hint="eastAsia" w:ascii="宋体" w:hAnsi="宋体"/>
                <w:sz w:val="24"/>
              </w:rPr>
            </w:pPr>
            <w:r>
              <w:rPr>
                <w:rFonts w:ascii="宋体" w:hAnsi="宋体"/>
                <w:sz w:val="24"/>
              </w:rPr>
              <w:t>投标保证金可以不予退还的其他情形：</w:t>
            </w:r>
          </w:p>
          <w:p w14:paraId="653352D4">
            <w:pPr>
              <w:spacing w:line="288" w:lineRule="auto"/>
              <w:jc w:val="left"/>
              <w:rPr>
                <w:rFonts w:hint="eastAsia" w:ascii="宋体" w:hAnsi="宋体"/>
                <w:sz w:val="24"/>
              </w:rPr>
            </w:pPr>
            <w:r>
              <w:rPr>
                <w:rFonts w:ascii="宋体" w:hAnsi="宋体"/>
                <w:sz w:val="24"/>
              </w:rPr>
              <w:t>□无</w:t>
            </w:r>
          </w:p>
          <w:p w14:paraId="7CFD8BC5">
            <w:pPr>
              <w:pStyle w:val="24"/>
              <w:adjustRightInd w:val="0"/>
              <w:snapToGrid w:val="0"/>
              <w:spacing w:line="288" w:lineRule="auto"/>
              <w:rPr>
                <w:rFonts w:hAnsi="宋体"/>
                <w:sz w:val="24"/>
                <w:szCs w:val="24"/>
              </w:rPr>
            </w:pPr>
            <w:r>
              <w:rPr>
                <w:rFonts w:hAnsi="宋体"/>
                <w:b/>
                <w:color w:val="000000"/>
                <w:sz w:val="24"/>
                <w:szCs w:val="24"/>
              </w:rPr>
              <w:t>■</w:t>
            </w:r>
            <w:r>
              <w:rPr>
                <w:rFonts w:hint="default" w:hAnsi="宋体"/>
                <w:sz w:val="24"/>
                <w:szCs w:val="24"/>
              </w:rPr>
              <w:t>有，具体情形：</w:t>
            </w:r>
          </w:p>
          <w:p w14:paraId="25E7EEF7">
            <w:pPr>
              <w:pStyle w:val="24"/>
              <w:tabs>
                <w:tab w:val="left" w:pos="2240"/>
              </w:tabs>
              <w:spacing w:line="360" w:lineRule="auto"/>
              <w:rPr>
                <w:rFonts w:hAnsi="宋体"/>
                <w:sz w:val="24"/>
                <w:szCs w:val="24"/>
              </w:rPr>
            </w:pPr>
            <w:r>
              <w:rPr>
                <w:rFonts w:hAnsi="宋体"/>
                <w:sz w:val="24"/>
                <w:szCs w:val="24"/>
              </w:rPr>
              <w:t>（1）在开标之日后到投标有效期满前，投标人因自身原因撤回投标的；</w:t>
            </w:r>
          </w:p>
          <w:p w14:paraId="4DC750DF">
            <w:pPr>
              <w:pStyle w:val="24"/>
              <w:tabs>
                <w:tab w:val="left" w:pos="2240"/>
              </w:tabs>
              <w:spacing w:line="360" w:lineRule="auto"/>
              <w:rPr>
                <w:rFonts w:hAnsi="宋体"/>
                <w:sz w:val="24"/>
                <w:szCs w:val="24"/>
              </w:rPr>
            </w:pPr>
            <w:r>
              <w:rPr>
                <w:rFonts w:hAnsi="宋体"/>
                <w:sz w:val="24"/>
                <w:szCs w:val="24"/>
              </w:rPr>
              <w:t>（2）投标人以他人名义投标、相互串通投标或者以其他方式弄虚作假的，投标人提交的投标文件中提交虚假资料或失实资料的；</w:t>
            </w:r>
          </w:p>
          <w:p w14:paraId="72765E5D">
            <w:pPr>
              <w:pStyle w:val="24"/>
              <w:tabs>
                <w:tab w:val="left" w:pos="2240"/>
              </w:tabs>
              <w:spacing w:line="360" w:lineRule="auto"/>
              <w:rPr>
                <w:rFonts w:hAnsi="宋体"/>
                <w:sz w:val="24"/>
                <w:szCs w:val="24"/>
              </w:rPr>
            </w:pPr>
            <w:r>
              <w:rPr>
                <w:rFonts w:hAnsi="宋体"/>
                <w:sz w:val="24"/>
                <w:szCs w:val="24"/>
              </w:rPr>
              <w:t>（3）除因不可抗力或招标文件认可的情形以外，中标人放弃中标或者不按招标文件规定与采购人签订合同的；</w:t>
            </w:r>
          </w:p>
          <w:p w14:paraId="420F1071">
            <w:pPr>
              <w:pStyle w:val="24"/>
              <w:tabs>
                <w:tab w:val="left" w:pos="2240"/>
              </w:tabs>
              <w:spacing w:line="360" w:lineRule="auto"/>
              <w:rPr>
                <w:rFonts w:hAnsi="宋体"/>
                <w:sz w:val="24"/>
                <w:szCs w:val="24"/>
              </w:rPr>
            </w:pPr>
            <w:r>
              <w:rPr>
                <w:rFonts w:hAnsi="宋体"/>
                <w:sz w:val="24"/>
                <w:szCs w:val="24"/>
              </w:rPr>
              <w:t>（4）中标人未按招标文件规定缴纳中标服务费的；</w:t>
            </w:r>
          </w:p>
          <w:p w14:paraId="56F6A63A">
            <w:pPr>
              <w:pStyle w:val="24"/>
              <w:tabs>
                <w:tab w:val="left" w:pos="2240"/>
              </w:tabs>
              <w:spacing w:line="360" w:lineRule="auto"/>
              <w:rPr>
                <w:rFonts w:hAnsi="宋体"/>
                <w:sz w:val="24"/>
                <w:szCs w:val="24"/>
              </w:rPr>
            </w:pPr>
            <w:r>
              <w:rPr>
                <w:rFonts w:hAnsi="宋体"/>
                <w:sz w:val="24"/>
                <w:szCs w:val="24"/>
              </w:rPr>
              <w:t>（5）招标文件规定的其他情形。</w:t>
            </w:r>
          </w:p>
        </w:tc>
      </w:tr>
      <w:tr w14:paraId="1E01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5F648C6D">
            <w:pPr>
              <w:pStyle w:val="24"/>
              <w:adjustRightInd w:val="0"/>
              <w:snapToGrid w:val="0"/>
              <w:spacing w:line="288" w:lineRule="auto"/>
              <w:jc w:val="center"/>
              <w:rPr>
                <w:rFonts w:hAnsi="宋体"/>
                <w:sz w:val="24"/>
                <w:szCs w:val="24"/>
              </w:rPr>
            </w:pPr>
            <w:r>
              <w:rPr>
                <w:rFonts w:hint="default" w:hAnsi="宋体"/>
                <w:sz w:val="24"/>
                <w:szCs w:val="24"/>
              </w:rPr>
              <w:t>13.1</w:t>
            </w:r>
          </w:p>
        </w:tc>
        <w:tc>
          <w:tcPr>
            <w:tcW w:w="1701" w:type="dxa"/>
            <w:vAlign w:val="center"/>
          </w:tcPr>
          <w:p w14:paraId="2F6C1C26">
            <w:pPr>
              <w:spacing w:line="288" w:lineRule="auto"/>
              <w:jc w:val="center"/>
              <w:rPr>
                <w:rFonts w:hint="eastAsia" w:ascii="宋体" w:hAnsi="宋体"/>
                <w:sz w:val="24"/>
              </w:rPr>
            </w:pPr>
            <w:r>
              <w:rPr>
                <w:rFonts w:ascii="宋体" w:hAnsi="宋体"/>
                <w:sz w:val="24"/>
              </w:rPr>
              <w:t>投标有效期</w:t>
            </w:r>
          </w:p>
        </w:tc>
        <w:tc>
          <w:tcPr>
            <w:tcW w:w="7540" w:type="dxa"/>
            <w:vAlign w:val="center"/>
          </w:tcPr>
          <w:p w14:paraId="61809C85">
            <w:pPr>
              <w:spacing w:line="288" w:lineRule="auto"/>
              <w:jc w:val="left"/>
              <w:rPr>
                <w:rFonts w:hint="eastAsia" w:ascii="宋体" w:hAnsi="宋体"/>
                <w:sz w:val="24"/>
              </w:rPr>
            </w:pPr>
            <w:r>
              <w:rPr>
                <w:rFonts w:ascii="宋体" w:hAnsi="宋体"/>
                <w:sz w:val="24"/>
              </w:rPr>
              <w:t>自提交投标文件的截止之日起</w:t>
            </w:r>
            <w:r>
              <w:rPr>
                <w:rFonts w:ascii="宋体" w:hAnsi="宋体"/>
                <w:sz w:val="24"/>
                <w:u w:val="single"/>
              </w:rPr>
              <w:t>90</w:t>
            </w:r>
            <w:r>
              <w:rPr>
                <w:rFonts w:ascii="宋体" w:hAnsi="宋体"/>
                <w:sz w:val="24"/>
              </w:rPr>
              <w:t>日历</w:t>
            </w:r>
            <w:r>
              <w:rPr>
                <w:rFonts w:hint="eastAsia" w:ascii="宋体" w:hAnsi="宋体"/>
                <w:sz w:val="24"/>
              </w:rPr>
              <w:t>日</w:t>
            </w:r>
            <w:r>
              <w:rPr>
                <w:rFonts w:ascii="宋体" w:hAnsi="宋体"/>
                <w:sz w:val="24"/>
              </w:rPr>
              <w:t>。</w:t>
            </w:r>
          </w:p>
        </w:tc>
      </w:tr>
      <w:tr w14:paraId="1FFC4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902D201">
            <w:pPr>
              <w:pStyle w:val="24"/>
              <w:adjustRightInd w:val="0"/>
              <w:snapToGrid w:val="0"/>
              <w:spacing w:line="288" w:lineRule="auto"/>
              <w:jc w:val="center"/>
              <w:rPr>
                <w:rFonts w:hAnsi="宋体"/>
                <w:sz w:val="24"/>
                <w:szCs w:val="24"/>
              </w:rPr>
            </w:pPr>
            <w:r>
              <w:rPr>
                <w:rFonts w:hAnsi="宋体"/>
                <w:sz w:val="24"/>
                <w:szCs w:val="24"/>
              </w:rPr>
              <w:t>1</w:t>
            </w:r>
            <w:r>
              <w:rPr>
                <w:rFonts w:hint="default" w:hAnsi="宋体"/>
                <w:sz w:val="24"/>
                <w:szCs w:val="24"/>
              </w:rPr>
              <w:t>4.1</w:t>
            </w:r>
          </w:p>
        </w:tc>
        <w:tc>
          <w:tcPr>
            <w:tcW w:w="1701" w:type="dxa"/>
            <w:vAlign w:val="center"/>
          </w:tcPr>
          <w:p w14:paraId="3C3F506C">
            <w:pPr>
              <w:spacing w:line="288" w:lineRule="auto"/>
              <w:jc w:val="center"/>
              <w:rPr>
                <w:rFonts w:hint="eastAsia" w:ascii="宋体" w:hAnsi="宋体"/>
                <w:sz w:val="24"/>
              </w:rPr>
            </w:pPr>
            <w:r>
              <w:rPr>
                <w:rFonts w:hint="eastAsia" w:ascii="宋体" w:hAnsi="宋体"/>
                <w:sz w:val="24"/>
              </w:rPr>
              <w:t>投标文件份数</w:t>
            </w:r>
          </w:p>
        </w:tc>
        <w:tc>
          <w:tcPr>
            <w:tcW w:w="7540" w:type="dxa"/>
            <w:vAlign w:val="center"/>
          </w:tcPr>
          <w:p w14:paraId="63FD13D4">
            <w:pPr>
              <w:spacing w:line="360" w:lineRule="auto"/>
              <w:rPr>
                <w:rFonts w:hint="eastAsia" w:ascii="宋体" w:hAnsi="宋体"/>
                <w:sz w:val="24"/>
              </w:rPr>
            </w:pPr>
            <w:r>
              <w:rPr>
                <w:rFonts w:hint="eastAsia" w:ascii="宋体" w:hAnsi="宋体"/>
                <w:sz w:val="24"/>
              </w:rPr>
              <w:t>投标文件：正本：</w:t>
            </w:r>
            <w:r>
              <w:rPr>
                <w:rFonts w:ascii="宋体" w:hAnsi="宋体"/>
                <w:sz w:val="24"/>
              </w:rPr>
              <w:t>1份；副本：7份；电子版：1份。</w:t>
            </w:r>
          </w:p>
          <w:p w14:paraId="7EEE88A0">
            <w:pPr>
              <w:spacing w:line="360" w:lineRule="auto"/>
              <w:rPr>
                <w:rFonts w:hint="eastAsia" w:ascii="宋体" w:hAnsi="宋体"/>
                <w:sz w:val="24"/>
              </w:rPr>
            </w:pPr>
            <w:r>
              <w:rPr>
                <w:rFonts w:hint="eastAsia" w:ascii="宋体" w:hAnsi="宋体"/>
                <w:sz w:val="24"/>
              </w:rPr>
              <w:t>电子版内容为投标文件的</w:t>
            </w:r>
            <w:r>
              <w:rPr>
                <w:rFonts w:hint="eastAsia"/>
                <w:sz w:val="24"/>
              </w:rPr>
              <w:t>可编辑的文字版word</w:t>
            </w:r>
            <w:r>
              <w:rPr>
                <w:rFonts w:hint="eastAsia" w:ascii="宋体" w:hAnsi="宋体"/>
                <w:sz w:val="24"/>
              </w:rPr>
              <w:t>可编辑版本和正本盖章后扫描的PDF文本格式，电子版投标文件以U盘形式提交。</w:t>
            </w:r>
          </w:p>
        </w:tc>
      </w:tr>
      <w:tr w14:paraId="298CF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2D80A2DB">
            <w:pPr>
              <w:pStyle w:val="24"/>
              <w:adjustRightInd w:val="0"/>
              <w:snapToGrid w:val="0"/>
              <w:spacing w:line="288" w:lineRule="auto"/>
              <w:jc w:val="center"/>
              <w:rPr>
                <w:rFonts w:hAnsi="宋体"/>
                <w:color w:val="000000"/>
                <w:sz w:val="24"/>
                <w:szCs w:val="24"/>
              </w:rPr>
            </w:pPr>
            <w:r>
              <w:rPr>
                <w:rFonts w:hint="default" w:hAnsi="宋体"/>
                <w:color w:val="000000"/>
                <w:sz w:val="24"/>
                <w:szCs w:val="24"/>
              </w:rPr>
              <w:t>22.1</w:t>
            </w:r>
          </w:p>
        </w:tc>
        <w:tc>
          <w:tcPr>
            <w:tcW w:w="1701" w:type="dxa"/>
            <w:vAlign w:val="center"/>
          </w:tcPr>
          <w:p w14:paraId="3AF46840">
            <w:pPr>
              <w:spacing w:line="288" w:lineRule="auto"/>
              <w:jc w:val="center"/>
              <w:rPr>
                <w:rFonts w:hint="eastAsia" w:ascii="宋体" w:hAnsi="宋体"/>
                <w:color w:val="000000"/>
                <w:sz w:val="24"/>
              </w:rPr>
            </w:pPr>
            <w:r>
              <w:rPr>
                <w:rFonts w:ascii="宋体" w:hAnsi="宋体"/>
                <w:color w:val="000000"/>
                <w:sz w:val="24"/>
              </w:rPr>
              <w:t>确定中标人</w:t>
            </w:r>
          </w:p>
        </w:tc>
        <w:tc>
          <w:tcPr>
            <w:tcW w:w="7540" w:type="dxa"/>
            <w:vAlign w:val="center"/>
          </w:tcPr>
          <w:p w14:paraId="4D503E09">
            <w:pPr>
              <w:pStyle w:val="24"/>
              <w:adjustRightInd w:val="0"/>
              <w:snapToGrid w:val="0"/>
              <w:spacing w:line="288" w:lineRule="auto"/>
              <w:rPr>
                <w:rFonts w:hAnsi="宋体"/>
                <w:sz w:val="24"/>
                <w:szCs w:val="24"/>
              </w:rPr>
            </w:pPr>
            <w:r>
              <w:rPr>
                <w:rFonts w:hint="default" w:hAnsi="宋体"/>
                <w:sz w:val="24"/>
                <w:szCs w:val="24"/>
              </w:rPr>
              <w:t>中标候选人并列的，采购人是否委托评标委员会确定中标人：</w:t>
            </w:r>
          </w:p>
          <w:p w14:paraId="1A68B07F">
            <w:pPr>
              <w:pStyle w:val="24"/>
              <w:adjustRightInd w:val="0"/>
              <w:snapToGrid w:val="0"/>
              <w:spacing w:line="288" w:lineRule="auto"/>
              <w:rPr>
                <w:rFonts w:hAnsi="宋体"/>
                <w:sz w:val="24"/>
                <w:szCs w:val="24"/>
              </w:rPr>
            </w:pPr>
            <w:r>
              <w:rPr>
                <w:rFonts w:hAnsi="宋体"/>
                <w:b/>
                <w:color w:val="000000"/>
                <w:sz w:val="24"/>
                <w:szCs w:val="24"/>
              </w:rPr>
              <w:t>■</w:t>
            </w:r>
            <w:r>
              <w:rPr>
                <w:rFonts w:hint="default" w:hAnsi="宋体"/>
                <w:sz w:val="24"/>
                <w:szCs w:val="24"/>
              </w:rPr>
              <w:t>否</w:t>
            </w:r>
          </w:p>
          <w:p w14:paraId="3D47A7B7">
            <w:pPr>
              <w:pStyle w:val="24"/>
              <w:adjustRightInd w:val="0"/>
              <w:snapToGrid w:val="0"/>
              <w:spacing w:line="288" w:lineRule="auto"/>
              <w:rPr>
                <w:rFonts w:hAnsi="宋体"/>
                <w:sz w:val="24"/>
                <w:szCs w:val="24"/>
              </w:rPr>
            </w:pPr>
            <w:r>
              <w:rPr>
                <w:rFonts w:hint="default" w:hAnsi="宋体"/>
                <w:sz w:val="24"/>
                <w:szCs w:val="24"/>
              </w:rPr>
              <w:t>□是</w:t>
            </w:r>
          </w:p>
          <w:p w14:paraId="00F9FE70">
            <w:pPr>
              <w:pStyle w:val="24"/>
              <w:adjustRightInd w:val="0"/>
              <w:snapToGrid w:val="0"/>
              <w:spacing w:line="288" w:lineRule="auto"/>
              <w:rPr>
                <w:rFonts w:hAnsi="宋体"/>
                <w:sz w:val="24"/>
                <w:szCs w:val="24"/>
              </w:rPr>
            </w:pPr>
            <w:r>
              <w:rPr>
                <w:rFonts w:hint="default" w:hAnsi="宋体"/>
                <w:sz w:val="24"/>
                <w:szCs w:val="24"/>
              </w:rPr>
              <w:t>中标候选人并列的，按照以下方式确定中标人：</w:t>
            </w:r>
          </w:p>
          <w:p w14:paraId="11A2B1D5">
            <w:pPr>
              <w:spacing w:line="288" w:lineRule="auto"/>
              <w:jc w:val="left"/>
              <w:rPr>
                <w:rFonts w:hint="eastAsia" w:ascii="宋体" w:hAnsi="宋体"/>
                <w:sz w:val="24"/>
                <w:u w:val="single"/>
              </w:rPr>
            </w:pPr>
            <w:r>
              <w:rPr>
                <w:rFonts w:hAnsi="宋体"/>
                <w:b/>
                <w:color w:val="000000"/>
                <w:sz w:val="24"/>
              </w:rPr>
              <w:t>■</w:t>
            </w:r>
            <w:r>
              <w:rPr>
                <w:rFonts w:ascii="宋体" w:hAnsi="宋体"/>
                <w:sz w:val="24"/>
              </w:rPr>
              <w:t>随机抽取</w:t>
            </w:r>
          </w:p>
        </w:tc>
      </w:tr>
      <w:tr w14:paraId="1C4C5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1F57E131">
            <w:pPr>
              <w:pStyle w:val="24"/>
              <w:adjustRightInd w:val="0"/>
              <w:snapToGrid w:val="0"/>
              <w:spacing w:line="288" w:lineRule="auto"/>
              <w:jc w:val="center"/>
              <w:rPr>
                <w:rFonts w:hAnsi="宋体"/>
                <w:color w:val="000000"/>
                <w:sz w:val="24"/>
                <w:szCs w:val="24"/>
              </w:rPr>
            </w:pPr>
            <w:r>
              <w:rPr>
                <w:rFonts w:hint="default" w:hAnsi="宋体"/>
                <w:color w:val="000000"/>
                <w:sz w:val="24"/>
                <w:szCs w:val="24"/>
              </w:rPr>
              <w:t>25.5</w:t>
            </w:r>
          </w:p>
        </w:tc>
        <w:tc>
          <w:tcPr>
            <w:tcW w:w="1701" w:type="dxa"/>
            <w:vAlign w:val="center"/>
          </w:tcPr>
          <w:p w14:paraId="0966C65F">
            <w:pPr>
              <w:spacing w:line="288" w:lineRule="auto"/>
              <w:jc w:val="center"/>
              <w:rPr>
                <w:rFonts w:hint="eastAsia" w:ascii="宋体" w:hAnsi="宋体"/>
                <w:sz w:val="24"/>
              </w:rPr>
            </w:pPr>
            <w:r>
              <w:rPr>
                <w:rFonts w:ascii="宋体" w:hAnsi="宋体"/>
                <w:sz w:val="24"/>
              </w:rPr>
              <w:t>分包</w:t>
            </w:r>
          </w:p>
        </w:tc>
        <w:tc>
          <w:tcPr>
            <w:tcW w:w="7540" w:type="dxa"/>
            <w:vAlign w:val="center"/>
          </w:tcPr>
          <w:p w14:paraId="46D4D0C3">
            <w:pPr>
              <w:spacing w:line="288" w:lineRule="auto"/>
              <w:jc w:val="left"/>
              <w:rPr>
                <w:rFonts w:hint="eastAsia" w:ascii="宋体" w:hAnsi="宋体"/>
                <w:sz w:val="24"/>
              </w:rPr>
            </w:pPr>
            <w:r>
              <w:rPr>
                <w:rFonts w:ascii="宋体" w:hAnsi="宋体"/>
                <w:sz w:val="24"/>
              </w:rPr>
              <w:t xml:space="preserve">本项目的非主体、非关键性工作是否允许分包： </w:t>
            </w:r>
          </w:p>
          <w:p w14:paraId="6D59AB68">
            <w:pPr>
              <w:spacing w:line="288" w:lineRule="auto"/>
              <w:jc w:val="left"/>
              <w:rPr>
                <w:rFonts w:hint="eastAsia" w:ascii="宋体" w:hAnsi="宋体"/>
                <w:sz w:val="24"/>
              </w:rPr>
            </w:pPr>
            <w:r>
              <w:rPr>
                <w:rFonts w:ascii="宋体" w:hAnsi="宋体"/>
                <w:b/>
                <w:color w:val="000000"/>
                <w:sz w:val="24"/>
              </w:rPr>
              <w:t>■</w:t>
            </w:r>
            <w:r>
              <w:rPr>
                <w:rFonts w:ascii="宋体" w:hAnsi="宋体"/>
                <w:sz w:val="24"/>
              </w:rPr>
              <w:t>不允许</w:t>
            </w:r>
          </w:p>
          <w:p w14:paraId="24119FC8">
            <w:pPr>
              <w:spacing w:line="288" w:lineRule="auto"/>
              <w:jc w:val="left"/>
              <w:rPr>
                <w:rFonts w:hint="eastAsia" w:ascii="宋体" w:hAnsi="宋体"/>
                <w:sz w:val="24"/>
              </w:rPr>
            </w:pPr>
            <w:r>
              <w:rPr>
                <w:rFonts w:ascii="宋体" w:hAnsi="宋体"/>
                <w:sz w:val="24"/>
              </w:rPr>
              <w:t>□允许，具体要求：</w:t>
            </w:r>
          </w:p>
          <w:p w14:paraId="532B7DD1">
            <w:pPr>
              <w:spacing w:line="288" w:lineRule="auto"/>
              <w:jc w:val="left"/>
              <w:rPr>
                <w:rFonts w:hint="eastAsia" w:ascii="宋体" w:hAnsi="宋体"/>
                <w:sz w:val="24"/>
              </w:rPr>
            </w:pPr>
            <w:r>
              <w:rPr>
                <w:rFonts w:ascii="宋体" w:hAnsi="宋体"/>
                <w:sz w:val="24"/>
              </w:rPr>
              <w:t>（1）可以分包履行的具体内容：_____；</w:t>
            </w:r>
          </w:p>
          <w:p w14:paraId="4686A3AD">
            <w:pPr>
              <w:spacing w:line="288" w:lineRule="auto"/>
              <w:jc w:val="left"/>
              <w:rPr>
                <w:rFonts w:hint="eastAsia" w:ascii="宋体" w:hAnsi="宋体"/>
                <w:sz w:val="24"/>
              </w:rPr>
            </w:pPr>
            <w:r>
              <w:rPr>
                <w:rFonts w:ascii="宋体" w:hAnsi="宋体"/>
                <w:sz w:val="24"/>
              </w:rPr>
              <w:t>（2）允许分包的金额或者比例：_____；</w:t>
            </w:r>
          </w:p>
          <w:p w14:paraId="3641FB24">
            <w:pPr>
              <w:spacing w:line="288" w:lineRule="auto"/>
              <w:jc w:val="left"/>
              <w:rPr>
                <w:rFonts w:hint="eastAsia" w:ascii="宋体" w:hAnsi="宋体"/>
                <w:sz w:val="24"/>
                <w:u w:val="single"/>
              </w:rPr>
            </w:pPr>
            <w:r>
              <w:rPr>
                <w:rFonts w:ascii="宋体" w:hAnsi="宋体"/>
                <w:sz w:val="24"/>
              </w:rPr>
              <w:t>（3）其他要求：_____。</w:t>
            </w:r>
          </w:p>
        </w:tc>
      </w:tr>
      <w:tr w14:paraId="6D6AE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77EE2531">
            <w:pPr>
              <w:pStyle w:val="24"/>
              <w:adjustRightInd w:val="0"/>
              <w:snapToGrid w:val="0"/>
              <w:spacing w:line="288" w:lineRule="auto"/>
              <w:jc w:val="center"/>
              <w:rPr>
                <w:rFonts w:hAnsi="宋体"/>
                <w:color w:val="000000" w:themeColor="text1"/>
                <w:sz w:val="24"/>
                <w:szCs w:val="24"/>
                <w14:textFill>
                  <w14:solidFill>
                    <w14:schemeClr w14:val="tx1"/>
                  </w14:solidFill>
                </w14:textFill>
              </w:rPr>
            </w:pPr>
            <w:r>
              <w:rPr>
                <w:rFonts w:hAnsi="宋体"/>
                <w:color w:val="000000" w:themeColor="text1"/>
                <w:sz w:val="24"/>
                <w:szCs w:val="24"/>
                <w14:textFill>
                  <w14:solidFill>
                    <w14:schemeClr w14:val="tx1"/>
                  </w14:solidFill>
                </w14:textFill>
              </w:rPr>
              <w:t>25.6</w:t>
            </w:r>
          </w:p>
        </w:tc>
        <w:tc>
          <w:tcPr>
            <w:tcW w:w="1701" w:type="dxa"/>
            <w:vAlign w:val="center"/>
          </w:tcPr>
          <w:p w14:paraId="0615D0E0">
            <w:pPr>
              <w:spacing w:line="288" w:lineRule="auto"/>
              <w:jc w:val="center"/>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政采贷</w:t>
            </w:r>
          </w:p>
        </w:tc>
        <w:tc>
          <w:tcPr>
            <w:tcW w:w="7540" w:type="dxa"/>
            <w:vAlign w:val="center"/>
          </w:tcPr>
          <w:p w14:paraId="0150B7CE">
            <w:pPr>
              <w:spacing w:line="288"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为更大力度激发市场活力和社会创造力，增强发展动力，按照《北京市全面优化营商环境助力企业高质量发展实施方案》（京政办发〔2023〕8 号）部署，进一步加强政府采购合同线上融资“一站式”服务（以下简称“政采贷”），北京市财政局、中国人民银行营业管理部联合发布《关于推进政府采购合同线上融资有关工作的通知》（京财采购〔2023〕</w:t>
            </w:r>
          </w:p>
          <w:p w14:paraId="0DFAE68A">
            <w:pPr>
              <w:spacing w:line="288"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637 号）。有需求的供应商，可按上述通知要求办理“政采贷”。</w:t>
            </w:r>
          </w:p>
        </w:tc>
      </w:tr>
      <w:tr w14:paraId="0ECC2E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38E59BC8">
            <w:pPr>
              <w:pStyle w:val="24"/>
              <w:adjustRightInd w:val="0"/>
              <w:snapToGrid w:val="0"/>
              <w:spacing w:line="288" w:lineRule="auto"/>
              <w:jc w:val="center"/>
              <w:rPr>
                <w:rFonts w:hAnsi="宋体"/>
                <w:color w:val="000000"/>
                <w:sz w:val="24"/>
                <w:szCs w:val="24"/>
              </w:rPr>
            </w:pPr>
            <w:r>
              <w:rPr>
                <w:rFonts w:hint="default" w:hAnsi="宋体"/>
                <w:color w:val="000000"/>
                <w:sz w:val="24"/>
                <w:szCs w:val="24"/>
              </w:rPr>
              <w:t>26.1.1</w:t>
            </w:r>
          </w:p>
        </w:tc>
        <w:tc>
          <w:tcPr>
            <w:tcW w:w="1701" w:type="dxa"/>
            <w:vAlign w:val="center"/>
          </w:tcPr>
          <w:p w14:paraId="5B960924">
            <w:pPr>
              <w:spacing w:line="288" w:lineRule="auto"/>
              <w:jc w:val="center"/>
              <w:rPr>
                <w:rFonts w:hint="eastAsia" w:ascii="宋体" w:hAnsi="宋体"/>
                <w:sz w:val="24"/>
              </w:rPr>
            </w:pPr>
            <w:r>
              <w:rPr>
                <w:rFonts w:ascii="宋体" w:hAnsi="宋体"/>
                <w:sz w:val="24"/>
              </w:rPr>
              <w:t>询问</w:t>
            </w:r>
          </w:p>
        </w:tc>
        <w:tc>
          <w:tcPr>
            <w:tcW w:w="7540" w:type="dxa"/>
            <w:vAlign w:val="center"/>
          </w:tcPr>
          <w:p w14:paraId="25E9A0D7">
            <w:pPr>
              <w:spacing w:line="288" w:lineRule="auto"/>
              <w:jc w:val="left"/>
              <w:rPr>
                <w:rFonts w:hint="eastAsia" w:ascii="宋体" w:hAnsi="宋体"/>
                <w:sz w:val="24"/>
              </w:rPr>
            </w:pPr>
            <w:r>
              <w:rPr>
                <w:rFonts w:ascii="宋体" w:hAnsi="宋体"/>
                <w:sz w:val="24"/>
              </w:rPr>
              <w:t>询问送达形式：</w:t>
            </w:r>
            <w:r>
              <w:rPr>
                <w:rFonts w:hint="eastAsia" w:ascii="宋体" w:hAnsi="宋体"/>
                <w:sz w:val="24"/>
                <w:u w:val="single"/>
              </w:rPr>
              <w:t>书面形式</w:t>
            </w:r>
          </w:p>
        </w:tc>
      </w:tr>
      <w:tr w14:paraId="1BDF9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vAlign w:val="center"/>
          </w:tcPr>
          <w:p w14:paraId="4A12492E">
            <w:pPr>
              <w:pStyle w:val="24"/>
              <w:adjustRightInd w:val="0"/>
              <w:snapToGrid w:val="0"/>
              <w:spacing w:line="288" w:lineRule="auto"/>
              <w:jc w:val="center"/>
              <w:rPr>
                <w:rFonts w:hAnsi="宋体"/>
                <w:color w:val="000000"/>
                <w:sz w:val="24"/>
                <w:szCs w:val="24"/>
              </w:rPr>
            </w:pPr>
            <w:r>
              <w:rPr>
                <w:rFonts w:hint="default" w:hAnsi="宋体"/>
                <w:color w:val="000000"/>
                <w:sz w:val="24"/>
                <w:szCs w:val="24"/>
              </w:rPr>
              <w:t>26.3</w:t>
            </w:r>
          </w:p>
        </w:tc>
        <w:tc>
          <w:tcPr>
            <w:tcW w:w="1701" w:type="dxa"/>
            <w:vAlign w:val="center"/>
          </w:tcPr>
          <w:p w14:paraId="3A8E5575">
            <w:pPr>
              <w:spacing w:line="288" w:lineRule="auto"/>
              <w:jc w:val="center"/>
              <w:rPr>
                <w:rFonts w:hint="eastAsia" w:ascii="宋体" w:hAnsi="宋体"/>
                <w:sz w:val="24"/>
              </w:rPr>
            </w:pPr>
            <w:r>
              <w:rPr>
                <w:rFonts w:ascii="宋体" w:hAnsi="宋体"/>
                <w:sz w:val="24"/>
              </w:rPr>
              <w:t>联系方式</w:t>
            </w:r>
          </w:p>
        </w:tc>
        <w:tc>
          <w:tcPr>
            <w:tcW w:w="7540" w:type="dxa"/>
            <w:vAlign w:val="center"/>
          </w:tcPr>
          <w:p w14:paraId="01714AFD">
            <w:pPr>
              <w:spacing w:line="288" w:lineRule="auto"/>
              <w:jc w:val="left"/>
              <w:rPr>
                <w:rFonts w:hint="eastAsia" w:ascii="宋体" w:hAnsi="宋体"/>
                <w:sz w:val="24"/>
              </w:rPr>
            </w:pPr>
            <w:r>
              <w:rPr>
                <w:rFonts w:hint="eastAsia" w:ascii="宋体" w:hAnsi="宋体"/>
                <w:sz w:val="24"/>
              </w:rPr>
              <w:t>接收询问和质疑的联系方式</w:t>
            </w:r>
          </w:p>
          <w:p w14:paraId="72568B72">
            <w:pPr>
              <w:spacing w:line="288" w:lineRule="auto"/>
              <w:jc w:val="left"/>
              <w:rPr>
                <w:rFonts w:hint="eastAsia" w:ascii="宋体" w:hAnsi="宋体"/>
                <w:sz w:val="24"/>
              </w:rPr>
            </w:pPr>
            <w:r>
              <w:rPr>
                <w:rFonts w:hint="eastAsia" w:ascii="宋体" w:hAnsi="宋体"/>
                <w:sz w:val="24"/>
              </w:rPr>
              <w:t>联系部门：北京明德致信咨询有限公司；</w:t>
            </w:r>
          </w:p>
          <w:p w14:paraId="7D3095D0">
            <w:pPr>
              <w:spacing w:line="288" w:lineRule="auto"/>
              <w:jc w:val="left"/>
              <w:rPr>
                <w:rFonts w:hint="eastAsia" w:ascii="宋体" w:hAnsi="宋体"/>
                <w:sz w:val="24"/>
              </w:rPr>
            </w:pPr>
            <w:r>
              <w:rPr>
                <w:rFonts w:hint="eastAsia" w:ascii="宋体" w:hAnsi="宋体"/>
                <w:sz w:val="24"/>
              </w:rPr>
              <w:t>联系电话：010－82370045、61192275；</w:t>
            </w:r>
          </w:p>
          <w:p w14:paraId="4BF04C9D">
            <w:pPr>
              <w:spacing w:line="288" w:lineRule="auto"/>
              <w:jc w:val="left"/>
              <w:rPr>
                <w:rFonts w:hint="eastAsia" w:ascii="宋体" w:hAnsi="宋体"/>
                <w:sz w:val="24"/>
              </w:rPr>
            </w:pPr>
            <w:r>
              <w:rPr>
                <w:rFonts w:hint="eastAsia" w:ascii="宋体" w:hAnsi="宋体"/>
                <w:sz w:val="24"/>
              </w:rPr>
              <w:t>通讯地址：北京市海淀区学院路30号科大天工大厦B座17层1709室（北四环学院桥东北角）</w:t>
            </w:r>
          </w:p>
          <w:p w14:paraId="5CB80D35">
            <w:pPr>
              <w:spacing w:line="288" w:lineRule="auto"/>
              <w:jc w:val="left"/>
              <w:rPr>
                <w:rFonts w:hint="eastAsia" w:ascii="宋体" w:hAnsi="宋体"/>
                <w:sz w:val="24"/>
              </w:rPr>
            </w:pPr>
            <w:r>
              <w:rPr>
                <w:rFonts w:hint="eastAsia" w:ascii="宋体" w:hAnsi="宋体"/>
                <w:sz w:val="24"/>
              </w:rPr>
              <w:t>邮箱：</w:t>
            </w:r>
            <w:r>
              <w:rPr>
                <w:rFonts w:ascii="宋体" w:hAnsi="宋体"/>
                <w:sz w:val="24"/>
              </w:rPr>
              <w:t>zl@zbbmcc.com</w:t>
            </w:r>
          </w:p>
        </w:tc>
      </w:tr>
      <w:tr w14:paraId="0D6F6B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8" w:type="dxa"/>
            <w:tcBorders>
              <w:top w:val="single" w:color="auto" w:sz="4" w:space="0"/>
              <w:left w:val="single" w:color="auto" w:sz="4" w:space="0"/>
              <w:bottom w:val="single" w:color="auto" w:sz="4" w:space="0"/>
              <w:right w:val="single" w:color="auto" w:sz="4" w:space="0"/>
            </w:tcBorders>
            <w:vAlign w:val="center"/>
          </w:tcPr>
          <w:p w14:paraId="6B11A4E9">
            <w:pPr>
              <w:pStyle w:val="24"/>
              <w:adjustRightInd w:val="0"/>
              <w:snapToGrid w:val="0"/>
              <w:spacing w:line="288" w:lineRule="auto"/>
              <w:jc w:val="center"/>
              <w:rPr>
                <w:rFonts w:hAnsi="宋体"/>
                <w:color w:val="000000"/>
                <w:sz w:val="24"/>
                <w:szCs w:val="24"/>
              </w:rPr>
            </w:pPr>
            <w:r>
              <w:rPr>
                <w:rFonts w:hint="default" w:hAnsi="宋体"/>
                <w:color w:val="000000"/>
                <w:sz w:val="24"/>
                <w:szCs w:val="24"/>
              </w:rPr>
              <w:t>27</w:t>
            </w:r>
          </w:p>
        </w:tc>
        <w:tc>
          <w:tcPr>
            <w:tcW w:w="1701" w:type="dxa"/>
            <w:tcBorders>
              <w:top w:val="single" w:color="auto" w:sz="4" w:space="0"/>
              <w:left w:val="single" w:color="auto" w:sz="4" w:space="0"/>
              <w:bottom w:val="single" w:color="auto" w:sz="4" w:space="0"/>
              <w:right w:val="single" w:color="auto" w:sz="4" w:space="0"/>
            </w:tcBorders>
            <w:vAlign w:val="center"/>
          </w:tcPr>
          <w:p w14:paraId="1EF0782E">
            <w:pPr>
              <w:spacing w:line="288" w:lineRule="auto"/>
              <w:jc w:val="center"/>
              <w:rPr>
                <w:rFonts w:hint="eastAsia" w:ascii="宋体" w:hAnsi="宋体"/>
                <w:sz w:val="24"/>
              </w:rPr>
            </w:pPr>
            <w:r>
              <w:rPr>
                <w:rFonts w:ascii="宋体" w:hAnsi="宋体"/>
                <w:sz w:val="24"/>
              </w:rPr>
              <w:t>代理费</w:t>
            </w:r>
          </w:p>
        </w:tc>
        <w:tc>
          <w:tcPr>
            <w:tcW w:w="7540" w:type="dxa"/>
            <w:tcBorders>
              <w:top w:val="single" w:color="auto" w:sz="4" w:space="0"/>
              <w:left w:val="single" w:color="auto" w:sz="4" w:space="0"/>
              <w:bottom w:val="single" w:color="auto" w:sz="4" w:space="0"/>
              <w:right w:val="single" w:color="auto" w:sz="4" w:space="0"/>
            </w:tcBorders>
            <w:vAlign w:val="center"/>
          </w:tcPr>
          <w:p w14:paraId="0A3F482B">
            <w:pPr>
              <w:spacing w:line="288" w:lineRule="auto"/>
              <w:jc w:val="left"/>
              <w:rPr>
                <w:rFonts w:hint="eastAsia" w:ascii="宋体" w:hAnsi="宋体"/>
                <w:sz w:val="24"/>
              </w:rPr>
            </w:pPr>
            <w:r>
              <w:rPr>
                <w:rFonts w:ascii="宋体" w:hAnsi="宋体"/>
                <w:sz w:val="24"/>
              </w:rPr>
              <w:t>收费对象：</w:t>
            </w:r>
          </w:p>
          <w:p w14:paraId="38C049BA">
            <w:pPr>
              <w:spacing w:line="288" w:lineRule="auto"/>
              <w:jc w:val="left"/>
              <w:rPr>
                <w:rFonts w:hint="eastAsia" w:ascii="宋体" w:hAnsi="宋体"/>
                <w:sz w:val="24"/>
              </w:rPr>
            </w:pPr>
            <w:r>
              <w:rPr>
                <w:rFonts w:ascii="宋体" w:hAnsi="宋体"/>
                <w:sz w:val="24"/>
              </w:rPr>
              <w:t>□采购人</w:t>
            </w:r>
          </w:p>
          <w:p w14:paraId="43D92F93">
            <w:pPr>
              <w:spacing w:line="288" w:lineRule="auto"/>
              <w:jc w:val="left"/>
              <w:rPr>
                <w:rFonts w:hint="eastAsia" w:ascii="宋体" w:hAnsi="宋体"/>
                <w:sz w:val="24"/>
              </w:rPr>
            </w:pPr>
            <w:r>
              <w:rPr>
                <w:rFonts w:ascii="宋体" w:hAnsi="宋体"/>
                <w:b/>
                <w:color w:val="000000"/>
                <w:sz w:val="24"/>
              </w:rPr>
              <w:t>■</w:t>
            </w:r>
            <w:r>
              <w:rPr>
                <w:rFonts w:ascii="宋体" w:hAnsi="宋体"/>
                <w:sz w:val="24"/>
              </w:rPr>
              <w:t>中标人</w:t>
            </w:r>
          </w:p>
          <w:p w14:paraId="7E02ED6B">
            <w:pPr>
              <w:spacing w:line="288" w:lineRule="auto"/>
              <w:jc w:val="left"/>
              <w:rPr>
                <w:rFonts w:hint="eastAsia" w:ascii="宋体" w:hAnsi="宋体"/>
                <w:color w:val="000000" w:themeColor="text1"/>
                <w:sz w:val="24"/>
                <w14:textFill>
                  <w14:solidFill>
                    <w14:schemeClr w14:val="tx1"/>
                  </w14:solidFill>
                </w14:textFill>
              </w:rPr>
            </w:pPr>
            <w:r>
              <w:rPr>
                <w:rFonts w:ascii="宋体" w:hAnsi="宋体"/>
                <w:sz w:val="24"/>
              </w:rPr>
              <w:t>收费标准：</w:t>
            </w:r>
            <w:r>
              <w:rPr>
                <w:rFonts w:hint="eastAsia" w:ascii="宋体" w:hAnsi="宋体"/>
                <w:color w:val="000000" w:themeColor="text1"/>
                <w:sz w:val="24"/>
                <w:u w:val="single"/>
                <w14:textFill>
                  <w14:solidFill>
                    <w14:schemeClr w14:val="tx1"/>
                  </w14:solidFill>
                </w14:textFill>
              </w:rPr>
              <w:t>按原《招标代理服务收费管理暂行办法》（计价格[2002]1980号）及《国家发展改革委办公厅关于招标代理服务收费有关问题的通知》（发改办价格[2003]857号）*80%执行，按中标金额差额定率累进法计算</w:t>
            </w:r>
            <w:r>
              <w:rPr>
                <w:rFonts w:ascii="宋体" w:hAnsi="宋体"/>
                <w:color w:val="000000" w:themeColor="text1"/>
                <w:sz w:val="24"/>
                <w14:textFill>
                  <w14:solidFill>
                    <w14:schemeClr w14:val="tx1"/>
                  </w14:solidFill>
                </w14:textFill>
              </w:rPr>
              <w:t>；</w:t>
            </w:r>
          </w:p>
          <w:p w14:paraId="515B2BF7">
            <w:pPr>
              <w:spacing w:line="288" w:lineRule="auto"/>
              <w:jc w:val="left"/>
              <w:rPr>
                <w:rFonts w:hint="eastAsia" w:ascii="宋体" w:hAnsi="宋体"/>
                <w:color w:val="000000" w:themeColor="text1"/>
                <w:sz w:val="24"/>
                <w14:textFill>
                  <w14:solidFill>
                    <w14:schemeClr w14:val="tx1"/>
                  </w14:solidFill>
                </w14:textFill>
              </w:rPr>
            </w:pPr>
            <w:r>
              <w:rPr>
                <w:rFonts w:ascii="宋体" w:hAnsi="宋体"/>
                <w:color w:val="000000" w:themeColor="text1"/>
                <w:sz w:val="24"/>
                <w14:textFill>
                  <w14:solidFill>
                    <w14:schemeClr w14:val="tx1"/>
                  </w14:solidFill>
                </w14:textFill>
              </w:rPr>
              <w:t>缴纳时间：</w:t>
            </w:r>
            <w:r>
              <w:rPr>
                <w:rFonts w:hint="eastAsia" w:ascii="宋体" w:hAnsi="宋体"/>
                <w:color w:val="000000" w:themeColor="text1"/>
                <w:sz w:val="24"/>
                <w:u w:val="single"/>
                <w14:textFill>
                  <w14:solidFill>
                    <w14:schemeClr w14:val="tx1"/>
                  </w14:solidFill>
                </w14:textFill>
              </w:rPr>
              <w:t>中标人在领取中标通知书时须向采购代理机构缴纳代理服务费</w:t>
            </w:r>
            <w:r>
              <w:rPr>
                <w:rFonts w:ascii="宋体" w:hAnsi="宋体"/>
                <w:color w:val="000000" w:themeColor="text1"/>
                <w:sz w:val="24"/>
                <w14:textFill>
                  <w14:solidFill>
                    <w14:schemeClr w14:val="tx1"/>
                  </w14:solidFill>
                </w14:textFill>
              </w:rPr>
              <w:t>。</w:t>
            </w:r>
          </w:p>
          <w:p w14:paraId="31B27394">
            <w:pPr>
              <w:spacing w:line="288" w:lineRule="auto"/>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u w:val="single"/>
                <w14:textFill>
                  <w14:solidFill>
                    <w14:schemeClr w14:val="tx1"/>
                  </w14:solidFill>
                </w14:textFill>
              </w:rPr>
              <w:t>原《招标代理服务收费管理暂行办法》（计价格[2002]1980号）收费标准：</w:t>
            </w:r>
          </w:p>
          <w:tbl>
            <w:tblPr>
              <w:tblStyle w:val="45"/>
              <w:tblW w:w="67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65"/>
              <w:gridCol w:w="1439"/>
              <w:gridCol w:w="1776"/>
            </w:tblGrid>
            <w:tr w14:paraId="6D929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trPr>
              <w:tc>
                <w:tcPr>
                  <w:tcW w:w="3565" w:type="dxa"/>
                  <w:tcBorders>
                    <w:top w:val="single" w:color="auto" w:sz="4" w:space="0"/>
                    <w:left w:val="single" w:color="auto" w:sz="4" w:space="0"/>
                    <w:bottom w:val="single" w:color="auto" w:sz="4" w:space="0"/>
                    <w:right w:val="single" w:color="auto" w:sz="4" w:space="0"/>
                  </w:tcBorders>
                </w:tcPr>
                <w:p w14:paraId="2608CE3B">
                  <w:pPr>
                    <w:ind w:firstLine="1733"/>
                    <w:rPr>
                      <w:rFonts w:hint="eastAsia" w:ascii="宋体" w:hAnsi="宋体"/>
                      <w:b/>
                      <w:bCs/>
                      <w:color w:val="000000"/>
                      <w:sz w:val="24"/>
                    </w:rPr>
                  </w:pPr>
                  <w:r>
                    <w:rPr>
                      <w:szCs w:val="21"/>
                    </w:rPr>
                    <mc:AlternateContent>
                      <mc:Choice Requires="wps">
                        <w:drawing>
                          <wp:anchor distT="0" distB="0" distL="114300" distR="114300" simplePos="0" relativeHeight="251659264" behindDoc="0" locked="0" layoutInCell="1" allowOverlap="1">
                            <wp:simplePos x="0" y="0"/>
                            <wp:positionH relativeFrom="column">
                              <wp:posOffset>568325</wp:posOffset>
                            </wp:positionH>
                            <wp:positionV relativeFrom="paragraph">
                              <wp:posOffset>33655</wp:posOffset>
                            </wp:positionV>
                            <wp:extent cx="1495425" cy="1104900"/>
                            <wp:effectExtent l="0" t="0" r="28575" b="19050"/>
                            <wp:wrapNone/>
                            <wp:docPr id="19" name="直接连接符 19"/>
                            <wp:cNvGraphicFramePr/>
                            <a:graphic xmlns:a="http://schemas.openxmlformats.org/drawingml/2006/main">
                              <a:graphicData uri="http://schemas.microsoft.com/office/word/2010/wordprocessingShape">
                                <wps:wsp>
                                  <wps:cNvCnPr>
                                    <a:cxnSpLocks noChangeShapeType="1"/>
                                  </wps:cNvCnPr>
                                  <wps:spPr bwMode="auto">
                                    <a:xfrm flipH="1" flipV="1">
                                      <a:off x="0" y="0"/>
                                      <a:ext cx="1495425" cy="1104900"/>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 y;margin-left:44.75pt;margin-top:2.65pt;height:87pt;width:117.75pt;z-index:251659264;mso-width-relative:page;mso-height-relative:page;" filled="f" stroked="t" coordsize="21600,21600" o:gfxdata="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hkxb/UAAAACAEAAA8AAAAAAAAAAQAgAAAAIgAAAGRycy9kb3ducmV2LnhtbFBLAQIUABQA&#10;AAAIAIdO4kBT7wWp9AEAAMYDAAAOAAAAAAAAAAEAIAAAACMBAABkcnMvZTJvRG9jLnhtbFBLBQYA&#10;AAAABgAGAFkBAACJBQAAAAA=&#10;">
                            <v:fill on="f" focussize="0,0"/>
                            <v:stroke color="#000000" joinstyle="round"/>
                            <v:imagedata o:title=""/>
                            <o:lock v:ext="edit" aspectratio="f"/>
                          </v:line>
                        </w:pict>
                      </mc:Fallback>
                    </mc:AlternateContent>
                  </w:r>
                  <w:r>
                    <w:rPr>
                      <w:szCs w:val="21"/>
                    </w:rPr>
                    <mc:AlternateContent>
                      <mc:Choice Requires="wps">
                        <w:drawing>
                          <wp:anchor distT="0" distB="0" distL="114300" distR="114300" simplePos="0" relativeHeight="251660288" behindDoc="0" locked="0" layoutInCell="1" allowOverlap="1">
                            <wp:simplePos x="0" y="0"/>
                            <wp:positionH relativeFrom="column">
                              <wp:posOffset>-114300</wp:posOffset>
                            </wp:positionH>
                            <wp:positionV relativeFrom="paragraph">
                              <wp:posOffset>-6350</wp:posOffset>
                            </wp:positionV>
                            <wp:extent cx="0" cy="0"/>
                            <wp:effectExtent l="0" t="0" r="0" b="0"/>
                            <wp:wrapNone/>
                            <wp:docPr id="2032" name="直接连接符 2032"/>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9pt;margin-top:-0.5pt;height:0pt;width:0pt;z-index:251660288;mso-width-relative:page;mso-height-relative:page;" filled="f" stroked="t" coordsize="21600,21600" o:gfxdata="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AbR3vb0gAAAAkBAAAPAAAAAAAA&#10;AAEAIAAAACIAAABkcnMvZG93bnJldi54bWxQSwECFAAUAAAACACHTuJAvBW7Ht8BAACqAwAADgAA&#10;AAAAAAABACAAAAAhAQAAZHJzL2Uyb0RvYy54bWxQSwUGAAAAAAYABgBZAQAAcgUAAAAA&#10;">
                            <v:fill on="f" focussize="0,0"/>
                            <v:stroke color="#000000" joinstyle="round"/>
                            <v:imagedata o:title=""/>
                            <o:lock v:ext="edit" aspectratio="f"/>
                          </v:line>
                        </w:pict>
                      </mc:Fallback>
                    </mc:AlternateContent>
                  </w:r>
                  <w:r>
                    <w:rPr>
                      <w:rFonts w:hint="eastAsia" w:ascii="宋体" w:hAnsi="宋体"/>
                      <w:b/>
                      <w:bCs/>
                      <w:color w:val="000000"/>
                      <w:sz w:val="24"/>
                    </w:rPr>
                    <w:t>服</w:t>
                  </w:r>
                </w:p>
                <w:p w14:paraId="3ADC82A1">
                  <w:pPr>
                    <w:ind w:firstLine="482" w:firstLineChars="200"/>
                    <w:rPr>
                      <w:rFonts w:hint="eastAsia" w:ascii="宋体" w:hAnsi="宋体"/>
                      <w:b/>
                      <w:bCs/>
                      <w:color w:val="000000"/>
                      <w:sz w:val="24"/>
                      <w:szCs w:val="21"/>
                    </w:rPr>
                  </w:pPr>
                  <w:r>
                    <w:rPr>
                      <w:rFonts w:hint="eastAsia" w:ascii="宋体" w:hAnsi="宋体"/>
                      <w:b/>
                      <w:bCs/>
                      <w:color w:val="000000"/>
                      <w:sz w:val="24"/>
                    </w:rPr>
                    <w:t>费　　　　　  务</w:t>
                  </w:r>
                </w:p>
                <w:p w14:paraId="388C221F">
                  <w:pPr>
                    <w:ind w:firstLine="1050" w:firstLineChars="500"/>
                    <w:rPr>
                      <w:rFonts w:hint="eastAsia" w:ascii="宋体" w:hAnsi="宋体"/>
                      <w:b/>
                      <w:bCs/>
                      <w:color w:val="000000"/>
                      <w:sz w:val="24"/>
                    </w:rPr>
                  </w:pPr>
                  <w:r>
                    <w:rPr>
                      <w:rFonts w:hint="eastAsia"/>
                    </w:rPr>
                    <mc:AlternateContent>
                      <mc:Choice Requires="wps">
                        <w:drawing>
                          <wp:anchor distT="0" distB="0" distL="114300" distR="114300" simplePos="0" relativeHeight="251660288" behindDoc="0" locked="0" layoutInCell="1" allowOverlap="1">
                            <wp:simplePos x="0" y="0"/>
                            <wp:positionH relativeFrom="column">
                              <wp:posOffset>-3175</wp:posOffset>
                            </wp:positionH>
                            <wp:positionV relativeFrom="paragraph">
                              <wp:posOffset>75565</wp:posOffset>
                            </wp:positionV>
                            <wp:extent cx="2028825" cy="676275"/>
                            <wp:effectExtent l="0" t="0" r="28575" b="28575"/>
                            <wp:wrapNone/>
                            <wp:docPr id="2033" name="直接连接符 2033"/>
                            <wp:cNvGraphicFramePr/>
                            <a:graphic xmlns:a="http://schemas.openxmlformats.org/drawingml/2006/main">
                              <a:graphicData uri="http://schemas.microsoft.com/office/word/2010/wordprocessingShape">
                                <wps:wsp>
                                  <wps:cNvCnPr>
                                    <a:cxnSpLocks noChangeShapeType="1"/>
                                  </wps:cNvCnPr>
                                  <wps:spPr bwMode="auto">
                                    <a:xfrm flipH="1" flipV="1">
                                      <a:off x="0" y="0"/>
                                      <a:ext cx="2028825" cy="676275"/>
                                    </a:xfrm>
                                    <a:prstGeom prst="line">
                                      <a:avLst/>
                                    </a:prstGeom>
                                    <a:noFill/>
                                    <a:ln w="9525">
                                      <a:solidFill>
                                        <a:srgbClr val="000000"/>
                                      </a:solidFill>
                                      <a:round/>
                                    </a:ln>
                                  </wps:spPr>
                                  <wps:bodyPr/>
                                </wps:wsp>
                              </a:graphicData>
                            </a:graphic>
                          </wp:anchor>
                        </w:drawing>
                      </mc:Choice>
                      <mc:Fallback>
                        <w:pict>
                          <v:line id="_x0000_s1026" o:spid="_x0000_s1026" o:spt="20" style="position:absolute;left:0pt;flip:x y;margin-left:-0.25pt;margin-top:5.95pt;height:53.25pt;width:159.75pt;z-index:251660288;mso-width-relative:page;mso-height-relative:page;" filled="f" stroked="t" coordsize="21600,21600" o:gfxdata="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fwc9AAAAAIAQAADwAAAAAAAAABACAAAAAiAAAAZHJzL2Rvd25yZXYueG1sUEsBAhQAFAAA&#10;AAgAh07iQIT7bsz3AQAAyQMAAA4AAAAAAAAAAQAgAAAAHwEAAGRycy9lMm9Eb2MueG1sUEsFBgAA&#10;AAAGAAYAWQEAAIgFAAAAAA==&#10;">
                            <v:fill on="f" focussize="0,0"/>
                            <v:stroke color="#000000" joinstyle="round"/>
                            <v:imagedata o:title=""/>
                            <o:lock v:ext="edit" aspectratio="f"/>
                          </v:line>
                        </w:pict>
                      </mc:Fallback>
                    </mc:AlternateContent>
                  </w:r>
                  <w:r>
                    <w:rPr>
                      <w:rFonts w:hint="eastAsia" w:ascii="宋体" w:hAnsi="宋体"/>
                      <w:b/>
                      <w:bCs/>
                      <w:color w:val="000000"/>
                      <w:sz w:val="24"/>
                    </w:rPr>
                    <w:t>　　　    类</w:t>
                  </w:r>
                </w:p>
                <w:p w14:paraId="7305CB9C">
                  <w:pPr>
                    <w:ind w:firstLine="1687" w:firstLineChars="700"/>
                    <w:rPr>
                      <w:rFonts w:hint="eastAsia" w:ascii="宋体" w:hAnsi="宋体"/>
                      <w:b/>
                      <w:bCs/>
                      <w:color w:val="000000"/>
                      <w:sz w:val="24"/>
                    </w:rPr>
                  </w:pPr>
                  <w:r>
                    <w:rPr>
                      <w:rFonts w:hint="eastAsia" w:ascii="宋体" w:hAnsi="宋体"/>
                      <w:b/>
                      <w:bCs/>
                      <w:color w:val="000000"/>
                      <w:sz w:val="24"/>
                    </w:rPr>
                    <w:t>率　     型</w:t>
                  </w:r>
                </w:p>
                <w:p w14:paraId="40612365">
                  <w:pPr>
                    <w:ind w:firstLine="1205" w:firstLineChars="500"/>
                    <w:rPr>
                      <w:rFonts w:hint="eastAsia" w:ascii="宋体" w:hAnsi="宋体"/>
                      <w:b/>
                      <w:bCs/>
                      <w:color w:val="000000"/>
                      <w:sz w:val="24"/>
                    </w:rPr>
                  </w:pPr>
                  <w:r>
                    <w:rPr>
                      <w:rFonts w:hint="eastAsia" w:ascii="宋体" w:hAnsi="宋体"/>
                      <w:b/>
                      <w:bCs/>
                      <w:color w:val="000000"/>
                      <w:sz w:val="24"/>
                    </w:rPr>
                    <w:t>　　　　</w:t>
                  </w:r>
                </w:p>
                <w:p w14:paraId="6997C01E">
                  <w:pPr>
                    <w:rPr>
                      <w:rFonts w:hint="eastAsia" w:ascii="宋体" w:hAnsi="宋体"/>
                      <w:b/>
                      <w:bCs/>
                      <w:color w:val="000000"/>
                      <w:sz w:val="24"/>
                    </w:rPr>
                  </w:pPr>
                  <w:r>
                    <w:rPr>
                      <w:rFonts w:hint="eastAsia" w:ascii="宋体" w:hAnsi="宋体"/>
                      <w:b/>
                      <w:bCs/>
                      <w:color w:val="000000"/>
                      <w:sz w:val="24"/>
                    </w:rPr>
                    <w:t>中标金额（万元）</w:t>
                  </w:r>
                </w:p>
              </w:tc>
              <w:tc>
                <w:tcPr>
                  <w:tcW w:w="1439" w:type="dxa"/>
                  <w:tcBorders>
                    <w:top w:val="single" w:color="auto" w:sz="4" w:space="0"/>
                    <w:left w:val="single" w:color="auto" w:sz="4" w:space="0"/>
                    <w:bottom w:val="single" w:color="auto" w:sz="4" w:space="0"/>
                    <w:right w:val="single" w:color="auto" w:sz="4" w:space="0"/>
                  </w:tcBorders>
                  <w:vAlign w:val="center"/>
                </w:tcPr>
                <w:p w14:paraId="7DB22459">
                  <w:pPr>
                    <w:jc w:val="center"/>
                    <w:rPr>
                      <w:rFonts w:hint="eastAsia" w:ascii="宋体" w:hAnsi="宋体"/>
                      <w:b/>
                      <w:bCs/>
                      <w:color w:val="000000"/>
                      <w:sz w:val="24"/>
                    </w:rPr>
                  </w:pPr>
                  <w:r>
                    <w:rPr>
                      <w:rFonts w:hint="eastAsia" w:ascii="宋体" w:hAnsi="宋体"/>
                      <w:b/>
                      <w:bCs/>
                      <w:color w:val="000000"/>
                      <w:sz w:val="24"/>
                    </w:rPr>
                    <w:t>货物招标</w:t>
                  </w:r>
                </w:p>
              </w:tc>
              <w:tc>
                <w:tcPr>
                  <w:tcW w:w="1776" w:type="dxa"/>
                  <w:tcBorders>
                    <w:top w:val="single" w:color="auto" w:sz="4" w:space="0"/>
                    <w:left w:val="single" w:color="auto" w:sz="4" w:space="0"/>
                    <w:bottom w:val="single" w:color="auto" w:sz="4" w:space="0"/>
                    <w:right w:val="single" w:color="auto" w:sz="4" w:space="0"/>
                  </w:tcBorders>
                  <w:vAlign w:val="center"/>
                </w:tcPr>
                <w:p w14:paraId="3629684A">
                  <w:pPr>
                    <w:jc w:val="center"/>
                    <w:rPr>
                      <w:rFonts w:hint="eastAsia" w:ascii="宋体" w:hAnsi="宋体"/>
                      <w:b/>
                      <w:bCs/>
                      <w:color w:val="000000"/>
                      <w:sz w:val="24"/>
                    </w:rPr>
                  </w:pPr>
                  <w:r>
                    <w:rPr>
                      <w:rFonts w:hint="eastAsia" w:ascii="宋体" w:hAnsi="宋体"/>
                      <w:b/>
                      <w:bCs/>
                      <w:color w:val="000000"/>
                      <w:sz w:val="24"/>
                    </w:rPr>
                    <w:t>服务招标</w:t>
                  </w:r>
                </w:p>
              </w:tc>
            </w:tr>
            <w:tr w14:paraId="28B33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3565" w:type="dxa"/>
                  <w:tcBorders>
                    <w:top w:val="single" w:color="auto" w:sz="4" w:space="0"/>
                    <w:left w:val="single" w:color="auto" w:sz="4" w:space="0"/>
                    <w:bottom w:val="single" w:color="auto" w:sz="4" w:space="0"/>
                    <w:right w:val="single" w:color="auto" w:sz="4" w:space="0"/>
                  </w:tcBorders>
                  <w:vAlign w:val="center"/>
                </w:tcPr>
                <w:p w14:paraId="2CF9CE98">
                  <w:pPr>
                    <w:jc w:val="center"/>
                    <w:rPr>
                      <w:rFonts w:hint="eastAsia" w:ascii="宋体" w:hAnsi="宋体"/>
                      <w:sz w:val="24"/>
                    </w:rPr>
                  </w:pPr>
                  <w:r>
                    <w:rPr>
                      <w:rFonts w:hint="eastAsia" w:ascii="宋体" w:hAnsi="宋体"/>
                      <w:sz w:val="24"/>
                    </w:rPr>
                    <w:t>100（含）以下</w:t>
                  </w:r>
                </w:p>
              </w:tc>
              <w:tc>
                <w:tcPr>
                  <w:tcW w:w="1439" w:type="dxa"/>
                  <w:tcBorders>
                    <w:top w:val="single" w:color="auto" w:sz="4" w:space="0"/>
                    <w:left w:val="single" w:color="auto" w:sz="4" w:space="0"/>
                    <w:bottom w:val="single" w:color="auto" w:sz="4" w:space="0"/>
                    <w:right w:val="single" w:color="auto" w:sz="4" w:space="0"/>
                  </w:tcBorders>
                  <w:vAlign w:val="center"/>
                </w:tcPr>
                <w:p w14:paraId="06775C16">
                  <w:pPr>
                    <w:jc w:val="center"/>
                    <w:rPr>
                      <w:rFonts w:hint="eastAsia" w:ascii="宋体" w:hAnsi="宋体"/>
                      <w:sz w:val="24"/>
                    </w:rPr>
                  </w:pPr>
                  <w:r>
                    <w:rPr>
                      <w:rFonts w:hint="eastAsia" w:ascii="宋体" w:hAnsi="宋体"/>
                      <w:sz w:val="24"/>
                    </w:rPr>
                    <w:t>1.5%</w:t>
                  </w:r>
                </w:p>
              </w:tc>
              <w:tc>
                <w:tcPr>
                  <w:tcW w:w="1776" w:type="dxa"/>
                  <w:tcBorders>
                    <w:top w:val="single" w:color="auto" w:sz="4" w:space="0"/>
                    <w:left w:val="single" w:color="auto" w:sz="4" w:space="0"/>
                    <w:bottom w:val="single" w:color="auto" w:sz="4" w:space="0"/>
                    <w:right w:val="single" w:color="auto" w:sz="4" w:space="0"/>
                  </w:tcBorders>
                  <w:vAlign w:val="center"/>
                </w:tcPr>
                <w:p w14:paraId="2C147AAE">
                  <w:pPr>
                    <w:jc w:val="center"/>
                    <w:rPr>
                      <w:rFonts w:hint="eastAsia" w:ascii="宋体" w:hAnsi="宋体"/>
                      <w:sz w:val="24"/>
                    </w:rPr>
                  </w:pPr>
                  <w:r>
                    <w:rPr>
                      <w:rFonts w:hint="eastAsia" w:ascii="宋体" w:hAnsi="宋体"/>
                      <w:sz w:val="24"/>
                    </w:rPr>
                    <w:t>1.5%</w:t>
                  </w:r>
                </w:p>
              </w:tc>
            </w:tr>
            <w:tr w14:paraId="17D98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565" w:type="dxa"/>
                  <w:tcBorders>
                    <w:top w:val="single" w:color="auto" w:sz="4" w:space="0"/>
                    <w:left w:val="single" w:color="auto" w:sz="4" w:space="0"/>
                    <w:bottom w:val="single" w:color="auto" w:sz="4" w:space="0"/>
                    <w:right w:val="single" w:color="auto" w:sz="4" w:space="0"/>
                  </w:tcBorders>
                  <w:vAlign w:val="center"/>
                </w:tcPr>
                <w:p w14:paraId="7D927DE5">
                  <w:pPr>
                    <w:jc w:val="center"/>
                    <w:rPr>
                      <w:rFonts w:hint="eastAsia" w:ascii="宋体" w:hAnsi="宋体"/>
                      <w:sz w:val="24"/>
                    </w:rPr>
                  </w:pPr>
                  <w:r>
                    <w:rPr>
                      <w:rFonts w:hint="eastAsia" w:ascii="宋体" w:hAnsi="宋体"/>
                      <w:sz w:val="24"/>
                    </w:rPr>
                    <w:t>100-500（含）</w:t>
                  </w:r>
                </w:p>
              </w:tc>
              <w:tc>
                <w:tcPr>
                  <w:tcW w:w="1439" w:type="dxa"/>
                  <w:tcBorders>
                    <w:top w:val="single" w:color="auto" w:sz="4" w:space="0"/>
                    <w:left w:val="single" w:color="auto" w:sz="4" w:space="0"/>
                    <w:bottom w:val="single" w:color="auto" w:sz="4" w:space="0"/>
                    <w:right w:val="single" w:color="auto" w:sz="4" w:space="0"/>
                  </w:tcBorders>
                  <w:vAlign w:val="center"/>
                </w:tcPr>
                <w:p w14:paraId="77F4AE1A">
                  <w:pPr>
                    <w:jc w:val="center"/>
                    <w:rPr>
                      <w:rFonts w:hint="eastAsia" w:ascii="宋体" w:hAnsi="宋体"/>
                      <w:sz w:val="24"/>
                    </w:rPr>
                  </w:pPr>
                  <w:r>
                    <w:rPr>
                      <w:rFonts w:hint="eastAsia" w:ascii="宋体" w:hAnsi="宋体"/>
                      <w:sz w:val="24"/>
                    </w:rPr>
                    <w:t>1.1%</w:t>
                  </w:r>
                </w:p>
              </w:tc>
              <w:tc>
                <w:tcPr>
                  <w:tcW w:w="1776" w:type="dxa"/>
                  <w:tcBorders>
                    <w:top w:val="single" w:color="auto" w:sz="4" w:space="0"/>
                    <w:left w:val="single" w:color="auto" w:sz="4" w:space="0"/>
                    <w:bottom w:val="single" w:color="auto" w:sz="4" w:space="0"/>
                    <w:right w:val="single" w:color="auto" w:sz="4" w:space="0"/>
                  </w:tcBorders>
                  <w:vAlign w:val="center"/>
                </w:tcPr>
                <w:p w14:paraId="00C81BA7">
                  <w:pPr>
                    <w:jc w:val="center"/>
                    <w:rPr>
                      <w:rFonts w:hint="eastAsia" w:ascii="宋体" w:hAnsi="宋体"/>
                      <w:sz w:val="24"/>
                    </w:rPr>
                  </w:pPr>
                  <w:r>
                    <w:rPr>
                      <w:rFonts w:hint="eastAsia" w:ascii="宋体" w:hAnsi="宋体"/>
                      <w:sz w:val="24"/>
                    </w:rPr>
                    <w:t>0.8%</w:t>
                  </w:r>
                </w:p>
              </w:tc>
            </w:tr>
            <w:tr w14:paraId="2198C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3565" w:type="dxa"/>
                  <w:tcBorders>
                    <w:top w:val="single" w:color="auto" w:sz="4" w:space="0"/>
                    <w:left w:val="single" w:color="auto" w:sz="4" w:space="0"/>
                    <w:bottom w:val="single" w:color="auto" w:sz="4" w:space="0"/>
                    <w:right w:val="single" w:color="auto" w:sz="4" w:space="0"/>
                  </w:tcBorders>
                  <w:vAlign w:val="center"/>
                </w:tcPr>
                <w:p w14:paraId="0E38B016">
                  <w:pPr>
                    <w:jc w:val="center"/>
                    <w:rPr>
                      <w:rFonts w:hint="eastAsia" w:ascii="宋体" w:hAnsi="宋体"/>
                      <w:sz w:val="24"/>
                    </w:rPr>
                  </w:pPr>
                  <w:r>
                    <w:rPr>
                      <w:rFonts w:hint="eastAsia" w:ascii="宋体" w:hAnsi="宋体"/>
                      <w:sz w:val="24"/>
                    </w:rPr>
                    <w:t>500-1000（含）</w:t>
                  </w:r>
                </w:p>
              </w:tc>
              <w:tc>
                <w:tcPr>
                  <w:tcW w:w="1439" w:type="dxa"/>
                  <w:tcBorders>
                    <w:top w:val="single" w:color="auto" w:sz="4" w:space="0"/>
                    <w:left w:val="single" w:color="auto" w:sz="4" w:space="0"/>
                    <w:bottom w:val="single" w:color="auto" w:sz="4" w:space="0"/>
                    <w:right w:val="single" w:color="auto" w:sz="4" w:space="0"/>
                  </w:tcBorders>
                  <w:vAlign w:val="center"/>
                </w:tcPr>
                <w:p w14:paraId="2FC7EB3C">
                  <w:pPr>
                    <w:jc w:val="center"/>
                    <w:rPr>
                      <w:rFonts w:hint="eastAsia" w:ascii="宋体" w:hAnsi="宋体"/>
                      <w:sz w:val="24"/>
                    </w:rPr>
                  </w:pPr>
                  <w:r>
                    <w:rPr>
                      <w:rFonts w:hint="eastAsia" w:ascii="宋体" w:hAnsi="宋体"/>
                      <w:sz w:val="24"/>
                    </w:rPr>
                    <w:t>0.8%</w:t>
                  </w:r>
                </w:p>
              </w:tc>
              <w:tc>
                <w:tcPr>
                  <w:tcW w:w="1776" w:type="dxa"/>
                  <w:tcBorders>
                    <w:top w:val="single" w:color="auto" w:sz="4" w:space="0"/>
                    <w:left w:val="single" w:color="auto" w:sz="4" w:space="0"/>
                    <w:bottom w:val="single" w:color="auto" w:sz="4" w:space="0"/>
                    <w:right w:val="single" w:color="auto" w:sz="4" w:space="0"/>
                  </w:tcBorders>
                  <w:vAlign w:val="center"/>
                </w:tcPr>
                <w:p w14:paraId="23983793">
                  <w:pPr>
                    <w:jc w:val="center"/>
                    <w:rPr>
                      <w:rFonts w:hint="eastAsia" w:ascii="宋体" w:hAnsi="宋体"/>
                      <w:sz w:val="24"/>
                    </w:rPr>
                  </w:pPr>
                  <w:r>
                    <w:rPr>
                      <w:rFonts w:hint="eastAsia" w:ascii="宋体" w:hAnsi="宋体"/>
                      <w:sz w:val="24"/>
                    </w:rPr>
                    <w:t>0.45%</w:t>
                  </w:r>
                </w:p>
              </w:tc>
            </w:tr>
            <w:tr w14:paraId="2832D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565" w:type="dxa"/>
                  <w:tcBorders>
                    <w:top w:val="single" w:color="auto" w:sz="4" w:space="0"/>
                    <w:left w:val="single" w:color="auto" w:sz="4" w:space="0"/>
                    <w:bottom w:val="single" w:color="auto" w:sz="4" w:space="0"/>
                    <w:right w:val="single" w:color="auto" w:sz="4" w:space="0"/>
                  </w:tcBorders>
                  <w:vAlign w:val="center"/>
                </w:tcPr>
                <w:p w14:paraId="7DBAF57C">
                  <w:pPr>
                    <w:jc w:val="center"/>
                    <w:rPr>
                      <w:rFonts w:hint="eastAsia" w:ascii="宋体" w:hAnsi="宋体"/>
                      <w:sz w:val="24"/>
                    </w:rPr>
                  </w:pPr>
                  <w:r>
                    <w:rPr>
                      <w:rFonts w:hint="eastAsia" w:ascii="宋体" w:hAnsi="宋体"/>
                      <w:sz w:val="24"/>
                    </w:rPr>
                    <w:t>1000-5000（含）</w:t>
                  </w:r>
                </w:p>
              </w:tc>
              <w:tc>
                <w:tcPr>
                  <w:tcW w:w="1439" w:type="dxa"/>
                  <w:tcBorders>
                    <w:top w:val="single" w:color="auto" w:sz="4" w:space="0"/>
                    <w:left w:val="single" w:color="auto" w:sz="4" w:space="0"/>
                    <w:bottom w:val="single" w:color="auto" w:sz="4" w:space="0"/>
                    <w:right w:val="single" w:color="auto" w:sz="4" w:space="0"/>
                  </w:tcBorders>
                  <w:vAlign w:val="center"/>
                </w:tcPr>
                <w:p w14:paraId="08688F52">
                  <w:pPr>
                    <w:jc w:val="center"/>
                    <w:rPr>
                      <w:rFonts w:hint="eastAsia" w:ascii="宋体" w:hAnsi="宋体"/>
                      <w:sz w:val="24"/>
                    </w:rPr>
                  </w:pPr>
                  <w:r>
                    <w:rPr>
                      <w:rFonts w:hint="eastAsia" w:ascii="宋体" w:hAnsi="宋体"/>
                      <w:sz w:val="24"/>
                    </w:rPr>
                    <w:t>0.5%</w:t>
                  </w:r>
                </w:p>
              </w:tc>
              <w:tc>
                <w:tcPr>
                  <w:tcW w:w="1776" w:type="dxa"/>
                  <w:tcBorders>
                    <w:top w:val="single" w:color="auto" w:sz="4" w:space="0"/>
                    <w:left w:val="single" w:color="auto" w:sz="4" w:space="0"/>
                    <w:bottom w:val="single" w:color="auto" w:sz="4" w:space="0"/>
                    <w:right w:val="single" w:color="auto" w:sz="4" w:space="0"/>
                  </w:tcBorders>
                  <w:vAlign w:val="center"/>
                </w:tcPr>
                <w:p w14:paraId="2E4F0300">
                  <w:pPr>
                    <w:jc w:val="center"/>
                    <w:rPr>
                      <w:rFonts w:hint="eastAsia" w:ascii="宋体" w:hAnsi="宋体"/>
                      <w:sz w:val="24"/>
                    </w:rPr>
                  </w:pPr>
                  <w:r>
                    <w:rPr>
                      <w:rFonts w:hint="eastAsia" w:ascii="宋体" w:hAnsi="宋体"/>
                      <w:sz w:val="24"/>
                    </w:rPr>
                    <w:t>0.25%</w:t>
                  </w:r>
                </w:p>
              </w:tc>
            </w:tr>
            <w:tr w14:paraId="7AF7AA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3565" w:type="dxa"/>
                  <w:tcBorders>
                    <w:top w:val="single" w:color="auto" w:sz="4" w:space="0"/>
                    <w:left w:val="single" w:color="auto" w:sz="4" w:space="0"/>
                    <w:bottom w:val="single" w:color="auto" w:sz="4" w:space="0"/>
                    <w:right w:val="single" w:color="auto" w:sz="4" w:space="0"/>
                  </w:tcBorders>
                  <w:vAlign w:val="center"/>
                </w:tcPr>
                <w:p w14:paraId="40B0CEEE">
                  <w:pPr>
                    <w:jc w:val="center"/>
                    <w:rPr>
                      <w:rFonts w:hint="eastAsia" w:ascii="宋体" w:hAnsi="宋体"/>
                      <w:sz w:val="24"/>
                    </w:rPr>
                  </w:pPr>
                  <w:r>
                    <w:rPr>
                      <w:rFonts w:hint="eastAsia" w:ascii="宋体" w:hAnsi="宋体"/>
                      <w:sz w:val="24"/>
                    </w:rPr>
                    <w:t>5000-10000（含）</w:t>
                  </w:r>
                </w:p>
              </w:tc>
              <w:tc>
                <w:tcPr>
                  <w:tcW w:w="1439" w:type="dxa"/>
                  <w:tcBorders>
                    <w:top w:val="single" w:color="auto" w:sz="4" w:space="0"/>
                    <w:left w:val="single" w:color="auto" w:sz="4" w:space="0"/>
                    <w:bottom w:val="single" w:color="auto" w:sz="4" w:space="0"/>
                    <w:right w:val="single" w:color="auto" w:sz="4" w:space="0"/>
                  </w:tcBorders>
                  <w:vAlign w:val="center"/>
                </w:tcPr>
                <w:p w14:paraId="59FF5F9E">
                  <w:pPr>
                    <w:jc w:val="center"/>
                    <w:rPr>
                      <w:rFonts w:hint="eastAsia" w:ascii="宋体" w:hAnsi="宋体"/>
                      <w:sz w:val="24"/>
                    </w:rPr>
                  </w:pPr>
                  <w:r>
                    <w:rPr>
                      <w:rFonts w:hint="eastAsia" w:ascii="宋体" w:hAnsi="宋体"/>
                      <w:sz w:val="24"/>
                    </w:rPr>
                    <w:t>0.25%</w:t>
                  </w:r>
                </w:p>
              </w:tc>
              <w:tc>
                <w:tcPr>
                  <w:tcW w:w="1776" w:type="dxa"/>
                  <w:tcBorders>
                    <w:top w:val="single" w:color="auto" w:sz="4" w:space="0"/>
                    <w:left w:val="single" w:color="auto" w:sz="4" w:space="0"/>
                    <w:bottom w:val="single" w:color="auto" w:sz="4" w:space="0"/>
                    <w:right w:val="single" w:color="auto" w:sz="4" w:space="0"/>
                  </w:tcBorders>
                  <w:vAlign w:val="center"/>
                </w:tcPr>
                <w:p w14:paraId="35042477">
                  <w:pPr>
                    <w:jc w:val="center"/>
                    <w:rPr>
                      <w:rFonts w:hint="eastAsia" w:ascii="宋体" w:hAnsi="宋体"/>
                      <w:sz w:val="24"/>
                    </w:rPr>
                  </w:pPr>
                  <w:r>
                    <w:rPr>
                      <w:rFonts w:hint="eastAsia" w:ascii="宋体" w:hAnsi="宋体"/>
                      <w:sz w:val="24"/>
                    </w:rPr>
                    <w:t>0.1%</w:t>
                  </w:r>
                </w:p>
              </w:tc>
            </w:tr>
            <w:tr w14:paraId="462A1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3565" w:type="dxa"/>
                  <w:tcBorders>
                    <w:top w:val="single" w:color="auto" w:sz="4" w:space="0"/>
                    <w:left w:val="single" w:color="auto" w:sz="4" w:space="0"/>
                    <w:bottom w:val="single" w:color="auto" w:sz="4" w:space="0"/>
                    <w:right w:val="single" w:color="auto" w:sz="4" w:space="0"/>
                  </w:tcBorders>
                  <w:vAlign w:val="center"/>
                </w:tcPr>
                <w:p w14:paraId="0A576581">
                  <w:pPr>
                    <w:jc w:val="center"/>
                    <w:rPr>
                      <w:rFonts w:hint="eastAsia" w:ascii="宋体" w:hAnsi="宋体"/>
                      <w:sz w:val="24"/>
                    </w:rPr>
                  </w:pPr>
                  <w:r>
                    <w:rPr>
                      <w:rFonts w:hint="eastAsia" w:ascii="宋体" w:hAnsi="宋体"/>
                      <w:sz w:val="24"/>
                    </w:rPr>
                    <w:t>10000-100000（含）</w:t>
                  </w:r>
                </w:p>
              </w:tc>
              <w:tc>
                <w:tcPr>
                  <w:tcW w:w="1439" w:type="dxa"/>
                  <w:tcBorders>
                    <w:top w:val="single" w:color="auto" w:sz="4" w:space="0"/>
                    <w:left w:val="single" w:color="auto" w:sz="4" w:space="0"/>
                    <w:bottom w:val="single" w:color="auto" w:sz="4" w:space="0"/>
                    <w:right w:val="single" w:color="auto" w:sz="4" w:space="0"/>
                  </w:tcBorders>
                  <w:vAlign w:val="center"/>
                </w:tcPr>
                <w:p w14:paraId="55DDBDD5">
                  <w:pPr>
                    <w:jc w:val="center"/>
                    <w:rPr>
                      <w:rFonts w:hint="eastAsia" w:ascii="宋体" w:hAnsi="宋体"/>
                      <w:sz w:val="24"/>
                    </w:rPr>
                  </w:pPr>
                  <w:r>
                    <w:rPr>
                      <w:rFonts w:hint="eastAsia" w:ascii="宋体" w:hAnsi="宋体"/>
                      <w:sz w:val="24"/>
                    </w:rPr>
                    <w:t>0.05%</w:t>
                  </w:r>
                </w:p>
              </w:tc>
              <w:tc>
                <w:tcPr>
                  <w:tcW w:w="1776" w:type="dxa"/>
                  <w:tcBorders>
                    <w:top w:val="single" w:color="auto" w:sz="4" w:space="0"/>
                    <w:left w:val="single" w:color="auto" w:sz="4" w:space="0"/>
                    <w:bottom w:val="single" w:color="auto" w:sz="4" w:space="0"/>
                    <w:right w:val="single" w:color="auto" w:sz="4" w:space="0"/>
                  </w:tcBorders>
                  <w:vAlign w:val="center"/>
                </w:tcPr>
                <w:p w14:paraId="36C88885">
                  <w:pPr>
                    <w:jc w:val="center"/>
                    <w:rPr>
                      <w:rFonts w:hint="eastAsia" w:ascii="宋体" w:hAnsi="宋体"/>
                      <w:sz w:val="24"/>
                    </w:rPr>
                  </w:pPr>
                  <w:r>
                    <w:rPr>
                      <w:rFonts w:hint="eastAsia" w:ascii="宋体" w:hAnsi="宋体"/>
                      <w:sz w:val="24"/>
                    </w:rPr>
                    <w:t>0.05%</w:t>
                  </w:r>
                </w:p>
              </w:tc>
            </w:tr>
            <w:tr w14:paraId="2C20D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trPr>
              <w:tc>
                <w:tcPr>
                  <w:tcW w:w="3565" w:type="dxa"/>
                  <w:tcBorders>
                    <w:top w:val="single" w:color="auto" w:sz="4" w:space="0"/>
                    <w:left w:val="single" w:color="auto" w:sz="4" w:space="0"/>
                    <w:bottom w:val="single" w:color="auto" w:sz="4" w:space="0"/>
                    <w:right w:val="single" w:color="auto" w:sz="4" w:space="0"/>
                  </w:tcBorders>
                  <w:vAlign w:val="center"/>
                </w:tcPr>
                <w:p w14:paraId="58E59E77">
                  <w:pPr>
                    <w:jc w:val="center"/>
                    <w:rPr>
                      <w:rFonts w:hint="eastAsia" w:ascii="宋体" w:hAnsi="宋体"/>
                      <w:sz w:val="24"/>
                    </w:rPr>
                  </w:pPr>
                  <w:r>
                    <w:rPr>
                      <w:rFonts w:hint="eastAsia" w:ascii="宋体" w:hAnsi="宋体"/>
                      <w:sz w:val="24"/>
                    </w:rPr>
                    <w:t>1000000（含）以上</w:t>
                  </w:r>
                </w:p>
              </w:tc>
              <w:tc>
                <w:tcPr>
                  <w:tcW w:w="1439" w:type="dxa"/>
                  <w:tcBorders>
                    <w:top w:val="single" w:color="auto" w:sz="4" w:space="0"/>
                    <w:left w:val="single" w:color="auto" w:sz="4" w:space="0"/>
                    <w:bottom w:val="single" w:color="auto" w:sz="4" w:space="0"/>
                    <w:right w:val="single" w:color="auto" w:sz="4" w:space="0"/>
                  </w:tcBorders>
                  <w:vAlign w:val="center"/>
                </w:tcPr>
                <w:p w14:paraId="7BFD19DD">
                  <w:pPr>
                    <w:jc w:val="center"/>
                    <w:rPr>
                      <w:rFonts w:hint="eastAsia" w:ascii="宋体" w:hAnsi="宋体"/>
                      <w:sz w:val="24"/>
                    </w:rPr>
                  </w:pPr>
                  <w:r>
                    <w:rPr>
                      <w:rFonts w:hint="eastAsia" w:ascii="宋体" w:hAnsi="宋体"/>
                      <w:sz w:val="24"/>
                    </w:rPr>
                    <w:t>0.01%</w:t>
                  </w:r>
                </w:p>
              </w:tc>
              <w:tc>
                <w:tcPr>
                  <w:tcW w:w="1776" w:type="dxa"/>
                  <w:tcBorders>
                    <w:top w:val="single" w:color="auto" w:sz="4" w:space="0"/>
                    <w:left w:val="single" w:color="auto" w:sz="4" w:space="0"/>
                    <w:bottom w:val="single" w:color="auto" w:sz="4" w:space="0"/>
                    <w:right w:val="single" w:color="auto" w:sz="4" w:space="0"/>
                  </w:tcBorders>
                  <w:vAlign w:val="center"/>
                </w:tcPr>
                <w:p w14:paraId="37D61CEF">
                  <w:pPr>
                    <w:jc w:val="center"/>
                    <w:rPr>
                      <w:rFonts w:hint="eastAsia" w:ascii="宋体" w:hAnsi="宋体"/>
                      <w:sz w:val="24"/>
                    </w:rPr>
                  </w:pPr>
                  <w:r>
                    <w:rPr>
                      <w:rFonts w:hint="eastAsia" w:ascii="宋体" w:hAnsi="宋体"/>
                      <w:sz w:val="24"/>
                    </w:rPr>
                    <w:t>0.01%</w:t>
                  </w:r>
                </w:p>
              </w:tc>
            </w:tr>
          </w:tbl>
          <w:p w14:paraId="038481AD">
            <w:pPr>
              <w:spacing w:line="288" w:lineRule="auto"/>
              <w:jc w:val="left"/>
              <w:rPr>
                <w:rFonts w:hint="eastAsia" w:ascii="宋体" w:hAnsi="宋体"/>
                <w:sz w:val="24"/>
              </w:rPr>
            </w:pPr>
          </w:p>
        </w:tc>
      </w:tr>
    </w:tbl>
    <w:p w14:paraId="418CC6BD">
      <w:pPr>
        <w:tabs>
          <w:tab w:val="left" w:pos="5580"/>
        </w:tabs>
        <w:adjustRightInd w:val="0"/>
        <w:spacing w:line="360" w:lineRule="auto"/>
        <w:jc w:val="distribute"/>
        <w:rPr>
          <w:rFonts w:hint="eastAsia" w:ascii="宋体" w:hAnsi="宋体"/>
          <w:sz w:val="24"/>
        </w:rPr>
        <w:sectPr>
          <w:headerReference r:id="rId9" w:type="first"/>
          <w:footerReference r:id="rId10" w:type="default"/>
          <w:type w:val="nextColumn"/>
          <w:pgSz w:w="11907" w:h="16840"/>
          <w:pgMar w:top="1418" w:right="1134" w:bottom="1418" w:left="1701" w:header="851" w:footer="851" w:gutter="0"/>
          <w:pgNumType w:start="0"/>
          <w:cols w:space="720" w:num="1"/>
          <w:titlePg/>
          <w:docGrid w:linePitch="462" w:charSpace="0"/>
        </w:sectPr>
      </w:pPr>
    </w:p>
    <w:p w14:paraId="50B11135">
      <w:pPr>
        <w:tabs>
          <w:tab w:val="left" w:pos="2480"/>
          <w:tab w:val="center" w:pos="4536"/>
        </w:tabs>
        <w:spacing w:before="240" w:beforeLines="100" w:after="240" w:afterLines="100"/>
        <w:jc w:val="left"/>
        <w:rPr>
          <w:rFonts w:hint="eastAsia" w:ascii="宋体" w:hAnsi="宋体"/>
          <w:b/>
          <w:sz w:val="28"/>
          <w:szCs w:val="28"/>
        </w:rPr>
      </w:pPr>
      <w:bookmarkStart w:id="54" w:name="_Toc150480755"/>
      <w:bookmarkStart w:id="55" w:name="_Toc127151517"/>
      <w:bookmarkStart w:id="56" w:name="_Toc305158859"/>
      <w:bookmarkStart w:id="57" w:name="_Toc226337213"/>
      <w:bookmarkStart w:id="58" w:name="_Toc353825542"/>
      <w:bookmarkStart w:id="59" w:name="_Toc195842882"/>
      <w:bookmarkStart w:id="60" w:name="_Toc150774722"/>
      <w:bookmarkStart w:id="61" w:name="_Toc264969207"/>
      <w:bookmarkStart w:id="62" w:name="_Toc353873662"/>
      <w:bookmarkStart w:id="63" w:name="_Toc353873932"/>
      <w:bookmarkStart w:id="64" w:name="_Toc226965790"/>
      <w:bookmarkStart w:id="65" w:name="_Toc265228355"/>
      <w:bookmarkStart w:id="66" w:name="_Toc305158785"/>
      <w:bookmarkStart w:id="67" w:name="_Toc142311019"/>
      <w:r>
        <w:rPr>
          <w:rFonts w:ascii="宋体" w:hAnsi="宋体"/>
          <w:b/>
          <w:sz w:val="28"/>
          <w:szCs w:val="28"/>
        </w:rPr>
        <w:tab/>
      </w:r>
      <w:r>
        <w:rPr>
          <w:rFonts w:ascii="宋体" w:hAnsi="宋体"/>
          <w:b/>
          <w:sz w:val="28"/>
          <w:szCs w:val="28"/>
        </w:rPr>
        <w:tab/>
      </w:r>
      <w:r>
        <w:rPr>
          <w:rFonts w:ascii="宋体" w:hAnsi="宋体"/>
          <w:b/>
          <w:sz w:val="28"/>
          <w:szCs w:val="28"/>
        </w:rPr>
        <w:t>投标人须知</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33EE0DAC">
      <w:pPr>
        <w:pStyle w:val="3"/>
        <w:tabs>
          <w:tab w:val="center" w:pos="4592"/>
          <w:tab w:val="left" w:pos="7860"/>
        </w:tabs>
        <w:spacing w:before="0" w:line="360" w:lineRule="auto"/>
        <w:rPr>
          <w:rFonts w:hint="eastAsia" w:ascii="宋体" w:hAnsi="宋体" w:eastAsia="宋体"/>
          <w:sz w:val="28"/>
        </w:rPr>
      </w:pPr>
      <w:bookmarkStart w:id="68" w:name="_Toc226965708"/>
      <w:bookmarkStart w:id="69" w:name="_Toc226965791"/>
      <w:bookmarkStart w:id="70" w:name="_Toc265228356"/>
      <w:bookmarkStart w:id="71" w:name="_Toc151193906"/>
      <w:bookmarkStart w:id="72" w:name="_Toc195842883"/>
      <w:bookmarkStart w:id="73" w:name="_Toc127151518"/>
      <w:bookmarkStart w:id="74" w:name="_Toc264969208"/>
      <w:bookmarkStart w:id="75" w:name="_Toc151190145"/>
      <w:bookmarkStart w:id="76" w:name="_Toc305158786"/>
      <w:bookmarkStart w:id="77" w:name="_Toc151193760"/>
      <w:bookmarkStart w:id="78" w:name="_Toc226337214"/>
      <w:bookmarkStart w:id="79" w:name="_Toc150774723"/>
      <w:bookmarkStart w:id="80" w:name="_Toc151193688"/>
      <w:bookmarkStart w:id="81" w:name="_Toc520356143"/>
      <w:bookmarkStart w:id="82" w:name="_Toc150774618"/>
      <w:bookmarkStart w:id="83" w:name="_Toc150509269"/>
      <w:bookmarkStart w:id="84" w:name="_Toc151193832"/>
      <w:bookmarkStart w:id="85" w:name="_Toc226309762"/>
      <w:bookmarkStart w:id="86" w:name="_Toc142311020"/>
      <w:bookmarkStart w:id="87" w:name="_Toc150480756"/>
      <w:bookmarkStart w:id="88" w:name="_Toc305158860"/>
      <w:bookmarkStart w:id="89" w:name="_Toc151193616"/>
      <w:r>
        <w:rPr>
          <w:rFonts w:ascii="宋体" w:hAnsi="宋体" w:eastAsia="宋体"/>
          <w:sz w:val="28"/>
        </w:rPr>
        <w:t>一  说  明</w:t>
      </w:r>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4E8F5D25">
      <w:pPr>
        <w:tabs>
          <w:tab w:val="left" w:pos="360"/>
        </w:tabs>
        <w:snapToGrid w:val="0"/>
        <w:spacing w:line="360" w:lineRule="auto"/>
        <w:ind w:left="357" w:hanging="357"/>
        <w:outlineLvl w:val="1"/>
        <w:rPr>
          <w:rFonts w:hint="eastAsia" w:ascii="宋体" w:hAnsi="宋体"/>
          <w:sz w:val="24"/>
        </w:rPr>
      </w:pPr>
      <w:bookmarkStart w:id="90" w:name="_Toc264969209"/>
      <w:bookmarkStart w:id="91" w:name="_Toc305158787"/>
      <w:bookmarkStart w:id="92" w:name="_Toc305158861"/>
      <w:bookmarkStart w:id="93" w:name="_Toc265228357"/>
      <w:r>
        <w:rPr>
          <w:rFonts w:hint="eastAsia" w:ascii="宋体" w:hAnsi="宋体"/>
          <w:sz w:val="24"/>
        </w:rPr>
        <w:t>1</w:t>
      </w:r>
      <w:r>
        <w:rPr>
          <w:rFonts w:hint="eastAsia" w:ascii="宋体" w:hAnsi="宋体"/>
          <w:sz w:val="24"/>
        </w:rPr>
        <w:tab/>
      </w:r>
      <w:r>
        <w:rPr>
          <w:rFonts w:ascii="宋体" w:hAnsi="宋体"/>
          <w:sz w:val="24"/>
        </w:rPr>
        <w:t>采购人、采购代理机构、投标人</w:t>
      </w:r>
      <w:bookmarkEnd w:id="90"/>
      <w:bookmarkEnd w:id="91"/>
      <w:bookmarkEnd w:id="92"/>
      <w:bookmarkEnd w:id="93"/>
      <w:r>
        <w:rPr>
          <w:rFonts w:hint="eastAsia" w:ascii="宋体" w:hAnsi="宋体"/>
          <w:sz w:val="24"/>
        </w:rPr>
        <w:t>、联合体</w:t>
      </w:r>
    </w:p>
    <w:p w14:paraId="6CF5303A">
      <w:pPr>
        <w:tabs>
          <w:tab w:val="left" w:pos="1080"/>
          <w:tab w:val="left" w:pos="1589"/>
          <w:tab w:val="left" w:pos="2014"/>
          <w:tab w:val="left" w:pos="5521"/>
        </w:tabs>
        <w:snapToGrid w:val="0"/>
        <w:spacing w:line="360" w:lineRule="auto"/>
        <w:ind w:left="1080" w:hanging="720"/>
        <w:rPr>
          <w:rFonts w:hint="eastAsia" w:ascii="宋体" w:hAnsi="宋体"/>
          <w:sz w:val="24"/>
        </w:rPr>
      </w:pPr>
      <w:r>
        <w:rPr>
          <w:sz w:val="24"/>
          <w:highlight w:val="lightGray"/>
        </w:rPr>
        <w:t>1.1</w:t>
      </w:r>
      <w:r>
        <w:rPr>
          <w:sz w:val="24"/>
          <w:highlight w:val="lightGray"/>
        </w:rPr>
        <w:tab/>
      </w:r>
      <w:r>
        <w:rPr>
          <w:rFonts w:ascii="宋体" w:hAnsi="宋体"/>
          <w:sz w:val="24"/>
        </w:rPr>
        <w:t>采购人、采购代理机构：指依法进行政府采购的国家机关、事业单位、团体组织，及其委托的采购代理机构。本项目采购人、采购代理机构见第一章《投标邀请》。</w:t>
      </w:r>
    </w:p>
    <w:p w14:paraId="15480E78">
      <w:pPr>
        <w:tabs>
          <w:tab w:val="left" w:pos="1080"/>
          <w:tab w:val="left" w:pos="1589"/>
          <w:tab w:val="left" w:pos="2014"/>
          <w:tab w:val="left" w:pos="5521"/>
        </w:tabs>
        <w:snapToGrid w:val="0"/>
        <w:spacing w:line="360" w:lineRule="auto"/>
        <w:ind w:left="1080" w:hanging="720"/>
        <w:rPr>
          <w:rFonts w:hint="eastAsia" w:ascii="宋体" w:hAnsi="宋体"/>
          <w:sz w:val="24"/>
        </w:rPr>
      </w:pPr>
      <w:r>
        <w:rPr>
          <w:sz w:val="24"/>
          <w:highlight w:val="lightGray"/>
        </w:rPr>
        <w:t>1.2</w:t>
      </w:r>
      <w:r>
        <w:rPr>
          <w:sz w:val="24"/>
          <w:highlight w:val="lightGray"/>
        </w:rPr>
        <w:tab/>
      </w:r>
      <w:r>
        <w:rPr>
          <w:rFonts w:ascii="宋体" w:hAnsi="宋体"/>
          <w:sz w:val="24"/>
        </w:rPr>
        <w:t>投标人（也称</w:t>
      </w:r>
      <w:r>
        <w:rPr>
          <w:rFonts w:hint="eastAsia" w:ascii="宋体" w:hAnsi="宋体"/>
          <w:sz w:val="24"/>
        </w:rPr>
        <w:t>“供应商”、“</w:t>
      </w:r>
      <w:r>
        <w:rPr>
          <w:rFonts w:ascii="宋体" w:hAnsi="宋体"/>
          <w:sz w:val="24"/>
        </w:rPr>
        <w:t>申请人</w:t>
      </w:r>
      <w:r>
        <w:rPr>
          <w:rFonts w:hint="eastAsia" w:ascii="宋体" w:hAnsi="宋体"/>
          <w:sz w:val="24"/>
        </w:rPr>
        <w:t>”</w:t>
      </w:r>
      <w:r>
        <w:rPr>
          <w:rFonts w:ascii="宋体" w:hAnsi="宋体"/>
          <w:sz w:val="24"/>
        </w:rPr>
        <w:t>）：指向采购人提供货物、工程或者服务的法人、其他组织或者自然人。</w:t>
      </w:r>
    </w:p>
    <w:p w14:paraId="085FCC91">
      <w:pPr>
        <w:tabs>
          <w:tab w:val="left" w:pos="1080"/>
          <w:tab w:val="left" w:pos="1589"/>
          <w:tab w:val="left" w:pos="2014"/>
          <w:tab w:val="left" w:pos="5521"/>
        </w:tabs>
        <w:snapToGrid w:val="0"/>
        <w:spacing w:line="360" w:lineRule="auto"/>
        <w:ind w:left="1080" w:hanging="720"/>
        <w:rPr>
          <w:rFonts w:hint="eastAsia" w:ascii="宋体" w:hAnsi="宋体"/>
          <w:sz w:val="24"/>
        </w:rPr>
      </w:pPr>
      <w:r>
        <w:rPr>
          <w:sz w:val="24"/>
          <w:highlight w:val="lightGray"/>
        </w:rPr>
        <w:t>1.3</w:t>
      </w:r>
      <w:r>
        <w:rPr>
          <w:sz w:val="24"/>
          <w:highlight w:val="lightGray"/>
        </w:rPr>
        <w:tab/>
      </w:r>
      <w:r>
        <w:rPr>
          <w:rFonts w:hint="eastAsia" w:ascii="宋体" w:hAnsi="宋体"/>
          <w:sz w:val="24"/>
        </w:rPr>
        <w:t>联合体：指两个以上的自然人、法人或者其他组织组成一个联合体，以一个供应商的身份共同参加政府采购。</w:t>
      </w:r>
    </w:p>
    <w:p w14:paraId="5E378847">
      <w:pPr>
        <w:tabs>
          <w:tab w:val="left" w:pos="360"/>
        </w:tabs>
        <w:snapToGrid w:val="0"/>
        <w:spacing w:line="360" w:lineRule="auto"/>
        <w:ind w:left="357" w:hanging="357"/>
        <w:outlineLvl w:val="1"/>
        <w:rPr>
          <w:rFonts w:hint="eastAsia" w:ascii="宋体" w:hAnsi="宋体"/>
          <w:sz w:val="24"/>
        </w:rPr>
      </w:pPr>
      <w:bookmarkStart w:id="94" w:name="_Toc226337216"/>
      <w:bookmarkStart w:id="95" w:name="_Toc265228358"/>
      <w:bookmarkStart w:id="96" w:name="_Toc127161434"/>
      <w:bookmarkStart w:id="97" w:name="_Toc164351614"/>
      <w:bookmarkStart w:id="98" w:name="_Toc150774620"/>
      <w:bookmarkStart w:id="99" w:name="_Toc151193618"/>
      <w:bookmarkStart w:id="100" w:name="_Toc264969210"/>
      <w:bookmarkStart w:id="101" w:name="_Toc226309764"/>
      <w:bookmarkStart w:id="102" w:name="_Toc150774725"/>
      <w:bookmarkStart w:id="103" w:name="_Toc164608634"/>
      <w:bookmarkStart w:id="104" w:name="_Toc127151520"/>
      <w:bookmarkStart w:id="105" w:name="_Toc149720813"/>
      <w:bookmarkStart w:id="106" w:name="_Toc151190147"/>
      <w:bookmarkStart w:id="107" w:name="_Toc305158788"/>
      <w:bookmarkStart w:id="108" w:name="_Toc151193834"/>
      <w:bookmarkStart w:id="109" w:name="_Toc164229215"/>
      <w:bookmarkStart w:id="110" w:name="_Toc164229361"/>
      <w:bookmarkStart w:id="111" w:name="_Toc142311022"/>
      <w:bookmarkStart w:id="112" w:name="_Toc195842885"/>
      <w:bookmarkStart w:id="113" w:name="_Toc150480758"/>
      <w:bookmarkStart w:id="114" w:name="_Toc226965710"/>
      <w:bookmarkStart w:id="115" w:name="_Toc226965793"/>
      <w:bookmarkStart w:id="116" w:name="_Toc127151721"/>
      <w:bookmarkStart w:id="117" w:name="_Toc150509271"/>
      <w:bookmarkStart w:id="118" w:name="_Toc305158862"/>
      <w:bookmarkStart w:id="119" w:name="_Toc164608789"/>
      <w:bookmarkStart w:id="120" w:name="_Toc151193762"/>
      <w:bookmarkStart w:id="121" w:name="_Toc151193908"/>
      <w:bookmarkStart w:id="122" w:name="_Toc151193690"/>
      <w:r>
        <w:rPr>
          <w:rFonts w:hint="eastAsia" w:ascii="宋体" w:hAnsi="宋体"/>
          <w:sz w:val="24"/>
        </w:rPr>
        <w:t>2</w:t>
      </w:r>
      <w:r>
        <w:rPr>
          <w:rFonts w:hint="eastAsia" w:ascii="宋体" w:hAnsi="宋体"/>
          <w:sz w:val="24"/>
        </w:rPr>
        <w:tab/>
      </w:r>
      <w:r>
        <w:rPr>
          <w:rFonts w:ascii="宋体" w:hAnsi="宋体"/>
          <w:sz w:val="24"/>
        </w:rPr>
        <w:t>资金来源</w:t>
      </w:r>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Pr>
          <w:rFonts w:ascii="宋体" w:hAnsi="宋体"/>
          <w:sz w:val="24"/>
        </w:rPr>
        <w:t>、项目属性、科研仪器设备采购、核心产品</w:t>
      </w:r>
    </w:p>
    <w:p w14:paraId="1373EF13">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2.1</w:t>
      </w:r>
      <w:r>
        <w:rPr>
          <w:sz w:val="24"/>
          <w:highlight w:val="lightGray"/>
        </w:rPr>
        <w:tab/>
      </w:r>
      <w:r>
        <w:rPr>
          <w:rFonts w:ascii="宋体" w:hAnsi="宋体"/>
          <w:sz w:val="24"/>
        </w:rPr>
        <w:t>资金来源为财政性资金。</w:t>
      </w:r>
    </w:p>
    <w:p w14:paraId="61A7793A">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2.2</w:t>
      </w:r>
      <w:r>
        <w:rPr>
          <w:sz w:val="24"/>
          <w:highlight w:val="lightGray"/>
        </w:rPr>
        <w:tab/>
      </w:r>
      <w:r>
        <w:rPr>
          <w:rFonts w:ascii="宋体" w:hAnsi="宋体"/>
          <w:sz w:val="24"/>
        </w:rPr>
        <w:t>项目属性见《投标人须知资料表》。</w:t>
      </w:r>
    </w:p>
    <w:p w14:paraId="70E2914A">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2.3</w:t>
      </w:r>
      <w:r>
        <w:rPr>
          <w:sz w:val="24"/>
          <w:highlight w:val="lightGray"/>
        </w:rPr>
        <w:tab/>
      </w:r>
      <w:r>
        <w:rPr>
          <w:rFonts w:ascii="宋体" w:hAnsi="宋体"/>
          <w:sz w:val="24"/>
        </w:rPr>
        <w:t>是否属于科研仪器设备采购见《投标人须知资料表》。</w:t>
      </w:r>
    </w:p>
    <w:p w14:paraId="3EECC150">
      <w:pPr>
        <w:tabs>
          <w:tab w:val="left" w:pos="1080"/>
          <w:tab w:val="left" w:pos="1589"/>
          <w:tab w:val="left" w:pos="2014"/>
          <w:tab w:val="left" w:pos="5521"/>
        </w:tabs>
        <w:snapToGrid w:val="0"/>
        <w:spacing w:line="360" w:lineRule="auto"/>
        <w:ind w:left="1080" w:hanging="720"/>
        <w:rPr>
          <w:rFonts w:hint="eastAsia" w:ascii="宋体" w:hAnsi="宋体"/>
          <w:sz w:val="24"/>
        </w:rPr>
      </w:pPr>
      <w:r>
        <w:rPr>
          <w:sz w:val="24"/>
          <w:highlight w:val="lightGray"/>
        </w:rPr>
        <w:t>2.4</w:t>
      </w:r>
      <w:r>
        <w:rPr>
          <w:sz w:val="24"/>
          <w:highlight w:val="lightGray"/>
        </w:rPr>
        <w:tab/>
      </w:r>
      <w:r>
        <w:rPr>
          <w:rFonts w:ascii="宋体" w:hAnsi="宋体"/>
          <w:sz w:val="24"/>
        </w:rPr>
        <w:t>核心产品见《投标人须知资料表》。</w:t>
      </w:r>
    </w:p>
    <w:p w14:paraId="1BC0F69A">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3</w:t>
      </w:r>
      <w:r>
        <w:rPr>
          <w:rFonts w:hint="eastAsia" w:ascii="宋体" w:hAnsi="宋体"/>
          <w:sz w:val="24"/>
        </w:rPr>
        <w:tab/>
      </w:r>
      <w:r>
        <w:rPr>
          <w:rFonts w:ascii="宋体" w:hAnsi="宋体"/>
          <w:sz w:val="24"/>
        </w:rPr>
        <w:t>现场考察、开标前答疑会</w:t>
      </w:r>
    </w:p>
    <w:p w14:paraId="54C131EF">
      <w:pPr>
        <w:tabs>
          <w:tab w:val="left" w:pos="1080"/>
          <w:tab w:val="left" w:pos="1589"/>
          <w:tab w:val="left" w:pos="2014"/>
        </w:tabs>
        <w:snapToGrid w:val="0"/>
        <w:spacing w:line="360" w:lineRule="auto"/>
        <w:ind w:left="1080" w:hanging="720"/>
        <w:rPr>
          <w:rFonts w:hint="eastAsia" w:ascii="宋体" w:hAnsi="宋体"/>
          <w:sz w:val="28"/>
        </w:rPr>
      </w:pPr>
      <w:r>
        <w:rPr>
          <w:sz w:val="24"/>
          <w:highlight w:val="lightGray"/>
        </w:rPr>
        <w:t>3.1</w:t>
      </w:r>
      <w:r>
        <w:rPr>
          <w:sz w:val="24"/>
          <w:highlight w:val="lightGray"/>
        </w:rPr>
        <w:tab/>
      </w:r>
      <w:r>
        <w:rPr>
          <w:rFonts w:ascii="宋体" w:hAnsi="宋体"/>
          <w:sz w:val="24"/>
        </w:rPr>
        <w:t>若《投标人须知资料表》中规定了组织现场考察、召开开标前答疑会，则投标人应按要求在规定的时间和地点参加。</w:t>
      </w:r>
      <w:bookmarkStart w:id="123" w:name="_Toc305158864"/>
      <w:bookmarkStart w:id="124" w:name="_Toc151193692"/>
      <w:bookmarkStart w:id="125" w:name="_Toc305158790"/>
      <w:bookmarkStart w:id="126" w:name="_Toc150509273"/>
      <w:bookmarkStart w:id="127" w:name="_Toc226309766"/>
      <w:bookmarkStart w:id="128" w:name="_Toc195842887"/>
      <w:bookmarkStart w:id="129" w:name="_Toc151193910"/>
      <w:bookmarkStart w:id="130" w:name="_Toc265228360"/>
      <w:bookmarkStart w:id="131" w:name="_Toc127151522"/>
      <w:bookmarkStart w:id="132" w:name="_Toc520356146"/>
      <w:bookmarkStart w:id="133" w:name="_Toc226965712"/>
      <w:bookmarkStart w:id="134" w:name="_Toc264969212"/>
      <w:bookmarkStart w:id="135" w:name="_Toc151193836"/>
      <w:bookmarkStart w:id="136" w:name="_Toc226965795"/>
      <w:bookmarkStart w:id="137" w:name="_Toc142311024"/>
      <w:bookmarkStart w:id="138" w:name="_Toc226337218"/>
      <w:bookmarkStart w:id="139" w:name="_Toc150774727"/>
      <w:bookmarkStart w:id="140" w:name="_Toc150480760"/>
      <w:bookmarkStart w:id="141" w:name="_Toc151193764"/>
      <w:bookmarkStart w:id="142" w:name="_Toc151193620"/>
      <w:bookmarkStart w:id="143" w:name="_Toc151190149"/>
      <w:bookmarkStart w:id="144" w:name="_Toc150774622"/>
    </w:p>
    <w:p w14:paraId="12A57C50">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3.2</w:t>
      </w:r>
      <w:r>
        <w:rPr>
          <w:sz w:val="24"/>
          <w:highlight w:val="lightGray"/>
        </w:rPr>
        <w:tab/>
      </w:r>
      <w:r>
        <w:rPr>
          <w:rFonts w:ascii="宋体" w:hAnsi="宋体"/>
          <w:sz w:val="24"/>
        </w:rPr>
        <w:t>由于未参加现场考察或开标前答疑会而导致对项目实际情况不了解，影响投标文件编制、投标报价准确性、综合因素响应不全面等问题的，由投标人自行承担不利评审后果。</w:t>
      </w:r>
    </w:p>
    <w:p w14:paraId="719EBE69">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4</w:t>
      </w:r>
      <w:r>
        <w:rPr>
          <w:rFonts w:hint="eastAsia" w:ascii="宋体" w:hAnsi="宋体"/>
          <w:sz w:val="24"/>
        </w:rPr>
        <w:tab/>
      </w:r>
      <w:r>
        <w:rPr>
          <w:rFonts w:ascii="宋体" w:hAnsi="宋体"/>
          <w:sz w:val="24"/>
        </w:rPr>
        <w:t>样品</w:t>
      </w:r>
    </w:p>
    <w:p w14:paraId="71FBA892">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4.1</w:t>
      </w:r>
      <w:r>
        <w:rPr>
          <w:sz w:val="24"/>
          <w:highlight w:val="lightGray"/>
        </w:rPr>
        <w:tab/>
      </w:r>
      <w:r>
        <w:rPr>
          <w:rFonts w:ascii="宋体" w:hAnsi="宋体"/>
          <w:sz w:val="24"/>
        </w:rPr>
        <w:t>本项目是否要求投标人提供样品，以及样品制作的标准和要求、是否需要随样品提交相关检测报告、样品的递交与退还等要求见《投标人须知资料表》</w:t>
      </w:r>
      <w:r>
        <w:rPr>
          <w:rFonts w:hint="eastAsia" w:ascii="宋体" w:hAnsi="宋体"/>
          <w:sz w:val="24"/>
        </w:rPr>
        <w:t>。</w:t>
      </w:r>
    </w:p>
    <w:p w14:paraId="5E7ECE91">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4.2</w:t>
      </w:r>
      <w:r>
        <w:rPr>
          <w:sz w:val="24"/>
          <w:highlight w:val="lightGray"/>
        </w:rPr>
        <w:tab/>
      </w:r>
      <w:r>
        <w:rPr>
          <w:rFonts w:ascii="宋体" w:hAnsi="宋体"/>
          <w:sz w:val="24"/>
        </w:rPr>
        <w:t>样品的评审方法以及评审标准等内容见第四章《评标方法和评标标准》。</w:t>
      </w:r>
    </w:p>
    <w:p w14:paraId="41C76F4F">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5</w:t>
      </w:r>
      <w:r>
        <w:rPr>
          <w:rFonts w:hint="eastAsia" w:ascii="宋体" w:hAnsi="宋体"/>
          <w:sz w:val="24"/>
        </w:rPr>
        <w:tab/>
      </w:r>
      <w:r>
        <w:rPr>
          <w:rFonts w:ascii="宋体" w:hAnsi="宋体"/>
          <w:sz w:val="24"/>
        </w:rPr>
        <w:t>政府采购政策（包括但不限于下列具体政策要求）</w:t>
      </w:r>
    </w:p>
    <w:p w14:paraId="1B06135A">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5.1</w:t>
      </w:r>
      <w:r>
        <w:rPr>
          <w:sz w:val="24"/>
          <w:highlight w:val="lightGray"/>
        </w:rPr>
        <w:tab/>
      </w:r>
      <w:r>
        <w:rPr>
          <w:rFonts w:ascii="宋体" w:hAnsi="宋体"/>
          <w:sz w:val="24"/>
        </w:rPr>
        <w:t>进口产品</w:t>
      </w:r>
    </w:p>
    <w:p w14:paraId="53211B84">
      <w:pPr>
        <w:tabs>
          <w:tab w:val="left" w:pos="1980"/>
          <w:tab w:val="left" w:pos="2014"/>
        </w:tabs>
        <w:snapToGrid w:val="0"/>
        <w:spacing w:line="360" w:lineRule="auto"/>
        <w:ind w:left="1980" w:hanging="900"/>
        <w:rPr>
          <w:rFonts w:hint="eastAsia" w:ascii="宋体" w:hAnsi="宋体"/>
          <w:sz w:val="24"/>
        </w:rPr>
      </w:pPr>
      <w:r>
        <w:rPr>
          <w:rFonts w:hint="eastAsia" w:ascii="宋体" w:hAnsi="宋体"/>
          <w:sz w:val="24"/>
        </w:rPr>
        <w:t>5.1.1</w:t>
      </w:r>
      <w:r>
        <w:rPr>
          <w:rFonts w:hint="eastAsia" w:ascii="宋体" w:hAnsi="宋体"/>
          <w:sz w:val="24"/>
        </w:rPr>
        <w:tab/>
      </w:r>
      <w:r>
        <w:rPr>
          <w:rFonts w:ascii="宋体" w:hAnsi="宋体"/>
          <w:sz w:val="24"/>
        </w:rPr>
        <w:t>指通过中国海关报关验放进入中国境内且产自关境外的产品，包括已经进入中国境内的进口产品。关于进口产品的相关规定依据《政府采购进口产品管理办法》（财库〔2007〕119号文）、《关于政府采购进口产品管理有关问题的通知》（财办库〔2008〕248号文）。</w:t>
      </w:r>
    </w:p>
    <w:p w14:paraId="38297D28">
      <w:pPr>
        <w:tabs>
          <w:tab w:val="left" w:pos="1980"/>
          <w:tab w:val="left" w:pos="2014"/>
        </w:tabs>
        <w:snapToGrid w:val="0"/>
        <w:spacing w:line="360" w:lineRule="auto"/>
        <w:ind w:left="1980" w:hanging="900"/>
        <w:rPr>
          <w:rFonts w:hint="eastAsia" w:ascii="宋体" w:hAnsi="宋体"/>
          <w:sz w:val="24"/>
        </w:rPr>
      </w:pPr>
      <w:r>
        <w:rPr>
          <w:rFonts w:hint="eastAsia" w:ascii="宋体" w:hAnsi="宋体"/>
          <w:sz w:val="24"/>
        </w:rPr>
        <w:t>5.1.2</w:t>
      </w:r>
      <w:r>
        <w:rPr>
          <w:rFonts w:hint="eastAsia" w:ascii="宋体" w:hAnsi="宋体"/>
          <w:sz w:val="24"/>
        </w:rPr>
        <w:tab/>
      </w:r>
      <w:r>
        <w:rPr>
          <w:rFonts w:ascii="宋体" w:hAnsi="宋体"/>
          <w:sz w:val="24"/>
        </w:rPr>
        <w:t>本项目是否接受进口产品见第五章</w:t>
      </w:r>
      <w:r>
        <w:rPr>
          <w:rFonts w:hint="eastAsia" w:ascii="宋体" w:hAnsi="宋体"/>
          <w:sz w:val="24"/>
        </w:rPr>
        <w:t>或第一章</w:t>
      </w:r>
      <w:r>
        <w:rPr>
          <w:rFonts w:ascii="宋体" w:hAnsi="宋体"/>
          <w:sz w:val="24"/>
        </w:rPr>
        <w:t>。</w:t>
      </w:r>
    </w:p>
    <w:p w14:paraId="2AB33815">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5.2</w:t>
      </w:r>
      <w:r>
        <w:rPr>
          <w:sz w:val="24"/>
          <w:highlight w:val="lightGray"/>
        </w:rPr>
        <w:tab/>
      </w:r>
      <w:r>
        <w:rPr>
          <w:rFonts w:ascii="宋体" w:hAnsi="宋体"/>
          <w:sz w:val="24"/>
        </w:rPr>
        <w:t>中小企业、监狱企业及残疾人福利性单位</w:t>
      </w:r>
    </w:p>
    <w:p w14:paraId="387B3B39">
      <w:pPr>
        <w:tabs>
          <w:tab w:val="left" w:pos="1980"/>
        </w:tabs>
        <w:snapToGrid w:val="0"/>
        <w:spacing w:line="360" w:lineRule="auto"/>
        <w:ind w:left="1980" w:hanging="900"/>
        <w:rPr>
          <w:rFonts w:hint="eastAsia" w:ascii="宋体" w:hAnsi="宋体"/>
          <w:sz w:val="24"/>
        </w:rPr>
      </w:pPr>
      <w:r>
        <w:rPr>
          <w:rFonts w:hint="eastAsia" w:ascii="宋体" w:hAnsi="宋体"/>
          <w:sz w:val="24"/>
        </w:rPr>
        <w:t>5.2.1</w:t>
      </w:r>
      <w:r>
        <w:rPr>
          <w:rFonts w:hint="eastAsia" w:ascii="宋体" w:hAnsi="宋体"/>
          <w:sz w:val="24"/>
        </w:rPr>
        <w:tab/>
      </w:r>
      <w:r>
        <w:rPr>
          <w:rFonts w:ascii="宋体" w:hAnsi="宋体"/>
          <w:sz w:val="24"/>
        </w:rPr>
        <w:t>中小企业定义：</w:t>
      </w:r>
    </w:p>
    <w:p w14:paraId="6A9BB905">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5.2.1.1</w:t>
      </w:r>
      <w:r>
        <w:rPr>
          <w:rFonts w:hint="eastAsia" w:ascii="宋体" w:hAnsi="宋体"/>
          <w:color w:val="000000"/>
          <w:sz w:val="24"/>
        </w:rPr>
        <w:tab/>
      </w:r>
      <w:r>
        <w:rPr>
          <w:rFonts w:ascii="宋体" w:hAnsi="宋体"/>
          <w:color w:val="000000"/>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政府采购促进中小企业发展管理办法》（财库〔2020〕46号）、《关于印发中小企业划型标准规定的通知》（工信部联企业〔2011〕300 号）、《国务院关于进一步促进中小企业发展的若干意见》（国发〔2009〕36号）。</w:t>
      </w:r>
    </w:p>
    <w:p w14:paraId="7315E14F">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5.2.1.2</w:t>
      </w:r>
      <w:r>
        <w:rPr>
          <w:rFonts w:hint="eastAsia" w:ascii="宋体" w:hAnsi="宋体"/>
          <w:color w:val="000000"/>
          <w:sz w:val="24"/>
        </w:rPr>
        <w:tab/>
      </w:r>
      <w:r>
        <w:rPr>
          <w:rFonts w:ascii="宋体" w:hAnsi="宋体"/>
          <w:color w:val="000000"/>
          <w:sz w:val="24"/>
        </w:rPr>
        <w:t>供应商提供的货物、工程或者服务符合下列情形的，享受中小企业扶持政策：</w:t>
      </w:r>
    </w:p>
    <w:p w14:paraId="29719481">
      <w:pPr>
        <w:tabs>
          <w:tab w:val="left" w:pos="1980"/>
        </w:tabs>
        <w:snapToGrid w:val="0"/>
        <w:spacing w:line="360" w:lineRule="auto"/>
        <w:ind w:left="2887"/>
        <w:rPr>
          <w:rFonts w:hint="eastAsia" w:ascii="宋体" w:hAnsi="宋体"/>
          <w:color w:val="000000"/>
          <w:sz w:val="24"/>
        </w:rPr>
      </w:pPr>
      <w:r>
        <w:rPr>
          <w:rFonts w:ascii="宋体" w:hAnsi="宋体"/>
          <w:color w:val="000000"/>
          <w:sz w:val="24"/>
        </w:rPr>
        <w:t>（1）在货物采购项目中，货物由中小企业制造，即货物由中小企业生产且使用该中小企业商号或者注册商标；</w:t>
      </w:r>
    </w:p>
    <w:p w14:paraId="055AD5A2">
      <w:pPr>
        <w:tabs>
          <w:tab w:val="left" w:pos="1980"/>
        </w:tabs>
        <w:snapToGrid w:val="0"/>
        <w:spacing w:line="360" w:lineRule="auto"/>
        <w:ind w:left="2887"/>
        <w:rPr>
          <w:rFonts w:hint="eastAsia" w:ascii="宋体" w:hAnsi="宋体"/>
          <w:color w:val="000000"/>
          <w:sz w:val="24"/>
        </w:rPr>
      </w:pPr>
      <w:r>
        <w:rPr>
          <w:rFonts w:ascii="宋体" w:hAnsi="宋体"/>
          <w:color w:val="000000"/>
          <w:sz w:val="24"/>
        </w:rPr>
        <w:t>（2）在工程采购项目中，工程由中小企业承建，即工程施工单位为中小企业；</w:t>
      </w:r>
    </w:p>
    <w:p w14:paraId="08C2673F">
      <w:pPr>
        <w:tabs>
          <w:tab w:val="left" w:pos="1980"/>
        </w:tabs>
        <w:snapToGrid w:val="0"/>
        <w:spacing w:line="360" w:lineRule="auto"/>
        <w:ind w:left="2887"/>
        <w:rPr>
          <w:rFonts w:hint="eastAsia" w:ascii="宋体" w:hAnsi="宋体"/>
          <w:color w:val="000000"/>
          <w:sz w:val="24"/>
        </w:rPr>
      </w:pPr>
      <w:r>
        <w:rPr>
          <w:rFonts w:ascii="宋体" w:hAnsi="宋体"/>
          <w:color w:val="000000"/>
          <w:sz w:val="24"/>
        </w:rPr>
        <w:t>（3）在服务采购项目中，服务由中小企业承接，即提供服务的人员为中小企业依照《中华人民共和国劳动</w:t>
      </w:r>
      <w:r>
        <w:rPr>
          <w:rFonts w:hint="eastAsia" w:ascii="宋体" w:hAnsi="宋体"/>
          <w:color w:val="000000"/>
          <w:sz w:val="24"/>
        </w:rPr>
        <w:t>合同法</w:t>
      </w:r>
      <w:r>
        <w:rPr>
          <w:rFonts w:ascii="宋体" w:hAnsi="宋体"/>
          <w:color w:val="000000"/>
          <w:sz w:val="24"/>
        </w:rPr>
        <w:t>》订立劳动合同的从业人员。</w:t>
      </w:r>
    </w:p>
    <w:p w14:paraId="24FF82A0">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5.2.1.3</w:t>
      </w:r>
      <w:r>
        <w:rPr>
          <w:rFonts w:hint="eastAsia" w:ascii="宋体" w:hAnsi="宋体"/>
          <w:color w:val="000000"/>
          <w:sz w:val="24"/>
        </w:rPr>
        <w:tab/>
      </w:r>
      <w:r>
        <w:rPr>
          <w:rFonts w:ascii="宋体" w:hAnsi="宋体"/>
          <w:color w:val="000000"/>
          <w:sz w:val="24"/>
        </w:rPr>
        <w:t>在货物采购项目中，供应商提供的货物既有中小企业制造货物，也有大型企业制造货物的，不享受中小企业扶持政策。</w:t>
      </w:r>
    </w:p>
    <w:p w14:paraId="79430A70">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5.2.1.4</w:t>
      </w:r>
      <w:r>
        <w:rPr>
          <w:rFonts w:hint="eastAsia" w:ascii="宋体" w:hAnsi="宋体"/>
          <w:color w:val="000000"/>
          <w:sz w:val="24"/>
        </w:rPr>
        <w:tab/>
      </w:r>
      <w:r>
        <w:rPr>
          <w:rFonts w:ascii="宋体" w:hAnsi="宋体"/>
          <w:color w:val="000000"/>
          <w:sz w:val="24"/>
        </w:rPr>
        <w:t>以联合体形式参加政府采购活动，联合体各方均为中小企业的，联合体视同中小企业。其中，联合体各方均为小微企业的，联合体视同小微企业。</w:t>
      </w:r>
    </w:p>
    <w:p w14:paraId="1BF4747C">
      <w:pPr>
        <w:tabs>
          <w:tab w:val="left" w:pos="1980"/>
        </w:tabs>
        <w:snapToGrid w:val="0"/>
        <w:spacing w:line="360" w:lineRule="auto"/>
        <w:ind w:left="1980" w:hanging="900"/>
        <w:rPr>
          <w:rFonts w:hint="eastAsia" w:ascii="宋体" w:hAnsi="宋体"/>
          <w:sz w:val="24"/>
        </w:rPr>
      </w:pPr>
      <w:r>
        <w:rPr>
          <w:rFonts w:hint="eastAsia" w:ascii="宋体" w:hAnsi="宋体"/>
          <w:sz w:val="24"/>
        </w:rPr>
        <w:t>5.2.2</w:t>
      </w:r>
      <w:r>
        <w:rPr>
          <w:rFonts w:hint="eastAsia" w:ascii="宋体" w:hAnsi="宋体"/>
          <w:sz w:val="24"/>
        </w:rPr>
        <w:tab/>
      </w:r>
      <w:r>
        <w:rPr>
          <w:rFonts w:ascii="宋体" w:hAnsi="宋体"/>
          <w:sz w:val="24"/>
        </w:rPr>
        <w:t>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0C256E06">
      <w:pPr>
        <w:tabs>
          <w:tab w:val="left" w:pos="1980"/>
        </w:tabs>
        <w:snapToGrid w:val="0"/>
        <w:spacing w:line="360" w:lineRule="auto"/>
        <w:ind w:left="1980" w:hanging="900"/>
        <w:rPr>
          <w:rFonts w:hint="eastAsia" w:ascii="宋体" w:hAnsi="宋体"/>
          <w:sz w:val="24"/>
        </w:rPr>
      </w:pPr>
      <w:r>
        <w:rPr>
          <w:rFonts w:hint="eastAsia" w:ascii="宋体" w:hAnsi="宋体"/>
          <w:sz w:val="24"/>
        </w:rPr>
        <w:t>5.2.3</w:t>
      </w:r>
      <w:r>
        <w:rPr>
          <w:rFonts w:hint="eastAsia" w:ascii="宋体" w:hAnsi="宋体"/>
          <w:sz w:val="24"/>
        </w:rPr>
        <w:tab/>
      </w:r>
      <w:r>
        <w:rPr>
          <w:rFonts w:ascii="宋体" w:hAnsi="宋体"/>
          <w:sz w:val="24"/>
        </w:rPr>
        <w:t>残疾人福利单位定义：享受政府采购支持政策的残疾人福利性单位应当同时满足以下条件</w:t>
      </w:r>
    </w:p>
    <w:p w14:paraId="12FA9FC5">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5.2.3.1</w:t>
      </w:r>
      <w:r>
        <w:rPr>
          <w:rFonts w:hint="eastAsia" w:ascii="宋体" w:hAnsi="宋体"/>
          <w:color w:val="000000"/>
          <w:sz w:val="24"/>
        </w:rPr>
        <w:tab/>
      </w:r>
      <w:r>
        <w:rPr>
          <w:rFonts w:ascii="宋体" w:hAnsi="宋体"/>
          <w:color w:val="000000"/>
          <w:sz w:val="24"/>
        </w:rPr>
        <w:t>安置的残疾人占本单位在职职工人数的比例不低于25%（含25%），并且安置的残疾人人数不少于10 人（含10人）；</w:t>
      </w:r>
    </w:p>
    <w:p w14:paraId="33CFF5E6">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5.2.3.2</w:t>
      </w:r>
      <w:r>
        <w:rPr>
          <w:rFonts w:hint="eastAsia" w:ascii="宋体" w:hAnsi="宋体"/>
          <w:color w:val="000000"/>
          <w:sz w:val="24"/>
        </w:rPr>
        <w:tab/>
      </w:r>
      <w:r>
        <w:rPr>
          <w:rFonts w:ascii="宋体" w:hAnsi="宋体"/>
          <w:color w:val="000000"/>
          <w:sz w:val="24"/>
        </w:rPr>
        <w:t>依法与安置的每位残疾人签订了一年以上（含一年）的劳动合同或服务协议；</w:t>
      </w:r>
    </w:p>
    <w:p w14:paraId="4C194E46">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5.2.3.3</w:t>
      </w:r>
      <w:r>
        <w:rPr>
          <w:rFonts w:hint="eastAsia" w:ascii="宋体" w:hAnsi="宋体"/>
          <w:color w:val="000000"/>
          <w:sz w:val="24"/>
        </w:rPr>
        <w:tab/>
      </w:r>
      <w:r>
        <w:rPr>
          <w:rFonts w:ascii="宋体" w:hAnsi="宋体"/>
          <w:color w:val="000000"/>
          <w:sz w:val="24"/>
        </w:rPr>
        <w:t>为安置的每位残疾人按月足额缴纳了基本养老保险、基本医疗保险、失业保险、工伤保险和生育保险等社会保险费；</w:t>
      </w:r>
    </w:p>
    <w:p w14:paraId="01DCA57B">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5.2.3.4</w:t>
      </w:r>
      <w:r>
        <w:rPr>
          <w:rFonts w:hint="eastAsia" w:ascii="宋体" w:hAnsi="宋体"/>
          <w:color w:val="000000"/>
          <w:sz w:val="24"/>
        </w:rPr>
        <w:tab/>
      </w:r>
      <w:r>
        <w:rPr>
          <w:rFonts w:ascii="宋体" w:hAnsi="宋体"/>
          <w:color w:val="000000"/>
          <w:sz w:val="24"/>
        </w:rPr>
        <w:t>通过银行等金融机构向安置的每位残疾人，按月支付了不低于单位所在区县适用的经省级人民政府批准的月最低工资标准的工资；</w:t>
      </w:r>
    </w:p>
    <w:p w14:paraId="08C50F31">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5.2.3.5</w:t>
      </w:r>
      <w:r>
        <w:rPr>
          <w:rFonts w:hint="eastAsia" w:ascii="宋体" w:hAnsi="宋体"/>
          <w:color w:val="000000"/>
          <w:sz w:val="24"/>
        </w:rPr>
        <w:tab/>
      </w:r>
      <w:r>
        <w:rPr>
          <w:rFonts w:ascii="宋体" w:hAnsi="宋体"/>
          <w:color w:val="000000"/>
          <w:sz w:val="24"/>
        </w:rPr>
        <w:t>提供本单位制造的货物、承担的工程或者服务（以下简称产品），或者提供其他残疾人福利性单位制造的货物（不包括使用非残疾人福利性单位注册商标的货物）；</w:t>
      </w:r>
    </w:p>
    <w:p w14:paraId="0AE4846D">
      <w:pPr>
        <w:tabs>
          <w:tab w:val="left" w:pos="1042"/>
          <w:tab w:val="left" w:pos="1980"/>
        </w:tabs>
        <w:snapToGrid w:val="0"/>
        <w:spacing w:line="360" w:lineRule="auto"/>
        <w:ind w:left="2887" w:hanging="902"/>
        <w:rPr>
          <w:rFonts w:hint="eastAsia" w:ascii="宋体" w:hAnsi="宋体"/>
          <w:color w:val="000000"/>
          <w:sz w:val="24"/>
        </w:rPr>
      </w:pPr>
      <w:r>
        <w:rPr>
          <w:rFonts w:hint="eastAsia" w:ascii="宋体" w:hAnsi="宋体"/>
          <w:color w:val="000000"/>
          <w:sz w:val="24"/>
        </w:rPr>
        <w:t>5.2.3.6</w:t>
      </w:r>
      <w:r>
        <w:rPr>
          <w:rFonts w:hint="eastAsia" w:ascii="宋体" w:hAnsi="宋体"/>
          <w:color w:val="000000"/>
          <w:sz w:val="24"/>
        </w:rPr>
        <w:tab/>
      </w:r>
      <w:r>
        <w:rPr>
          <w:rFonts w:ascii="宋体" w:hAnsi="宋体"/>
          <w:color w:val="000000"/>
          <w:sz w:val="24"/>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7BB907DA">
      <w:pPr>
        <w:tabs>
          <w:tab w:val="left" w:pos="1980"/>
        </w:tabs>
        <w:snapToGrid w:val="0"/>
        <w:spacing w:line="360" w:lineRule="auto"/>
        <w:ind w:left="1980" w:hanging="900"/>
        <w:rPr>
          <w:rFonts w:hint="eastAsia" w:ascii="宋体" w:hAnsi="宋体"/>
          <w:sz w:val="24"/>
        </w:rPr>
      </w:pPr>
      <w:r>
        <w:rPr>
          <w:rFonts w:hint="eastAsia" w:ascii="宋体" w:hAnsi="宋体"/>
          <w:sz w:val="24"/>
        </w:rPr>
        <w:t>5.2.4</w:t>
      </w:r>
      <w:r>
        <w:rPr>
          <w:rFonts w:hint="eastAsia" w:ascii="宋体" w:hAnsi="宋体"/>
          <w:sz w:val="24"/>
        </w:rPr>
        <w:tab/>
      </w:r>
      <w:r>
        <w:rPr>
          <w:rFonts w:ascii="宋体" w:hAnsi="宋体"/>
          <w:sz w:val="24"/>
        </w:rPr>
        <w:t>本项目是否专门面向中小企业预留采购份额见第一章《投标邀请》。</w:t>
      </w:r>
    </w:p>
    <w:p w14:paraId="046F24F9">
      <w:pPr>
        <w:tabs>
          <w:tab w:val="left" w:pos="1980"/>
        </w:tabs>
        <w:snapToGrid w:val="0"/>
        <w:spacing w:line="360" w:lineRule="auto"/>
        <w:ind w:left="1980" w:hanging="900"/>
        <w:rPr>
          <w:rFonts w:hint="eastAsia" w:ascii="宋体" w:hAnsi="宋体"/>
          <w:sz w:val="24"/>
        </w:rPr>
      </w:pPr>
      <w:r>
        <w:rPr>
          <w:rFonts w:hint="eastAsia" w:ascii="宋体" w:hAnsi="宋体"/>
          <w:sz w:val="24"/>
        </w:rPr>
        <w:t>5.2.5</w:t>
      </w:r>
      <w:r>
        <w:rPr>
          <w:rFonts w:hint="eastAsia" w:ascii="宋体" w:hAnsi="宋体"/>
          <w:sz w:val="24"/>
        </w:rPr>
        <w:tab/>
      </w:r>
      <w:r>
        <w:rPr>
          <w:rFonts w:ascii="宋体" w:hAnsi="宋体"/>
          <w:sz w:val="24"/>
        </w:rPr>
        <w:t>采购标的对应的中小企业划分标准所属行业见《投标人须知资料表》。</w:t>
      </w:r>
    </w:p>
    <w:p w14:paraId="36EA0AE5">
      <w:pPr>
        <w:tabs>
          <w:tab w:val="left" w:pos="1980"/>
        </w:tabs>
        <w:snapToGrid w:val="0"/>
        <w:spacing w:line="360" w:lineRule="auto"/>
        <w:ind w:left="1980" w:hanging="900"/>
        <w:rPr>
          <w:rFonts w:hint="eastAsia" w:ascii="宋体" w:hAnsi="宋体"/>
          <w:sz w:val="24"/>
        </w:rPr>
      </w:pPr>
      <w:r>
        <w:rPr>
          <w:rFonts w:hint="eastAsia" w:ascii="宋体" w:hAnsi="宋体"/>
          <w:sz w:val="24"/>
        </w:rPr>
        <w:t>5.2.6</w:t>
      </w:r>
      <w:r>
        <w:rPr>
          <w:rFonts w:hint="eastAsia" w:ascii="宋体" w:hAnsi="宋体"/>
          <w:sz w:val="24"/>
        </w:rPr>
        <w:tab/>
      </w:r>
      <w:r>
        <w:rPr>
          <w:rFonts w:ascii="宋体" w:hAnsi="宋体"/>
          <w:sz w:val="24"/>
        </w:rPr>
        <w:t>小微企业价格评审优惠的政策调整：见第四章《评标方法和评标标准》。</w:t>
      </w:r>
    </w:p>
    <w:p w14:paraId="4BB0D400">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5.3</w:t>
      </w:r>
      <w:r>
        <w:rPr>
          <w:sz w:val="24"/>
          <w:highlight w:val="lightGray"/>
        </w:rPr>
        <w:tab/>
      </w:r>
      <w:r>
        <w:rPr>
          <w:rFonts w:ascii="宋体" w:hAnsi="宋体"/>
          <w:sz w:val="24"/>
        </w:rPr>
        <w:t>政府采购节能产品、环境标志产品</w:t>
      </w:r>
    </w:p>
    <w:p w14:paraId="59C1D18D">
      <w:pPr>
        <w:tabs>
          <w:tab w:val="left" w:pos="1980"/>
        </w:tabs>
        <w:snapToGrid w:val="0"/>
        <w:spacing w:line="360" w:lineRule="auto"/>
        <w:ind w:left="1980" w:hanging="900"/>
        <w:rPr>
          <w:rFonts w:hint="eastAsia" w:ascii="宋体" w:hAnsi="宋体"/>
          <w:sz w:val="24"/>
        </w:rPr>
      </w:pPr>
      <w:r>
        <w:rPr>
          <w:rFonts w:hint="eastAsia" w:ascii="宋体" w:hAnsi="宋体"/>
          <w:sz w:val="24"/>
        </w:rPr>
        <w:t>5.3.1</w:t>
      </w:r>
      <w:r>
        <w:rPr>
          <w:rFonts w:hint="eastAsia" w:ascii="宋体" w:hAnsi="宋体"/>
          <w:sz w:val="24"/>
        </w:rPr>
        <w:tab/>
      </w:r>
      <w:r>
        <w:rPr>
          <w:rFonts w:ascii="宋体" w:hAnsi="宋体"/>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B90E7FC">
      <w:pPr>
        <w:tabs>
          <w:tab w:val="left" w:pos="1980"/>
        </w:tabs>
        <w:snapToGrid w:val="0"/>
        <w:spacing w:line="360" w:lineRule="auto"/>
        <w:ind w:left="1980" w:hanging="900"/>
        <w:rPr>
          <w:rFonts w:hint="eastAsia" w:ascii="宋体" w:hAnsi="宋体"/>
          <w:sz w:val="24"/>
        </w:rPr>
      </w:pPr>
      <w:r>
        <w:rPr>
          <w:rFonts w:hint="eastAsia" w:ascii="宋体" w:hAnsi="宋体"/>
          <w:sz w:val="24"/>
        </w:rPr>
        <w:t>5.3.2</w:t>
      </w:r>
      <w:r>
        <w:rPr>
          <w:rFonts w:hint="eastAsia" w:ascii="宋体" w:hAnsi="宋体"/>
          <w:sz w:val="24"/>
        </w:rPr>
        <w:tab/>
      </w:r>
      <w:r>
        <w:rPr>
          <w:rFonts w:ascii="宋体" w:hAnsi="宋体"/>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01209F9E">
      <w:pPr>
        <w:tabs>
          <w:tab w:val="left" w:pos="1980"/>
        </w:tabs>
        <w:snapToGrid w:val="0"/>
        <w:spacing w:line="360" w:lineRule="auto"/>
        <w:ind w:left="1980" w:hanging="900"/>
        <w:rPr>
          <w:rFonts w:hint="eastAsia" w:ascii="宋体" w:hAnsi="宋体"/>
          <w:sz w:val="24"/>
        </w:rPr>
      </w:pPr>
      <w:r>
        <w:rPr>
          <w:rFonts w:hint="eastAsia" w:ascii="宋体" w:hAnsi="宋体"/>
          <w:sz w:val="24"/>
        </w:rPr>
        <w:t>5.3.3</w:t>
      </w:r>
      <w:r>
        <w:rPr>
          <w:rFonts w:hint="eastAsia" w:ascii="宋体" w:hAnsi="宋体"/>
          <w:sz w:val="24"/>
        </w:rPr>
        <w:tab/>
      </w:r>
      <w:r>
        <w:rPr>
          <w:rFonts w:ascii="宋体" w:hAnsi="宋体"/>
          <w:sz w:val="24"/>
        </w:rPr>
        <w:t>如本项目采购产品属于实施政府强制采购品目清单范围的节能产品，则投标人所报产品必须获得国家确定的认证机构出具的、处于有效期之内的节能产品认证证书，</w:t>
      </w:r>
      <w:r>
        <w:rPr>
          <w:rFonts w:ascii="宋体" w:hAnsi="宋体"/>
          <w:kern w:val="0"/>
          <w:sz w:val="24"/>
        </w:rPr>
        <w:t>否则</w:t>
      </w:r>
      <w:r>
        <w:rPr>
          <w:rFonts w:ascii="宋体" w:hAnsi="宋体"/>
          <w:b/>
          <w:kern w:val="0"/>
          <w:sz w:val="24"/>
        </w:rPr>
        <w:t>投标无效</w:t>
      </w:r>
      <w:r>
        <w:rPr>
          <w:rFonts w:ascii="宋体" w:hAnsi="宋体"/>
          <w:sz w:val="24"/>
        </w:rPr>
        <w:t>；</w:t>
      </w:r>
    </w:p>
    <w:p w14:paraId="5B98279F">
      <w:pPr>
        <w:tabs>
          <w:tab w:val="left" w:pos="1980"/>
        </w:tabs>
        <w:snapToGrid w:val="0"/>
        <w:spacing w:line="360" w:lineRule="auto"/>
        <w:ind w:left="1980" w:hanging="900"/>
        <w:rPr>
          <w:rFonts w:hint="eastAsia" w:ascii="宋体" w:hAnsi="宋体"/>
          <w:sz w:val="24"/>
        </w:rPr>
      </w:pPr>
      <w:r>
        <w:rPr>
          <w:rFonts w:hint="eastAsia" w:ascii="宋体" w:hAnsi="宋体"/>
          <w:sz w:val="24"/>
        </w:rPr>
        <w:t>5.3.4</w:t>
      </w:r>
      <w:r>
        <w:rPr>
          <w:rFonts w:hint="eastAsia" w:ascii="宋体" w:hAnsi="宋体"/>
          <w:sz w:val="24"/>
        </w:rPr>
        <w:tab/>
      </w:r>
      <w:r>
        <w:rPr>
          <w:rFonts w:ascii="宋体" w:hAnsi="宋体"/>
          <w:sz w:val="24"/>
        </w:rPr>
        <w:t>非政府强制采购的节能产品或环境标志产品，依据品目清单和认证证书实施政府优先采购。优先采购的具体规定见第四章《评标方法和评标标准》（如涉及）。</w:t>
      </w:r>
    </w:p>
    <w:p w14:paraId="1D6E0173">
      <w:pPr>
        <w:tabs>
          <w:tab w:val="left" w:pos="1080"/>
          <w:tab w:val="left" w:pos="2014"/>
        </w:tabs>
        <w:snapToGrid w:val="0"/>
        <w:spacing w:line="360" w:lineRule="auto"/>
        <w:ind w:left="1080" w:hanging="720"/>
        <w:rPr>
          <w:rFonts w:hint="eastAsia" w:ascii="宋体" w:hAnsi="宋体"/>
          <w:sz w:val="24"/>
        </w:rPr>
      </w:pPr>
      <w:r>
        <w:rPr>
          <w:sz w:val="24"/>
        </w:rPr>
        <w:t>5.4</w:t>
      </w:r>
      <w:r>
        <w:rPr>
          <w:sz w:val="24"/>
        </w:rPr>
        <w:tab/>
      </w:r>
      <w:r>
        <w:rPr>
          <w:rFonts w:ascii="宋体" w:hAnsi="宋体"/>
          <w:sz w:val="24"/>
        </w:rPr>
        <w:t>正版软件</w:t>
      </w:r>
    </w:p>
    <w:p w14:paraId="791039D3">
      <w:pPr>
        <w:snapToGrid w:val="0"/>
        <w:spacing w:line="360" w:lineRule="auto"/>
        <w:ind w:left="1980" w:hanging="900"/>
        <w:rPr>
          <w:rFonts w:hint="eastAsia" w:ascii="宋体" w:hAnsi="宋体"/>
          <w:sz w:val="24"/>
        </w:rPr>
      </w:pPr>
      <w:r>
        <w:rPr>
          <w:rFonts w:hint="eastAsia" w:ascii="宋体" w:hAnsi="宋体"/>
          <w:sz w:val="24"/>
        </w:rPr>
        <w:t>5.4.1</w:t>
      </w:r>
      <w:r>
        <w:rPr>
          <w:rFonts w:hint="eastAsia" w:ascii="宋体" w:hAnsi="宋体"/>
          <w:sz w:val="24"/>
        </w:rPr>
        <w:tab/>
      </w:r>
      <w:r>
        <w:rPr>
          <w:rFonts w:ascii="宋体" w:hAnsi="宋体"/>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7E874025">
      <w:pPr>
        <w:tabs>
          <w:tab w:val="left" w:pos="1080"/>
          <w:tab w:val="left" w:pos="2014"/>
        </w:tabs>
        <w:snapToGrid w:val="0"/>
        <w:spacing w:line="360" w:lineRule="auto"/>
        <w:ind w:left="1080" w:hanging="720"/>
        <w:rPr>
          <w:rFonts w:hint="eastAsia" w:ascii="宋体" w:hAnsi="宋体"/>
          <w:sz w:val="24"/>
        </w:rPr>
      </w:pPr>
      <w:r>
        <w:rPr>
          <w:sz w:val="24"/>
        </w:rPr>
        <w:t>5.5</w:t>
      </w:r>
      <w:r>
        <w:rPr>
          <w:sz w:val="24"/>
        </w:rPr>
        <w:tab/>
      </w:r>
      <w:r>
        <w:rPr>
          <w:rFonts w:hint="eastAsia" w:ascii="宋体" w:hAnsi="宋体"/>
          <w:sz w:val="24"/>
        </w:rPr>
        <w:t>网络</w:t>
      </w:r>
      <w:r>
        <w:rPr>
          <w:rFonts w:ascii="宋体" w:hAnsi="宋体"/>
          <w:sz w:val="24"/>
        </w:rPr>
        <w:t>安全产品</w:t>
      </w:r>
    </w:p>
    <w:p w14:paraId="25B4CC3F">
      <w:pPr>
        <w:tabs>
          <w:tab w:val="left" w:pos="2014"/>
        </w:tabs>
        <w:snapToGrid w:val="0"/>
        <w:spacing w:line="360" w:lineRule="auto"/>
        <w:ind w:left="1980" w:hanging="900"/>
        <w:rPr>
          <w:rFonts w:hint="eastAsia" w:ascii="宋体" w:hAnsi="宋体"/>
          <w:sz w:val="24"/>
        </w:rPr>
      </w:pPr>
      <w:r>
        <w:rPr>
          <w:rFonts w:hint="eastAsia" w:ascii="宋体" w:hAnsi="宋体"/>
          <w:sz w:val="24"/>
        </w:rPr>
        <w:t>5.5.1</w:t>
      </w:r>
      <w:r>
        <w:rPr>
          <w:rFonts w:hint="eastAsia" w:ascii="宋体" w:hAnsi="宋体"/>
          <w:sz w:val="24"/>
        </w:rPr>
        <w:tab/>
      </w:r>
      <w:r>
        <w:rPr>
          <w:rFonts w:hint="eastAsia" w:ascii="宋体" w:hAnsi="宋体"/>
          <w:sz w:val="24"/>
        </w:rPr>
        <w:t>根据《关于调整网络安全专用产品安全管理有关事项的公告》（2023年第 1 号），所提供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p>
    <w:p w14:paraId="240C49A8">
      <w:pPr>
        <w:tabs>
          <w:tab w:val="left" w:pos="1080"/>
          <w:tab w:val="left" w:pos="2014"/>
        </w:tabs>
        <w:snapToGrid w:val="0"/>
        <w:spacing w:line="360" w:lineRule="auto"/>
        <w:ind w:left="1080" w:hanging="720"/>
        <w:rPr>
          <w:rFonts w:hint="eastAsia" w:ascii="宋体" w:hAnsi="宋体"/>
          <w:sz w:val="24"/>
        </w:rPr>
      </w:pPr>
      <w:r>
        <w:rPr>
          <w:sz w:val="24"/>
        </w:rPr>
        <w:t>5.6</w:t>
      </w:r>
      <w:r>
        <w:rPr>
          <w:sz w:val="24"/>
        </w:rPr>
        <w:tab/>
      </w:r>
      <w:r>
        <w:rPr>
          <w:rFonts w:ascii="宋体" w:hAnsi="宋体"/>
          <w:sz w:val="24"/>
        </w:rPr>
        <w:t>推广使用低挥发性有机化合物（VOCs）</w:t>
      </w:r>
    </w:p>
    <w:p w14:paraId="0672716D">
      <w:pPr>
        <w:tabs>
          <w:tab w:val="left" w:pos="2014"/>
        </w:tabs>
        <w:snapToGrid w:val="0"/>
        <w:spacing w:line="360" w:lineRule="auto"/>
        <w:ind w:left="1980" w:hanging="900"/>
        <w:rPr>
          <w:rFonts w:hint="eastAsia" w:ascii="宋体" w:hAnsi="宋体"/>
          <w:sz w:val="24"/>
        </w:rPr>
      </w:pPr>
      <w:r>
        <w:rPr>
          <w:rFonts w:hint="eastAsia" w:ascii="宋体" w:hAnsi="宋体"/>
          <w:sz w:val="24"/>
        </w:rPr>
        <w:t>5.6.1</w:t>
      </w:r>
      <w:r>
        <w:rPr>
          <w:rFonts w:hint="eastAsia" w:ascii="宋体" w:hAnsi="宋体"/>
          <w:sz w:val="24"/>
        </w:rPr>
        <w:tab/>
      </w:r>
      <w:r>
        <w:rPr>
          <w:rFonts w:ascii="宋体" w:hAnsi="宋体"/>
          <w:sz w:val="24"/>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含量限制标准（具体标准见第五章《采购需求》），</w:t>
      </w:r>
      <w:r>
        <w:rPr>
          <w:rFonts w:ascii="宋体" w:hAnsi="宋体"/>
          <w:kern w:val="0"/>
          <w:sz w:val="24"/>
        </w:rPr>
        <w:t>否则</w:t>
      </w:r>
      <w:r>
        <w:rPr>
          <w:rFonts w:ascii="宋体" w:hAnsi="宋体"/>
          <w:b/>
          <w:kern w:val="0"/>
          <w:sz w:val="24"/>
        </w:rPr>
        <w:t>投标无效</w:t>
      </w:r>
      <w:r>
        <w:rPr>
          <w:rFonts w:ascii="宋体" w:hAnsi="宋体"/>
          <w:sz w:val="24"/>
        </w:rPr>
        <w:t>；属于推荐性标准的，优先采购，具体见第四章《评标方法和评标标准》。</w:t>
      </w:r>
    </w:p>
    <w:p w14:paraId="6F760955">
      <w:pPr>
        <w:tabs>
          <w:tab w:val="left" w:pos="1080"/>
          <w:tab w:val="left" w:pos="2014"/>
        </w:tabs>
        <w:snapToGrid w:val="0"/>
        <w:spacing w:line="360" w:lineRule="auto"/>
        <w:ind w:left="1080" w:hanging="720"/>
        <w:rPr>
          <w:rFonts w:hint="eastAsia" w:ascii="宋体" w:hAnsi="宋体"/>
          <w:sz w:val="24"/>
        </w:rPr>
      </w:pPr>
      <w:r>
        <w:rPr>
          <w:sz w:val="24"/>
        </w:rPr>
        <w:t>5.7</w:t>
      </w:r>
      <w:r>
        <w:rPr>
          <w:sz w:val="24"/>
        </w:rPr>
        <w:tab/>
      </w:r>
      <w:r>
        <w:rPr>
          <w:rFonts w:hint="eastAsia" w:ascii="宋体" w:hAnsi="宋体"/>
          <w:sz w:val="24"/>
        </w:rPr>
        <w:t>采购需求标准</w:t>
      </w:r>
    </w:p>
    <w:p w14:paraId="660143A4">
      <w:pPr>
        <w:tabs>
          <w:tab w:val="left" w:pos="2014"/>
        </w:tabs>
        <w:snapToGrid w:val="0"/>
        <w:spacing w:line="360" w:lineRule="auto"/>
        <w:ind w:left="1980" w:hanging="900"/>
        <w:rPr>
          <w:rFonts w:hint="eastAsia" w:ascii="宋体" w:hAnsi="宋体"/>
          <w:sz w:val="24"/>
        </w:rPr>
      </w:pPr>
      <w:r>
        <w:rPr>
          <w:rFonts w:hint="eastAsia" w:ascii="宋体" w:hAnsi="宋体"/>
          <w:sz w:val="24"/>
        </w:rPr>
        <w:t>5.7.1</w:t>
      </w:r>
      <w:r>
        <w:rPr>
          <w:rFonts w:hint="eastAsia" w:ascii="宋体" w:hAnsi="宋体"/>
          <w:sz w:val="24"/>
        </w:rPr>
        <w:tab/>
      </w:r>
      <w:r>
        <w:rPr>
          <w:rFonts w:hint="eastAsia" w:ascii="宋体" w:hAnsi="宋体"/>
          <w:sz w:val="24"/>
        </w:rPr>
        <w:t>商品包装、快递包装政府采购需求标准 (试行 )</w:t>
      </w:r>
    </w:p>
    <w:p w14:paraId="598CCC0F">
      <w:pPr>
        <w:tabs>
          <w:tab w:val="left" w:pos="2014"/>
        </w:tabs>
        <w:snapToGrid w:val="0"/>
        <w:spacing w:line="360" w:lineRule="auto"/>
        <w:ind w:left="1980"/>
        <w:rPr>
          <w:rFonts w:hint="eastAsia" w:ascii="宋体" w:hAnsi="宋体"/>
          <w:sz w:val="24"/>
        </w:rPr>
      </w:pPr>
      <w:r>
        <w:rPr>
          <w:rFonts w:hint="eastAsia" w:ascii="宋体" w:hAnsi="宋体"/>
          <w:sz w:val="24"/>
        </w:rPr>
        <w:t>为助力打好污染防治攻坚战，推广使用绿色包装，根据财政部关于印发《商品包装政府采购需求标准(试行)》、《快递包装政府采购需求标准(试行)》的通知 (财办库 (2020) 123 号)，本项目如涉及商品包装和快递包装的，则其具体要求见第五章《采购需求》。</w:t>
      </w:r>
    </w:p>
    <w:p w14:paraId="097D415B">
      <w:pPr>
        <w:tabs>
          <w:tab w:val="left" w:pos="2014"/>
        </w:tabs>
        <w:snapToGrid w:val="0"/>
        <w:spacing w:line="360" w:lineRule="auto"/>
        <w:ind w:left="1980" w:hanging="900"/>
        <w:rPr>
          <w:rFonts w:hint="eastAsia" w:ascii="宋体" w:hAnsi="宋体"/>
          <w:sz w:val="24"/>
        </w:rPr>
      </w:pPr>
      <w:r>
        <w:rPr>
          <w:rFonts w:hint="eastAsia" w:ascii="宋体" w:hAnsi="宋体"/>
          <w:sz w:val="24"/>
        </w:rPr>
        <w:t>5.7.2</w:t>
      </w:r>
      <w:r>
        <w:rPr>
          <w:rFonts w:hint="eastAsia" w:ascii="宋体" w:hAnsi="宋体"/>
          <w:sz w:val="24"/>
        </w:rPr>
        <w:tab/>
      </w:r>
      <w:r>
        <w:rPr>
          <w:rFonts w:hint="eastAsia" w:ascii="宋体" w:hAnsi="宋体"/>
          <w:sz w:val="24"/>
        </w:rPr>
        <w:t>其他政府采购需求标准</w:t>
      </w:r>
    </w:p>
    <w:p w14:paraId="2540F4BC">
      <w:pPr>
        <w:tabs>
          <w:tab w:val="left" w:pos="2014"/>
        </w:tabs>
        <w:snapToGrid w:val="0"/>
        <w:spacing w:line="360" w:lineRule="auto"/>
        <w:ind w:left="1980"/>
        <w:rPr>
          <w:rFonts w:hint="eastAsia" w:ascii="宋体" w:hAnsi="宋体"/>
          <w:sz w:val="24"/>
        </w:rPr>
      </w:pPr>
      <w:r>
        <w:rPr>
          <w:rFonts w:hint="eastAsia" w:ascii="宋体" w:hAnsi="宋体"/>
          <w:sz w:val="24"/>
        </w:rPr>
        <w:t>为贯彻落实《深化政府采购制度改革方案》有关要求，推动政府采购需求标准建设，财政部门会同有关部门制定发布的其他政府采购需求标准，本项目如涉及，则具体要求见第五章《采购需求》。</w:t>
      </w:r>
    </w:p>
    <w:p w14:paraId="7CA45B15">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6</w:t>
      </w:r>
      <w:r>
        <w:rPr>
          <w:rFonts w:hint="eastAsia" w:ascii="宋体" w:hAnsi="宋体"/>
          <w:sz w:val="24"/>
        </w:rPr>
        <w:tab/>
      </w:r>
      <w:r>
        <w:rPr>
          <w:rFonts w:ascii="宋体" w:hAnsi="宋体"/>
          <w:sz w:val="24"/>
        </w:rPr>
        <w:t>投标费用</w:t>
      </w:r>
    </w:p>
    <w:p w14:paraId="48473954">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6.1</w:t>
      </w:r>
      <w:r>
        <w:rPr>
          <w:sz w:val="24"/>
          <w:highlight w:val="lightGray"/>
        </w:rPr>
        <w:tab/>
      </w:r>
      <w:r>
        <w:rPr>
          <w:rFonts w:ascii="宋体" w:hAnsi="宋体"/>
          <w:sz w:val="24"/>
        </w:rPr>
        <w:t>投标人应自行承担所有与准备和参加投标有关的费用，无论投标的结果如何，采购人或采购代理机构在任何情况下均无承担这些费用的义务和责任。</w:t>
      </w:r>
    </w:p>
    <w:p w14:paraId="6F6F195D">
      <w:pPr>
        <w:pStyle w:val="3"/>
        <w:spacing w:before="0" w:line="360" w:lineRule="auto"/>
        <w:rPr>
          <w:rFonts w:hint="eastAsia" w:ascii="宋体" w:hAnsi="宋体" w:eastAsia="宋体"/>
          <w:sz w:val="28"/>
        </w:rPr>
      </w:pPr>
      <w:bookmarkStart w:id="145" w:name="_1.8_计量单位"/>
      <w:bookmarkEnd w:id="145"/>
      <w:r>
        <w:rPr>
          <w:rFonts w:ascii="宋体" w:hAnsi="宋体" w:eastAsia="宋体"/>
          <w:sz w:val="28"/>
        </w:rPr>
        <w:t>二  招标文件</w:t>
      </w:r>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p>
    <w:p w14:paraId="142CFA6D">
      <w:pPr>
        <w:tabs>
          <w:tab w:val="left" w:pos="360"/>
        </w:tabs>
        <w:snapToGrid w:val="0"/>
        <w:spacing w:line="360" w:lineRule="auto"/>
        <w:ind w:left="357" w:hanging="357"/>
        <w:outlineLvl w:val="1"/>
        <w:rPr>
          <w:rFonts w:hint="eastAsia" w:ascii="宋体" w:hAnsi="宋体"/>
          <w:sz w:val="24"/>
        </w:rPr>
      </w:pPr>
      <w:bookmarkStart w:id="146" w:name="_Toc127151523"/>
      <w:bookmarkStart w:id="147" w:name="_Toc151193765"/>
      <w:bookmarkStart w:id="148" w:name="_Toc142311025"/>
      <w:bookmarkStart w:id="149" w:name="_Toc150774623"/>
      <w:bookmarkStart w:id="150" w:name="_Toc264969213"/>
      <w:bookmarkStart w:id="151" w:name="_Toc226337219"/>
      <w:bookmarkStart w:id="152" w:name="_Toc150774728"/>
      <w:bookmarkStart w:id="153" w:name="_Toc151190150"/>
      <w:bookmarkStart w:id="154" w:name="_Toc127161437"/>
      <w:bookmarkStart w:id="155" w:name="_Toc195842888"/>
      <w:bookmarkStart w:id="156" w:name="_Toc164351617"/>
      <w:bookmarkStart w:id="157" w:name="_Toc151193911"/>
      <w:bookmarkStart w:id="158" w:name="_Toc151193693"/>
      <w:bookmarkStart w:id="159" w:name="_Toc164229364"/>
      <w:bookmarkStart w:id="160" w:name="_Toc151193837"/>
      <w:bookmarkStart w:id="161" w:name="_Toc164608637"/>
      <w:bookmarkStart w:id="162" w:name="_Toc151193621"/>
      <w:bookmarkStart w:id="163" w:name="_Toc305158865"/>
      <w:bookmarkStart w:id="164" w:name="_Toc149720816"/>
      <w:bookmarkStart w:id="165" w:name="_Toc164608792"/>
      <w:bookmarkStart w:id="166" w:name="_Toc520356147"/>
      <w:bookmarkStart w:id="167" w:name="_Toc150509274"/>
      <w:bookmarkStart w:id="168" w:name="_Toc127151724"/>
      <w:bookmarkStart w:id="169" w:name="_Toc226965796"/>
      <w:bookmarkStart w:id="170" w:name="_Toc226965713"/>
      <w:bookmarkStart w:id="171" w:name="_Toc150480761"/>
      <w:bookmarkStart w:id="172" w:name="_Toc305158791"/>
      <w:bookmarkStart w:id="173" w:name="_Toc164229218"/>
      <w:bookmarkStart w:id="174" w:name="_Toc265228361"/>
      <w:bookmarkStart w:id="175" w:name="_Toc226309767"/>
      <w:r>
        <w:rPr>
          <w:rFonts w:hint="eastAsia" w:ascii="宋体" w:hAnsi="宋体"/>
          <w:sz w:val="24"/>
        </w:rPr>
        <w:t>7</w:t>
      </w:r>
      <w:r>
        <w:rPr>
          <w:rFonts w:hint="eastAsia" w:ascii="宋体" w:hAnsi="宋体"/>
          <w:sz w:val="24"/>
        </w:rPr>
        <w:tab/>
      </w:r>
      <w:r>
        <w:rPr>
          <w:rFonts w:ascii="宋体" w:hAnsi="宋体"/>
          <w:sz w:val="24"/>
        </w:rPr>
        <w:t>招标文件构</w:t>
      </w:r>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r>
        <w:rPr>
          <w:rFonts w:ascii="宋体" w:hAnsi="宋体"/>
          <w:sz w:val="24"/>
        </w:rPr>
        <w:t>成</w:t>
      </w:r>
    </w:p>
    <w:p w14:paraId="1C8FE1F8">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7.1</w:t>
      </w:r>
      <w:r>
        <w:rPr>
          <w:sz w:val="24"/>
          <w:highlight w:val="lightGray"/>
        </w:rPr>
        <w:tab/>
      </w:r>
      <w:r>
        <w:rPr>
          <w:rFonts w:hint="eastAsia" w:ascii="宋体" w:hAnsi="宋体"/>
          <w:sz w:val="24"/>
        </w:rPr>
        <w:t>要求提供货物与服务的内容及详细技术需求、投标须知和合同条件等在招标文件中均有说明。</w:t>
      </w:r>
      <w:r>
        <w:rPr>
          <w:rFonts w:ascii="宋体" w:hAnsi="宋体"/>
          <w:sz w:val="24"/>
        </w:rPr>
        <w:t>招标文件包括以下部分：</w:t>
      </w:r>
    </w:p>
    <w:p w14:paraId="56DCADAD">
      <w:pPr>
        <w:tabs>
          <w:tab w:val="left" w:pos="1980"/>
          <w:tab w:val="left" w:pos="2520"/>
          <w:tab w:val="left" w:pos="4941"/>
        </w:tabs>
        <w:snapToGrid w:val="0"/>
        <w:spacing w:line="360" w:lineRule="auto"/>
        <w:ind w:left="1445"/>
        <w:rPr>
          <w:rFonts w:hint="eastAsia" w:ascii="宋体" w:hAnsi="宋体"/>
          <w:sz w:val="24"/>
        </w:rPr>
      </w:pPr>
      <w:r>
        <w:rPr>
          <w:rFonts w:hint="eastAsia" w:ascii="宋体" w:hAnsi="宋体"/>
          <w:sz w:val="24"/>
        </w:rPr>
        <w:t>第一章-第七章</w:t>
      </w:r>
    </w:p>
    <w:p w14:paraId="6AFFA3BB">
      <w:pPr>
        <w:tabs>
          <w:tab w:val="left" w:pos="1080"/>
          <w:tab w:val="left" w:pos="1589"/>
          <w:tab w:val="left" w:pos="2014"/>
        </w:tabs>
        <w:snapToGrid w:val="0"/>
        <w:spacing w:line="360" w:lineRule="auto"/>
        <w:ind w:left="1080" w:hanging="720"/>
        <w:rPr>
          <w:sz w:val="24"/>
        </w:rPr>
      </w:pPr>
      <w:r>
        <w:rPr>
          <w:sz w:val="24"/>
          <w:highlight w:val="lightGray"/>
        </w:rPr>
        <w:t>7.2</w:t>
      </w:r>
      <w:r>
        <w:rPr>
          <w:sz w:val="24"/>
          <w:highlight w:val="lightGray"/>
        </w:rPr>
        <w:tab/>
      </w: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6C392DA0">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7.3</w:t>
      </w:r>
      <w:r>
        <w:rPr>
          <w:sz w:val="24"/>
          <w:highlight w:val="lightGray"/>
        </w:rPr>
        <w:tab/>
      </w:r>
      <w:r>
        <w:rPr>
          <w:rFonts w:hint="eastAsia" w:ascii="宋体" w:hAnsi="宋体"/>
          <w:sz w:val="24"/>
        </w:rPr>
        <w:t>投标人应注意招标文件</w:t>
      </w:r>
      <w:r>
        <w:rPr>
          <w:rFonts w:ascii="宋体" w:hAnsi="宋体"/>
          <w:sz w:val="24"/>
        </w:rPr>
        <w:t>第五章《采购需求》</w:t>
      </w:r>
      <w:r>
        <w:rPr>
          <w:rFonts w:hint="eastAsia" w:ascii="宋体" w:hAnsi="宋体"/>
          <w:sz w:val="24"/>
        </w:rPr>
        <w:t>中指出的工艺、材料和设备的标准，以及参照的牌号或分类号仅起说明作用，并没有任何限制性。投标人在投标中可以选用替代标准、牌号或分类号，但这些替代要实质上相当于或优于</w:t>
      </w:r>
      <w:r>
        <w:rPr>
          <w:rFonts w:ascii="宋体" w:hAnsi="宋体"/>
          <w:sz w:val="24"/>
        </w:rPr>
        <w:t>《采购需求》</w:t>
      </w:r>
      <w:r>
        <w:rPr>
          <w:rFonts w:hint="eastAsia" w:ascii="宋体" w:hAnsi="宋体"/>
          <w:sz w:val="24"/>
        </w:rPr>
        <w:t>的要求。</w:t>
      </w:r>
    </w:p>
    <w:p w14:paraId="68983428">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7.4</w:t>
      </w:r>
      <w:r>
        <w:rPr>
          <w:sz w:val="24"/>
          <w:highlight w:val="lightGray"/>
        </w:rPr>
        <w:tab/>
      </w:r>
      <w:r>
        <w:rPr>
          <w:rFonts w:hint="eastAsia" w:ascii="宋体" w:hAnsi="宋体"/>
          <w:sz w:val="24"/>
        </w:rPr>
        <w:t>除非有特殊要求，招标文件不单独提供货物安装使用地的自然环境、气候条件、公用设施等情况，投标人被视为熟悉上述与履行合同有关的一切情况。</w:t>
      </w:r>
    </w:p>
    <w:p w14:paraId="3215C510">
      <w:pPr>
        <w:tabs>
          <w:tab w:val="left" w:pos="1080"/>
          <w:tab w:val="left" w:pos="2014"/>
        </w:tabs>
        <w:snapToGrid w:val="0"/>
        <w:spacing w:line="360" w:lineRule="auto"/>
        <w:ind w:left="357" w:hanging="357"/>
        <w:outlineLvl w:val="1"/>
        <w:rPr>
          <w:rFonts w:hint="eastAsia" w:ascii="宋体" w:hAnsi="宋体"/>
          <w:sz w:val="24"/>
        </w:rPr>
      </w:pPr>
      <w:r>
        <w:rPr>
          <w:rFonts w:hint="eastAsia" w:ascii="宋体" w:hAnsi="宋体"/>
          <w:sz w:val="24"/>
        </w:rPr>
        <w:t>8</w:t>
      </w:r>
      <w:r>
        <w:rPr>
          <w:rFonts w:hint="eastAsia" w:ascii="宋体" w:hAnsi="宋体"/>
          <w:sz w:val="24"/>
        </w:rPr>
        <w:tab/>
      </w:r>
      <w:r>
        <w:rPr>
          <w:rFonts w:ascii="宋体" w:hAnsi="宋体"/>
          <w:sz w:val="24"/>
        </w:rPr>
        <w:t>对招标文件的澄清或修改</w:t>
      </w:r>
    </w:p>
    <w:p w14:paraId="0835CB2F">
      <w:pPr>
        <w:tabs>
          <w:tab w:val="left" w:pos="1080"/>
          <w:tab w:val="left" w:pos="1561"/>
          <w:tab w:val="left" w:pos="1589"/>
          <w:tab w:val="left" w:pos="2014"/>
        </w:tabs>
        <w:snapToGrid w:val="0"/>
        <w:spacing w:line="360" w:lineRule="auto"/>
        <w:ind w:left="1080" w:hanging="720"/>
        <w:rPr>
          <w:rFonts w:hint="eastAsia" w:ascii="宋体" w:hAnsi="宋体"/>
          <w:sz w:val="24"/>
        </w:rPr>
      </w:pPr>
      <w:r>
        <w:rPr>
          <w:sz w:val="24"/>
          <w:highlight w:val="lightGray"/>
        </w:rPr>
        <w:t>8.1</w:t>
      </w:r>
      <w:r>
        <w:rPr>
          <w:sz w:val="24"/>
          <w:highlight w:val="lightGray"/>
        </w:rPr>
        <w:tab/>
      </w:r>
      <w:r>
        <w:rPr>
          <w:rFonts w:ascii="宋体" w:hAnsi="宋体"/>
          <w:sz w:val="24"/>
        </w:rPr>
        <w:t>采购人或采购代理机构对已发出的招标文件进行必要澄清或者修改的，将在原公告发布媒体上发布更正公告，并以书面形式通知所有获取招标文件的潜在投标人。</w:t>
      </w:r>
    </w:p>
    <w:p w14:paraId="12C091C9">
      <w:pPr>
        <w:tabs>
          <w:tab w:val="left" w:pos="1080"/>
          <w:tab w:val="left" w:pos="1561"/>
          <w:tab w:val="left" w:pos="1589"/>
          <w:tab w:val="left" w:pos="2014"/>
        </w:tabs>
        <w:snapToGrid w:val="0"/>
        <w:spacing w:line="360" w:lineRule="auto"/>
        <w:ind w:left="1080" w:hanging="720"/>
        <w:rPr>
          <w:rFonts w:hint="eastAsia" w:ascii="宋体" w:hAnsi="宋体"/>
          <w:sz w:val="24"/>
        </w:rPr>
      </w:pPr>
      <w:r>
        <w:rPr>
          <w:sz w:val="24"/>
          <w:highlight w:val="lightGray"/>
        </w:rPr>
        <w:t>8.2</w:t>
      </w:r>
      <w:r>
        <w:rPr>
          <w:sz w:val="24"/>
          <w:highlight w:val="lightGray"/>
        </w:rPr>
        <w:tab/>
      </w:r>
      <w:r>
        <w:rPr>
          <w:rFonts w:ascii="宋体" w:hAnsi="宋体"/>
          <w:sz w:val="24"/>
        </w:rPr>
        <w:t>上述书面通知，按照获取招标文件的潜在投标人提供的联系方式发出，因提供的信息有误导致通知延迟或无法通知的，采购人或采购代理机构不承担责任。</w:t>
      </w:r>
    </w:p>
    <w:p w14:paraId="00A578FB">
      <w:pPr>
        <w:tabs>
          <w:tab w:val="left" w:pos="1080"/>
          <w:tab w:val="left" w:pos="1561"/>
          <w:tab w:val="left" w:pos="1589"/>
          <w:tab w:val="left" w:pos="2014"/>
        </w:tabs>
        <w:snapToGrid w:val="0"/>
        <w:spacing w:line="360" w:lineRule="auto"/>
        <w:ind w:left="1080" w:hanging="720"/>
        <w:rPr>
          <w:rFonts w:hint="eastAsia" w:ascii="宋体" w:hAnsi="宋体"/>
          <w:sz w:val="24"/>
        </w:rPr>
      </w:pPr>
      <w:r>
        <w:rPr>
          <w:sz w:val="24"/>
          <w:highlight w:val="lightGray"/>
        </w:rPr>
        <w:t>8.3</w:t>
      </w:r>
      <w:r>
        <w:rPr>
          <w:sz w:val="24"/>
          <w:highlight w:val="lightGray"/>
        </w:rPr>
        <w:tab/>
      </w:r>
      <w:r>
        <w:rPr>
          <w:rFonts w:ascii="宋体" w:hAnsi="宋体"/>
          <w:sz w:val="24"/>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bookmarkStart w:id="176" w:name="_Toc516367020"/>
      <w:bookmarkStart w:id="177" w:name="_Toc226337222"/>
      <w:bookmarkStart w:id="178" w:name="_Toc127151526"/>
      <w:bookmarkStart w:id="179" w:name="_Toc226965716"/>
      <w:bookmarkStart w:id="180" w:name="_Toc151193840"/>
      <w:bookmarkStart w:id="181" w:name="_Toc150480764"/>
      <w:bookmarkStart w:id="182" w:name="_Toc305158868"/>
      <w:bookmarkStart w:id="183" w:name="_Toc305158794"/>
      <w:bookmarkStart w:id="184" w:name="_Toc151193624"/>
      <w:bookmarkStart w:id="185" w:name="_Toc150774731"/>
      <w:bookmarkStart w:id="186" w:name="_Toc151193696"/>
      <w:bookmarkStart w:id="187" w:name="_Toc226965799"/>
      <w:bookmarkStart w:id="188" w:name="_Toc142311028"/>
      <w:bookmarkStart w:id="189" w:name="_Toc264969216"/>
      <w:bookmarkStart w:id="190" w:name="_Toc520356150"/>
      <w:bookmarkStart w:id="191" w:name="_Toc150509277"/>
      <w:bookmarkStart w:id="192" w:name="_Toc150774626"/>
      <w:bookmarkStart w:id="193" w:name="_Toc151193914"/>
      <w:bookmarkStart w:id="194" w:name="_Toc195842891"/>
      <w:bookmarkStart w:id="195" w:name="_Toc151193768"/>
      <w:bookmarkStart w:id="196" w:name="_Toc226309770"/>
      <w:bookmarkStart w:id="197" w:name="_Toc151190153"/>
      <w:bookmarkStart w:id="198" w:name="_Toc265228364"/>
    </w:p>
    <w:p w14:paraId="671EE80F">
      <w:pPr>
        <w:tabs>
          <w:tab w:val="left" w:pos="1080"/>
          <w:tab w:val="left" w:pos="1561"/>
          <w:tab w:val="left" w:pos="1589"/>
          <w:tab w:val="left" w:pos="2014"/>
        </w:tabs>
        <w:snapToGrid w:val="0"/>
        <w:spacing w:line="360" w:lineRule="auto"/>
        <w:ind w:left="1080" w:hanging="720"/>
        <w:rPr>
          <w:rFonts w:hint="eastAsia" w:ascii="宋体" w:hAnsi="宋体"/>
          <w:sz w:val="24"/>
        </w:rPr>
      </w:pPr>
      <w:r>
        <w:rPr>
          <w:sz w:val="24"/>
          <w:highlight w:val="lightGray"/>
        </w:rPr>
        <w:t>8.4</w:t>
      </w:r>
      <w:r>
        <w:rPr>
          <w:sz w:val="24"/>
          <w:highlight w:val="lightGray"/>
        </w:rPr>
        <w:tab/>
      </w:r>
      <w:r>
        <w:rPr>
          <w:rFonts w:hint="eastAsia" w:ascii="宋体" w:hAnsi="宋体"/>
          <w:sz w:val="24"/>
        </w:rPr>
        <w:t>投标人在收到澄清或修改的书面通知后，应在一个工作日内向</w:t>
      </w:r>
      <w:r>
        <w:rPr>
          <w:rFonts w:ascii="宋体" w:hAnsi="宋体"/>
          <w:sz w:val="24"/>
        </w:rPr>
        <w:t>采购代理机构</w:t>
      </w:r>
      <w:r>
        <w:rPr>
          <w:rFonts w:hint="eastAsia" w:ascii="宋体" w:hAnsi="宋体"/>
          <w:sz w:val="24"/>
        </w:rPr>
        <w:t>回函确认，否则招标采购单位将视为其已完全知道并接受此澄清或修改的内容。</w:t>
      </w:r>
    </w:p>
    <w:p w14:paraId="27B96E1B">
      <w:pPr>
        <w:tabs>
          <w:tab w:val="left" w:pos="1080"/>
          <w:tab w:val="left" w:pos="1561"/>
          <w:tab w:val="left" w:pos="1589"/>
          <w:tab w:val="left" w:pos="2014"/>
        </w:tabs>
        <w:snapToGrid w:val="0"/>
        <w:spacing w:line="360" w:lineRule="auto"/>
        <w:ind w:left="1080" w:hanging="720"/>
        <w:rPr>
          <w:rFonts w:hint="eastAsia" w:ascii="宋体" w:hAnsi="宋体"/>
          <w:sz w:val="24"/>
        </w:rPr>
      </w:pPr>
      <w:r>
        <w:rPr>
          <w:sz w:val="24"/>
          <w:highlight w:val="lightGray"/>
        </w:rPr>
        <w:t>8.5</w:t>
      </w:r>
      <w:r>
        <w:rPr>
          <w:sz w:val="24"/>
          <w:highlight w:val="lightGray"/>
        </w:rPr>
        <w:tab/>
      </w:r>
      <w:r>
        <w:rPr>
          <w:rFonts w:hint="eastAsia" w:ascii="宋体" w:hAnsi="宋体"/>
          <w:sz w:val="24"/>
        </w:rPr>
        <w:t>任何要求对招标文件进行澄清的投标人，均应以书面形式通知</w:t>
      </w:r>
      <w:r>
        <w:rPr>
          <w:rFonts w:ascii="宋体" w:hAnsi="宋体"/>
          <w:sz w:val="24"/>
        </w:rPr>
        <w:t>采购代理机构</w:t>
      </w:r>
      <w:r>
        <w:rPr>
          <w:rFonts w:hint="eastAsia" w:ascii="宋体" w:hAnsi="宋体"/>
          <w:sz w:val="24"/>
        </w:rPr>
        <w:t>。</w:t>
      </w:r>
      <w:r>
        <w:rPr>
          <w:rFonts w:ascii="宋体" w:hAnsi="宋体"/>
          <w:sz w:val="24"/>
        </w:rPr>
        <w:t>采购人或采购代理机构</w:t>
      </w:r>
      <w:r>
        <w:rPr>
          <w:rFonts w:hint="eastAsia" w:ascii="宋体" w:hAnsi="宋体"/>
          <w:sz w:val="24"/>
        </w:rPr>
        <w:t>对投标人在购买招标文件后七个工作日内提交的澄清要求，应在收到澄清要求后三个工作日内以书面形式予以答复。</w:t>
      </w:r>
    </w:p>
    <w:p w14:paraId="0FC1BAE8">
      <w:pPr>
        <w:pStyle w:val="3"/>
        <w:spacing w:before="0" w:line="360" w:lineRule="auto"/>
        <w:rPr>
          <w:rFonts w:hint="eastAsia" w:ascii="宋体" w:hAnsi="宋体" w:eastAsia="宋体"/>
          <w:sz w:val="28"/>
        </w:rPr>
      </w:pPr>
      <w:r>
        <w:rPr>
          <w:rFonts w:ascii="宋体" w:hAnsi="宋体" w:eastAsia="宋体"/>
          <w:sz w:val="28"/>
        </w:rPr>
        <w:t>三  投标文件</w:t>
      </w:r>
      <w:bookmarkEnd w:id="176"/>
      <w:r>
        <w:rPr>
          <w:rFonts w:ascii="宋体" w:hAnsi="宋体" w:eastAsia="宋体"/>
          <w:sz w:val="28"/>
        </w:rPr>
        <w:t>的编制</w:t>
      </w:r>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 w14:paraId="162C197F">
      <w:pPr>
        <w:tabs>
          <w:tab w:val="left" w:pos="360"/>
        </w:tabs>
        <w:snapToGrid w:val="0"/>
        <w:spacing w:line="360" w:lineRule="auto"/>
        <w:ind w:left="357" w:hanging="357"/>
        <w:outlineLvl w:val="1"/>
        <w:rPr>
          <w:rFonts w:hint="eastAsia" w:ascii="宋体" w:hAnsi="宋体"/>
          <w:sz w:val="24"/>
        </w:rPr>
      </w:pPr>
      <w:bookmarkStart w:id="199" w:name="_Toc520356151"/>
      <w:bookmarkStart w:id="200" w:name="_Toc164608641"/>
      <w:bookmarkStart w:id="201" w:name="_Toc226965717"/>
      <w:bookmarkStart w:id="202" w:name="_Toc195842892"/>
      <w:bookmarkStart w:id="203" w:name="_Toc516367021"/>
      <w:bookmarkStart w:id="204" w:name="_Toc151193915"/>
      <w:bookmarkStart w:id="205" w:name="_Toc127151728"/>
      <w:bookmarkStart w:id="206" w:name="_Toc150774732"/>
      <w:bookmarkStart w:id="207" w:name="_Toc127161441"/>
      <w:bookmarkStart w:id="208" w:name="_Toc151193625"/>
      <w:bookmarkStart w:id="209" w:name="_Toc150480765"/>
      <w:bookmarkStart w:id="210" w:name="_Toc127151527"/>
      <w:bookmarkStart w:id="211" w:name="_Toc151193697"/>
      <w:bookmarkStart w:id="212" w:name="_Toc149720820"/>
      <w:bookmarkStart w:id="213" w:name="_Toc305158795"/>
      <w:bookmarkStart w:id="214" w:name="_Toc226309771"/>
      <w:bookmarkStart w:id="215" w:name="_Toc150774627"/>
      <w:bookmarkStart w:id="216" w:name="_Toc150509278"/>
      <w:bookmarkStart w:id="217" w:name="_Toc142311029"/>
      <w:bookmarkStart w:id="218" w:name="_Toc226337223"/>
      <w:bookmarkStart w:id="219" w:name="_Toc164608796"/>
      <w:bookmarkStart w:id="220" w:name="_Toc265228365"/>
      <w:bookmarkStart w:id="221" w:name="_Toc151193769"/>
      <w:bookmarkStart w:id="222" w:name="_Toc151190154"/>
      <w:bookmarkStart w:id="223" w:name="_Toc164351621"/>
      <w:bookmarkStart w:id="224" w:name="_Toc164229368"/>
      <w:bookmarkStart w:id="225" w:name="_Toc264969217"/>
      <w:bookmarkStart w:id="226" w:name="_Toc305158869"/>
      <w:bookmarkStart w:id="227" w:name="_Toc226965800"/>
      <w:bookmarkStart w:id="228" w:name="_Toc151193841"/>
      <w:bookmarkStart w:id="229" w:name="_Toc164229222"/>
      <w:r>
        <w:rPr>
          <w:rFonts w:hint="eastAsia" w:ascii="宋体" w:hAnsi="宋体"/>
          <w:sz w:val="24"/>
        </w:rPr>
        <w:t>9</w:t>
      </w:r>
      <w:r>
        <w:rPr>
          <w:rFonts w:hint="eastAsia" w:ascii="宋体" w:hAnsi="宋体"/>
          <w:sz w:val="24"/>
        </w:rPr>
        <w:tab/>
      </w:r>
      <w:r>
        <w:rPr>
          <w:rFonts w:ascii="宋体" w:hAnsi="宋体"/>
          <w:sz w:val="24"/>
        </w:rPr>
        <w:t>投标范围、投标文件中计量单位的使用</w:t>
      </w:r>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r>
        <w:rPr>
          <w:rFonts w:ascii="宋体" w:hAnsi="宋体"/>
          <w:sz w:val="24"/>
        </w:rPr>
        <w:t>及投标语言</w:t>
      </w:r>
    </w:p>
    <w:p w14:paraId="34DACDFE">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9.1</w:t>
      </w:r>
      <w:r>
        <w:rPr>
          <w:sz w:val="24"/>
          <w:highlight w:val="lightGray"/>
        </w:rPr>
        <w:tab/>
      </w:r>
      <w:r>
        <w:rPr>
          <w:rFonts w:ascii="宋体" w:hAnsi="宋体"/>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rFonts w:ascii="宋体" w:hAnsi="宋体"/>
          <w:b/>
          <w:sz w:val="24"/>
        </w:rPr>
        <w:t>无效投标</w:t>
      </w:r>
      <w:r>
        <w:rPr>
          <w:rFonts w:ascii="宋体" w:hAnsi="宋体"/>
          <w:sz w:val="24"/>
        </w:rPr>
        <w:t>。</w:t>
      </w:r>
    </w:p>
    <w:p w14:paraId="491D4D3C">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9.2</w:t>
      </w:r>
      <w:r>
        <w:rPr>
          <w:sz w:val="24"/>
          <w:highlight w:val="lightGray"/>
        </w:rPr>
        <w:tab/>
      </w:r>
      <w:r>
        <w:rPr>
          <w:rFonts w:ascii="宋体" w:hAnsi="宋体"/>
          <w:sz w:val="24"/>
        </w:rPr>
        <w:t>除招标文件有特殊要求外，本项目投标所使用的计量单位，应采用中华人民共和国法定计量单位。</w:t>
      </w:r>
    </w:p>
    <w:p w14:paraId="0428C6F9">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9.3</w:t>
      </w:r>
      <w:r>
        <w:rPr>
          <w:sz w:val="24"/>
          <w:highlight w:val="lightGray"/>
        </w:rPr>
        <w:tab/>
      </w:r>
      <w:r>
        <w:rPr>
          <w:rFonts w:ascii="宋体" w:hAnsi="宋体"/>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2B65FF92">
      <w:pPr>
        <w:tabs>
          <w:tab w:val="left" w:pos="360"/>
        </w:tabs>
        <w:snapToGrid w:val="0"/>
        <w:spacing w:line="360" w:lineRule="auto"/>
        <w:ind w:left="357" w:hanging="357"/>
        <w:outlineLvl w:val="1"/>
        <w:rPr>
          <w:rFonts w:hint="eastAsia" w:ascii="宋体" w:hAnsi="宋体"/>
          <w:sz w:val="24"/>
        </w:rPr>
      </w:pPr>
      <w:bookmarkStart w:id="230" w:name="_Toc516367022"/>
      <w:bookmarkStart w:id="231" w:name="_Ref467306676"/>
      <w:bookmarkStart w:id="232" w:name="_Ref467306195"/>
      <w:bookmarkStart w:id="233" w:name="_Toc226965801"/>
      <w:bookmarkStart w:id="234" w:name="_Toc164229369"/>
      <w:bookmarkStart w:id="235" w:name="_Toc127151729"/>
      <w:bookmarkStart w:id="236" w:name="_Toc520356152"/>
      <w:bookmarkStart w:id="237" w:name="_Toc150509279"/>
      <w:bookmarkStart w:id="238" w:name="_Toc151193770"/>
      <w:bookmarkStart w:id="239" w:name="_Toc151190155"/>
      <w:bookmarkStart w:id="240" w:name="_Toc151193698"/>
      <w:bookmarkStart w:id="241" w:name="_Toc142311030"/>
      <w:bookmarkStart w:id="242" w:name="_Toc226965718"/>
      <w:bookmarkStart w:id="243" w:name="_Toc264969218"/>
      <w:bookmarkStart w:id="244" w:name="_Toc150480766"/>
      <w:bookmarkStart w:id="245" w:name="_Toc127161442"/>
      <w:bookmarkStart w:id="246" w:name="_Toc151193842"/>
      <w:bookmarkStart w:id="247" w:name="_Toc305158796"/>
      <w:bookmarkStart w:id="248" w:name="_Toc150774733"/>
      <w:bookmarkStart w:id="249" w:name="_Toc149720821"/>
      <w:bookmarkStart w:id="250" w:name="_Toc226309772"/>
      <w:bookmarkStart w:id="251" w:name="_Toc305158870"/>
      <w:bookmarkStart w:id="252" w:name="_Toc164351622"/>
      <w:bookmarkStart w:id="253" w:name="_Toc150774628"/>
      <w:bookmarkStart w:id="254" w:name="_Toc195842893"/>
      <w:bookmarkStart w:id="255" w:name="_Toc164229223"/>
      <w:bookmarkStart w:id="256" w:name="_Toc164608642"/>
      <w:bookmarkStart w:id="257" w:name="_Toc127151528"/>
      <w:bookmarkStart w:id="258" w:name="_Toc151193916"/>
      <w:bookmarkStart w:id="259" w:name="_Toc265228366"/>
      <w:bookmarkStart w:id="260" w:name="_Toc151193626"/>
      <w:bookmarkStart w:id="261" w:name="_Toc226337224"/>
      <w:bookmarkStart w:id="262" w:name="_Toc164608797"/>
      <w:r>
        <w:rPr>
          <w:rFonts w:hint="eastAsia" w:ascii="宋体" w:hAnsi="宋体"/>
          <w:sz w:val="24"/>
        </w:rPr>
        <w:t>10</w:t>
      </w:r>
      <w:r>
        <w:rPr>
          <w:rFonts w:hint="eastAsia" w:ascii="宋体" w:hAnsi="宋体"/>
          <w:sz w:val="24"/>
        </w:rPr>
        <w:tab/>
      </w:r>
      <w:r>
        <w:rPr>
          <w:rFonts w:ascii="宋体" w:hAnsi="宋体"/>
          <w:sz w:val="24"/>
        </w:rPr>
        <w:t>投标文件</w:t>
      </w:r>
      <w:bookmarkEnd w:id="230"/>
      <w:bookmarkEnd w:id="231"/>
      <w:bookmarkEnd w:id="232"/>
      <w:r>
        <w:rPr>
          <w:rFonts w:ascii="宋体" w:hAnsi="宋体"/>
          <w:sz w:val="24"/>
        </w:rPr>
        <w:t>构成</w:t>
      </w:r>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p>
    <w:p w14:paraId="030A57F6">
      <w:pPr>
        <w:tabs>
          <w:tab w:val="left" w:pos="1080"/>
          <w:tab w:val="left" w:pos="1589"/>
          <w:tab w:val="left" w:pos="2014"/>
        </w:tabs>
        <w:snapToGrid w:val="0"/>
        <w:spacing w:line="360" w:lineRule="auto"/>
        <w:ind w:left="1077" w:hanging="720"/>
        <w:rPr>
          <w:rFonts w:hint="eastAsia" w:ascii="宋体" w:hAnsi="宋体"/>
          <w:sz w:val="24"/>
        </w:rPr>
      </w:pPr>
      <w:bookmarkStart w:id="263" w:name="_Ref467052588"/>
      <w:r>
        <w:rPr>
          <w:sz w:val="24"/>
          <w:highlight w:val="lightGray"/>
        </w:rPr>
        <w:t>10.1</w:t>
      </w:r>
      <w:r>
        <w:rPr>
          <w:sz w:val="24"/>
          <w:highlight w:val="lightGray"/>
        </w:rPr>
        <w:tab/>
      </w:r>
      <w:r>
        <w:rPr>
          <w:rFonts w:ascii="宋体" w:hAnsi="宋体"/>
          <w:sz w:val="24"/>
        </w:rPr>
        <w:t>投标人应当按照招标文件的要求编制投标文件。投标文件应由《资格证明文件》、《商务技术文件》两部分构成。投标文件的部分格式要求，见第七章《投标文件格式》。</w:t>
      </w:r>
    </w:p>
    <w:p w14:paraId="3EDD3CA1">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10.2</w:t>
      </w:r>
      <w:r>
        <w:rPr>
          <w:sz w:val="24"/>
          <w:highlight w:val="lightGray"/>
        </w:rPr>
        <w:tab/>
      </w:r>
      <w:r>
        <w:rPr>
          <w:rFonts w:ascii="宋体" w:hAnsi="宋体"/>
          <w:kern w:val="0"/>
          <w:sz w:val="24"/>
        </w:rPr>
        <w:t>对于招标文件中标记了“实质性格式”文件的，</w:t>
      </w:r>
      <w:r>
        <w:rPr>
          <w:rFonts w:ascii="宋体" w:hAnsi="宋体"/>
          <w:sz w:val="24"/>
        </w:rPr>
        <w:t>投标人不得改变格式中给定的文字所表达的含义，不得删减格式中的实质性内容，不得自行添加与格式中给定的文字内容相矛盾的内容，不得对应当填写的空格不填写或不实质性响应，</w:t>
      </w:r>
      <w:r>
        <w:rPr>
          <w:rFonts w:ascii="宋体" w:hAnsi="宋体"/>
          <w:kern w:val="0"/>
          <w:sz w:val="24"/>
        </w:rPr>
        <w:t>否则</w:t>
      </w:r>
      <w:r>
        <w:rPr>
          <w:rFonts w:ascii="宋体" w:hAnsi="宋体"/>
          <w:b/>
          <w:kern w:val="0"/>
          <w:sz w:val="24"/>
        </w:rPr>
        <w:t>投标无效</w:t>
      </w:r>
      <w:r>
        <w:rPr>
          <w:rFonts w:ascii="宋体" w:hAnsi="宋体"/>
          <w:kern w:val="0"/>
          <w:sz w:val="24"/>
        </w:rPr>
        <w:t>。未标记“实质性格式”的文件和招标文件未提供格式的内容，可由投标人自行编写。</w:t>
      </w:r>
    </w:p>
    <w:p w14:paraId="486BB22C">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10.3</w:t>
      </w:r>
      <w:r>
        <w:rPr>
          <w:sz w:val="24"/>
          <w:highlight w:val="lightGray"/>
        </w:rPr>
        <w:tab/>
      </w:r>
      <w:r>
        <w:rPr>
          <w:rFonts w:ascii="宋体" w:hAnsi="宋体"/>
          <w:sz w:val="24"/>
        </w:rPr>
        <w:t>第四章《评标程序、评标方法和评标标准》中涉及的证明文件。</w:t>
      </w:r>
    </w:p>
    <w:p w14:paraId="669F2FFA">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10.4</w:t>
      </w:r>
      <w:r>
        <w:rPr>
          <w:sz w:val="24"/>
          <w:highlight w:val="lightGray"/>
        </w:rPr>
        <w:tab/>
      </w:r>
      <w:r>
        <w:rPr>
          <w:rFonts w:ascii="宋体" w:hAnsi="宋体"/>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4007C8A">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10.5</w:t>
      </w:r>
      <w:r>
        <w:rPr>
          <w:sz w:val="24"/>
          <w:highlight w:val="lightGray"/>
        </w:rPr>
        <w:tab/>
      </w:r>
      <w:r>
        <w:rPr>
          <w:rFonts w:ascii="宋体" w:hAnsi="宋体"/>
          <w:sz w:val="24"/>
        </w:rPr>
        <w:t>投标人认为应附的其他材料。</w:t>
      </w:r>
      <w:bookmarkEnd w:id="263"/>
      <w:r>
        <w:rPr>
          <w:rFonts w:hint="eastAsia" w:ascii="宋体" w:hAnsi="宋体"/>
          <w:sz w:val="24"/>
        </w:rPr>
        <w:t>投标人应根据招标项目的特点及要求，提供相应的技术方案、实施方案、技术支持与售后服务方案、培训计划和招标文件中要求投标人响应的其他技术文件等。</w:t>
      </w:r>
    </w:p>
    <w:p w14:paraId="21B67122">
      <w:pPr>
        <w:tabs>
          <w:tab w:val="left" w:pos="360"/>
        </w:tabs>
        <w:snapToGrid w:val="0"/>
        <w:spacing w:line="360" w:lineRule="auto"/>
        <w:ind w:left="357" w:hanging="357"/>
        <w:outlineLvl w:val="1"/>
        <w:rPr>
          <w:rFonts w:hint="eastAsia" w:ascii="宋体" w:hAnsi="宋体"/>
          <w:sz w:val="24"/>
        </w:rPr>
      </w:pPr>
      <w:bookmarkStart w:id="264" w:name="_Toc127151530"/>
      <w:bookmarkStart w:id="265" w:name="_Toc164608644"/>
      <w:bookmarkStart w:id="266" w:name="_Toc164608799"/>
      <w:bookmarkStart w:id="267" w:name="_Toc151190157"/>
      <w:bookmarkStart w:id="268" w:name="_Toc150509281"/>
      <w:bookmarkStart w:id="269" w:name="_Toc151193772"/>
      <w:bookmarkStart w:id="270" w:name="_Toc164351624"/>
      <w:bookmarkStart w:id="271" w:name="_Toc151193700"/>
      <w:bookmarkStart w:id="272" w:name="_Toc151193918"/>
      <w:bookmarkStart w:id="273" w:name="_Toc127161444"/>
      <w:bookmarkStart w:id="274" w:name="_Toc520356155"/>
      <w:bookmarkStart w:id="275" w:name="_Toc164229371"/>
      <w:bookmarkStart w:id="276" w:name="_Toc142311032"/>
      <w:bookmarkStart w:id="277" w:name="_Toc195842895"/>
      <w:bookmarkStart w:id="278" w:name="_Toc149720823"/>
      <w:bookmarkStart w:id="279" w:name="_Toc151193844"/>
      <w:bookmarkStart w:id="280" w:name="_Toc151193628"/>
      <w:bookmarkStart w:id="281" w:name="_Toc127151731"/>
      <w:bookmarkStart w:id="282" w:name="_Toc150774735"/>
      <w:bookmarkStart w:id="283" w:name="_Toc164229225"/>
      <w:bookmarkStart w:id="284" w:name="_Toc150774630"/>
      <w:bookmarkStart w:id="285" w:name="_Toc150480768"/>
      <w:r>
        <w:rPr>
          <w:rFonts w:hint="eastAsia" w:ascii="宋体" w:hAnsi="宋体"/>
          <w:sz w:val="24"/>
        </w:rPr>
        <w:t>11</w:t>
      </w:r>
      <w:r>
        <w:rPr>
          <w:rFonts w:hint="eastAsia" w:ascii="宋体" w:hAnsi="宋体"/>
          <w:sz w:val="24"/>
        </w:rPr>
        <w:tab/>
      </w:r>
      <w:r>
        <w:rPr>
          <w:rFonts w:ascii="宋体" w:hAnsi="宋体"/>
          <w:sz w:val="24"/>
        </w:rPr>
        <w:t>投标报价</w:t>
      </w:r>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p>
    <w:p w14:paraId="6F1EE543">
      <w:pPr>
        <w:tabs>
          <w:tab w:val="left" w:pos="1080"/>
          <w:tab w:val="left" w:pos="1589"/>
          <w:tab w:val="left" w:pos="2014"/>
        </w:tabs>
        <w:snapToGrid w:val="0"/>
        <w:spacing w:line="360" w:lineRule="auto"/>
        <w:ind w:left="1077" w:hanging="720"/>
        <w:rPr>
          <w:sz w:val="24"/>
        </w:rPr>
      </w:pPr>
      <w:r>
        <w:rPr>
          <w:sz w:val="24"/>
          <w:highlight w:val="lightGray"/>
        </w:rPr>
        <w:t>11.1</w:t>
      </w:r>
      <w:r>
        <w:rPr>
          <w:sz w:val="24"/>
          <w:highlight w:val="lightGray"/>
        </w:rPr>
        <w:tab/>
      </w:r>
      <w:r>
        <w:rPr>
          <w:sz w:val="24"/>
        </w:rPr>
        <w:t>所有投标均以人民币报价。</w:t>
      </w:r>
    </w:p>
    <w:p w14:paraId="0F4E3939">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11.2</w:t>
      </w:r>
      <w:r>
        <w:rPr>
          <w:sz w:val="24"/>
          <w:highlight w:val="lightGray"/>
        </w:rPr>
        <w:tab/>
      </w:r>
      <w:r>
        <w:rPr>
          <w:rFonts w:ascii="宋体" w:hAnsi="宋体"/>
          <w:sz w:val="24"/>
        </w:rPr>
        <w:t>投标人的报价应包括为完成本项目所发生的一切费用和税费，招标人将不再支付报价以外的任何费用。</w:t>
      </w:r>
      <w:r>
        <w:rPr>
          <w:rFonts w:hint="eastAsia" w:ascii="宋体" w:hAnsi="宋体"/>
          <w:sz w:val="24"/>
        </w:rPr>
        <w:t>投标人的报价应包括但不限于下列内容，《投标人须知资料表》中有特殊规定的，从其规定。</w:t>
      </w:r>
    </w:p>
    <w:p w14:paraId="46F5F92D">
      <w:pPr>
        <w:tabs>
          <w:tab w:val="left" w:pos="1980"/>
        </w:tabs>
        <w:snapToGrid w:val="0"/>
        <w:spacing w:line="360" w:lineRule="auto"/>
        <w:ind w:left="1980" w:hanging="900"/>
        <w:rPr>
          <w:rFonts w:hint="eastAsia" w:ascii="宋体" w:hAnsi="宋体"/>
          <w:sz w:val="24"/>
        </w:rPr>
      </w:pPr>
      <w:r>
        <w:rPr>
          <w:rFonts w:hint="eastAsia" w:ascii="宋体" w:hAnsi="宋体"/>
          <w:sz w:val="24"/>
        </w:rPr>
        <w:t>11.2.1</w:t>
      </w:r>
      <w:r>
        <w:rPr>
          <w:rFonts w:hint="eastAsia" w:ascii="宋体" w:hAnsi="宋体"/>
          <w:sz w:val="24"/>
        </w:rPr>
        <w:tab/>
      </w:r>
      <w:r>
        <w:rPr>
          <w:rFonts w:ascii="宋体" w:hAnsi="宋体"/>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65651966">
      <w:pPr>
        <w:tabs>
          <w:tab w:val="left" w:pos="1980"/>
        </w:tabs>
        <w:snapToGrid w:val="0"/>
        <w:spacing w:line="360" w:lineRule="auto"/>
        <w:ind w:left="1980" w:hanging="900"/>
        <w:rPr>
          <w:rFonts w:hint="eastAsia" w:ascii="宋体" w:hAnsi="宋体"/>
          <w:sz w:val="24"/>
        </w:rPr>
      </w:pPr>
      <w:r>
        <w:rPr>
          <w:rFonts w:hint="eastAsia" w:ascii="宋体" w:hAnsi="宋体"/>
          <w:sz w:val="24"/>
        </w:rPr>
        <w:t>11.2.2</w:t>
      </w:r>
      <w:r>
        <w:rPr>
          <w:rFonts w:hint="eastAsia" w:ascii="宋体" w:hAnsi="宋体"/>
          <w:sz w:val="24"/>
        </w:rPr>
        <w:tab/>
      </w:r>
      <w:r>
        <w:rPr>
          <w:rFonts w:ascii="宋体" w:hAnsi="宋体"/>
          <w:sz w:val="24"/>
        </w:rPr>
        <w:t xml:space="preserve">按照招标文件要求完成本项目的全部相关服务费用。 </w:t>
      </w:r>
    </w:p>
    <w:p w14:paraId="728C4707">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11.3</w:t>
      </w:r>
      <w:r>
        <w:rPr>
          <w:sz w:val="24"/>
          <w:highlight w:val="lightGray"/>
        </w:rPr>
        <w:tab/>
      </w:r>
      <w:r>
        <w:rPr>
          <w:rFonts w:ascii="宋体" w:hAnsi="宋体"/>
          <w:sz w:val="24"/>
        </w:rPr>
        <w:t>采购人不得向供应商索要或者接受其给予的赠品、回扣或者与采购无关的其他商品、服务。</w:t>
      </w:r>
    </w:p>
    <w:p w14:paraId="0A8DC3BE">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11.4</w:t>
      </w:r>
      <w:r>
        <w:rPr>
          <w:sz w:val="24"/>
          <w:highlight w:val="lightGray"/>
        </w:rPr>
        <w:tab/>
      </w:r>
      <w:r>
        <w:rPr>
          <w:rFonts w:ascii="宋体" w:hAnsi="宋体"/>
          <w:sz w:val="24"/>
        </w:rPr>
        <w:t>投标人不能提供任何有选择性或可调整的报价，否则其</w:t>
      </w:r>
      <w:r>
        <w:rPr>
          <w:rFonts w:ascii="宋体" w:hAnsi="宋体"/>
          <w:b/>
          <w:sz w:val="24"/>
        </w:rPr>
        <w:t>投标无效</w:t>
      </w:r>
      <w:r>
        <w:rPr>
          <w:rFonts w:ascii="宋体" w:hAnsi="宋体"/>
          <w:sz w:val="24"/>
        </w:rPr>
        <w:t>。</w:t>
      </w:r>
    </w:p>
    <w:p w14:paraId="7B9B0E96">
      <w:pPr>
        <w:tabs>
          <w:tab w:val="left" w:pos="1080"/>
          <w:tab w:val="left" w:pos="1589"/>
          <w:tab w:val="left" w:pos="2014"/>
        </w:tabs>
        <w:snapToGrid w:val="0"/>
        <w:spacing w:line="360" w:lineRule="auto"/>
        <w:ind w:left="1080" w:hanging="720"/>
        <w:rPr>
          <w:rFonts w:hint="eastAsia" w:ascii="宋体" w:hAnsi="宋体"/>
          <w:sz w:val="24"/>
        </w:rPr>
      </w:pPr>
      <w:r>
        <w:rPr>
          <w:sz w:val="24"/>
          <w:highlight w:val="lightGray"/>
        </w:rPr>
        <w:t>11.5</w:t>
      </w:r>
      <w:r>
        <w:rPr>
          <w:sz w:val="24"/>
          <w:highlight w:val="lightGray"/>
        </w:rPr>
        <w:tab/>
      </w:r>
      <w:r>
        <w:rPr>
          <w:rFonts w:ascii="宋体" w:hAnsi="宋体"/>
          <w:sz w:val="24"/>
        </w:rPr>
        <w:t>投标人应在“投标分项报价表”上标明</w:t>
      </w:r>
      <w:r>
        <w:rPr>
          <w:rFonts w:hint="eastAsia" w:ascii="宋体" w:hAnsi="宋体"/>
          <w:sz w:val="24"/>
        </w:rPr>
        <w:t>所投货物/</w:t>
      </w:r>
      <w:r>
        <w:rPr>
          <w:rFonts w:ascii="宋体" w:hAnsi="宋体"/>
          <w:sz w:val="24"/>
        </w:rPr>
        <w:t>服务的单价和总价，</w:t>
      </w:r>
      <w:r>
        <w:rPr>
          <w:rFonts w:hint="eastAsia" w:ascii="宋体" w:hAnsi="宋体"/>
          <w:sz w:val="24"/>
        </w:rPr>
        <w:t>投标人所报的各分项投标单价在合同履行过程中是固定不变的，不得以任何理由予以变更，否则其</w:t>
      </w:r>
      <w:r>
        <w:rPr>
          <w:rFonts w:hint="eastAsia" w:ascii="宋体" w:hAnsi="宋体"/>
          <w:b/>
          <w:bCs/>
          <w:sz w:val="24"/>
        </w:rPr>
        <w:t>投标无效</w:t>
      </w:r>
      <w:r>
        <w:rPr>
          <w:rFonts w:hint="eastAsia" w:ascii="宋体" w:hAnsi="宋体"/>
          <w:sz w:val="24"/>
        </w:rPr>
        <w:t>。</w:t>
      </w:r>
    </w:p>
    <w:p w14:paraId="068B8409">
      <w:pPr>
        <w:tabs>
          <w:tab w:val="left" w:pos="1080"/>
          <w:tab w:val="left" w:pos="1589"/>
          <w:tab w:val="left" w:pos="2014"/>
        </w:tabs>
        <w:snapToGrid w:val="0"/>
        <w:spacing w:line="360" w:lineRule="auto"/>
        <w:ind w:left="1468" w:hanging="900"/>
        <w:rPr>
          <w:rFonts w:hint="eastAsia" w:ascii="宋体" w:hAnsi="宋体"/>
          <w:sz w:val="24"/>
        </w:rPr>
      </w:pPr>
      <w:r>
        <w:rPr>
          <w:sz w:val="24"/>
          <w:highlight w:val="lightGray"/>
        </w:rPr>
        <w:t>11.6</w:t>
      </w:r>
      <w:r>
        <w:rPr>
          <w:sz w:val="24"/>
          <w:highlight w:val="lightGray"/>
        </w:rPr>
        <w:tab/>
      </w:r>
      <w:r>
        <w:rPr>
          <w:rFonts w:hint="eastAsia" w:ascii="宋体" w:hAnsi="宋体"/>
          <w:sz w:val="24"/>
        </w:rPr>
        <w:t>投标报价中，如投标内容超出招标文件要求，该部分内容在评标时将不予以核减。</w:t>
      </w:r>
    </w:p>
    <w:p w14:paraId="31550458">
      <w:pPr>
        <w:tabs>
          <w:tab w:val="left" w:pos="1080"/>
          <w:tab w:val="left" w:pos="1589"/>
          <w:tab w:val="left" w:pos="2014"/>
        </w:tabs>
        <w:snapToGrid w:val="0"/>
        <w:spacing w:line="360" w:lineRule="auto"/>
        <w:ind w:left="1468" w:hanging="900"/>
        <w:rPr>
          <w:rFonts w:hint="eastAsia" w:ascii="宋体" w:hAnsi="宋体"/>
          <w:sz w:val="24"/>
        </w:rPr>
      </w:pPr>
      <w:r>
        <w:rPr>
          <w:sz w:val="24"/>
          <w:highlight w:val="lightGray"/>
        </w:rPr>
        <w:t>11.7</w:t>
      </w:r>
      <w:r>
        <w:rPr>
          <w:sz w:val="24"/>
          <w:highlight w:val="lightGray"/>
        </w:rPr>
        <w:tab/>
      </w:r>
      <w:r>
        <w:rPr>
          <w:rFonts w:hint="eastAsia" w:ascii="宋体" w:hAnsi="宋体"/>
          <w:sz w:val="24"/>
        </w:rPr>
        <w:t>最低报价不是授予合同的唯一保证。</w:t>
      </w:r>
    </w:p>
    <w:p w14:paraId="25946ADA">
      <w:pPr>
        <w:tabs>
          <w:tab w:val="left" w:pos="360"/>
        </w:tabs>
        <w:snapToGrid w:val="0"/>
        <w:spacing w:line="360" w:lineRule="auto"/>
        <w:ind w:left="357" w:hanging="357"/>
        <w:outlineLvl w:val="1"/>
        <w:rPr>
          <w:rFonts w:hint="eastAsia" w:ascii="宋体" w:hAnsi="宋体"/>
          <w:sz w:val="24"/>
        </w:rPr>
      </w:pPr>
      <w:bookmarkStart w:id="286" w:name="_Toc226965804"/>
      <w:bookmarkStart w:id="287" w:name="_Toc264969221"/>
      <w:bookmarkStart w:id="288" w:name="_Toc305158799"/>
      <w:bookmarkStart w:id="289" w:name="_Toc151190158"/>
      <w:bookmarkStart w:id="290" w:name="_Toc164229372"/>
      <w:bookmarkStart w:id="291" w:name="_Toc151193845"/>
      <w:bookmarkStart w:id="292" w:name="_Toc127151732"/>
      <w:bookmarkStart w:id="293" w:name="_Toc142311033"/>
      <w:bookmarkStart w:id="294" w:name="_Toc164351625"/>
      <w:bookmarkStart w:id="295" w:name="_Toc226965721"/>
      <w:bookmarkStart w:id="296" w:name="_Toc150774631"/>
      <w:bookmarkStart w:id="297" w:name="_Ref467306513"/>
      <w:bookmarkStart w:id="298" w:name="_Toc151193773"/>
      <w:bookmarkStart w:id="299" w:name="_Toc150509282"/>
      <w:bookmarkStart w:id="300" w:name="_Toc164608645"/>
      <w:bookmarkStart w:id="301" w:name="_Toc226337227"/>
      <w:bookmarkStart w:id="302" w:name="_Toc127161445"/>
      <w:bookmarkStart w:id="303" w:name="_Toc305158873"/>
      <w:bookmarkStart w:id="304" w:name="_Toc150774736"/>
      <w:bookmarkStart w:id="305" w:name="_Toc195842896"/>
      <w:bookmarkStart w:id="306" w:name="_Toc151193919"/>
      <w:bookmarkStart w:id="307" w:name="_Toc149720824"/>
      <w:bookmarkStart w:id="308" w:name="_Toc164229226"/>
      <w:bookmarkStart w:id="309" w:name="_Toc520356156"/>
      <w:bookmarkStart w:id="310" w:name="_Toc151193701"/>
      <w:bookmarkStart w:id="311" w:name="_Toc151193629"/>
      <w:bookmarkStart w:id="312" w:name="_Toc164608800"/>
      <w:bookmarkStart w:id="313" w:name="_Toc265228369"/>
      <w:bookmarkStart w:id="314" w:name="_Toc127151531"/>
      <w:bookmarkStart w:id="315" w:name="_Toc150480769"/>
      <w:bookmarkStart w:id="316" w:name="_Toc226309775"/>
      <w:r>
        <w:rPr>
          <w:rFonts w:hint="eastAsia" w:ascii="宋体" w:hAnsi="宋体"/>
          <w:sz w:val="24"/>
        </w:rPr>
        <w:t>12</w:t>
      </w:r>
      <w:r>
        <w:rPr>
          <w:rFonts w:hint="eastAsia" w:ascii="宋体" w:hAnsi="宋体"/>
          <w:sz w:val="24"/>
        </w:rPr>
        <w:tab/>
      </w:r>
      <w:r>
        <w:rPr>
          <w:rFonts w:ascii="宋体" w:hAnsi="宋体"/>
          <w:sz w:val="24"/>
        </w:rPr>
        <w:t>投标保证金</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p>
    <w:p w14:paraId="49D40097">
      <w:pPr>
        <w:tabs>
          <w:tab w:val="left" w:pos="1080"/>
          <w:tab w:val="left" w:pos="1589"/>
          <w:tab w:val="left" w:pos="2014"/>
        </w:tabs>
        <w:snapToGrid w:val="0"/>
        <w:spacing w:line="360" w:lineRule="auto"/>
        <w:ind w:left="1077" w:hanging="720"/>
        <w:rPr>
          <w:rFonts w:hint="eastAsia" w:ascii="宋体" w:hAnsi="宋体"/>
          <w:sz w:val="24"/>
        </w:rPr>
      </w:pPr>
      <w:bookmarkStart w:id="317" w:name="_Ref467306302"/>
      <w:r>
        <w:rPr>
          <w:sz w:val="24"/>
          <w:highlight w:val="lightGray"/>
        </w:rPr>
        <w:t>12.1</w:t>
      </w:r>
      <w:r>
        <w:rPr>
          <w:sz w:val="24"/>
          <w:highlight w:val="lightGray"/>
        </w:rPr>
        <w:tab/>
      </w:r>
      <w:bookmarkEnd w:id="317"/>
      <w:r>
        <w:rPr>
          <w:rFonts w:ascii="宋体" w:hAnsi="宋体"/>
          <w:sz w:val="24"/>
        </w:rPr>
        <w:t>标人应按《投标人须知资料表》中规定的金额及要求交纳投标保证金，并作为其投标的一部分。</w:t>
      </w:r>
      <w:r>
        <w:rPr>
          <w:rFonts w:hint="eastAsia" w:ascii="宋体" w:hAnsi="宋体"/>
          <w:sz w:val="24"/>
        </w:rPr>
        <w:t>投标人自愿超额缴纳投标保证金的，投标文件不做无效处理。</w:t>
      </w:r>
    </w:p>
    <w:p w14:paraId="65278110">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12.2</w:t>
      </w:r>
      <w:r>
        <w:rPr>
          <w:sz w:val="24"/>
          <w:highlight w:val="lightGray"/>
        </w:rPr>
        <w:tab/>
      </w:r>
      <w:r>
        <w:rPr>
          <w:rFonts w:ascii="宋体" w:hAnsi="宋体"/>
          <w:sz w:val="24"/>
        </w:rPr>
        <w:t>交纳投标保证金可采用的形式：政府采购法律法规接受的支票、汇票、本票、网上银行支付或者金融机构、担保机构出具的保函等非现金形式。</w:t>
      </w:r>
    </w:p>
    <w:p w14:paraId="378F2558">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12.3</w:t>
      </w:r>
      <w:r>
        <w:rPr>
          <w:sz w:val="24"/>
          <w:highlight w:val="lightGray"/>
        </w:rPr>
        <w:tab/>
      </w:r>
      <w:r>
        <w:rPr>
          <w:rFonts w:ascii="宋体" w:hAnsi="宋体"/>
          <w:sz w:val="24"/>
        </w:rPr>
        <w:t>投标保证金到账（保函提交）截止时间同投标截止时间。以支票、汇票、本票、网上银行支付等形式提交投标保证金的，应在投标截止时间前</w:t>
      </w:r>
      <w:r>
        <w:rPr>
          <w:rFonts w:hint="eastAsia" w:ascii="宋体" w:hAnsi="宋体"/>
          <w:sz w:val="24"/>
        </w:rPr>
        <w:t>到账</w:t>
      </w:r>
      <w:r>
        <w:rPr>
          <w:rFonts w:ascii="宋体" w:hAnsi="宋体"/>
          <w:sz w:val="24"/>
        </w:rPr>
        <w:t>；</w:t>
      </w:r>
      <w:r>
        <w:rPr>
          <w:rFonts w:hint="eastAsia" w:ascii="宋体" w:hAnsi="宋体"/>
          <w:sz w:val="24"/>
        </w:rPr>
        <w:t>以</w:t>
      </w:r>
      <w:r>
        <w:rPr>
          <w:rFonts w:ascii="宋体" w:hAnsi="宋体"/>
          <w:sz w:val="24"/>
        </w:rPr>
        <w:t>金融机构、担保机构出具的保函等非现金形式提交投标保证金的，应在投标截止时间前将原件提交至</w:t>
      </w:r>
      <w:r>
        <w:rPr>
          <w:rFonts w:hint="eastAsia" w:ascii="宋体" w:hAnsi="宋体"/>
          <w:sz w:val="24"/>
        </w:rPr>
        <w:t>采购代理机构。由于到账时间晚于投标截止时间的，或者票据错误、印鉴不清等原因导致不能到账的，其</w:t>
      </w:r>
      <w:r>
        <w:rPr>
          <w:rFonts w:hint="eastAsia" w:ascii="宋体" w:hAnsi="宋体"/>
          <w:b/>
          <w:sz w:val="24"/>
        </w:rPr>
        <w:t>投标无效</w:t>
      </w:r>
      <w:r>
        <w:rPr>
          <w:rFonts w:hint="eastAsia" w:ascii="宋体" w:hAnsi="宋体"/>
          <w:sz w:val="24"/>
        </w:rPr>
        <w:t>。投标人同时对多个采购包进行投标时，投标保证金可合并提供，但应注明投标的各采购包及投标保证金金额。投标保证金总额不足且无法判定是哪一个或多个采购包，涉及的所有采购包将均被视为</w:t>
      </w:r>
      <w:r>
        <w:rPr>
          <w:rFonts w:hint="eastAsia" w:ascii="宋体" w:hAnsi="宋体"/>
          <w:b/>
          <w:bCs/>
          <w:sz w:val="24"/>
        </w:rPr>
        <w:t>无效投标</w:t>
      </w:r>
      <w:r>
        <w:rPr>
          <w:rFonts w:hint="eastAsia" w:ascii="宋体" w:hAnsi="宋体"/>
          <w:sz w:val="24"/>
        </w:rPr>
        <w:t>。</w:t>
      </w:r>
    </w:p>
    <w:p w14:paraId="09987557">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12.4</w:t>
      </w:r>
      <w:r>
        <w:rPr>
          <w:sz w:val="24"/>
          <w:highlight w:val="lightGray"/>
        </w:rPr>
        <w:tab/>
      </w:r>
      <w:r>
        <w:rPr>
          <w:rFonts w:ascii="宋体" w:hAnsi="宋体"/>
          <w:sz w:val="24"/>
        </w:rPr>
        <w:t>投标保证金（保函）有效期同投标有效期。</w:t>
      </w:r>
    </w:p>
    <w:p w14:paraId="38DA5250">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12.5</w:t>
      </w:r>
      <w:r>
        <w:rPr>
          <w:sz w:val="24"/>
          <w:highlight w:val="lightGray"/>
        </w:rPr>
        <w:tab/>
      </w:r>
      <w:r>
        <w:rPr>
          <w:rFonts w:ascii="宋体" w:hAnsi="宋体"/>
          <w:sz w:val="24"/>
        </w:rPr>
        <w:t>联合体投标的，可以由联合体中的一方或者共同提交投标保证金，以一方名义提交投标保证金的，对联合体各方均具有约束力。</w:t>
      </w:r>
    </w:p>
    <w:p w14:paraId="2A949A62">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12.6</w:t>
      </w:r>
      <w:r>
        <w:rPr>
          <w:sz w:val="24"/>
          <w:highlight w:val="lightGray"/>
        </w:rPr>
        <w:tab/>
      </w:r>
      <w:r>
        <w:rPr>
          <w:rFonts w:ascii="宋体" w:hAnsi="宋体"/>
          <w:sz w:val="24"/>
        </w:rPr>
        <w:t>采购人、采购代理机构将</w:t>
      </w:r>
      <w:r>
        <w:rPr>
          <w:rFonts w:hint="eastAsia" w:ascii="宋体" w:hAnsi="宋体"/>
          <w:sz w:val="24"/>
        </w:rPr>
        <w:t>按下列时间</w:t>
      </w:r>
      <w:r>
        <w:rPr>
          <w:rFonts w:ascii="宋体" w:hAnsi="宋体"/>
          <w:sz w:val="24"/>
        </w:rPr>
        <w:t>及时退还投标人的投标保证金，因投标人自身原因导致无法及时退还的除外：</w:t>
      </w:r>
    </w:p>
    <w:p w14:paraId="21F37AD8">
      <w:pPr>
        <w:tabs>
          <w:tab w:val="left" w:pos="1980"/>
        </w:tabs>
        <w:snapToGrid w:val="0"/>
        <w:spacing w:line="360" w:lineRule="auto"/>
        <w:ind w:left="1980" w:hanging="900"/>
        <w:rPr>
          <w:rFonts w:hint="eastAsia" w:ascii="宋体" w:hAnsi="宋体"/>
          <w:sz w:val="24"/>
        </w:rPr>
      </w:pPr>
      <w:r>
        <w:rPr>
          <w:rFonts w:hint="eastAsia" w:ascii="宋体" w:hAnsi="宋体"/>
          <w:sz w:val="24"/>
        </w:rPr>
        <w:t>12.6.1</w:t>
      </w:r>
      <w:r>
        <w:rPr>
          <w:rFonts w:hint="eastAsia" w:ascii="宋体" w:hAnsi="宋体"/>
          <w:sz w:val="24"/>
        </w:rPr>
        <w:tab/>
      </w:r>
      <w:r>
        <w:rPr>
          <w:rFonts w:ascii="宋体" w:hAnsi="宋体"/>
          <w:sz w:val="24"/>
        </w:rPr>
        <w:t>投标人在投标截止时间前撤回已提交的投标文件的，自收到投标人书面撤回通知之日起5个工作日内退还已收取的投标保证金；</w:t>
      </w:r>
    </w:p>
    <w:p w14:paraId="14BC70C3">
      <w:pPr>
        <w:tabs>
          <w:tab w:val="left" w:pos="1980"/>
        </w:tabs>
        <w:snapToGrid w:val="0"/>
        <w:spacing w:line="360" w:lineRule="auto"/>
        <w:ind w:left="1980" w:hanging="900"/>
        <w:rPr>
          <w:rFonts w:hint="eastAsia" w:ascii="宋体" w:hAnsi="宋体"/>
          <w:sz w:val="24"/>
        </w:rPr>
      </w:pPr>
      <w:r>
        <w:rPr>
          <w:rFonts w:hint="eastAsia" w:ascii="宋体" w:hAnsi="宋体"/>
          <w:sz w:val="24"/>
        </w:rPr>
        <w:t>12.6.2</w:t>
      </w:r>
      <w:r>
        <w:rPr>
          <w:rFonts w:hint="eastAsia" w:ascii="宋体" w:hAnsi="宋体"/>
          <w:sz w:val="24"/>
        </w:rPr>
        <w:tab/>
      </w:r>
      <w:r>
        <w:rPr>
          <w:rFonts w:ascii="宋体" w:hAnsi="宋体"/>
          <w:sz w:val="24"/>
        </w:rPr>
        <w:t>中标人的投标保证金，自采购合同签订之日起5个工作日内退还中标人；</w:t>
      </w:r>
    </w:p>
    <w:p w14:paraId="1C3E9679">
      <w:pPr>
        <w:tabs>
          <w:tab w:val="left" w:pos="1980"/>
        </w:tabs>
        <w:snapToGrid w:val="0"/>
        <w:spacing w:line="360" w:lineRule="auto"/>
        <w:ind w:left="1980" w:hanging="900"/>
        <w:rPr>
          <w:rFonts w:hint="eastAsia" w:ascii="宋体" w:hAnsi="宋体"/>
          <w:sz w:val="24"/>
        </w:rPr>
      </w:pPr>
      <w:r>
        <w:rPr>
          <w:rFonts w:hint="eastAsia" w:ascii="宋体" w:hAnsi="宋体"/>
          <w:sz w:val="24"/>
        </w:rPr>
        <w:t>12.6.3</w:t>
      </w:r>
      <w:r>
        <w:rPr>
          <w:rFonts w:hint="eastAsia" w:ascii="宋体" w:hAnsi="宋体"/>
          <w:sz w:val="24"/>
        </w:rPr>
        <w:tab/>
      </w:r>
      <w:r>
        <w:rPr>
          <w:rFonts w:ascii="宋体" w:hAnsi="宋体"/>
          <w:sz w:val="24"/>
        </w:rPr>
        <w:t>未中标投标人的投标保证金，自中标通知书发出之日起5个工作日内退还未中标人；</w:t>
      </w:r>
    </w:p>
    <w:p w14:paraId="281F6B30">
      <w:pPr>
        <w:tabs>
          <w:tab w:val="left" w:pos="1980"/>
        </w:tabs>
        <w:snapToGrid w:val="0"/>
        <w:spacing w:line="360" w:lineRule="auto"/>
        <w:ind w:left="1980" w:hanging="900"/>
        <w:rPr>
          <w:rFonts w:hint="eastAsia" w:ascii="宋体" w:hAnsi="宋体"/>
          <w:sz w:val="24"/>
        </w:rPr>
      </w:pPr>
      <w:r>
        <w:rPr>
          <w:rFonts w:hint="eastAsia" w:ascii="宋体" w:hAnsi="宋体"/>
          <w:sz w:val="24"/>
        </w:rPr>
        <w:t>12.6.4</w:t>
      </w:r>
      <w:r>
        <w:rPr>
          <w:rFonts w:hint="eastAsia" w:ascii="宋体" w:hAnsi="宋体"/>
          <w:sz w:val="24"/>
        </w:rPr>
        <w:tab/>
      </w:r>
      <w:r>
        <w:rPr>
          <w:rFonts w:ascii="宋体" w:hAnsi="宋体"/>
          <w:sz w:val="24"/>
        </w:rPr>
        <w:t>终止招标项目已经收取投标保证金的，自终止采购活动后5个工作日内退还已收取的投标保证金及其在银行产生的孳息。</w:t>
      </w:r>
    </w:p>
    <w:p w14:paraId="585FD200">
      <w:pPr>
        <w:tabs>
          <w:tab w:val="left" w:pos="1980"/>
        </w:tabs>
        <w:snapToGrid w:val="0"/>
        <w:spacing w:line="360" w:lineRule="auto"/>
        <w:ind w:left="1080"/>
        <w:rPr>
          <w:rFonts w:hint="eastAsia" w:ascii="宋体" w:hAnsi="宋体"/>
          <w:sz w:val="24"/>
        </w:rPr>
      </w:pPr>
      <w:r>
        <w:rPr>
          <w:rFonts w:hint="eastAsia" w:ascii="宋体" w:hAnsi="宋体"/>
          <w:sz w:val="24"/>
        </w:rPr>
        <w:t>采用银行保函、担保机构担保函等形式递交的投标保证金，经供应商同意后采购人、采购代理机构可以不再退还。</w:t>
      </w:r>
    </w:p>
    <w:p w14:paraId="6F08215D">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12.7</w:t>
      </w:r>
      <w:r>
        <w:rPr>
          <w:sz w:val="24"/>
          <w:highlight w:val="lightGray"/>
        </w:rPr>
        <w:tab/>
      </w:r>
      <w:r>
        <w:rPr>
          <w:rFonts w:ascii="宋体" w:hAnsi="宋体"/>
          <w:sz w:val="24"/>
        </w:rPr>
        <w:t>有下列情形之一的，采购人或采购代理机构可以不予退还投标保证金：</w:t>
      </w:r>
    </w:p>
    <w:p w14:paraId="25F4E50C">
      <w:pPr>
        <w:tabs>
          <w:tab w:val="left" w:pos="1980"/>
        </w:tabs>
        <w:snapToGrid w:val="0"/>
        <w:spacing w:line="360" w:lineRule="auto"/>
        <w:ind w:left="1980" w:hanging="900"/>
        <w:rPr>
          <w:rFonts w:hint="eastAsia" w:ascii="宋体" w:hAnsi="宋体"/>
          <w:sz w:val="24"/>
        </w:rPr>
      </w:pPr>
      <w:r>
        <w:rPr>
          <w:rFonts w:hint="eastAsia" w:ascii="宋体" w:hAnsi="宋体"/>
          <w:sz w:val="24"/>
        </w:rPr>
        <w:t>12.7.1</w:t>
      </w:r>
      <w:r>
        <w:rPr>
          <w:rFonts w:hint="eastAsia" w:ascii="宋体" w:hAnsi="宋体"/>
          <w:sz w:val="24"/>
        </w:rPr>
        <w:tab/>
      </w:r>
      <w:r>
        <w:rPr>
          <w:rFonts w:ascii="宋体" w:hAnsi="宋体"/>
          <w:sz w:val="24"/>
        </w:rPr>
        <w:t>投标有效期内投标人撤销投标文件的；</w:t>
      </w:r>
    </w:p>
    <w:p w14:paraId="3F03C55E">
      <w:pPr>
        <w:tabs>
          <w:tab w:val="left" w:pos="1080"/>
          <w:tab w:val="left" w:pos="1980"/>
          <w:tab w:val="left" w:pos="2014"/>
        </w:tabs>
        <w:snapToGrid w:val="0"/>
        <w:spacing w:line="360" w:lineRule="auto"/>
        <w:ind w:left="1980" w:hanging="900"/>
        <w:rPr>
          <w:rFonts w:hint="eastAsia" w:ascii="宋体" w:hAnsi="宋体"/>
          <w:sz w:val="24"/>
        </w:rPr>
      </w:pPr>
      <w:r>
        <w:rPr>
          <w:rFonts w:hint="eastAsia" w:ascii="宋体" w:hAnsi="宋体"/>
          <w:sz w:val="24"/>
        </w:rPr>
        <w:t>12.7.2</w:t>
      </w:r>
      <w:r>
        <w:rPr>
          <w:rFonts w:hint="eastAsia" w:ascii="宋体" w:hAnsi="宋体"/>
          <w:sz w:val="24"/>
        </w:rPr>
        <w:tab/>
      </w:r>
      <w:r>
        <w:rPr>
          <w:rFonts w:ascii="宋体" w:hAnsi="宋体"/>
          <w:sz w:val="24"/>
        </w:rPr>
        <w:t>《投标人须知资料表》中规定的其他情形。</w:t>
      </w:r>
    </w:p>
    <w:p w14:paraId="0EB76FFB">
      <w:pPr>
        <w:tabs>
          <w:tab w:val="left" w:pos="360"/>
        </w:tabs>
        <w:snapToGrid w:val="0"/>
        <w:spacing w:line="360" w:lineRule="auto"/>
        <w:ind w:left="357" w:hanging="357"/>
        <w:outlineLvl w:val="1"/>
        <w:rPr>
          <w:rFonts w:hint="eastAsia" w:ascii="宋体" w:hAnsi="宋体"/>
          <w:sz w:val="24"/>
        </w:rPr>
      </w:pPr>
      <w:bookmarkStart w:id="318" w:name="_Toc150774737"/>
      <w:bookmarkStart w:id="319" w:name="_Toc151193774"/>
      <w:bookmarkStart w:id="320" w:name="_Toc151190159"/>
      <w:bookmarkStart w:id="321" w:name="_Toc164351626"/>
      <w:bookmarkStart w:id="322" w:name="_Toc164229227"/>
      <w:bookmarkStart w:id="323" w:name="_Toc305158874"/>
      <w:bookmarkStart w:id="324" w:name="_Toc520356157"/>
      <w:bookmarkStart w:id="325" w:name="_Toc142311034"/>
      <w:bookmarkStart w:id="326" w:name="_Toc264969222"/>
      <w:bookmarkStart w:id="327" w:name="_Toc265228370"/>
      <w:bookmarkStart w:id="328" w:name="_Toc150480770"/>
      <w:bookmarkStart w:id="329" w:name="_Toc127151733"/>
      <w:bookmarkStart w:id="330" w:name="_Toc226337228"/>
      <w:bookmarkStart w:id="331" w:name="_Toc127161446"/>
      <w:bookmarkStart w:id="332" w:name="_Toc150509283"/>
      <w:bookmarkStart w:id="333" w:name="_Toc127151532"/>
      <w:bookmarkStart w:id="334" w:name="_Toc150774632"/>
      <w:bookmarkStart w:id="335" w:name="_Toc195842897"/>
      <w:bookmarkStart w:id="336" w:name="_Toc151193920"/>
      <w:bookmarkStart w:id="337" w:name="_Toc164608646"/>
      <w:bookmarkStart w:id="338" w:name="_Toc149720825"/>
      <w:bookmarkStart w:id="339" w:name="_Toc151193846"/>
      <w:bookmarkStart w:id="340" w:name="_Toc226965722"/>
      <w:bookmarkStart w:id="341" w:name="_Toc164608801"/>
      <w:bookmarkStart w:id="342" w:name="_Toc164229373"/>
      <w:bookmarkStart w:id="343" w:name="_Toc151193630"/>
      <w:bookmarkStart w:id="344" w:name="_Toc226965805"/>
      <w:bookmarkStart w:id="345" w:name="_Toc226309776"/>
      <w:bookmarkStart w:id="346" w:name="_Toc305158800"/>
      <w:bookmarkStart w:id="347" w:name="_Toc151193702"/>
      <w:r>
        <w:rPr>
          <w:rFonts w:hint="eastAsia" w:ascii="宋体" w:hAnsi="宋体"/>
          <w:sz w:val="24"/>
        </w:rPr>
        <w:t>13</w:t>
      </w:r>
      <w:r>
        <w:rPr>
          <w:rFonts w:hint="eastAsia" w:ascii="宋体" w:hAnsi="宋体"/>
          <w:sz w:val="24"/>
        </w:rPr>
        <w:tab/>
      </w:r>
      <w:r>
        <w:rPr>
          <w:rFonts w:ascii="宋体" w:hAnsi="宋体"/>
          <w:sz w:val="24"/>
        </w:rPr>
        <w:t>投标有效期</w:t>
      </w:r>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p>
    <w:p w14:paraId="2E4FB8F1">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13.1</w:t>
      </w:r>
      <w:r>
        <w:rPr>
          <w:sz w:val="24"/>
          <w:highlight w:val="lightGray"/>
        </w:rPr>
        <w:tab/>
      </w:r>
      <w:r>
        <w:rPr>
          <w:rFonts w:ascii="宋体" w:hAnsi="宋体"/>
          <w:sz w:val="24"/>
        </w:rPr>
        <w:t>投标</w:t>
      </w:r>
      <w:r>
        <w:rPr>
          <w:rFonts w:hint="eastAsia" w:ascii="宋体" w:hAnsi="宋体"/>
          <w:sz w:val="24"/>
        </w:rPr>
        <w:t>文件</w:t>
      </w:r>
      <w:r>
        <w:rPr>
          <w:rFonts w:ascii="宋体" w:hAnsi="宋体"/>
          <w:sz w:val="24"/>
        </w:rPr>
        <w:t>应在本招标文件《投标人须知资料表》中规定的投标有效期内保持有效，投标有效期少于招标文件规定期限的，其</w:t>
      </w:r>
      <w:r>
        <w:rPr>
          <w:rFonts w:ascii="宋体" w:hAnsi="宋体"/>
          <w:b/>
          <w:sz w:val="24"/>
        </w:rPr>
        <w:t>投标无效</w:t>
      </w:r>
      <w:r>
        <w:rPr>
          <w:rFonts w:ascii="宋体" w:hAnsi="宋体"/>
          <w:sz w:val="24"/>
        </w:rPr>
        <w:t>。</w:t>
      </w:r>
    </w:p>
    <w:p w14:paraId="4376B757">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13.2</w:t>
      </w:r>
      <w:r>
        <w:rPr>
          <w:sz w:val="24"/>
          <w:highlight w:val="lightGray"/>
        </w:rPr>
        <w:tab/>
      </w:r>
      <w:r>
        <w:rPr>
          <w:rFonts w:hint="eastAsia" w:ascii="宋体" w:hAnsi="宋体"/>
          <w:sz w:val="24"/>
        </w:rPr>
        <w:t>采购人或采购代理机构可根据实际情况，在原投标有效期截止之前，要求投标人同意延长投标文件的有效期。接受该要求的投标人将不会被要求和允许修正其其它内容，且本须知中有关投标保证金的要求将在延长了的有效期内继续有效。投标人也可以拒绝招标采购单位的这种要求，其投标保证金将予以退还。上述要求和答复都应以书面形式提交。</w:t>
      </w:r>
    </w:p>
    <w:p w14:paraId="3C644A84">
      <w:pPr>
        <w:tabs>
          <w:tab w:val="left" w:pos="360"/>
        </w:tabs>
        <w:snapToGrid w:val="0"/>
        <w:spacing w:line="360" w:lineRule="auto"/>
        <w:ind w:left="357" w:hanging="357"/>
        <w:outlineLvl w:val="1"/>
        <w:rPr>
          <w:rFonts w:hint="eastAsia" w:ascii="宋体" w:hAnsi="宋体"/>
          <w:sz w:val="24"/>
        </w:rPr>
      </w:pPr>
      <w:bookmarkStart w:id="348" w:name="_Toc264969223"/>
      <w:bookmarkStart w:id="349" w:name="_Toc150480771"/>
      <w:bookmarkStart w:id="350" w:name="_Toc520356158"/>
      <w:bookmarkStart w:id="351" w:name="_Toc151193775"/>
      <w:bookmarkStart w:id="352" w:name="_Toc164229374"/>
      <w:bookmarkStart w:id="353" w:name="_Toc142311035"/>
      <w:bookmarkStart w:id="354" w:name="_Toc127151734"/>
      <w:bookmarkStart w:id="355" w:name="_Toc151193921"/>
      <w:bookmarkStart w:id="356" w:name="_Toc226965723"/>
      <w:bookmarkStart w:id="357" w:name="_Toc226309777"/>
      <w:bookmarkStart w:id="358" w:name="_Toc149720826"/>
      <w:bookmarkStart w:id="359" w:name="_Toc151193703"/>
      <w:bookmarkStart w:id="360" w:name="_Toc150774633"/>
      <w:bookmarkStart w:id="361" w:name="_Toc164608802"/>
      <w:bookmarkStart w:id="362" w:name="_Toc226965806"/>
      <w:bookmarkStart w:id="363" w:name="_Toc164351627"/>
      <w:bookmarkStart w:id="364" w:name="_Toc164608647"/>
      <w:bookmarkStart w:id="365" w:name="_Toc305158875"/>
      <w:bookmarkStart w:id="366" w:name="_Toc127151533"/>
      <w:bookmarkStart w:id="367" w:name="_Toc265228371"/>
      <w:bookmarkStart w:id="368" w:name="_Toc164229228"/>
      <w:bookmarkStart w:id="369" w:name="_Toc305158801"/>
      <w:bookmarkStart w:id="370" w:name="_Toc195842898"/>
      <w:bookmarkStart w:id="371" w:name="_Toc127161447"/>
      <w:bookmarkStart w:id="372" w:name="_Toc150774738"/>
      <w:bookmarkStart w:id="373" w:name="_Toc226337229"/>
      <w:bookmarkStart w:id="374" w:name="_Toc150509284"/>
      <w:bookmarkStart w:id="375" w:name="_Toc151193631"/>
      <w:bookmarkStart w:id="376" w:name="_Toc151193847"/>
      <w:bookmarkStart w:id="377" w:name="_Toc151190160"/>
      <w:r>
        <w:rPr>
          <w:rFonts w:hint="eastAsia" w:ascii="宋体" w:hAnsi="宋体"/>
          <w:sz w:val="24"/>
        </w:rPr>
        <w:t>14</w:t>
      </w:r>
      <w:r>
        <w:rPr>
          <w:rFonts w:hint="eastAsia" w:ascii="宋体" w:hAnsi="宋体"/>
          <w:sz w:val="24"/>
        </w:rPr>
        <w:tab/>
      </w:r>
      <w:r>
        <w:rPr>
          <w:rFonts w:ascii="宋体" w:hAnsi="宋体"/>
          <w:sz w:val="24"/>
        </w:rPr>
        <w:t>投标文件的签署</w:t>
      </w:r>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r>
        <w:rPr>
          <w:rFonts w:ascii="宋体" w:hAnsi="宋体"/>
          <w:sz w:val="24"/>
        </w:rPr>
        <w:t>、盖章</w:t>
      </w:r>
    </w:p>
    <w:p w14:paraId="6E8B6F7C">
      <w:pPr>
        <w:tabs>
          <w:tab w:val="left" w:pos="1080"/>
          <w:tab w:val="left" w:pos="1589"/>
          <w:tab w:val="left" w:pos="2014"/>
        </w:tabs>
        <w:snapToGrid w:val="0"/>
        <w:spacing w:line="360" w:lineRule="auto"/>
        <w:ind w:left="1077" w:hanging="720"/>
        <w:rPr>
          <w:rFonts w:hint="eastAsia" w:ascii="宋体" w:hAnsi="宋体"/>
          <w:sz w:val="24"/>
        </w:rPr>
      </w:pPr>
      <w:bookmarkStart w:id="378" w:name="_Toc151190161"/>
      <w:bookmarkStart w:id="379" w:name="_Toc226337230"/>
      <w:bookmarkStart w:id="380" w:name="_Toc151193922"/>
      <w:bookmarkStart w:id="381" w:name="_Toc150774739"/>
      <w:bookmarkStart w:id="382" w:name="_Toc226309778"/>
      <w:bookmarkStart w:id="383" w:name="_Toc520356159"/>
      <w:bookmarkStart w:id="384" w:name="_Toc151193704"/>
      <w:bookmarkStart w:id="385" w:name="_Toc150509285"/>
      <w:bookmarkStart w:id="386" w:name="_Toc127151534"/>
      <w:bookmarkStart w:id="387" w:name="_Toc151193632"/>
      <w:bookmarkStart w:id="388" w:name="_Toc226965807"/>
      <w:bookmarkStart w:id="389" w:name="_Toc264969224"/>
      <w:bookmarkStart w:id="390" w:name="_Toc150480772"/>
      <w:bookmarkStart w:id="391" w:name="_Toc151193848"/>
      <w:bookmarkStart w:id="392" w:name="_Toc151193776"/>
      <w:bookmarkStart w:id="393" w:name="_Toc195842899"/>
      <w:bookmarkStart w:id="394" w:name="_Toc150774634"/>
      <w:bookmarkStart w:id="395" w:name="_Toc305158802"/>
      <w:bookmarkStart w:id="396" w:name="_Toc142311036"/>
      <w:bookmarkStart w:id="397" w:name="_Toc226965724"/>
      <w:bookmarkStart w:id="398" w:name="_Toc265228372"/>
      <w:bookmarkStart w:id="399" w:name="_Toc305158876"/>
      <w:r>
        <w:rPr>
          <w:sz w:val="24"/>
          <w:highlight w:val="lightGray"/>
        </w:rPr>
        <w:t>14.1</w:t>
      </w:r>
      <w:r>
        <w:rPr>
          <w:sz w:val="24"/>
          <w:highlight w:val="lightGray"/>
        </w:rPr>
        <w:tab/>
      </w:r>
      <w:r>
        <w:rPr>
          <w:rFonts w:ascii="宋体" w:hAnsi="宋体"/>
          <w:sz w:val="24"/>
        </w:rPr>
        <w:t>投标人应按招标文件投标须知资料表的规定准备投标文件正本和副本</w:t>
      </w:r>
      <w:r>
        <w:rPr>
          <w:rFonts w:hint="eastAsia" w:ascii="宋体" w:hAnsi="宋体"/>
          <w:sz w:val="24"/>
        </w:rPr>
        <w:t>以及电子版，每份投标文件须清楚地标明“正本”或“副本”。副本可采用正本的复印件。若正本和副本不符，以正本为准；电子版投标文件和纸质版投标文件不符，以纸质版投标文件为准。</w:t>
      </w:r>
    </w:p>
    <w:p w14:paraId="7640D776">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14.2</w:t>
      </w:r>
      <w:r>
        <w:rPr>
          <w:sz w:val="24"/>
          <w:highlight w:val="lightGray"/>
        </w:rPr>
        <w:tab/>
      </w:r>
      <w:r>
        <w:rPr>
          <w:rFonts w:hint="eastAsia" w:ascii="宋体" w:hAnsi="宋体"/>
          <w:sz w:val="24"/>
        </w:rPr>
        <w:t>投标文件需打印或用不退色墨水书写，并由投标人的法定代表人或经其正式授权的代表在投标文件规定的地方签字并加盖单位公章(标书中所要求盖章处均为单位公章，其他印章如投标专用章、业务专用章、合同专用章等均无效)。授权代表须持有书面的“法定代表人授权书”（标准格式附后），并将其附在投标文件中。</w:t>
      </w:r>
    </w:p>
    <w:p w14:paraId="3096CDF8">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14.3</w:t>
      </w:r>
      <w:r>
        <w:rPr>
          <w:sz w:val="24"/>
          <w:highlight w:val="lightGray"/>
        </w:rPr>
        <w:tab/>
      </w:r>
      <w:r>
        <w:rPr>
          <w:rFonts w:hint="eastAsia" w:ascii="宋体" w:hAnsi="宋体"/>
          <w:sz w:val="24"/>
        </w:rPr>
        <w:t>任何行间插字、涂改和增删，必须由投标文件签字人在修改处签字并加盖公章。</w:t>
      </w:r>
    </w:p>
    <w:p w14:paraId="24685F90">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14.4</w:t>
      </w:r>
      <w:r>
        <w:rPr>
          <w:sz w:val="24"/>
          <w:highlight w:val="lightGray"/>
        </w:rPr>
        <w:tab/>
      </w:r>
      <w:r>
        <w:rPr>
          <w:rFonts w:hint="eastAsia" w:ascii="宋体" w:hAnsi="宋体"/>
          <w:sz w:val="24"/>
        </w:rPr>
        <w:t>投标文件因字迹潦草或表达不清所引起的后果由投标人负责。</w:t>
      </w:r>
    </w:p>
    <w:p w14:paraId="5326E131">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14.5</w:t>
      </w:r>
      <w:r>
        <w:rPr>
          <w:sz w:val="24"/>
          <w:highlight w:val="lightGray"/>
        </w:rPr>
        <w:tab/>
      </w:r>
      <w:r>
        <w:rPr>
          <w:rFonts w:hint="eastAsia" w:ascii="宋体" w:hAnsi="宋体"/>
          <w:sz w:val="24"/>
        </w:rPr>
        <w:t>投标文件应装订牢固、目录清楚、页码准确，不得采用活页式装订。采购人、采购代理机构对因装订不牢造成的文件散失不负责任。</w:t>
      </w:r>
    </w:p>
    <w:p w14:paraId="1599F264">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14.6</w:t>
      </w:r>
      <w:r>
        <w:rPr>
          <w:sz w:val="24"/>
          <w:highlight w:val="lightGray"/>
        </w:rPr>
        <w:tab/>
      </w:r>
      <w:r>
        <w:rPr>
          <w:rFonts w:hint="eastAsia" w:ascii="宋体" w:hAnsi="宋体"/>
          <w:sz w:val="24"/>
        </w:rPr>
        <w:t>投标人为自然人的，只须按要求签字，投标文件所有加盖公章的要求均不适用。</w:t>
      </w:r>
    </w:p>
    <w:p w14:paraId="4DF494C8">
      <w:pPr>
        <w:pStyle w:val="3"/>
        <w:spacing w:before="0" w:line="360" w:lineRule="auto"/>
        <w:rPr>
          <w:rFonts w:hint="eastAsia" w:ascii="宋体" w:hAnsi="宋体" w:eastAsia="宋体"/>
          <w:sz w:val="28"/>
        </w:rPr>
      </w:pPr>
      <w:r>
        <w:rPr>
          <w:rFonts w:ascii="宋体" w:hAnsi="宋体" w:eastAsia="宋体"/>
          <w:sz w:val="28"/>
        </w:rPr>
        <w:t>四  投标文件的提交</w:t>
      </w:r>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p>
    <w:p w14:paraId="3AFCAE2C">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15</w:t>
      </w:r>
      <w:r>
        <w:rPr>
          <w:rFonts w:hint="eastAsia" w:ascii="宋体" w:hAnsi="宋体"/>
          <w:sz w:val="24"/>
        </w:rPr>
        <w:tab/>
      </w:r>
      <w:r>
        <w:rPr>
          <w:rFonts w:hint="eastAsia" w:ascii="宋体" w:hAnsi="宋体"/>
          <w:sz w:val="24"/>
        </w:rPr>
        <w:t>投标文件的密封和标记</w:t>
      </w:r>
    </w:p>
    <w:p w14:paraId="0AB2AEF2">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15.1</w:t>
      </w:r>
      <w:r>
        <w:rPr>
          <w:sz w:val="24"/>
          <w:highlight w:val="lightGray"/>
        </w:rPr>
        <w:tab/>
      </w:r>
      <w:r>
        <w:rPr>
          <w:rFonts w:hint="eastAsia" w:ascii="宋体" w:hAnsi="宋体"/>
          <w:sz w:val="24"/>
        </w:rPr>
        <w:t>投标人应将“开标一览表”、“投标保证金”、“投标文件正本”、“投标文件副本”、“投标文件电子版”分开单独密封，并在封面上分别注明“开标一览表”、“投标保证金”、“投标文件正本”、“投标文件副本”、“投标文件电子版”字样。</w:t>
      </w:r>
    </w:p>
    <w:p w14:paraId="03EE2F0B">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15.2</w:t>
      </w:r>
      <w:r>
        <w:rPr>
          <w:sz w:val="24"/>
          <w:highlight w:val="lightGray"/>
        </w:rPr>
        <w:tab/>
      </w:r>
      <w:r>
        <w:rPr>
          <w:rFonts w:hint="eastAsia" w:ascii="宋体" w:hAnsi="宋体"/>
          <w:sz w:val="24"/>
        </w:rPr>
        <w:t>为方便核查投标保证金，投标人应将“投标保证金</w:t>
      </w:r>
      <w:r>
        <w:rPr>
          <w:rFonts w:ascii="宋体" w:hAnsi="宋体"/>
          <w:sz w:val="24"/>
        </w:rPr>
        <w:t>”</w:t>
      </w:r>
      <w:r>
        <w:rPr>
          <w:rFonts w:hint="eastAsia" w:ascii="宋体" w:hAnsi="宋体"/>
          <w:sz w:val="24"/>
        </w:rPr>
        <w:t>单独密封，并在封面上标明“投标保证金”字样，在投标时单独递交。若投标保证金采用电汇方式，提供电汇底单复印件并加盖投标人公章；若采用网银方式，提供转账网页打印件，并加盖投标人公章。若采用保函方式，提供保函原件。</w:t>
      </w:r>
    </w:p>
    <w:p w14:paraId="638F6427">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15.3</w:t>
      </w:r>
      <w:r>
        <w:rPr>
          <w:sz w:val="24"/>
          <w:highlight w:val="lightGray"/>
        </w:rPr>
        <w:tab/>
      </w:r>
      <w:r>
        <w:rPr>
          <w:rFonts w:hint="eastAsia" w:ascii="宋体" w:hAnsi="宋体"/>
          <w:sz w:val="24"/>
        </w:rPr>
        <w:t>所有封面上均应：</w:t>
      </w:r>
    </w:p>
    <w:p w14:paraId="0F021DFD">
      <w:pPr>
        <w:tabs>
          <w:tab w:val="left" w:pos="1980"/>
        </w:tabs>
        <w:snapToGrid w:val="0"/>
        <w:spacing w:line="360" w:lineRule="auto"/>
        <w:ind w:left="1980" w:hanging="900"/>
        <w:rPr>
          <w:rFonts w:hint="eastAsia" w:ascii="宋体" w:hAnsi="宋体"/>
          <w:sz w:val="24"/>
        </w:rPr>
      </w:pPr>
      <w:r>
        <w:rPr>
          <w:rFonts w:hint="eastAsia" w:ascii="宋体" w:hAnsi="宋体"/>
          <w:sz w:val="24"/>
        </w:rPr>
        <w:t>15.3.1</w:t>
      </w:r>
      <w:r>
        <w:rPr>
          <w:rFonts w:hint="eastAsia" w:ascii="宋体" w:hAnsi="宋体"/>
          <w:sz w:val="24"/>
        </w:rPr>
        <w:tab/>
      </w:r>
      <w:r>
        <w:rPr>
          <w:rFonts w:ascii="宋体" w:hAnsi="宋体"/>
          <w:sz w:val="24"/>
        </w:rPr>
        <w:t>清楚标明递交至规定的投标地址。</w:t>
      </w:r>
    </w:p>
    <w:p w14:paraId="5F452303">
      <w:pPr>
        <w:tabs>
          <w:tab w:val="left" w:pos="1980"/>
        </w:tabs>
        <w:snapToGrid w:val="0"/>
        <w:spacing w:line="360" w:lineRule="auto"/>
        <w:ind w:left="1980" w:hanging="900"/>
        <w:rPr>
          <w:rFonts w:hint="eastAsia" w:ascii="宋体" w:hAnsi="宋体"/>
          <w:sz w:val="24"/>
        </w:rPr>
      </w:pPr>
      <w:r>
        <w:rPr>
          <w:rFonts w:hint="eastAsia" w:ascii="宋体" w:hAnsi="宋体"/>
          <w:sz w:val="24"/>
        </w:rPr>
        <w:t>15.3.2</w:t>
      </w:r>
      <w:r>
        <w:rPr>
          <w:rFonts w:hint="eastAsia" w:ascii="宋体" w:hAnsi="宋体"/>
          <w:sz w:val="24"/>
        </w:rPr>
        <w:tab/>
      </w:r>
      <w:r>
        <w:rPr>
          <w:rFonts w:ascii="宋体" w:hAnsi="宋体"/>
          <w:sz w:val="24"/>
        </w:rPr>
        <w:t>注明项目名称、招标编号和“在</w:t>
      </w:r>
      <w:r>
        <w:rPr>
          <w:rFonts w:ascii="宋体" w:hAnsi="宋体"/>
          <w:sz w:val="24"/>
          <w:u w:val="single"/>
        </w:rPr>
        <w:t xml:space="preserve">     （开标日期、时间 ）    </w:t>
      </w:r>
      <w:r>
        <w:rPr>
          <w:rFonts w:ascii="宋体" w:hAnsi="宋体"/>
          <w:sz w:val="24"/>
        </w:rPr>
        <w:t>之前不得启封”的字样。</w:t>
      </w:r>
    </w:p>
    <w:p w14:paraId="7A5D1B74">
      <w:pPr>
        <w:tabs>
          <w:tab w:val="left" w:pos="1980"/>
        </w:tabs>
        <w:snapToGrid w:val="0"/>
        <w:spacing w:line="360" w:lineRule="auto"/>
        <w:ind w:left="1980" w:hanging="900"/>
        <w:rPr>
          <w:rFonts w:hint="eastAsia" w:ascii="宋体" w:hAnsi="宋体"/>
          <w:sz w:val="24"/>
        </w:rPr>
      </w:pPr>
      <w:r>
        <w:rPr>
          <w:rFonts w:hint="eastAsia" w:ascii="宋体" w:hAnsi="宋体"/>
          <w:sz w:val="24"/>
        </w:rPr>
        <w:t>15.3.3</w:t>
      </w:r>
      <w:r>
        <w:rPr>
          <w:rFonts w:hint="eastAsia" w:ascii="宋体" w:hAnsi="宋体"/>
          <w:sz w:val="24"/>
        </w:rPr>
        <w:tab/>
      </w:r>
      <w:r>
        <w:rPr>
          <w:rFonts w:ascii="宋体" w:hAnsi="宋体"/>
          <w:sz w:val="24"/>
        </w:rPr>
        <w:t>在封装处加盖投标人公章。</w:t>
      </w:r>
    </w:p>
    <w:p w14:paraId="60F32A86">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15.4</w:t>
      </w:r>
      <w:r>
        <w:rPr>
          <w:sz w:val="24"/>
          <w:highlight w:val="lightGray"/>
        </w:rPr>
        <w:tab/>
      </w:r>
      <w:r>
        <w:rPr>
          <w:rFonts w:hint="eastAsia" w:ascii="宋体" w:hAnsi="宋体"/>
          <w:sz w:val="24"/>
        </w:rPr>
        <w:t>所有封面上还应写明投标人名称和地址，以便若其投标被宣布为“迟到”投标时，能原封退回。</w:t>
      </w:r>
    </w:p>
    <w:p w14:paraId="6BB33A68">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15.5</w:t>
      </w:r>
      <w:r>
        <w:rPr>
          <w:sz w:val="24"/>
          <w:highlight w:val="lightGray"/>
        </w:rPr>
        <w:tab/>
      </w:r>
      <w:r>
        <w:rPr>
          <w:rFonts w:hint="eastAsia" w:ascii="宋体" w:hAnsi="宋体"/>
          <w:sz w:val="24"/>
        </w:rPr>
        <w:t>如果投标人未按上述要求密封及加写标记，招标采购单位对投标文件的误投或过早启封概不负责。</w:t>
      </w:r>
    </w:p>
    <w:p w14:paraId="55D49EEB">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15.6</w:t>
      </w:r>
      <w:r>
        <w:rPr>
          <w:sz w:val="24"/>
          <w:highlight w:val="lightGray"/>
        </w:rPr>
        <w:tab/>
      </w:r>
      <w:r>
        <w:rPr>
          <w:rFonts w:hint="eastAsia" w:ascii="宋体" w:hAnsi="宋体"/>
          <w:sz w:val="24"/>
        </w:rPr>
        <w:t>如果投标人虽然未能按照上述规定对投标文件进行密封，但只要投标文件密封完好的，招标采购单位不得拒收。</w:t>
      </w:r>
    </w:p>
    <w:p w14:paraId="58E17004">
      <w:pPr>
        <w:tabs>
          <w:tab w:val="left" w:pos="360"/>
        </w:tabs>
        <w:snapToGrid w:val="0"/>
        <w:spacing w:line="360" w:lineRule="auto"/>
        <w:ind w:left="357" w:hanging="357"/>
        <w:outlineLvl w:val="1"/>
        <w:rPr>
          <w:rFonts w:hint="eastAsia" w:ascii="宋体" w:hAnsi="宋体"/>
          <w:sz w:val="24"/>
        </w:rPr>
      </w:pPr>
      <w:bookmarkStart w:id="400" w:name="_Toc150774741"/>
      <w:bookmarkStart w:id="401" w:name="_Toc150774636"/>
      <w:bookmarkStart w:id="402" w:name="_Toc151193924"/>
      <w:bookmarkStart w:id="403" w:name="_Toc142311038"/>
      <w:bookmarkStart w:id="404" w:name="_Toc150509287"/>
      <w:bookmarkStart w:id="405" w:name="_Toc151190163"/>
      <w:bookmarkStart w:id="406" w:name="_Toc149720829"/>
      <w:bookmarkStart w:id="407" w:name="_Toc150480774"/>
      <w:bookmarkStart w:id="408" w:name="_Toc151193850"/>
      <w:bookmarkStart w:id="409" w:name="_Toc127151536"/>
      <w:bookmarkStart w:id="410" w:name="_Toc127161450"/>
      <w:bookmarkStart w:id="411" w:name="_Toc265228374"/>
      <w:bookmarkStart w:id="412" w:name="_Toc305158804"/>
      <w:bookmarkStart w:id="413" w:name="_Toc151193706"/>
      <w:bookmarkStart w:id="414" w:name="_Toc127151737"/>
      <w:bookmarkStart w:id="415" w:name="_Toc226309780"/>
      <w:bookmarkStart w:id="416" w:name="_Toc264969226"/>
      <w:bookmarkStart w:id="417" w:name="_Toc151193778"/>
      <w:bookmarkStart w:id="418" w:name="_Toc520356161"/>
      <w:bookmarkStart w:id="419" w:name="_Toc164351630"/>
      <w:bookmarkStart w:id="420" w:name="_Toc226965726"/>
      <w:bookmarkStart w:id="421" w:name="_Toc151193634"/>
      <w:bookmarkStart w:id="422" w:name="_Toc226337232"/>
      <w:bookmarkStart w:id="423" w:name="_Toc164229231"/>
      <w:bookmarkStart w:id="424" w:name="_Toc226965809"/>
      <w:bookmarkStart w:id="425" w:name="_Toc164608805"/>
      <w:bookmarkStart w:id="426" w:name="_Toc164608650"/>
      <w:bookmarkStart w:id="427" w:name="_Toc164229377"/>
      <w:bookmarkStart w:id="428" w:name="_Toc195842901"/>
      <w:bookmarkStart w:id="429" w:name="_Toc305158878"/>
      <w:r>
        <w:rPr>
          <w:rFonts w:hint="eastAsia" w:ascii="宋体" w:hAnsi="宋体"/>
          <w:sz w:val="24"/>
        </w:rPr>
        <w:t>16</w:t>
      </w:r>
      <w:r>
        <w:rPr>
          <w:rFonts w:hint="eastAsia" w:ascii="宋体" w:hAnsi="宋体"/>
          <w:sz w:val="24"/>
        </w:rPr>
        <w:tab/>
      </w:r>
      <w:r>
        <w:rPr>
          <w:rFonts w:ascii="宋体" w:hAnsi="宋体"/>
          <w:sz w:val="24"/>
        </w:rPr>
        <w:t>投标截止</w:t>
      </w:r>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r>
        <w:rPr>
          <w:rFonts w:ascii="宋体" w:hAnsi="宋体"/>
          <w:sz w:val="24"/>
        </w:rPr>
        <w:t>时间</w:t>
      </w:r>
    </w:p>
    <w:p w14:paraId="5B9330B4">
      <w:pPr>
        <w:tabs>
          <w:tab w:val="left" w:pos="1080"/>
          <w:tab w:val="left" w:pos="1589"/>
          <w:tab w:val="left" w:pos="2014"/>
        </w:tabs>
        <w:snapToGrid w:val="0"/>
        <w:spacing w:line="360" w:lineRule="auto"/>
        <w:ind w:left="1077" w:hanging="720"/>
        <w:rPr>
          <w:rFonts w:hint="eastAsia" w:ascii="宋体" w:hAnsi="宋体"/>
          <w:sz w:val="24"/>
        </w:rPr>
      </w:pPr>
      <w:bookmarkStart w:id="430" w:name="_Toc151193925"/>
      <w:bookmarkStart w:id="431" w:name="_Toc151190164"/>
      <w:bookmarkStart w:id="432" w:name="_Toc151193779"/>
      <w:bookmarkStart w:id="433" w:name="_Toc151193707"/>
      <w:bookmarkStart w:id="434" w:name="_Toc164229232"/>
      <w:bookmarkStart w:id="435" w:name="_Toc226965727"/>
      <w:bookmarkStart w:id="436" w:name="_Toc164608806"/>
      <w:bookmarkStart w:id="437" w:name="_Toc264969227"/>
      <w:bookmarkStart w:id="438" w:name="_Toc164351631"/>
      <w:bookmarkStart w:id="439" w:name="_Toc149720830"/>
      <w:bookmarkStart w:id="440" w:name="_Toc150774637"/>
      <w:bookmarkStart w:id="441" w:name="_Toc226337233"/>
      <w:bookmarkStart w:id="442" w:name="_Toc226965810"/>
      <w:bookmarkStart w:id="443" w:name="_Toc164608651"/>
      <w:bookmarkStart w:id="444" w:name="_Toc520356162"/>
      <w:bookmarkStart w:id="445" w:name="_Toc127151537"/>
      <w:bookmarkStart w:id="446" w:name="_Toc150480775"/>
      <w:bookmarkStart w:id="447" w:name="_Toc151193851"/>
      <w:bookmarkStart w:id="448" w:name="_Toc305158805"/>
      <w:bookmarkStart w:id="449" w:name="_Toc151193635"/>
      <w:bookmarkStart w:id="450" w:name="_Toc265228375"/>
      <w:bookmarkStart w:id="451" w:name="_Toc142311039"/>
      <w:bookmarkStart w:id="452" w:name="_Toc127151738"/>
      <w:bookmarkStart w:id="453" w:name="_Toc127161451"/>
      <w:bookmarkStart w:id="454" w:name="_Toc164229378"/>
      <w:bookmarkStart w:id="455" w:name="_Toc150774742"/>
      <w:bookmarkStart w:id="456" w:name="_Toc305158879"/>
      <w:bookmarkStart w:id="457" w:name="_Toc150509288"/>
      <w:bookmarkStart w:id="458" w:name="_Toc195842902"/>
      <w:bookmarkStart w:id="459" w:name="_Toc226309781"/>
      <w:r>
        <w:rPr>
          <w:sz w:val="24"/>
          <w:highlight w:val="lightGray"/>
        </w:rPr>
        <w:t>16.1</w:t>
      </w:r>
      <w:r>
        <w:rPr>
          <w:sz w:val="24"/>
          <w:highlight w:val="lightGray"/>
        </w:rPr>
        <w:tab/>
      </w:r>
      <w:r>
        <w:rPr>
          <w:rFonts w:hint="eastAsia" w:ascii="宋体" w:hAnsi="宋体"/>
          <w:sz w:val="24"/>
        </w:rPr>
        <w:t>投标人应在规定的投标截止时间前，将投标文件密封送达至规定的地址。逾期送达或者未密封的投标文件，采购人或采购代理机构应当拒收。采购人或采购代理机构收到投标文件后，应当如实记载投标文件的送达时间和密封情况，签收保存，并向投标人出具签收回执。任何单位和个人不得在开标前开启投标文件。</w:t>
      </w:r>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38C04EC5">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16.2</w:t>
      </w:r>
      <w:r>
        <w:rPr>
          <w:sz w:val="24"/>
          <w:highlight w:val="lightGray"/>
        </w:rPr>
        <w:tab/>
      </w:r>
      <w:r>
        <w:rPr>
          <w:rFonts w:hint="eastAsia" w:ascii="宋体" w:hAnsi="宋体"/>
          <w:sz w:val="24"/>
        </w:rPr>
        <w:t>采购人或采购代理机构有权按本须知的规定，通过修改招标文件延长投标截止期。在此情况下，采购人、采购代理机构和投标人受投标截止期制约的所有权利和义务均应延长至新的截止期。</w:t>
      </w:r>
    </w:p>
    <w:p w14:paraId="449AAC30">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16.3</w:t>
      </w:r>
      <w:r>
        <w:rPr>
          <w:sz w:val="24"/>
          <w:highlight w:val="lightGray"/>
        </w:rPr>
        <w:tab/>
      </w:r>
      <w:r>
        <w:rPr>
          <w:rFonts w:hint="eastAsia" w:ascii="宋体" w:hAnsi="宋体"/>
          <w:sz w:val="24"/>
        </w:rPr>
        <w:t>采购人或</w:t>
      </w:r>
      <w:r>
        <w:rPr>
          <w:rFonts w:ascii="宋体" w:hAnsi="宋体"/>
          <w:sz w:val="24"/>
        </w:rPr>
        <w:t>采购代理机构将拒绝并原封退回在投标截止</w:t>
      </w:r>
      <w:r>
        <w:rPr>
          <w:rFonts w:hint="eastAsia" w:ascii="宋体" w:hAnsi="宋体"/>
          <w:sz w:val="24"/>
        </w:rPr>
        <w:t>时间</w:t>
      </w:r>
      <w:r>
        <w:rPr>
          <w:rFonts w:ascii="宋体" w:hAnsi="宋体"/>
          <w:sz w:val="24"/>
        </w:rPr>
        <w:t>后收到的任何投标文件。</w:t>
      </w:r>
    </w:p>
    <w:p w14:paraId="7CCC985B">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17</w:t>
      </w:r>
      <w:r>
        <w:rPr>
          <w:rFonts w:hint="eastAsia" w:ascii="宋体" w:hAnsi="宋体"/>
          <w:sz w:val="24"/>
        </w:rPr>
        <w:tab/>
      </w:r>
      <w:r>
        <w:rPr>
          <w:rFonts w:hint="eastAsia" w:ascii="宋体" w:hAnsi="宋体"/>
          <w:sz w:val="24"/>
        </w:rPr>
        <w:t>投标文件的修改、补充与撤回</w:t>
      </w:r>
    </w:p>
    <w:p w14:paraId="4FFDE2FA">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17.1</w:t>
      </w:r>
      <w:r>
        <w:rPr>
          <w:sz w:val="24"/>
          <w:highlight w:val="lightGray"/>
        </w:rPr>
        <w:tab/>
      </w:r>
      <w:r>
        <w:rPr>
          <w:rFonts w:hint="eastAsia" w:ascii="宋体" w:hAnsi="宋体"/>
          <w:sz w:val="24"/>
        </w:rPr>
        <w:t>投标人在提交投标文件后，可在投标截止时间前对其投标文件进行修改、补充或撤回，但必须有修改、补充或撤回的书面通知并由法定代表人或正式授权的投标人代表签字并加盖公章。</w:t>
      </w:r>
    </w:p>
    <w:p w14:paraId="59F97DD7">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17.2</w:t>
      </w:r>
      <w:r>
        <w:rPr>
          <w:sz w:val="24"/>
          <w:highlight w:val="lightGray"/>
        </w:rPr>
        <w:tab/>
      </w:r>
      <w:r>
        <w:rPr>
          <w:rFonts w:hint="eastAsia" w:ascii="宋体" w:hAnsi="宋体"/>
          <w:sz w:val="24"/>
        </w:rPr>
        <w:t>投标人对投标文件的补充或修改通知应按本章14和1</w:t>
      </w:r>
      <w:r>
        <w:rPr>
          <w:rFonts w:ascii="宋体" w:hAnsi="宋体"/>
          <w:sz w:val="24"/>
        </w:rPr>
        <w:t>5</w:t>
      </w:r>
      <w:r>
        <w:rPr>
          <w:rFonts w:hint="eastAsia" w:ascii="宋体" w:hAnsi="宋体"/>
          <w:sz w:val="24"/>
        </w:rPr>
        <w:t>条进行签署、盖章、密封和标记（注明项目名称、招标编号、“补充或修改通知”等）。</w:t>
      </w:r>
    </w:p>
    <w:p w14:paraId="535D85F5">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17.3</w:t>
      </w:r>
      <w:r>
        <w:rPr>
          <w:sz w:val="24"/>
          <w:highlight w:val="lightGray"/>
        </w:rPr>
        <w:tab/>
      </w:r>
      <w:r>
        <w:rPr>
          <w:rFonts w:hint="eastAsia" w:ascii="宋体" w:hAnsi="宋体"/>
          <w:sz w:val="24"/>
        </w:rPr>
        <w:t>在投标截止时间之后，</w:t>
      </w:r>
      <w:r>
        <w:rPr>
          <w:rFonts w:ascii="宋体" w:hAnsi="宋体"/>
          <w:sz w:val="24"/>
        </w:rPr>
        <w:t>投标人不得对其投标</w:t>
      </w:r>
      <w:r>
        <w:rPr>
          <w:rFonts w:hint="eastAsia" w:ascii="宋体" w:hAnsi="宋体"/>
          <w:sz w:val="24"/>
        </w:rPr>
        <w:t>文件</w:t>
      </w:r>
      <w:r>
        <w:rPr>
          <w:rFonts w:ascii="宋体" w:hAnsi="宋体"/>
          <w:sz w:val="24"/>
        </w:rPr>
        <w:t>做任何</w:t>
      </w:r>
      <w:r>
        <w:rPr>
          <w:rFonts w:hint="eastAsia" w:ascii="宋体" w:hAnsi="宋体"/>
          <w:sz w:val="24"/>
        </w:rPr>
        <w:t>补充、</w:t>
      </w:r>
      <w:r>
        <w:rPr>
          <w:rFonts w:ascii="宋体" w:hAnsi="宋体"/>
          <w:sz w:val="24"/>
        </w:rPr>
        <w:t>修改</w:t>
      </w:r>
      <w:r>
        <w:rPr>
          <w:rFonts w:hint="eastAsia" w:ascii="宋体" w:hAnsi="宋体"/>
          <w:sz w:val="24"/>
        </w:rPr>
        <w:t>（评标委员会要求的澄清除外）。</w:t>
      </w:r>
    </w:p>
    <w:p w14:paraId="45E8F493">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17.4</w:t>
      </w:r>
      <w:r>
        <w:rPr>
          <w:sz w:val="24"/>
          <w:highlight w:val="lightGray"/>
        </w:rPr>
        <w:tab/>
      </w:r>
      <w:r>
        <w:rPr>
          <w:rFonts w:hint="eastAsia" w:ascii="宋体" w:hAnsi="宋体"/>
          <w:sz w:val="24"/>
        </w:rPr>
        <w:t>在投标截止时间后、投标有效期内，投标人不得撤销其投标文件（包括全部投标资料），否则其投标保证金将不予退回。</w:t>
      </w:r>
    </w:p>
    <w:p w14:paraId="14FB8CD0">
      <w:pPr>
        <w:pStyle w:val="3"/>
        <w:spacing w:before="0" w:line="360" w:lineRule="auto"/>
        <w:rPr>
          <w:rFonts w:hint="eastAsia" w:ascii="宋体" w:hAnsi="宋体" w:eastAsia="宋体"/>
          <w:sz w:val="28"/>
        </w:rPr>
      </w:pPr>
      <w:bookmarkStart w:id="460" w:name="_Toc151193852"/>
      <w:bookmarkStart w:id="461" w:name="_Toc226965811"/>
      <w:bookmarkStart w:id="462" w:name="_Toc150509289"/>
      <w:bookmarkStart w:id="463" w:name="_Toc226309782"/>
      <w:bookmarkStart w:id="464" w:name="_Toc226965728"/>
      <w:bookmarkStart w:id="465" w:name="_Toc226337234"/>
      <w:bookmarkStart w:id="466" w:name="_Toc151193708"/>
      <w:bookmarkStart w:id="467" w:name="_Toc151193636"/>
      <w:bookmarkStart w:id="468" w:name="_Toc151190165"/>
      <w:bookmarkStart w:id="469" w:name="_Toc127151538"/>
      <w:bookmarkStart w:id="470" w:name="_Toc142311040"/>
      <w:bookmarkStart w:id="471" w:name="_Toc305158880"/>
      <w:bookmarkStart w:id="472" w:name="_Toc195842903"/>
      <w:bookmarkStart w:id="473" w:name="_Toc265228376"/>
      <w:bookmarkStart w:id="474" w:name="_Toc264969228"/>
      <w:bookmarkStart w:id="475" w:name="_Toc151193926"/>
      <w:bookmarkStart w:id="476" w:name="_Toc150774638"/>
      <w:bookmarkStart w:id="477" w:name="_Toc150480776"/>
      <w:bookmarkStart w:id="478" w:name="_Toc151193780"/>
      <w:bookmarkStart w:id="479" w:name="_Toc150774743"/>
      <w:bookmarkStart w:id="480" w:name="_Toc305158806"/>
      <w:bookmarkStart w:id="481" w:name="_Toc520356163"/>
      <w:r>
        <w:rPr>
          <w:rFonts w:ascii="宋体" w:hAnsi="宋体" w:eastAsia="宋体"/>
          <w:sz w:val="28"/>
        </w:rPr>
        <w:t>五  开标、资格审查及评标</w:t>
      </w:r>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p>
    <w:p w14:paraId="1155C023">
      <w:pPr>
        <w:tabs>
          <w:tab w:val="left" w:pos="360"/>
        </w:tabs>
        <w:snapToGrid w:val="0"/>
        <w:spacing w:line="360" w:lineRule="auto"/>
        <w:ind w:left="357" w:hanging="357"/>
        <w:outlineLvl w:val="1"/>
        <w:rPr>
          <w:rFonts w:hint="eastAsia" w:ascii="宋体" w:hAnsi="宋体"/>
          <w:sz w:val="24"/>
        </w:rPr>
      </w:pPr>
      <w:bookmarkStart w:id="482" w:name="_Toc265228377"/>
      <w:bookmarkStart w:id="483" w:name="_Toc305158881"/>
      <w:bookmarkStart w:id="484" w:name="_Toc151193781"/>
      <w:bookmarkStart w:id="485" w:name="_Toc226965729"/>
      <w:bookmarkStart w:id="486" w:name="_Toc127151539"/>
      <w:bookmarkStart w:id="487" w:name="_Toc226337235"/>
      <w:bookmarkStart w:id="488" w:name="_Toc164351633"/>
      <w:bookmarkStart w:id="489" w:name="_Toc151190166"/>
      <w:bookmarkStart w:id="490" w:name="_Toc150480777"/>
      <w:bookmarkStart w:id="491" w:name="_Toc164608653"/>
      <w:bookmarkStart w:id="492" w:name="_Toc520356164"/>
      <w:bookmarkStart w:id="493" w:name="_Toc127161453"/>
      <w:bookmarkStart w:id="494" w:name="_Toc150774639"/>
      <w:bookmarkStart w:id="495" w:name="_Toc164229234"/>
      <w:bookmarkStart w:id="496" w:name="_Toc151193927"/>
      <w:bookmarkStart w:id="497" w:name="_Toc149720832"/>
      <w:bookmarkStart w:id="498" w:name="_Toc264969229"/>
      <w:bookmarkStart w:id="499" w:name="_Toc151193637"/>
      <w:bookmarkStart w:id="500" w:name="_Toc164608808"/>
      <w:bookmarkStart w:id="501" w:name="_Toc150774744"/>
      <w:bookmarkStart w:id="502" w:name="_Toc150509290"/>
      <w:bookmarkStart w:id="503" w:name="_Toc142311041"/>
      <w:bookmarkStart w:id="504" w:name="_Toc226965812"/>
      <w:bookmarkStart w:id="505" w:name="_Toc151193853"/>
      <w:bookmarkStart w:id="506" w:name="_Toc164229380"/>
      <w:bookmarkStart w:id="507" w:name="_Toc127151740"/>
      <w:bookmarkStart w:id="508" w:name="_Toc195842904"/>
      <w:bookmarkStart w:id="509" w:name="_Toc151193709"/>
      <w:bookmarkStart w:id="510" w:name="_Toc226309783"/>
      <w:bookmarkStart w:id="511" w:name="_Toc305158807"/>
      <w:r>
        <w:rPr>
          <w:rFonts w:hint="eastAsia" w:ascii="宋体" w:hAnsi="宋体"/>
          <w:sz w:val="24"/>
        </w:rPr>
        <w:t>18</w:t>
      </w:r>
      <w:r>
        <w:rPr>
          <w:rFonts w:hint="eastAsia" w:ascii="宋体" w:hAnsi="宋体"/>
          <w:sz w:val="24"/>
        </w:rPr>
        <w:tab/>
      </w:r>
      <w:r>
        <w:rPr>
          <w:rFonts w:ascii="宋体" w:hAnsi="宋体"/>
          <w:sz w:val="24"/>
        </w:rPr>
        <w:t>开标</w:t>
      </w:r>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14:paraId="21B8B783">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18.1</w:t>
      </w:r>
      <w:r>
        <w:rPr>
          <w:sz w:val="24"/>
          <w:highlight w:val="lightGray"/>
        </w:rPr>
        <w:tab/>
      </w:r>
      <w:r>
        <w:rPr>
          <w:rFonts w:hint="eastAsia" w:ascii="宋体" w:hAnsi="宋体"/>
          <w:sz w:val="24"/>
        </w:rPr>
        <w:t>招标采购单位应当按招标文件的规定，在投标截止时间的同一时间和预先确定的地点组织公开开标。投标人应派授权代表参加，参加开标的代表应签名报到以证明其出席。投标人因故不能派代表出席开标活动，事先应书面（信函、传真）通知采购代理机构，并承诺认可开标结果，否则视同认可开标结果。</w:t>
      </w:r>
    </w:p>
    <w:p w14:paraId="4664EA4A">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18.2</w:t>
      </w:r>
      <w:r>
        <w:rPr>
          <w:sz w:val="24"/>
          <w:highlight w:val="lightGray"/>
        </w:rPr>
        <w:tab/>
      </w:r>
      <w:r>
        <w:rPr>
          <w:rFonts w:hint="eastAsia" w:ascii="宋体" w:hAnsi="宋体"/>
          <w:sz w:val="24"/>
        </w:rPr>
        <w:t>开标时，由投标人或其推选的代表检查投标文件的密封情况，经确认无误后，由采购代理机构当众宣读投标人名称、投标价格、书面修改和撤回投标的通知、是否提交投标保证金等。对于投标人在投标截止期前递交的投标声明，在开标时当众宣读，评标时有效。投标人不足3家的，不得开标。</w:t>
      </w:r>
    </w:p>
    <w:p w14:paraId="287D0096">
      <w:pPr>
        <w:tabs>
          <w:tab w:val="left" w:pos="1080"/>
          <w:tab w:val="left" w:pos="1589"/>
          <w:tab w:val="left" w:pos="2014"/>
        </w:tabs>
        <w:snapToGrid w:val="0"/>
        <w:spacing w:line="360" w:lineRule="auto"/>
        <w:ind w:left="1077" w:hanging="720"/>
        <w:rPr>
          <w:rFonts w:hint="eastAsia" w:ascii="宋体" w:hAnsi="宋体"/>
          <w:sz w:val="24"/>
        </w:rPr>
      </w:pPr>
      <w:bookmarkStart w:id="512" w:name="_Toc520356165"/>
      <w:r>
        <w:rPr>
          <w:sz w:val="24"/>
          <w:highlight w:val="lightGray"/>
        </w:rPr>
        <w:t>18.3</w:t>
      </w:r>
      <w:r>
        <w:rPr>
          <w:sz w:val="24"/>
          <w:highlight w:val="lightGray"/>
        </w:rPr>
        <w:tab/>
      </w:r>
      <w:r>
        <w:rPr>
          <w:rFonts w:hint="eastAsia" w:ascii="宋体" w:hAnsi="宋体"/>
          <w:sz w:val="24"/>
        </w:rPr>
        <w:t>采购代理机构将对唱标内容做开标记录，由投标人代表和相关工作人员签字确认。</w:t>
      </w:r>
    </w:p>
    <w:p w14:paraId="5E8C3CF4">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18.4</w:t>
      </w:r>
      <w:r>
        <w:rPr>
          <w:sz w:val="24"/>
          <w:highlight w:val="lightGray"/>
        </w:rPr>
        <w:tab/>
      </w:r>
      <w:r>
        <w:rPr>
          <w:rFonts w:hint="eastAsia"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p>
    <w:p w14:paraId="450B3AE7">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18.5</w:t>
      </w:r>
      <w:r>
        <w:rPr>
          <w:sz w:val="24"/>
          <w:highlight w:val="lightGray"/>
        </w:rPr>
        <w:tab/>
      </w:r>
      <w:r>
        <w:rPr>
          <w:rFonts w:hint="eastAsia" w:ascii="宋体" w:hAnsi="宋体"/>
          <w:sz w:val="24"/>
        </w:rPr>
        <w:t>合格投标人不足3家的，不得评标。</w:t>
      </w:r>
    </w:p>
    <w:p w14:paraId="5ADF76B9">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19</w:t>
      </w:r>
      <w:r>
        <w:rPr>
          <w:rFonts w:hint="eastAsia" w:ascii="宋体" w:hAnsi="宋体"/>
          <w:sz w:val="24"/>
        </w:rPr>
        <w:tab/>
      </w:r>
      <w:r>
        <w:rPr>
          <w:rFonts w:ascii="宋体" w:hAnsi="宋体"/>
          <w:sz w:val="24"/>
        </w:rPr>
        <w:t>资格审查</w:t>
      </w:r>
    </w:p>
    <w:p w14:paraId="49DA89FF">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19.1</w:t>
      </w:r>
      <w:r>
        <w:rPr>
          <w:sz w:val="24"/>
          <w:highlight w:val="lightGray"/>
        </w:rPr>
        <w:tab/>
      </w:r>
      <w:r>
        <w:rPr>
          <w:rFonts w:ascii="宋体" w:hAnsi="宋体"/>
          <w:sz w:val="24"/>
        </w:rPr>
        <w:t>见第三章《资格审查》。</w:t>
      </w:r>
    </w:p>
    <w:bookmarkEnd w:id="512"/>
    <w:p w14:paraId="5FECDFF7">
      <w:pPr>
        <w:tabs>
          <w:tab w:val="left" w:pos="360"/>
        </w:tabs>
        <w:snapToGrid w:val="0"/>
        <w:spacing w:line="360" w:lineRule="auto"/>
        <w:ind w:left="357" w:hanging="357"/>
        <w:outlineLvl w:val="1"/>
        <w:rPr>
          <w:rFonts w:hint="eastAsia" w:ascii="宋体" w:hAnsi="宋体"/>
          <w:sz w:val="24"/>
        </w:rPr>
      </w:pPr>
      <w:bookmarkStart w:id="513" w:name="_Toc151193854"/>
      <w:bookmarkStart w:id="514" w:name="_Toc265228378"/>
      <w:bookmarkStart w:id="515" w:name="_Toc164229381"/>
      <w:bookmarkStart w:id="516" w:name="_Toc150509291"/>
      <w:bookmarkStart w:id="517" w:name="_Toc149720833"/>
      <w:bookmarkStart w:id="518" w:name="_Toc150774640"/>
      <w:bookmarkStart w:id="519" w:name="_Toc164608654"/>
      <w:bookmarkStart w:id="520" w:name="_Toc150774745"/>
      <w:bookmarkStart w:id="521" w:name="_Toc164608809"/>
      <w:bookmarkStart w:id="522" w:name="_Toc226965813"/>
      <w:bookmarkStart w:id="523" w:name="_Toc195842905"/>
      <w:bookmarkStart w:id="524" w:name="_Toc151193710"/>
      <w:bookmarkStart w:id="525" w:name="_Toc127151540"/>
      <w:bookmarkStart w:id="526" w:name="_Toc127161454"/>
      <w:bookmarkStart w:id="527" w:name="_Toc150480778"/>
      <w:bookmarkStart w:id="528" w:name="_Toc164351634"/>
      <w:bookmarkStart w:id="529" w:name="_Toc142311042"/>
      <w:bookmarkStart w:id="530" w:name="_Toc151193638"/>
      <w:bookmarkStart w:id="531" w:name="_Toc151193928"/>
      <w:bookmarkStart w:id="532" w:name="_Toc305158882"/>
      <w:bookmarkStart w:id="533" w:name="_Toc226309784"/>
      <w:bookmarkStart w:id="534" w:name="_Toc226965730"/>
      <w:bookmarkStart w:id="535" w:name="_Toc151193782"/>
      <w:bookmarkStart w:id="536" w:name="_Toc305158808"/>
      <w:bookmarkStart w:id="537" w:name="_Toc151190167"/>
      <w:bookmarkStart w:id="538" w:name="_Toc264969230"/>
      <w:bookmarkStart w:id="539" w:name="_Toc164229235"/>
      <w:bookmarkStart w:id="540" w:name="_Toc226337236"/>
      <w:bookmarkStart w:id="541" w:name="_Toc127151741"/>
      <w:r>
        <w:rPr>
          <w:rFonts w:hint="eastAsia" w:ascii="宋体" w:hAnsi="宋体"/>
          <w:sz w:val="24"/>
        </w:rPr>
        <w:t>20</w:t>
      </w:r>
      <w:r>
        <w:rPr>
          <w:rFonts w:hint="eastAsia" w:ascii="宋体" w:hAnsi="宋体"/>
          <w:sz w:val="24"/>
        </w:rPr>
        <w:tab/>
      </w:r>
      <w:r>
        <w:rPr>
          <w:rFonts w:ascii="宋体" w:hAnsi="宋体"/>
          <w:sz w:val="24"/>
        </w:rPr>
        <w:t>评标委员会</w:t>
      </w:r>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p>
    <w:p w14:paraId="1D58E8E4">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20.1</w:t>
      </w:r>
      <w:r>
        <w:rPr>
          <w:sz w:val="24"/>
          <w:highlight w:val="lightGray"/>
        </w:rPr>
        <w:tab/>
      </w:r>
      <w:r>
        <w:rPr>
          <w:rFonts w:ascii="宋体" w:hAnsi="宋体"/>
          <w:sz w:val="24"/>
        </w:rPr>
        <w:t>评标委员会根据政府采购有关规定和本次招标采购项目的特点进行组建，并负责具体评标事务，独立履行职责。</w:t>
      </w:r>
      <w:bookmarkStart w:id="542" w:name="_Toc520356166"/>
      <w:r>
        <w:rPr>
          <w:rFonts w:hint="eastAsia" w:ascii="宋体" w:hAnsi="宋体"/>
          <w:sz w:val="24"/>
        </w:rPr>
        <w:t>评标委员会由采购人代表和评审专家组成，成员人数应当为5人以上单数，其中评审专家不少于成员总数的三分之二。</w:t>
      </w:r>
    </w:p>
    <w:p w14:paraId="76EB245A">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20.2</w:t>
      </w:r>
      <w:r>
        <w:rPr>
          <w:sz w:val="24"/>
          <w:highlight w:val="lightGray"/>
        </w:rPr>
        <w:tab/>
      </w:r>
      <w:r>
        <w:rPr>
          <w:rFonts w:ascii="宋体" w:hAnsi="宋体"/>
          <w:sz w:val="24"/>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542"/>
      <w:bookmarkStart w:id="543" w:name="_Toc520356169"/>
    </w:p>
    <w:p w14:paraId="35DE935F">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21</w:t>
      </w:r>
      <w:r>
        <w:rPr>
          <w:rFonts w:hint="eastAsia" w:ascii="宋体" w:hAnsi="宋体"/>
          <w:sz w:val="24"/>
        </w:rPr>
        <w:tab/>
      </w:r>
      <w:r>
        <w:rPr>
          <w:rFonts w:ascii="宋体" w:hAnsi="宋体"/>
          <w:sz w:val="24"/>
        </w:rPr>
        <w:t>评标程序、评标方法和评标标准</w:t>
      </w:r>
    </w:p>
    <w:p w14:paraId="36C874F6">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21.1</w:t>
      </w:r>
      <w:r>
        <w:rPr>
          <w:sz w:val="24"/>
          <w:highlight w:val="lightGray"/>
        </w:rPr>
        <w:tab/>
      </w:r>
      <w:r>
        <w:rPr>
          <w:rFonts w:ascii="宋体" w:hAnsi="宋体"/>
          <w:sz w:val="24"/>
        </w:rPr>
        <w:t>见第四章《评标程序、评标方法和评标标准》。</w:t>
      </w:r>
    </w:p>
    <w:p w14:paraId="433BC5DA">
      <w:pPr>
        <w:pStyle w:val="3"/>
        <w:spacing w:before="0" w:line="360" w:lineRule="auto"/>
        <w:rPr>
          <w:rFonts w:hint="eastAsia" w:ascii="宋体" w:hAnsi="宋体" w:eastAsia="宋体"/>
          <w:sz w:val="28"/>
        </w:rPr>
      </w:pPr>
      <w:bookmarkStart w:id="544" w:name="_Toc195842910"/>
      <w:bookmarkStart w:id="545" w:name="_Toc151193715"/>
      <w:bookmarkStart w:id="546" w:name="_Toc151193643"/>
      <w:bookmarkStart w:id="547" w:name="_Toc151193933"/>
      <w:bookmarkStart w:id="548" w:name="_Toc151193859"/>
      <w:bookmarkStart w:id="549" w:name="_Toc142311047"/>
      <w:bookmarkStart w:id="550" w:name="_Toc226337241"/>
      <w:bookmarkStart w:id="551" w:name="_Toc150774750"/>
      <w:bookmarkStart w:id="552" w:name="_Toc226965818"/>
      <w:bookmarkStart w:id="553" w:name="_Toc264969235"/>
      <w:bookmarkStart w:id="554" w:name="_Toc150509296"/>
      <w:bookmarkStart w:id="555" w:name="_Toc150774645"/>
      <w:bookmarkStart w:id="556" w:name="_Toc305158887"/>
      <w:bookmarkStart w:id="557" w:name="_Toc150480783"/>
      <w:bookmarkStart w:id="558" w:name="_Toc305158813"/>
      <w:bookmarkStart w:id="559" w:name="_Toc151193787"/>
      <w:bookmarkStart w:id="560" w:name="_Toc265228383"/>
      <w:bookmarkStart w:id="561" w:name="_Toc226965735"/>
      <w:bookmarkStart w:id="562" w:name="_Toc127151545"/>
      <w:bookmarkStart w:id="563" w:name="_Toc151190172"/>
      <w:bookmarkStart w:id="564" w:name="_Toc226309789"/>
      <w:r>
        <w:rPr>
          <w:rFonts w:ascii="宋体" w:hAnsi="宋体" w:eastAsia="宋体"/>
          <w:sz w:val="28"/>
        </w:rPr>
        <w:t xml:space="preserve">六  </w:t>
      </w:r>
      <w:bookmarkEnd w:id="543"/>
      <w:r>
        <w:rPr>
          <w:rFonts w:ascii="宋体" w:hAnsi="宋体" w:eastAsia="宋体"/>
          <w:sz w:val="28"/>
        </w:rPr>
        <w:t>确定中标</w:t>
      </w:r>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Start w:id="565" w:name="_Toc149720840"/>
      <w:bookmarkStart w:id="566" w:name="_Toc164351641"/>
      <w:bookmarkStart w:id="567" w:name="_Toc151193717"/>
      <w:bookmarkStart w:id="568" w:name="_Toc164229388"/>
      <w:bookmarkStart w:id="569" w:name="_Toc226965820"/>
      <w:bookmarkStart w:id="570" w:name="_Toc142311049"/>
      <w:bookmarkStart w:id="571" w:name="_Toc226309791"/>
      <w:bookmarkStart w:id="572" w:name="_Toc150509298"/>
      <w:bookmarkStart w:id="573" w:name="_Toc264969237"/>
      <w:bookmarkStart w:id="574" w:name="_Toc305158889"/>
      <w:bookmarkStart w:id="575" w:name="_Toc151193935"/>
      <w:bookmarkStart w:id="576" w:name="_Toc150774647"/>
      <w:bookmarkStart w:id="577" w:name="_Toc150480785"/>
      <w:bookmarkStart w:id="578" w:name="_Toc265228385"/>
      <w:bookmarkStart w:id="579" w:name="_Toc164229242"/>
      <w:bookmarkStart w:id="580" w:name="_Toc195842912"/>
      <w:bookmarkStart w:id="581" w:name="_Toc164608661"/>
      <w:bookmarkStart w:id="582" w:name="_Toc151193789"/>
      <w:bookmarkStart w:id="583" w:name="_Toc127151748"/>
      <w:bookmarkStart w:id="584" w:name="_Toc226337243"/>
      <w:bookmarkStart w:id="585" w:name="_Toc226965737"/>
      <w:bookmarkStart w:id="586" w:name="_Toc305158815"/>
      <w:bookmarkStart w:id="587" w:name="_Toc150774752"/>
      <w:bookmarkStart w:id="588" w:name="_Toc151190174"/>
      <w:bookmarkStart w:id="589" w:name="_Toc127161461"/>
      <w:bookmarkStart w:id="590" w:name="_Toc127151547"/>
      <w:bookmarkStart w:id="591" w:name="_Toc164608816"/>
      <w:bookmarkStart w:id="592" w:name="_Toc151193861"/>
      <w:bookmarkStart w:id="593" w:name="_Toc151193645"/>
    </w:p>
    <w:p w14:paraId="672216C8">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22</w:t>
      </w:r>
      <w:r>
        <w:rPr>
          <w:rFonts w:hint="eastAsia" w:ascii="宋体" w:hAnsi="宋体"/>
          <w:sz w:val="24"/>
        </w:rPr>
        <w:tab/>
      </w:r>
      <w:r>
        <w:rPr>
          <w:rFonts w:ascii="宋体" w:hAnsi="宋体"/>
          <w:sz w:val="24"/>
        </w:rPr>
        <w:t>确定中标人</w:t>
      </w:r>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p>
    <w:p w14:paraId="21D0E7A6">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22.1</w:t>
      </w:r>
      <w:r>
        <w:rPr>
          <w:sz w:val="24"/>
          <w:highlight w:val="lightGray"/>
        </w:rPr>
        <w:tab/>
      </w:r>
      <w:r>
        <w:rPr>
          <w:rFonts w:ascii="宋体" w:hAnsi="宋体"/>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ascii="宋体" w:hAnsi="宋体"/>
          <w:sz w:val="24"/>
        </w:rPr>
        <w:t>。</w:t>
      </w:r>
      <w:r>
        <w:rPr>
          <w:rFonts w:ascii="宋体" w:hAnsi="宋体"/>
          <w:sz w:val="24"/>
        </w:rPr>
        <w:t>采购人是否委托评标委员会直接确定</w:t>
      </w:r>
      <w:r>
        <w:rPr>
          <w:rFonts w:hint="eastAsia" w:ascii="宋体" w:hAnsi="宋体"/>
          <w:sz w:val="24"/>
        </w:rPr>
        <w:t>中标人</w:t>
      </w:r>
      <w:r>
        <w:rPr>
          <w:rFonts w:ascii="宋体" w:hAnsi="宋体"/>
          <w:sz w:val="24"/>
        </w:rPr>
        <w:t>，见《</w:t>
      </w:r>
      <w:r>
        <w:rPr>
          <w:rFonts w:hint="eastAsia" w:ascii="宋体" w:hAnsi="宋体"/>
          <w:sz w:val="24"/>
        </w:rPr>
        <w:t>投标人</w:t>
      </w:r>
      <w:r>
        <w:rPr>
          <w:rFonts w:ascii="宋体" w:hAnsi="宋体"/>
          <w:sz w:val="24"/>
        </w:rPr>
        <w:t>须知资料表》。</w:t>
      </w:r>
      <w:r>
        <w:rPr>
          <w:rFonts w:hint="eastAsia" w:ascii="宋体" w:hAnsi="宋体"/>
          <w:sz w:val="24"/>
        </w:rPr>
        <w:t>中标</w:t>
      </w:r>
      <w:r>
        <w:rPr>
          <w:rFonts w:ascii="宋体" w:hAnsi="宋体"/>
          <w:sz w:val="24"/>
        </w:rPr>
        <w:t>候选人并列的，按照《</w:t>
      </w:r>
      <w:r>
        <w:rPr>
          <w:rFonts w:hint="eastAsia" w:ascii="宋体" w:hAnsi="宋体"/>
          <w:sz w:val="24"/>
        </w:rPr>
        <w:t>投标人</w:t>
      </w:r>
      <w:r>
        <w:rPr>
          <w:rFonts w:ascii="宋体" w:hAnsi="宋体"/>
          <w:sz w:val="24"/>
        </w:rPr>
        <w:t>须知资料表》要求确定</w:t>
      </w:r>
      <w:r>
        <w:rPr>
          <w:rFonts w:hint="eastAsia" w:ascii="宋体" w:hAnsi="宋体"/>
          <w:sz w:val="24"/>
        </w:rPr>
        <w:t>中标人</w:t>
      </w:r>
      <w:r>
        <w:rPr>
          <w:rFonts w:ascii="宋体" w:hAnsi="宋体"/>
          <w:sz w:val="24"/>
        </w:rPr>
        <w:t>。</w:t>
      </w:r>
    </w:p>
    <w:p w14:paraId="6653A1D8">
      <w:pPr>
        <w:tabs>
          <w:tab w:val="left" w:pos="360"/>
        </w:tabs>
        <w:snapToGrid w:val="0"/>
        <w:spacing w:line="360" w:lineRule="auto"/>
        <w:ind w:left="357" w:hanging="357"/>
        <w:outlineLvl w:val="1"/>
        <w:rPr>
          <w:rFonts w:hint="eastAsia" w:ascii="宋体" w:hAnsi="宋体"/>
          <w:sz w:val="24"/>
        </w:rPr>
      </w:pPr>
      <w:bookmarkStart w:id="594" w:name="_Toc305158817"/>
      <w:bookmarkStart w:id="595" w:name="_Toc305158891"/>
      <w:bookmarkStart w:id="596" w:name="_Toc264969239"/>
      <w:bookmarkStart w:id="597" w:name="_Toc226309793"/>
      <w:bookmarkStart w:id="598" w:name="_Toc226337245"/>
      <w:bookmarkStart w:id="599" w:name="_Toc164229244"/>
      <w:bookmarkStart w:id="600" w:name="_Toc226965739"/>
      <w:bookmarkStart w:id="601" w:name="_Toc164229390"/>
      <w:bookmarkStart w:id="602" w:name="_Toc150774754"/>
      <w:bookmarkStart w:id="603" w:name="_Toc150774649"/>
      <w:bookmarkStart w:id="604" w:name="_Toc151190176"/>
      <w:bookmarkStart w:id="605" w:name="_Toc164608818"/>
      <w:bookmarkStart w:id="606" w:name="_Toc151193719"/>
      <w:bookmarkStart w:id="607" w:name="_Toc149720842"/>
      <w:bookmarkStart w:id="608" w:name="_Toc151193863"/>
      <w:bookmarkStart w:id="609" w:name="_Toc127151549"/>
      <w:bookmarkStart w:id="610" w:name="_Toc142311051"/>
      <w:bookmarkStart w:id="611" w:name="_Toc151193937"/>
      <w:bookmarkStart w:id="612" w:name="_Toc151193791"/>
      <w:bookmarkStart w:id="613" w:name="_Toc150509300"/>
      <w:bookmarkStart w:id="614" w:name="_Toc127161463"/>
      <w:bookmarkStart w:id="615" w:name="_Toc265228387"/>
      <w:bookmarkStart w:id="616" w:name="_Toc195842914"/>
      <w:bookmarkStart w:id="617" w:name="_Toc164351643"/>
      <w:bookmarkStart w:id="618" w:name="_Toc164608663"/>
      <w:bookmarkStart w:id="619" w:name="_Toc150480787"/>
      <w:bookmarkStart w:id="620" w:name="_Toc226965822"/>
      <w:bookmarkStart w:id="621" w:name="_Toc127151750"/>
      <w:bookmarkStart w:id="622" w:name="_Toc151193647"/>
      <w:bookmarkStart w:id="623" w:name="_Ref467307090"/>
      <w:bookmarkStart w:id="624" w:name="_Toc520356176"/>
      <w:bookmarkStart w:id="625" w:name="_Ref467306425"/>
      <w:r>
        <w:rPr>
          <w:rFonts w:hint="eastAsia" w:ascii="宋体" w:hAnsi="宋体"/>
          <w:sz w:val="24"/>
        </w:rPr>
        <w:t>23</w:t>
      </w:r>
      <w:r>
        <w:rPr>
          <w:rFonts w:hint="eastAsia" w:ascii="宋体" w:hAnsi="宋体"/>
          <w:sz w:val="24"/>
        </w:rPr>
        <w:tab/>
      </w:r>
      <w:r>
        <w:rPr>
          <w:rFonts w:ascii="宋体" w:hAnsi="宋体"/>
          <w:sz w:val="24"/>
        </w:rPr>
        <w:t>中标公告与中标通知书</w:t>
      </w:r>
      <w:bookmarkEnd w:id="594"/>
      <w:bookmarkEnd w:id="595"/>
    </w:p>
    <w:p w14:paraId="3174D3CE">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23.1</w:t>
      </w:r>
      <w:r>
        <w:rPr>
          <w:sz w:val="24"/>
          <w:highlight w:val="lightGray"/>
        </w:rPr>
        <w:tab/>
      </w:r>
      <w:r>
        <w:rPr>
          <w:rFonts w:ascii="宋体" w:hAnsi="宋体"/>
          <w:sz w:val="24"/>
        </w:rPr>
        <w:t>采购人或采购代理机构自中标人确定之日起2个工作日内，</w:t>
      </w:r>
      <w:r>
        <w:rPr>
          <w:rFonts w:ascii="宋体" w:hAnsi="宋体"/>
          <w:color w:val="000000"/>
          <w:kern w:val="0"/>
          <w:sz w:val="24"/>
        </w:rPr>
        <w:t>在</w:t>
      </w:r>
      <w:r>
        <w:rPr>
          <w:rFonts w:ascii="宋体" w:hAnsi="宋体"/>
          <w:sz w:val="24"/>
        </w:rPr>
        <w:t>财政部门指定的政府采购信息发布媒体</w:t>
      </w:r>
      <w:r>
        <w:rPr>
          <w:rFonts w:ascii="宋体" w:hAnsi="宋体"/>
          <w:color w:val="000000"/>
          <w:kern w:val="0"/>
          <w:sz w:val="24"/>
        </w:rPr>
        <w:t>公告中标结果</w:t>
      </w:r>
      <w:r>
        <w:rPr>
          <w:rFonts w:ascii="宋体" w:hAnsi="宋体"/>
          <w:sz w:val="24"/>
        </w:rPr>
        <w:t>，</w:t>
      </w:r>
      <w:r>
        <w:rPr>
          <w:rFonts w:hint="eastAsia" w:ascii="宋体" w:hAnsi="宋体"/>
          <w:sz w:val="24"/>
        </w:rPr>
        <w:t>同时向中标人发出中标通知书，向未中标的投标人发出落标通知书，</w:t>
      </w:r>
      <w:r>
        <w:rPr>
          <w:rFonts w:ascii="宋体" w:hAnsi="宋体"/>
          <w:sz w:val="24"/>
        </w:rPr>
        <w:t>中标公告期限为1个工作日。</w:t>
      </w:r>
    </w:p>
    <w:p w14:paraId="69EE54BC">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23.2</w:t>
      </w:r>
      <w:r>
        <w:rPr>
          <w:sz w:val="24"/>
          <w:highlight w:val="lightGray"/>
        </w:rPr>
        <w:tab/>
      </w:r>
      <w:r>
        <w:rPr>
          <w:rFonts w:ascii="宋体" w:hAnsi="宋体"/>
          <w:sz w:val="24"/>
        </w:rPr>
        <w:t>中标通知书对采购人和中标供应商均具有法律效力。中标通知书发出后，采购人改变中标结果的，或者中标供应商放弃中标项目的，应当依法承担法律责任。</w:t>
      </w:r>
    </w:p>
    <w:p w14:paraId="77359466">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24</w:t>
      </w:r>
      <w:r>
        <w:rPr>
          <w:rFonts w:hint="eastAsia" w:ascii="宋体" w:hAnsi="宋体"/>
          <w:sz w:val="24"/>
        </w:rPr>
        <w:tab/>
      </w:r>
      <w:r>
        <w:rPr>
          <w:rFonts w:ascii="宋体" w:hAnsi="宋体"/>
          <w:sz w:val="24"/>
        </w:rPr>
        <w:t>废标</w:t>
      </w:r>
    </w:p>
    <w:p w14:paraId="5D8B00AB">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24.1</w:t>
      </w:r>
      <w:r>
        <w:rPr>
          <w:sz w:val="24"/>
          <w:highlight w:val="lightGray"/>
        </w:rPr>
        <w:tab/>
      </w:r>
      <w:r>
        <w:rPr>
          <w:rFonts w:ascii="宋体" w:hAnsi="宋体"/>
          <w:sz w:val="24"/>
        </w:rPr>
        <w:t>在招标采购中，出现下列情形之一的，应予废标：</w:t>
      </w:r>
    </w:p>
    <w:p w14:paraId="38A58473">
      <w:pPr>
        <w:tabs>
          <w:tab w:val="left" w:pos="1980"/>
        </w:tabs>
        <w:snapToGrid w:val="0"/>
        <w:spacing w:line="360" w:lineRule="auto"/>
        <w:ind w:left="1980" w:hanging="900"/>
        <w:rPr>
          <w:rFonts w:hint="eastAsia" w:ascii="宋体" w:hAnsi="宋体"/>
          <w:sz w:val="24"/>
        </w:rPr>
      </w:pPr>
      <w:r>
        <w:rPr>
          <w:rFonts w:hint="eastAsia" w:ascii="宋体" w:hAnsi="宋体"/>
          <w:sz w:val="24"/>
        </w:rPr>
        <w:t>24.1.1</w:t>
      </w:r>
      <w:r>
        <w:rPr>
          <w:rFonts w:hint="eastAsia" w:ascii="宋体" w:hAnsi="宋体"/>
          <w:sz w:val="24"/>
        </w:rPr>
        <w:tab/>
      </w:r>
      <w:r>
        <w:rPr>
          <w:rFonts w:ascii="宋体" w:hAnsi="宋体"/>
          <w:sz w:val="24"/>
        </w:rPr>
        <w:t>符合专业条件的供应商或者对招标文件作实质响应的供应商不足三家的；</w:t>
      </w:r>
    </w:p>
    <w:p w14:paraId="40D711EF">
      <w:pPr>
        <w:tabs>
          <w:tab w:val="left" w:pos="1980"/>
        </w:tabs>
        <w:snapToGrid w:val="0"/>
        <w:spacing w:line="360" w:lineRule="auto"/>
        <w:ind w:left="1980" w:hanging="900"/>
        <w:rPr>
          <w:rFonts w:hint="eastAsia" w:ascii="宋体" w:hAnsi="宋体"/>
          <w:sz w:val="24"/>
        </w:rPr>
      </w:pPr>
      <w:r>
        <w:rPr>
          <w:rFonts w:hint="eastAsia" w:ascii="宋体" w:hAnsi="宋体"/>
          <w:sz w:val="24"/>
        </w:rPr>
        <w:t>24.1.2</w:t>
      </w:r>
      <w:r>
        <w:rPr>
          <w:rFonts w:hint="eastAsia" w:ascii="宋体" w:hAnsi="宋体"/>
          <w:sz w:val="24"/>
        </w:rPr>
        <w:tab/>
      </w:r>
      <w:r>
        <w:rPr>
          <w:rFonts w:ascii="宋体" w:hAnsi="宋体"/>
          <w:sz w:val="24"/>
        </w:rPr>
        <w:t>出现影响采购公正的违法、违规行为的；</w:t>
      </w:r>
    </w:p>
    <w:p w14:paraId="15D7D5B8">
      <w:pPr>
        <w:tabs>
          <w:tab w:val="left" w:pos="1980"/>
        </w:tabs>
        <w:snapToGrid w:val="0"/>
        <w:spacing w:line="360" w:lineRule="auto"/>
        <w:ind w:left="1980" w:hanging="900"/>
        <w:rPr>
          <w:rFonts w:hint="eastAsia" w:ascii="宋体" w:hAnsi="宋体"/>
          <w:sz w:val="24"/>
        </w:rPr>
      </w:pPr>
      <w:r>
        <w:rPr>
          <w:rFonts w:hint="eastAsia" w:ascii="宋体" w:hAnsi="宋体"/>
          <w:sz w:val="24"/>
        </w:rPr>
        <w:t>24.1.3</w:t>
      </w:r>
      <w:r>
        <w:rPr>
          <w:rFonts w:hint="eastAsia" w:ascii="宋体" w:hAnsi="宋体"/>
          <w:sz w:val="24"/>
        </w:rPr>
        <w:tab/>
      </w:r>
      <w:r>
        <w:rPr>
          <w:rFonts w:ascii="宋体" w:hAnsi="宋体"/>
          <w:sz w:val="24"/>
        </w:rPr>
        <w:t>投标人的报价均超过了采购预算</w:t>
      </w:r>
      <w:r>
        <w:rPr>
          <w:rFonts w:hint="eastAsia" w:ascii="宋体" w:hAnsi="宋体"/>
          <w:sz w:val="24"/>
        </w:rPr>
        <w:t>或最高限价</w:t>
      </w:r>
      <w:r>
        <w:rPr>
          <w:rFonts w:ascii="宋体" w:hAnsi="宋体"/>
          <w:sz w:val="24"/>
        </w:rPr>
        <w:t>，采购人不能支付的；</w:t>
      </w:r>
    </w:p>
    <w:p w14:paraId="142EA9CC">
      <w:pPr>
        <w:tabs>
          <w:tab w:val="left" w:pos="1980"/>
        </w:tabs>
        <w:snapToGrid w:val="0"/>
        <w:spacing w:line="360" w:lineRule="auto"/>
        <w:ind w:left="1980" w:hanging="900"/>
        <w:rPr>
          <w:rFonts w:hint="eastAsia" w:ascii="宋体" w:hAnsi="宋体"/>
          <w:sz w:val="24"/>
        </w:rPr>
      </w:pPr>
      <w:r>
        <w:rPr>
          <w:rFonts w:hint="eastAsia" w:ascii="宋体" w:hAnsi="宋体"/>
          <w:sz w:val="24"/>
        </w:rPr>
        <w:t>24.1.4</w:t>
      </w:r>
      <w:r>
        <w:rPr>
          <w:rFonts w:hint="eastAsia" w:ascii="宋体" w:hAnsi="宋体"/>
          <w:sz w:val="24"/>
        </w:rPr>
        <w:tab/>
      </w:r>
      <w:r>
        <w:rPr>
          <w:rFonts w:ascii="宋体" w:hAnsi="宋体"/>
          <w:sz w:val="24"/>
        </w:rPr>
        <w:t>因重大变故，采购任务取消的。</w:t>
      </w:r>
    </w:p>
    <w:p w14:paraId="5D34A231">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24.2</w:t>
      </w:r>
      <w:r>
        <w:rPr>
          <w:sz w:val="24"/>
          <w:highlight w:val="lightGray"/>
        </w:rPr>
        <w:tab/>
      </w:r>
      <w:r>
        <w:rPr>
          <w:rFonts w:ascii="宋体" w:hAnsi="宋体"/>
          <w:sz w:val="24"/>
        </w:rPr>
        <w:t>废标后，采购人将废标理由通知所有投标人。</w:t>
      </w:r>
    </w:p>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14:paraId="473F1CA6">
      <w:pPr>
        <w:tabs>
          <w:tab w:val="left" w:pos="360"/>
        </w:tabs>
        <w:snapToGrid w:val="0"/>
        <w:spacing w:line="360" w:lineRule="auto"/>
        <w:ind w:left="357" w:hanging="357"/>
        <w:outlineLvl w:val="1"/>
        <w:rPr>
          <w:rFonts w:hint="eastAsia" w:ascii="宋体" w:hAnsi="宋体"/>
          <w:sz w:val="24"/>
        </w:rPr>
      </w:pPr>
      <w:bookmarkStart w:id="626" w:name="_Toc226309794"/>
      <w:bookmarkStart w:id="627" w:name="_Toc264969240"/>
      <w:bookmarkStart w:id="628" w:name="_Toc151193792"/>
      <w:bookmarkStart w:id="629" w:name="_Toc127161464"/>
      <w:bookmarkStart w:id="630" w:name="_Toc151193720"/>
      <w:bookmarkStart w:id="631" w:name="_Toc520356175"/>
      <w:bookmarkStart w:id="632" w:name="_Toc151193864"/>
      <w:bookmarkStart w:id="633" w:name="_Toc150480788"/>
      <w:bookmarkStart w:id="634" w:name="_Toc164351644"/>
      <w:bookmarkStart w:id="635" w:name="_Ref467307062"/>
      <w:bookmarkStart w:id="636" w:name="_Toc305158892"/>
      <w:bookmarkStart w:id="637" w:name="_Toc127151550"/>
      <w:bookmarkStart w:id="638" w:name="_Toc164229245"/>
      <w:bookmarkStart w:id="639" w:name="_Toc305158818"/>
      <w:bookmarkStart w:id="640" w:name="_Toc127151751"/>
      <w:bookmarkStart w:id="641" w:name="_Toc149720843"/>
      <w:bookmarkStart w:id="642" w:name="_Toc142311052"/>
      <w:bookmarkStart w:id="643" w:name="_Ref467306377"/>
      <w:bookmarkStart w:id="644" w:name="_Toc150774650"/>
      <w:bookmarkStart w:id="645" w:name="_Toc226965823"/>
      <w:bookmarkStart w:id="646" w:name="_Toc195842915"/>
      <w:bookmarkStart w:id="647" w:name="_Toc151193648"/>
      <w:bookmarkStart w:id="648" w:name="_Toc150509301"/>
      <w:bookmarkStart w:id="649" w:name="_Toc164229391"/>
      <w:bookmarkStart w:id="650" w:name="_Toc226965740"/>
      <w:bookmarkStart w:id="651" w:name="_Toc164608819"/>
      <w:bookmarkStart w:id="652" w:name="_Toc226337246"/>
      <w:bookmarkStart w:id="653" w:name="_Toc151190177"/>
      <w:bookmarkStart w:id="654" w:name="_Toc164608664"/>
      <w:bookmarkStart w:id="655" w:name="_Toc151193938"/>
      <w:bookmarkStart w:id="656" w:name="_Toc265228388"/>
      <w:bookmarkStart w:id="657" w:name="_Toc150774755"/>
      <w:bookmarkStart w:id="658" w:name="_Ref467306978"/>
      <w:bookmarkStart w:id="659" w:name="_Ref467307204"/>
      <w:r>
        <w:rPr>
          <w:rFonts w:hint="eastAsia" w:ascii="宋体" w:hAnsi="宋体"/>
          <w:sz w:val="24"/>
        </w:rPr>
        <w:t>25</w:t>
      </w:r>
      <w:r>
        <w:rPr>
          <w:rFonts w:hint="eastAsia" w:ascii="宋体" w:hAnsi="宋体"/>
          <w:sz w:val="24"/>
        </w:rPr>
        <w:tab/>
      </w:r>
      <w:r>
        <w:rPr>
          <w:rFonts w:ascii="宋体" w:hAnsi="宋体"/>
          <w:sz w:val="24"/>
        </w:rPr>
        <w:t>签订合同</w:t>
      </w:r>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p>
    <w:p w14:paraId="5B3AE6E4">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25.1</w:t>
      </w:r>
      <w:r>
        <w:rPr>
          <w:sz w:val="24"/>
          <w:highlight w:val="lightGray"/>
        </w:rPr>
        <w:tab/>
      </w:r>
      <w:r>
        <w:rPr>
          <w:rFonts w:ascii="宋体" w:hAnsi="宋体"/>
          <w:sz w:val="24"/>
        </w:rPr>
        <w:t>中标人、采购人应当自中标通知书发出之日起30日内，按照招标文件和中标人投标文件的规定签订书面合同。所签订的合同不得对招标文件确定的事项和中标人投标文件作实质性修改。</w:t>
      </w:r>
    </w:p>
    <w:p w14:paraId="7DB8A9D1">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25.2</w:t>
      </w:r>
      <w:r>
        <w:rPr>
          <w:sz w:val="24"/>
          <w:highlight w:val="lightGray"/>
        </w:rPr>
        <w:tab/>
      </w:r>
      <w:r>
        <w:rPr>
          <w:rFonts w:ascii="宋体" w:hAnsi="宋体"/>
          <w:sz w:val="24"/>
        </w:rPr>
        <w:t>中标人</w:t>
      </w:r>
      <w:r>
        <w:rPr>
          <w:rFonts w:hint="eastAsia" w:ascii="宋体" w:hAnsi="宋体"/>
          <w:sz w:val="24"/>
        </w:rPr>
        <w:t>拒绝</w:t>
      </w:r>
      <w:r>
        <w:rPr>
          <w:rFonts w:ascii="宋体" w:hAnsi="宋体"/>
          <w:sz w:val="24"/>
        </w:rPr>
        <w:t>与采购人签订合同的，采购人</w:t>
      </w:r>
      <w:r>
        <w:rPr>
          <w:rFonts w:hint="eastAsia" w:ascii="宋体" w:hAnsi="宋体"/>
          <w:sz w:val="24"/>
        </w:rPr>
        <w:t>可以</w:t>
      </w:r>
      <w:r>
        <w:rPr>
          <w:rFonts w:ascii="宋体" w:hAnsi="宋体"/>
          <w:sz w:val="24"/>
        </w:rPr>
        <w:t>按照评</w:t>
      </w:r>
      <w:r>
        <w:rPr>
          <w:rFonts w:hint="eastAsia" w:ascii="宋体" w:hAnsi="宋体"/>
          <w:sz w:val="24"/>
        </w:rPr>
        <w:t>标</w:t>
      </w:r>
      <w:r>
        <w:rPr>
          <w:rFonts w:ascii="宋体" w:hAnsi="宋体"/>
          <w:sz w:val="24"/>
        </w:rPr>
        <w:t>报告推荐的中标候选人名单排序，确定下一候选人为中标人，</w:t>
      </w:r>
      <w:r>
        <w:rPr>
          <w:rFonts w:hint="eastAsia" w:ascii="宋体" w:hAnsi="宋体"/>
          <w:sz w:val="24"/>
        </w:rPr>
        <w:t>也可以</w:t>
      </w:r>
      <w:r>
        <w:rPr>
          <w:rFonts w:ascii="宋体" w:hAnsi="宋体"/>
          <w:sz w:val="24"/>
        </w:rPr>
        <w:t>重新开展政府采购活动。</w:t>
      </w:r>
    </w:p>
    <w:p w14:paraId="3057B3D5">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25.3</w:t>
      </w:r>
      <w:r>
        <w:rPr>
          <w:sz w:val="24"/>
          <w:highlight w:val="lightGray"/>
        </w:rPr>
        <w:tab/>
      </w:r>
      <w:r>
        <w:rPr>
          <w:rFonts w:ascii="宋体" w:hAnsi="宋体"/>
          <w:sz w:val="24"/>
        </w:rPr>
        <w:t>联合体中标的，联合体各方应当共同与采购人签订合同，就中标项目向采购人承担连带责任。</w:t>
      </w:r>
    </w:p>
    <w:p w14:paraId="2F9AC46D">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25.4</w:t>
      </w:r>
      <w:r>
        <w:rPr>
          <w:sz w:val="24"/>
          <w:highlight w:val="lightGray"/>
        </w:rPr>
        <w:tab/>
      </w:r>
      <w:r>
        <w:rPr>
          <w:rFonts w:ascii="宋体" w:hAnsi="宋体"/>
          <w:sz w:val="24"/>
        </w:rPr>
        <w:t>政府采购合同不能转包。</w:t>
      </w:r>
    </w:p>
    <w:bookmarkEnd w:id="623"/>
    <w:bookmarkEnd w:id="624"/>
    <w:bookmarkEnd w:id="625"/>
    <w:p w14:paraId="002C6992">
      <w:pPr>
        <w:tabs>
          <w:tab w:val="left" w:pos="1080"/>
          <w:tab w:val="left" w:pos="2014"/>
        </w:tabs>
        <w:spacing w:line="360" w:lineRule="auto"/>
        <w:ind w:left="1077" w:hanging="720"/>
      </w:pPr>
      <w:r>
        <w:rPr>
          <w:sz w:val="24"/>
        </w:rPr>
        <w:t>25.5</w:t>
      </w:r>
      <w:r>
        <w:rPr>
          <w:sz w:val="24"/>
        </w:rPr>
        <w:tab/>
      </w:r>
      <w:r>
        <w:rPr>
          <w:rFonts w:ascii="宋体" w:hAnsi="宋体"/>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rFonts w:ascii="宋体" w:hAnsi="宋体"/>
          <w:b/>
          <w:sz w:val="24"/>
        </w:rPr>
        <w:t>，</w:t>
      </w:r>
      <w:r>
        <w:rPr>
          <w:rFonts w:ascii="宋体" w:hAnsi="宋体"/>
          <w:sz w:val="24"/>
        </w:rPr>
        <w:t>否则</w:t>
      </w:r>
      <w:r>
        <w:rPr>
          <w:rFonts w:ascii="宋体" w:hAnsi="宋体"/>
          <w:b/>
          <w:sz w:val="24"/>
        </w:rPr>
        <w:t>投标无效</w:t>
      </w:r>
      <w:r>
        <w:rPr>
          <w:rFonts w:ascii="宋体" w:hAnsi="宋体"/>
          <w:sz w:val="24"/>
        </w:rPr>
        <w:t>。中标人就采购项目和分包项目向采购人负责，分包供应商就分包项目承担责任。</w:t>
      </w:r>
    </w:p>
    <w:p w14:paraId="42DAACED">
      <w:pPr>
        <w:tabs>
          <w:tab w:val="left" w:pos="1080"/>
          <w:tab w:val="left" w:pos="2014"/>
        </w:tabs>
        <w:spacing w:line="360" w:lineRule="auto"/>
        <w:ind w:left="1077" w:hanging="720"/>
        <w:rPr>
          <w:sz w:val="24"/>
        </w:rPr>
      </w:pPr>
      <w:r>
        <w:rPr>
          <w:sz w:val="24"/>
        </w:rPr>
        <w:t>25.6</w:t>
      </w:r>
      <w:r>
        <w:rPr>
          <w:sz w:val="24"/>
        </w:rPr>
        <w:tab/>
      </w:r>
      <w:r>
        <w:rPr>
          <w:rFonts w:hint="eastAsia"/>
          <w:sz w:val="24"/>
        </w:rPr>
        <w:t>“政采贷”融资指引：详见《投标人须知资料表》。</w:t>
      </w:r>
    </w:p>
    <w:p w14:paraId="28513837">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26</w:t>
      </w:r>
      <w:r>
        <w:rPr>
          <w:rFonts w:hint="eastAsia" w:ascii="宋体" w:hAnsi="宋体"/>
          <w:sz w:val="24"/>
        </w:rPr>
        <w:tab/>
      </w:r>
      <w:r>
        <w:rPr>
          <w:rFonts w:ascii="宋体" w:hAnsi="宋体"/>
          <w:sz w:val="24"/>
        </w:rPr>
        <w:t>询问与质疑</w:t>
      </w:r>
    </w:p>
    <w:p w14:paraId="4EE6639B">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26.1</w:t>
      </w:r>
      <w:r>
        <w:rPr>
          <w:sz w:val="24"/>
          <w:highlight w:val="lightGray"/>
        </w:rPr>
        <w:tab/>
      </w:r>
      <w:r>
        <w:rPr>
          <w:rFonts w:ascii="宋体" w:hAnsi="宋体"/>
          <w:sz w:val="24"/>
        </w:rPr>
        <w:t>询问</w:t>
      </w:r>
    </w:p>
    <w:p w14:paraId="7788120A">
      <w:pPr>
        <w:tabs>
          <w:tab w:val="left" w:pos="1980"/>
        </w:tabs>
        <w:snapToGrid w:val="0"/>
        <w:spacing w:line="360" w:lineRule="auto"/>
        <w:ind w:left="1980" w:hanging="900"/>
        <w:rPr>
          <w:rFonts w:hint="eastAsia" w:ascii="宋体" w:hAnsi="宋体"/>
          <w:sz w:val="24"/>
        </w:rPr>
      </w:pPr>
      <w:r>
        <w:rPr>
          <w:rFonts w:hint="eastAsia" w:ascii="宋体" w:hAnsi="宋体"/>
          <w:sz w:val="24"/>
        </w:rPr>
        <w:t>26.1.1</w:t>
      </w:r>
      <w:r>
        <w:rPr>
          <w:rFonts w:hint="eastAsia" w:ascii="宋体" w:hAnsi="宋体"/>
          <w:sz w:val="24"/>
        </w:rPr>
        <w:tab/>
      </w:r>
      <w:r>
        <w:rPr>
          <w:rFonts w:ascii="宋体" w:hAnsi="宋体"/>
          <w:sz w:val="24"/>
        </w:rPr>
        <w:t>投标人对政府采购活动事项有疑问的，可依法提出询问，并按《投标人须知资料表》载明的形式送达采购人或采购代理机构。</w:t>
      </w:r>
    </w:p>
    <w:p w14:paraId="3A28F694">
      <w:pPr>
        <w:tabs>
          <w:tab w:val="left" w:pos="1980"/>
        </w:tabs>
        <w:snapToGrid w:val="0"/>
        <w:spacing w:line="360" w:lineRule="auto"/>
        <w:ind w:left="1980" w:hanging="900"/>
        <w:rPr>
          <w:rFonts w:hint="eastAsia" w:ascii="宋体" w:hAnsi="宋体"/>
          <w:sz w:val="24"/>
        </w:rPr>
      </w:pPr>
      <w:r>
        <w:rPr>
          <w:rFonts w:hint="eastAsia" w:ascii="宋体" w:hAnsi="宋体"/>
          <w:sz w:val="24"/>
        </w:rPr>
        <w:t>26.1.2</w:t>
      </w:r>
      <w:r>
        <w:rPr>
          <w:rFonts w:hint="eastAsia" w:ascii="宋体" w:hAnsi="宋体"/>
          <w:sz w:val="24"/>
        </w:rPr>
        <w:tab/>
      </w:r>
      <w:r>
        <w:rPr>
          <w:rFonts w:ascii="宋体" w:hAnsi="宋体"/>
          <w:sz w:val="24"/>
        </w:rPr>
        <w:t>采购人或采购代理机构对供应商依法提出的询问，在3个工作日内作出答复，但答复的内容不得涉及商业秘密。</w:t>
      </w:r>
    </w:p>
    <w:p w14:paraId="508869CD">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26.2</w:t>
      </w:r>
      <w:r>
        <w:rPr>
          <w:sz w:val="24"/>
          <w:highlight w:val="lightGray"/>
        </w:rPr>
        <w:tab/>
      </w:r>
      <w:r>
        <w:rPr>
          <w:rFonts w:ascii="宋体" w:hAnsi="宋体"/>
          <w:sz w:val="24"/>
        </w:rPr>
        <w:t>质疑</w:t>
      </w:r>
    </w:p>
    <w:p w14:paraId="1C4FB5BE">
      <w:pPr>
        <w:tabs>
          <w:tab w:val="left" w:pos="1980"/>
        </w:tabs>
        <w:snapToGrid w:val="0"/>
        <w:spacing w:line="360" w:lineRule="auto"/>
        <w:ind w:left="1980" w:hanging="900"/>
        <w:rPr>
          <w:rFonts w:hint="eastAsia" w:ascii="宋体" w:hAnsi="宋体"/>
          <w:sz w:val="24"/>
        </w:rPr>
      </w:pPr>
      <w:r>
        <w:rPr>
          <w:rFonts w:hint="eastAsia" w:ascii="宋体" w:hAnsi="宋体"/>
          <w:sz w:val="24"/>
        </w:rPr>
        <w:t>26.2.1</w:t>
      </w:r>
      <w:r>
        <w:rPr>
          <w:rFonts w:hint="eastAsia" w:ascii="宋体" w:hAnsi="宋体"/>
          <w:sz w:val="24"/>
        </w:rPr>
        <w:tab/>
      </w:r>
      <w:r>
        <w:rPr>
          <w:rFonts w:ascii="宋体" w:hAnsi="宋体"/>
          <w:sz w:val="24"/>
        </w:rPr>
        <w:t>投标人认为采购文件、采购过程、中标结果使自己的权益受到损害的，可以在知道或者应知其权益受到损害之日起7个工作日内，由投标人派授权代表以书面形式向采购人、采购代理机构提出质疑。采购人、采购代理机构在收到质疑函后7个工作日内作出答复。</w:t>
      </w:r>
      <w:r>
        <w:rPr>
          <w:rFonts w:hint="eastAsia" w:ascii="宋体" w:hAnsi="宋体"/>
          <w:sz w:val="24"/>
        </w:rPr>
        <w:t>提出质疑的供应商应当是参与所质疑项目招标活动的供应商。潜在供应商已按要求购买招标文件的，可以按规定对招标文件提出质疑。</w:t>
      </w:r>
    </w:p>
    <w:p w14:paraId="38FBEC73">
      <w:pPr>
        <w:tabs>
          <w:tab w:val="left" w:pos="1980"/>
        </w:tabs>
        <w:snapToGrid w:val="0"/>
        <w:spacing w:line="360" w:lineRule="auto"/>
        <w:ind w:left="1980" w:hanging="900"/>
        <w:rPr>
          <w:rFonts w:hint="eastAsia" w:ascii="宋体" w:hAnsi="宋体"/>
          <w:sz w:val="24"/>
        </w:rPr>
      </w:pPr>
      <w:r>
        <w:rPr>
          <w:rFonts w:hint="eastAsia" w:ascii="宋体" w:hAnsi="宋体"/>
          <w:sz w:val="24"/>
        </w:rPr>
        <w:t>26.2.2</w:t>
      </w:r>
      <w:r>
        <w:rPr>
          <w:rFonts w:hint="eastAsia" w:ascii="宋体" w:hAnsi="宋体"/>
          <w:sz w:val="24"/>
        </w:rPr>
        <w:tab/>
      </w:r>
      <w:r>
        <w:rPr>
          <w:rFonts w:ascii="宋体" w:hAnsi="宋体"/>
          <w:sz w:val="24"/>
        </w:rPr>
        <w:t>质疑函须使用财政部制定的范本文件。</w:t>
      </w:r>
    </w:p>
    <w:p w14:paraId="33AADAFC">
      <w:pPr>
        <w:tabs>
          <w:tab w:val="left" w:pos="1980"/>
        </w:tabs>
        <w:snapToGrid w:val="0"/>
        <w:spacing w:line="360" w:lineRule="auto"/>
        <w:ind w:left="1980" w:hanging="900"/>
        <w:rPr>
          <w:rFonts w:hint="eastAsia" w:ascii="宋体" w:hAnsi="宋体"/>
          <w:sz w:val="24"/>
        </w:rPr>
      </w:pPr>
      <w:r>
        <w:rPr>
          <w:rFonts w:hint="eastAsia" w:ascii="宋体" w:hAnsi="宋体"/>
          <w:sz w:val="24"/>
        </w:rPr>
        <w:t>26.2.3</w:t>
      </w:r>
      <w:r>
        <w:rPr>
          <w:rFonts w:hint="eastAsia" w:ascii="宋体" w:hAnsi="宋体"/>
          <w:sz w:val="24"/>
        </w:rPr>
        <w:tab/>
      </w:r>
      <w:r>
        <w:rPr>
          <w:rFonts w:ascii="宋体" w:hAnsi="宋体"/>
          <w:sz w:val="24"/>
        </w:rPr>
        <w:t>投标人为自然人的，应当由本人签字；投标人为法人或者其他组织的，应当由法定代表人、主要负责人，或者其授权代表签字或者盖章，并加盖公章。</w:t>
      </w:r>
    </w:p>
    <w:p w14:paraId="3C9FBBE8">
      <w:pPr>
        <w:tabs>
          <w:tab w:val="left" w:pos="1980"/>
        </w:tabs>
        <w:snapToGrid w:val="0"/>
        <w:spacing w:line="360" w:lineRule="auto"/>
        <w:ind w:left="1980" w:hanging="900"/>
        <w:rPr>
          <w:rFonts w:hint="eastAsia" w:ascii="宋体" w:hAnsi="宋体"/>
          <w:sz w:val="24"/>
        </w:rPr>
      </w:pPr>
      <w:r>
        <w:rPr>
          <w:rFonts w:hint="eastAsia" w:ascii="宋体" w:hAnsi="宋体"/>
          <w:sz w:val="24"/>
        </w:rPr>
        <w:t>26.2.4</w:t>
      </w:r>
      <w:r>
        <w:rPr>
          <w:rFonts w:hint="eastAsia" w:ascii="宋体" w:hAnsi="宋体"/>
          <w:sz w:val="24"/>
        </w:rPr>
        <w:tab/>
      </w:r>
      <w:r>
        <w:rPr>
          <w:rFonts w:ascii="宋体" w:hAnsi="宋体"/>
          <w:sz w:val="24"/>
        </w:rPr>
        <w:t>投标人应在法定质疑期内一次性提出针对同一采购程序环节的质疑，法定质疑期内针对同一采购程序环节再次提出的质疑，采购人、采购代理机构有权不予答复。</w:t>
      </w:r>
    </w:p>
    <w:p w14:paraId="56F87C43">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26.3</w:t>
      </w:r>
      <w:r>
        <w:rPr>
          <w:sz w:val="24"/>
          <w:highlight w:val="lightGray"/>
        </w:rPr>
        <w:tab/>
      </w:r>
      <w:r>
        <w:rPr>
          <w:rFonts w:ascii="宋体" w:hAnsi="宋体"/>
          <w:sz w:val="24"/>
        </w:rPr>
        <w:t>接收询问和质疑的联系部门、联系电话和通讯地址见《投标人须知资料表》</w:t>
      </w:r>
      <w:r>
        <w:rPr>
          <w:rFonts w:hint="eastAsia" w:ascii="宋体" w:hAnsi="宋体"/>
          <w:sz w:val="24"/>
        </w:rPr>
        <w:t>。</w:t>
      </w:r>
    </w:p>
    <w:p w14:paraId="15C3ED09">
      <w:pPr>
        <w:tabs>
          <w:tab w:val="left" w:pos="360"/>
        </w:tabs>
        <w:snapToGrid w:val="0"/>
        <w:spacing w:line="360" w:lineRule="auto"/>
        <w:ind w:left="357" w:hanging="357"/>
        <w:outlineLvl w:val="1"/>
        <w:rPr>
          <w:rFonts w:hint="eastAsia" w:ascii="宋体" w:hAnsi="宋体"/>
          <w:sz w:val="24"/>
        </w:rPr>
      </w:pPr>
      <w:r>
        <w:rPr>
          <w:rFonts w:hint="eastAsia" w:ascii="宋体" w:hAnsi="宋体"/>
          <w:sz w:val="24"/>
        </w:rPr>
        <w:t>27</w:t>
      </w:r>
      <w:r>
        <w:rPr>
          <w:rFonts w:hint="eastAsia" w:ascii="宋体" w:hAnsi="宋体"/>
          <w:sz w:val="24"/>
        </w:rPr>
        <w:tab/>
      </w:r>
      <w:r>
        <w:rPr>
          <w:rFonts w:ascii="宋体" w:hAnsi="宋体"/>
          <w:sz w:val="24"/>
        </w:rPr>
        <w:t>代理费</w:t>
      </w:r>
    </w:p>
    <w:p w14:paraId="18692BD1">
      <w:pPr>
        <w:tabs>
          <w:tab w:val="left" w:pos="1080"/>
          <w:tab w:val="left" w:pos="1589"/>
          <w:tab w:val="left" w:pos="2014"/>
        </w:tabs>
        <w:snapToGrid w:val="0"/>
        <w:spacing w:line="360" w:lineRule="auto"/>
        <w:ind w:left="1077" w:hanging="720"/>
        <w:rPr>
          <w:rFonts w:hint="eastAsia" w:ascii="宋体" w:hAnsi="宋体"/>
          <w:sz w:val="24"/>
        </w:rPr>
      </w:pPr>
      <w:r>
        <w:rPr>
          <w:sz w:val="24"/>
          <w:highlight w:val="lightGray"/>
        </w:rPr>
        <w:t>27.1</w:t>
      </w:r>
      <w:r>
        <w:rPr>
          <w:sz w:val="24"/>
          <w:highlight w:val="lightGray"/>
        </w:rPr>
        <w:tab/>
      </w:r>
      <w:r>
        <w:rPr>
          <w:rFonts w:ascii="宋体" w:hAnsi="宋体"/>
          <w:sz w:val="24"/>
        </w:rPr>
        <w:t>收费对象、收费标准及缴纳时间见《投标人须知资料表》。由中标人支付的，中标人须一次性向采购代理机构缴纳代理费，投标报价应包含代理费用。</w:t>
      </w:r>
    </w:p>
    <w:p w14:paraId="15C2B796">
      <w:pPr>
        <w:spacing w:line="360" w:lineRule="auto"/>
        <w:jc w:val="center"/>
        <w:outlineLvl w:val="0"/>
        <w:rPr>
          <w:rFonts w:hint="eastAsia" w:ascii="宋体" w:hAnsi="宋体"/>
          <w:b/>
          <w:sz w:val="36"/>
          <w:szCs w:val="36"/>
        </w:rPr>
      </w:pPr>
      <w:bookmarkStart w:id="660" w:name="_Toc226337250"/>
      <w:bookmarkStart w:id="661" w:name="_Toc353873664"/>
      <w:bookmarkStart w:id="662" w:name="_Toc226965827"/>
      <w:bookmarkStart w:id="663" w:name="_Toc150480792"/>
      <w:bookmarkStart w:id="664" w:name="_Toc142311056"/>
      <w:bookmarkStart w:id="665" w:name="_Toc150774759"/>
      <w:bookmarkStart w:id="666" w:name="_Toc265228392"/>
      <w:bookmarkStart w:id="667" w:name="_Toc264969244"/>
      <w:bookmarkStart w:id="668" w:name="_Toc305158896"/>
      <w:bookmarkStart w:id="669" w:name="_Toc353825544"/>
      <w:bookmarkStart w:id="670" w:name="_Toc127151554"/>
      <w:bookmarkStart w:id="671" w:name="_Toc353873934"/>
      <w:bookmarkStart w:id="672" w:name="_Toc305158822"/>
      <w:r>
        <w:rPr>
          <w:rFonts w:ascii="宋体" w:hAnsi="宋体"/>
          <w:sz w:val="24"/>
        </w:rPr>
        <w:br w:type="page"/>
      </w:r>
      <w:bookmarkStart w:id="673" w:name="_Toc200734041"/>
      <w:r>
        <w:rPr>
          <w:rFonts w:ascii="宋体" w:hAnsi="宋体"/>
          <w:b/>
          <w:sz w:val="36"/>
          <w:szCs w:val="36"/>
        </w:rPr>
        <w:t xml:space="preserve">第三章  </w:t>
      </w:r>
      <w:bookmarkEnd w:id="660"/>
      <w:bookmarkEnd w:id="661"/>
      <w:bookmarkEnd w:id="662"/>
      <w:bookmarkEnd w:id="663"/>
      <w:bookmarkEnd w:id="664"/>
      <w:bookmarkEnd w:id="665"/>
      <w:bookmarkEnd w:id="666"/>
      <w:bookmarkEnd w:id="667"/>
      <w:bookmarkEnd w:id="668"/>
      <w:bookmarkEnd w:id="669"/>
      <w:bookmarkEnd w:id="670"/>
      <w:bookmarkEnd w:id="671"/>
      <w:bookmarkEnd w:id="672"/>
      <w:r>
        <w:rPr>
          <w:rFonts w:ascii="宋体" w:hAnsi="宋体"/>
          <w:b/>
          <w:sz w:val="36"/>
          <w:szCs w:val="36"/>
        </w:rPr>
        <w:t>资格审查</w:t>
      </w:r>
      <w:bookmarkEnd w:id="673"/>
      <w:bookmarkStart w:id="674" w:name="_Toc487900382"/>
    </w:p>
    <w:p w14:paraId="6A09B3FB">
      <w:pPr>
        <w:tabs>
          <w:tab w:val="left" w:pos="360"/>
          <w:tab w:val="left" w:pos="900"/>
        </w:tabs>
        <w:snapToGrid w:val="0"/>
        <w:spacing w:line="360" w:lineRule="auto"/>
        <w:jc w:val="center"/>
        <w:outlineLvl w:val="1"/>
        <w:rPr>
          <w:rFonts w:hint="eastAsia" w:ascii="宋体" w:hAnsi="宋体"/>
          <w:b/>
          <w:sz w:val="24"/>
        </w:rPr>
      </w:pPr>
      <w:bookmarkStart w:id="675" w:name="_Toc99301422"/>
      <w:r>
        <w:rPr>
          <w:rFonts w:ascii="宋体" w:hAnsi="宋体"/>
          <w:b/>
          <w:sz w:val="24"/>
        </w:rPr>
        <w:t>一、资格审查程序</w:t>
      </w:r>
      <w:bookmarkEnd w:id="675"/>
    </w:p>
    <w:p w14:paraId="114A90C2">
      <w:pPr>
        <w:spacing w:line="360" w:lineRule="auto"/>
        <w:ind w:left="420" w:hanging="420"/>
        <w:rPr>
          <w:rFonts w:hint="eastAsia" w:ascii="宋体" w:hAnsi="宋体"/>
          <w:sz w:val="24"/>
        </w:rPr>
      </w:pPr>
      <w:r>
        <w:rPr>
          <w:rFonts w:hint="eastAsia" w:ascii="宋体" w:hAnsi="宋体"/>
          <w:sz w:val="24"/>
        </w:rPr>
        <w:t>1.</w:t>
      </w:r>
      <w:r>
        <w:rPr>
          <w:rFonts w:hint="eastAsia" w:ascii="宋体" w:hAnsi="宋体"/>
          <w:sz w:val="24"/>
        </w:rPr>
        <w:tab/>
      </w:r>
      <w:r>
        <w:rPr>
          <w:rFonts w:ascii="宋体" w:hAnsi="宋体"/>
          <w:sz w:val="24"/>
        </w:rPr>
        <w:t>开标结束后，采购人或采购代理机构将根据《资格审查要求》中的规定，对投标人进行资格审查，并形成资格审查结果。</w:t>
      </w:r>
    </w:p>
    <w:p w14:paraId="74A01D84">
      <w:pPr>
        <w:spacing w:line="360" w:lineRule="auto"/>
        <w:ind w:left="420" w:hanging="420"/>
        <w:rPr>
          <w:rFonts w:hint="eastAsia" w:ascii="宋体" w:hAnsi="宋体"/>
          <w:sz w:val="24"/>
        </w:rPr>
      </w:pPr>
      <w:r>
        <w:rPr>
          <w:rFonts w:hint="eastAsia" w:ascii="宋体" w:hAnsi="宋体"/>
          <w:sz w:val="24"/>
        </w:rPr>
        <w:t>2.</w:t>
      </w:r>
      <w:r>
        <w:rPr>
          <w:rFonts w:hint="eastAsia" w:ascii="宋体" w:hAnsi="宋体"/>
          <w:sz w:val="24"/>
        </w:rPr>
        <w:tab/>
      </w:r>
      <w:r>
        <w:rPr>
          <w:rFonts w:ascii="宋体" w:hAnsi="宋体"/>
          <w:sz w:val="24"/>
        </w:rPr>
        <w:t>《资格审查要求》中对格式有要求的，除招标文件另有规定外，均为“实质性格式”文件。</w:t>
      </w:r>
    </w:p>
    <w:p w14:paraId="3D995640">
      <w:pPr>
        <w:spacing w:line="360" w:lineRule="auto"/>
        <w:ind w:left="420" w:hanging="420"/>
        <w:rPr>
          <w:rFonts w:hint="eastAsia" w:ascii="宋体" w:hAnsi="宋体"/>
          <w:sz w:val="24"/>
        </w:rPr>
      </w:pPr>
      <w:r>
        <w:rPr>
          <w:rFonts w:hint="eastAsia" w:ascii="宋体" w:hAnsi="宋体"/>
          <w:sz w:val="24"/>
        </w:rPr>
        <w:t>3.</w:t>
      </w:r>
      <w:r>
        <w:rPr>
          <w:rFonts w:hint="eastAsia" w:ascii="宋体" w:hAnsi="宋体"/>
          <w:sz w:val="24"/>
        </w:rPr>
        <w:tab/>
      </w:r>
      <w:r>
        <w:rPr>
          <w:rFonts w:ascii="宋体" w:hAnsi="宋体"/>
          <w:sz w:val="24"/>
        </w:rPr>
        <w:t>投标人《资格证明文件》有任何一项不符合《资格审查要求》的，资格审查不合格，其</w:t>
      </w:r>
      <w:r>
        <w:rPr>
          <w:rFonts w:ascii="宋体" w:hAnsi="宋体"/>
          <w:b/>
          <w:sz w:val="24"/>
        </w:rPr>
        <w:t>投标无效</w:t>
      </w:r>
      <w:r>
        <w:rPr>
          <w:rFonts w:ascii="宋体" w:hAnsi="宋体"/>
          <w:sz w:val="24"/>
        </w:rPr>
        <w:t>。</w:t>
      </w:r>
    </w:p>
    <w:p w14:paraId="3E8EB47C">
      <w:pPr>
        <w:spacing w:line="360" w:lineRule="auto"/>
        <w:ind w:left="420" w:hanging="420"/>
        <w:rPr>
          <w:rFonts w:hint="eastAsia" w:ascii="宋体" w:hAnsi="宋体"/>
          <w:sz w:val="24"/>
        </w:rPr>
      </w:pPr>
      <w:r>
        <w:rPr>
          <w:rFonts w:hint="eastAsia" w:ascii="宋体" w:hAnsi="宋体"/>
          <w:sz w:val="24"/>
        </w:rPr>
        <w:t>4.</w:t>
      </w:r>
      <w:r>
        <w:rPr>
          <w:rFonts w:hint="eastAsia" w:ascii="宋体" w:hAnsi="宋体"/>
          <w:sz w:val="24"/>
        </w:rPr>
        <w:tab/>
      </w:r>
      <w:r>
        <w:rPr>
          <w:rFonts w:hint="eastAsia" w:ascii="宋体" w:hAnsi="宋体"/>
          <w:sz w:val="24"/>
        </w:rPr>
        <w:t>投标人《资格证明文件》均应加盖投标人公章，</w:t>
      </w:r>
      <w:r>
        <w:rPr>
          <w:rFonts w:hint="eastAsia" w:ascii="宋体" w:hAnsi="宋体"/>
          <w:b/>
          <w:bCs/>
          <w:sz w:val="24"/>
        </w:rPr>
        <w:t>否则其投标无效。</w:t>
      </w:r>
    </w:p>
    <w:p w14:paraId="03AECDB8">
      <w:pPr>
        <w:spacing w:line="360" w:lineRule="auto"/>
        <w:ind w:left="420" w:hanging="420"/>
        <w:rPr>
          <w:rFonts w:hint="eastAsia" w:ascii="宋体" w:hAnsi="宋体"/>
          <w:sz w:val="24"/>
        </w:rPr>
      </w:pPr>
      <w:r>
        <w:rPr>
          <w:rFonts w:hint="eastAsia" w:ascii="宋体" w:hAnsi="宋体"/>
          <w:sz w:val="24"/>
        </w:rPr>
        <w:t>5.</w:t>
      </w:r>
      <w:r>
        <w:rPr>
          <w:rFonts w:hint="eastAsia" w:ascii="宋体" w:hAnsi="宋体"/>
          <w:sz w:val="24"/>
        </w:rPr>
        <w:tab/>
      </w:r>
      <w:r>
        <w:rPr>
          <w:rFonts w:ascii="宋体" w:hAnsi="宋体"/>
          <w:sz w:val="24"/>
        </w:rPr>
        <w:t>资格审查合格的投标人不足3家的，不进行评标。</w:t>
      </w:r>
    </w:p>
    <w:p w14:paraId="6416C90F">
      <w:pPr>
        <w:tabs>
          <w:tab w:val="left" w:pos="360"/>
          <w:tab w:val="left" w:pos="900"/>
        </w:tabs>
        <w:snapToGrid w:val="0"/>
        <w:spacing w:line="360" w:lineRule="auto"/>
        <w:jc w:val="center"/>
        <w:outlineLvl w:val="1"/>
        <w:rPr>
          <w:rFonts w:hint="eastAsia" w:ascii="宋体" w:hAnsi="宋体"/>
          <w:b/>
          <w:sz w:val="24"/>
        </w:rPr>
      </w:pPr>
      <w:r>
        <w:rPr>
          <w:rFonts w:ascii="宋体" w:hAnsi="宋体"/>
          <w:b/>
          <w:sz w:val="24"/>
        </w:rPr>
        <w:t>二、资格审查要求</w:t>
      </w:r>
    </w:p>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674"/>
    <w:tbl>
      <w:tblPr>
        <w:tblStyle w:val="45"/>
        <w:tblW w:w="906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24"/>
        <w:gridCol w:w="1934"/>
        <w:gridCol w:w="4705"/>
        <w:gridCol w:w="1599"/>
      </w:tblGrid>
      <w:tr w14:paraId="5A9545C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824" w:type="dxa"/>
            <w:vAlign w:val="center"/>
          </w:tcPr>
          <w:p w14:paraId="592C2DA6">
            <w:pPr>
              <w:tabs>
                <w:tab w:val="left" w:pos="1080"/>
              </w:tabs>
              <w:snapToGrid w:val="0"/>
              <w:jc w:val="center"/>
              <w:rPr>
                <w:b/>
                <w:sz w:val="24"/>
              </w:rPr>
            </w:pPr>
            <w:bookmarkStart w:id="676" w:name="_Hlt487972895"/>
            <w:bookmarkEnd w:id="676"/>
            <w:bookmarkStart w:id="677" w:name="_Toc127151779"/>
            <w:bookmarkStart w:id="678" w:name="_Toc353825550"/>
            <w:bookmarkStart w:id="679" w:name="_Toc226965858"/>
            <w:bookmarkStart w:id="680" w:name="_Toc127161490"/>
            <w:bookmarkStart w:id="681" w:name="_Toc353873940"/>
            <w:r>
              <w:rPr>
                <w:b/>
                <w:sz w:val="24"/>
              </w:rPr>
              <w:t>序号</w:t>
            </w:r>
          </w:p>
        </w:tc>
        <w:tc>
          <w:tcPr>
            <w:tcW w:w="1934" w:type="dxa"/>
            <w:vAlign w:val="center"/>
          </w:tcPr>
          <w:p w14:paraId="0EE0140C">
            <w:pPr>
              <w:tabs>
                <w:tab w:val="left" w:pos="1080"/>
              </w:tabs>
              <w:snapToGrid w:val="0"/>
              <w:jc w:val="center"/>
              <w:rPr>
                <w:b/>
                <w:sz w:val="24"/>
              </w:rPr>
            </w:pPr>
            <w:r>
              <w:rPr>
                <w:b/>
                <w:sz w:val="24"/>
              </w:rPr>
              <w:t>审查因素</w:t>
            </w:r>
          </w:p>
        </w:tc>
        <w:tc>
          <w:tcPr>
            <w:tcW w:w="4705" w:type="dxa"/>
            <w:vAlign w:val="center"/>
          </w:tcPr>
          <w:p w14:paraId="456DC290">
            <w:pPr>
              <w:tabs>
                <w:tab w:val="left" w:pos="1080"/>
              </w:tabs>
              <w:snapToGrid w:val="0"/>
              <w:jc w:val="center"/>
              <w:rPr>
                <w:b/>
                <w:sz w:val="24"/>
              </w:rPr>
            </w:pPr>
            <w:r>
              <w:rPr>
                <w:b/>
                <w:sz w:val="24"/>
              </w:rPr>
              <w:t>审查内容</w:t>
            </w:r>
          </w:p>
        </w:tc>
        <w:tc>
          <w:tcPr>
            <w:tcW w:w="1599" w:type="dxa"/>
            <w:vAlign w:val="center"/>
          </w:tcPr>
          <w:p w14:paraId="1ECDDC9D">
            <w:pPr>
              <w:tabs>
                <w:tab w:val="left" w:pos="1080"/>
              </w:tabs>
              <w:snapToGrid w:val="0"/>
              <w:jc w:val="center"/>
              <w:rPr>
                <w:b/>
                <w:sz w:val="24"/>
              </w:rPr>
            </w:pPr>
            <w:r>
              <w:rPr>
                <w:b/>
                <w:sz w:val="24"/>
              </w:rPr>
              <w:t>格式要求</w:t>
            </w:r>
          </w:p>
        </w:tc>
      </w:tr>
      <w:tr w14:paraId="2058A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BA1EB56">
            <w:pPr>
              <w:tabs>
                <w:tab w:val="left" w:pos="1080"/>
              </w:tabs>
              <w:snapToGrid w:val="0"/>
              <w:jc w:val="center"/>
              <w:rPr>
                <w:sz w:val="24"/>
              </w:rPr>
            </w:pPr>
            <w:r>
              <w:rPr>
                <w:sz w:val="24"/>
              </w:rPr>
              <w:t>1</w:t>
            </w:r>
          </w:p>
        </w:tc>
        <w:tc>
          <w:tcPr>
            <w:tcW w:w="1934" w:type="dxa"/>
            <w:vAlign w:val="center"/>
          </w:tcPr>
          <w:p w14:paraId="7DCDFD22">
            <w:pPr>
              <w:tabs>
                <w:tab w:val="left" w:pos="1080"/>
              </w:tabs>
              <w:snapToGrid w:val="0"/>
              <w:rPr>
                <w:sz w:val="24"/>
              </w:rPr>
            </w:pPr>
            <w:r>
              <w:rPr>
                <w:sz w:val="24"/>
              </w:rPr>
              <w:t>满足《中华人民共和国政府采购法》第二十二条规定及法律法规的其他规定</w:t>
            </w:r>
          </w:p>
        </w:tc>
        <w:tc>
          <w:tcPr>
            <w:tcW w:w="4705" w:type="dxa"/>
            <w:vAlign w:val="center"/>
          </w:tcPr>
          <w:p w14:paraId="6274F8B6">
            <w:pPr>
              <w:tabs>
                <w:tab w:val="left" w:pos="1080"/>
              </w:tabs>
              <w:snapToGrid w:val="0"/>
              <w:rPr>
                <w:sz w:val="24"/>
              </w:rPr>
            </w:pPr>
            <w:r>
              <w:rPr>
                <w:sz w:val="24"/>
              </w:rPr>
              <w:t>具体规定见第一章《投标邀请》</w:t>
            </w:r>
          </w:p>
        </w:tc>
        <w:tc>
          <w:tcPr>
            <w:tcW w:w="1599" w:type="dxa"/>
            <w:vAlign w:val="center"/>
          </w:tcPr>
          <w:p w14:paraId="3C764598">
            <w:pPr>
              <w:tabs>
                <w:tab w:val="left" w:pos="1080"/>
              </w:tabs>
              <w:snapToGrid w:val="0"/>
              <w:rPr>
                <w:sz w:val="24"/>
              </w:rPr>
            </w:pPr>
          </w:p>
        </w:tc>
      </w:tr>
      <w:tr w14:paraId="31B0B8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4D0A557">
            <w:pPr>
              <w:tabs>
                <w:tab w:val="left" w:pos="1080"/>
              </w:tabs>
              <w:snapToGrid w:val="0"/>
              <w:jc w:val="center"/>
              <w:rPr>
                <w:sz w:val="24"/>
              </w:rPr>
            </w:pPr>
            <w:r>
              <w:rPr>
                <w:sz w:val="24"/>
              </w:rPr>
              <w:t>1-1</w:t>
            </w:r>
          </w:p>
        </w:tc>
        <w:tc>
          <w:tcPr>
            <w:tcW w:w="1934" w:type="dxa"/>
            <w:vAlign w:val="center"/>
          </w:tcPr>
          <w:p w14:paraId="5363C04A">
            <w:pPr>
              <w:tabs>
                <w:tab w:val="left" w:pos="1080"/>
              </w:tabs>
              <w:snapToGrid w:val="0"/>
              <w:rPr>
                <w:sz w:val="24"/>
              </w:rPr>
            </w:pPr>
            <w:r>
              <w:rPr>
                <w:sz w:val="24"/>
              </w:rPr>
              <w:t>营业执照等证明文件</w:t>
            </w:r>
          </w:p>
        </w:tc>
        <w:tc>
          <w:tcPr>
            <w:tcW w:w="4705" w:type="dxa"/>
            <w:vAlign w:val="center"/>
          </w:tcPr>
          <w:p w14:paraId="34D4ADE0">
            <w:pPr>
              <w:tabs>
                <w:tab w:val="left" w:pos="1080"/>
              </w:tabs>
              <w:snapToGrid w:val="0"/>
              <w:rPr>
                <w:sz w:val="24"/>
              </w:rPr>
            </w:pPr>
            <w:r>
              <w:rPr>
                <w:sz w:val="24"/>
              </w:rPr>
              <w:t>投标人为企业（包括合伙企业）的，应提供有效的“营业执照”；</w:t>
            </w:r>
          </w:p>
          <w:p w14:paraId="5E1F3FCB">
            <w:pPr>
              <w:tabs>
                <w:tab w:val="left" w:pos="1080"/>
              </w:tabs>
              <w:snapToGrid w:val="0"/>
              <w:rPr>
                <w:sz w:val="24"/>
              </w:rPr>
            </w:pPr>
            <w:r>
              <w:rPr>
                <w:sz w:val="24"/>
              </w:rPr>
              <w:t>投标人为事业单位的，应提供有效的“事业单位法人证书”；</w:t>
            </w:r>
          </w:p>
          <w:p w14:paraId="6FDF2B48">
            <w:pPr>
              <w:tabs>
                <w:tab w:val="left" w:pos="1080"/>
              </w:tabs>
              <w:snapToGrid w:val="0"/>
              <w:rPr>
                <w:sz w:val="24"/>
              </w:rPr>
            </w:pPr>
            <w:r>
              <w:rPr>
                <w:rFonts w:hint="eastAsia"/>
                <w:sz w:val="24"/>
              </w:rPr>
              <w:t>投标人是非企业机构的，应提供有效的“执业许可证”、“登记证书”等证明文件；</w:t>
            </w:r>
          </w:p>
          <w:p w14:paraId="5F8C4F82">
            <w:pPr>
              <w:tabs>
                <w:tab w:val="left" w:pos="1080"/>
              </w:tabs>
              <w:snapToGrid w:val="0"/>
              <w:rPr>
                <w:sz w:val="24"/>
              </w:rPr>
            </w:pPr>
            <w:r>
              <w:rPr>
                <w:sz w:val="24"/>
              </w:rPr>
              <w:t>投标人是个体工商户的，应提供有效的“个体工商户营业执照”；</w:t>
            </w:r>
          </w:p>
          <w:p w14:paraId="24D30CDD">
            <w:pPr>
              <w:tabs>
                <w:tab w:val="left" w:pos="1080"/>
              </w:tabs>
              <w:snapToGrid w:val="0"/>
              <w:rPr>
                <w:sz w:val="24"/>
              </w:rPr>
            </w:pPr>
            <w:r>
              <w:rPr>
                <w:sz w:val="24"/>
              </w:rPr>
              <w:t>投标人是自然人的，应提供有效的自然人身份证明。</w:t>
            </w:r>
          </w:p>
          <w:p w14:paraId="4FA13D92">
            <w:pPr>
              <w:tabs>
                <w:tab w:val="left" w:pos="1080"/>
              </w:tabs>
              <w:snapToGrid w:val="0"/>
              <w:rPr>
                <w:color w:val="000000"/>
                <w:sz w:val="24"/>
              </w:rPr>
            </w:pPr>
            <w:r>
              <w:rPr>
                <w:rFonts w:hint="eastAsia"/>
                <w:color w:val="000000"/>
                <w:sz w:val="24"/>
              </w:rPr>
              <w:t>若本项目允许分支机构参加投标，则分支机构参加投标的，此处可提供该分支机构或其所属法人或其他组织的相应证明文件。</w:t>
            </w:r>
          </w:p>
        </w:tc>
        <w:tc>
          <w:tcPr>
            <w:tcW w:w="1599" w:type="dxa"/>
            <w:vAlign w:val="center"/>
          </w:tcPr>
          <w:p w14:paraId="77C3E839">
            <w:pPr>
              <w:tabs>
                <w:tab w:val="left" w:pos="1080"/>
              </w:tabs>
              <w:snapToGrid w:val="0"/>
              <w:rPr>
                <w:sz w:val="24"/>
              </w:rPr>
            </w:pPr>
            <w:r>
              <w:rPr>
                <w:rFonts w:hint="eastAsia"/>
                <w:sz w:val="24"/>
              </w:rPr>
              <w:t>提供相关证件复印件并加盖投标人公章</w:t>
            </w:r>
          </w:p>
        </w:tc>
      </w:tr>
      <w:tr w14:paraId="19B3A2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3B29331">
            <w:pPr>
              <w:tabs>
                <w:tab w:val="left" w:pos="1080"/>
              </w:tabs>
              <w:snapToGrid w:val="0"/>
              <w:jc w:val="center"/>
              <w:rPr>
                <w:sz w:val="24"/>
              </w:rPr>
            </w:pPr>
            <w:r>
              <w:rPr>
                <w:sz w:val="24"/>
              </w:rPr>
              <w:t>1-2</w:t>
            </w:r>
          </w:p>
        </w:tc>
        <w:tc>
          <w:tcPr>
            <w:tcW w:w="1934" w:type="dxa"/>
            <w:vAlign w:val="center"/>
          </w:tcPr>
          <w:p w14:paraId="54C5A2C1">
            <w:pPr>
              <w:tabs>
                <w:tab w:val="left" w:pos="1080"/>
              </w:tabs>
              <w:snapToGrid w:val="0"/>
              <w:rPr>
                <w:sz w:val="24"/>
              </w:rPr>
            </w:pPr>
            <w:r>
              <w:rPr>
                <w:sz w:val="24"/>
              </w:rPr>
              <w:t>投标人资格声明书</w:t>
            </w:r>
          </w:p>
        </w:tc>
        <w:tc>
          <w:tcPr>
            <w:tcW w:w="4705" w:type="dxa"/>
            <w:vAlign w:val="center"/>
          </w:tcPr>
          <w:p w14:paraId="3D01ABCB">
            <w:pPr>
              <w:tabs>
                <w:tab w:val="left" w:pos="1080"/>
              </w:tabs>
              <w:snapToGrid w:val="0"/>
              <w:rPr>
                <w:sz w:val="24"/>
              </w:rPr>
            </w:pPr>
            <w:r>
              <w:rPr>
                <w:sz w:val="24"/>
              </w:rPr>
              <w:t>提供了符合招标文件要求的《投标人资格声明书》。</w:t>
            </w:r>
          </w:p>
        </w:tc>
        <w:tc>
          <w:tcPr>
            <w:tcW w:w="1599" w:type="dxa"/>
            <w:vAlign w:val="center"/>
          </w:tcPr>
          <w:p w14:paraId="042850E2">
            <w:pPr>
              <w:tabs>
                <w:tab w:val="left" w:pos="1080"/>
              </w:tabs>
              <w:snapToGrid w:val="0"/>
              <w:rPr>
                <w:sz w:val="24"/>
              </w:rPr>
            </w:pPr>
            <w:r>
              <w:rPr>
                <w:sz w:val="24"/>
              </w:rPr>
              <w:t>格式见《投标文件格式》</w:t>
            </w:r>
          </w:p>
        </w:tc>
      </w:tr>
      <w:tr w14:paraId="604044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B617B68">
            <w:pPr>
              <w:tabs>
                <w:tab w:val="left" w:pos="1080"/>
              </w:tabs>
              <w:snapToGrid w:val="0"/>
              <w:jc w:val="center"/>
              <w:rPr>
                <w:sz w:val="24"/>
              </w:rPr>
            </w:pPr>
            <w:r>
              <w:rPr>
                <w:rFonts w:hint="eastAsia"/>
                <w:sz w:val="24"/>
              </w:rPr>
              <w:t>1-</w:t>
            </w:r>
            <w:r>
              <w:rPr>
                <w:sz w:val="24"/>
              </w:rPr>
              <w:t>3</w:t>
            </w:r>
          </w:p>
        </w:tc>
        <w:tc>
          <w:tcPr>
            <w:tcW w:w="1934" w:type="dxa"/>
            <w:vAlign w:val="center"/>
          </w:tcPr>
          <w:p w14:paraId="05C7FD35">
            <w:pPr>
              <w:tabs>
                <w:tab w:val="left" w:pos="1080"/>
              </w:tabs>
              <w:snapToGrid w:val="0"/>
              <w:rPr>
                <w:sz w:val="24"/>
              </w:rPr>
            </w:pPr>
            <w:r>
              <w:rPr>
                <w:sz w:val="24"/>
              </w:rPr>
              <w:t>投标人信用记录</w:t>
            </w:r>
          </w:p>
        </w:tc>
        <w:tc>
          <w:tcPr>
            <w:tcW w:w="4705" w:type="dxa"/>
            <w:vAlign w:val="center"/>
          </w:tcPr>
          <w:p w14:paraId="6449851C">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73847F7A">
            <w:pPr>
              <w:tabs>
                <w:tab w:val="left" w:pos="900"/>
                <w:tab w:val="left" w:pos="1980"/>
              </w:tabs>
              <w:snapToGrid w:val="0"/>
              <w:rPr>
                <w:sz w:val="24"/>
              </w:rPr>
            </w:pPr>
            <w:r>
              <w:rPr>
                <w:sz w:val="24"/>
              </w:rPr>
              <w:t>截止时点：投标截止时间以后、</w:t>
            </w:r>
            <w:r>
              <w:rPr>
                <w:rFonts w:hint="eastAsia"/>
                <w:sz w:val="24"/>
              </w:rPr>
              <w:t>资格审查阶段采购人或</w:t>
            </w:r>
            <w:r>
              <w:rPr>
                <w:sz w:val="24"/>
              </w:rPr>
              <w:t>采购代理机构的实际查询时间；</w:t>
            </w:r>
          </w:p>
          <w:p w14:paraId="3D1B5246">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5C301115">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3B0C41AC">
            <w:pPr>
              <w:tabs>
                <w:tab w:val="left" w:pos="1080"/>
              </w:tabs>
              <w:snapToGrid w:val="0"/>
              <w:rPr>
                <w:sz w:val="24"/>
              </w:rPr>
            </w:pPr>
            <w:r>
              <w:rPr>
                <w:sz w:val="24"/>
              </w:rPr>
              <w:t>无须投标人提供，由采购人或采购代理机构查询。</w:t>
            </w:r>
          </w:p>
        </w:tc>
      </w:tr>
      <w:tr w14:paraId="1E730B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1C971E27">
            <w:pPr>
              <w:tabs>
                <w:tab w:val="left" w:pos="1080"/>
              </w:tabs>
              <w:snapToGrid w:val="0"/>
              <w:jc w:val="center"/>
              <w:rPr>
                <w:sz w:val="24"/>
              </w:rPr>
            </w:pPr>
            <w:r>
              <w:rPr>
                <w:sz w:val="24"/>
              </w:rPr>
              <w:t>2</w:t>
            </w:r>
          </w:p>
        </w:tc>
        <w:tc>
          <w:tcPr>
            <w:tcW w:w="1934" w:type="dxa"/>
            <w:vAlign w:val="center"/>
          </w:tcPr>
          <w:p w14:paraId="6C6C8353">
            <w:pPr>
              <w:tabs>
                <w:tab w:val="left" w:pos="1080"/>
              </w:tabs>
              <w:snapToGrid w:val="0"/>
              <w:rPr>
                <w:sz w:val="24"/>
              </w:rPr>
            </w:pPr>
            <w:r>
              <w:rPr>
                <w:sz w:val="24"/>
              </w:rPr>
              <w:t>落实政府采购政策需满足的资格要求</w:t>
            </w:r>
          </w:p>
        </w:tc>
        <w:tc>
          <w:tcPr>
            <w:tcW w:w="4705" w:type="dxa"/>
            <w:vAlign w:val="center"/>
          </w:tcPr>
          <w:p w14:paraId="19F6FA18">
            <w:pPr>
              <w:tabs>
                <w:tab w:val="left" w:pos="1080"/>
              </w:tabs>
              <w:snapToGrid w:val="0"/>
              <w:rPr>
                <w:sz w:val="24"/>
              </w:rPr>
            </w:pPr>
            <w:r>
              <w:rPr>
                <w:sz w:val="24"/>
              </w:rPr>
              <w:t>具体要求见第一章《投标邀请》</w:t>
            </w:r>
          </w:p>
        </w:tc>
        <w:tc>
          <w:tcPr>
            <w:tcW w:w="1599" w:type="dxa"/>
            <w:vAlign w:val="center"/>
          </w:tcPr>
          <w:p w14:paraId="32E536C6">
            <w:pPr>
              <w:tabs>
                <w:tab w:val="left" w:pos="1080"/>
              </w:tabs>
              <w:snapToGrid w:val="0"/>
              <w:rPr>
                <w:sz w:val="24"/>
              </w:rPr>
            </w:pPr>
          </w:p>
        </w:tc>
      </w:tr>
      <w:tr w14:paraId="740B12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3E89D845">
            <w:pPr>
              <w:tabs>
                <w:tab w:val="left" w:pos="1080"/>
              </w:tabs>
              <w:snapToGrid w:val="0"/>
              <w:jc w:val="center"/>
              <w:rPr>
                <w:sz w:val="24"/>
              </w:rPr>
            </w:pPr>
            <w:r>
              <w:rPr>
                <w:sz w:val="24"/>
              </w:rPr>
              <w:t>2-1</w:t>
            </w:r>
          </w:p>
        </w:tc>
        <w:tc>
          <w:tcPr>
            <w:tcW w:w="1934" w:type="dxa"/>
            <w:vAlign w:val="center"/>
          </w:tcPr>
          <w:p w14:paraId="493AA515">
            <w:pPr>
              <w:tabs>
                <w:tab w:val="left" w:pos="1080"/>
              </w:tabs>
              <w:snapToGrid w:val="0"/>
              <w:rPr>
                <w:sz w:val="24"/>
              </w:rPr>
            </w:pPr>
            <w:r>
              <w:rPr>
                <w:sz w:val="24"/>
              </w:rPr>
              <w:t>中小企业声明函</w:t>
            </w:r>
          </w:p>
        </w:tc>
        <w:tc>
          <w:tcPr>
            <w:tcW w:w="4705" w:type="dxa"/>
            <w:vAlign w:val="center"/>
          </w:tcPr>
          <w:p w14:paraId="69DC048C">
            <w:pPr>
              <w:tabs>
                <w:tab w:val="left" w:pos="1080"/>
              </w:tabs>
              <w:snapToGrid w:val="0"/>
              <w:rPr>
                <w:sz w:val="24"/>
              </w:rPr>
            </w:pPr>
            <w:r>
              <w:rPr>
                <w:sz w:val="24"/>
              </w:rPr>
              <w:t>当本项目（包）涉及预留份额专门面向中小企业采购</w:t>
            </w:r>
            <w:r>
              <w:rPr>
                <w:rFonts w:hint="eastAsia"/>
                <w:sz w:val="24"/>
              </w:rPr>
              <w:t>，</w:t>
            </w:r>
            <w:r>
              <w:rPr>
                <w:sz w:val="24"/>
              </w:rPr>
              <w:t>此时建议在《资格证明文件》中提供。</w:t>
            </w:r>
          </w:p>
          <w:p w14:paraId="38A75A9B">
            <w:pPr>
              <w:tabs>
                <w:tab w:val="left" w:pos="1080"/>
              </w:tabs>
              <w:snapToGrid w:val="0"/>
              <w:rPr>
                <w:sz w:val="24"/>
              </w:rPr>
            </w:pPr>
            <w:r>
              <w:rPr>
                <w:rFonts w:hint="eastAsia"/>
                <w:sz w:val="24"/>
              </w:rPr>
              <w:t>1、投标人单独投标的，应提供中小企业声明函；如为监狱企业或</w:t>
            </w:r>
            <w:r>
              <w:rPr>
                <w:sz w:val="24"/>
              </w:rPr>
              <w:t>残疾人福利性单位</w:t>
            </w:r>
            <w:r>
              <w:rPr>
                <w:rFonts w:hint="eastAsia"/>
                <w:sz w:val="24"/>
              </w:rPr>
              <w:t>，不必提供中小企业声明函，但须按注1或注2要求提供证明材料。</w:t>
            </w:r>
          </w:p>
          <w:p w14:paraId="074BCDCB">
            <w:pPr>
              <w:tabs>
                <w:tab w:val="left" w:pos="1080"/>
              </w:tabs>
              <w:snapToGrid w:val="0"/>
              <w:rPr>
                <w:sz w:val="24"/>
              </w:rPr>
            </w:pPr>
            <w:r>
              <w:rPr>
                <w:rFonts w:hint="eastAsia"/>
                <w:sz w:val="24"/>
              </w:rPr>
              <w:t>2、如招标文件</w:t>
            </w:r>
            <w:r>
              <w:rPr>
                <w:sz w:val="24"/>
              </w:rPr>
              <w:t>要求以联合体形式参加或者要求合同分包的，</w:t>
            </w:r>
            <w:r>
              <w:rPr>
                <w:rFonts w:hint="eastAsia"/>
                <w:sz w:val="24"/>
              </w:rPr>
              <w:t>且投标人为联合体或拟进行合同分包的，则</w:t>
            </w:r>
            <w:r>
              <w:rPr>
                <w:sz w:val="24"/>
              </w:rPr>
              <w:t>联合体中的中小企业、签订分包意向协议的中小企业具体情况须在《中小企业声明函》中如实填报。</w:t>
            </w:r>
            <w:r>
              <w:rPr>
                <w:rFonts w:hint="eastAsia"/>
                <w:sz w:val="24"/>
              </w:rPr>
              <w:t>上述中小企业如为监狱企业或</w:t>
            </w:r>
            <w:r>
              <w:rPr>
                <w:sz w:val="24"/>
              </w:rPr>
              <w:t>残疾人福利性单位</w:t>
            </w:r>
            <w:r>
              <w:rPr>
                <w:rFonts w:hint="eastAsia"/>
                <w:sz w:val="24"/>
              </w:rPr>
              <w:t>应在声明函中如实列明单位性质，并按注1或注2要求提供证明材料。</w:t>
            </w:r>
          </w:p>
          <w:p w14:paraId="0222A44A">
            <w:pPr>
              <w:tabs>
                <w:tab w:val="left" w:pos="1080"/>
              </w:tabs>
              <w:snapToGrid w:val="0"/>
              <w:rPr>
                <w:sz w:val="24"/>
              </w:rPr>
            </w:pPr>
          </w:p>
          <w:p w14:paraId="06055F90">
            <w:pPr>
              <w:tabs>
                <w:tab w:val="left" w:pos="1080"/>
              </w:tabs>
              <w:snapToGrid w:val="0"/>
              <w:rPr>
                <w:sz w:val="24"/>
              </w:rPr>
            </w:pPr>
            <w:r>
              <w:rPr>
                <w:rFonts w:hint="eastAsia"/>
                <w:sz w:val="24"/>
              </w:rPr>
              <w:t>注1：</w:t>
            </w:r>
            <w:r>
              <w:rPr>
                <w:sz w:val="24"/>
              </w:rPr>
              <w:t>监狱企业须提供由省级以上监狱管理局（北京市含教育矫治局）、戒毒管理局（含新疆生产建设兵团）出具的属于监狱企业的证明文件。</w:t>
            </w:r>
          </w:p>
          <w:p w14:paraId="172FBF08">
            <w:pPr>
              <w:tabs>
                <w:tab w:val="left" w:pos="1080"/>
              </w:tabs>
              <w:snapToGrid w:val="0"/>
              <w:rPr>
                <w:sz w:val="24"/>
              </w:rPr>
            </w:pPr>
            <w:r>
              <w:rPr>
                <w:rFonts w:hint="eastAsia"/>
                <w:sz w:val="24"/>
              </w:rPr>
              <w:t>注2：</w:t>
            </w:r>
            <w:r>
              <w:rPr>
                <w:sz w:val="24"/>
              </w:rPr>
              <w:t>残疾人福利性单位须按招标文件要求提供《残疾人福利性单位声明函》。</w:t>
            </w:r>
          </w:p>
        </w:tc>
        <w:tc>
          <w:tcPr>
            <w:tcW w:w="1599" w:type="dxa"/>
            <w:vAlign w:val="center"/>
          </w:tcPr>
          <w:p w14:paraId="1DC0445B">
            <w:pPr>
              <w:tabs>
                <w:tab w:val="left" w:pos="1080"/>
              </w:tabs>
              <w:snapToGrid w:val="0"/>
              <w:rPr>
                <w:sz w:val="24"/>
              </w:rPr>
            </w:pPr>
            <w:r>
              <w:rPr>
                <w:sz w:val="24"/>
              </w:rPr>
              <w:t>格式见《投标文件格式》</w:t>
            </w:r>
          </w:p>
        </w:tc>
      </w:tr>
      <w:tr w14:paraId="3F3314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7E35CE4">
            <w:pPr>
              <w:tabs>
                <w:tab w:val="left" w:pos="1080"/>
              </w:tabs>
              <w:snapToGrid w:val="0"/>
              <w:jc w:val="center"/>
              <w:rPr>
                <w:sz w:val="24"/>
              </w:rPr>
            </w:pPr>
            <w:r>
              <w:rPr>
                <w:sz w:val="24"/>
              </w:rPr>
              <w:t>2-2</w:t>
            </w:r>
          </w:p>
        </w:tc>
        <w:tc>
          <w:tcPr>
            <w:tcW w:w="1934" w:type="dxa"/>
            <w:vAlign w:val="center"/>
          </w:tcPr>
          <w:p w14:paraId="186F8041">
            <w:pPr>
              <w:tabs>
                <w:tab w:val="left" w:pos="1080"/>
              </w:tabs>
              <w:snapToGrid w:val="0"/>
              <w:rPr>
                <w:sz w:val="24"/>
              </w:rPr>
            </w:pPr>
            <w:r>
              <w:rPr>
                <w:sz w:val="24"/>
              </w:rPr>
              <w:t>拟分包情况说明及分包意向协议（类型一）</w:t>
            </w:r>
          </w:p>
        </w:tc>
        <w:tc>
          <w:tcPr>
            <w:tcW w:w="4705" w:type="dxa"/>
            <w:vAlign w:val="center"/>
          </w:tcPr>
          <w:p w14:paraId="089806E6">
            <w:pPr>
              <w:tabs>
                <w:tab w:val="left" w:pos="1080"/>
              </w:tabs>
              <w:snapToGrid w:val="0"/>
              <w:rPr>
                <w:sz w:val="24"/>
              </w:rPr>
            </w:pPr>
            <w:r>
              <w:rPr>
                <w:sz w:val="24"/>
              </w:rPr>
              <w:t>如本项目（包）要求通过分包措施预留部分采购份额面向中小企业采购、且投标人因落实政府采购政策拟进行分包的，必须提供；否则无须提供。</w:t>
            </w:r>
          </w:p>
          <w:p w14:paraId="4B4D4B65">
            <w:pPr>
              <w:tabs>
                <w:tab w:val="left" w:pos="1080"/>
              </w:tabs>
              <w:snapToGrid w:val="0"/>
              <w:rPr>
                <w:b/>
                <w:sz w:val="24"/>
              </w:rPr>
            </w:pPr>
            <w:r>
              <w:rPr>
                <w:sz w:val="24"/>
              </w:rPr>
              <w:t>对于预留份额专门面向中小企业采购的项目（包），组成联合体或者接受分包合同的中小企业与联合体内其他企业、分包企业之间不得存在直接控股、管理关系。</w:t>
            </w:r>
          </w:p>
        </w:tc>
        <w:tc>
          <w:tcPr>
            <w:tcW w:w="1599" w:type="dxa"/>
            <w:vAlign w:val="center"/>
          </w:tcPr>
          <w:p w14:paraId="6F52311D">
            <w:pPr>
              <w:tabs>
                <w:tab w:val="left" w:pos="1080"/>
              </w:tabs>
              <w:snapToGrid w:val="0"/>
              <w:rPr>
                <w:sz w:val="24"/>
              </w:rPr>
            </w:pPr>
            <w:r>
              <w:rPr>
                <w:sz w:val="24"/>
              </w:rPr>
              <w:t>格式见《投标文件格式》</w:t>
            </w:r>
          </w:p>
        </w:tc>
      </w:tr>
      <w:tr w14:paraId="5B3DDA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259533EE">
            <w:pPr>
              <w:tabs>
                <w:tab w:val="left" w:pos="1080"/>
              </w:tabs>
              <w:snapToGrid w:val="0"/>
              <w:jc w:val="center"/>
              <w:rPr>
                <w:sz w:val="24"/>
              </w:rPr>
            </w:pPr>
            <w:r>
              <w:rPr>
                <w:sz w:val="24"/>
              </w:rPr>
              <w:t>2-3</w:t>
            </w:r>
          </w:p>
        </w:tc>
        <w:tc>
          <w:tcPr>
            <w:tcW w:w="1934" w:type="dxa"/>
            <w:vAlign w:val="center"/>
          </w:tcPr>
          <w:p w14:paraId="67F5F8F1">
            <w:pPr>
              <w:tabs>
                <w:tab w:val="left" w:pos="1080"/>
              </w:tabs>
              <w:snapToGrid w:val="0"/>
              <w:rPr>
                <w:sz w:val="24"/>
              </w:rPr>
            </w:pPr>
            <w:r>
              <w:rPr>
                <w:sz w:val="24"/>
              </w:rPr>
              <w:t>其它落实政府采购政策的资格要求</w:t>
            </w:r>
          </w:p>
        </w:tc>
        <w:tc>
          <w:tcPr>
            <w:tcW w:w="4705" w:type="dxa"/>
            <w:vAlign w:val="center"/>
          </w:tcPr>
          <w:p w14:paraId="625C1A54">
            <w:pPr>
              <w:tabs>
                <w:tab w:val="left" w:pos="1080"/>
              </w:tabs>
              <w:snapToGrid w:val="0"/>
              <w:rPr>
                <w:sz w:val="24"/>
              </w:rPr>
            </w:pPr>
            <w:r>
              <w:rPr>
                <w:sz w:val="24"/>
              </w:rPr>
              <w:t>如有，见第一章《投标邀请》</w:t>
            </w:r>
          </w:p>
        </w:tc>
        <w:tc>
          <w:tcPr>
            <w:tcW w:w="1599" w:type="dxa"/>
            <w:vAlign w:val="center"/>
          </w:tcPr>
          <w:p w14:paraId="026AEE1F">
            <w:pPr>
              <w:tabs>
                <w:tab w:val="left" w:pos="1080"/>
              </w:tabs>
              <w:snapToGrid w:val="0"/>
              <w:rPr>
                <w:sz w:val="24"/>
              </w:rPr>
            </w:pPr>
            <w:r>
              <w:rPr>
                <w:rFonts w:hint="eastAsia"/>
                <w:sz w:val="24"/>
              </w:rPr>
              <w:t>提供相关证件复印件并加盖投标人公章</w:t>
            </w:r>
          </w:p>
        </w:tc>
      </w:tr>
      <w:tr w14:paraId="4DB219A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6EF16628">
            <w:pPr>
              <w:tabs>
                <w:tab w:val="left" w:pos="1080"/>
              </w:tabs>
              <w:snapToGrid w:val="0"/>
              <w:jc w:val="center"/>
              <w:rPr>
                <w:sz w:val="24"/>
              </w:rPr>
            </w:pPr>
            <w:r>
              <w:rPr>
                <w:sz w:val="24"/>
              </w:rPr>
              <w:t>3</w:t>
            </w:r>
          </w:p>
        </w:tc>
        <w:tc>
          <w:tcPr>
            <w:tcW w:w="1934" w:type="dxa"/>
            <w:vAlign w:val="center"/>
          </w:tcPr>
          <w:p w14:paraId="3DE90637">
            <w:pPr>
              <w:tabs>
                <w:tab w:val="left" w:pos="1080"/>
              </w:tabs>
              <w:snapToGrid w:val="0"/>
              <w:rPr>
                <w:sz w:val="24"/>
              </w:rPr>
            </w:pPr>
            <w:r>
              <w:rPr>
                <w:sz w:val="24"/>
              </w:rPr>
              <w:t>本项目的特定资格要求</w:t>
            </w:r>
          </w:p>
        </w:tc>
        <w:tc>
          <w:tcPr>
            <w:tcW w:w="4705" w:type="dxa"/>
            <w:vAlign w:val="center"/>
          </w:tcPr>
          <w:p w14:paraId="2FA04539">
            <w:pPr>
              <w:tabs>
                <w:tab w:val="left" w:pos="1080"/>
              </w:tabs>
              <w:snapToGrid w:val="0"/>
              <w:rPr>
                <w:sz w:val="24"/>
              </w:rPr>
            </w:pPr>
            <w:r>
              <w:rPr>
                <w:sz w:val="24"/>
              </w:rPr>
              <w:t>如有，见第一章《投标邀请》</w:t>
            </w:r>
          </w:p>
        </w:tc>
        <w:tc>
          <w:tcPr>
            <w:tcW w:w="1599" w:type="dxa"/>
            <w:vAlign w:val="center"/>
          </w:tcPr>
          <w:p w14:paraId="328C5BFF">
            <w:pPr>
              <w:tabs>
                <w:tab w:val="left" w:pos="1080"/>
              </w:tabs>
              <w:snapToGrid w:val="0"/>
              <w:rPr>
                <w:sz w:val="24"/>
              </w:rPr>
            </w:pPr>
          </w:p>
        </w:tc>
      </w:tr>
      <w:tr w14:paraId="30F5F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548" w:hRule="atLeast"/>
        </w:trPr>
        <w:tc>
          <w:tcPr>
            <w:tcW w:w="824" w:type="dxa"/>
            <w:vAlign w:val="center"/>
          </w:tcPr>
          <w:p w14:paraId="448E2714">
            <w:pPr>
              <w:tabs>
                <w:tab w:val="left" w:pos="1080"/>
              </w:tabs>
              <w:snapToGrid w:val="0"/>
              <w:jc w:val="center"/>
              <w:rPr>
                <w:sz w:val="24"/>
              </w:rPr>
            </w:pPr>
            <w:r>
              <w:rPr>
                <w:sz w:val="24"/>
              </w:rPr>
              <w:t>3-1</w:t>
            </w:r>
          </w:p>
        </w:tc>
        <w:tc>
          <w:tcPr>
            <w:tcW w:w="1934" w:type="dxa"/>
            <w:vAlign w:val="center"/>
          </w:tcPr>
          <w:p w14:paraId="1C7E1232">
            <w:pPr>
              <w:tabs>
                <w:tab w:val="left" w:pos="1080"/>
              </w:tabs>
              <w:snapToGrid w:val="0"/>
              <w:rPr>
                <w:sz w:val="24"/>
              </w:rPr>
            </w:pPr>
            <w:r>
              <w:rPr>
                <w:sz w:val="24"/>
              </w:rPr>
              <w:t>是否接受联合体投标</w:t>
            </w:r>
          </w:p>
        </w:tc>
        <w:tc>
          <w:tcPr>
            <w:tcW w:w="4705" w:type="dxa"/>
            <w:vAlign w:val="center"/>
          </w:tcPr>
          <w:p w14:paraId="2B8CB92B">
            <w:pPr>
              <w:tabs>
                <w:tab w:val="left" w:pos="1080"/>
              </w:tabs>
              <w:snapToGrid w:val="0"/>
              <w:rPr>
                <w:sz w:val="24"/>
              </w:rPr>
            </w:pPr>
            <w:r>
              <w:rPr>
                <w:sz w:val="24"/>
              </w:rPr>
              <w:t>1、如本项目接受联合体投标，且投标人为联合体时必须提供《联合协议》，明确各方拟承担的工作和责任，并指定联合体牵头人，授权其代表所有联合体成员负责本项目投标和合同实施阶段的</w:t>
            </w:r>
            <w:r>
              <w:rPr>
                <w:rFonts w:hint="eastAsia"/>
                <w:sz w:val="24"/>
              </w:rPr>
              <w:t>牵头</w:t>
            </w:r>
            <w:r>
              <w:rPr>
                <w:sz w:val="24"/>
              </w:rPr>
              <w:t>、协调工作。该联合协议应当作为投标文件的组成部分，与投标文件其他内容同时递交。</w:t>
            </w:r>
          </w:p>
          <w:p w14:paraId="50A87884">
            <w:pPr>
              <w:tabs>
                <w:tab w:val="left" w:pos="1080"/>
              </w:tabs>
              <w:snapToGrid w:val="0"/>
              <w:rPr>
                <w:sz w:val="24"/>
              </w:rPr>
            </w:pPr>
            <w:r>
              <w:rPr>
                <w:sz w:val="24"/>
              </w:rPr>
              <w:t>2、</w:t>
            </w:r>
            <w:r>
              <w:rPr>
                <w:rFonts w:hint="eastAsia"/>
                <w:sz w:val="24"/>
              </w:rPr>
              <w:t>联合体各成员单位均须提供本表中序号1-1、1-2的证明文件。</w:t>
            </w:r>
          </w:p>
          <w:p w14:paraId="6A244E3F">
            <w:pPr>
              <w:tabs>
                <w:tab w:val="left" w:pos="1080"/>
              </w:tabs>
              <w:snapToGrid w:val="0"/>
              <w:rPr>
                <w:sz w:val="24"/>
              </w:rPr>
            </w:pPr>
            <w:r>
              <w:rPr>
                <w:rFonts w:hint="eastAsia"/>
                <w:sz w:val="24"/>
              </w:rPr>
              <w:t>3、本表序号3-2项规定的其他特定资格要求中的每一小项要求，联合体各方中至少应当有一方符合本表中其他资格要求并提供证明文件。</w:t>
            </w:r>
          </w:p>
          <w:p w14:paraId="0DDAAF1E">
            <w:pPr>
              <w:tabs>
                <w:tab w:val="left" w:pos="1080"/>
              </w:tabs>
              <w:snapToGrid w:val="0"/>
              <w:rPr>
                <w:sz w:val="24"/>
              </w:rPr>
            </w:pPr>
            <w:r>
              <w:rPr>
                <w:rFonts w:hint="eastAsia"/>
                <w:sz w:val="24"/>
              </w:rPr>
              <w:t>4</w:t>
            </w:r>
            <w:r>
              <w:rPr>
                <w:sz w:val="24"/>
              </w:rPr>
              <w:t>、联合体中有同类资质的供应商按照联合体分工承担相同工作的，应当按照资质等级较低的供应商确定资质等级。</w:t>
            </w:r>
          </w:p>
          <w:p w14:paraId="197CB86A">
            <w:pPr>
              <w:tabs>
                <w:tab w:val="left" w:pos="1080"/>
              </w:tabs>
              <w:snapToGrid w:val="0"/>
              <w:rPr>
                <w:sz w:val="24"/>
              </w:rPr>
            </w:pPr>
            <w:r>
              <w:rPr>
                <w:sz w:val="24"/>
              </w:rPr>
              <w:t>5、以联合体形式参加政府采购活动的，联合体各方不得再单独参加或者与其他供应商另外组成联合体参加同一合同项下的政府采购活动。</w:t>
            </w:r>
          </w:p>
          <w:p w14:paraId="60BB7BEB">
            <w:pPr>
              <w:tabs>
                <w:tab w:val="left" w:pos="1080"/>
              </w:tabs>
              <w:snapToGrid w:val="0"/>
              <w:rPr>
                <w:sz w:val="24"/>
              </w:rPr>
            </w:pPr>
            <w:r>
              <w:rPr>
                <w:sz w:val="24"/>
              </w:rPr>
              <w:t>6、若联合体中任一成员单位中途退出，则该联合体的</w:t>
            </w:r>
            <w:r>
              <w:rPr>
                <w:b/>
                <w:sz w:val="24"/>
              </w:rPr>
              <w:t>投标无效</w:t>
            </w:r>
            <w:r>
              <w:rPr>
                <w:sz w:val="24"/>
              </w:rPr>
              <w:t>。</w:t>
            </w:r>
          </w:p>
          <w:p w14:paraId="138DD62B">
            <w:pPr>
              <w:tabs>
                <w:tab w:val="left" w:pos="1080"/>
              </w:tabs>
              <w:snapToGrid w:val="0"/>
              <w:rPr>
                <w:sz w:val="24"/>
              </w:rPr>
            </w:pPr>
            <w:r>
              <w:rPr>
                <w:sz w:val="24"/>
              </w:rPr>
              <w:t>7、本项目不接受联合体投标</w:t>
            </w:r>
            <w:r>
              <w:rPr>
                <w:rFonts w:hint="eastAsia"/>
                <w:sz w:val="24"/>
              </w:rPr>
              <w:t>时</w:t>
            </w:r>
            <w:r>
              <w:rPr>
                <w:sz w:val="24"/>
              </w:rPr>
              <w:t>，</w:t>
            </w:r>
            <w:r>
              <w:rPr>
                <w:rFonts w:hint="eastAsia"/>
                <w:sz w:val="24"/>
              </w:rPr>
              <w:t>投标人不得为联合体</w:t>
            </w:r>
            <w:r>
              <w:rPr>
                <w:sz w:val="24"/>
              </w:rPr>
              <w:t>。</w:t>
            </w:r>
          </w:p>
        </w:tc>
        <w:tc>
          <w:tcPr>
            <w:tcW w:w="1599" w:type="dxa"/>
            <w:vAlign w:val="center"/>
          </w:tcPr>
          <w:p w14:paraId="435DE366">
            <w:pPr>
              <w:tabs>
                <w:tab w:val="left" w:pos="1080"/>
              </w:tabs>
              <w:snapToGrid w:val="0"/>
              <w:rPr>
                <w:sz w:val="24"/>
              </w:rPr>
            </w:pPr>
            <w:r>
              <w:rPr>
                <w:sz w:val="24"/>
              </w:rPr>
              <w:t>提供《联合协议》</w:t>
            </w:r>
            <w:r>
              <w:rPr>
                <w:rFonts w:hint="eastAsia"/>
                <w:sz w:val="24"/>
              </w:rPr>
              <w:t>原</w:t>
            </w:r>
            <w:r>
              <w:rPr>
                <w:sz w:val="24"/>
              </w:rPr>
              <w:t>件</w:t>
            </w:r>
          </w:p>
          <w:p w14:paraId="03E9873E">
            <w:pPr>
              <w:tabs>
                <w:tab w:val="left" w:pos="1080"/>
              </w:tabs>
              <w:snapToGrid w:val="0"/>
              <w:rPr>
                <w:sz w:val="24"/>
              </w:rPr>
            </w:pPr>
            <w:r>
              <w:rPr>
                <w:sz w:val="24"/>
              </w:rPr>
              <w:t>格式见《投标文件格式》</w:t>
            </w:r>
          </w:p>
        </w:tc>
      </w:tr>
      <w:tr w14:paraId="5FD84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0" w:hRule="atLeast"/>
        </w:trPr>
        <w:tc>
          <w:tcPr>
            <w:tcW w:w="824" w:type="dxa"/>
            <w:vAlign w:val="center"/>
          </w:tcPr>
          <w:p w14:paraId="673A73E6">
            <w:pPr>
              <w:tabs>
                <w:tab w:val="left" w:pos="1080"/>
              </w:tabs>
              <w:snapToGrid w:val="0"/>
              <w:jc w:val="center"/>
              <w:rPr>
                <w:sz w:val="24"/>
              </w:rPr>
            </w:pPr>
            <w:r>
              <w:rPr>
                <w:sz w:val="24"/>
              </w:rPr>
              <w:t>3-2</w:t>
            </w:r>
          </w:p>
        </w:tc>
        <w:tc>
          <w:tcPr>
            <w:tcW w:w="1934" w:type="dxa"/>
            <w:vAlign w:val="center"/>
          </w:tcPr>
          <w:p w14:paraId="487D2295">
            <w:pPr>
              <w:tabs>
                <w:tab w:val="left" w:pos="1080"/>
              </w:tabs>
              <w:snapToGrid w:val="0"/>
              <w:rPr>
                <w:sz w:val="24"/>
              </w:rPr>
            </w:pPr>
            <w:r>
              <w:rPr>
                <w:sz w:val="24"/>
              </w:rPr>
              <w:t>其他特定资格要求</w:t>
            </w:r>
          </w:p>
        </w:tc>
        <w:tc>
          <w:tcPr>
            <w:tcW w:w="4705" w:type="dxa"/>
            <w:vAlign w:val="center"/>
          </w:tcPr>
          <w:p w14:paraId="03A49AC7">
            <w:pPr>
              <w:tabs>
                <w:tab w:val="left" w:pos="1080"/>
              </w:tabs>
              <w:snapToGrid w:val="0"/>
              <w:rPr>
                <w:sz w:val="24"/>
              </w:rPr>
            </w:pPr>
            <w:r>
              <w:rPr>
                <w:rFonts w:hint="eastAsia"/>
                <w:color w:val="000000"/>
                <w:sz w:val="24"/>
              </w:rPr>
              <w:t>详见第一章“</w:t>
            </w:r>
            <w:r>
              <w:rPr>
                <w:sz w:val="24"/>
              </w:rPr>
              <w:t>其他特定资格要求</w:t>
            </w:r>
            <w:r>
              <w:rPr>
                <w:rFonts w:hint="eastAsia"/>
                <w:color w:val="000000"/>
                <w:sz w:val="24"/>
              </w:rPr>
              <w:t>”</w:t>
            </w:r>
          </w:p>
        </w:tc>
        <w:tc>
          <w:tcPr>
            <w:tcW w:w="1599" w:type="dxa"/>
            <w:vAlign w:val="center"/>
          </w:tcPr>
          <w:p w14:paraId="5CD2864E">
            <w:pPr>
              <w:tabs>
                <w:tab w:val="left" w:pos="1080"/>
              </w:tabs>
              <w:snapToGrid w:val="0"/>
              <w:rPr>
                <w:sz w:val="24"/>
              </w:rPr>
            </w:pPr>
            <w:r>
              <w:rPr>
                <w:rFonts w:hint="eastAsia"/>
                <w:sz w:val="24"/>
              </w:rPr>
              <w:t>除前三项，其余需提供相关证件复印件并加盖投标人公章（如有）</w:t>
            </w:r>
          </w:p>
          <w:p w14:paraId="13773927">
            <w:pPr>
              <w:tabs>
                <w:tab w:val="left" w:pos="1080"/>
              </w:tabs>
              <w:snapToGrid w:val="0"/>
              <w:rPr>
                <w:sz w:val="24"/>
              </w:rPr>
            </w:pPr>
          </w:p>
        </w:tc>
      </w:tr>
      <w:tr w14:paraId="3B8AD6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824" w:type="dxa"/>
            <w:vAlign w:val="center"/>
          </w:tcPr>
          <w:p w14:paraId="070F41CA">
            <w:pPr>
              <w:tabs>
                <w:tab w:val="left" w:pos="1080"/>
              </w:tabs>
              <w:snapToGrid w:val="0"/>
              <w:jc w:val="center"/>
              <w:rPr>
                <w:sz w:val="24"/>
              </w:rPr>
            </w:pPr>
            <w:r>
              <w:rPr>
                <w:sz w:val="24"/>
              </w:rPr>
              <w:t>4</w:t>
            </w:r>
          </w:p>
        </w:tc>
        <w:tc>
          <w:tcPr>
            <w:tcW w:w="1934" w:type="dxa"/>
            <w:vAlign w:val="center"/>
          </w:tcPr>
          <w:p w14:paraId="6F5B8F1D">
            <w:pPr>
              <w:tabs>
                <w:tab w:val="left" w:pos="1080"/>
              </w:tabs>
              <w:snapToGrid w:val="0"/>
              <w:rPr>
                <w:sz w:val="24"/>
              </w:rPr>
            </w:pPr>
            <w:r>
              <w:rPr>
                <w:rFonts w:hint="eastAsia"/>
                <w:sz w:val="24"/>
              </w:rPr>
              <w:t>投标保证金</w:t>
            </w:r>
          </w:p>
        </w:tc>
        <w:tc>
          <w:tcPr>
            <w:tcW w:w="4705" w:type="dxa"/>
            <w:vAlign w:val="center"/>
          </w:tcPr>
          <w:p w14:paraId="268E363C">
            <w:pPr>
              <w:tabs>
                <w:tab w:val="left" w:pos="1080"/>
              </w:tabs>
              <w:snapToGrid w:val="0"/>
              <w:rPr>
                <w:sz w:val="24"/>
              </w:rPr>
            </w:pPr>
            <w:r>
              <w:rPr>
                <w:color w:val="000000"/>
                <w:kern w:val="0"/>
                <w:sz w:val="24"/>
              </w:rPr>
              <w:t>按照招标文件的规定提交投标保证金</w:t>
            </w:r>
            <w:r>
              <w:rPr>
                <w:rFonts w:hint="eastAsia"/>
                <w:color w:val="000000"/>
                <w:kern w:val="0"/>
                <w:sz w:val="24"/>
              </w:rPr>
              <w:t>。</w:t>
            </w:r>
          </w:p>
        </w:tc>
        <w:tc>
          <w:tcPr>
            <w:tcW w:w="1599" w:type="dxa"/>
            <w:vAlign w:val="center"/>
          </w:tcPr>
          <w:p w14:paraId="38C36873">
            <w:pPr>
              <w:tabs>
                <w:tab w:val="left" w:pos="1080"/>
              </w:tabs>
              <w:snapToGrid w:val="0"/>
              <w:rPr>
                <w:sz w:val="24"/>
              </w:rPr>
            </w:pPr>
          </w:p>
        </w:tc>
        <w:bookmarkStart w:id="682" w:name="_Hlt487900425"/>
        <w:bookmarkStart w:id="683" w:name="_Hlt522424701"/>
      </w:tr>
      <w:bookmarkEnd w:id="682"/>
      <w:bookmarkEnd w:id="683"/>
    </w:tbl>
    <w:p w14:paraId="58597419">
      <w:pPr>
        <w:widowControl/>
        <w:jc w:val="left"/>
        <w:rPr>
          <w:rFonts w:hint="eastAsia" w:ascii="宋体" w:hAnsi="宋体"/>
          <w:sz w:val="24"/>
        </w:rPr>
      </w:pPr>
      <w:r>
        <w:rPr>
          <w:rFonts w:ascii="宋体" w:hAnsi="宋体"/>
          <w:sz w:val="24"/>
        </w:rPr>
        <w:br w:type="page"/>
      </w:r>
    </w:p>
    <w:p w14:paraId="7AC7BC18">
      <w:pPr>
        <w:spacing w:line="360" w:lineRule="auto"/>
        <w:jc w:val="center"/>
        <w:outlineLvl w:val="0"/>
        <w:rPr>
          <w:rFonts w:hint="eastAsia" w:ascii="宋体" w:hAnsi="宋体"/>
          <w:b/>
          <w:sz w:val="36"/>
          <w:szCs w:val="36"/>
        </w:rPr>
      </w:pPr>
      <w:bookmarkStart w:id="684" w:name="_Toc200734042"/>
      <w:r>
        <w:rPr>
          <w:rFonts w:ascii="宋体" w:hAnsi="宋体"/>
          <w:b/>
          <w:sz w:val="36"/>
          <w:szCs w:val="36"/>
        </w:rPr>
        <w:t xml:space="preserve">第四章  </w:t>
      </w:r>
      <w:bookmarkEnd w:id="677"/>
      <w:bookmarkEnd w:id="678"/>
      <w:bookmarkEnd w:id="679"/>
      <w:bookmarkEnd w:id="680"/>
      <w:bookmarkEnd w:id="681"/>
      <w:bookmarkStart w:id="685" w:name="_Hlt164229061"/>
      <w:bookmarkEnd w:id="685"/>
      <w:r>
        <w:rPr>
          <w:rFonts w:ascii="宋体" w:hAnsi="宋体"/>
          <w:b/>
          <w:sz w:val="36"/>
          <w:szCs w:val="36"/>
        </w:rPr>
        <w:t>评标程序、评标方法和评标标准</w:t>
      </w:r>
      <w:bookmarkEnd w:id="684"/>
    </w:p>
    <w:p w14:paraId="5B87DCD4">
      <w:pPr>
        <w:tabs>
          <w:tab w:val="left" w:pos="360"/>
          <w:tab w:val="left" w:pos="900"/>
        </w:tabs>
        <w:snapToGrid w:val="0"/>
        <w:spacing w:line="360" w:lineRule="auto"/>
        <w:jc w:val="center"/>
        <w:outlineLvl w:val="1"/>
        <w:rPr>
          <w:rFonts w:hint="eastAsia" w:ascii="宋体" w:hAnsi="宋体"/>
          <w:b/>
        </w:rPr>
      </w:pPr>
      <w:r>
        <w:rPr>
          <w:rFonts w:ascii="宋体" w:hAnsi="宋体"/>
          <w:b/>
          <w:sz w:val="24"/>
        </w:rPr>
        <w:t>一、评标方法</w:t>
      </w:r>
    </w:p>
    <w:p w14:paraId="062F9174">
      <w:pPr>
        <w:tabs>
          <w:tab w:val="left" w:pos="360"/>
        </w:tabs>
        <w:snapToGrid w:val="0"/>
        <w:spacing w:line="360" w:lineRule="auto"/>
        <w:ind w:left="900" w:hanging="900"/>
        <w:outlineLvl w:val="1"/>
        <w:rPr>
          <w:rFonts w:hint="eastAsia" w:ascii="宋体" w:hAnsi="宋体"/>
          <w:sz w:val="24"/>
        </w:rPr>
      </w:pPr>
      <w:bookmarkStart w:id="686" w:name="_Toc150480779"/>
      <w:bookmarkStart w:id="687" w:name="_Toc195842906"/>
      <w:bookmarkStart w:id="688" w:name="_Toc149720834"/>
      <w:bookmarkStart w:id="689" w:name="_Toc127161455"/>
      <w:bookmarkStart w:id="690" w:name="_Toc265228379"/>
      <w:bookmarkStart w:id="691" w:name="_Toc150509292"/>
      <w:bookmarkStart w:id="692" w:name="_Toc226965814"/>
      <w:bookmarkStart w:id="693" w:name="_Toc226337237"/>
      <w:bookmarkStart w:id="694" w:name="_Toc127151742"/>
      <w:bookmarkStart w:id="695" w:name="_Toc305158809"/>
      <w:bookmarkStart w:id="696" w:name="_Toc226965731"/>
      <w:bookmarkStart w:id="697" w:name="_Toc151193855"/>
      <w:bookmarkStart w:id="698" w:name="_Toc151190168"/>
      <w:bookmarkStart w:id="699" w:name="_Toc150774746"/>
      <w:bookmarkStart w:id="700" w:name="_Toc164351635"/>
      <w:bookmarkStart w:id="701" w:name="_Toc150774641"/>
      <w:bookmarkStart w:id="702" w:name="_Toc164229382"/>
      <w:bookmarkStart w:id="703" w:name="_Toc151193783"/>
      <w:bookmarkStart w:id="704" w:name="_Toc164608810"/>
      <w:bookmarkStart w:id="705" w:name="_Toc264969231"/>
      <w:bookmarkStart w:id="706" w:name="_Toc127151541"/>
      <w:bookmarkStart w:id="707" w:name="_Toc151193929"/>
      <w:bookmarkStart w:id="708" w:name="_Toc151193639"/>
      <w:bookmarkStart w:id="709" w:name="_Toc151193711"/>
      <w:bookmarkStart w:id="710" w:name="_Toc164608655"/>
      <w:bookmarkStart w:id="711" w:name="_Toc164229236"/>
      <w:bookmarkStart w:id="712" w:name="_Toc305158883"/>
      <w:bookmarkStart w:id="713" w:name="_Toc142311043"/>
      <w:bookmarkStart w:id="714" w:name="_Toc226309785"/>
      <w:bookmarkStart w:id="715" w:name="_Toc353825551"/>
      <w:bookmarkStart w:id="716" w:name="_Toc353873941"/>
      <w:bookmarkStart w:id="717" w:name="_Toc226337251"/>
      <w:bookmarkStart w:id="718" w:name="_Toc264969245"/>
      <w:bookmarkStart w:id="719" w:name="_Toc305158897"/>
      <w:bookmarkStart w:id="720" w:name="_Toc353873665"/>
      <w:bookmarkStart w:id="721" w:name="_Toc353825545"/>
      <w:bookmarkStart w:id="722" w:name="_Toc305158823"/>
      <w:bookmarkStart w:id="723" w:name="_Toc127151555"/>
      <w:bookmarkStart w:id="724" w:name="_Toc142311057"/>
      <w:bookmarkStart w:id="725" w:name="_Toc353873935"/>
      <w:bookmarkStart w:id="726" w:name="_Toc265228393"/>
      <w:bookmarkStart w:id="727" w:name="_Toc226965828"/>
      <w:bookmarkStart w:id="728" w:name="_Toc150480793"/>
      <w:bookmarkStart w:id="729" w:name="_Toc150774760"/>
      <w:bookmarkStart w:id="730" w:name="_Toc195842920"/>
      <w:r>
        <w:rPr>
          <w:rFonts w:hint="eastAsia" w:ascii="宋体" w:hAnsi="宋体"/>
          <w:sz w:val="24"/>
        </w:rPr>
        <w:t>1</w:t>
      </w:r>
      <w:r>
        <w:rPr>
          <w:rFonts w:hint="eastAsia" w:ascii="宋体" w:hAnsi="宋体"/>
          <w:sz w:val="24"/>
        </w:rPr>
        <w:tab/>
      </w:r>
      <w:r>
        <w:rPr>
          <w:rFonts w:ascii="宋体" w:hAnsi="宋体"/>
          <w:sz w:val="24"/>
        </w:rPr>
        <w:t>投标文件的符合性审查</w:t>
      </w:r>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p>
    <w:p w14:paraId="69EBB9D9">
      <w:pPr>
        <w:tabs>
          <w:tab w:val="left" w:pos="1080"/>
          <w:tab w:val="left" w:pos="1589"/>
        </w:tabs>
        <w:snapToGrid w:val="0"/>
        <w:spacing w:line="360" w:lineRule="auto"/>
        <w:ind w:left="1077" w:hanging="720"/>
        <w:rPr>
          <w:rFonts w:hint="eastAsia" w:ascii="宋体" w:hAnsi="宋体"/>
          <w:sz w:val="24"/>
        </w:rPr>
      </w:pPr>
      <w:r>
        <w:rPr>
          <w:sz w:val="24"/>
        </w:rPr>
        <w:t>1.1</w:t>
      </w:r>
      <w:r>
        <w:rPr>
          <w:sz w:val="24"/>
        </w:rPr>
        <w:tab/>
      </w:r>
      <w:r>
        <w:rPr>
          <w:rFonts w:ascii="宋体" w:hAnsi="宋体"/>
          <w:sz w:val="24"/>
        </w:rPr>
        <w:t>评标委员会对资格审查合格的投标人的投标文件进行符合性审查，以确定其是否满足招标文件的实质性要求。</w:t>
      </w:r>
      <w:bookmarkStart w:id="731" w:name="_Toc520356167"/>
      <w:r>
        <w:rPr>
          <w:rFonts w:hint="eastAsia" w:ascii="宋体" w:hAnsi="宋体"/>
          <w:sz w:val="24"/>
        </w:rPr>
        <w:t>没有进行实质性响应的投标将被视为无效投标。投标人不得通过修正或撤销不符合要求的偏离或保留从而使其投标成为有效投标。</w:t>
      </w:r>
    </w:p>
    <w:p w14:paraId="1345A834">
      <w:pPr>
        <w:tabs>
          <w:tab w:val="left" w:pos="1080"/>
          <w:tab w:val="left" w:pos="1589"/>
        </w:tabs>
        <w:snapToGrid w:val="0"/>
        <w:spacing w:line="360" w:lineRule="auto"/>
        <w:ind w:left="1077" w:hanging="720"/>
        <w:rPr>
          <w:rFonts w:hint="eastAsia" w:ascii="宋体" w:hAnsi="宋体"/>
          <w:sz w:val="24"/>
        </w:rPr>
      </w:pPr>
      <w:r>
        <w:rPr>
          <w:sz w:val="24"/>
        </w:rPr>
        <w:t>1.2</w:t>
      </w:r>
      <w:r>
        <w:rPr>
          <w:sz w:val="24"/>
        </w:rPr>
        <w:tab/>
      </w:r>
      <w:r>
        <w:rPr>
          <w:rFonts w:ascii="宋体" w:hAnsi="宋体"/>
          <w:sz w:val="24"/>
        </w:rPr>
        <w:t>评标委员会根据《符合性审查</w:t>
      </w:r>
      <w:r>
        <w:rPr>
          <w:rFonts w:hint="eastAsia" w:ascii="宋体" w:hAnsi="宋体"/>
          <w:sz w:val="24"/>
        </w:rPr>
        <w:t>要求</w:t>
      </w:r>
      <w:r>
        <w:rPr>
          <w:rFonts w:ascii="宋体" w:hAnsi="宋体"/>
          <w:sz w:val="24"/>
        </w:rPr>
        <w:t>》中规定的审查因素和审查内容，对投标人的投标文件是否实质上响应招标文件进行符合性审查，并形成符合性审查评审结果。</w:t>
      </w:r>
      <w:r>
        <w:rPr>
          <w:rFonts w:hint="eastAsia" w:ascii="宋体" w:hAnsi="宋体"/>
          <w:sz w:val="24"/>
        </w:rPr>
        <w:t>投标人《商务技术文件》有任何一项不符合</w:t>
      </w:r>
      <w:r>
        <w:rPr>
          <w:rFonts w:ascii="宋体" w:hAnsi="宋体"/>
          <w:sz w:val="24"/>
        </w:rPr>
        <w:t>《符合性审查</w:t>
      </w:r>
      <w:r>
        <w:rPr>
          <w:rFonts w:hint="eastAsia" w:ascii="宋体" w:hAnsi="宋体"/>
          <w:sz w:val="24"/>
        </w:rPr>
        <w:t>要求</w:t>
      </w:r>
      <w:r>
        <w:rPr>
          <w:rFonts w:ascii="宋体" w:hAnsi="宋体"/>
          <w:sz w:val="24"/>
        </w:rPr>
        <w:t>》</w:t>
      </w:r>
      <w:bookmarkEnd w:id="731"/>
      <w:r>
        <w:rPr>
          <w:rFonts w:hint="eastAsia" w:ascii="宋体" w:hAnsi="宋体"/>
          <w:sz w:val="24"/>
        </w:rPr>
        <w:t>要求的，其</w:t>
      </w:r>
      <w:r>
        <w:rPr>
          <w:rFonts w:hint="eastAsia" w:ascii="宋体" w:hAnsi="宋体"/>
          <w:b/>
          <w:sz w:val="24"/>
        </w:rPr>
        <w:t>投标无效</w:t>
      </w:r>
      <w:r>
        <w:rPr>
          <w:rFonts w:hint="eastAsia" w:ascii="宋体" w:hAnsi="宋体"/>
          <w:sz w:val="24"/>
        </w:rPr>
        <w:t>。</w:t>
      </w:r>
    </w:p>
    <w:p w14:paraId="72529BB8">
      <w:pPr>
        <w:tabs>
          <w:tab w:val="left" w:pos="1080"/>
          <w:tab w:val="left" w:pos="1589"/>
        </w:tabs>
        <w:snapToGrid w:val="0"/>
        <w:spacing w:line="360" w:lineRule="auto"/>
        <w:ind w:left="1077" w:hanging="720"/>
        <w:rPr>
          <w:sz w:val="24"/>
        </w:rPr>
      </w:pPr>
      <w:r>
        <w:rPr>
          <w:rFonts w:hint="eastAsia"/>
          <w:sz w:val="24"/>
        </w:rPr>
        <w:t>1</w:t>
      </w:r>
      <w:r>
        <w:rPr>
          <w:sz w:val="24"/>
        </w:rPr>
        <w:t>.3</w:t>
      </w:r>
      <w:r>
        <w:rPr>
          <w:sz w:val="24"/>
        </w:rPr>
        <w:tab/>
      </w:r>
      <w:r>
        <w:rPr>
          <w:rFonts w:ascii="宋体" w:hAnsi="宋体"/>
          <w:sz w:val="24"/>
        </w:rPr>
        <w:t>采购人</w:t>
      </w:r>
      <w:r>
        <w:rPr>
          <w:rFonts w:hint="eastAsia" w:ascii="宋体" w:hAnsi="宋体"/>
          <w:sz w:val="24"/>
        </w:rPr>
        <w:t>、</w:t>
      </w:r>
      <w:r>
        <w:rPr>
          <w:rFonts w:ascii="宋体" w:hAnsi="宋体"/>
          <w:sz w:val="24"/>
        </w:rPr>
        <w:t>采购代理机构</w:t>
      </w:r>
      <w:r>
        <w:rPr>
          <w:rFonts w:hint="eastAsia" w:ascii="宋体" w:hAnsi="宋体"/>
          <w:sz w:val="24"/>
        </w:rPr>
        <w:t>、</w:t>
      </w:r>
      <w:r>
        <w:rPr>
          <w:rFonts w:hint="eastAsia"/>
          <w:sz w:val="24"/>
        </w:rPr>
        <w:t>评标委员会根据各自职责决定投标人是否符合</w:t>
      </w:r>
      <w:r>
        <w:rPr>
          <w:rFonts w:ascii="宋体" w:hAnsi="宋体"/>
          <w:sz w:val="24"/>
        </w:rPr>
        <w:t>资格审查</w:t>
      </w:r>
      <w:r>
        <w:rPr>
          <w:sz w:val="24"/>
        </w:rPr>
        <w:t>要求</w:t>
      </w:r>
      <w:r>
        <w:rPr>
          <w:rFonts w:hint="eastAsia"/>
          <w:sz w:val="24"/>
        </w:rPr>
        <w:t>、</w:t>
      </w:r>
      <w:r>
        <w:rPr>
          <w:rFonts w:ascii="宋体" w:hAnsi="宋体"/>
          <w:sz w:val="24"/>
        </w:rPr>
        <w:t>符合性审查</w:t>
      </w:r>
      <w:r>
        <w:rPr>
          <w:rFonts w:hint="eastAsia" w:ascii="宋体" w:hAnsi="宋体"/>
          <w:sz w:val="24"/>
        </w:rPr>
        <w:t>要求</w:t>
      </w:r>
      <w:r>
        <w:rPr>
          <w:rFonts w:hint="eastAsia"/>
          <w:sz w:val="24"/>
        </w:rPr>
        <w:t>、投标文件是否对采购文件作出了实质性响应只根据投标文件本身的内容，而不寻求外部的证据（购买采购文件信息查询、信用查询、保证金提交和虚假信息除外）</w:t>
      </w:r>
    </w:p>
    <w:p w14:paraId="662CD0F6">
      <w:pPr>
        <w:tabs>
          <w:tab w:val="left" w:pos="1080"/>
          <w:tab w:val="left" w:pos="1589"/>
        </w:tabs>
        <w:snapToGrid w:val="0"/>
        <w:spacing w:line="360" w:lineRule="auto"/>
        <w:ind w:left="1077" w:hanging="720"/>
        <w:rPr>
          <w:rFonts w:hint="eastAsia" w:ascii="宋体" w:hAnsi="宋体"/>
          <w:sz w:val="24"/>
        </w:rPr>
      </w:pPr>
    </w:p>
    <w:p w14:paraId="60595597">
      <w:pPr>
        <w:tabs>
          <w:tab w:val="left" w:pos="900"/>
          <w:tab w:val="left" w:pos="1080"/>
          <w:tab w:val="left" w:pos="1589"/>
        </w:tabs>
        <w:snapToGrid w:val="0"/>
        <w:spacing w:line="360" w:lineRule="auto"/>
        <w:ind w:leftChars="-170" w:hanging="357" w:hangingChars="148"/>
        <w:jc w:val="center"/>
        <w:rPr>
          <w:rFonts w:hint="eastAsia" w:ascii="宋体" w:hAnsi="宋体"/>
          <w:b/>
          <w:color w:val="000000"/>
          <w:sz w:val="24"/>
        </w:rPr>
      </w:pPr>
      <w:r>
        <w:rPr>
          <w:rFonts w:ascii="宋体" w:hAnsi="宋体"/>
          <w:b/>
          <w:sz w:val="24"/>
        </w:rPr>
        <w:t>符合性审查</w:t>
      </w:r>
      <w:r>
        <w:rPr>
          <w:rFonts w:hint="eastAsia" w:ascii="宋体" w:hAnsi="宋体"/>
          <w:b/>
          <w:sz w:val="24"/>
        </w:rPr>
        <w:t>要求</w:t>
      </w:r>
    </w:p>
    <w:tbl>
      <w:tblPr>
        <w:tblStyle w:val="4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0"/>
        <w:gridCol w:w="1813"/>
        <w:gridCol w:w="6725"/>
      </w:tblGrid>
      <w:tr w14:paraId="0695B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404" w:type="pct"/>
            <w:vAlign w:val="center"/>
          </w:tcPr>
          <w:p w14:paraId="0EB84730">
            <w:pPr>
              <w:widowControl/>
              <w:jc w:val="center"/>
              <w:rPr>
                <w:b/>
                <w:kern w:val="0"/>
                <w:sz w:val="24"/>
              </w:rPr>
            </w:pPr>
            <w:bookmarkStart w:id="732" w:name="_Hlk200627194"/>
            <w:r>
              <w:rPr>
                <w:b/>
                <w:kern w:val="0"/>
                <w:sz w:val="24"/>
              </w:rPr>
              <w:t>序号</w:t>
            </w:r>
          </w:p>
        </w:tc>
        <w:tc>
          <w:tcPr>
            <w:tcW w:w="976" w:type="pct"/>
            <w:vAlign w:val="center"/>
          </w:tcPr>
          <w:p w14:paraId="4E8FB396">
            <w:pPr>
              <w:widowControl/>
              <w:jc w:val="center"/>
              <w:rPr>
                <w:b/>
                <w:kern w:val="0"/>
                <w:sz w:val="24"/>
              </w:rPr>
            </w:pPr>
            <w:r>
              <w:rPr>
                <w:b/>
                <w:kern w:val="0"/>
                <w:sz w:val="24"/>
              </w:rPr>
              <w:t>审查因素</w:t>
            </w:r>
          </w:p>
        </w:tc>
        <w:tc>
          <w:tcPr>
            <w:tcW w:w="3620" w:type="pct"/>
            <w:vAlign w:val="center"/>
          </w:tcPr>
          <w:p w14:paraId="79E94F57">
            <w:pPr>
              <w:widowControl/>
              <w:jc w:val="center"/>
              <w:rPr>
                <w:b/>
                <w:kern w:val="0"/>
                <w:sz w:val="24"/>
              </w:rPr>
            </w:pPr>
            <w:r>
              <w:rPr>
                <w:b/>
                <w:kern w:val="0"/>
                <w:sz w:val="24"/>
              </w:rPr>
              <w:t>审查内容</w:t>
            </w:r>
          </w:p>
        </w:tc>
      </w:tr>
      <w:tr w14:paraId="08ECB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7E3D542">
            <w:pPr>
              <w:widowControl/>
              <w:jc w:val="center"/>
              <w:rPr>
                <w:kern w:val="0"/>
                <w:sz w:val="24"/>
              </w:rPr>
            </w:pPr>
            <w:r>
              <w:rPr>
                <w:kern w:val="0"/>
                <w:sz w:val="24"/>
              </w:rPr>
              <w:t>1</w:t>
            </w:r>
          </w:p>
        </w:tc>
        <w:tc>
          <w:tcPr>
            <w:tcW w:w="976" w:type="pct"/>
            <w:vAlign w:val="center"/>
          </w:tcPr>
          <w:p w14:paraId="3A790B8F">
            <w:pPr>
              <w:widowControl/>
              <w:jc w:val="left"/>
              <w:rPr>
                <w:kern w:val="0"/>
                <w:sz w:val="24"/>
              </w:rPr>
            </w:pPr>
            <w:r>
              <w:rPr>
                <w:kern w:val="0"/>
                <w:sz w:val="24"/>
              </w:rPr>
              <w:t>授权委托书</w:t>
            </w:r>
          </w:p>
        </w:tc>
        <w:tc>
          <w:tcPr>
            <w:tcW w:w="3620" w:type="pct"/>
            <w:vAlign w:val="center"/>
          </w:tcPr>
          <w:p w14:paraId="50BD4AD5">
            <w:pPr>
              <w:widowControl/>
              <w:jc w:val="left"/>
              <w:rPr>
                <w:kern w:val="0"/>
                <w:sz w:val="24"/>
              </w:rPr>
            </w:pPr>
            <w:r>
              <w:rPr>
                <w:kern w:val="0"/>
                <w:sz w:val="24"/>
              </w:rPr>
              <w:t>按招标文件要求提供授权委托书；</w:t>
            </w:r>
          </w:p>
        </w:tc>
      </w:tr>
      <w:tr w14:paraId="4976B2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D449991">
            <w:pPr>
              <w:widowControl/>
              <w:jc w:val="center"/>
              <w:rPr>
                <w:kern w:val="0"/>
                <w:sz w:val="24"/>
              </w:rPr>
            </w:pPr>
            <w:r>
              <w:rPr>
                <w:kern w:val="0"/>
                <w:sz w:val="24"/>
              </w:rPr>
              <w:t>2</w:t>
            </w:r>
          </w:p>
        </w:tc>
        <w:tc>
          <w:tcPr>
            <w:tcW w:w="976" w:type="pct"/>
            <w:vAlign w:val="center"/>
          </w:tcPr>
          <w:p w14:paraId="4BC4587F">
            <w:pPr>
              <w:widowControl/>
              <w:jc w:val="left"/>
              <w:rPr>
                <w:kern w:val="0"/>
                <w:sz w:val="24"/>
              </w:rPr>
            </w:pPr>
            <w:r>
              <w:rPr>
                <w:kern w:val="0"/>
                <w:sz w:val="24"/>
              </w:rPr>
              <w:t>投标完整性</w:t>
            </w:r>
          </w:p>
        </w:tc>
        <w:tc>
          <w:tcPr>
            <w:tcW w:w="3620" w:type="pct"/>
            <w:vAlign w:val="center"/>
          </w:tcPr>
          <w:p w14:paraId="4683CDB0">
            <w:pPr>
              <w:widowControl/>
              <w:jc w:val="left"/>
              <w:rPr>
                <w:kern w:val="0"/>
                <w:sz w:val="24"/>
              </w:rPr>
            </w:pPr>
            <w:r>
              <w:rPr>
                <w:rFonts w:hint="eastAsia"/>
                <w:sz w:val="24"/>
              </w:rPr>
              <w:t>未</w:t>
            </w:r>
            <w:r>
              <w:rPr>
                <w:sz w:val="24"/>
              </w:rPr>
              <w:t>将一个采购包中的内容拆开投标；</w:t>
            </w:r>
          </w:p>
        </w:tc>
      </w:tr>
      <w:tr w14:paraId="39E97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9B26E18">
            <w:pPr>
              <w:widowControl/>
              <w:jc w:val="center"/>
              <w:rPr>
                <w:kern w:val="0"/>
                <w:sz w:val="24"/>
              </w:rPr>
            </w:pPr>
            <w:r>
              <w:rPr>
                <w:kern w:val="0"/>
                <w:sz w:val="24"/>
              </w:rPr>
              <w:t>3</w:t>
            </w:r>
          </w:p>
        </w:tc>
        <w:tc>
          <w:tcPr>
            <w:tcW w:w="976" w:type="pct"/>
            <w:vAlign w:val="center"/>
          </w:tcPr>
          <w:p w14:paraId="7D366C3A">
            <w:pPr>
              <w:widowControl/>
              <w:jc w:val="left"/>
              <w:rPr>
                <w:kern w:val="0"/>
                <w:sz w:val="24"/>
              </w:rPr>
            </w:pPr>
            <w:r>
              <w:rPr>
                <w:kern w:val="0"/>
                <w:sz w:val="24"/>
              </w:rPr>
              <w:t>投标报价</w:t>
            </w:r>
          </w:p>
        </w:tc>
        <w:tc>
          <w:tcPr>
            <w:tcW w:w="3620" w:type="pct"/>
            <w:vAlign w:val="center"/>
          </w:tcPr>
          <w:p w14:paraId="2BE2E149">
            <w:pPr>
              <w:widowControl/>
              <w:jc w:val="left"/>
              <w:rPr>
                <w:kern w:val="0"/>
                <w:sz w:val="24"/>
              </w:rPr>
            </w:pPr>
            <w:r>
              <w:rPr>
                <w:kern w:val="0"/>
                <w:sz w:val="24"/>
              </w:rPr>
              <w:t>投标报价</w:t>
            </w:r>
            <w:r>
              <w:rPr>
                <w:rFonts w:hint="eastAsia"/>
                <w:kern w:val="0"/>
                <w:sz w:val="24"/>
              </w:rPr>
              <w:t>未</w:t>
            </w:r>
            <w:r>
              <w:rPr>
                <w:sz w:val="24"/>
              </w:rPr>
              <w:t>超过招标文件中规定的项目/采购包预算金额或者项目/采购包最高限价</w:t>
            </w:r>
            <w:r>
              <w:rPr>
                <w:kern w:val="0"/>
                <w:sz w:val="24"/>
              </w:rPr>
              <w:t>；</w:t>
            </w:r>
          </w:p>
        </w:tc>
      </w:tr>
      <w:tr w14:paraId="76FC0D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D683833">
            <w:pPr>
              <w:widowControl/>
              <w:jc w:val="center"/>
              <w:rPr>
                <w:kern w:val="0"/>
                <w:sz w:val="24"/>
              </w:rPr>
            </w:pPr>
            <w:r>
              <w:rPr>
                <w:kern w:val="0"/>
                <w:sz w:val="24"/>
              </w:rPr>
              <w:t>4</w:t>
            </w:r>
          </w:p>
        </w:tc>
        <w:tc>
          <w:tcPr>
            <w:tcW w:w="976" w:type="pct"/>
            <w:vAlign w:val="center"/>
          </w:tcPr>
          <w:p w14:paraId="3240D76B">
            <w:pPr>
              <w:widowControl/>
              <w:jc w:val="left"/>
              <w:rPr>
                <w:kern w:val="0"/>
                <w:sz w:val="24"/>
              </w:rPr>
            </w:pPr>
            <w:r>
              <w:rPr>
                <w:kern w:val="0"/>
                <w:sz w:val="24"/>
              </w:rPr>
              <w:t>报价唯一性</w:t>
            </w:r>
          </w:p>
        </w:tc>
        <w:tc>
          <w:tcPr>
            <w:tcW w:w="3620" w:type="pct"/>
            <w:vAlign w:val="center"/>
          </w:tcPr>
          <w:p w14:paraId="7C94E402">
            <w:pPr>
              <w:widowControl/>
              <w:jc w:val="left"/>
              <w:rPr>
                <w:kern w:val="0"/>
                <w:sz w:val="24"/>
              </w:rPr>
            </w:pPr>
            <w:r>
              <w:rPr>
                <w:kern w:val="0"/>
                <w:sz w:val="24"/>
              </w:rPr>
              <w:t>投标文件</w:t>
            </w:r>
            <w:r>
              <w:rPr>
                <w:rFonts w:hint="eastAsia"/>
                <w:kern w:val="0"/>
                <w:sz w:val="24"/>
              </w:rPr>
              <w:t>未</w:t>
            </w:r>
            <w:r>
              <w:rPr>
                <w:rFonts w:hint="eastAsia"/>
                <w:sz w:val="24"/>
              </w:rPr>
              <w:t>出现可选择性或可调整的报价（招标文件另有规定的除外）</w:t>
            </w:r>
            <w:r>
              <w:rPr>
                <w:kern w:val="0"/>
                <w:sz w:val="24"/>
              </w:rPr>
              <w:t>；</w:t>
            </w:r>
          </w:p>
        </w:tc>
      </w:tr>
      <w:tr w14:paraId="35DF9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E913E5A">
            <w:pPr>
              <w:widowControl/>
              <w:jc w:val="center"/>
              <w:rPr>
                <w:kern w:val="0"/>
                <w:sz w:val="24"/>
              </w:rPr>
            </w:pPr>
            <w:r>
              <w:rPr>
                <w:kern w:val="0"/>
                <w:sz w:val="24"/>
              </w:rPr>
              <w:t>5</w:t>
            </w:r>
          </w:p>
        </w:tc>
        <w:tc>
          <w:tcPr>
            <w:tcW w:w="976" w:type="pct"/>
            <w:vAlign w:val="center"/>
          </w:tcPr>
          <w:p w14:paraId="6511CA8D">
            <w:pPr>
              <w:widowControl/>
              <w:jc w:val="left"/>
              <w:rPr>
                <w:kern w:val="0"/>
                <w:sz w:val="24"/>
              </w:rPr>
            </w:pPr>
            <w:r>
              <w:rPr>
                <w:kern w:val="0"/>
                <w:sz w:val="24"/>
              </w:rPr>
              <w:t>投标有效期</w:t>
            </w:r>
          </w:p>
        </w:tc>
        <w:tc>
          <w:tcPr>
            <w:tcW w:w="3620" w:type="pct"/>
            <w:vAlign w:val="center"/>
          </w:tcPr>
          <w:p w14:paraId="7694647A">
            <w:pPr>
              <w:widowControl/>
              <w:jc w:val="left"/>
              <w:rPr>
                <w:kern w:val="0"/>
                <w:sz w:val="24"/>
              </w:rPr>
            </w:pPr>
            <w:r>
              <w:rPr>
                <w:kern w:val="0"/>
                <w:sz w:val="24"/>
              </w:rPr>
              <w:t>投标文件中承诺的投标有效期</w:t>
            </w:r>
            <w:r>
              <w:rPr>
                <w:rFonts w:hint="eastAsia"/>
                <w:kern w:val="0"/>
                <w:sz w:val="24"/>
              </w:rPr>
              <w:t>满足</w:t>
            </w:r>
            <w:r>
              <w:rPr>
                <w:kern w:val="0"/>
                <w:sz w:val="24"/>
              </w:rPr>
              <w:t>招标文件中载明的投标有效期的；</w:t>
            </w:r>
          </w:p>
        </w:tc>
      </w:tr>
      <w:tr w14:paraId="6CC60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D3161AF">
            <w:pPr>
              <w:widowControl/>
              <w:jc w:val="center"/>
              <w:rPr>
                <w:kern w:val="0"/>
                <w:sz w:val="24"/>
              </w:rPr>
            </w:pPr>
            <w:r>
              <w:rPr>
                <w:kern w:val="0"/>
                <w:sz w:val="24"/>
              </w:rPr>
              <w:t>6</w:t>
            </w:r>
          </w:p>
        </w:tc>
        <w:tc>
          <w:tcPr>
            <w:tcW w:w="976" w:type="pct"/>
            <w:vAlign w:val="center"/>
          </w:tcPr>
          <w:p w14:paraId="4A7D70DB">
            <w:pPr>
              <w:widowControl/>
              <w:jc w:val="left"/>
              <w:rPr>
                <w:kern w:val="0"/>
                <w:sz w:val="24"/>
              </w:rPr>
            </w:pPr>
            <w:r>
              <w:rPr>
                <w:rFonts w:hint="eastAsia"/>
                <w:kern w:val="0"/>
                <w:sz w:val="24"/>
              </w:rPr>
              <w:t>实质性格式</w:t>
            </w:r>
          </w:p>
        </w:tc>
        <w:tc>
          <w:tcPr>
            <w:tcW w:w="3620" w:type="pct"/>
            <w:vAlign w:val="center"/>
          </w:tcPr>
          <w:p w14:paraId="495F6C2E">
            <w:pPr>
              <w:widowControl/>
              <w:jc w:val="left"/>
              <w:rPr>
                <w:kern w:val="0"/>
                <w:sz w:val="24"/>
              </w:rPr>
            </w:pPr>
            <w:r>
              <w:rPr>
                <w:rFonts w:hint="eastAsia"/>
                <w:kern w:val="0"/>
                <w:sz w:val="24"/>
              </w:rPr>
              <w:t>标记为</w:t>
            </w:r>
            <w:r>
              <w:rPr>
                <w:kern w:val="0"/>
                <w:sz w:val="24"/>
              </w:rPr>
              <w:t>“实质性格式”的</w:t>
            </w:r>
            <w:r>
              <w:rPr>
                <w:rFonts w:hint="eastAsia"/>
                <w:kern w:val="0"/>
                <w:sz w:val="24"/>
              </w:rPr>
              <w:t>文件均按</w:t>
            </w:r>
            <w:r>
              <w:rPr>
                <w:kern w:val="0"/>
                <w:sz w:val="24"/>
              </w:rPr>
              <w:t>招标文件</w:t>
            </w:r>
            <w:r>
              <w:rPr>
                <w:rFonts w:hint="eastAsia"/>
                <w:kern w:val="0"/>
                <w:sz w:val="24"/>
              </w:rPr>
              <w:t>要求提供且</w:t>
            </w:r>
            <w:r>
              <w:rPr>
                <w:kern w:val="0"/>
                <w:sz w:val="24"/>
              </w:rPr>
              <w:t>签署、盖章的；</w:t>
            </w:r>
          </w:p>
        </w:tc>
      </w:tr>
      <w:tr w14:paraId="1ED76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04E44579">
            <w:pPr>
              <w:widowControl/>
              <w:jc w:val="center"/>
              <w:rPr>
                <w:kern w:val="0"/>
                <w:sz w:val="24"/>
              </w:rPr>
            </w:pPr>
            <w:r>
              <w:rPr>
                <w:kern w:val="0"/>
                <w:sz w:val="24"/>
              </w:rPr>
              <w:t>7</w:t>
            </w:r>
          </w:p>
        </w:tc>
        <w:tc>
          <w:tcPr>
            <w:tcW w:w="976" w:type="pct"/>
            <w:vAlign w:val="center"/>
          </w:tcPr>
          <w:p w14:paraId="4449E216">
            <w:pPr>
              <w:widowControl/>
              <w:jc w:val="left"/>
              <w:rPr>
                <w:kern w:val="0"/>
                <w:sz w:val="24"/>
              </w:rPr>
            </w:pPr>
            <w:r>
              <w:rPr>
                <w:rFonts w:ascii="Segoe UI Symbol" w:hAnsi="Segoe UI Symbol" w:cs="Segoe UI Symbol"/>
                <w:kern w:val="0"/>
                <w:sz w:val="24"/>
              </w:rPr>
              <w:t>★</w:t>
            </w:r>
            <w:r>
              <w:rPr>
                <w:kern w:val="0"/>
                <w:sz w:val="24"/>
              </w:rPr>
              <w:t>号条款响应</w:t>
            </w:r>
          </w:p>
        </w:tc>
        <w:tc>
          <w:tcPr>
            <w:tcW w:w="3620" w:type="pct"/>
            <w:vAlign w:val="center"/>
          </w:tcPr>
          <w:p w14:paraId="6173497F">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14:paraId="2B3C3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9D84802">
            <w:pPr>
              <w:widowControl/>
              <w:jc w:val="center"/>
              <w:rPr>
                <w:kern w:val="0"/>
                <w:sz w:val="24"/>
              </w:rPr>
            </w:pPr>
            <w:r>
              <w:rPr>
                <w:kern w:val="0"/>
                <w:sz w:val="24"/>
              </w:rPr>
              <w:t>8</w:t>
            </w:r>
          </w:p>
        </w:tc>
        <w:tc>
          <w:tcPr>
            <w:tcW w:w="976" w:type="pct"/>
            <w:vAlign w:val="center"/>
          </w:tcPr>
          <w:p w14:paraId="094F4CEC">
            <w:pPr>
              <w:widowControl/>
              <w:jc w:val="left"/>
              <w:rPr>
                <w:kern w:val="0"/>
                <w:sz w:val="24"/>
              </w:rPr>
            </w:pPr>
            <w:r>
              <w:rPr>
                <w:rFonts w:hint="eastAsia"/>
                <w:kern w:val="0"/>
                <w:sz w:val="24"/>
              </w:rPr>
              <w:t>拟分包情况说明（如有）</w:t>
            </w:r>
          </w:p>
        </w:tc>
        <w:tc>
          <w:tcPr>
            <w:tcW w:w="3620" w:type="pct"/>
            <w:vAlign w:val="center"/>
          </w:tcPr>
          <w:p w14:paraId="4246A531">
            <w:pPr>
              <w:widowControl/>
              <w:jc w:val="left"/>
              <w:rPr>
                <w:kern w:val="0"/>
                <w:sz w:val="24"/>
              </w:rPr>
            </w:pPr>
            <w:r>
              <w:rPr>
                <w:rFonts w:hint="eastAsia"/>
                <w:sz w:val="24"/>
              </w:rPr>
              <w:t>如本项目 (包) 非因“落实政府采购政策”亦允许分包，且供应商拟进行分包时，必须提供；否则无须提供</w:t>
            </w:r>
          </w:p>
        </w:tc>
      </w:tr>
      <w:tr w14:paraId="7AA2C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F0F27F9">
            <w:pPr>
              <w:widowControl/>
              <w:jc w:val="center"/>
              <w:rPr>
                <w:kern w:val="0"/>
                <w:sz w:val="24"/>
              </w:rPr>
            </w:pPr>
            <w:r>
              <w:rPr>
                <w:kern w:val="0"/>
                <w:sz w:val="24"/>
              </w:rPr>
              <w:t>9</w:t>
            </w:r>
          </w:p>
        </w:tc>
        <w:tc>
          <w:tcPr>
            <w:tcW w:w="976" w:type="pct"/>
            <w:vAlign w:val="center"/>
          </w:tcPr>
          <w:p w14:paraId="437D47F5">
            <w:pPr>
              <w:widowControl/>
              <w:jc w:val="left"/>
              <w:rPr>
                <w:kern w:val="0"/>
                <w:sz w:val="24"/>
              </w:rPr>
            </w:pPr>
            <w:r>
              <w:rPr>
                <w:kern w:val="0"/>
                <w:sz w:val="24"/>
              </w:rPr>
              <w:t>分包</w:t>
            </w:r>
            <w:r>
              <w:rPr>
                <w:rFonts w:hint="eastAsia"/>
                <w:kern w:val="0"/>
                <w:sz w:val="24"/>
              </w:rPr>
              <w:t>其他要求</w:t>
            </w:r>
          </w:p>
          <w:p w14:paraId="383E6D4D">
            <w:pPr>
              <w:widowControl/>
              <w:jc w:val="left"/>
              <w:rPr>
                <w:kern w:val="0"/>
                <w:sz w:val="24"/>
              </w:rPr>
            </w:pPr>
            <w:r>
              <w:rPr>
                <w:kern w:val="0"/>
                <w:sz w:val="24"/>
              </w:rPr>
              <w:t>（如有）</w:t>
            </w:r>
          </w:p>
        </w:tc>
        <w:tc>
          <w:tcPr>
            <w:tcW w:w="3620" w:type="pct"/>
            <w:vAlign w:val="center"/>
          </w:tcPr>
          <w:p w14:paraId="4DF40102">
            <w:pPr>
              <w:widowControl/>
              <w:jc w:val="left"/>
              <w:rPr>
                <w:kern w:val="0"/>
                <w:sz w:val="24"/>
              </w:rPr>
            </w:pPr>
            <w:r>
              <w:rPr>
                <w:rFonts w:hint="eastAsia"/>
                <w:kern w:val="0"/>
                <w:sz w:val="24"/>
              </w:rPr>
              <w:t>分包履行的内容、金额或者比例未超出《投标人须知资料表》中的规定；</w:t>
            </w:r>
          </w:p>
          <w:p w14:paraId="24D781FE">
            <w:pPr>
              <w:widowControl/>
              <w:jc w:val="left"/>
              <w:rPr>
                <w:kern w:val="0"/>
                <w:sz w:val="24"/>
              </w:rPr>
            </w:pPr>
            <w:r>
              <w:rPr>
                <w:rFonts w:hint="eastAsia"/>
                <w:kern w:val="0"/>
                <w:sz w:val="24"/>
              </w:rPr>
              <w:t>分包承担主体具备《投标人须知资料表》载明的资质条件且提供了资质证书电子件(如有)；</w:t>
            </w:r>
          </w:p>
        </w:tc>
      </w:tr>
      <w:tr w14:paraId="0AA9C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51953704">
            <w:pPr>
              <w:widowControl/>
              <w:jc w:val="center"/>
              <w:rPr>
                <w:kern w:val="0"/>
                <w:sz w:val="24"/>
              </w:rPr>
            </w:pPr>
            <w:r>
              <w:rPr>
                <w:kern w:val="0"/>
                <w:sz w:val="24"/>
              </w:rPr>
              <w:t>10</w:t>
            </w:r>
          </w:p>
        </w:tc>
        <w:tc>
          <w:tcPr>
            <w:tcW w:w="976" w:type="pct"/>
            <w:vAlign w:val="center"/>
          </w:tcPr>
          <w:p w14:paraId="646C812C">
            <w:pPr>
              <w:widowControl/>
              <w:jc w:val="left"/>
              <w:rPr>
                <w:kern w:val="0"/>
                <w:sz w:val="24"/>
              </w:rPr>
            </w:pPr>
            <w:r>
              <w:rPr>
                <w:kern w:val="0"/>
                <w:sz w:val="24"/>
              </w:rPr>
              <w:t>报价的修正（如有）</w:t>
            </w:r>
          </w:p>
        </w:tc>
        <w:tc>
          <w:tcPr>
            <w:tcW w:w="3620" w:type="pct"/>
            <w:vAlign w:val="center"/>
          </w:tcPr>
          <w:p w14:paraId="31A46454">
            <w:pPr>
              <w:widowControl/>
              <w:jc w:val="left"/>
              <w:rPr>
                <w:kern w:val="0"/>
                <w:sz w:val="24"/>
              </w:rPr>
            </w:pPr>
            <w:r>
              <w:rPr>
                <w:rFonts w:hint="eastAsia"/>
                <w:kern w:val="0"/>
                <w:sz w:val="24"/>
              </w:rPr>
              <w:t>不涉及报价修正</w:t>
            </w:r>
            <w:r>
              <w:rPr>
                <w:kern w:val="0"/>
                <w:sz w:val="24"/>
              </w:rPr>
              <w:t>，或投标文件报价出现前后不一致</w:t>
            </w:r>
            <w:r>
              <w:rPr>
                <w:rFonts w:hint="eastAsia"/>
                <w:kern w:val="0"/>
                <w:sz w:val="24"/>
              </w:rPr>
              <w:t>时</w:t>
            </w:r>
            <w:r>
              <w:rPr>
                <w:kern w:val="0"/>
                <w:sz w:val="24"/>
              </w:rPr>
              <w:t>，投标人对修正后的报价予</w:t>
            </w:r>
            <w:r>
              <w:rPr>
                <w:rFonts w:hint="eastAsia"/>
                <w:kern w:val="0"/>
                <w:sz w:val="24"/>
              </w:rPr>
              <w:t>以</w:t>
            </w:r>
            <w:r>
              <w:rPr>
                <w:kern w:val="0"/>
                <w:sz w:val="24"/>
              </w:rPr>
              <w:t>确认；（如有）</w:t>
            </w:r>
          </w:p>
        </w:tc>
      </w:tr>
      <w:tr w14:paraId="4D6A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2D65EE2A">
            <w:pPr>
              <w:widowControl/>
              <w:jc w:val="center"/>
              <w:rPr>
                <w:kern w:val="0"/>
                <w:sz w:val="24"/>
              </w:rPr>
            </w:pPr>
            <w:r>
              <w:rPr>
                <w:kern w:val="0"/>
                <w:sz w:val="24"/>
              </w:rPr>
              <w:t>11</w:t>
            </w:r>
          </w:p>
        </w:tc>
        <w:tc>
          <w:tcPr>
            <w:tcW w:w="976" w:type="pct"/>
            <w:vAlign w:val="center"/>
          </w:tcPr>
          <w:p w14:paraId="3A6E87EA">
            <w:pPr>
              <w:widowControl/>
              <w:jc w:val="left"/>
              <w:rPr>
                <w:kern w:val="0"/>
                <w:sz w:val="24"/>
              </w:rPr>
            </w:pPr>
            <w:r>
              <w:rPr>
                <w:kern w:val="0"/>
                <w:sz w:val="24"/>
              </w:rPr>
              <w:t>报价合理性</w:t>
            </w:r>
          </w:p>
        </w:tc>
        <w:tc>
          <w:tcPr>
            <w:tcW w:w="3620" w:type="pct"/>
            <w:vAlign w:val="center"/>
          </w:tcPr>
          <w:p w14:paraId="3D6100DD">
            <w:pPr>
              <w:widowControl/>
              <w:jc w:val="left"/>
              <w:rPr>
                <w:kern w:val="0"/>
                <w:sz w:val="24"/>
              </w:rPr>
            </w:pPr>
            <w:r>
              <w:rPr>
                <w:kern w:val="0"/>
                <w:sz w:val="24"/>
              </w:rPr>
              <w:t>报价合理，或</w:t>
            </w:r>
            <w:r>
              <w:rPr>
                <w:rFonts w:hint="eastAsia"/>
                <w:sz w:val="24"/>
              </w:rPr>
              <w:t>投标人的报价明显低于其他通过符合性审查投标人的报价，</w:t>
            </w:r>
            <w:r>
              <w:rPr>
                <w:sz w:val="24"/>
              </w:rPr>
              <w:t>有可能影响产品质量或者不能诚信履约的</w:t>
            </w:r>
            <w:r>
              <w:rPr>
                <w:rFonts w:hint="eastAsia"/>
                <w:sz w:val="24"/>
              </w:rPr>
              <w:t>，能够应评标委员会要求在规定时间内证明其报价合理性的</w:t>
            </w:r>
            <w:r>
              <w:rPr>
                <w:kern w:val="0"/>
                <w:sz w:val="24"/>
              </w:rPr>
              <w:t>；</w:t>
            </w:r>
          </w:p>
        </w:tc>
      </w:tr>
      <w:tr w14:paraId="44B87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8CC972F">
            <w:pPr>
              <w:widowControl/>
              <w:jc w:val="center"/>
              <w:rPr>
                <w:kern w:val="0"/>
                <w:sz w:val="24"/>
              </w:rPr>
            </w:pPr>
            <w:r>
              <w:rPr>
                <w:kern w:val="0"/>
                <w:sz w:val="24"/>
              </w:rPr>
              <w:t>12</w:t>
            </w:r>
          </w:p>
        </w:tc>
        <w:tc>
          <w:tcPr>
            <w:tcW w:w="976" w:type="pct"/>
            <w:vAlign w:val="center"/>
          </w:tcPr>
          <w:p w14:paraId="7BD09EA4">
            <w:pPr>
              <w:widowControl/>
              <w:jc w:val="left"/>
              <w:rPr>
                <w:kern w:val="0"/>
                <w:sz w:val="24"/>
              </w:rPr>
            </w:pPr>
            <w:r>
              <w:rPr>
                <w:kern w:val="0"/>
                <w:sz w:val="24"/>
              </w:rPr>
              <w:t>进口产品</w:t>
            </w:r>
          </w:p>
          <w:p w14:paraId="0D62FF1B">
            <w:pPr>
              <w:widowControl/>
              <w:jc w:val="left"/>
              <w:rPr>
                <w:kern w:val="0"/>
                <w:sz w:val="24"/>
              </w:rPr>
            </w:pPr>
            <w:r>
              <w:rPr>
                <w:kern w:val="0"/>
                <w:sz w:val="24"/>
              </w:rPr>
              <w:t>（如有）</w:t>
            </w:r>
          </w:p>
        </w:tc>
        <w:tc>
          <w:tcPr>
            <w:tcW w:w="3620" w:type="pct"/>
            <w:vAlign w:val="center"/>
          </w:tcPr>
          <w:p w14:paraId="29E1564C">
            <w:pPr>
              <w:widowControl/>
              <w:jc w:val="left"/>
              <w:rPr>
                <w:kern w:val="0"/>
                <w:sz w:val="24"/>
              </w:rPr>
            </w:pPr>
            <w:r>
              <w:rPr>
                <w:rFonts w:hint="eastAsia" w:ascii="宋体" w:hAnsi="宋体"/>
                <w:sz w:val="24"/>
              </w:rPr>
              <w:t>招标文件</w:t>
            </w:r>
            <w:r>
              <w:rPr>
                <w:rFonts w:ascii="宋体" w:hAnsi="宋体"/>
                <w:sz w:val="24"/>
              </w:rPr>
              <w:t>不接受进口产品投标</w:t>
            </w:r>
            <w:r>
              <w:rPr>
                <w:rFonts w:hint="eastAsia" w:ascii="宋体" w:hAnsi="宋体"/>
                <w:sz w:val="24"/>
              </w:rPr>
              <w:t>的内容时</w:t>
            </w:r>
            <w:r>
              <w:rPr>
                <w:rFonts w:ascii="宋体" w:hAnsi="宋体"/>
                <w:sz w:val="24"/>
              </w:rPr>
              <w:t>，</w:t>
            </w:r>
            <w:r>
              <w:rPr>
                <w:rFonts w:hint="eastAsia" w:ascii="宋体" w:hAnsi="宋体"/>
                <w:sz w:val="24"/>
              </w:rPr>
              <w:t>投标人所投产品非进口产品的；</w:t>
            </w:r>
          </w:p>
        </w:tc>
      </w:tr>
      <w:tr w14:paraId="04A0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72CF6EAE">
            <w:pPr>
              <w:widowControl/>
              <w:jc w:val="center"/>
              <w:rPr>
                <w:kern w:val="0"/>
                <w:sz w:val="24"/>
              </w:rPr>
            </w:pPr>
            <w:r>
              <w:rPr>
                <w:kern w:val="0"/>
                <w:sz w:val="24"/>
              </w:rPr>
              <w:t>13</w:t>
            </w:r>
          </w:p>
        </w:tc>
        <w:tc>
          <w:tcPr>
            <w:tcW w:w="976" w:type="pct"/>
            <w:vAlign w:val="center"/>
          </w:tcPr>
          <w:p w14:paraId="1AD60E96">
            <w:pPr>
              <w:widowControl/>
              <w:jc w:val="left"/>
              <w:rPr>
                <w:kern w:val="0"/>
                <w:sz w:val="24"/>
              </w:rPr>
            </w:pPr>
            <w:r>
              <w:rPr>
                <w:kern w:val="0"/>
                <w:sz w:val="24"/>
              </w:rPr>
              <w:t>国家有关部门对投标人的投标产品有强制性规定或要求的</w:t>
            </w:r>
          </w:p>
        </w:tc>
        <w:tc>
          <w:tcPr>
            <w:tcW w:w="3620" w:type="pct"/>
            <w:vAlign w:val="center"/>
          </w:tcPr>
          <w:p w14:paraId="20FA5042">
            <w:pPr>
              <w:spacing w:line="276" w:lineRule="auto"/>
              <w:ind w:firstLine="29"/>
              <w:rPr>
                <w:rFonts w:hint="eastAsia" w:ascii="宋体" w:hAnsi="宋体"/>
                <w:sz w:val="24"/>
              </w:rPr>
            </w:pPr>
            <w:r>
              <w:rPr>
                <w:rFonts w:ascii="宋体" w:hAnsi="宋体"/>
                <w:sz w:val="24"/>
              </w:rPr>
              <w:t>国家有关部门对投标人的投标产品有强制性规定或要求的（如相应技术、安全、节能和环保等），投标人的投标产品</w:t>
            </w:r>
            <w:r>
              <w:rPr>
                <w:rFonts w:hint="eastAsia" w:ascii="宋体" w:hAnsi="宋体"/>
                <w:sz w:val="24"/>
              </w:rPr>
              <w:t>应</w:t>
            </w:r>
            <w:r>
              <w:rPr>
                <w:rFonts w:ascii="宋体" w:hAnsi="宋体"/>
                <w:sz w:val="24"/>
              </w:rPr>
              <w:t>符合相应规定或要求</w:t>
            </w:r>
            <w:r>
              <w:rPr>
                <w:rFonts w:hint="eastAsia" w:ascii="宋体" w:hAnsi="宋体"/>
                <w:sz w:val="24"/>
              </w:rPr>
              <w:t>，并提供证明文件复印件：</w:t>
            </w:r>
          </w:p>
          <w:p w14:paraId="3DE5BD8E">
            <w:pPr>
              <w:spacing w:line="276" w:lineRule="auto"/>
              <w:ind w:firstLine="29"/>
              <w:rPr>
                <w:rFonts w:hint="eastAsia" w:ascii="宋体" w:hAnsi="宋体"/>
                <w:sz w:val="24"/>
              </w:rPr>
            </w:pPr>
            <w:r>
              <w:rPr>
                <w:rFonts w:hint="eastAsia" w:ascii="宋体" w:hAnsi="宋体"/>
                <w:sz w:val="24"/>
              </w:rPr>
              <w:t>1）</w:t>
            </w:r>
            <w:r>
              <w:rPr>
                <w:rFonts w:ascii="宋体" w:hAnsi="宋体"/>
                <w:sz w:val="24"/>
              </w:rPr>
              <w:t>采购的产品若属于《节能产品政府采购品目清单》范围中政府强制采购产品，则投标人所报产品必须获得国家确定的认证机构出具的、处于有效期之内的节能产品认证证书；</w:t>
            </w:r>
          </w:p>
          <w:p w14:paraId="31A5D8AA">
            <w:pPr>
              <w:autoSpaceDE w:val="0"/>
              <w:autoSpaceDN w:val="0"/>
              <w:adjustRightInd w:val="0"/>
              <w:spacing w:line="276" w:lineRule="auto"/>
              <w:jc w:val="left"/>
              <w:rPr>
                <w:rFonts w:hint="eastAsia" w:ascii="宋体" w:hAnsi="宋体"/>
                <w:sz w:val="24"/>
              </w:rPr>
            </w:pPr>
            <w:r>
              <w:rPr>
                <w:rFonts w:hint="eastAsia" w:ascii="宋体" w:hAnsi="宋体"/>
                <w:sz w:val="24"/>
              </w:rPr>
              <w:t>2）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8088CAF">
            <w:pPr>
              <w:spacing w:line="276" w:lineRule="auto"/>
              <w:ind w:firstLine="29"/>
              <w:rPr>
                <w:rFonts w:hint="eastAsia" w:ascii="宋体" w:hAnsi="宋体"/>
                <w:sz w:val="24"/>
              </w:rPr>
            </w:pPr>
            <w:r>
              <w:rPr>
                <w:rFonts w:hint="eastAsia" w:ascii="宋体" w:hAnsi="宋体"/>
                <w:sz w:val="24"/>
              </w:rPr>
              <w:t>3）</w:t>
            </w:r>
            <w:r>
              <w:rPr>
                <w:rFonts w:ascii="宋体" w:hAnsi="宋体"/>
                <w:sz w:val="24"/>
              </w:rPr>
              <w:t>项目中涉及涂料、胶黏剂、油墨、清洗剂等挥发性有机物产品，且属于强制性标准的，供应商应执行符合</w:t>
            </w:r>
            <w:r>
              <w:rPr>
                <w:rFonts w:hint="eastAsia" w:ascii="宋体" w:hAnsi="宋体"/>
                <w:sz w:val="24"/>
              </w:rPr>
              <w:t>北京</w:t>
            </w:r>
            <w:r>
              <w:rPr>
                <w:rFonts w:ascii="宋体" w:hAnsi="宋体"/>
                <w:sz w:val="24"/>
              </w:rPr>
              <w:t>市和国家的VOCs 含量限制标准</w:t>
            </w:r>
            <w:r>
              <w:rPr>
                <w:rFonts w:hint="eastAsia" w:ascii="宋体" w:hAnsi="宋体"/>
                <w:sz w:val="24"/>
              </w:rPr>
              <w:t>；</w:t>
            </w:r>
          </w:p>
          <w:p w14:paraId="3B09DE41">
            <w:pPr>
              <w:widowControl/>
              <w:jc w:val="left"/>
              <w:rPr>
                <w:kern w:val="0"/>
                <w:sz w:val="24"/>
              </w:rPr>
            </w:pPr>
            <w:r>
              <w:rPr>
                <w:rFonts w:hint="eastAsia"/>
                <w:iCs/>
                <w:sz w:val="24"/>
              </w:rPr>
              <w:t>4）投标产品须符合国家有关部门的强制性规定或要求。</w:t>
            </w:r>
          </w:p>
        </w:tc>
      </w:tr>
      <w:tr w14:paraId="31F29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137C1024">
            <w:pPr>
              <w:widowControl/>
              <w:jc w:val="center"/>
              <w:rPr>
                <w:kern w:val="0"/>
                <w:sz w:val="24"/>
              </w:rPr>
            </w:pPr>
            <w:r>
              <w:rPr>
                <w:kern w:val="0"/>
                <w:sz w:val="24"/>
              </w:rPr>
              <w:t>14</w:t>
            </w:r>
          </w:p>
        </w:tc>
        <w:tc>
          <w:tcPr>
            <w:tcW w:w="976" w:type="pct"/>
            <w:vAlign w:val="center"/>
          </w:tcPr>
          <w:p w14:paraId="1983FA3D">
            <w:pPr>
              <w:widowControl/>
              <w:jc w:val="left"/>
              <w:rPr>
                <w:kern w:val="0"/>
                <w:sz w:val="24"/>
              </w:rPr>
            </w:pPr>
            <w:r>
              <w:rPr>
                <w:kern w:val="0"/>
                <w:sz w:val="24"/>
              </w:rPr>
              <w:t>公平竞争</w:t>
            </w:r>
          </w:p>
        </w:tc>
        <w:tc>
          <w:tcPr>
            <w:tcW w:w="3620" w:type="pct"/>
            <w:vAlign w:val="center"/>
          </w:tcPr>
          <w:p w14:paraId="7723C2BC">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14:paraId="4ADB9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42D3A64D">
            <w:pPr>
              <w:widowControl/>
              <w:jc w:val="center"/>
              <w:rPr>
                <w:kern w:val="0"/>
                <w:sz w:val="24"/>
              </w:rPr>
            </w:pPr>
            <w:r>
              <w:rPr>
                <w:kern w:val="0"/>
                <w:sz w:val="24"/>
              </w:rPr>
              <w:t>15</w:t>
            </w:r>
          </w:p>
        </w:tc>
        <w:tc>
          <w:tcPr>
            <w:tcW w:w="976" w:type="pct"/>
            <w:vAlign w:val="center"/>
          </w:tcPr>
          <w:p w14:paraId="4C9FB795">
            <w:pPr>
              <w:widowControl/>
              <w:jc w:val="left"/>
              <w:rPr>
                <w:kern w:val="0"/>
                <w:sz w:val="24"/>
              </w:rPr>
            </w:pPr>
            <w:r>
              <w:rPr>
                <w:kern w:val="0"/>
                <w:sz w:val="24"/>
              </w:rPr>
              <w:t>串通投标</w:t>
            </w:r>
          </w:p>
        </w:tc>
        <w:tc>
          <w:tcPr>
            <w:tcW w:w="3620" w:type="pct"/>
            <w:vAlign w:val="center"/>
          </w:tcPr>
          <w:p w14:paraId="2652A047">
            <w:pPr>
              <w:widowControl/>
              <w:jc w:val="left"/>
              <w:rPr>
                <w:kern w:val="0"/>
                <w:sz w:val="24"/>
              </w:rPr>
            </w:pPr>
            <w:r>
              <w:rPr>
                <w:rFonts w:hint="eastAsia"/>
                <w:sz w:val="24"/>
              </w:rPr>
              <w:t>不存在《政府采购货物和服务招标投标管理办法》视为投标人串通投标的情形：（一）不同投标人的投标文件由同一单位或者个人编制；（二）不同投标人委托同一单位或者个人办理投标事宜；（三）不同投标人的投标文件载明的项目管理成员或者联系人员为同一人；（四）不同投标人的投标文件异常一致或者投标报价呈规律 性差异；（五）不同投标人的投标文件相互混装；（六）不同投标人的投标保证金从同一单位或者个人的账户转出</w:t>
            </w:r>
            <w:r>
              <w:rPr>
                <w:sz w:val="24"/>
              </w:rPr>
              <w:t>；</w:t>
            </w:r>
          </w:p>
        </w:tc>
      </w:tr>
      <w:tr w14:paraId="0E323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649A5446">
            <w:pPr>
              <w:widowControl/>
              <w:jc w:val="center"/>
              <w:rPr>
                <w:kern w:val="0"/>
                <w:sz w:val="24"/>
              </w:rPr>
            </w:pPr>
            <w:r>
              <w:rPr>
                <w:kern w:val="0"/>
                <w:sz w:val="24"/>
              </w:rPr>
              <w:t>16</w:t>
            </w:r>
          </w:p>
        </w:tc>
        <w:tc>
          <w:tcPr>
            <w:tcW w:w="976" w:type="pct"/>
            <w:vAlign w:val="center"/>
          </w:tcPr>
          <w:p w14:paraId="0F9FF0ED">
            <w:pPr>
              <w:widowControl/>
              <w:jc w:val="left"/>
              <w:rPr>
                <w:kern w:val="0"/>
                <w:sz w:val="24"/>
              </w:rPr>
            </w:pPr>
            <w:r>
              <w:rPr>
                <w:kern w:val="0"/>
                <w:sz w:val="24"/>
              </w:rPr>
              <w:t>附加条件</w:t>
            </w:r>
          </w:p>
        </w:tc>
        <w:tc>
          <w:tcPr>
            <w:tcW w:w="3620" w:type="pct"/>
            <w:vAlign w:val="center"/>
          </w:tcPr>
          <w:p w14:paraId="05EA725E">
            <w:pPr>
              <w:widowControl/>
              <w:jc w:val="left"/>
              <w:rPr>
                <w:kern w:val="0"/>
                <w:sz w:val="24"/>
              </w:rPr>
            </w:pPr>
            <w:r>
              <w:rPr>
                <w:kern w:val="0"/>
                <w:sz w:val="24"/>
              </w:rPr>
              <w:t>投标文件</w:t>
            </w:r>
            <w:r>
              <w:rPr>
                <w:rFonts w:hint="eastAsia"/>
                <w:kern w:val="0"/>
                <w:sz w:val="24"/>
              </w:rPr>
              <w:t>未</w:t>
            </w:r>
            <w:r>
              <w:rPr>
                <w:kern w:val="0"/>
                <w:sz w:val="24"/>
              </w:rPr>
              <w:t>含有采购人不能接受的附加条件的；</w:t>
            </w:r>
          </w:p>
        </w:tc>
      </w:tr>
      <w:tr w14:paraId="6DDD6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404" w:type="pct"/>
            <w:vAlign w:val="center"/>
          </w:tcPr>
          <w:p w14:paraId="369FF68C">
            <w:pPr>
              <w:widowControl/>
              <w:jc w:val="center"/>
              <w:rPr>
                <w:kern w:val="0"/>
                <w:sz w:val="24"/>
              </w:rPr>
            </w:pPr>
            <w:r>
              <w:rPr>
                <w:rFonts w:hint="eastAsia"/>
                <w:kern w:val="0"/>
                <w:sz w:val="24"/>
              </w:rPr>
              <w:t>1</w:t>
            </w:r>
            <w:r>
              <w:rPr>
                <w:kern w:val="0"/>
                <w:sz w:val="24"/>
              </w:rPr>
              <w:t>7</w:t>
            </w:r>
          </w:p>
        </w:tc>
        <w:tc>
          <w:tcPr>
            <w:tcW w:w="976" w:type="pct"/>
            <w:vAlign w:val="center"/>
          </w:tcPr>
          <w:p w14:paraId="31C236AC">
            <w:pPr>
              <w:widowControl/>
              <w:jc w:val="left"/>
              <w:rPr>
                <w:kern w:val="0"/>
                <w:sz w:val="24"/>
              </w:rPr>
            </w:pPr>
            <w:r>
              <w:rPr>
                <w:kern w:val="0"/>
                <w:sz w:val="24"/>
              </w:rPr>
              <w:t>其他无效情形</w:t>
            </w:r>
          </w:p>
        </w:tc>
        <w:tc>
          <w:tcPr>
            <w:tcW w:w="3620" w:type="pct"/>
            <w:vAlign w:val="center"/>
          </w:tcPr>
          <w:p w14:paraId="02B827D9">
            <w:pPr>
              <w:widowControl/>
              <w:jc w:val="left"/>
              <w:rPr>
                <w:kern w:val="0"/>
                <w:sz w:val="24"/>
              </w:rPr>
            </w:pPr>
            <w:r>
              <w:rPr>
                <w:sz w:val="24"/>
              </w:rPr>
              <w:t>投标人、投标文件</w:t>
            </w:r>
            <w:r>
              <w:rPr>
                <w:rFonts w:hint="eastAsia"/>
                <w:sz w:val="24"/>
              </w:rPr>
              <w:t>不存在</w:t>
            </w:r>
            <w:r>
              <w:rPr>
                <w:sz w:val="24"/>
              </w:rPr>
              <w:t>不符合法律、法规和招标文件规定的其他无效情形。</w:t>
            </w:r>
          </w:p>
        </w:tc>
      </w:tr>
      <w:bookmarkEnd w:id="732"/>
    </w:tbl>
    <w:p w14:paraId="3ACDAD2D">
      <w:pPr>
        <w:tabs>
          <w:tab w:val="left" w:pos="1080"/>
          <w:tab w:val="left" w:pos="1589"/>
        </w:tabs>
        <w:snapToGrid w:val="0"/>
        <w:spacing w:line="360" w:lineRule="auto"/>
        <w:rPr>
          <w:rFonts w:hint="eastAsia" w:ascii="宋体" w:hAnsi="宋体"/>
          <w:sz w:val="24"/>
        </w:rPr>
        <w:sectPr>
          <w:headerReference r:id="rId12" w:type="first"/>
          <w:footerReference r:id="rId14" w:type="first"/>
          <w:headerReference r:id="rId11" w:type="even"/>
          <w:footerReference r:id="rId13" w:type="even"/>
          <w:pgSz w:w="11907" w:h="16840"/>
          <w:pgMar w:top="1418" w:right="1134" w:bottom="1418" w:left="1701" w:header="851" w:footer="851" w:gutter="0"/>
          <w:cols w:space="720" w:num="1"/>
          <w:docGrid w:linePitch="462" w:charSpace="0"/>
        </w:sectPr>
      </w:pPr>
    </w:p>
    <w:p w14:paraId="7F796CEA">
      <w:pPr>
        <w:tabs>
          <w:tab w:val="left" w:pos="360"/>
        </w:tabs>
        <w:snapToGrid w:val="0"/>
        <w:spacing w:line="360" w:lineRule="auto"/>
        <w:ind w:left="900" w:hanging="900"/>
        <w:outlineLvl w:val="1"/>
        <w:rPr>
          <w:rFonts w:hint="eastAsia" w:ascii="宋体" w:hAnsi="宋体"/>
          <w:sz w:val="24"/>
        </w:rPr>
      </w:pPr>
      <w:r>
        <w:rPr>
          <w:rFonts w:hint="eastAsia" w:ascii="宋体" w:hAnsi="宋体"/>
          <w:sz w:val="24"/>
        </w:rPr>
        <w:t>2</w:t>
      </w:r>
      <w:r>
        <w:rPr>
          <w:rFonts w:hint="eastAsia" w:ascii="宋体" w:hAnsi="宋体"/>
          <w:sz w:val="24"/>
        </w:rPr>
        <w:tab/>
      </w:r>
      <w:r>
        <w:rPr>
          <w:rFonts w:ascii="宋体" w:hAnsi="宋体"/>
          <w:sz w:val="24"/>
        </w:rPr>
        <w:t>投标文件有关事项的澄清或者说明</w:t>
      </w:r>
    </w:p>
    <w:p w14:paraId="7054377A">
      <w:pPr>
        <w:tabs>
          <w:tab w:val="left" w:pos="1080"/>
          <w:tab w:val="left" w:pos="1589"/>
        </w:tabs>
        <w:snapToGrid w:val="0"/>
        <w:spacing w:line="360" w:lineRule="auto"/>
        <w:ind w:left="1077" w:hanging="720"/>
        <w:rPr>
          <w:rFonts w:hint="eastAsia" w:ascii="宋体" w:hAnsi="宋体"/>
          <w:sz w:val="24"/>
        </w:rPr>
      </w:pPr>
      <w:r>
        <w:rPr>
          <w:sz w:val="24"/>
        </w:rPr>
        <w:t>2.1</w:t>
      </w:r>
      <w:r>
        <w:rPr>
          <w:sz w:val="24"/>
        </w:rPr>
        <w:tab/>
      </w:r>
      <w:r>
        <w:rPr>
          <w:rFonts w:ascii="宋体" w:hAnsi="宋体"/>
          <w:sz w:val="24"/>
        </w:rPr>
        <w:t>评标过程中，评标委员会将以书面形式要求投标人对其投标文件中含义不明确、同类问题表述不一致或者有明显文字和计算错误的内容，作出必要的澄清、说明或者补正。投标人的澄清、说明或者补正应当采用书面形式，并加盖公章，或者由法定代表人或其授权的代表签字。投标人的澄清、说明或者补正不得超出投标文件的范围或者改变投标文件的实质性内容。澄清文件将作为投标文件内容的一部分。</w:t>
      </w:r>
    </w:p>
    <w:p w14:paraId="69E147DE">
      <w:pPr>
        <w:tabs>
          <w:tab w:val="left" w:pos="1080"/>
          <w:tab w:val="left" w:pos="1589"/>
        </w:tabs>
        <w:snapToGrid w:val="0"/>
        <w:spacing w:line="360" w:lineRule="auto"/>
        <w:ind w:left="1077" w:hanging="720"/>
        <w:rPr>
          <w:rFonts w:hint="eastAsia" w:ascii="宋体" w:hAnsi="宋体"/>
          <w:sz w:val="24"/>
        </w:rPr>
      </w:pPr>
      <w:r>
        <w:rPr>
          <w:sz w:val="24"/>
        </w:rPr>
        <w:t>2.2</w:t>
      </w:r>
      <w:r>
        <w:rPr>
          <w:sz w:val="24"/>
        </w:rPr>
        <w:tab/>
      </w:r>
      <w:r>
        <w:rPr>
          <w:rFonts w:ascii="宋体" w:hAnsi="宋体"/>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hint="eastAsia" w:ascii="宋体" w:hAnsi="宋体"/>
          <w:b/>
          <w:sz w:val="24"/>
        </w:rPr>
        <w:t>投标无效</w:t>
      </w:r>
      <w:r>
        <w:rPr>
          <w:rFonts w:ascii="宋体" w:hAnsi="宋体"/>
          <w:sz w:val="24"/>
        </w:rPr>
        <w:t>。</w:t>
      </w:r>
    </w:p>
    <w:p w14:paraId="028EF5EE">
      <w:pPr>
        <w:tabs>
          <w:tab w:val="left" w:pos="1080"/>
          <w:tab w:val="left" w:pos="1589"/>
        </w:tabs>
        <w:snapToGrid w:val="0"/>
        <w:spacing w:line="360" w:lineRule="auto"/>
        <w:ind w:left="1077" w:hanging="720"/>
        <w:rPr>
          <w:rFonts w:hint="eastAsia" w:ascii="宋体" w:hAnsi="宋体"/>
          <w:sz w:val="24"/>
        </w:rPr>
      </w:pPr>
      <w:r>
        <w:rPr>
          <w:sz w:val="24"/>
        </w:rPr>
        <w:t>2.3</w:t>
      </w:r>
      <w:r>
        <w:rPr>
          <w:sz w:val="24"/>
        </w:rPr>
        <w:tab/>
      </w:r>
      <w:r>
        <w:rPr>
          <w:rFonts w:ascii="宋体" w:hAnsi="宋体"/>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开投标，其</w:t>
      </w:r>
      <w:r>
        <w:rPr>
          <w:rFonts w:ascii="宋体" w:hAnsi="宋体"/>
          <w:b/>
          <w:sz w:val="24"/>
        </w:rPr>
        <w:t>投标无效</w:t>
      </w:r>
      <w:r>
        <w:rPr>
          <w:rFonts w:ascii="宋体" w:hAnsi="宋体"/>
          <w:sz w:val="24"/>
        </w:rPr>
        <w:t>。</w:t>
      </w:r>
    </w:p>
    <w:p w14:paraId="417D5C9D">
      <w:pPr>
        <w:tabs>
          <w:tab w:val="left" w:pos="1080"/>
          <w:tab w:val="left" w:pos="1589"/>
        </w:tabs>
        <w:snapToGrid w:val="0"/>
        <w:spacing w:line="360" w:lineRule="auto"/>
        <w:ind w:left="1077" w:hanging="720"/>
        <w:rPr>
          <w:rFonts w:hint="eastAsia" w:ascii="宋体" w:hAnsi="宋体"/>
          <w:sz w:val="24"/>
        </w:rPr>
      </w:pPr>
      <w:r>
        <w:rPr>
          <w:sz w:val="24"/>
        </w:rPr>
        <w:t>2.4</w:t>
      </w:r>
      <w:r>
        <w:rPr>
          <w:sz w:val="24"/>
        </w:rPr>
        <w:tab/>
      </w:r>
      <w:r>
        <w:rPr>
          <w:rFonts w:ascii="宋体" w:hAnsi="宋体"/>
          <w:sz w:val="24"/>
        </w:rPr>
        <w:t>投标文件报价出现前后不一致的，按照下列规定修正：</w:t>
      </w:r>
    </w:p>
    <w:p w14:paraId="0156D2E0">
      <w:pPr>
        <w:tabs>
          <w:tab w:val="left" w:pos="1080"/>
          <w:tab w:val="left" w:pos="1589"/>
          <w:tab w:val="left" w:pos="1980"/>
          <w:tab w:val="left" w:pos="2035"/>
          <w:tab w:val="left" w:pos="2114"/>
        </w:tabs>
        <w:snapToGrid w:val="0"/>
        <w:spacing w:line="360" w:lineRule="auto"/>
        <w:ind w:left="2035" w:hanging="900"/>
        <w:rPr>
          <w:rFonts w:hint="eastAsia" w:ascii="宋体" w:hAnsi="宋体"/>
          <w:sz w:val="24"/>
        </w:rPr>
      </w:pPr>
      <w:r>
        <w:rPr>
          <w:rFonts w:hint="eastAsia" w:ascii="宋体" w:hAnsi="宋体"/>
          <w:sz w:val="24"/>
        </w:rPr>
        <w:t>2.4.1</w:t>
      </w:r>
      <w:r>
        <w:rPr>
          <w:rFonts w:hint="eastAsia" w:ascii="宋体" w:hAnsi="宋体"/>
          <w:sz w:val="24"/>
        </w:rPr>
        <w:tab/>
      </w:r>
      <w:r>
        <w:rPr>
          <w:rFonts w:ascii="宋体" w:hAnsi="宋体"/>
          <w:sz w:val="24"/>
        </w:rPr>
        <w:t>招标文件对于报价修正是否另有规定：</w:t>
      </w:r>
    </w:p>
    <w:p w14:paraId="7AE48BB3">
      <w:pPr>
        <w:tabs>
          <w:tab w:val="left" w:pos="1080"/>
          <w:tab w:val="left" w:pos="1589"/>
          <w:tab w:val="left" w:pos="2035"/>
          <w:tab w:val="left" w:pos="2114"/>
        </w:tabs>
        <w:snapToGrid w:val="0"/>
        <w:spacing w:line="360" w:lineRule="auto"/>
        <w:ind w:left="2035"/>
        <w:rPr>
          <w:rFonts w:hint="eastAsia" w:ascii="宋体" w:hAnsi="宋体"/>
          <w:sz w:val="24"/>
          <w:u w:val="single"/>
        </w:rPr>
      </w:pPr>
      <w:r>
        <w:rPr>
          <w:rFonts w:ascii="宋体" w:hAnsi="宋体"/>
          <w:sz w:val="24"/>
        </w:rPr>
        <w:t>□有，具体规定为：______________</w:t>
      </w:r>
    </w:p>
    <w:p w14:paraId="2CD0584D">
      <w:pPr>
        <w:tabs>
          <w:tab w:val="left" w:pos="1080"/>
          <w:tab w:val="left" w:pos="1589"/>
          <w:tab w:val="left" w:pos="2035"/>
          <w:tab w:val="left" w:pos="2114"/>
        </w:tabs>
        <w:snapToGrid w:val="0"/>
        <w:spacing w:line="360" w:lineRule="auto"/>
        <w:ind w:left="2035"/>
        <w:rPr>
          <w:rFonts w:hint="eastAsia" w:ascii="宋体" w:hAnsi="宋体"/>
          <w:sz w:val="24"/>
        </w:rPr>
      </w:pPr>
      <w:r>
        <w:rPr>
          <w:rFonts w:hint="eastAsia" w:ascii="宋体" w:hAnsi="宋体"/>
          <w:sz w:val="24"/>
        </w:rPr>
        <w:t>■</w:t>
      </w:r>
      <w:r>
        <w:rPr>
          <w:rFonts w:ascii="宋体" w:hAnsi="宋体"/>
          <w:sz w:val="24"/>
        </w:rPr>
        <w:t>无，按下述2.4.2-2.4.7项规定修正。</w:t>
      </w:r>
    </w:p>
    <w:p w14:paraId="4FD8542B">
      <w:pPr>
        <w:tabs>
          <w:tab w:val="left" w:pos="1980"/>
          <w:tab w:val="left" w:pos="2035"/>
          <w:tab w:val="left" w:pos="2114"/>
          <w:tab w:val="left" w:pos="2977"/>
        </w:tabs>
        <w:snapToGrid w:val="0"/>
        <w:spacing w:line="360" w:lineRule="auto"/>
        <w:ind w:left="2035" w:hanging="900"/>
        <w:rPr>
          <w:rFonts w:hint="eastAsia" w:ascii="宋体" w:hAnsi="宋体"/>
          <w:color w:val="000000"/>
          <w:sz w:val="24"/>
        </w:rPr>
      </w:pPr>
      <w:r>
        <w:rPr>
          <w:rFonts w:hint="eastAsia" w:ascii="宋体" w:hAnsi="宋体"/>
          <w:color w:val="000000"/>
          <w:sz w:val="24"/>
        </w:rPr>
        <w:t>2.4.2</w:t>
      </w:r>
      <w:r>
        <w:rPr>
          <w:rFonts w:hint="eastAsia" w:ascii="宋体" w:hAnsi="宋体"/>
          <w:color w:val="000000"/>
          <w:sz w:val="24"/>
        </w:rPr>
        <w:tab/>
      </w:r>
      <w:r>
        <w:rPr>
          <w:rFonts w:ascii="宋体" w:hAnsi="宋体"/>
          <w:color w:val="000000"/>
          <w:sz w:val="24"/>
        </w:rPr>
        <w:t>单独递交的开标一览表（报价表）与投标文件中开标一览表（报价表）内容不一致的，以单独递交的开标一览表（报价表）为准；</w:t>
      </w:r>
    </w:p>
    <w:p w14:paraId="3921D96D">
      <w:pPr>
        <w:tabs>
          <w:tab w:val="left" w:pos="1980"/>
          <w:tab w:val="left" w:pos="2035"/>
          <w:tab w:val="left" w:pos="2114"/>
          <w:tab w:val="left" w:pos="2977"/>
        </w:tabs>
        <w:snapToGrid w:val="0"/>
        <w:spacing w:line="360" w:lineRule="auto"/>
        <w:ind w:left="2035" w:hanging="900"/>
        <w:rPr>
          <w:rFonts w:hint="eastAsia" w:ascii="宋体" w:hAnsi="宋体"/>
          <w:color w:val="000000"/>
          <w:sz w:val="24"/>
        </w:rPr>
      </w:pPr>
      <w:r>
        <w:rPr>
          <w:rFonts w:hint="eastAsia" w:ascii="宋体" w:hAnsi="宋体"/>
          <w:color w:val="000000"/>
          <w:sz w:val="24"/>
        </w:rPr>
        <w:t>2.4.3</w:t>
      </w:r>
      <w:r>
        <w:rPr>
          <w:rFonts w:hint="eastAsia" w:ascii="宋体" w:hAnsi="宋体"/>
          <w:color w:val="000000"/>
          <w:sz w:val="24"/>
        </w:rPr>
        <w:tab/>
      </w:r>
      <w:r>
        <w:rPr>
          <w:rFonts w:ascii="宋体" w:hAnsi="宋体"/>
          <w:color w:val="000000"/>
          <w:sz w:val="24"/>
        </w:rPr>
        <w:t>投标文件中开标一览表（报价表）内容与投标文件中相应内容不一致的，以开标一览表（报价表）为准；</w:t>
      </w:r>
    </w:p>
    <w:p w14:paraId="629F0256">
      <w:pPr>
        <w:tabs>
          <w:tab w:val="left" w:pos="1980"/>
          <w:tab w:val="left" w:pos="2035"/>
          <w:tab w:val="left" w:pos="2114"/>
          <w:tab w:val="left" w:pos="2977"/>
        </w:tabs>
        <w:snapToGrid w:val="0"/>
        <w:spacing w:line="360" w:lineRule="auto"/>
        <w:ind w:left="2035" w:hanging="900"/>
        <w:rPr>
          <w:rFonts w:hint="eastAsia" w:ascii="宋体" w:hAnsi="宋体"/>
          <w:color w:val="000000"/>
          <w:sz w:val="24"/>
        </w:rPr>
      </w:pPr>
      <w:r>
        <w:rPr>
          <w:rFonts w:hint="eastAsia" w:ascii="宋体" w:hAnsi="宋体"/>
          <w:color w:val="000000"/>
          <w:sz w:val="24"/>
        </w:rPr>
        <w:t>2.4.4</w:t>
      </w:r>
      <w:r>
        <w:rPr>
          <w:rFonts w:hint="eastAsia" w:ascii="宋体" w:hAnsi="宋体"/>
          <w:color w:val="000000"/>
          <w:sz w:val="24"/>
        </w:rPr>
        <w:tab/>
      </w:r>
      <w:r>
        <w:rPr>
          <w:rFonts w:ascii="宋体" w:hAnsi="宋体"/>
          <w:color w:val="000000"/>
          <w:sz w:val="24"/>
        </w:rPr>
        <w:t>大写金额和小写金额不一致的，以大写金额为准；</w:t>
      </w:r>
    </w:p>
    <w:p w14:paraId="092991FC">
      <w:pPr>
        <w:tabs>
          <w:tab w:val="left" w:pos="1980"/>
          <w:tab w:val="left" w:pos="2035"/>
          <w:tab w:val="left" w:pos="2114"/>
          <w:tab w:val="left" w:pos="2977"/>
        </w:tabs>
        <w:snapToGrid w:val="0"/>
        <w:spacing w:line="360" w:lineRule="auto"/>
        <w:ind w:left="2035" w:hanging="900"/>
        <w:rPr>
          <w:rFonts w:hint="eastAsia" w:ascii="宋体" w:hAnsi="宋体"/>
          <w:color w:val="000000"/>
          <w:sz w:val="24"/>
        </w:rPr>
      </w:pPr>
      <w:r>
        <w:rPr>
          <w:rFonts w:hint="eastAsia" w:ascii="宋体" w:hAnsi="宋体"/>
          <w:color w:val="000000"/>
          <w:sz w:val="24"/>
        </w:rPr>
        <w:t>2.4.5</w:t>
      </w:r>
      <w:r>
        <w:rPr>
          <w:rFonts w:hint="eastAsia" w:ascii="宋体" w:hAnsi="宋体"/>
          <w:color w:val="000000"/>
          <w:sz w:val="24"/>
        </w:rPr>
        <w:tab/>
      </w:r>
      <w:r>
        <w:rPr>
          <w:rFonts w:ascii="宋体" w:hAnsi="宋体"/>
          <w:color w:val="000000"/>
          <w:sz w:val="24"/>
        </w:rPr>
        <w:t>单价金额小数点或者百分比有明显错位的，以开标一览表的总价为准，并修改单价；</w:t>
      </w:r>
    </w:p>
    <w:p w14:paraId="1AD223E0">
      <w:pPr>
        <w:tabs>
          <w:tab w:val="left" w:pos="1980"/>
          <w:tab w:val="left" w:pos="2035"/>
          <w:tab w:val="left" w:pos="2114"/>
          <w:tab w:val="left" w:pos="2977"/>
        </w:tabs>
        <w:snapToGrid w:val="0"/>
        <w:spacing w:line="360" w:lineRule="auto"/>
        <w:ind w:left="2035" w:hanging="900"/>
        <w:rPr>
          <w:rFonts w:hint="eastAsia" w:ascii="宋体" w:hAnsi="宋体"/>
          <w:color w:val="000000"/>
          <w:sz w:val="24"/>
        </w:rPr>
      </w:pPr>
      <w:r>
        <w:rPr>
          <w:rFonts w:hint="eastAsia" w:ascii="宋体" w:hAnsi="宋体"/>
          <w:color w:val="000000"/>
          <w:sz w:val="24"/>
        </w:rPr>
        <w:t>2.4.6</w:t>
      </w:r>
      <w:r>
        <w:rPr>
          <w:rFonts w:hint="eastAsia" w:ascii="宋体" w:hAnsi="宋体"/>
          <w:color w:val="000000"/>
          <w:sz w:val="24"/>
        </w:rPr>
        <w:tab/>
      </w:r>
      <w:r>
        <w:rPr>
          <w:rFonts w:ascii="宋体" w:hAnsi="宋体"/>
          <w:color w:val="000000"/>
          <w:sz w:val="24"/>
        </w:rPr>
        <w:t>总价金额与按单价汇总金额不一致的，以单价金额计算结果为准。</w:t>
      </w:r>
    </w:p>
    <w:p w14:paraId="0AB70C1D">
      <w:pPr>
        <w:tabs>
          <w:tab w:val="left" w:pos="1080"/>
          <w:tab w:val="left" w:pos="1589"/>
          <w:tab w:val="left" w:pos="1980"/>
          <w:tab w:val="left" w:pos="2035"/>
          <w:tab w:val="left" w:pos="2114"/>
        </w:tabs>
        <w:snapToGrid w:val="0"/>
        <w:spacing w:line="360" w:lineRule="auto"/>
        <w:ind w:left="2035" w:hanging="900"/>
        <w:rPr>
          <w:rFonts w:hint="eastAsia" w:ascii="宋体" w:hAnsi="宋体"/>
          <w:sz w:val="24"/>
        </w:rPr>
      </w:pPr>
      <w:r>
        <w:rPr>
          <w:rFonts w:hint="eastAsia" w:ascii="宋体" w:hAnsi="宋体"/>
          <w:sz w:val="24"/>
        </w:rPr>
        <w:t>2.4.7</w:t>
      </w:r>
      <w:r>
        <w:rPr>
          <w:rFonts w:hint="eastAsia" w:ascii="宋体" w:hAnsi="宋体"/>
          <w:sz w:val="24"/>
        </w:rPr>
        <w:tab/>
      </w:r>
      <w:r>
        <w:rPr>
          <w:rFonts w:ascii="宋体" w:hAnsi="宋体"/>
          <w:sz w:val="24"/>
        </w:rPr>
        <w:t>同时出现两种以上不一致的，按照前款规定的顺序修正。修正后的报价经投标人书面确认后产生约束力，投标人不确认的，其</w:t>
      </w:r>
      <w:r>
        <w:rPr>
          <w:rFonts w:ascii="宋体" w:hAnsi="宋体"/>
          <w:b/>
          <w:sz w:val="24"/>
        </w:rPr>
        <w:t>投标无效</w:t>
      </w:r>
      <w:r>
        <w:rPr>
          <w:rFonts w:ascii="宋体" w:hAnsi="宋体"/>
          <w:sz w:val="24"/>
        </w:rPr>
        <w:t>。</w:t>
      </w:r>
    </w:p>
    <w:p w14:paraId="2B586FCE">
      <w:pPr>
        <w:tabs>
          <w:tab w:val="left" w:pos="1080"/>
          <w:tab w:val="left" w:pos="1589"/>
        </w:tabs>
        <w:snapToGrid w:val="0"/>
        <w:spacing w:line="360" w:lineRule="auto"/>
        <w:ind w:left="1077" w:hanging="720"/>
        <w:rPr>
          <w:rFonts w:hint="eastAsia" w:ascii="宋体" w:hAnsi="宋体"/>
          <w:sz w:val="24"/>
        </w:rPr>
      </w:pPr>
      <w:r>
        <w:rPr>
          <w:sz w:val="24"/>
        </w:rPr>
        <w:t>2.5</w:t>
      </w:r>
      <w:r>
        <w:rPr>
          <w:sz w:val="24"/>
        </w:rPr>
        <w:tab/>
      </w:r>
      <w:r>
        <w:rPr>
          <w:rFonts w:ascii="宋体" w:hAnsi="宋体"/>
          <w:sz w:val="24"/>
        </w:rPr>
        <w:t>落实政府采购政策的价格调整：只有符合第二章《投标人须知》5.2条规定情形的，可以享受中小企业扶持政策，用扣除后的价格参加评审</w:t>
      </w:r>
      <w:r>
        <w:rPr>
          <w:rFonts w:hint="eastAsia" w:ascii="宋体" w:hAnsi="宋体"/>
          <w:sz w:val="24"/>
        </w:rPr>
        <w:t>（即评标价）</w:t>
      </w:r>
      <w:r>
        <w:rPr>
          <w:rFonts w:ascii="宋体" w:hAnsi="宋体"/>
          <w:sz w:val="24"/>
        </w:rPr>
        <w:t>；否则，评标时价格不予扣除。</w:t>
      </w:r>
    </w:p>
    <w:p w14:paraId="7AC5FF4F">
      <w:pPr>
        <w:tabs>
          <w:tab w:val="left" w:pos="1080"/>
          <w:tab w:val="left" w:pos="1589"/>
          <w:tab w:val="left" w:pos="1980"/>
          <w:tab w:val="left" w:pos="2035"/>
        </w:tabs>
        <w:snapToGrid w:val="0"/>
        <w:spacing w:line="360" w:lineRule="auto"/>
        <w:ind w:left="2035" w:hanging="900"/>
        <w:rPr>
          <w:rFonts w:hint="eastAsia" w:ascii="宋体" w:hAnsi="宋体"/>
          <w:sz w:val="24"/>
        </w:rPr>
      </w:pPr>
      <w:r>
        <w:rPr>
          <w:rFonts w:hint="eastAsia" w:ascii="宋体" w:hAnsi="宋体"/>
          <w:sz w:val="24"/>
        </w:rPr>
        <w:t>2.5.1</w:t>
      </w:r>
      <w:r>
        <w:rPr>
          <w:rFonts w:hint="eastAsia" w:ascii="宋体" w:hAnsi="宋体"/>
          <w:sz w:val="24"/>
        </w:rPr>
        <w:tab/>
      </w:r>
      <w:r>
        <w:rPr>
          <w:rFonts w:ascii="宋体" w:hAnsi="宋体"/>
          <w:sz w:val="24"/>
        </w:rPr>
        <w:t>对于未预留份额专门面向中小企业采购的采购项目，以及预留份额项目中的非预留部分采购包，对小微企业报价给予</w:t>
      </w:r>
      <w:r>
        <w:rPr>
          <w:rFonts w:ascii="宋体" w:hAnsi="宋体"/>
          <w:sz w:val="24"/>
          <w:u w:val="single"/>
        </w:rPr>
        <w:t>10%</w:t>
      </w:r>
      <w:r>
        <w:rPr>
          <w:rFonts w:ascii="宋体" w:hAnsi="宋体"/>
          <w:sz w:val="24"/>
        </w:rPr>
        <w:t>的扣除，用扣除后的价格参加评审</w:t>
      </w:r>
    </w:p>
    <w:p w14:paraId="18E072DC">
      <w:pPr>
        <w:tabs>
          <w:tab w:val="left" w:pos="1080"/>
          <w:tab w:val="left" w:pos="1589"/>
          <w:tab w:val="left" w:pos="1980"/>
          <w:tab w:val="left" w:pos="2035"/>
        </w:tabs>
        <w:snapToGrid w:val="0"/>
        <w:spacing w:line="360" w:lineRule="auto"/>
        <w:ind w:left="2035" w:hanging="900"/>
        <w:rPr>
          <w:sz w:val="24"/>
        </w:rPr>
      </w:pPr>
      <w:r>
        <w:rPr>
          <w:rFonts w:hint="eastAsia"/>
          <w:sz w:val="24"/>
        </w:rPr>
        <w:t>2.5.2</w:t>
      </w:r>
      <w:r>
        <w:rPr>
          <w:rFonts w:hint="eastAsia"/>
          <w:sz w:val="24"/>
        </w:rPr>
        <w:tab/>
      </w:r>
      <w:r>
        <w:rPr>
          <w:sz w:val="24"/>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sz w:val="24"/>
          <w:u w:val="single"/>
        </w:rPr>
        <w:t>4</w:t>
      </w:r>
      <w:r>
        <w:rPr>
          <w:sz w:val="24"/>
        </w:rPr>
        <w:t>%的扣除，用扣除后的价格参加评审。</w:t>
      </w:r>
    </w:p>
    <w:p w14:paraId="75A330D2">
      <w:pPr>
        <w:tabs>
          <w:tab w:val="left" w:pos="1080"/>
          <w:tab w:val="left" w:pos="1589"/>
          <w:tab w:val="left" w:pos="1980"/>
          <w:tab w:val="left" w:pos="2035"/>
        </w:tabs>
        <w:snapToGrid w:val="0"/>
        <w:spacing w:line="360" w:lineRule="auto"/>
        <w:ind w:left="2035" w:hanging="900"/>
        <w:rPr>
          <w:rFonts w:hint="eastAsia" w:ascii="宋体" w:hAnsi="宋体"/>
          <w:sz w:val="24"/>
        </w:rPr>
      </w:pPr>
      <w:r>
        <w:rPr>
          <w:rFonts w:hint="eastAsia" w:ascii="宋体" w:hAnsi="宋体"/>
          <w:sz w:val="24"/>
        </w:rPr>
        <w:t>2.5.3</w:t>
      </w:r>
      <w:r>
        <w:rPr>
          <w:rFonts w:hint="eastAsia" w:ascii="宋体" w:hAnsi="宋体"/>
          <w:sz w:val="24"/>
        </w:rPr>
        <w:tab/>
      </w:r>
      <w:r>
        <w:rPr>
          <w:rFonts w:ascii="宋体" w:hAnsi="宋体"/>
          <w:sz w:val="24"/>
        </w:rPr>
        <w:t>组成联合体或者接受分包的小微企业与联合体内其他企业、分包企业之间存在直接控股、管理关系的，不享受价格扣除优惠政策。</w:t>
      </w:r>
    </w:p>
    <w:p w14:paraId="1094CC65">
      <w:pPr>
        <w:tabs>
          <w:tab w:val="left" w:pos="1080"/>
          <w:tab w:val="left" w:pos="1589"/>
          <w:tab w:val="left" w:pos="1980"/>
          <w:tab w:val="left" w:pos="2035"/>
        </w:tabs>
        <w:snapToGrid w:val="0"/>
        <w:spacing w:line="360" w:lineRule="auto"/>
        <w:ind w:left="2035" w:hanging="900"/>
        <w:rPr>
          <w:rFonts w:hint="eastAsia" w:ascii="宋体" w:hAnsi="宋体"/>
          <w:sz w:val="24"/>
        </w:rPr>
      </w:pPr>
      <w:r>
        <w:rPr>
          <w:rFonts w:hint="eastAsia" w:ascii="宋体" w:hAnsi="宋体"/>
          <w:sz w:val="24"/>
        </w:rPr>
        <w:t>2.5.4</w:t>
      </w:r>
      <w:r>
        <w:rPr>
          <w:rFonts w:hint="eastAsia" w:ascii="宋体" w:hAnsi="宋体"/>
          <w:sz w:val="24"/>
        </w:rPr>
        <w:tab/>
      </w:r>
      <w:r>
        <w:rPr>
          <w:rFonts w:ascii="宋体" w:hAnsi="宋体"/>
          <w:sz w:val="24"/>
        </w:rPr>
        <w:t>价格扣除比例对小型企业和微型企业同等对待，不作区分。</w:t>
      </w:r>
    </w:p>
    <w:p w14:paraId="37720BF1">
      <w:pPr>
        <w:tabs>
          <w:tab w:val="left" w:pos="1080"/>
          <w:tab w:val="left" w:pos="1589"/>
          <w:tab w:val="left" w:pos="1980"/>
          <w:tab w:val="left" w:pos="2035"/>
        </w:tabs>
        <w:snapToGrid w:val="0"/>
        <w:spacing w:line="360" w:lineRule="auto"/>
        <w:ind w:left="2035" w:hanging="900"/>
        <w:rPr>
          <w:rFonts w:hint="eastAsia" w:ascii="宋体" w:hAnsi="宋体"/>
          <w:sz w:val="24"/>
        </w:rPr>
      </w:pPr>
      <w:r>
        <w:rPr>
          <w:rFonts w:hint="eastAsia" w:ascii="宋体" w:hAnsi="宋体"/>
          <w:sz w:val="24"/>
        </w:rPr>
        <w:t>2.5.5</w:t>
      </w:r>
      <w:r>
        <w:rPr>
          <w:rFonts w:hint="eastAsia" w:ascii="宋体" w:hAnsi="宋体"/>
          <w:sz w:val="24"/>
        </w:rPr>
        <w:tab/>
      </w:r>
      <w:r>
        <w:rPr>
          <w:rFonts w:ascii="宋体" w:hAnsi="宋体"/>
          <w:color w:val="000000"/>
          <w:sz w:val="24"/>
        </w:rPr>
        <w:t>中小企业参加政府采购活动，应当按照招标文件给定的格式出具《中小企业声明函》，否则不得享受相关中小企业扶持政策。</w:t>
      </w:r>
    </w:p>
    <w:p w14:paraId="2D4100CE">
      <w:pPr>
        <w:tabs>
          <w:tab w:val="left" w:pos="1080"/>
          <w:tab w:val="left" w:pos="1589"/>
          <w:tab w:val="left" w:pos="1980"/>
          <w:tab w:val="left" w:pos="2035"/>
        </w:tabs>
        <w:snapToGrid w:val="0"/>
        <w:spacing w:line="360" w:lineRule="auto"/>
        <w:ind w:left="2035" w:hanging="900"/>
        <w:rPr>
          <w:rFonts w:hint="eastAsia" w:ascii="宋体" w:hAnsi="宋体"/>
          <w:sz w:val="24"/>
        </w:rPr>
      </w:pPr>
      <w:r>
        <w:rPr>
          <w:rFonts w:hint="eastAsia" w:ascii="宋体" w:hAnsi="宋体"/>
          <w:sz w:val="24"/>
        </w:rPr>
        <w:t>2.5.6</w:t>
      </w:r>
      <w:r>
        <w:rPr>
          <w:rFonts w:hint="eastAsia" w:ascii="宋体" w:hAnsi="宋体"/>
          <w:sz w:val="24"/>
        </w:rPr>
        <w:tab/>
      </w:r>
      <w:r>
        <w:rPr>
          <w:rFonts w:ascii="宋体" w:hAnsi="宋体"/>
          <w:sz w:val="24"/>
        </w:rPr>
        <w:t>监狱企业提供了由省级以上监狱管理局（北京市含教育矫治局）、戒毒管理局（含新疆生产建设兵团）出具的属于监狱企业的证明文件的，视同小微企业。</w:t>
      </w:r>
    </w:p>
    <w:p w14:paraId="31C8BA06">
      <w:pPr>
        <w:tabs>
          <w:tab w:val="left" w:pos="1080"/>
          <w:tab w:val="left" w:pos="1589"/>
          <w:tab w:val="left" w:pos="1980"/>
          <w:tab w:val="left" w:pos="2035"/>
        </w:tabs>
        <w:snapToGrid w:val="0"/>
        <w:spacing w:line="360" w:lineRule="auto"/>
        <w:ind w:left="2035" w:hanging="900"/>
        <w:rPr>
          <w:rFonts w:hint="eastAsia" w:ascii="宋体" w:hAnsi="宋体"/>
          <w:sz w:val="24"/>
        </w:rPr>
      </w:pPr>
      <w:r>
        <w:rPr>
          <w:rFonts w:hint="eastAsia" w:ascii="宋体" w:hAnsi="宋体"/>
          <w:sz w:val="24"/>
        </w:rPr>
        <w:t>2.5.7</w:t>
      </w:r>
      <w:r>
        <w:rPr>
          <w:rFonts w:hint="eastAsia" w:ascii="宋体" w:hAnsi="宋体"/>
          <w:sz w:val="24"/>
        </w:rPr>
        <w:tab/>
      </w:r>
      <w:r>
        <w:rPr>
          <w:rFonts w:ascii="宋体" w:hAnsi="宋体"/>
          <w:sz w:val="24"/>
        </w:rPr>
        <w:t>残疾人福利性单位按招标文件要求提供了《残疾人福利性单位声明函》（见附件）的，视同小微企业。</w:t>
      </w:r>
    </w:p>
    <w:p w14:paraId="7C955430">
      <w:pPr>
        <w:tabs>
          <w:tab w:val="left" w:pos="1080"/>
          <w:tab w:val="left" w:pos="1589"/>
          <w:tab w:val="left" w:pos="2014"/>
        </w:tabs>
        <w:snapToGrid w:val="0"/>
        <w:spacing w:line="360" w:lineRule="auto"/>
        <w:ind w:left="2035" w:hanging="900"/>
        <w:rPr>
          <w:rFonts w:hint="eastAsia" w:ascii="宋体" w:hAnsi="宋体"/>
          <w:sz w:val="24"/>
        </w:rPr>
      </w:pPr>
      <w:r>
        <w:rPr>
          <w:rFonts w:hint="eastAsia" w:ascii="宋体" w:hAnsi="宋体"/>
          <w:sz w:val="24"/>
        </w:rPr>
        <w:t>2.5.8</w:t>
      </w:r>
      <w:r>
        <w:rPr>
          <w:rFonts w:hint="eastAsia" w:ascii="宋体" w:hAnsi="宋体"/>
          <w:sz w:val="24"/>
        </w:rPr>
        <w:tab/>
      </w:r>
      <w:r>
        <w:rPr>
          <w:rFonts w:ascii="宋体" w:hAnsi="宋体"/>
          <w:sz w:val="24"/>
        </w:rPr>
        <w:t>若投标人同时属于小型或微型企业、监狱企业、残疾人福利性单位中的两种及以上，将不重复享受小微企业价格扣减的优惠政策。</w:t>
      </w:r>
    </w:p>
    <w:p w14:paraId="07CBB7BE">
      <w:pPr>
        <w:tabs>
          <w:tab w:val="left" w:pos="360"/>
        </w:tabs>
        <w:snapToGrid w:val="0"/>
        <w:spacing w:line="360" w:lineRule="auto"/>
        <w:ind w:left="900" w:hanging="900"/>
        <w:outlineLvl w:val="1"/>
        <w:rPr>
          <w:rFonts w:hint="eastAsia" w:ascii="宋体" w:hAnsi="宋体"/>
          <w:sz w:val="24"/>
        </w:rPr>
      </w:pPr>
      <w:r>
        <w:rPr>
          <w:rFonts w:hint="eastAsia" w:ascii="宋体" w:hAnsi="宋体"/>
          <w:sz w:val="24"/>
        </w:rPr>
        <w:t>3</w:t>
      </w:r>
      <w:r>
        <w:rPr>
          <w:rFonts w:hint="eastAsia" w:ascii="宋体" w:hAnsi="宋体"/>
          <w:sz w:val="24"/>
        </w:rPr>
        <w:tab/>
      </w:r>
      <w:r>
        <w:rPr>
          <w:rFonts w:ascii="宋体" w:hAnsi="宋体"/>
          <w:sz w:val="24"/>
        </w:rPr>
        <w:t>投标文件的比较和评价</w:t>
      </w:r>
      <w:bookmarkEnd w:id="715"/>
      <w:bookmarkEnd w:id="716"/>
    </w:p>
    <w:p w14:paraId="2D54A2B5">
      <w:pPr>
        <w:tabs>
          <w:tab w:val="left" w:pos="1080"/>
          <w:tab w:val="left" w:pos="1589"/>
        </w:tabs>
        <w:snapToGrid w:val="0"/>
        <w:spacing w:line="360" w:lineRule="auto"/>
        <w:ind w:left="1077" w:hanging="720"/>
        <w:rPr>
          <w:rFonts w:hint="eastAsia" w:ascii="宋体" w:hAnsi="宋体"/>
          <w:sz w:val="24"/>
        </w:rPr>
      </w:pPr>
      <w:r>
        <w:rPr>
          <w:sz w:val="24"/>
        </w:rPr>
        <w:t>3.1</w:t>
      </w:r>
      <w:r>
        <w:rPr>
          <w:sz w:val="24"/>
        </w:rPr>
        <w:tab/>
      </w:r>
      <w:r>
        <w:rPr>
          <w:rFonts w:ascii="宋体" w:hAnsi="宋体"/>
          <w:sz w:val="24"/>
        </w:rPr>
        <w:t>评标委员会将按照招标文件中规定的评标方法和标准，对符合性审查合格的投标文件进行商务和技术评估，综合比较与评价；未通过符合性审查的投标文件不得进入比较与评价。</w:t>
      </w:r>
    </w:p>
    <w:p w14:paraId="22F2B373">
      <w:pPr>
        <w:tabs>
          <w:tab w:val="left" w:pos="1080"/>
          <w:tab w:val="left" w:pos="1589"/>
        </w:tabs>
        <w:snapToGrid w:val="0"/>
        <w:spacing w:line="360" w:lineRule="auto"/>
        <w:ind w:left="1077" w:hanging="720"/>
        <w:rPr>
          <w:rFonts w:hint="eastAsia" w:ascii="宋体" w:hAnsi="宋体"/>
          <w:sz w:val="24"/>
        </w:rPr>
      </w:pPr>
      <w:r>
        <w:rPr>
          <w:sz w:val="24"/>
        </w:rPr>
        <w:t>3.2</w:t>
      </w:r>
      <w:r>
        <w:rPr>
          <w:sz w:val="24"/>
        </w:rPr>
        <w:tab/>
      </w:r>
      <w:r>
        <w:rPr>
          <w:rFonts w:ascii="宋体" w:hAnsi="宋体"/>
          <w:sz w:val="24"/>
        </w:rPr>
        <w:t>评标方法和评标标准</w:t>
      </w:r>
    </w:p>
    <w:p w14:paraId="53DB175F">
      <w:pPr>
        <w:tabs>
          <w:tab w:val="left" w:pos="1080"/>
          <w:tab w:val="left" w:pos="1589"/>
          <w:tab w:val="left" w:pos="1980"/>
          <w:tab w:val="left" w:pos="2035"/>
        </w:tabs>
        <w:snapToGrid w:val="0"/>
        <w:spacing w:line="360" w:lineRule="auto"/>
        <w:ind w:left="2035" w:hanging="900"/>
        <w:rPr>
          <w:rFonts w:hint="eastAsia" w:ascii="宋体" w:hAnsi="宋体"/>
          <w:sz w:val="24"/>
        </w:rPr>
      </w:pPr>
      <w:r>
        <w:rPr>
          <w:rFonts w:hint="eastAsia" w:ascii="宋体" w:hAnsi="宋体"/>
          <w:sz w:val="24"/>
        </w:rPr>
        <w:t>3.2.1</w:t>
      </w:r>
      <w:r>
        <w:rPr>
          <w:rFonts w:hint="eastAsia" w:ascii="宋体" w:hAnsi="宋体"/>
          <w:sz w:val="24"/>
        </w:rPr>
        <w:tab/>
      </w:r>
      <w:r>
        <w:rPr>
          <w:rFonts w:ascii="宋体" w:hAnsi="宋体"/>
          <w:sz w:val="24"/>
        </w:rPr>
        <w:t>本项目采用的评标方法为：</w:t>
      </w:r>
    </w:p>
    <w:p w14:paraId="171C7420">
      <w:pPr>
        <w:tabs>
          <w:tab w:val="left" w:pos="900"/>
          <w:tab w:val="left" w:pos="1589"/>
          <w:tab w:val="left" w:pos="1701"/>
        </w:tabs>
        <w:snapToGrid w:val="0"/>
        <w:spacing w:line="360" w:lineRule="auto"/>
        <w:ind w:left="1985"/>
        <w:rPr>
          <w:rFonts w:hint="eastAsia" w:ascii="宋体" w:hAnsi="宋体"/>
          <w:sz w:val="24"/>
        </w:rPr>
      </w:pPr>
      <w:r>
        <w:rPr>
          <w:rFonts w:hint="eastAsia" w:ascii="宋体" w:hAnsi="宋体"/>
          <w:sz w:val="24"/>
        </w:rPr>
        <w:t>■</w:t>
      </w:r>
      <w:r>
        <w:rPr>
          <w:rFonts w:ascii="宋体" w:hAnsi="宋体"/>
          <w:sz w:val="24"/>
        </w:rPr>
        <w:t>综合评分法，指投标文件满足招标文件全部实质性要求，且按照评审因素的量化指标评审得分最高的投标人为中标候选人的评标方法，见《评标标准》</w:t>
      </w:r>
      <w:r>
        <w:rPr>
          <w:rFonts w:hint="eastAsia" w:ascii="宋体" w:hAnsi="宋体"/>
          <w:sz w:val="24"/>
        </w:rPr>
        <w:t>，招标文件中没有规定的评标标准不得作为评审的依据。</w:t>
      </w:r>
    </w:p>
    <w:p w14:paraId="399FB695">
      <w:pPr>
        <w:tabs>
          <w:tab w:val="left" w:pos="900"/>
          <w:tab w:val="left" w:pos="1589"/>
          <w:tab w:val="left" w:pos="1701"/>
        </w:tabs>
        <w:snapToGrid w:val="0"/>
        <w:spacing w:line="360" w:lineRule="auto"/>
        <w:ind w:left="1985"/>
        <w:rPr>
          <w:rFonts w:hint="eastAsia" w:ascii="宋体" w:hAnsi="宋体"/>
          <w:sz w:val="24"/>
        </w:rPr>
      </w:pPr>
      <w:r>
        <w:rPr>
          <w:rFonts w:ascii="宋体" w:hAnsi="宋体"/>
          <w:sz w:val="24"/>
        </w:rPr>
        <w:t>□最低评标价法，指投标文件满足招标文件全部实质性要求，且投标报价最低的投标人为中标候选人的评标方法。</w:t>
      </w:r>
    </w:p>
    <w:p w14:paraId="3F2C4C7E">
      <w:pPr>
        <w:tabs>
          <w:tab w:val="left" w:pos="1080"/>
          <w:tab w:val="left" w:pos="1589"/>
          <w:tab w:val="left" w:pos="1980"/>
          <w:tab w:val="left" w:pos="2035"/>
        </w:tabs>
        <w:snapToGrid w:val="0"/>
        <w:spacing w:line="360" w:lineRule="auto"/>
        <w:ind w:left="2035" w:hanging="900"/>
        <w:rPr>
          <w:rFonts w:hint="eastAsia" w:ascii="宋体" w:hAnsi="宋体"/>
          <w:sz w:val="24"/>
        </w:rPr>
      </w:pPr>
      <w:r>
        <w:rPr>
          <w:rFonts w:hint="eastAsia" w:ascii="宋体" w:hAnsi="宋体"/>
          <w:sz w:val="24"/>
        </w:rPr>
        <w:t>3.2.2</w:t>
      </w:r>
      <w:r>
        <w:rPr>
          <w:rFonts w:hint="eastAsia" w:ascii="宋体" w:hAnsi="宋体"/>
          <w:sz w:val="24"/>
        </w:rPr>
        <w:tab/>
      </w:r>
      <w:r>
        <w:rPr>
          <w:rFonts w:ascii="宋体" w:hAnsi="宋体"/>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rFonts w:ascii="宋体" w:hAnsi="宋体"/>
          <w:b/>
          <w:sz w:val="24"/>
        </w:rPr>
        <w:t>投标无效</w:t>
      </w:r>
      <w:r>
        <w:rPr>
          <w:rFonts w:ascii="宋体" w:hAnsi="宋体"/>
          <w:sz w:val="24"/>
        </w:rPr>
        <w:t>。</w:t>
      </w:r>
      <w:r>
        <w:rPr>
          <w:rFonts w:hint="eastAsia"/>
          <w:sz w:val="24"/>
        </w:rPr>
        <w:t>（如数量不确定，要求以单价进行报价的，则以所有要求报价品目的单价总和计算投标价）</w:t>
      </w:r>
    </w:p>
    <w:p w14:paraId="217F59DD">
      <w:pPr>
        <w:tabs>
          <w:tab w:val="left" w:pos="1080"/>
          <w:tab w:val="left" w:pos="1589"/>
          <w:tab w:val="left" w:pos="2035"/>
        </w:tabs>
        <w:snapToGrid w:val="0"/>
        <w:spacing w:line="360" w:lineRule="auto"/>
        <w:ind w:left="2035"/>
        <w:rPr>
          <w:rFonts w:hint="eastAsia" w:ascii="宋体" w:hAnsi="宋体"/>
          <w:sz w:val="24"/>
        </w:rPr>
      </w:pPr>
      <w:r>
        <w:rPr>
          <w:rFonts w:hint="eastAsia" w:ascii="宋体" w:hAnsi="宋体"/>
          <w:sz w:val="24"/>
        </w:rPr>
        <w:t>■</w:t>
      </w:r>
      <w:r>
        <w:rPr>
          <w:rFonts w:ascii="宋体" w:hAnsi="宋体"/>
          <w:sz w:val="24"/>
        </w:rPr>
        <w:t>随机抽取</w:t>
      </w:r>
    </w:p>
    <w:p w14:paraId="2DA72FD4">
      <w:pPr>
        <w:tabs>
          <w:tab w:val="left" w:pos="1080"/>
          <w:tab w:val="left" w:pos="1589"/>
          <w:tab w:val="left" w:pos="2035"/>
        </w:tabs>
        <w:snapToGrid w:val="0"/>
        <w:spacing w:line="360" w:lineRule="auto"/>
        <w:ind w:left="2035"/>
        <w:rPr>
          <w:rFonts w:hint="eastAsia" w:ascii="宋体" w:hAnsi="宋体"/>
          <w:sz w:val="24"/>
          <w:u w:val="single"/>
        </w:rPr>
      </w:pPr>
      <w:r>
        <w:rPr>
          <w:rFonts w:ascii="宋体" w:hAnsi="宋体"/>
          <w:sz w:val="24"/>
        </w:rPr>
        <w:t>□其他方式，具体要求：_____</w:t>
      </w:r>
    </w:p>
    <w:p w14:paraId="01E2A8DE">
      <w:pPr>
        <w:tabs>
          <w:tab w:val="left" w:pos="1080"/>
          <w:tab w:val="left" w:pos="1589"/>
          <w:tab w:val="left" w:pos="1980"/>
          <w:tab w:val="left" w:pos="2035"/>
        </w:tabs>
        <w:snapToGrid w:val="0"/>
        <w:spacing w:line="360" w:lineRule="auto"/>
        <w:ind w:left="2035" w:hanging="900"/>
        <w:rPr>
          <w:rFonts w:hint="eastAsia" w:ascii="宋体" w:hAnsi="宋体"/>
          <w:sz w:val="24"/>
          <w:u w:val="single"/>
        </w:rPr>
      </w:pPr>
      <w:r>
        <w:rPr>
          <w:rFonts w:hint="eastAsia" w:ascii="宋体" w:hAnsi="宋体"/>
          <w:sz w:val="24"/>
        </w:rPr>
        <w:t>3.2.3</w:t>
      </w:r>
      <w:r>
        <w:rPr>
          <w:rFonts w:hint="eastAsia" w:ascii="宋体" w:hAnsi="宋体"/>
          <w:sz w:val="24"/>
        </w:rPr>
        <w:tab/>
      </w:r>
      <w:r>
        <w:rPr>
          <w:rFonts w:ascii="宋体" w:hAnsi="宋体"/>
          <w:sz w:val="24"/>
        </w:rPr>
        <w:t>非政府强制采购的节能产品或环境标志产品，依据品目清单和认证证书实施政府优先采购。优先采购的具体规定（如涉及）</w:t>
      </w:r>
      <w:bookmarkStart w:id="733" w:name="_Hlk126331366"/>
      <w:r>
        <w:rPr>
          <w:rFonts w:hint="eastAsia" w:ascii="宋体" w:hAnsi="宋体" w:cs="Tahoma"/>
          <w:kern w:val="0"/>
          <w:sz w:val="24"/>
          <w:u w:val="single"/>
        </w:rPr>
        <w:t>采购人所采购的设备不涉及政府强制采购，属于节能产品</w:t>
      </w:r>
      <w:r>
        <w:rPr>
          <w:rFonts w:ascii="宋体" w:hAnsi="宋体" w:cs="Tahoma"/>
          <w:kern w:val="0"/>
          <w:sz w:val="24"/>
          <w:u w:val="single"/>
        </w:rPr>
        <w:t>/环境标志产品政府采购品目清单</w:t>
      </w:r>
      <w:r>
        <w:rPr>
          <w:rFonts w:hint="eastAsia" w:ascii="宋体" w:hAnsi="宋体" w:cs="Tahoma"/>
          <w:kern w:val="0"/>
          <w:sz w:val="24"/>
          <w:u w:val="single"/>
        </w:rPr>
        <w:t>中优先采购的，所投产品提供了国家确定的认证机构出具的、处于有效期之内的节能产品</w:t>
      </w:r>
      <w:r>
        <w:rPr>
          <w:rFonts w:ascii="宋体" w:hAnsi="宋体" w:cs="Tahoma"/>
          <w:kern w:val="0"/>
          <w:sz w:val="24"/>
          <w:u w:val="single"/>
        </w:rPr>
        <w:t>/</w:t>
      </w:r>
      <w:r>
        <w:rPr>
          <w:rFonts w:hint="eastAsia" w:ascii="宋体" w:hAnsi="宋体" w:cs="Tahoma"/>
          <w:kern w:val="0"/>
          <w:sz w:val="24"/>
          <w:u w:val="single"/>
        </w:rPr>
        <w:t>环境标志产品认证证书复印件的，按照《评标标准》中节能、环境标志产品得分规则加分</w:t>
      </w:r>
      <w:bookmarkEnd w:id="733"/>
      <w:r>
        <w:rPr>
          <w:rFonts w:hint="eastAsia" w:ascii="宋体" w:hAnsi="宋体" w:cs="Tahoma"/>
          <w:kern w:val="0"/>
          <w:sz w:val="24"/>
          <w:u w:val="single"/>
        </w:rPr>
        <w:t>。</w:t>
      </w:r>
    </w:p>
    <w:p w14:paraId="76843DF1">
      <w:pPr>
        <w:tabs>
          <w:tab w:val="left" w:pos="360"/>
        </w:tabs>
        <w:snapToGrid w:val="0"/>
        <w:spacing w:line="360" w:lineRule="auto"/>
        <w:ind w:left="900" w:hanging="900"/>
        <w:outlineLvl w:val="1"/>
        <w:rPr>
          <w:rFonts w:hint="eastAsia" w:ascii="宋体" w:hAnsi="宋体"/>
          <w:sz w:val="24"/>
        </w:rPr>
      </w:pPr>
      <w:r>
        <w:rPr>
          <w:rFonts w:hint="eastAsia" w:ascii="宋体" w:hAnsi="宋体"/>
          <w:sz w:val="24"/>
        </w:rPr>
        <w:t>4</w:t>
      </w:r>
      <w:r>
        <w:rPr>
          <w:rFonts w:hint="eastAsia" w:ascii="宋体" w:hAnsi="宋体"/>
          <w:sz w:val="24"/>
        </w:rPr>
        <w:tab/>
      </w:r>
      <w:r>
        <w:rPr>
          <w:rFonts w:ascii="宋体" w:hAnsi="宋体"/>
          <w:sz w:val="24"/>
        </w:rPr>
        <w:t>确定</w:t>
      </w:r>
      <w:bookmarkStart w:id="734" w:name="_Toc150509297"/>
      <w:bookmarkStart w:id="735" w:name="_Toc195842911"/>
      <w:bookmarkStart w:id="736" w:name="_Toc164229387"/>
      <w:bookmarkStart w:id="737" w:name="_Toc151193644"/>
      <w:bookmarkStart w:id="738" w:name="_Toc127161460"/>
      <w:bookmarkStart w:id="739" w:name="_Toc164608815"/>
      <w:bookmarkStart w:id="740" w:name="_Toc151193788"/>
      <w:bookmarkStart w:id="741" w:name="_Ref467307010"/>
      <w:bookmarkStart w:id="742" w:name="_Toc226309790"/>
      <w:bookmarkStart w:id="743" w:name="_Toc264969236"/>
      <w:bookmarkStart w:id="744" w:name="_Toc305158814"/>
      <w:bookmarkStart w:id="745" w:name="_Toc164608660"/>
      <w:bookmarkStart w:id="746" w:name="_Toc520356170"/>
      <w:bookmarkStart w:id="747" w:name="_Toc150774751"/>
      <w:bookmarkStart w:id="748" w:name="_Toc226965819"/>
      <w:bookmarkStart w:id="749" w:name="_Toc142311048"/>
      <w:bookmarkStart w:id="750" w:name="_Toc151193934"/>
      <w:bookmarkStart w:id="751" w:name="_Toc151193716"/>
      <w:bookmarkStart w:id="752" w:name="_Toc150480784"/>
      <w:bookmarkStart w:id="753" w:name="_Toc127151747"/>
      <w:bookmarkStart w:id="754" w:name="_Toc151190173"/>
      <w:bookmarkStart w:id="755" w:name="_Toc226965736"/>
      <w:bookmarkStart w:id="756" w:name="_Toc265228384"/>
      <w:bookmarkStart w:id="757" w:name="_Toc149720839"/>
      <w:bookmarkStart w:id="758" w:name="_Toc127151546"/>
      <w:bookmarkStart w:id="759" w:name="_Toc164229241"/>
      <w:bookmarkStart w:id="760" w:name="_Toc151193860"/>
      <w:bookmarkStart w:id="761" w:name="_Toc164351640"/>
      <w:bookmarkStart w:id="762" w:name="_Toc226337242"/>
      <w:bookmarkStart w:id="763" w:name="_Toc305158888"/>
      <w:bookmarkStart w:id="764" w:name="_Toc150774646"/>
      <w:r>
        <w:rPr>
          <w:rFonts w:ascii="宋体" w:hAnsi="宋体"/>
          <w:sz w:val="24"/>
        </w:rPr>
        <w:t>中标候选人名单</w:t>
      </w:r>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p>
    <w:p w14:paraId="4A494B8C">
      <w:pPr>
        <w:tabs>
          <w:tab w:val="left" w:pos="1080"/>
          <w:tab w:val="left" w:pos="1589"/>
        </w:tabs>
        <w:snapToGrid w:val="0"/>
        <w:spacing w:line="360" w:lineRule="auto"/>
        <w:ind w:left="1077" w:hanging="720"/>
        <w:rPr>
          <w:rFonts w:hint="eastAsia" w:ascii="宋体" w:hAnsi="宋体"/>
          <w:sz w:val="24"/>
        </w:rPr>
      </w:pPr>
      <w:r>
        <w:rPr>
          <w:sz w:val="24"/>
        </w:rPr>
        <w:t>4.1</w:t>
      </w:r>
      <w:r>
        <w:rPr>
          <w:sz w:val="24"/>
        </w:rPr>
        <w:tab/>
      </w:r>
      <w:r>
        <w:rPr>
          <w:rFonts w:ascii="宋体" w:hAnsi="宋体"/>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78E42394">
      <w:pPr>
        <w:pStyle w:val="24"/>
        <w:tabs>
          <w:tab w:val="left" w:pos="900"/>
          <w:tab w:val="left" w:pos="2127"/>
        </w:tabs>
        <w:adjustRightInd w:val="0"/>
        <w:snapToGrid w:val="0"/>
        <w:spacing w:line="360" w:lineRule="auto"/>
        <w:ind w:left="993" w:firstLine="136" w:firstLineChars="57"/>
        <w:rPr>
          <w:rFonts w:hAnsi="宋体"/>
          <w:sz w:val="24"/>
          <w:szCs w:val="24"/>
        </w:rPr>
      </w:pPr>
      <w:r>
        <w:rPr>
          <w:rFonts w:hint="default" w:hAnsi="宋体"/>
          <w:sz w:val="24"/>
          <w:szCs w:val="24"/>
        </w:rPr>
        <w:t>□随机抽取</w:t>
      </w:r>
    </w:p>
    <w:p w14:paraId="6335F048">
      <w:pPr>
        <w:pStyle w:val="24"/>
        <w:tabs>
          <w:tab w:val="left" w:pos="900"/>
          <w:tab w:val="left" w:pos="2127"/>
        </w:tabs>
        <w:adjustRightInd w:val="0"/>
        <w:snapToGrid w:val="0"/>
        <w:spacing w:line="360" w:lineRule="auto"/>
        <w:ind w:left="993" w:firstLine="136" w:firstLineChars="57"/>
        <w:rPr>
          <w:rFonts w:hAnsi="宋体"/>
          <w:sz w:val="24"/>
          <w:szCs w:val="24"/>
        </w:rPr>
      </w:pPr>
      <w:r>
        <w:rPr>
          <w:rFonts w:hAnsi="宋体"/>
          <w:sz w:val="24"/>
        </w:rPr>
        <w:t>■</w:t>
      </w:r>
      <w:r>
        <w:rPr>
          <w:rFonts w:hint="default" w:hAnsi="宋体"/>
          <w:sz w:val="24"/>
          <w:szCs w:val="24"/>
        </w:rPr>
        <w:t>其他方式，具体要求：</w:t>
      </w:r>
      <w:r>
        <w:rPr>
          <w:rFonts w:hAnsi="宋体"/>
          <w:sz w:val="24"/>
          <w:szCs w:val="24"/>
          <w:u w:val="single"/>
        </w:rPr>
        <w:t>评审得分相同的，由投标价格最低的投标人获得中标人推荐资格:</w:t>
      </w:r>
      <w:bookmarkStart w:id="765" w:name="_Hlk126595569"/>
      <w:r>
        <w:rPr>
          <w:rFonts w:hAnsi="宋体"/>
          <w:sz w:val="24"/>
          <w:szCs w:val="24"/>
          <w:u w:val="single"/>
        </w:rPr>
        <w:t>得分和投标价格还相同的，由技术部分得分最高的投标人</w:t>
      </w:r>
      <w:bookmarkEnd w:id="765"/>
      <w:r>
        <w:rPr>
          <w:rFonts w:hAnsi="宋体"/>
          <w:sz w:val="24"/>
          <w:szCs w:val="24"/>
          <w:u w:val="single"/>
        </w:rPr>
        <w:t>获得中标人推荐资格。（如数量不确定，要求以单价进行报价的，则以所有要求报价品目的单价总和计算投标价）</w:t>
      </w:r>
    </w:p>
    <w:p w14:paraId="274FDC64">
      <w:pPr>
        <w:tabs>
          <w:tab w:val="left" w:pos="1080"/>
          <w:tab w:val="left" w:pos="1589"/>
        </w:tabs>
        <w:snapToGrid w:val="0"/>
        <w:spacing w:line="360" w:lineRule="auto"/>
        <w:ind w:left="1077" w:hanging="720"/>
        <w:rPr>
          <w:rFonts w:hint="eastAsia" w:ascii="宋体" w:hAnsi="宋体"/>
          <w:sz w:val="24"/>
        </w:rPr>
      </w:pPr>
      <w:r>
        <w:rPr>
          <w:sz w:val="24"/>
        </w:rPr>
        <w:t>4.2</w:t>
      </w:r>
      <w:r>
        <w:rPr>
          <w:sz w:val="24"/>
        </w:rPr>
        <w:tab/>
      </w:r>
      <w:r>
        <w:rPr>
          <w:rFonts w:ascii="宋体" w:hAnsi="宋体"/>
          <w:sz w:val="24"/>
        </w:rPr>
        <w:t>采用综合评分法时，评标结果按评审后得分由高到低顺序排列。得分相同的，按投标</w:t>
      </w:r>
      <w:r>
        <w:rPr>
          <w:rFonts w:hint="eastAsia" w:ascii="宋体" w:hAnsi="宋体"/>
          <w:sz w:val="24"/>
        </w:rPr>
        <w:t>价格</w:t>
      </w:r>
      <w:r>
        <w:rPr>
          <w:rFonts w:ascii="宋体" w:hAnsi="宋体"/>
          <w:sz w:val="24"/>
        </w:rPr>
        <w:t>由低到高顺序排列。</w:t>
      </w:r>
      <w:r>
        <w:rPr>
          <w:rFonts w:hAnsi="宋体"/>
          <w:sz w:val="24"/>
          <w:u w:val="single"/>
        </w:rPr>
        <w:t>得分和投标价格还相同的，</w:t>
      </w:r>
      <w:r>
        <w:rPr>
          <w:rFonts w:hint="eastAsia" w:hAnsi="宋体"/>
          <w:sz w:val="24"/>
          <w:u w:val="single"/>
        </w:rPr>
        <w:t>推荐</w:t>
      </w:r>
      <w:r>
        <w:rPr>
          <w:rFonts w:hAnsi="宋体"/>
          <w:sz w:val="24"/>
          <w:u w:val="single"/>
        </w:rPr>
        <w:t>技术部分得分最高的投标人</w:t>
      </w:r>
      <w:r>
        <w:rPr>
          <w:rFonts w:hint="eastAsia" w:hAnsi="宋体"/>
          <w:sz w:val="24"/>
          <w:u w:val="single"/>
        </w:rPr>
        <w:t>，</w:t>
      </w:r>
      <w:r>
        <w:rPr>
          <w:rFonts w:hint="eastAsia" w:ascii="宋体" w:hAnsi="宋体"/>
          <w:sz w:val="24"/>
        </w:rPr>
        <w:t>上述都</w:t>
      </w:r>
      <w:r>
        <w:rPr>
          <w:rFonts w:ascii="宋体" w:hAnsi="宋体"/>
          <w:sz w:val="24"/>
        </w:rPr>
        <w:t>相同的并列。投标文件满足招标文件全部实质性要求，且按照评审因素的量化指标评审得分最高的投标人为排名第一的中标候选人。评分分值计算保留小数点后两位，第三位四舍五入。</w:t>
      </w:r>
      <w:r>
        <w:rPr>
          <w:rFonts w:hint="eastAsia"/>
          <w:sz w:val="24"/>
        </w:rPr>
        <w:t>（如数量不确定，要求以单价进行报价的，则以所有要求报价品目的单价总和计算投标价）</w:t>
      </w:r>
    </w:p>
    <w:p w14:paraId="3DC6A0D3">
      <w:pPr>
        <w:tabs>
          <w:tab w:val="left" w:pos="1080"/>
          <w:tab w:val="left" w:pos="1589"/>
        </w:tabs>
        <w:snapToGrid w:val="0"/>
        <w:spacing w:line="360" w:lineRule="auto"/>
        <w:ind w:left="1077" w:hanging="720"/>
        <w:rPr>
          <w:rFonts w:hint="eastAsia" w:ascii="宋体" w:hAnsi="宋体"/>
          <w:sz w:val="24"/>
        </w:rPr>
      </w:pPr>
      <w:r>
        <w:rPr>
          <w:sz w:val="24"/>
        </w:rPr>
        <w:t>4.3</w:t>
      </w:r>
      <w:r>
        <w:rPr>
          <w:sz w:val="24"/>
        </w:rPr>
        <w:tab/>
      </w:r>
      <w:r>
        <w:rPr>
          <w:rFonts w:ascii="宋体" w:hAnsi="宋体"/>
          <w:sz w:val="24"/>
        </w:rPr>
        <w:t>采用最低评标价法时，评标结果按本章2.4、2.5调整后的投标报价由低到高顺序排列。投标报价相同的并列。投标文件满足招标文件全部实质性要求且投标报价最低的投标人为排名第一的中标候选人。</w:t>
      </w:r>
    </w:p>
    <w:p w14:paraId="081496D9">
      <w:pPr>
        <w:tabs>
          <w:tab w:val="left" w:pos="1080"/>
          <w:tab w:val="left" w:pos="1589"/>
        </w:tabs>
        <w:snapToGrid w:val="0"/>
        <w:spacing w:line="360" w:lineRule="auto"/>
        <w:ind w:left="1077" w:hanging="720"/>
        <w:rPr>
          <w:rFonts w:hint="eastAsia" w:ascii="宋体" w:hAnsi="宋体"/>
          <w:sz w:val="24"/>
        </w:rPr>
      </w:pPr>
      <w:r>
        <w:rPr>
          <w:sz w:val="24"/>
        </w:rPr>
        <w:t>4.4</w:t>
      </w:r>
      <w:r>
        <w:rPr>
          <w:sz w:val="24"/>
        </w:rPr>
        <w:tab/>
      </w:r>
      <w:r>
        <w:rPr>
          <w:rFonts w:ascii="宋体" w:hAnsi="宋体"/>
          <w:sz w:val="24"/>
        </w:rPr>
        <w:t>评标委员会要对评分汇总情况进行复核，特别是对排名第一的、报价最低的、投标或</w:t>
      </w:r>
      <w:r>
        <w:rPr>
          <w:rFonts w:hint="eastAsia" w:ascii="宋体" w:hAnsi="宋体"/>
          <w:sz w:val="24"/>
        </w:rPr>
        <w:t>响应</w:t>
      </w:r>
      <w:r>
        <w:rPr>
          <w:rFonts w:ascii="宋体" w:hAnsi="宋体"/>
          <w:sz w:val="24"/>
        </w:rPr>
        <w:t>文件被认定为无效的情形进行重点复核。</w:t>
      </w:r>
    </w:p>
    <w:p w14:paraId="18EBAE4B">
      <w:pPr>
        <w:tabs>
          <w:tab w:val="left" w:pos="1080"/>
          <w:tab w:val="left" w:pos="1589"/>
        </w:tabs>
        <w:snapToGrid w:val="0"/>
        <w:spacing w:line="360" w:lineRule="auto"/>
        <w:ind w:left="1077" w:hanging="720"/>
        <w:rPr>
          <w:rFonts w:hint="eastAsia" w:ascii="宋体" w:hAnsi="宋体"/>
          <w:sz w:val="24"/>
        </w:rPr>
      </w:pPr>
      <w:r>
        <w:rPr>
          <w:sz w:val="24"/>
        </w:rPr>
        <w:t>4.5</w:t>
      </w:r>
      <w:r>
        <w:rPr>
          <w:sz w:val="24"/>
        </w:rPr>
        <w:tab/>
      </w:r>
      <w:r>
        <w:rPr>
          <w:rFonts w:ascii="宋体" w:hAnsi="宋体"/>
          <w:sz w:val="24"/>
        </w:rPr>
        <w:t>评标委员会将根据各投标人的评标排序，依次推荐本项目（</w:t>
      </w:r>
      <w:r>
        <w:rPr>
          <w:rFonts w:hint="eastAsia" w:ascii="宋体" w:hAnsi="宋体"/>
          <w:sz w:val="24"/>
        </w:rPr>
        <w:t>各</w:t>
      </w:r>
      <w:r>
        <w:rPr>
          <w:rFonts w:ascii="宋体" w:hAnsi="宋体"/>
          <w:sz w:val="24"/>
        </w:rPr>
        <w:t>采购包）的中标候选人，起草并签署评标报告。本项目（</w:t>
      </w:r>
      <w:r>
        <w:rPr>
          <w:rFonts w:hint="eastAsia" w:ascii="宋体" w:hAnsi="宋体"/>
          <w:sz w:val="24"/>
        </w:rPr>
        <w:t>各</w:t>
      </w:r>
      <w:r>
        <w:rPr>
          <w:rFonts w:ascii="宋体" w:hAnsi="宋体"/>
          <w:sz w:val="24"/>
        </w:rPr>
        <w:t>采购包）评标委员会共（各）推荐</w:t>
      </w:r>
      <w:r>
        <w:rPr>
          <w:rFonts w:hint="eastAsia" w:ascii="宋体" w:hAnsi="宋体"/>
          <w:sz w:val="24"/>
          <w:u w:val="single"/>
        </w:rPr>
        <w:t xml:space="preserve"> </w:t>
      </w:r>
      <w:r>
        <w:rPr>
          <w:rFonts w:ascii="宋体" w:hAnsi="宋体"/>
          <w:sz w:val="24"/>
          <w:u w:val="single"/>
        </w:rPr>
        <w:t xml:space="preserve">3 </w:t>
      </w:r>
      <w:r>
        <w:rPr>
          <w:rFonts w:ascii="宋体" w:hAnsi="宋体"/>
          <w:sz w:val="24"/>
        </w:rPr>
        <w:t>名中标候选人。</w:t>
      </w:r>
    </w:p>
    <w:p w14:paraId="248A3436">
      <w:pPr>
        <w:tabs>
          <w:tab w:val="left" w:pos="360"/>
        </w:tabs>
        <w:snapToGrid w:val="0"/>
        <w:spacing w:line="360" w:lineRule="auto"/>
        <w:ind w:left="900" w:hanging="900"/>
        <w:outlineLvl w:val="1"/>
        <w:rPr>
          <w:rFonts w:hint="eastAsia" w:ascii="宋体" w:hAnsi="宋体"/>
          <w:sz w:val="24"/>
        </w:rPr>
      </w:pPr>
      <w:r>
        <w:rPr>
          <w:rFonts w:hint="eastAsia" w:ascii="宋体" w:hAnsi="宋体"/>
          <w:sz w:val="24"/>
        </w:rPr>
        <w:t>5</w:t>
      </w:r>
      <w:r>
        <w:rPr>
          <w:rFonts w:hint="eastAsia" w:ascii="宋体" w:hAnsi="宋体"/>
          <w:sz w:val="24"/>
        </w:rPr>
        <w:tab/>
      </w:r>
      <w:r>
        <w:rPr>
          <w:rFonts w:ascii="宋体" w:hAnsi="宋体"/>
          <w:sz w:val="24"/>
        </w:rPr>
        <w:t>报告违法行为</w:t>
      </w:r>
    </w:p>
    <w:p w14:paraId="6501C199">
      <w:pPr>
        <w:tabs>
          <w:tab w:val="left" w:pos="1080"/>
          <w:tab w:val="left" w:pos="1589"/>
        </w:tabs>
        <w:snapToGrid w:val="0"/>
        <w:spacing w:line="360" w:lineRule="auto"/>
        <w:ind w:left="1077" w:hanging="720"/>
        <w:rPr>
          <w:rFonts w:hint="eastAsia" w:ascii="宋体" w:hAnsi="宋体"/>
          <w:sz w:val="24"/>
        </w:rPr>
      </w:pPr>
      <w:r>
        <w:rPr>
          <w:sz w:val="24"/>
        </w:rPr>
        <w:t>5.1</w:t>
      </w:r>
      <w:r>
        <w:rPr>
          <w:sz w:val="24"/>
        </w:rPr>
        <w:tab/>
      </w:r>
      <w:r>
        <w:rPr>
          <w:rFonts w:ascii="宋体" w:hAnsi="宋体"/>
          <w:sz w:val="24"/>
        </w:rPr>
        <w:t>评标委员会在评标过程中发现投标人有行贿、提供虚假材料或者串通等违法行为时，有向采购人、采购代理机构或者有关部门报告的职责。</w:t>
      </w:r>
    </w:p>
    <w:p w14:paraId="0F6CFD73">
      <w:pPr>
        <w:tabs>
          <w:tab w:val="left" w:pos="360"/>
        </w:tabs>
        <w:snapToGrid w:val="0"/>
        <w:spacing w:line="360" w:lineRule="auto"/>
        <w:ind w:left="900" w:hanging="900"/>
        <w:outlineLvl w:val="1"/>
        <w:rPr>
          <w:rFonts w:hint="eastAsia" w:ascii="宋体" w:hAnsi="宋体"/>
          <w:sz w:val="24"/>
        </w:rPr>
      </w:pPr>
      <w:r>
        <w:rPr>
          <w:rFonts w:hint="eastAsia" w:ascii="宋体" w:hAnsi="宋体"/>
          <w:sz w:val="24"/>
        </w:rPr>
        <w:t>6</w:t>
      </w:r>
      <w:r>
        <w:rPr>
          <w:rFonts w:hint="eastAsia" w:ascii="宋体" w:hAnsi="宋体"/>
          <w:sz w:val="24"/>
        </w:rPr>
        <w:tab/>
      </w:r>
      <w:r>
        <w:rPr>
          <w:rFonts w:hint="eastAsia" w:ascii="宋体" w:hAnsi="宋体"/>
          <w:sz w:val="24"/>
        </w:rPr>
        <w:t>评标报告</w:t>
      </w:r>
    </w:p>
    <w:p w14:paraId="6343E9B6">
      <w:pPr>
        <w:tabs>
          <w:tab w:val="left" w:pos="1080"/>
          <w:tab w:val="left" w:pos="1589"/>
        </w:tabs>
        <w:snapToGrid w:val="0"/>
        <w:spacing w:line="360" w:lineRule="auto"/>
        <w:ind w:left="1077" w:hanging="720"/>
        <w:rPr>
          <w:rFonts w:hint="eastAsia" w:ascii="宋体" w:hAnsi="宋体"/>
          <w:sz w:val="24"/>
        </w:rPr>
      </w:pPr>
      <w:r>
        <w:rPr>
          <w:sz w:val="24"/>
        </w:rPr>
        <w:t>6.1</w:t>
      </w:r>
      <w:r>
        <w:rPr>
          <w:sz w:val="24"/>
        </w:rPr>
        <w:tab/>
      </w:r>
      <w:r>
        <w:rPr>
          <w:rFonts w:hint="eastAsia" w:ascii="宋体" w:hAnsi="宋体"/>
          <w:sz w:val="24"/>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F69C927">
      <w:pPr>
        <w:tabs>
          <w:tab w:val="left" w:pos="360"/>
        </w:tabs>
        <w:snapToGrid w:val="0"/>
        <w:spacing w:line="360" w:lineRule="auto"/>
        <w:ind w:left="900" w:hanging="900"/>
        <w:outlineLvl w:val="1"/>
        <w:rPr>
          <w:rFonts w:hint="eastAsia" w:ascii="宋体" w:hAnsi="宋体"/>
          <w:sz w:val="24"/>
        </w:rPr>
      </w:pPr>
      <w:r>
        <w:rPr>
          <w:rFonts w:hint="eastAsia" w:ascii="宋体" w:hAnsi="宋体"/>
          <w:sz w:val="24"/>
        </w:rPr>
        <w:t>7</w:t>
      </w:r>
      <w:r>
        <w:rPr>
          <w:rFonts w:hint="eastAsia" w:ascii="宋体" w:hAnsi="宋体"/>
          <w:sz w:val="24"/>
        </w:rPr>
        <w:tab/>
      </w:r>
      <w:r>
        <w:rPr>
          <w:rFonts w:hint="eastAsia" w:ascii="宋体" w:hAnsi="宋体"/>
          <w:sz w:val="24"/>
        </w:rPr>
        <w:t>修改评标结果</w:t>
      </w:r>
    </w:p>
    <w:p w14:paraId="5856B56F">
      <w:pPr>
        <w:tabs>
          <w:tab w:val="left" w:pos="1080"/>
          <w:tab w:val="left" w:pos="1589"/>
        </w:tabs>
        <w:snapToGrid w:val="0"/>
        <w:spacing w:line="360" w:lineRule="auto"/>
        <w:ind w:left="1077" w:hanging="720"/>
        <w:rPr>
          <w:rFonts w:hint="eastAsia" w:ascii="宋体" w:hAnsi="宋体"/>
          <w:sz w:val="24"/>
        </w:rPr>
      </w:pPr>
      <w:r>
        <w:rPr>
          <w:sz w:val="24"/>
        </w:rPr>
        <w:t>7.1</w:t>
      </w:r>
      <w:r>
        <w:rPr>
          <w:sz w:val="24"/>
        </w:rPr>
        <w:tab/>
      </w:r>
      <w:r>
        <w:rPr>
          <w:rFonts w:hint="eastAsia" w:ascii="宋体" w:hAnsi="宋体"/>
          <w:sz w:val="24"/>
        </w:rPr>
        <w:t>评标结果汇总完成后，除下列情形外，任何人不得修改评标结果：（1）分值汇总计算错误的；（2）分项评分超出评分标准范围的；（3）评标委员会成员对客观评审因素评分不一致的；（4）经评标委员会认定评分畸高、畸低的。</w:t>
      </w:r>
    </w:p>
    <w:p w14:paraId="117B3C1E">
      <w:pPr>
        <w:tabs>
          <w:tab w:val="left" w:pos="1080"/>
          <w:tab w:val="left" w:pos="1589"/>
        </w:tabs>
        <w:snapToGrid w:val="0"/>
        <w:spacing w:line="360" w:lineRule="auto"/>
        <w:ind w:left="900" w:hanging="720"/>
        <w:outlineLvl w:val="1"/>
        <w:rPr>
          <w:rFonts w:hint="eastAsia" w:ascii="宋体" w:hAnsi="宋体"/>
          <w:sz w:val="24"/>
        </w:rPr>
      </w:pPr>
      <w:r>
        <w:rPr>
          <w:sz w:val="24"/>
        </w:rPr>
        <w:t>7.2</w:t>
      </w:r>
      <w:r>
        <w:rPr>
          <w:sz w:val="24"/>
        </w:rPr>
        <w:tab/>
      </w:r>
      <w:r>
        <w:rPr>
          <w:rFonts w:hint="eastAsia" w:hAnsi="宋体" w:cs="Arial"/>
          <w:kern w:val="0"/>
          <w:sz w:val="24"/>
        </w:rPr>
        <w:t>评标报告签署前，经复核发现存在上述情形之一的，评标委员会应当当场修改评标结果，并在评标报告中记载；评标报告签署后，招标采购单位发现存在以上情形之一的，应当组织原评标委员会进行重新评审，重新评审改变评标结果的，书面报告本级财政部门。</w:t>
      </w:r>
    </w:p>
    <w:p w14:paraId="3FBE07BE">
      <w:pPr>
        <w:tabs>
          <w:tab w:val="left" w:pos="360"/>
        </w:tabs>
        <w:snapToGrid w:val="0"/>
        <w:spacing w:line="360" w:lineRule="auto"/>
        <w:ind w:left="900" w:hanging="900"/>
        <w:outlineLvl w:val="1"/>
        <w:rPr>
          <w:rFonts w:hint="eastAsia" w:ascii="宋体" w:hAnsi="宋体"/>
          <w:sz w:val="24"/>
        </w:rPr>
      </w:pPr>
      <w:r>
        <w:rPr>
          <w:rFonts w:hint="eastAsia" w:ascii="宋体" w:hAnsi="宋体"/>
          <w:sz w:val="24"/>
        </w:rPr>
        <w:t>8</w:t>
      </w:r>
      <w:r>
        <w:rPr>
          <w:rFonts w:hint="eastAsia" w:ascii="宋体" w:hAnsi="宋体"/>
          <w:sz w:val="24"/>
        </w:rPr>
        <w:tab/>
      </w:r>
      <w:r>
        <w:rPr>
          <w:rFonts w:hint="eastAsia" w:ascii="宋体" w:hAnsi="宋体"/>
          <w:sz w:val="24"/>
        </w:rPr>
        <w:t>停止评标及招标终止</w:t>
      </w:r>
    </w:p>
    <w:p w14:paraId="783BCA61">
      <w:pPr>
        <w:tabs>
          <w:tab w:val="left" w:pos="1080"/>
          <w:tab w:val="left" w:pos="1589"/>
        </w:tabs>
        <w:snapToGrid w:val="0"/>
        <w:spacing w:line="360" w:lineRule="auto"/>
        <w:ind w:left="1077" w:hanging="720"/>
        <w:rPr>
          <w:rFonts w:hint="eastAsia" w:ascii="宋体" w:hAnsi="宋体"/>
          <w:sz w:val="24"/>
        </w:rPr>
      </w:pPr>
      <w:r>
        <w:rPr>
          <w:sz w:val="24"/>
        </w:rPr>
        <w:t>8.1</w:t>
      </w:r>
      <w:r>
        <w:rPr>
          <w:sz w:val="24"/>
        </w:rPr>
        <w:tab/>
      </w:r>
      <w:r>
        <w:rPr>
          <w:rFonts w:hint="eastAsia" w:ascii="宋体" w:hAnsi="宋体"/>
          <w:sz w:val="24"/>
        </w:rPr>
        <w:t>评标委员会发现招标文件存在歧义、重大缺陷导致评标工作无法进行，或者招标文件内容违反国家有关强制性规定的，应当停止评标工作，与采购人或者采购代理机构沟通并作书面记录。采购人或者采购代理机构确认后，应当修改招标文件，重新组织采购活动。</w:t>
      </w:r>
    </w:p>
    <w:p w14:paraId="28CFDA95">
      <w:pPr>
        <w:tabs>
          <w:tab w:val="left" w:pos="1080"/>
          <w:tab w:val="left" w:pos="1589"/>
        </w:tabs>
        <w:snapToGrid w:val="0"/>
        <w:spacing w:line="360" w:lineRule="auto"/>
        <w:ind w:left="1077" w:hanging="720"/>
        <w:rPr>
          <w:rFonts w:hint="eastAsia" w:ascii="宋体" w:hAnsi="宋体"/>
          <w:sz w:val="24"/>
        </w:rPr>
      </w:pPr>
      <w:r>
        <w:rPr>
          <w:sz w:val="24"/>
        </w:rPr>
        <w:t>8.2</w:t>
      </w:r>
      <w:r>
        <w:rPr>
          <w:sz w:val="24"/>
        </w:rPr>
        <w:tab/>
      </w:r>
      <w:r>
        <w:rPr>
          <w:rFonts w:hint="eastAsia" w:ascii="宋体" w:hAnsi="宋体"/>
          <w:sz w:val="24"/>
        </w:rPr>
        <w:t>采购人、采购代理机构在发布招标公告后，除因重大变故采购任务取消情况外，不得擅自终止招标活动。终止招标的，采购人或者采购代理机构应当及时在原公告发布媒体上发布终止公告，以书面形式通知已经获取招标文的潜在投标人，并将项目实施情况和采购任务取消原因报告本级财政部门。</w:t>
      </w:r>
    </w:p>
    <w:p w14:paraId="49015CF8">
      <w:pPr>
        <w:tabs>
          <w:tab w:val="left" w:pos="360"/>
          <w:tab w:val="left" w:pos="900"/>
        </w:tabs>
        <w:snapToGrid w:val="0"/>
        <w:spacing w:line="360" w:lineRule="auto"/>
        <w:ind w:left="900"/>
        <w:outlineLvl w:val="1"/>
        <w:rPr>
          <w:rFonts w:hint="eastAsia" w:ascii="宋体" w:hAnsi="宋体"/>
          <w:sz w:val="24"/>
        </w:rPr>
      </w:pPr>
      <w:r>
        <w:rPr>
          <w:rFonts w:ascii="宋体" w:hAnsi="宋体"/>
          <w:b/>
          <w:sz w:val="24"/>
        </w:rPr>
        <w:br w:type="page"/>
      </w:r>
    </w:p>
    <w:p w14:paraId="545883F0">
      <w:pPr>
        <w:tabs>
          <w:tab w:val="left" w:pos="360"/>
          <w:tab w:val="left" w:pos="900"/>
        </w:tabs>
        <w:snapToGrid w:val="0"/>
        <w:spacing w:line="360" w:lineRule="auto"/>
        <w:jc w:val="center"/>
        <w:outlineLvl w:val="1"/>
        <w:rPr>
          <w:rFonts w:hint="eastAsia" w:ascii="宋体" w:hAnsi="宋体"/>
          <w:b/>
          <w:sz w:val="24"/>
        </w:rPr>
      </w:pPr>
      <w:r>
        <w:rPr>
          <w:rFonts w:ascii="宋体" w:hAnsi="宋体"/>
          <w:b/>
          <w:sz w:val="24"/>
        </w:rPr>
        <w:t>二、评标标准</w:t>
      </w:r>
    </w:p>
    <w:p w14:paraId="0BA95356">
      <w:pPr>
        <w:spacing w:line="360" w:lineRule="auto"/>
        <w:outlineLvl w:val="2"/>
        <w:rPr>
          <w:rFonts w:hint="eastAsia" w:ascii="宋体" w:hAnsi="宋体"/>
          <w:color w:val="000000"/>
          <w:sz w:val="24"/>
          <w:szCs w:val="20"/>
        </w:rPr>
      </w:pPr>
      <w:r>
        <w:rPr>
          <w:rFonts w:hint="eastAsia" w:ascii="宋体" w:hAnsi="宋体"/>
          <w:color w:val="000000"/>
          <w:sz w:val="24"/>
          <w:szCs w:val="20"/>
        </w:rPr>
        <w:t>01包：</w:t>
      </w:r>
    </w:p>
    <w:tbl>
      <w:tblPr>
        <w:tblStyle w:val="45"/>
        <w:tblW w:w="97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993"/>
        <w:gridCol w:w="1286"/>
        <w:gridCol w:w="709"/>
        <w:gridCol w:w="5953"/>
      </w:tblGrid>
      <w:tr w14:paraId="48C07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34358E9F">
            <w:pPr>
              <w:autoSpaceDE w:val="0"/>
              <w:autoSpaceDN w:val="0"/>
              <w:spacing w:line="360" w:lineRule="auto"/>
              <w:jc w:val="center"/>
              <w:rPr>
                <w:rFonts w:hint="eastAsia" w:ascii="宋体" w:hAnsi="宋体"/>
                <w:kern w:val="0"/>
                <w:sz w:val="24"/>
                <w:szCs w:val="22"/>
                <w:lang w:val="zh-CN"/>
              </w:rPr>
            </w:pPr>
            <w:bookmarkStart w:id="766" w:name="_Hlk214267935"/>
            <w:r>
              <w:rPr>
                <w:rFonts w:ascii="宋体" w:hAnsi="宋体"/>
                <w:kern w:val="0"/>
                <w:sz w:val="24"/>
                <w:szCs w:val="22"/>
                <w:lang w:val="zh-CN"/>
              </w:rPr>
              <w:t>序号</w:t>
            </w:r>
          </w:p>
        </w:tc>
        <w:tc>
          <w:tcPr>
            <w:tcW w:w="993" w:type="dxa"/>
            <w:vAlign w:val="center"/>
          </w:tcPr>
          <w:p w14:paraId="05AD49C0">
            <w:pPr>
              <w:autoSpaceDE w:val="0"/>
              <w:autoSpaceDN w:val="0"/>
              <w:spacing w:line="360" w:lineRule="auto"/>
              <w:jc w:val="center"/>
              <w:rPr>
                <w:rFonts w:hint="eastAsia" w:ascii="宋体" w:hAnsi="宋体"/>
                <w:kern w:val="0"/>
                <w:sz w:val="24"/>
                <w:szCs w:val="22"/>
                <w:lang w:val="zh-CN"/>
              </w:rPr>
            </w:pPr>
            <w:r>
              <w:rPr>
                <w:rFonts w:ascii="宋体" w:hAnsi="宋体"/>
                <w:kern w:val="0"/>
                <w:sz w:val="24"/>
                <w:szCs w:val="22"/>
                <w:lang w:val="zh-CN"/>
              </w:rPr>
              <w:t>分部内容</w:t>
            </w:r>
          </w:p>
        </w:tc>
        <w:tc>
          <w:tcPr>
            <w:tcW w:w="1286" w:type="dxa"/>
            <w:vAlign w:val="center"/>
          </w:tcPr>
          <w:p w14:paraId="63F2F203">
            <w:pPr>
              <w:autoSpaceDE w:val="0"/>
              <w:autoSpaceDN w:val="0"/>
              <w:spacing w:line="360" w:lineRule="auto"/>
              <w:jc w:val="center"/>
              <w:rPr>
                <w:rFonts w:hint="eastAsia" w:ascii="宋体" w:hAnsi="宋体"/>
                <w:sz w:val="24"/>
                <w:szCs w:val="22"/>
              </w:rPr>
            </w:pPr>
            <w:r>
              <w:rPr>
                <w:rFonts w:ascii="宋体" w:hAnsi="宋体"/>
                <w:sz w:val="24"/>
                <w:szCs w:val="22"/>
              </w:rPr>
              <w:t>评分因素</w:t>
            </w:r>
          </w:p>
        </w:tc>
        <w:tc>
          <w:tcPr>
            <w:tcW w:w="709" w:type="dxa"/>
            <w:vAlign w:val="center"/>
          </w:tcPr>
          <w:p w14:paraId="7A3B3DD2">
            <w:pPr>
              <w:autoSpaceDE w:val="0"/>
              <w:autoSpaceDN w:val="0"/>
              <w:spacing w:line="360" w:lineRule="auto"/>
              <w:jc w:val="center"/>
              <w:rPr>
                <w:rFonts w:hint="eastAsia" w:ascii="宋体" w:hAnsi="宋体"/>
                <w:kern w:val="0"/>
                <w:sz w:val="24"/>
                <w:szCs w:val="22"/>
                <w:lang w:val="zh-CN"/>
              </w:rPr>
            </w:pPr>
            <w:r>
              <w:rPr>
                <w:rFonts w:ascii="宋体" w:hAnsi="宋体"/>
                <w:kern w:val="0"/>
                <w:sz w:val="24"/>
                <w:szCs w:val="22"/>
                <w:lang w:val="zh-CN"/>
              </w:rPr>
              <w:t>分值</w:t>
            </w:r>
          </w:p>
        </w:tc>
        <w:tc>
          <w:tcPr>
            <w:tcW w:w="5953" w:type="dxa"/>
            <w:vAlign w:val="center"/>
          </w:tcPr>
          <w:p w14:paraId="4DBF8E3C">
            <w:pPr>
              <w:autoSpaceDE w:val="0"/>
              <w:autoSpaceDN w:val="0"/>
              <w:spacing w:line="360" w:lineRule="auto"/>
              <w:jc w:val="center"/>
              <w:rPr>
                <w:rFonts w:hint="eastAsia" w:ascii="宋体" w:hAnsi="宋体"/>
                <w:sz w:val="24"/>
                <w:szCs w:val="22"/>
              </w:rPr>
            </w:pPr>
            <w:r>
              <w:rPr>
                <w:rFonts w:ascii="宋体" w:hAnsi="宋体"/>
                <w:sz w:val="24"/>
                <w:szCs w:val="22"/>
              </w:rPr>
              <w:t>评分说明</w:t>
            </w:r>
          </w:p>
        </w:tc>
      </w:tr>
      <w:tr w14:paraId="65EB3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Align w:val="center"/>
          </w:tcPr>
          <w:p w14:paraId="19DBD0A6">
            <w:pPr>
              <w:autoSpaceDE w:val="0"/>
              <w:autoSpaceDN w:val="0"/>
              <w:spacing w:line="360" w:lineRule="auto"/>
              <w:jc w:val="center"/>
              <w:rPr>
                <w:rFonts w:hint="eastAsia" w:ascii="宋体" w:hAnsi="宋体"/>
                <w:kern w:val="0"/>
                <w:sz w:val="24"/>
                <w:szCs w:val="22"/>
                <w:lang w:val="zh-CN"/>
              </w:rPr>
            </w:pPr>
            <w:r>
              <w:rPr>
                <w:rFonts w:ascii="宋体" w:hAnsi="宋体"/>
                <w:kern w:val="0"/>
                <w:sz w:val="24"/>
                <w:szCs w:val="22"/>
                <w:lang w:val="zh-CN"/>
              </w:rPr>
              <w:t>一</w:t>
            </w:r>
          </w:p>
        </w:tc>
        <w:tc>
          <w:tcPr>
            <w:tcW w:w="993" w:type="dxa"/>
            <w:vAlign w:val="center"/>
          </w:tcPr>
          <w:p w14:paraId="20E022BC">
            <w:pPr>
              <w:spacing w:line="360" w:lineRule="auto"/>
              <w:jc w:val="center"/>
              <w:rPr>
                <w:rFonts w:hint="eastAsia" w:ascii="宋体" w:hAnsi="宋体"/>
                <w:sz w:val="24"/>
                <w:szCs w:val="22"/>
              </w:rPr>
            </w:pPr>
            <w:r>
              <w:rPr>
                <w:rFonts w:ascii="宋体" w:hAnsi="宋体"/>
                <w:sz w:val="24"/>
                <w:szCs w:val="22"/>
              </w:rPr>
              <w:t>价格</w:t>
            </w:r>
          </w:p>
        </w:tc>
        <w:tc>
          <w:tcPr>
            <w:tcW w:w="1286" w:type="dxa"/>
            <w:vAlign w:val="center"/>
          </w:tcPr>
          <w:p w14:paraId="51A14323">
            <w:pPr>
              <w:spacing w:line="360" w:lineRule="auto"/>
              <w:jc w:val="center"/>
              <w:rPr>
                <w:rFonts w:hint="eastAsia" w:ascii="宋体" w:hAnsi="宋体"/>
                <w:sz w:val="24"/>
                <w:szCs w:val="22"/>
              </w:rPr>
            </w:pPr>
            <w:r>
              <w:rPr>
                <w:rFonts w:ascii="宋体" w:hAnsi="宋体"/>
                <w:sz w:val="24"/>
                <w:szCs w:val="22"/>
              </w:rPr>
              <w:t>报价</w:t>
            </w:r>
          </w:p>
        </w:tc>
        <w:tc>
          <w:tcPr>
            <w:tcW w:w="709" w:type="dxa"/>
            <w:vAlign w:val="center"/>
          </w:tcPr>
          <w:p w14:paraId="32998270">
            <w:pPr>
              <w:spacing w:line="360" w:lineRule="auto"/>
              <w:jc w:val="center"/>
              <w:rPr>
                <w:rFonts w:hint="eastAsia" w:ascii="宋体" w:hAnsi="宋体"/>
                <w:sz w:val="24"/>
                <w:szCs w:val="22"/>
              </w:rPr>
            </w:pPr>
            <w:r>
              <w:rPr>
                <w:rFonts w:ascii="宋体" w:hAnsi="宋体"/>
                <w:sz w:val="24"/>
                <w:szCs w:val="22"/>
              </w:rPr>
              <w:t>30</w:t>
            </w:r>
          </w:p>
        </w:tc>
        <w:tc>
          <w:tcPr>
            <w:tcW w:w="5953" w:type="dxa"/>
            <w:vAlign w:val="center"/>
          </w:tcPr>
          <w:p w14:paraId="462DCBAB">
            <w:pPr>
              <w:spacing w:line="360" w:lineRule="auto"/>
              <w:rPr>
                <w:rFonts w:hint="eastAsia" w:ascii="宋体" w:hAnsi="宋体"/>
                <w:kern w:val="0"/>
                <w:sz w:val="24"/>
                <w:szCs w:val="22"/>
              </w:rPr>
            </w:pPr>
            <w:r>
              <w:rPr>
                <w:rFonts w:hint="eastAsia" w:ascii="宋体" w:hAnsi="宋体"/>
                <w:kern w:val="0"/>
                <w:sz w:val="24"/>
                <w:szCs w:val="22"/>
              </w:rPr>
              <w:t>以符合采购文件要求的最低评审价为基准价，基准价得满分30分，其它投标人的价格得分＝（基准价/该投标人的评审价）×30。</w:t>
            </w:r>
          </w:p>
        </w:tc>
      </w:tr>
      <w:tr w14:paraId="2ACDA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vAlign w:val="center"/>
          </w:tcPr>
          <w:p w14:paraId="0B7C4C79">
            <w:pPr>
              <w:autoSpaceDE w:val="0"/>
              <w:autoSpaceDN w:val="0"/>
              <w:spacing w:line="360" w:lineRule="auto"/>
              <w:contextualSpacing/>
              <w:jc w:val="center"/>
              <w:rPr>
                <w:rFonts w:hint="eastAsia" w:ascii="宋体" w:hAnsi="宋体"/>
                <w:kern w:val="0"/>
                <w:sz w:val="24"/>
                <w:szCs w:val="22"/>
                <w:lang w:val="zh-CN"/>
              </w:rPr>
            </w:pPr>
            <w:r>
              <w:rPr>
                <w:rFonts w:ascii="宋体" w:hAnsi="宋体"/>
                <w:kern w:val="0"/>
                <w:sz w:val="24"/>
                <w:szCs w:val="22"/>
                <w:lang w:val="zh-CN"/>
              </w:rPr>
              <w:t>二</w:t>
            </w:r>
          </w:p>
        </w:tc>
        <w:tc>
          <w:tcPr>
            <w:tcW w:w="993" w:type="dxa"/>
            <w:vMerge w:val="restart"/>
            <w:vAlign w:val="center"/>
          </w:tcPr>
          <w:p w14:paraId="3A8E849D">
            <w:pPr>
              <w:autoSpaceDE w:val="0"/>
              <w:autoSpaceDN w:val="0"/>
              <w:spacing w:line="360" w:lineRule="auto"/>
              <w:contextualSpacing/>
              <w:jc w:val="center"/>
              <w:rPr>
                <w:rFonts w:hint="eastAsia" w:ascii="宋体" w:hAnsi="宋体"/>
                <w:kern w:val="0"/>
                <w:sz w:val="24"/>
                <w:szCs w:val="22"/>
                <w:lang w:val="zh-CN"/>
              </w:rPr>
            </w:pPr>
            <w:r>
              <w:rPr>
                <w:rFonts w:ascii="宋体" w:hAnsi="宋体"/>
                <w:kern w:val="0"/>
                <w:sz w:val="24"/>
                <w:szCs w:val="22"/>
                <w:lang w:val="zh-CN"/>
              </w:rPr>
              <w:t>商务部分</w:t>
            </w:r>
          </w:p>
        </w:tc>
        <w:tc>
          <w:tcPr>
            <w:tcW w:w="1286" w:type="dxa"/>
            <w:shd w:val="clear" w:color="auto" w:fill="FFFFFF"/>
            <w:vAlign w:val="center"/>
          </w:tcPr>
          <w:p w14:paraId="08825FE4">
            <w:pPr>
              <w:autoSpaceDE w:val="0"/>
              <w:autoSpaceDN w:val="0"/>
              <w:spacing w:line="360" w:lineRule="auto"/>
              <w:contextualSpacing/>
              <w:jc w:val="center"/>
              <w:rPr>
                <w:rFonts w:hint="eastAsia" w:ascii="宋体" w:hAnsi="宋体"/>
                <w:kern w:val="0"/>
                <w:sz w:val="24"/>
                <w:szCs w:val="22"/>
              </w:rPr>
            </w:pPr>
            <w:r>
              <w:rPr>
                <w:rFonts w:ascii="宋体" w:hAnsi="宋体"/>
                <w:kern w:val="0"/>
                <w:sz w:val="24"/>
                <w:szCs w:val="22"/>
              </w:rPr>
              <w:t>业绩</w:t>
            </w:r>
          </w:p>
        </w:tc>
        <w:tc>
          <w:tcPr>
            <w:tcW w:w="709" w:type="dxa"/>
            <w:shd w:val="clear" w:color="auto" w:fill="FFFFFF"/>
            <w:vAlign w:val="center"/>
          </w:tcPr>
          <w:p w14:paraId="0CA5740A">
            <w:pPr>
              <w:autoSpaceDE w:val="0"/>
              <w:autoSpaceDN w:val="0"/>
              <w:spacing w:line="360" w:lineRule="auto"/>
              <w:contextualSpacing/>
              <w:jc w:val="center"/>
              <w:rPr>
                <w:rFonts w:hint="eastAsia" w:ascii="宋体" w:hAnsi="宋体"/>
                <w:sz w:val="24"/>
                <w:szCs w:val="22"/>
              </w:rPr>
            </w:pPr>
            <w:r>
              <w:rPr>
                <w:rFonts w:hint="eastAsia" w:ascii="宋体" w:hAnsi="宋体"/>
                <w:sz w:val="24"/>
                <w:szCs w:val="22"/>
              </w:rPr>
              <w:t>1</w:t>
            </w:r>
          </w:p>
        </w:tc>
        <w:tc>
          <w:tcPr>
            <w:tcW w:w="5953" w:type="dxa"/>
            <w:shd w:val="clear" w:color="auto" w:fill="FFFFFF"/>
            <w:vAlign w:val="center"/>
          </w:tcPr>
          <w:p w14:paraId="42615EAD">
            <w:pPr>
              <w:spacing w:line="360" w:lineRule="auto"/>
              <w:rPr>
                <w:rFonts w:hint="eastAsia" w:ascii="宋体" w:hAnsi="宋体"/>
                <w:kern w:val="0"/>
                <w:sz w:val="24"/>
                <w:szCs w:val="22"/>
              </w:rPr>
            </w:pPr>
            <w:r>
              <w:rPr>
                <w:rFonts w:hint="eastAsia" w:ascii="宋体" w:hAnsi="宋体"/>
                <w:kern w:val="0"/>
                <w:sz w:val="24"/>
                <w:szCs w:val="22"/>
              </w:rPr>
              <w:t>投标人20</w:t>
            </w:r>
            <w:r>
              <w:rPr>
                <w:rFonts w:ascii="宋体" w:hAnsi="宋体"/>
                <w:kern w:val="0"/>
                <w:sz w:val="24"/>
                <w:szCs w:val="22"/>
              </w:rPr>
              <w:t>22</w:t>
            </w:r>
            <w:r>
              <w:rPr>
                <w:rFonts w:hint="eastAsia" w:ascii="宋体" w:hAnsi="宋体"/>
                <w:kern w:val="0"/>
                <w:sz w:val="24"/>
                <w:szCs w:val="22"/>
              </w:rPr>
              <w:t>年11月1日起至本项目采购公告发出之日止，承担过的类似项目业绩。每提供一份业绩得0.5分,满分1分。</w:t>
            </w:r>
          </w:p>
          <w:p w14:paraId="2C79F1C9">
            <w:pPr>
              <w:spacing w:line="360" w:lineRule="auto"/>
              <w:rPr>
                <w:rFonts w:hint="eastAsia" w:ascii="宋体" w:hAnsi="宋体"/>
                <w:kern w:val="0"/>
                <w:sz w:val="24"/>
                <w:szCs w:val="22"/>
              </w:rPr>
            </w:pPr>
            <w:r>
              <w:rPr>
                <w:rFonts w:hint="eastAsia" w:ascii="宋体" w:hAnsi="宋体"/>
                <w:kern w:val="0"/>
                <w:sz w:val="24"/>
                <w:szCs w:val="22"/>
              </w:rPr>
              <w:t>注：</w:t>
            </w:r>
          </w:p>
          <w:p w14:paraId="5D3D64D0">
            <w:pPr>
              <w:spacing w:line="360" w:lineRule="auto"/>
              <w:rPr>
                <w:rFonts w:hint="eastAsia" w:ascii="宋体" w:hAnsi="宋体"/>
                <w:kern w:val="0"/>
                <w:sz w:val="24"/>
                <w:szCs w:val="22"/>
              </w:rPr>
            </w:pPr>
            <w:r>
              <w:rPr>
                <w:rFonts w:hint="eastAsia" w:ascii="宋体" w:hAnsi="宋体"/>
                <w:kern w:val="0"/>
                <w:sz w:val="24"/>
                <w:szCs w:val="22"/>
              </w:rPr>
              <w:t>1.须提供符合采购文件要求的业绩证明材料。（附合同主要部分复印件，至少包含合同首页、采购内容与金额页），以合同签订时间为准；</w:t>
            </w:r>
          </w:p>
          <w:p w14:paraId="175173A1">
            <w:pPr>
              <w:spacing w:line="360" w:lineRule="auto"/>
              <w:rPr>
                <w:rFonts w:hint="eastAsia" w:ascii="宋体" w:hAnsi="宋体"/>
                <w:kern w:val="0"/>
                <w:sz w:val="24"/>
                <w:szCs w:val="22"/>
              </w:rPr>
            </w:pPr>
            <w:r>
              <w:rPr>
                <w:rFonts w:hint="eastAsia" w:ascii="宋体" w:hAnsi="宋体"/>
                <w:kern w:val="0"/>
                <w:sz w:val="24"/>
                <w:szCs w:val="22"/>
              </w:rPr>
              <w:t>2.未按要求提供视为不满足。</w:t>
            </w:r>
          </w:p>
        </w:tc>
      </w:tr>
      <w:tr w14:paraId="3021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14:paraId="2ED28F7A">
            <w:pPr>
              <w:autoSpaceDE w:val="0"/>
              <w:autoSpaceDN w:val="0"/>
              <w:spacing w:line="360" w:lineRule="auto"/>
              <w:contextualSpacing/>
              <w:jc w:val="center"/>
              <w:rPr>
                <w:rFonts w:hint="eastAsia" w:ascii="宋体" w:hAnsi="宋体"/>
                <w:kern w:val="0"/>
                <w:sz w:val="24"/>
                <w:szCs w:val="22"/>
                <w:lang w:val="zh-CN"/>
              </w:rPr>
            </w:pPr>
          </w:p>
        </w:tc>
        <w:tc>
          <w:tcPr>
            <w:tcW w:w="993" w:type="dxa"/>
            <w:vMerge w:val="continue"/>
            <w:vAlign w:val="center"/>
          </w:tcPr>
          <w:p w14:paraId="5ED71994">
            <w:pPr>
              <w:autoSpaceDE w:val="0"/>
              <w:autoSpaceDN w:val="0"/>
              <w:spacing w:line="360" w:lineRule="auto"/>
              <w:contextualSpacing/>
              <w:jc w:val="center"/>
              <w:rPr>
                <w:rFonts w:hint="eastAsia" w:ascii="宋体" w:hAnsi="宋体"/>
                <w:kern w:val="0"/>
                <w:sz w:val="24"/>
                <w:szCs w:val="22"/>
                <w:lang w:val="zh-CN"/>
              </w:rPr>
            </w:pPr>
          </w:p>
        </w:tc>
        <w:tc>
          <w:tcPr>
            <w:tcW w:w="1286" w:type="dxa"/>
            <w:shd w:val="clear" w:color="auto" w:fill="FFFFFF"/>
            <w:vAlign w:val="center"/>
          </w:tcPr>
          <w:p w14:paraId="7CFD2FEF">
            <w:pPr>
              <w:autoSpaceDE w:val="0"/>
              <w:autoSpaceDN w:val="0"/>
              <w:spacing w:line="360" w:lineRule="auto"/>
              <w:contextualSpacing/>
              <w:jc w:val="center"/>
              <w:rPr>
                <w:rFonts w:hint="eastAsia" w:ascii="宋体" w:hAnsi="宋体"/>
                <w:kern w:val="0"/>
                <w:sz w:val="24"/>
                <w:szCs w:val="22"/>
              </w:rPr>
            </w:pPr>
            <w:r>
              <w:rPr>
                <w:rFonts w:hint="eastAsia" w:ascii="宋体" w:hAnsi="宋体"/>
                <w:kern w:val="0"/>
                <w:sz w:val="24"/>
                <w:szCs w:val="22"/>
              </w:rPr>
              <w:t>产品认证</w:t>
            </w:r>
          </w:p>
        </w:tc>
        <w:tc>
          <w:tcPr>
            <w:tcW w:w="709" w:type="dxa"/>
            <w:shd w:val="clear" w:color="auto" w:fill="FFFFFF"/>
            <w:vAlign w:val="center"/>
          </w:tcPr>
          <w:p w14:paraId="1824D69E">
            <w:pPr>
              <w:autoSpaceDE w:val="0"/>
              <w:autoSpaceDN w:val="0"/>
              <w:spacing w:line="360" w:lineRule="auto"/>
              <w:contextualSpacing/>
              <w:jc w:val="center"/>
              <w:rPr>
                <w:rFonts w:hint="eastAsia" w:ascii="宋体" w:hAnsi="宋体"/>
                <w:sz w:val="24"/>
                <w:szCs w:val="22"/>
              </w:rPr>
            </w:pPr>
            <w:r>
              <w:rPr>
                <w:rFonts w:hint="eastAsia" w:ascii="宋体" w:hAnsi="宋体"/>
                <w:sz w:val="24"/>
                <w:szCs w:val="22"/>
              </w:rPr>
              <w:t>1</w:t>
            </w:r>
          </w:p>
        </w:tc>
        <w:tc>
          <w:tcPr>
            <w:tcW w:w="5953" w:type="dxa"/>
            <w:shd w:val="clear" w:color="auto" w:fill="FFFFFF"/>
            <w:vAlign w:val="center"/>
          </w:tcPr>
          <w:p w14:paraId="584A295D">
            <w:pPr>
              <w:spacing w:line="360" w:lineRule="auto"/>
              <w:rPr>
                <w:rFonts w:hint="eastAsia" w:ascii="宋体" w:hAnsi="宋体"/>
                <w:kern w:val="0"/>
                <w:sz w:val="24"/>
                <w:szCs w:val="22"/>
              </w:rPr>
            </w:pPr>
            <w:r>
              <w:rPr>
                <w:rFonts w:hint="eastAsia" w:ascii="宋体" w:hAnsi="宋体"/>
                <w:kern w:val="0"/>
                <w:sz w:val="24"/>
                <w:szCs w:val="22"/>
              </w:rPr>
              <w:t>投标人提供核心产品（交互媒体设计系统）生产厂商针对本项目的授权函以及售后承诺函，得1分</w:t>
            </w:r>
          </w:p>
        </w:tc>
      </w:tr>
      <w:tr w14:paraId="63FB4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14:paraId="18741372">
            <w:pPr>
              <w:autoSpaceDE w:val="0"/>
              <w:autoSpaceDN w:val="0"/>
              <w:spacing w:line="360" w:lineRule="auto"/>
              <w:contextualSpacing/>
              <w:jc w:val="center"/>
              <w:rPr>
                <w:rFonts w:hint="eastAsia" w:ascii="宋体" w:hAnsi="宋体"/>
                <w:kern w:val="0"/>
                <w:sz w:val="24"/>
                <w:szCs w:val="22"/>
                <w:lang w:val="zh-CN"/>
              </w:rPr>
            </w:pPr>
          </w:p>
        </w:tc>
        <w:tc>
          <w:tcPr>
            <w:tcW w:w="993" w:type="dxa"/>
            <w:vMerge w:val="continue"/>
            <w:vAlign w:val="center"/>
          </w:tcPr>
          <w:p w14:paraId="381AB25D">
            <w:pPr>
              <w:autoSpaceDE w:val="0"/>
              <w:autoSpaceDN w:val="0"/>
              <w:spacing w:line="360" w:lineRule="auto"/>
              <w:contextualSpacing/>
              <w:jc w:val="center"/>
              <w:rPr>
                <w:rFonts w:hint="eastAsia" w:ascii="宋体" w:hAnsi="宋体"/>
                <w:kern w:val="0"/>
                <w:sz w:val="24"/>
                <w:szCs w:val="22"/>
                <w:lang w:val="zh-CN"/>
              </w:rPr>
            </w:pPr>
          </w:p>
        </w:tc>
        <w:tc>
          <w:tcPr>
            <w:tcW w:w="1286" w:type="dxa"/>
            <w:shd w:val="clear" w:color="auto" w:fill="FFFFFF"/>
            <w:vAlign w:val="center"/>
          </w:tcPr>
          <w:p w14:paraId="73396B3B">
            <w:pPr>
              <w:autoSpaceDE w:val="0"/>
              <w:autoSpaceDN w:val="0"/>
              <w:spacing w:line="360" w:lineRule="auto"/>
              <w:contextualSpacing/>
              <w:jc w:val="center"/>
              <w:rPr>
                <w:rFonts w:hint="eastAsia" w:ascii="宋体" w:hAnsi="宋体"/>
                <w:kern w:val="0"/>
                <w:sz w:val="24"/>
                <w:szCs w:val="22"/>
              </w:rPr>
            </w:pPr>
            <w:r>
              <w:rPr>
                <w:rFonts w:hint="eastAsia" w:ascii="宋体" w:hAnsi="宋体"/>
                <w:kern w:val="0"/>
                <w:sz w:val="24"/>
                <w:szCs w:val="22"/>
              </w:rPr>
              <w:t>投标人实力</w:t>
            </w:r>
          </w:p>
        </w:tc>
        <w:tc>
          <w:tcPr>
            <w:tcW w:w="709" w:type="dxa"/>
            <w:shd w:val="clear" w:color="auto" w:fill="FFFFFF"/>
            <w:vAlign w:val="center"/>
          </w:tcPr>
          <w:p w14:paraId="7CD3A147">
            <w:pPr>
              <w:autoSpaceDE w:val="0"/>
              <w:autoSpaceDN w:val="0"/>
              <w:spacing w:line="360" w:lineRule="auto"/>
              <w:contextualSpacing/>
              <w:jc w:val="center"/>
              <w:rPr>
                <w:rFonts w:hint="eastAsia" w:ascii="宋体" w:hAnsi="宋体"/>
                <w:sz w:val="24"/>
                <w:szCs w:val="22"/>
              </w:rPr>
            </w:pPr>
            <w:r>
              <w:rPr>
                <w:rFonts w:hint="eastAsia" w:ascii="宋体" w:hAnsi="宋体"/>
                <w:sz w:val="24"/>
                <w:szCs w:val="22"/>
              </w:rPr>
              <w:t>1</w:t>
            </w:r>
          </w:p>
        </w:tc>
        <w:tc>
          <w:tcPr>
            <w:tcW w:w="5953" w:type="dxa"/>
            <w:shd w:val="clear" w:color="auto" w:fill="FFFFFF"/>
            <w:vAlign w:val="center"/>
          </w:tcPr>
          <w:p w14:paraId="5DDF21E5">
            <w:pPr>
              <w:widowControl/>
              <w:rPr>
                <w:rFonts w:hint="eastAsia" w:ascii="宋体" w:hAnsi="宋体"/>
                <w:kern w:val="0"/>
                <w:sz w:val="24"/>
              </w:rPr>
            </w:pPr>
            <w:r>
              <w:rPr>
                <w:rFonts w:hint="eastAsia" w:ascii="宋体" w:hAnsi="宋体"/>
                <w:kern w:val="0"/>
                <w:sz w:val="24"/>
              </w:rPr>
              <w:t>1.投标人具有ISO9001质量管理体系认证证书的，得1分；</w:t>
            </w:r>
          </w:p>
          <w:p w14:paraId="395744E8">
            <w:pPr>
              <w:widowControl/>
              <w:rPr>
                <w:rFonts w:hint="eastAsia" w:ascii="宋体" w:hAnsi="宋体"/>
                <w:kern w:val="0"/>
                <w:sz w:val="24"/>
              </w:rPr>
            </w:pPr>
            <w:r>
              <w:rPr>
                <w:rFonts w:hint="eastAsia" w:ascii="宋体" w:hAnsi="宋体"/>
                <w:kern w:val="0"/>
                <w:sz w:val="24"/>
              </w:rPr>
              <w:t>未提供相关证明材料不得分。</w:t>
            </w:r>
          </w:p>
        </w:tc>
      </w:tr>
      <w:tr w14:paraId="7083B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restart"/>
            <w:vAlign w:val="center"/>
          </w:tcPr>
          <w:p w14:paraId="38E6BF53">
            <w:pPr>
              <w:autoSpaceDE w:val="0"/>
              <w:autoSpaceDN w:val="0"/>
              <w:spacing w:line="360" w:lineRule="auto"/>
              <w:contextualSpacing/>
              <w:jc w:val="center"/>
              <w:rPr>
                <w:rFonts w:hint="eastAsia" w:ascii="宋体" w:hAnsi="宋体"/>
                <w:kern w:val="0"/>
                <w:sz w:val="24"/>
                <w:szCs w:val="22"/>
                <w:lang w:val="zh-CN"/>
              </w:rPr>
            </w:pPr>
            <w:r>
              <w:rPr>
                <w:rFonts w:ascii="宋体" w:hAnsi="宋体"/>
                <w:kern w:val="0"/>
                <w:sz w:val="24"/>
                <w:szCs w:val="22"/>
                <w:lang w:val="zh-CN"/>
              </w:rPr>
              <w:t>三</w:t>
            </w:r>
          </w:p>
          <w:p w14:paraId="0746B5E9">
            <w:pPr>
              <w:autoSpaceDE w:val="0"/>
              <w:autoSpaceDN w:val="0"/>
              <w:spacing w:line="360" w:lineRule="auto"/>
              <w:contextualSpacing/>
              <w:rPr>
                <w:rFonts w:hint="eastAsia" w:ascii="宋体" w:hAnsi="宋体"/>
                <w:kern w:val="0"/>
                <w:sz w:val="24"/>
                <w:szCs w:val="22"/>
                <w:lang w:val="zh-CN"/>
              </w:rPr>
            </w:pPr>
          </w:p>
        </w:tc>
        <w:tc>
          <w:tcPr>
            <w:tcW w:w="993" w:type="dxa"/>
            <w:vMerge w:val="restart"/>
            <w:vAlign w:val="center"/>
          </w:tcPr>
          <w:p w14:paraId="3EBD6E8E">
            <w:pPr>
              <w:autoSpaceDE w:val="0"/>
              <w:autoSpaceDN w:val="0"/>
              <w:spacing w:line="360" w:lineRule="auto"/>
              <w:contextualSpacing/>
              <w:jc w:val="center"/>
              <w:rPr>
                <w:rFonts w:hint="eastAsia" w:ascii="宋体" w:hAnsi="宋体"/>
                <w:kern w:val="0"/>
                <w:sz w:val="24"/>
                <w:szCs w:val="22"/>
                <w:lang w:val="zh-CN"/>
              </w:rPr>
            </w:pPr>
            <w:r>
              <w:rPr>
                <w:rFonts w:ascii="宋体" w:hAnsi="宋体"/>
                <w:kern w:val="0"/>
                <w:sz w:val="24"/>
                <w:szCs w:val="22"/>
                <w:lang w:val="zh-CN"/>
              </w:rPr>
              <w:t>技术部分</w:t>
            </w:r>
          </w:p>
        </w:tc>
        <w:tc>
          <w:tcPr>
            <w:tcW w:w="1286" w:type="dxa"/>
            <w:shd w:val="clear" w:color="auto" w:fill="FFFFFF"/>
            <w:vAlign w:val="center"/>
          </w:tcPr>
          <w:p w14:paraId="04471F4C">
            <w:pPr>
              <w:autoSpaceDE w:val="0"/>
              <w:autoSpaceDN w:val="0"/>
              <w:spacing w:line="360" w:lineRule="auto"/>
              <w:contextualSpacing/>
              <w:jc w:val="center"/>
              <w:rPr>
                <w:rFonts w:hint="eastAsia" w:ascii="宋体" w:hAnsi="宋体"/>
                <w:kern w:val="0"/>
                <w:sz w:val="24"/>
                <w:szCs w:val="22"/>
              </w:rPr>
            </w:pPr>
            <w:r>
              <w:rPr>
                <w:rFonts w:ascii="宋体" w:hAnsi="宋体"/>
                <w:kern w:val="0"/>
                <w:sz w:val="24"/>
                <w:szCs w:val="22"/>
              </w:rPr>
              <w:t>技术性能</w:t>
            </w:r>
          </w:p>
        </w:tc>
        <w:tc>
          <w:tcPr>
            <w:tcW w:w="709" w:type="dxa"/>
            <w:shd w:val="clear" w:color="auto" w:fill="FFFFFF"/>
            <w:vAlign w:val="center"/>
          </w:tcPr>
          <w:p w14:paraId="378854B1">
            <w:pPr>
              <w:autoSpaceDE w:val="0"/>
              <w:autoSpaceDN w:val="0"/>
              <w:spacing w:line="360" w:lineRule="auto"/>
              <w:contextualSpacing/>
              <w:jc w:val="center"/>
              <w:rPr>
                <w:rFonts w:hint="eastAsia" w:ascii="宋体" w:hAnsi="宋体"/>
                <w:sz w:val="24"/>
                <w:szCs w:val="22"/>
              </w:rPr>
            </w:pPr>
            <w:r>
              <w:rPr>
                <w:rFonts w:hint="eastAsia" w:ascii="宋体" w:hAnsi="宋体"/>
                <w:sz w:val="24"/>
                <w:szCs w:val="22"/>
              </w:rPr>
              <w:t>38</w:t>
            </w:r>
          </w:p>
        </w:tc>
        <w:tc>
          <w:tcPr>
            <w:tcW w:w="5953" w:type="dxa"/>
            <w:shd w:val="clear" w:color="auto" w:fill="FFFFFF"/>
            <w:vAlign w:val="center"/>
          </w:tcPr>
          <w:p w14:paraId="0425D8FB">
            <w:pPr>
              <w:spacing w:line="360" w:lineRule="auto"/>
              <w:rPr>
                <w:rFonts w:hint="eastAsia" w:ascii="宋体" w:hAnsi="宋体"/>
                <w:kern w:val="0"/>
                <w:sz w:val="24"/>
                <w:szCs w:val="22"/>
              </w:rPr>
            </w:pPr>
            <w:r>
              <w:rPr>
                <w:rFonts w:hint="eastAsia" w:ascii="宋体" w:hAnsi="宋体"/>
                <w:kern w:val="0"/>
                <w:sz w:val="24"/>
                <w:szCs w:val="22"/>
              </w:rPr>
              <w:t>投标人对采购文件第五章“采购需求”的响应程度；技术参数全部满足采购文件要求，得满分。</w:t>
            </w:r>
          </w:p>
          <w:p w14:paraId="3B01BE05">
            <w:pPr>
              <w:snapToGrid w:val="0"/>
              <w:spacing w:line="360" w:lineRule="auto"/>
              <w:rPr>
                <w:rFonts w:hint="eastAsia" w:ascii="宋体" w:hAnsi="宋体"/>
                <w:kern w:val="0"/>
                <w:sz w:val="24"/>
                <w:szCs w:val="22"/>
              </w:rPr>
            </w:pPr>
            <w:r>
              <w:rPr>
                <w:rFonts w:hint="eastAsia" w:ascii="宋体" w:hAnsi="宋体"/>
                <w:kern w:val="0"/>
                <w:sz w:val="24"/>
                <w:szCs w:val="22"/>
              </w:rPr>
              <w:t>“★”不满足属于无效投标；“△”每有一项不满足采购文件要求的，每项扣1.5分(共25项)；其余普通指标共0.5分，有任意一项不满足，则不同指标得0分。</w:t>
            </w:r>
          </w:p>
          <w:p w14:paraId="4CE39F6E">
            <w:pPr>
              <w:widowControl/>
              <w:snapToGrid w:val="0"/>
              <w:spacing w:line="360" w:lineRule="auto"/>
              <w:rPr>
                <w:rFonts w:hint="eastAsia" w:ascii="宋体" w:hAnsi="宋体"/>
                <w:kern w:val="0"/>
                <w:sz w:val="24"/>
                <w:szCs w:val="22"/>
              </w:rPr>
            </w:pPr>
            <w:r>
              <w:rPr>
                <w:rFonts w:hint="eastAsia" w:ascii="宋体" w:hAnsi="宋体"/>
                <w:kern w:val="0"/>
                <w:sz w:val="24"/>
                <w:szCs w:val="22"/>
              </w:rPr>
              <w:t>1.文件中第五章技术参数要求提供证明材料或证明文件的，均需按要求提供并加盖投标人公章，否则视为不满足；</w:t>
            </w:r>
          </w:p>
          <w:p w14:paraId="53682217">
            <w:pPr>
              <w:widowControl/>
              <w:snapToGrid w:val="0"/>
              <w:spacing w:line="360" w:lineRule="auto"/>
              <w:rPr>
                <w:rFonts w:hint="eastAsia" w:ascii="宋体" w:hAnsi="宋体"/>
                <w:kern w:val="0"/>
                <w:sz w:val="24"/>
                <w:szCs w:val="22"/>
              </w:rPr>
            </w:pPr>
            <w:r>
              <w:rPr>
                <w:rFonts w:hint="eastAsia" w:ascii="宋体" w:hAnsi="宋体"/>
                <w:kern w:val="0"/>
                <w:sz w:val="24"/>
                <w:szCs w:val="22"/>
              </w:rPr>
              <w:t>2.所有要求提供材料或文件的参数，均需逐项一一提供，并且所有材料均需在《采购需求偏离表》中标明页码及具体位置；</w:t>
            </w:r>
          </w:p>
          <w:p w14:paraId="5CF0B21B">
            <w:pPr>
              <w:widowControl/>
              <w:snapToGrid w:val="0"/>
              <w:spacing w:line="360" w:lineRule="auto"/>
              <w:rPr>
                <w:rFonts w:hint="eastAsia" w:ascii="宋体" w:hAnsi="宋体"/>
                <w:kern w:val="0"/>
                <w:sz w:val="24"/>
                <w:szCs w:val="22"/>
              </w:rPr>
            </w:pPr>
            <w:r>
              <w:rPr>
                <w:rFonts w:hint="eastAsia" w:ascii="宋体" w:hAnsi="宋体"/>
                <w:kern w:val="0"/>
                <w:sz w:val="24"/>
                <w:szCs w:val="22"/>
              </w:rPr>
              <w:t>3.材料或文件与《采购需求偏离表》不一致以材料或文件为准；</w:t>
            </w:r>
          </w:p>
          <w:p w14:paraId="18EDA947">
            <w:pPr>
              <w:autoSpaceDE w:val="0"/>
              <w:autoSpaceDN w:val="0"/>
              <w:spacing w:line="360" w:lineRule="auto"/>
              <w:contextualSpacing/>
              <w:rPr>
                <w:rFonts w:hint="eastAsia" w:ascii="宋体" w:hAnsi="宋体"/>
                <w:kern w:val="0"/>
                <w:sz w:val="24"/>
                <w:szCs w:val="22"/>
              </w:rPr>
            </w:pPr>
            <w:r>
              <w:rPr>
                <w:rFonts w:hint="eastAsia" w:ascii="宋体" w:hAnsi="宋体"/>
                <w:kern w:val="0"/>
                <w:sz w:val="24"/>
                <w:szCs w:val="22"/>
              </w:rPr>
              <w:t>4.漏报技术条款视为该项技术条款不满足。</w:t>
            </w:r>
          </w:p>
        </w:tc>
      </w:tr>
      <w:tr w14:paraId="43ACF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14:paraId="08535AD2">
            <w:pPr>
              <w:autoSpaceDE w:val="0"/>
              <w:autoSpaceDN w:val="0"/>
              <w:spacing w:line="360" w:lineRule="auto"/>
              <w:contextualSpacing/>
              <w:jc w:val="center"/>
              <w:rPr>
                <w:rFonts w:hint="eastAsia" w:ascii="宋体" w:hAnsi="宋体"/>
                <w:kern w:val="0"/>
                <w:sz w:val="24"/>
                <w:szCs w:val="22"/>
                <w:lang w:val="zh-CN"/>
              </w:rPr>
            </w:pPr>
          </w:p>
        </w:tc>
        <w:tc>
          <w:tcPr>
            <w:tcW w:w="993" w:type="dxa"/>
            <w:vMerge w:val="continue"/>
            <w:vAlign w:val="center"/>
          </w:tcPr>
          <w:p w14:paraId="00CFDF44">
            <w:pPr>
              <w:autoSpaceDE w:val="0"/>
              <w:autoSpaceDN w:val="0"/>
              <w:spacing w:line="360" w:lineRule="auto"/>
              <w:contextualSpacing/>
              <w:jc w:val="center"/>
              <w:rPr>
                <w:rFonts w:hint="eastAsia" w:ascii="宋体" w:hAnsi="宋体"/>
                <w:kern w:val="0"/>
                <w:sz w:val="24"/>
                <w:szCs w:val="22"/>
                <w:lang w:val="zh-CN"/>
              </w:rPr>
            </w:pPr>
          </w:p>
        </w:tc>
        <w:tc>
          <w:tcPr>
            <w:tcW w:w="1286" w:type="dxa"/>
            <w:shd w:val="clear" w:color="auto" w:fill="FFFFFF"/>
            <w:vAlign w:val="center"/>
          </w:tcPr>
          <w:p w14:paraId="41B4F74A">
            <w:pPr>
              <w:autoSpaceDE w:val="0"/>
              <w:autoSpaceDN w:val="0"/>
              <w:spacing w:line="360" w:lineRule="auto"/>
              <w:contextualSpacing/>
              <w:jc w:val="center"/>
              <w:rPr>
                <w:rFonts w:hint="eastAsia" w:ascii="宋体" w:hAnsi="宋体"/>
                <w:kern w:val="0"/>
                <w:sz w:val="24"/>
                <w:szCs w:val="22"/>
              </w:rPr>
            </w:pPr>
            <w:r>
              <w:rPr>
                <w:rFonts w:hint="eastAsia" w:ascii="宋体" w:hAnsi="宋体"/>
                <w:kern w:val="0"/>
                <w:sz w:val="24"/>
                <w:szCs w:val="22"/>
              </w:rPr>
              <w:t>安装调试方案</w:t>
            </w:r>
          </w:p>
        </w:tc>
        <w:tc>
          <w:tcPr>
            <w:tcW w:w="709" w:type="dxa"/>
            <w:shd w:val="clear" w:color="auto" w:fill="FFFFFF"/>
            <w:vAlign w:val="center"/>
          </w:tcPr>
          <w:p w14:paraId="567FA594">
            <w:pPr>
              <w:autoSpaceDE w:val="0"/>
              <w:autoSpaceDN w:val="0"/>
              <w:spacing w:line="360" w:lineRule="auto"/>
              <w:contextualSpacing/>
              <w:jc w:val="center"/>
              <w:rPr>
                <w:rFonts w:hint="eastAsia" w:ascii="宋体" w:hAnsi="宋体"/>
                <w:sz w:val="24"/>
                <w:szCs w:val="22"/>
              </w:rPr>
            </w:pPr>
            <w:r>
              <w:rPr>
                <w:rFonts w:hint="eastAsia" w:ascii="宋体" w:hAnsi="宋体"/>
                <w:sz w:val="24"/>
                <w:szCs w:val="22"/>
              </w:rPr>
              <w:t>7</w:t>
            </w:r>
          </w:p>
        </w:tc>
        <w:tc>
          <w:tcPr>
            <w:tcW w:w="5953" w:type="dxa"/>
            <w:shd w:val="clear" w:color="auto" w:fill="FFFFFF"/>
            <w:vAlign w:val="center"/>
          </w:tcPr>
          <w:p w14:paraId="79FFFFF2">
            <w:pPr>
              <w:spacing w:line="360" w:lineRule="auto"/>
              <w:rPr>
                <w:rFonts w:hint="eastAsia" w:ascii="宋体" w:hAnsi="宋体"/>
                <w:kern w:val="0"/>
                <w:sz w:val="24"/>
                <w:szCs w:val="22"/>
              </w:rPr>
            </w:pPr>
            <w:r>
              <w:rPr>
                <w:rFonts w:hint="eastAsia" w:ascii="宋体" w:hAnsi="宋体"/>
                <w:kern w:val="0"/>
                <w:sz w:val="24"/>
                <w:szCs w:val="22"/>
              </w:rPr>
              <w:t>安装调试方案包含但不限于安装流程、安装计划时间表、调试流程等方面</w:t>
            </w:r>
          </w:p>
          <w:p w14:paraId="6D0AD74E">
            <w:pPr>
              <w:spacing w:line="360" w:lineRule="auto"/>
              <w:rPr>
                <w:rFonts w:hint="eastAsia" w:ascii="宋体" w:hAnsi="宋体"/>
                <w:kern w:val="0"/>
                <w:sz w:val="24"/>
                <w:szCs w:val="22"/>
              </w:rPr>
            </w:pPr>
            <w:r>
              <w:rPr>
                <w:rFonts w:hint="eastAsia" w:ascii="宋体" w:hAnsi="宋体"/>
                <w:kern w:val="0"/>
                <w:sz w:val="24"/>
                <w:szCs w:val="22"/>
              </w:rPr>
              <w:t>（1）全流程叙述完整，表意清晰，完全满足用户需求，得7分；</w:t>
            </w:r>
          </w:p>
          <w:p w14:paraId="53F2B6DB">
            <w:pPr>
              <w:spacing w:line="360" w:lineRule="auto"/>
              <w:rPr>
                <w:rFonts w:hint="eastAsia" w:ascii="宋体" w:hAnsi="宋体"/>
                <w:kern w:val="0"/>
                <w:sz w:val="24"/>
                <w:szCs w:val="22"/>
              </w:rPr>
            </w:pPr>
            <w:r>
              <w:rPr>
                <w:rFonts w:hint="eastAsia" w:ascii="宋体" w:hAnsi="宋体"/>
                <w:kern w:val="0"/>
                <w:sz w:val="24"/>
                <w:szCs w:val="22"/>
              </w:rPr>
              <w:t>（2）全流程叙述完整，但描述表意有欠缺或缺项得4分；</w:t>
            </w:r>
          </w:p>
          <w:p w14:paraId="215DE293">
            <w:pPr>
              <w:spacing w:line="360" w:lineRule="auto"/>
              <w:rPr>
                <w:rFonts w:hint="eastAsia" w:ascii="宋体" w:hAnsi="宋体"/>
                <w:kern w:val="0"/>
                <w:sz w:val="24"/>
                <w:szCs w:val="22"/>
              </w:rPr>
            </w:pPr>
            <w:r>
              <w:rPr>
                <w:rFonts w:hint="eastAsia" w:ascii="宋体" w:hAnsi="宋体"/>
                <w:kern w:val="0"/>
                <w:sz w:val="24"/>
                <w:szCs w:val="22"/>
              </w:rPr>
              <w:t>（3）全流程叙述不完整得1分；</w:t>
            </w:r>
          </w:p>
          <w:p w14:paraId="29C9F446">
            <w:pPr>
              <w:spacing w:line="360" w:lineRule="auto"/>
              <w:rPr>
                <w:rFonts w:hint="eastAsia" w:ascii="宋体" w:hAnsi="宋体"/>
                <w:kern w:val="0"/>
                <w:sz w:val="24"/>
                <w:szCs w:val="22"/>
              </w:rPr>
            </w:pPr>
            <w:r>
              <w:rPr>
                <w:rFonts w:hint="eastAsia" w:ascii="宋体" w:hAnsi="宋体"/>
                <w:kern w:val="0"/>
                <w:sz w:val="24"/>
                <w:szCs w:val="22"/>
              </w:rPr>
              <w:t>（4）本项未提供，不得分</w:t>
            </w:r>
          </w:p>
        </w:tc>
      </w:tr>
      <w:tr w14:paraId="58A255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14:paraId="5D951EB8">
            <w:pPr>
              <w:autoSpaceDE w:val="0"/>
              <w:autoSpaceDN w:val="0"/>
              <w:spacing w:line="360" w:lineRule="auto"/>
              <w:contextualSpacing/>
              <w:jc w:val="center"/>
              <w:rPr>
                <w:rFonts w:hint="eastAsia" w:ascii="宋体" w:hAnsi="宋体"/>
                <w:kern w:val="0"/>
                <w:sz w:val="24"/>
                <w:szCs w:val="22"/>
                <w:lang w:val="zh-CN"/>
              </w:rPr>
            </w:pPr>
          </w:p>
        </w:tc>
        <w:tc>
          <w:tcPr>
            <w:tcW w:w="993" w:type="dxa"/>
            <w:vMerge w:val="continue"/>
            <w:vAlign w:val="center"/>
          </w:tcPr>
          <w:p w14:paraId="3CC870F4">
            <w:pPr>
              <w:autoSpaceDE w:val="0"/>
              <w:autoSpaceDN w:val="0"/>
              <w:spacing w:line="360" w:lineRule="auto"/>
              <w:contextualSpacing/>
              <w:jc w:val="center"/>
              <w:rPr>
                <w:rFonts w:hint="eastAsia" w:ascii="宋体" w:hAnsi="宋体"/>
                <w:kern w:val="0"/>
                <w:sz w:val="24"/>
                <w:szCs w:val="22"/>
                <w:lang w:val="zh-CN"/>
              </w:rPr>
            </w:pPr>
          </w:p>
        </w:tc>
        <w:tc>
          <w:tcPr>
            <w:tcW w:w="1286" w:type="dxa"/>
            <w:shd w:val="clear" w:color="auto" w:fill="FFFFFF"/>
            <w:vAlign w:val="center"/>
          </w:tcPr>
          <w:p w14:paraId="70A220FF">
            <w:pPr>
              <w:autoSpaceDE w:val="0"/>
              <w:autoSpaceDN w:val="0"/>
              <w:spacing w:line="360" w:lineRule="auto"/>
              <w:contextualSpacing/>
              <w:jc w:val="center"/>
              <w:rPr>
                <w:rFonts w:hint="eastAsia" w:ascii="宋体" w:hAnsi="宋体"/>
                <w:kern w:val="0"/>
                <w:sz w:val="24"/>
                <w:szCs w:val="22"/>
              </w:rPr>
            </w:pPr>
            <w:r>
              <w:rPr>
                <w:rFonts w:hint="eastAsia" w:ascii="宋体" w:hAnsi="宋体"/>
                <w:kern w:val="0"/>
                <w:sz w:val="24"/>
                <w:szCs w:val="22"/>
              </w:rPr>
              <w:t>培训方案</w:t>
            </w:r>
          </w:p>
        </w:tc>
        <w:tc>
          <w:tcPr>
            <w:tcW w:w="709" w:type="dxa"/>
            <w:shd w:val="clear" w:color="auto" w:fill="FFFFFF"/>
            <w:vAlign w:val="center"/>
          </w:tcPr>
          <w:p w14:paraId="16D8C71B">
            <w:pPr>
              <w:autoSpaceDE w:val="0"/>
              <w:autoSpaceDN w:val="0"/>
              <w:spacing w:line="360" w:lineRule="auto"/>
              <w:contextualSpacing/>
              <w:jc w:val="center"/>
              <w:rPr>
                <w:rFonts w:hint="eastAsia" w:ascii="宋体" w:hAnsi="宋体"/>
                <w:sz w:val="24"/>
                <w:szCs w:val="22"/>
              </w:rPr>
            </w:pPr>
            <w:r>
              <w:rPr>
                <w:rFonts w:hint="eastAsia" w:ascii="宋体" w:hAnsi="宋体"/>
                <w:sz w:val="24"/>
                <w:szCs w:val="22"/>
              </w:rPr>
              <w:t>7</w:t>
            </w:r>
          </w:p>
        </w:tc>
        <w:tc>
          <w:tcPr>
            <w:tcW w:w="5953" w:type="dxa"/>
            <w:shd w:val="clear" w:color="auto" w:fill="FFFFFF"/>
            <w:vAlign w:val="center"/>
          </w:tcPr>
          <w:p w14:paraId="155B2303">
            <w:pPr>
              <w:spacing w:line="360" w:lineRule="auto"/>
              <w:rPr>
                <w:rFonts w:hint="eastAsia" w:ascii="宋体" w:hAnsi="宋体"/>
                <w:kern w:val="0"/>
                <w:sz w:val="24"/>
                <w:szCs w:val="22"/>
              </w:rPr>
            </w:pPr>
            <w:r>
              <w:rPr>
                <w:rFonts w:hint="eastAsia" w:ascii="宋体" w:hAnsi="宋体"/>
                <w:kern w:val="0"/>
                <w:sz w:val="24"/>
                <w:szCs w:val="22"/>
              </w:rPr>
              <w:t>培训内容包含但不限于设备操作培训计划、设备维护培训计划、培训人员名单及介绍，培训人员经验等</w:t>
            </w:r>
          </w:p>
          <w:p w14:paraId="645AF983">
            <w:pPr>
              <w:spacing w:line="360" w:lineRule="auto"/>
              <w:rPr>
                <w:rFonts w:hint="eastAsia" w:ascii="宋体" w:hAnsi="宋体"/>
                <w:kern w:val="0"/>
                <w:sz w:val="24"/>
                <w:szCs w:val="22"/>
              </w:rPr>
            </w:pPr>
            <w:r>
              <w:rPr>
                <w:rFonts w:hint="eastAsia" w:ascii="宋体" w:hAnsi="宋体"/>
                <w:kern w:val="0"/>
                <w:sz w:val="24"/>
                <w:szCs w:val="22"/>
              </w:rPr>
              <w:t>（1）培训内容全流程叙述完整，具有详细培训手册、培训人员水平及经验等得7分；</w:t>
            </w:r>
          </w:p>
          <w:p w14:paraId="1123051D">
            <w:pPr>
              <w:spacing w:line="360" w:lineRule="auto"/>
              <w:rPr>
                <w:rFonts w:hint="eastAsia" w:ascii="宋体" w:hAnsi="宋体"/>
                <w:kern w:val="0"/>
                <w:sz w:val="24"/>
                <w:szCs w:val="22"/>
              </w:rPr>
            </w:pPr>
            <w:r>
              <w:rPr>
                <w:rFonts w:hint="eastAsia" w:ascii="宋体" w:hAnsi="宋体"/>
                <w:kern w:val="0"/>
                <w:sz w:val="24"/>
                <w:szCs w:val="22"/>
              </w:rPr>
              <w:t>（2）全流程叙述完整，但描述表意有欠缺或缺项得4分；</w:t>
            </w:r>
          </w:p>
          <w:p w14:paraId="0787D9F1">
            <w:pPr>
              <w:spacing w:line="360" w:lineRule="auto"/>
              <w:rPr>
                <w:rFonts w:hint="eastAsia" w:ascii="宋体" w:hAnsi="宋体"/>
                <w:kern w:val="0"/>
                <w:sz w:val="24"/>
                <w:szCs w:val="22"/>
              </w:rPr>
            </w:pPr>
            <w:r>
              <w:rPr>
                <w:rFonts w:hint="eastAsia" w:ascii="宋体" w:hAnsi="宋体"/>
                <w:kern w:val="0"/>
                <w:sz w:val="24"/>
                <w:szCs w:val="22"/>
              </w:rPr>
              <w:t>（3）全流程叙述不完整得1分；</w:t>
            </w:r>
          </w:p>
          <w:p w14:paraId="01C0B311">
            <w:pPr>
              <w:spacing w:line="360" w:lineRule="auto"/>
              <w:rPr>
                <w:rFonts w:hint="eastAsia" w:ascii="宋体" w:hAnsi="宋体"/>
                <w:kern w:val="0"/>
                <w:sz w:val="24"/>
                <w:szCs w:val="22"/>
              </w:rPr>
            </w:pPr>
            <w:r>
              <w:rPr>
                <w:rFonts w:hint="eastAsia" w:ascii="宋体" w:hAnsi="宋体"/>
                <w:kern w:val="0"/>
                <w:sz w:val="24"/>
                <w:szCs w:val="22"/>
              </w:rPr>
              <w:t>（4）本项未提供，不得分</w:t>
            </w:r>
          </w:p>
        </w:tc>
      </w:tr>
      <w:tr w14:paraId="33F4C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14:paraId="66BF0C58">
            <w:pPr>
              <w:autoSpaceDE w:val="0"/>
              <w:autoSpaceDN w:val="0"/>
              <w:spacing w:line="360" w:lineRule="auto"/>
              <w:contextualSpacing/>
              <w:jc w:val="center"/>
              <w:rPr>
                <w:rFonts w:hint="eastAsia" w:ascii="宋体" w:hAnsi="宋体"/>
                <w:kern w:val="0"/>
                <w:sz w:val="24"/>
                <w:szCs w:val="22"/>
                <w:lang w:val="zh-CN"/>
              </w:rPr>
            </w:pPr>
          </w:p>
        </w:tc>
        <w:tc>
          <w:tcPr>
            <w:tcW w:w="993" w:type="dxa"/>
            <w:vMerge w:val="continue"/>
            <w:vAlign w:val="center"/>
          </w:tcPr>
          <w:p w14:paraId="4A498C05">
            <w:pPr>
              <w:autoSpaceDE w:val="0"/>
              <w:autoSpaceDN w:val="0"/>
              <w:spacing w:line="360" w:lineRule="auto"/>
              <w:contextualSpacing/>
              <w:jc w:val="center"/>
              <w:rPr>
                <w:rFonts w:hint="eastAsia" w:ascii="宋体" w:hAnsi="宋体"/>
                <w:kern w:val="0"/>
                <w:sz w:val="24"/>
                <w:szCs w:val="22"/>
                <w:lang w:val="zh-CN"/>
              </w:rPr>
            </w:pPr>
          </w:p>
        </w:tc>
        <w:tc>
          <w:tcPr>
            <w:tcW w:w="1286" w:type="dxa"/>
            <w:shd w:val="clear" w:color="auto" w:fill="FFFFFF"/>
            <w:vAlign w:val="center"/>
          </w:tcPr>
          <w:p w14:paraId="028D85EB">
            <w:pPr>
              <w:autoSpaceDE w:val="0"/>
              <w:autoSpaceDN w:val="0"/>
              <w:spacing w:line="360" w:lineRule="auto"/>
              <w:contextualSpacing/>
              <w:jc w:val="center"/>
              <w:rPr>
                <w:rFonts w:hint="eastAsia" w:ascii="宋体" w:hAnsi="宋体"/>
                <w:kern w:val="0"/>
                <w:sz w:val="24"/>
                <w:szCs w:val="22"/>
              </w:rPr>
            </w:pPr>
            <w:r>
              <w:rPr>
                <w:rFonts w:hint="eastAsia" w:ascii="宋体" w:hAnsi="宋体"/>
                <w:kern w:val="0"/>
                <w:sz w:val="24"/>
                <w:szCs w:val="22"/>
              </w:rPr>
              <w:t>售后保障措施</w:t>
            </w:r>
          </w:p>
        </w:tc>
        <w:tc>
          <w:tcPr>
            <w:tcW w:w="709" w:type="dxa"/>
            <w:shd w:val="clear" w:color="auto" w:fill="FFFFFF"/>
            <w:vAlign w:val="center"/>
          </w:tcPr>
          <w:p w14:paraId="0A5743A5">
            <w:pPr>
              <w:autoSpaceDE w:val="0"/>
              <w:autoSpaceDN w:val="0"/>
              <w:spacing w:line="360" w:lineRule="auto"/>
              <w:contextualSpacing/>
              <w:jc w:val="center"/>
              <w:rPr>
                <w:rFonts w:hint="eastAsia" w:ascii="宋体" w:hAnsi="宋体"/>
                <w:sz w:val="24"/>
                <w:szCs w:val="22"/>
              </w:rPr>
            </w:pPr>
            <w:r>
              <w:rPr>
                <w:rFonts w:hint="eastAsia" w:ascii="宋体" w:hAnsi="宋体"/>
                <w:sz w:val="24"/>
                <w:szCs w:val="22"/>
              </w:rPr>
              <w:t>7</w:t>
            </w:r>
          </w:p>
        </w:tc>
        <w:tc>
          <w:tcPr>
            <w:tcW w:w="5953" w:type="dxa"/>
            <w:shd w:val="clear" w:color="auto" w:fill="FFFFFF"/>
            <w:vAlign w:val="center"/>
          </w:tcPr>
          <w:p w14:paraId="50CAB80E">
            <w:pPr>
              <w:spacing w:line="360" w:lineRule="auto"/>
              <w:rPr>
                <w:rFonts w:hint="eastAsia" w:ascii="宋体" w:hAnsi="宋体"/>
                <w:kern w:val="0"/>
                <w:sz w:val="24"/>
                <w:szCs w:val="22"/>
              </w:rPr>
            </w:pPr>
            <w:r>
              <w:rPr>
                <w:rFonts w:hint="eastAsia" w:ascii="宋体" w:hAnsi="宋体"/>
                <w:kern w:val="0"/>
                <w:sz w:val="24"/>
                <w:szCs w:val="22"/>
              </w:rPr>
              <w:t>售后保障措施但不限于维修响应、维修到场速度，质保期内保障措施等</w:t>
            </w:r>
          </w:p>
          <w:p w14:paraId="0C03DAE1">
            <w:pPr>
              <w:spacing w:line="360" w:lineRule="auto"/>
              <w:rPr>
                <w:rFonts w:hint="eastAsia" w:ascii="宋体" w:hAnsi="宋体"/>
                <w:kern w:val="0"/>
                <w:sz w:val="24"/>
                <w:szCs w:val="22"/>
              </w:rPr>
            </w:pPr>
            <w:r>
              <w:rPr>
                <w:rFonts w:hint="eastAsia" w:ascii="宋体" w:hAnsi="宋体"/>
                <w:kern w:val="0"/>
                <w:sz w:val="24"/>
                <w:szCs w:val="22"/>
              </w:rPr>
              <w:t>（1）售后保障措施完整，维修响应、维修到场速度完全满足采购文件要求，质保期内保障措施详细，明确得7分；</w:t>
            </w:r>
          </w:p>
          <w:p w14:paraId="0AF0A037">
            <w:pPr>
              <w:spacing w:line="360" w:lineRule="auto"/>
              <w:rPr>
                <w:rFonts w:hint="eastAsia" w:ascii="宋体" w:hAnsi="宋体"/>
                <w:kern w:val="0"/>
                <w:sz w:val="24"/>
                <w:szCs w:val="22"/>
              </w:rPr>
            </w:pPr>
            <w:r>
              <w:rPr>
                <w:rFonts w:hint="eastAsia" w:ascii="宋体" w:hAnsi="宋体"/>
                <w:kern w:val="0"/>
                <w:sz w:val="24"/>
                <w:szCs w:val="22"/>
              </w:rPr>
              <w:t>（2）售后保障措施完整，维修响应、维修到场速度完全满足采购文件要求，质保期内保障措施较为详细，表意描述有欠缺得4分；</w:t>
            </w:r>
          </w:p>
          <w:p w14:paraId="4C3F137B">
            <w:pPr>
              <w:spacing w:line="360" w:lineRule="auto"/>
              <w:rPr>
                <w:rFonts w:hint="eastAsia" w:ascii="宋体" w:hAnsi="宋体"/>
                <w:kern w:val="0"/>
                <w:sz w:val="24"/>
                <w:szCs w:val="22"/>
              </w:rPr>
            </w:pPr>
            <w:r>
              <w:rPr>
                <w:rFonts w:hint="eastAsia" w:ascii="宋体" w:hAnsi="宋体"/>
                <w:kern w:val="0"/>
                <w:sz w:val="24"/>
                <w:szCs w:val="22"/>
              </w:rPr>
              <w:t>（3）维修响应、维修到场速度不满足招标文件要求得1分；</w:t>
            </w:r>
          </w:p>
          <w:p w14:paraId="2ADB23B0">
            <w:pPr>
              <w:spacing w:line="360" w:lineRule="auto"/>
              <w:rPr>
                <w:rFonts w:hint="eastAsia" w:ascii="宋体" w:hAnsi="宋体"/>
                <w:kern w:val="0"/>
                <w:sz w:val="24"/>
                <w:szCs w:val="22"/>
              </w:rPr>
            </w:pPr>
            <w:r>
              <w:rPr>
                <w:rFonts w:hint="eastAsia" w:ascii="宋体" w:hAnsi="宋体"/>
                <w:kern w:val="0"/>
                <w:sz w:val="24"/>
                <w:szCs w:val="22"/>
              </w:rPr>
              <w:t>（4）本项未提供，不得分</w:t>
            </w:r>
          </w:p>
        </w:tc>
      </w:tr>
      <w:tr w14:paraId="67BC33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14:paraId="5187705C">
            <w:pPr>
              <w:autoSpaceDE w:val="0"/>
              <w:autoSpaceDN w:val="0"/>
              <w:spacing w:line="360" w:lineRule="auto"/>
              <w:contextualSpacing/>
              <w:jc w:val="center"/>
              <w:rPr>
                <w:rFonts w:hint="eastAsia" w:ascii="宋体" w:hAnsi="宋体"/>
                <w:kern w:val="0"/>
                <w:sz w:val="24"/>
                <w:szCs w:val="22"/>
                <w:lang w:val="zh-CN"/>
              </w:rPr>
            </w:pPr>
          </w:p>
        </w:tc>
        <w:tc>
          <w:tcPr>
            <w:tcW w:w="993" w:type="dxa"/>
            <w:vMerge w:val="continue"/>
            <w:vAlign w:val="center"/>
          </w:tcPr>
          <w:p w14:paraId="53EE592E">
            <w:pPr>
              <w:autoSpaceDE w:val="0"/>
              <w:autoSpaceDN w:val="0"/>
              <w:spacing w:line="360" w:lineRule="auto"/>
              <w:contextualSpacing/>
              <w:jc w:val="center"/>
              <w:rPr>
                <w:rFonts w:hint="eastAsia" w:ascii="宋体" w:hAnsi="宋体"/>
                <w:kern w:val="0"/>
                <w:sz w:val="24"/>
                <w:szCs w:val="22"/>
                <w:lang w:val="zh-CN"/>
              </w:rPr>
            </w:pPr>
          </w:p>
        </w:tc>
        <w:tc>
          <w:tcPr>
            <w:tcW w:w="1286" w:type="dxa"/>
            <w:shd w:val="clear" w:color="auto" w:fill="FFFFFF"/>
            <w:vAlign w:val="center"/>
          </w:tcPr>
          <w:p w14:paraId="79E018CB">
            <w:pPr>
              <w:autoSpaceDE w:val="0"/>
              <w:autoSpaceDN w:val="0"/>
              <w:spacing w:line="360" w:lineRule="auto"/>
              <w:contextualSpacing/>
              <w:jc w:val="center"/>
              <w:rPr>
                <w:rFonts w:hint="eastAsia" w:ascii="宋体" w:hAnsi="宋体"/>
                <w:kern w:val="0"/>
                <w:sz w:val="24"/>
                <w:szCs w:val="22"/>
              </w:rPr>
            </w:pPr>
            <w:r>
              <w:rPr>
                <w:rFonts w:hint="eastAsia" w:ascii="宋体" w:hAnsi="宋体"/>
                <w:kern w:val="0"/>
                <w:sz w:val="24"/>
                <w:szCs w:val="22"/>
              </w:rPr>
              <w:t>应急预案</w:t>
            </w:r>
          </w:p>
        </w:tc>
        <w:tc>
          <w:tcPr>
            <w:tcW w:w="709" w:type="dxa"/>
            <w:shd w:val="clear" w:color="auto" w:fill="FFFFFF"/>
            <w:vAlign w:val="center"/>
          </w:tcPr>
          <w:p w14:paraId="252410D8">
            <w:pPr>
              <w:autoSpaceDE w:val="0"/>
              <w:autoSpaceDN w:val="0"/>
              <w:spacing w:line="360" w:lineRule="auto"/>
              <w:contextualSpacing/>
              <w:jc w:val="center"/>
              <w:rPr>
                <w:rFonts w:hint="eastAsia" w:ascii="宋体" w:hAnsi="宋体"/>
                <w:sz w:val="24"/>
                <w:szCs w:val="22"/>
              </w:rPr>
            </w:pPr>
            <w:r>
              <w:rPr>
                <w:rFonts w:hint="eastAsia" w:ascii="宋体" w:hAnsi="宋体"/>
                <w:sz w:val="24"/>
                <w:szCs w:val="22"/>
              </w:rPr>
              <w:t>7</w:t>
            </w:r>
          </w:p>
        </w:tc>
        <w:tc>
          <w:tcPr>
            <w:tcW w:w="5953" w:type="dxa"/>
            <w:shd w:val="clear" w:color="auto" w:fill="FFFFFF"/>
            <w:vAlign w:val="center"/>
          </w:tcPr>
          <w:p w14:paraId="73A6F3ED">
            <w:pPr>
              <w:spacing w:line="360" w:lineRule="auto"/>
              <w:rPr>
                <w:rFonts w:hint="eastAsia" w:ascii="宋体" w:hAnsi="宋体"/>
                <w:kern w:val="0"/>
                <w:sz w:val="24"/>
                <w:szCs w:val="22"/>
              </w:rPr>
            </w:pPr>
            <w:r>
              <w:rPr>
                <w:rFonts w:hint="eastAsia" w:ascii="宋体" w:hAnsi="宋体"/>
                <w:kern w:val="0"/>
                <w:sz w:val="24"/>
                <w:szCs w:val="22"/>
              </w:rPr>
              <w:t>包含但不限于产品突然无法使用、出现重大服务质量过失的措施、应急技术故障处理和采购人临时急需备品备件等方案，需具有科学性、可操作性和实用性</w:t>
            </w:r>
          </w:p>
          <w:p w14:paraId="66E8B38C">
            <w:pPr>
              <w:spacing w:line="360" w:lineRule="auto"/>
              <w:rPr>
                <w:rFonts w:hint="eastAsia" w:ascii="宋体" w:hAnsi="宋体"/>
                <w:kern w:val="0"/>
                <w:sz w:val="24"/>
                <w:szCs w:val="22"/>
              </w:rPr>
            </w:pPr>
            <w:r>
              <w:rPr>
                <w:rFonts w:hint="eastAsia" w:ascii="宋体" w:hAnsi="宋体"/>
                <w:kern w:val="0"/>
                <w:sz w:val="24"/>
                <w:szCs w:val="22"/>
              </w:rPr>
              <w:t>（1）对服务过程可能遇到的紧急情况认识全面，应急预案内容具体，切实可行，得7分；</w:t>
            </w:r>
          </w:p>
          <w:p w14:paraId="083CE3CB">
            <w:pPr>
              <w:spacing w:line="360" w:lineRule="auto"/>
              <w:rPr>
                <w:rFonts w:hint="eastAsia" w:ascii="宋体" w:hAnsi="宋体"/>
                <w:kern w:val="0"/>
                <w:sz w:val="24"/>
                <w:szCs w:val="22"/>
              </w:rPr>
            </w:pPr>
            <w:r>
              <w:rPr>
                <w:rFonts w:hint="eastAsia" w:ascii="宋体" w:hAnsi="宋体"/>
                <w:kern w:val="0"/>
                <w:sz w:val="24"/>
                <w:szCs w:val="22"/>
              </w:rPr>
              <w:t>（2）对服务过程可能遇到的紧急情况认识不够具体，应急预案内容比较全，方案可行性较好，得4分；</w:t>
            </w:r>
          </w:p>
          <w:p w14:paraId="22FBA5BC">
            <w:pPr>
              <w:spacing w:line="360" w:lineRule="auto"/>
              <w:rPr>
                <w:rFonts w:hint="eastAsia" w:ascii="宋体" w:hAnsi="宋体"/>
                <w:kern w:val="0"/>
                <w:sz w:val="24"/>
                <w:szCs w:val="22"/>
              </w:rPr>
            </w:pPr>
            <w:r>
              <w:rPr>
                <w:rFonts w:hint="eastAsia" w:ascii="宋体" w:hAnsi="宋体"/>
                <w:kern w:val="0"/>
                <w:sz w:val="24"/>
                <w:szCs w:val="22"/>
              </w:rPr>
              <w:t>（3）对服务过程可能遇到的紧急情况认识较差，应急预案内容不全，可行性差，得</w:t>
            </w:r>
            <w:r>
              <w:rPr>
                <w:rFonts w:ascii="宋体" w:hAnsi="宋体"/>
                <w:kern w:val="0"/>
                <w:sz w:val="24"/>
                <w:szCs w:val="22"/>
              </w:rPr>
              <w:t>1</w:t>
            </w:r>
            <w:r>
              <w:rPr>
                <w:rFonts w:hint="eastAsia" w:ascii="宋体" w:hAnsi="宋体"/>
                <w:kern w:val="0"/>
                <w:sz w:val="24"/>
                <w:szCs w:val="22"/>
              </w:rPr>
              <w:t>分；</w:t>
            </w:r>
          </w:p>
          <w:p w14:paraId="2B11DF9C">
            <w:pPr>
              <w:spacing w:line="360" w:lineRule="auto"/>
              <w:rPr>
                <w:rFonts w:hint="eastAsia" w:ascii="宋体" w:hAnsi="宋体"/>
                <w:kern w:val="0"/>
                <w:sz w:val="24"/>
                <w:szCs w:val="22"/>
              </w:rPr>
            </w:pPr>
            <w:r>
              <w:rPr>
                <w:rFonts w:hint="eastAsia" w:ascii="宋体" w:hAnsi="宋体"/>
                <w:kern w:val="0"/>
                <w:sz w:val="24"/>
                <w:szCs w:val="22"/>
              </w:rPr>
              <w:t>（4）本项未提供，不得分</w:t>
            </w:r>
          </w:p>
        </w:tc>
      </w:tr>
      <w:tr w14:paraId="1252AA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14:paraId="3A238CB0">
            <w:pPr>
              <w:autoSpaceDE w:val="0"/>
              <w:autoSpaceDN w:val="0"/>
              <w:spacing w:line="360" w:lineRule="auto"/>
              <w:contextualSpacing/>
              <w:jc w:val="center"/>
              <w:rPr>
                <w:rFonts w:hint="eastAsia" w:ascii="宋体" w:hAnsi="宋体"/>
                <w:kern w:val="0"/>
                <w:sz w:val="24"/>
                <w:szCs w:val="22"/>
                <w:lang w:val="zh-CN"/>
              </w:rPr>
            </w:pPr>
          </w:p>
        </w:tc>
        <w:tc>
          <w:tcPr>
            <w:tcW w:w="993" w:type="dxa"/>
            <w:vMerge w:val="continue"/>
            <w:vAlign w:val="center"/>
          </w:tcPr>
          <w:p w14:paraId="00D9079F">
            <w:pPr>
              <w:autoSpaceDE w:val="0"/>
              <w:autoSpaceDN w:val="0"/>
              <w:spacing w:line="360" w:lineRule="auto"/>
              <w:contextualSpacing/>
              <w:jc w:val="center"/>
              <w:rPr>
                <w:rFonts w:hint="eastAsia" w:ascii="宋体" w:hAnsi="宋体"/>
                <w:kern w:val="0"/>
                <w:sz w:val="24"/>
                <w:szCs w:val="22"/>
                <w:lang w:val="zh-CN"/>
              </w:rPr>
            </w:pPr>
          </w:p>
        </w:tc>
        <w:tc>
          <w:tcPr>
            <w:tcW w:w="1286" w:type="dxa"/>
            <w:vMerge w:val="restart"/>
            <w:shd w:val="clear" w:color="auto" w:fill="FFFFFF"/>
            <w:vAlign w:val="center"/>
          </w:tcPr>
          <w:p w14:paraId="2105FD69">
            <w:pPr>
              <w:autoSpaceDE w:val="0"/>
              <w:autoSpaceDN w:val="0"/>
              <w:spacing w:line="360" w:lineRule="auto"/>
              <w:contextualSpacing/>
              <w:jc w:val="center"/>
              <w:rPr>
                <w:rFonts w:hint="eastAsia" w:ascii="宋体" w:hAnsi="宋体"/>
                <w:kern w:val="0"/>
                <w:sz w:val="24"/>
                <w:szCs w:val="22"/>
              </w:rPr>
            </w:pPr>
            <w:r>
              <w:rPr>
                <w:rFonts w:hint="eastAsia" w:ascii="宋体" w:hAnsi="宋体"/>
                <w:kern w:val="0"/>
                <w:sz w:val="24"/>
                <w:szCs w:val="22"/>
              </w:rPr>
              <w:t>节能环保</w:t>
            </w:r>
          </w:p>
        </w:tc>
        <w:tc>
          <w:tcPr>
            <w:tcW w:w="709" w:type="dxa"/>
            <w:vMerge w:val="restart"/>
            <w:shd w:val="clear" w:color="auto" w:fill="FFFFFF"/>
            <w:vAlign w:val="center"/>
          </w:tcPr>
          <w:p w14:paraId="7DD763C8">
            <w:pPr>
              <w:autoSpaceDE w:val="0"/>
              <w:autoSpaceDN w:val="0"/>
              <w:spacing w:line="360" w:lineRule="auto"/>
              <w:contextualSpacing/>
              <w:jc w:val="center"/>
              <w:rPr>
                <w:rFonts w:hint="eastAsia" w:ascii="宋体" w:hAnsi="宋体"/>
                <w:sz w:val="24"/>
                <w:szCs w:val="22"/>
              </w:rPr>
            </w:pPr>
            <w:r>
              <w:rPr>
                <w:rFonts w:hint="eastAsia" w:ascii="宋体" w:hAnsi="宋体"/>
                <w:sz w:val="24"/>
                <w:szCs w:val="22"/>
              </w:rPr>
              <w:t>1</w:t>
            </w:r>
          </w:p>
        </w:tc>
        <w:tc>
          <w:tcPr>
            <w:tcW w:w="5953" w:type="dxa"/>
            <w:shd w:val="clear" w:color="auto" w:fill="FFFFFF"/>
            <w:vAlign w:val="center"/>
          </w:tcPr>
          <w:p w14:paraId="4B1BF5AA">
            <w:pPr>
              <w:spacing w:line="360" w:lineRule="auto"/>
              <w:rPr>
                <w:rFonts w:hint="eastAsia" w:ascii="宋体" w:hAnsi="宋体"/>
                <w:kern w:val="0"/>
                <w:sz w:val="24"/>
                <w:szCs w:val="22"/>
              </w:rPr>
            </w:pPr>
            <w:r>
              <w:rPr>
                <w:rFonts w:hint="eastAsia" w:ascii="宋体" w:hAnsi="宋体"/>
                <w:kern w:val="0"/>
                <w:sz w:val="24"/>
                <w:szCs w:val="22"/>
              </w:rPr>
              <w:t>投标产品中有属于品目清单范围内优先采购节能产品的（提供由国家确定的认证机构出具的、处于有效期之内的认证证书复印件）得0.5分，否则不得分。</w:t>
            </w:r>
          </w:p>
          <w:p w14:paraId="0AAC62B0">
            <w:pPr>
              <w:spacing w:line="360" w:lineRule="auto"/>
              <w:rPr>
                <w:rFonts w:hint="eastAsia" w:ascii="宋体" w:hAnsi="宋体"/>
                <w:kern w:val="0"/>
                <w:sz w:val="24"/>
                <w:szCs w:val="22"/>
              </w:rPr>
            </w:pPr>
            <w:r>
              <w:rPr>
                <w:rFonts w:hint="eastAsia" w:ascii="宋体" w:hAnsi="宋体"/>
                <w:kern w:val="0"/>
                <w:sz w:val="24"/>
                <w:szCs w:val="22"/>
              </w:rPr>
              <w:t>注：以上复印件需加盖投标人公章；属于政府强制采购节能产品的不加分。</w:t>
            </w:r>
          </w:p>
        </w:tc>
      </w:tr>
      <w:tr w14:paraId="6383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63" w:type="dxa"/>
            <w:vMerge w:val="continue"/>
            <w:vAlign w:val="center"/>
          </w:tcPr>
          <w:p w14:paraId="0874B173">
            <w:pPr>
              <w:autoSpaceDE w:val="0"/>
              <w:autoSpaceDN w:val="0"/>
              <w:spacing w:line="360" w:lineRule="auto"/>
              <w:contextualSpacing/>
              <w:jc w:val="center"/>
              <w:rPr>
                <w:rFonts w:hint="eastAsia" w:ascii="宋体" w:hAnsi="宋体"/>
                <w:kern w:val="0"/>
                <w:sz w:val="24"/>
                <w:szCs w:val="22"/>
                <w:lang w:val="zh-CN"/>
              </w:rPr>
            </w:pPr>
          </w:p>
        </w:tc>
        <w:tc>
          <w:tcPr>
            <w:tcW w:w="993" w:type="dxa"/>
            <w:vMerge w:val="continue"/>
            <w:vAlign w:val="center"/>
          </w:tcPr>
          <w:p w14:paraId="7FC850B4">
            <w:pPr>
              <w:autoSpaceDE w:val="0"/>
              <w:autoSpaceDN w:val="0"/>
              <w:spacing w:line="360" w:lineRule="auto"/>
              <w:contextualSpacing/>
              <w:jc w:val="center"/>
              <w:rPr>
                <w:rFonts w:hint="eastAsia" w:ascii="宋体" w:hAnsi="宋体"/>
                <w:kern w:val="0"/>
                <w:sz w:val="24"/>
                <w:szCs w:val="22"/>
                <w:lang w:val="zh-CN"/>
              </w:rPr>
            </w:pPr>
          </w:p>
        </w:tc>
        <w:tc>
          <w:tcPr>
            <w:tcW w:w="1286" w:type="dxa"/>
            <w:vMerge w:val="continue"/>
            <w:shd w:val="clear" w:color="auto" w:fill="FFFFFF"/>
            <w:vAlign w:val="center"/>
          </w:tcPr>
          <w:p w14:paraId="42CD17FB">
            <w:pPr>
              <w:autoSpaceDE w:val="0"/>
              <w:autoSpaceDN w:val="0"/>
              <w:spacing w:line="360" w:lineRule="auto"/>
              <w:contextualSpacing/>
              <w:jc w:val="center"/>
              <w:rPr>
                <w:rFonts w:hint="eastAsia" w:ascii="宋体" w:hAnsi="宋体"/>
                <w:kern w:val="0"/>
                <w:sz w:val="24"/>
                <w:szCs w:val="22"/>
              </w:rPr>
            </w:pPr>
          </w:p>
        </w:tc>
        <w:tc>
          <w:tcPr>
            <w:tcW w:w="709" w:type="dxa"/>
            <w:vMerge w:val="continue"/>
            <w:shd w:val="clear" w:color="auto" w:fill="FFFFFF"/>
            <w:vAlign w:val="center"/>
          </w:tcPr>
          <w:p w14:paraId="511DC522">
            <w:pPr>
              <w:autoSpaceDE w:val="0"/>
              <w:autoSpaceDN w:val="0"/>
              <w:spacing w:line="360" w:lineRule="auto"/>
              <w:contextualSpacing/>
              <w:jc w:val="center"/>
              <w:rPr>
                <w:rFonts w:hint="eastAsia" w:ascii="宋体" w:hAnsi="宋体"/>
                <w:sz w:val="24"/>
                <w:szCs w:val="22"/>
              </w:rPr>
            </w:pPr>
          </w:p>
        </w:tc>
        <w:tc>
          <w:tcPr>
            <w:tcW w:w="5953" w:type="dxa"/>
            <w:shd w:val="clear" w:color="auto" w:fill="FFFFFF"/>
            <w:vAlign w:val="center"/>
          </w:tcPr>
          <w:p w14:paraId="7E209818">
            <w:pPr>
              <w:spacing w:line="360" w:lineRule="auto"/>
              <w:rPr>
                <w:rFonts w:hint="eastAsia" w:ascii="宋体" w:hAnsi="宋体"/>
                <w:kern w:val="0"/>
                <w:sz w:val="24"/>
                <w:szCs w:val="22"/>
              </w:rPr>
            </w:pPr>
            <w:r>
              <w:rPr>
                <w:rFonts w:hint="eastAsia" w:ascii="宋体" w:hAnsi="宋体"/>
                <w:kern w:val="0"/>
                <w:sz w:val="24"/>
                <w:szCs w:val="22"/>
              </w:rPr>
              <w:t>投标产品中有属于品目清单范围内优先采购环境标志产品的（提供由国家确定的认证机构出具的、处于有效期之内的认证证书复印件）得0.5分，否则不得分。</w:t>
            </w:r>
          </w:p>
          <w:p w14:paraId="4377BC64">
            <w:pPr>
              <w:spacing w:line="360" w:lineRule="auto"/>
              <w:rPr>
                <w:rFonts w:hint="eastAsia" w:ascii="宋体" w:hAnsi="宋体"/>
                <w:kern w:val="0"/>
                <w:sz w:val="24"/>
                <w:szCs w:val="22"/>
              </w:rPr>
            </w:pPr>
            <w:r>
              <w:rPr>
                <w:rFonts w:hint="eastAsia" w:ascii="宋体" w:hAnsi="宋体"/>
                <w:kern w:val="0"/>
                <w:sz w:val="24"/>
                <w:szCs w:val="22"/>
              </w:rPr>
              <w:t>注：以上复印件需加盖投标人公章；</w:t>
            </w:r>
          </w:p>
        </w:tc>
      </w:tr>
      <w:tr w14:paraId="08DAA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704" w:type="dxa"/>
            <w:gridSpan w:val="5"/>
            <w:vAlign w:val="center"/>
          </w:tcPr>
          <w:p w14:paraId="38DF5C00">
            <w:pPr>
              <w:spacing w:line="360" w:lineRule="auto"/>
              <w:rPr>
                <w:rFonts w:hint="eastAsia" w:ascii="宋体" w:hAnsi="宋体"/>
                <w:sz w:val="24"/>
                <w:szCs w:val="22"/>
              </w:rPr>
            </w:pPr>
            <w:r>
              <w:rPr>
                <w:rFonts w:hint="eastAsia" w:ascii="宋体" w:hAnsi="宋体"/>
                <w:sz w:val="24"/>
                <w:szCs w:val="22"/>
              </w:rPr>
              <w:t>注：1.以上证书均需在有效期内，上述证书需提供证书复印件并加盖投标人公章,按规定需要年度监审的，需要提供有关的监审标识或附监审报告页，否则不得分。</w:t>
            </w:r>
          </w:p>
          <w:p w14:paraId="6BD9428A">
            <w:pPr>
              <w:autoSpaceDE w:val="0"/>
              <w:autoSpaceDN w:val="0"/>
              <w:spacing w:line="360" w:lineRule="auto"/>
              <w:contextualSpacing/>
              <w:rPr>
                <w:rFonts w:hint="eastAsia" w:ascii="宋体" w:hAnsi="宋体"/>
                <w:sz w:val="24"/>
                <w:szCs w:val="22"/>
              </w:rPr>
            </w:pPr>
            <w:r>
              <w:rPr>
                <w:rFonts w:hint="eastAsia" w:ascii="宋体" w:hAnsi="宋体"/>
                <w:sz w:val="24"/>
                <w:szCs w:val="22"/>
              </w:rPr>
              <w:t>2.以上证明文件均需提供复印件，并加盖投标人公章，未按要求提供视为不满足。</w:t>
            </w:r>
          </w:p>
        </w:tc>
      </w:tr>
      <w:bookmarkEnd w:id="766"/>
    </w:tbl>
    <w:p w14:paraId="75E7D86B">
      <w:pPr>
        <w:spacing w:line="360" w:lineRule="auto"/>
        <w:rPr>
          <w:rFonts w:hint="eastAsia" w:ascii="宋体" w:hAnsi="宋体"/>
          <w:b/>
          <w:bCs/>
          <w:sz w:val="24"/>
        </w:rPr>
      </w:pPr>
    </w:p>
    <w:p w14:paraId="4166EE9E">
      <w:pPr>
        <w:widowControl/>
        <w:jc w:val="left"/>
        <w:rPr>
          <w:rFonts w:hint="eastAsia" w:ascii="宋体" w:hAnsi="宋体"/>
          <w:b/>
          <w:bCs/>
          <w:sz w:val="24"/>
        </w:rPr>
      </w:pPr>
      <w:r>
        <w:rPr>
          <w:rFonts w:hint="eastAsia" w:ascii="宋体" w:hAnsi="宋体"/>
          <w:b/>
          <w:bCs/>
          <w:sz w:val="24"/>
        </w:rPr>
        <w:br w:type="page"/>
      </w:r>
    </w:p>
    <w:p w14:paraId="5E7A819E">
      <w:pPr>
        <w:spacing w:line="360" w:lineRule="auto"/>
        <w:rPr>
          <w:rFonts w:hint="eastAsia" w:ascii="宋体" w:hAnsi="宋体"/>
          <w:b/>
          <w:bCs/>
          <w:sz w:val="24"/>
        </w:rPr>
      </w:pPr>
    </w:p>
    <w:p w14:paraId="5A66886B">
      <w:pPr>
        <w:spacing w:line="360" w:lineRule="auto"/>
        <w:outlineLvl w:val="0"/>
        <w:rPr>
          <w:rFonts w:hint="eastAsia" w:ascii="宋体" w:hAnsi="宋体"/>
          <w:b/>
          <w:sz w:val="36"/>
          <w:szCs w:val="36"/>
        </w:rPr>
      </w:pPr>
      <w:bookmarkStart w:id="767" w:name="_Toc200734043"/>
      <w:r>
        <w:rPr>
          <w:rFonts w:ascii="宋体" w:hAnsi="宋体"/>
          <w:b/>
          <w:sz w:val="36"/>
          <w:szCs w:val="36"/>
        </w:rPr>
        <w:t>第五章  采购需求</w:t>
      </w:r>
      <w:bookmarkEnd w:id="767"/>
    </w:p>
    <w:p w14:paraId="59040021"/>
    <w:p w14:paraId="4971B18E"/>
    <w:p w14:paraId="29B57518">
      <w:pPr>
        <w:spacing w:line="360" w:lineRule="auto"/>
        <w:contextualSpacing/>
        <w:jc w:val="left"/>
        <w:rPr>
          <w:rFonts w:hint="eastAsia" w:ascii="宋体" w:hAnsi="宋体"/>
          <w:color w:val="000000" w:themeColor="text1"/>
          <w:sz w:val="24"/>
          <w14:textFill>
            <w14:solidFill>
              <w14:schemeClr w14:val="tx1"/>
            </w14:solidFill>
          </w14:textFill>
        </w:rPr>
      </w:pPr>
      <w:r>
        <w:rPr>
          <w:rFonts w:hint="eastAsia" w:ascii="宋体" w:hAnsi="宋体"/>
          <w:color w:val="000000" w:themeColor="text1"/>
          <w:sz w:val="24"/>
          <w14:textFill>
            <w14:solidFill>
              <w14:schemeClr w14:val="tx1"/>
            </w14:solidFill>
          </w14:textFill>
        </w:rPr>
        <w:t>项目要求：</w:t>
      </w:r>
    </w:p>
    <w:p w14:paraId="5D3530C5">
      <w:pPr>
        <w:spacing w:line="360" w:lineRule="auto"/>
        <w:jc w:val="left"/>
        <w:rPr>
          <w:rFonts w:hint="eastAsia" w:ascii="宋体" w:hAnsi="宋体"/>
          <w:sz w:val="24"/>
        </w:rPr>
      </w:pPr>
      <w:bookmarkStart w:id="768" w:name="_Toc492297732"/>
      <w:r>
        <w:rPr>
          <w:rFonts w:ascii="宋体" w:hAnsi="宋体" w:cs="宋体"/>
          <w:color w:val="000000"/>
          <w:kern w:val="0"/>
          <w:sz w:val="24"/>
        </w:rPr>
        <w:t>★</w:t>
      </w:r>
      <w:r>
        <w:rPr>
          <w:rFonts w:hint="eastAsia" w:ascii="宋体" w:hAnsi="宋体"/>
          <w:sz w:val="24"/>
        </w:rPr>
        <w:t>注：1.超出预算的投标文件属于无效投标。</w:t>
      </w:r>
    </w:p>
    <w:bookmarkEnd w:id="768"/>
    <w:p w14:paraId="3EC61A54">
      <w:pPr>
        <w:spacing w:line="360" w:lineRule="auto"/>
        <w:jc w:val="left"/>
        <w:rPr>
          <w:rFonts w:hint="eastAsia" w:ascii="宋体" w:hAnsi="宋体"/>
          <w:sz w:val="24"/>
        </w:rPr>
      </w:pPr>
      <w:r>
        <w:rPr>
          <w:rFonts w:hint="eastAsia" w:ascii="宋体" w:hAnsi="宋体" w:cs="宋体"/>
          <w:color w:val="000000"/>
          <w:kern w:val="0"/>
          <w:sz w:val="24"/>
        </w:rPr>
        <w:t>本项目属性</w:t>
      </w:r>
      <w:r>
        <w:rPr>
          <w:rFonts w:hint="eastAsia" w:ascii="宋体" w:hAnsi="宋体"/>
          <w:sz w:val="24"/>
        </w:rPr>
        <w:t>：货物</w:t>
      </w:r>
    </w:p>
    <w:p w14:paraId="291A3374">
      <w:pPr>
        <w:spacing w:line="360" w:lineRule="auto"/>
        <w:jc w:val="left"/>
        <w:rPr>
          <w:rFonts w:hint="eastAsia" w:ascii="宋体" w:hAnsi="宋体"/>
          <w:sz w:val="24"/>
        </w:rPr>
      </w:pPr>
      <w:r>
        <w:rPr>
          <w:rFonts w:hint="eastAsia" w:ascii="宋体" w:hAnsi="宋体"/>
          <w:sz w:val="24"/>
        </w:rPr>
        <w:t>本项目所属行业：工业</w:t>
      </w:r>
    </w:p>
    <w:p w14:paraId="129F3071">
      <w:pPr>
        <w:spacing w:line="360" w:lineRule="auto"/>
        <w:outlineLvl w:val="2"/>
        <w:rPr>
          <w:rFonts w:hint="eastAsia" w:ascii="宋体" w:hAnsi="宋体"/>
          <w:color w:val="000000"/>
          <w:sz w:val="24"/>
          <w:szCs w:val="20"/>
        </w:rPr>
      </w:pPr>
      <w:r>
        <w:rPr>
          <w:rFonts w:hint="eastAsia" w:ascii="宋体" w:hAnsi="宋体"/>
          <w:color w:val="000000"/>
          <w:sz w:val="24"/>
          <w:szCs w:val="20"/>
        </w:rPr>
        <w:t>01包：</w:t>
      </w:r>
    </w:p>
    <w:p w14:paraId="153A38DE">
      <w:pPr>
        <w:spacing w:line="276" w:lineRule="auto"/>
        <w:rPr>
          <w:rFonts w:hint="eastAsia" w:ascii="宋体" w:hAnsi="宋体"/>
          <w:b/>
          <w:sz w:val="28"/>
          <w:szCs w:val="28"/>
        </w:rPr>
      </w:pPr>
      <w:r>
        <w:rPr>
          <w:rFonts w:hint="eastAsia" w:ascii="宋体" w:hAnsi="宋体"/>
          <w:b/>
          <w:sz w:val="28"/>
          <w:szCs w:val="28"/>
        </w:rPr>
        <w:t>建设背景</w:t>
      </w:r>
    </w:p>
    <w:p w14:paraId="75A45345">
      <w:pPr>
        <w:spacing w:line="360" w:lineRule="auto"/>
        <w:ind w:firstLine="480" w:firstLineChars="200"/>
        <w:rPr>
          <w:rFonts w:hint="eastAsia" w:ascii="宋体" w:hAnsi="宋体"/>
          <w:kern w:val="0"/>
          <w:sz w:val="24"/>
        </w:rPr>
      </w:pPr>
      <w:r>
        <w:rPr>
          <w:rFonts w:hint="eastAsia" w:ascii="宋体" w:hAnsi="宋体"/>
          <w:kern w:val="0"/>
          <w:sz w:val="24"/>
        </w:rPr>
        <w:t>我校“数字媒体艺术设计专业群”为国家“双高”专业群，根据专业群“构建数智赋能的数字化教学新生态体系”任务建设本项目，本项目旨在为双高专业群专业实训系统，支持学生做全媒体运营的实训，对接行业先进人工智能、短视频、交互媒体等创作运营技术平台，提供充实的实践条件。</w:t>
      </w:r>
    </w:p>
    <w:p w14:paraId="3C1B67DE">
      <w:pPr>
        <w:spacing w:line="276" w:lineRule="auto"/>
        <w:rPr>
          <w:rFonts w:hint="eastAsia" w:ascii="宋体" w:hAnsi="宋体"/>
          <w:b/>
          <w:sz w:val="28"/>
          <w:szCs w:val="28"/>
        </w:rPr>
      </w:pPr>
      <w:r>
        <w:rPr>
          <w:rFonts w:hint="eastAsia" w:ascii="宋体" w:hAnsi="宋体"/>
          <w:b/>
          <w:sz w:val="28"/>
          <w:szCs w:val="28"/>
        </w:rPr>
        <w:t>项目建设要求</w:t>
      </w:r>
    </w:p>
    <w:p w14:paraId="026C7569">
      <w:pPr>
        <w:spacing w:line="360" w:lineRule="auto"/>
        <w:ind w:firstLine="480" w:firstLineChars="200"/>
        <w:rPr>
          <w:rFonts w:hint="eastAsia" w:ascii="宋体" w:hAnsi="宋体"/>
          <w:kern w:val="0"/>
          <w:sz w:val="24"/>
        </w:rPr>
      </w:pPr>
      <w:r>
        <w:rPr>
          <w:rFonts w:hint="eastAsia" w:ascii="宋体" w:hAnsi="宋体"/>
          <w:kern w:val="0"/>
          <w:sz w:val="24"/>
        </w:rPr>
        <w:t>建设项目显示系统、交互媒体设计系统、智慧教学系统、互动教学系统、短视频虚仿系统、新媒体数据分析系统、AIGC内容创作系统、智能录播系统等。</w:t>
      </w:r>
    </w:p>
    <w:p w14:paraId="15E0F4BF">
      <w:pPr>
        <w:spacing w:line="360" w:lineRule="auto"/>
        <w:ind w:firstLine="480" w:firstLineChars="200"/>
        <w:rPr>
          <w:rFonts w:hint="eastAsia" w:ascii="宋体" w:hAnsi="宋体"/>
          <w:kern w:val="0"/>
          <w:sz w:val="24"/>
        </w:rPr>
      </w:pPr>
      <w:r>
        <w:rPr>
          <w:rFonts w:hint="eastAsia" w:ascii="宋体" w:hAnsi="宋体"/>
          <w:kern w:val="0"/>
          <w:sz w:val="24"/>
        </w:rPr>
        <w:t>项目建成后支持新闻采编与制作、融媒体技术与运营、数字媒体技术等专业的人工智能、短视频、交互媒体、新媒体等作品内容制作和运营的相关实训，掌握媒体真实生产场景，并且支持课程录制，制作精品课程。助力学校培养具备创新精神和可持续发展能力的复合型、高素质技术技能人才。</w:t>
      </w:r>
    </w:p>
    <w:p w14:paraId="7219EE52">
      <w:pPr>
        <w:spacing w:line="360" w:lineRule="auto"/>
        <w:ind w:firstLine="480" w:firstLineChars="200"/>
        <w:rPr>
          <w:rFonts w:hint="eastAsia" w:ascii="宋体" w:hAnsi="宋体"/>
          <w:kern w:val="0"/>
          <w:sz w:val="24"/>
        </w:rPr>
      </w:pPr>
      <w:r>
        <w:rPr>
          <w:rFonts w:hint="eastAsia" w:ascii="宋体" w:hAnsi="宋体"/>
          <w:kern w:val="0"/>
          <w:sz w:val="24"/>
        </w:rPr>
        <w:t>本项目中标方需要完成整体空间、硬件、软件等搭建，配置和调试工作，并要做好售后培训和服务，确保在后续教学过程中各平台正常有序运行。</w:t>
      </w:r>
    </w:p>
    <w:p w14:paraId="67D8B3B3">
      <w:pPr>
        <w:tabs>
          <w:tab w:val="left" w:pos="432"/>
          <w:tab w:val="left" w:pos="576"/>
        </w:tabs>
        <w:spacing w:before="120" w:after="312" w:line="276" w:lineRule="auto"/>
        <w:ind w:left="720" w:hanging="720"/>
        <w:jc w:val="left"/>
        <w:outlineLvl w:val="1"/>
        <w:rPr>
          <w:rFonts w:hint="eastAsia" w:ascii="宋体" w:hAnsi="宋体"/>
          <w:b/>
          <w:bCs/>
          <w:sz w:val="28"/>
          <w:szCs w:val="28"/>
        </w:rPr>
      </w:pPr>
      <w:r>
        <w:rPr>
          <w:rFonts w:hint="eastAsia" w:ascii="宋体" w:hAnsi="宋体"/>
          <w:b/>
          <w:bCs/>
          <w:sz w:val="28"/>
          <w:szCs w:val="28"/>
        </w:rPr>
        <w:t>一</w:t>
      </w:r>
      <w:r>
        <w:rPr>
          <w:rFonts w:ascii="宋体" w:hAnsi="宋体"/>
          <w:b/>
          <w:bCs/>
          <w:sz w:val="28"/>
          <w:szCs w:val="28"/>
        </w:rPr>
        <w:t>、</w:t>
      </w:r>
      <w:r>
        <w:rPr>
          <w:rFonts w:hint="eastAsia" w:ascii="宋体" w:hAnsi="宋体"/>
          <w:b/>
          <w:bCs/>
          <w:sz w:val="28"/>
          <w:szCs w:val="28"/>
        </w:rPr>
        <w:t>项目采购清单</w:t>
      </w:r>
    </w:p>
    <w:tbl>
      <w:tblPr>
        <w:tblStyle w:val="45"/>
        <w:tblW w:w="68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3426"/>
        <w:gridCol w:w="1560"/>
        <w:gridCol w:w="708"/>
      </w:tblGrid>
      <w:tr w14:paraId="76EC5B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7F72DA3A">
            <w:pPr>
              <w:widowControl/>
              <w:spacing w:line="276" w:lineRule="auto"/>
              <w:jc w:val="center"/>
              <w:rPr>
                <w:rFonts w:hint="eastAsia" w:ascii="宋体" w:hAnsi="宋体"/>
                <w:b/>
                <w:bCs/>
                <w:kern w:val="0"/>
                <w:sz w:val="24"/>
              </w:rPr>
            </w:pPr>
            <w:r>
              <w:rPr>
                <w:rFonts w:hint="eastAsia" w:ascii="宋体" w:hAnsi="宋体"/>
                <w:b/>
                <w:bCs/>
                <w:kern w:val="0"/>
                <w:sz w:val="24"/>
              </w:rPr>
              <w:t>序号</w:t>
            </w:r>
          </w:p>
        </w:tc>
        <w:tc>
          <w:tcPr>
            <w:tcW w:w="3426" w:type="dxa"/>
            <w:vAlign w:val="center"/>
          </w:tcPr>
          <w:p w14:paraId="742ADB1A">
            <w:pPr>
              <w:widowControl/>
              <w:spacing w:line="276" w:lineRule="auto"/>
              <w:jc w:val="center"/>
              <w:rPr>
                <w:rFonts w:hint="eastAsia" w:ascii="宋体" w:hAnsi="宋体"/>
                <w:b/>
                <w:bCs/>
                <w:kern w:val="0"/>
                <w:sz w:val="24"/>
              </w:rPr>
            </w:pPr>
            <w:r>
              <w:rPr>
                <w:rFonts w:hint="eastAsia" w:ascii="宋体" w:hAnsi="宋体"/>
                <w:b/>
                <w:bCs/>
                <w:kern w:val="0"/>
                <w:sz w:val="24"/>
              </w:rPr>
              <w:t>设备名称</w:t>
            </w:r>
          </w:p>
        </w:tc>
        <w:tc>
          <w:tcPr>
            <w:tcW w:w="1560" w:type="dxa"/>
            <w:vAlign w:val="center"/>
          </w:tcPr>
          <w:p w14:paraId="2B247459">
            <w:pPr>
              <w:widowControl/>
              <w:spacing w:line="276" w:lineRule="auto"/>
              <w:jc w:val="center"/>
              <w:rPr>
                <w:rFonts w:hint="eastAsia" w:ascii="宋体" w:hAnsi="宋体"/>
                <w:b/>
                <w:bCs/>
                <w:kern w:val="0"/>
                <w:sz w:val="24"/>
              </w:rPr>
            </w:pPr>
            <w:r>
              <w:rPr>
                <w:rFonts w:hint="eastAsia" w:ascii="宋体" w:hAnsi="宋体"/>
                <w:b/>
                <w:bCs/>
                <w:kern w:val="0"/>
                <w:sz w:val="24"/>
              </w:rPr>
              <w:t>数量</w:t>
            </w:r>
          </w:p>
        </w:tc>
        <w:tc>
          <w:tcPr>
            <w:tcW w:w="708" w:type="dxa"/>
            <w:vAlign w:val="center"/>
          </w:tcPr>
          <w:p w14:paraId="30905692">
            <w:pPr>
              <w:widowControl/>
              <w:spacing w:line="276" w:lineRule="auto"/>
              <w:jc w:val="center"/>
              <w:rPr>
                <w:rFonts w:hint="eastAsia" w:ascii="宋体" w:hAnsi="宋体"/>
                <w:b/>
                <w:bCs/>
                <w:kern w:val="0"/>
                <w:sz w:val="24"/>
              </w:rPr>
            </w:pPr>
            <w:r>
              <w:rPr>
                <w:rFonts w:hint="eastAsia" w:ascii="宋体" w:hAnsi="宋体"/>
                <w:b/>
                <w:bCs/>
                <w:kern w:val="0"/>
                <w:sz w:val="24"/>
              </w:rPr>
              <w:t>单位</w:t>
            </w:r>
          </w:p>
        </w:tc>
      </w:tr>
      <w:tr w14:paraId="62BD8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648F46F2">
            <w:pPr>
              <w:widowControl/>
              <w:spacing w:line="276" w:lineRule="auto"/>
              <w:jc w:val="center"/>
              <w:rPr>
                <w:rFonts w:hint="eastAsia" w:ascii="宋体" w:hAnsi="宋体"/>
                <w:kern w:val="0"/>
                <w:sz w:val="24"/>
              </w:rPr>
            </w:pPr>
            <w:r>
              <w:rPr>
                <w:rFonts w:hint="eastAsia" w:ascii="宋体" w:hAnsi="宋体"/>
                <w:kern w:val="0"/>
                <w:sz w:val="24"/>
              </w:rPr>
              <w:t>1</w:t>
            </w:r>
          </w:p>
        </w:tc>
        <w:tc>
          <w:tcPr>
            <w:tcW w:w="3426" w:type="dxa"/>
            <w:vAlign w:val="center"/>
          </w:tcPr>
          <w:p w14:paraId="67A1A66D">
            <w:pPr>
              <w:widowControl/>
              <w:spacing w:line="276" w:lineRule="auto"/>
              <w:jc w:val="center"/>
              <w:rPr>
                <w:rFonts w:hint="eastAsia" w:ascii="宋体" w:hAnsi="宋体"/>
                <w:kern w:val="0"/>
                <w:sz w:val="24"/>
              </w:rPr>
            </w:pPr>
            <w:r>
              <w:rPr>
                <w:rFonts w:hint="eastAsia" w:ascii="宋体" w:hAnsi="宋体"/>
                <w:kern w:val="0"/>
                <w:sz w:val="24"/>
              </w:rPr>
              <w:t>显示系统</w:t>
            </w:r>
          </w:p>
        </w:tc>
        <w:tc>
          <w:tcPr>
            <w:tcW w:w="1560" w:type="dxa"/>
            <w:vAlign w:val="center"/>
          </w:tcPr>
          <w:p w14:paraId="3F7A8EBF">
            <w:pPr>
              <w:widowControl/>
              <w:spacing w:line="276" w:lineRule="auto"/>
              <w:jc w:val="center"/>
              <w:rPr>
                <w:rFonts w:hint="eastAsia" w:ascii="宋体" w:hAnsi="宋体"/>
                <w:kern w:val="0"/>
                <w:sz w:val="24"/>
              </w:rPr>
            </w:pPr>
            <w:r>
              <w:rPr>
                <w:rFonts w:hint="eastAsia" w:ascii="宋体" w:hAnsi="宋体"/>
                <w:kern w:val="0"/>
                <w:sz w:val="24"/>
              </w:rPr>
              <w:t>1</w:t>
            </w:r>
          </w:p>
        </w:tc>
        <w:tc>
          <w:tcPr>
            <w:tcW w:w="708" w:type="dxa"/>
            <w:vAlign w:val="center"/>
          </w:tcPr>
          <w:p w14:paraId="5BC3057C">
            <w:pPr>
              <w:widowControl/>
              <w:spacing w:line="276" w:lineRule="auto"/>
              <w:jc w:val="center"/>
              <w:rPr>
                <w:rFonts w:hint="eastAsia" w:ascii="宋体" w:hAnsi="宋体"/>
                <w:kern w:val="0"/>
                <w:sz w:val="24"/>
              </w:rPr>
            </w:pPr>
            <w:r>
              <w:rPr>
                <w:rFonts w:hint="eastAsia" w:ascii="宋体" w:hAnsi="宋体"/>
                <w:kern w:val="0"/>
                <w:sz w:val="24"/>
              </w:rPr>
              <w:t>套</w:t>
            </w:r>
          </w:p>
        </w:tc>
      </w:tr>
      <w:tr w14:paraId="2A8D9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1CEF1D60">
            <w:pPr>
              <w:widowControl/>
              <w:spacing w:line="276" w:lineRule="auto"/>
              <w:jc w:val="center"/>
              <w:rPr>
                <w:rFonts w:hint="eastAsia" w:ascii="宋体" w:hAnsi="宋体"/>
                <w:kern w:val="0"/>
                <w:sz w:val="24"/>
              </w:rPr>
            </w:pPr>
            <w:r>
              <w:rPr>
                <w:rFonts w:hint="eastAsia" w:ascii="宋体" w:hAnsi="宋体"/>
                <w:kern w:val="0"/>
                <w:sz w:val="24"/>
              </w:rPr>
              <w:t>2</w:t>
            </w:r>
          </w:p>
        </w:tc>
        <w:tc>
          <w:tcPr>
            <w:tcW w:w="3426" w:type="dxa"/>
            <w:vAlign w:val="center"/>
          </w:tcPr>
          <w:p w14:paraId="1C46B515">
            <w:pPr>
              <w:widowControl/>
              <w:spacing w:line="276" w:lineRule="auto"/>
              <w:jc w:val="center"/>
              <w:rPr>
                <w:rFonts w:hint="eastAsia" w:ascii="宋体" w:hAnsi="宋体"/>
                <w:kern w:val="0"/>
                <w:sz w:val="24"/>
              </w:rPr>
            </w:pPr>
            <w:r>
              <w:rPr>
                <w:rFonts w:hint="eastAsia" w:ascii="宋体" w:hAnsi="宋体"/>
                <w:kern w:val="0"/>
                <w:sz w:val="24"/>
              </w:rPr>
              <w:t>AIGC新媒体内容创作系统</w:t>
            </w:r>
          </w:p>
        </w:tc>
        <w:tc>
          <w:tcPr>
            <w:tcW w:w="1560" w:type="dxa"/>
            <w:vAlign w:val="center"/>
          </w:tcPr>
          <w:p w14:paraId="5F9DABDC">
            <w:pPr>
              <w:widowControl/>
              <w:spacing w:line="276" w:lineRule="auto"/>
              <w:jc w:val="center"/>
              <w:rPr>
                <w:rFonts w:hint="eastAsia" w:ascii="宋体" w:hAnsi="宋体"/>
                <w:kern w:val="0"/>
                <w:sz w:val="24"/>
              </w:rPr>
            </w:pPr>
            <w:r>
              <w:rPr>
                <w:rFonts w:hint="eastAsia" w:ascii="宋体" w:hAnsi="宋体"/>
                <w:kern w:val="0"/>
                <w:sz w:val="24"/>
              </w:rPr>
              <w:t>1</w:t>
            </w:r>
          </w:p>
        </w:tc>
        <w:tc>
          <w:tcPr>
            <w:tcW w:w="708" w:type="dxa"/>
            <w:vAlign w:val="center"/>
          </w:tcPr>
          <w:p w14:paraId="3ED710D5">
            <w:pPr>
              <w:widowControl/>
              <w:spacing w:line="276" w:lineRule="auto"/>
              <w:jc w:val="center"/>
              <w:rPr>
                <w:rFonts w:hint="eastAsia" w:ascii="宋体" w:hAnsi="宋体"/>
                <w:kern w:val="0"/>
                <w:sz w:val="24"/>
              </w:rPr>
            </w:pPr>
            <w:r>
              <w:rPr>
                <w:rFonts w:hint="eastAsia" w:ascii="宋体" w:hAnsi="宋体"/>
                <w:kern w:val="0"/>
                <w:sz w:val="24"/>
              </w:rPr>
              <w:t>套</w:t>
            </w:r>
          </w:p>
        </w:tc>
      </w:tr>
      <w:tr w14:paraId="5A77E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14C75E32">
            <w:pPr>
              <w:widowControl/>
              <w:spacing w:line="276" w:lineRule="auto"/>
              <w:jc w:val="center"/>
              <w:rPr>
                <w:rFonts w:hint="eastAsia" w:ascii="宋体" w:hAnsi="宋体"/>
                <w:kern w:val="0"/>
                <w:sz w:val="24"/>
              </w:rPr>
            </w:pPr>
            <w:r>
              <w:rPr>
                <w:rFonts w:hint="eastAsia" w:ascii="宋体" w:hAnsi="宋体"/>
                <w:kern w:val="0"/>
                <w:sz w:val="24"/>
              </w:rPr>
              <w:t xml:space="preserve">3 </w:t>
            </w:r>
          </w:p>
        </w:tc>
        <w:tc>
          <w:tcPr>
            <w:tcW w:w="3426" w:type="dxa"/>
            <w:vAlign w:val="center"/>
          </w:tcPr>
          <w:p w14:paraId="3F7564D4">
            <w:pPr>
              <w:widowControl/>
              <w:spacing w:line="276" w:lineRule="auto"/>
              <w:jc w:val="center"/>
              <w:rPr>
                <w:rFonts w:hint="eastAsia" w:ascii="宋体" w:hAnsi="宋体"/>
                <w:kern w:val="0"/>
                <w:sz w:val="24"/>
              </w:rPr>
            </w:pPr>
            <w:r>
              <w:rPr>
                <w:rFonts w:hint="eastAsia" w:ascii="宋体" w:hAnsi="宋体"/>
                <w:kern w:val="0"/>
                <w:sz w:val="24"/>
              </w:rPr>
              <w:t>短视频虚拟仿真实训系统</w:t>
            </w:r>
          </w:p>
        </w:tc>
        <w:tc>
          <w:tcPr>
            <w:tcW w:w="1560" w:type="dxa"/>
            <w:vAlign w:val="center"/>
          </w:tcPr>
          <w:p w14:paraId="15A9E97E">
            <w:pPr>
              <w:widowControl/>
              <w:spacing w:line="276" w:lineRule="auto"/>
              <w:jc w:val="center"/>
              <w:rPr>
                <w:rFonts w:hint="eastAsia" w:ascii="宋体" w:hAnsi="宋体"/>
                <w:kern w:val="0"/>
                <w:sz w:val="24"/>
              </w:rPr>
            </w:pPr>
            <w:r>
              <w:rPr>
                <w:rFonts w:hint="eastAsia" w:ascii="宋体" w:hAnsi="宋体"/>
                <w:kern w:val="0"/>
                <w:sz w:val="24"/>
              </w:rPr>
              <w:t>1</w:t>
            </w:r>
          </w:p>
        </w:tc>
        <w:tc>
          <w:tcPr>
            <w:tcW w:w="708" w:type="dxa"/>
            <w:vAlign w:val="center"/>
          </w:tcPr>
          <w:p w14:paraId="326F3D66">
            <w:pPr>
              <w:widowControl/>
              <w:spacing w:line="276" w:lineRule="auto"/>
              <w:jc w:val="center"/>
              <w:rPr>
                <w:rFonts w:hint="eastAsia" w:ascii="宋体" w:hAnsi="宋体"/>
                <w:kern w:val="0"/>
                <w:sz w:val="24"/>
              </w:rPr>
            </w:pPr>
            <w:r>
              <w:rPr>
                <w:rFonts w:hint="eastAsia" w:ascii="宋体" w:hAnsi="宋体"/>
                <w:kern w:val="0"/>
                <w:sz w:val="24"/>
              </w:rPr>
              <w:t>套</w:t>
            </w:r>
          </w:p>
        </w:tc>
      </w:tr>
      <w:tr w14:paraId="47085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45208771">
            <w:pPr>
              <w:widowControl/>
              <w:spacing w:line="276" w:lineRule="auto"/>
              <w:jc w:val="center"/>
              <w:rPr>
                <w:rFonts w:hint="eastAsia" w:ascii="宋体" w:hAnsi="宋体"/>
                <w:kern w:val="0"/>
                <w:sz w:val="24"/>
              </w:rPr>
            </w:pPr>
            <w:r>
              <w:rPr>
                <w:rFonts w:hint="eastAsia" w:ascii="宋体" w:hAnsi="宋体"/>
                <w:kern w:val="0"/>
                <w:sz w:val="24"/>
              </w:rPr>
              <w:t>4</w:t>
            </w:r>
          </w:p>
        </w:tc>
        <w:tc>
          <w:tcPr>
            <w:tcW w:w="3426" w:type="dxa"/>
            <w:vAlign w:val="center"/>
          </w:tcPr>
          <w:p w14:paraId="0BF8D252">
            <w:pPr>
              <w:widowControl/>
              <w:spacing w:line="276" w:lineRule="auto"/>
              <w:jc w:val="center"/>
              <w:rPr>
                <w:rFonts w:hint="eastAsia" w:ascii="宋体" w:hAnsi="宋体"/>
                <w:kern w:val="0"/>
                <w:sz w:val="24"/>
              </w:rPr>
            </w:pPr>
            <w:r>
              <w:rPr>
                <w:rFonts w:hint="eastAsia" w:ascii="宋体" w:hAnsi="宋体"/>
                <w:kern w:val="0"/>
                <w:sz w:val="24"/>
              </w:rPr>
              <w:t>新媒体数据分析仿真实训系统</w:t>
            </w:r>
          </w:p>
        </w:tc>
        <w:tc>
          <w:tcPr>
            <w:tcW w:w="1560" w:type="dxa"/>
            <w:vAlign w:val="center"/>
          </w:tcPr>
          <w:p w14:paraId="63A94637">
            <w:pPr>
              <w:widowControl/>
              <w:spacing w:line="276" w:lineRule="auto"/>
              <w:jc w:val="center"/>
              <w:rPr>
                <w:rFonts w:hint="eastAsia" w:ascii="宋体" w:hAnsi="宋体"/>
                <w:kern w:val="0"/>
                <w:sz w:val="24"/>
              </w:rPr>
            </w:pPr>
            <w:r>
              <w:rPr>
                <w:rFonts w:hint="eastAsia" w:ascii="宋体" w:hAnsi="宋体"/>
                <w:kern w:val="0"/>
                <w:sz w:val="24"/>
              </w:rPr>
              <w:t>1</w:t>
            </w:r>
          </w:p>
        </w:tc>
        <w:tc>
          <w:tcPr>
            <w:tcW w:w="708" w:type="dxa"/>
            <w:vAlign w:val="center"/>
          </w:tcPr>
          <w:p w14:paraId="6FF78F2F">
            <w:pPr>
              <w:widowControl/>
              <w:spacing w:line="276" w:lineRule="auto"/>
              <w:jc w:val="center"/>
              <w:rPr>
                <w:rFonts w:hint="eastAsia" w:ascii="宋体" w:hAnsi="宋体"/>
                <w:kern w:val="0"/>
                <w:sz w:val="24"/>
              </w:rPr>
            </w:pPr>
            <w:r>
              <w:rPr>
                <w:rFonts w:hint="eastAsia" w:ascii="宋体" w:hAnsi="宋体"/>
                <w:kern w:val="0"/>
                <w:sz w:val="24"/>
              </w:rPr>
              <w:t>套</w:t>
            </w:r>
          </w:p>
        </w:tc>
      </w:tr>
      <w:tr w14:paraId="0614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26EAF1EC">
            <w:pPr>
              <w:widowControl/>
              <w:spacing w:line="276" w:lineRule="auto"/>
              <w:jc w:val="center"/>
              <w:rPr>
                <w:rFonts w:hint="eastAsia" w:ascii="宋体" w:hAnsi="宋体"/>
                <w:kern w:val="0"/>
                <w:sz w:val="24"/>
              </w:rPr>
            </w:pPr>
            <w:r>
              <w:rPr>
                <w:rFonts w:hint="eastAsia" w:ascii="宋体" w:hAnsi="宋体"/>
                <w:kern w:val="0"/>
                <w:sz w:val="24"/>
              </w:rPr>
              <w:t>5</w:t>
            </w:r>
          </w:p>
        </w:tc>
        <w:tc>
          <w:tcPr>
            <w:tcW w:w="3426" w:type="dxa"/>
            <w:vAlign w:val="center"/>
          </w:tcPr>
          <w:p w14:paraId="1E4FA029">
            <w:pPr>
              <w:widowControl/>
              <w:spacing w:line="276" w:lineRule="auto"/>
              <w:jc w:val="center"/>
              <w:rPr>
                <w:rFonts w:hint="eastAsia" w:ascii="宋体" w:hAnsi="宋体"/>
                <w:kern w:val="0"/>
                <w:sz w:val="24"/>
              </w:rPr>
            </w:pPr>
            <w:r>
              <w:rPr>
                <w:rFonts w:hint="eastAsia" w:ascii="宋体" w:hAnsi="宋体"/>
                <w:kern w:val="0"/>
                <w:sz w:val="24"/>
              </w:rPr>
              <w:t>交互媒体设计系统（核心产品）</w:t>
            </w:r>
          </w:p>
        </w:tc>
        <w:tc>
          <w:tcPr>
            <w:tcW w:w="1560" w:type="dxa"/>
            <w:vAlign w:val="center"/>
          </w:tcPr>
          <w:p w14:paraId="6FC00BED">
            <w:pPr>
              <w:widowControl/>
              <w:spacing w:line="276" w:lineRule="auto"/>
              <w:jc w:val="center"/>
              <w:rPr>
                <w:rFonts w:hint="eastAsia" w:ascii="宋体" w:hAnsi="宋体"/>
                <w:kern w:val="0"/>
                <w:sz w:val="24"/>
              </w:rPr>
            </w:pPr>
            <w:r>
              <w:rPr>
                <w:rFonts w:hint="eastAsia" w:ascii="宋体" w:hAnsi="宋体"/>
                <w:kern w:val="0"/>
                <w:sz w:val="24"/>
              </w:rPr>
              <w:t>41</w:t>
            </w:r>
          </w:p>
        </w:tc>
        <w:tc>
          <w:tcPr>
            <w:tcW w:w="708" w:type="dxa"/>
            <w:vAlign w:val="center"/>
          </w:tcPr>
          <w:p w14:paraId="3596646E">
            <w:pPr>
              <w:widowControl/>
              <w:spacing w:line="276" w:lineRule="auto"/>
              <w:jc w:val="center"/>
              <w:rPr>
                <w:rFonts w:hint="eastAsia" w:ascii="宋体" w:hAnsi="宋体"/>
                <w:kern w:val="0"/>
                <w:sz w:val="24"/>
              </w:rPr>
            </w:pPr>
            <w:r>
              <w:rPr>
                <w:rFonts w:hint="eastAsia" w:ascii="宋体" w:hAnsi="宋体"/>
                <w:kern w:val="0"/>
                <w:sz w:val="24"/>
              </w:rPr>
              <w:t>套</w:t>
            </w:r>
          </w:p>
        </w:tc>
      </w:tr>
      <w:tr w14:paraId="2ECF2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6C9E4A74">
            <w:pPr>
              <w:widowControl/>
              <w:spacing w:line="276" w:lineRule="auto"/>
              <w:jc w:val="center"/>
              <w:rPr>
                <w:rFonts w:hint="eastAsia" w:ascii="宋体" w:hAnsi="宋体"/>
                <w:kern w:val="0"/>
                <w:sz w:val="24"/>
              </w:rPr>
            </w:pPr>
            <w:r>
              <w:rPr>
                <w:rFonts w:hint="eastAsia" w:ascii="宋体" w:hAnsi="宋体"/>
                <w:kern w:val="0"/>
                <w:sz w:val="24"/>
              </w:rPr>
              <w:t>6</w:t>
            </w:r>
          </w:p>
        </w:tc>
        <w:tc>
          <w:tcPr>
            <w:tcW w:w="3426" w:type="dxa"/>
            <w:vAlign w:val="center"/>
          </w:tcPr>
          <w:p w14:paraId="0F9B2FBE">
            <w:pPr>
              <w:widowControl/>
              <w:spacing w:line="276" w:lineRule="auto"/>
              <w:jc w:val="center"/>
              <w:rPr>
                <w:rFonts w:hint="eastAsia" w:ascii="宋体" w:hAnsi="宋体"/>
                <w:kern w:val="0"/>
                <w:sz w:val="24"/>
              </w:rPr>
            </w:pPr>
            <w:r>
              <w:rPr>
                <w:rFonts w:hint="eastAsia" w:ascii="宋体" w:hAnsi="宋体"/>
                <w:kern w:val="0"/>
                <w:sz w:val="24"/>
              </w:rPr>
              <w:t>智慧教学系统</w:t>
            </w:r>
          </w:p>
        </w:tc>
        <w:tc>
          <w:tcPr>
            <w:tcW w:w="1560" w:type="dxa"/>
            <w:vAlign w:val="center"/>
          </w:tcPr>
          <w:p w14:paraId="4F833934">
            <w:pPr>
              <w:widowControl/>
              <w:spacing w:line="276" w:lineRule="auto"/>
              <w:jc w:val="center"/>
              <w:rPr>
                <w:rFonts w:hint="eastAsia" w:ascii="宋体" w:hAnsi="宋体"/>
                <w:kern w:val="0"/>
                <w:sz w:val="24"/>
              </w:rPr>
            </w:pPr>
            <w:r>
              <w:rPr>
                <w:rFonts w:hint="eastAsia" w:ascii="宋体" w:hAnsi="宋体"/>
                <w:kern w:val="0"/>
                <w:sz w:val="24"/>
              </w:rPr>
              <w:t>1</w:t>
            </w:r>
          </w:p>
        </w:tc>
        <w:tc>
          <w:tcPr>
            <w:tcW w:w="708" w:type="dxa"/>
            <w:vAlign w:val="center"/>
          </w:tcPr>
          <w:p w14:paraId="78366E08">
            <w:pPr>
              <w:widowControl/>
              <w:spacing w:line="276" w:lineRule="auto"/>
              <w:jc w:val="center"/>
              <w:rPr>
                <w:rFonts w:hint="eastAsia" w:ascii="宋体" w:hAnsi="宋体"/>
                <w:kern w:val="0"/>
                <w:sz w:val="24"/>
              </w:rPr>
            </w:pPr>
            <w:r>
              <w:rPr>
                <w:rFonts w:hint="eastAsia" w:ascii="宋体" w:hAnsi="宋体"/>
                <w:kern w:val="0"/>
                <w:sz w:val="24"/>
              </w:rPr>
              <w:t>套</w:t>
            </w:r>
          </w:p>
        </w:tc>
      </w:tr>
      <w:tr w14:paraId="005DFE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5C43DB12">
            <w:pPr>
              <w:widowControl/>
              <w:spacing w:line="276" w:lineRule="auto"/>
              <w:jc w:val="center"/>
              <w:rPr>
                <w:rFonts w:hint="eastAsia" w:ascii="宋体" w:hAnsi="宋体"/>
                <w:kern w:val="0"/>
                <w:sz w:val="24"/>
              </w:rPr>
            </w:pPr>
            <w:r>
              <w:rPr>
                <w:rFonts w:hint="eastAsia" w:ascii="宋体" w:hAnsi="宋体"/>
                <w:kern w:val="0"/>
                <w:sz w:val="24"/>
              </w:rPr>
              <w:t>7</w:t>
            </w:r>
          </w:p>
        </w:tc>
        <w:tc>
          <w:tcPr>
            <w:tcW w:w="3426" w:type="dxa"/>
            <w:vAlign w:val="center"/>
          </w:tcPr>
          <w:p w14:paraId="32383441">
            <w:pPr>
              <w:widowControl/>
              <w:spacing w:line="276" w:lineRule="auto"/>
              <w:jc w:val="center"/>
              <w:rPr>
                <w:rFonts w:hint="eastAsia" w:ascii="宋体" w:hAnsi="宋体"/>
                <w:kern w:val="0"/>
                <w:sz w:val="24"/>
              </w:rPr>
            </w:pPr>
            <w:r>
              <w:rPr>
                <w:rFonts w:hint="eastAsia" w:ascii="宋体" w:hAnsi="宋体"/>
                <w:kern w:val="0"/>
                <w:sz w:val="24"/>
              </w:rPr>
              <w:t>互动教学系统</w:t>
            </w:r>
          </w:p>
        </w:tc>
        <w:tc>
          <w:tcPr>
            <w:tcW w:w="1560" w:type="dxa"/>
            <w:vAlign w:val="center"/>
          </w:tcPr>
          <w:p w14:paraId="31397EFA">
            <w:pPr>
              <w:widowControl/>
              <w:spacing w:line="276" w:lineRule="auto"/>
              <w:jc w:val="center"/>
              <w:rPr>
                <w:rFonts w:hint="eastAsia" w:ascii="宋体" w:hAnsi="宋体"/>
                <w:kern w:val="0"/>
                <w:sz w:val="24"/>
              </w:rPr>
            </w:pPr>
            <w:r>
              <w:rPr>
                <w:rFonts w:hint="eastAsia" w:ascii="宋体" w:hAnsi="宋体"/>
                <w:kern w:val="0"/>
                <w:sz w:val="24"/>
              </w:rPr>
              <w:t>1</w:t>
            </w:r>
          </w:p>
        </w:tc>
        <w:tc>
          <w:tcPr>
            <w:tcW w:w="708" w:type="dxa"/>
            <w:vAlign w:val="center"/>
          </w:tcPr>
          <w:p w14:paraId="05C8FCBD">
            <w:pPr>
              <w:widowControl/>
              <w:spacing w:line="276" w:lineRule="auto"/>
              <w:jc w:val="center"/>
              <w:rPr>
                <w:rFonts w:hint="eastAsia" w:ascii="宋体" w:hAnsi="宋体"/>
                <w:kern w:val="0"/>
                <w:sz w:val="24"/>
              </w:rPr>
            </w:pPr>
            <w:r>
              <w:rPr>
                <w:rFonts w:hint="eastAsia" w:ascii="宋体" w:hAnsi="宋体"/>
                <w:kern w:val="0"/>
                <w:sz w:val="24"/>
              </w:rPr>
              <w:t>套</w:t>
            </w:r>
          </w:p>
        </w:tc>
      </w:tr>
      <w:tr w14:paraId="200F2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30F54EBF">
            <w:pPr>
              <w:widowControl/>
              <w:spacing w:line="276" w:lineRule="auto"/>
              <w:jc w:val="center"/>
              <w:rPr>
                <w:rFonts w:hint="eastAsia" w:ascii="宋体" w:hAnsi="宋体"/>
                <w:kern w:val="0"/>
                <w:sz w:val="24"/>
              </w:rPr>
            </w:pPr>
            <w:r>
              <w:rPr>
                <w:rFonts w:hint="eastAsia" w:ascii="宋体" w:hAnsi="宋体"/>
                <w:kern w:val="0"/>
                <w:sz w:val="24"/>
              </w:rPr>
              <w:t>8</w:t>
            </w:r>
          </w:p>
        </w:tc>
        <w:tc>
          <w:tcPr>
            <w:tcW w:w="3426" w:type="dxa"/>
            <w:vAlign w:val="center"/>
          </w:tcPr>
          <w:p w14:paraId="4DDAB800">
            <w:pPr>
              <w:widowControl/>
              <w:spacing w:line="276" w:lineRule="auto"/>
              <w:jc w:val="center"/>
              <w:rPr>
                <w:rFonts w:hint="eastAsia" w:ascii="宋体" w:hAnsi="宋体"/>
                <w:kern w:val="0"/>
                <w:sz w:val="24"/>
              </w:rPr>
            </w:pPr>
            <w:r>
              <w:rPr>
                <w:rFonts w:hint="eastAsia" w:ascii="宋体" w:hAnsi="宋体"/>
                <w:kern w:val="0"/>
                <w:sz w:val="24"/>
              </w:rPr>
              <w:t>可视化综合信息管理平台</w:t>
            </w:r>
          </w:p>
        </w:tc>
        <w:tc>
          <w:tcPr>
            <w:tcW w:w="1560" w:type="dxa"/>
            <w:vAlign w:val="center"/>
          </w:tcPr>
          <w:p w14:paraId="5AD1AC38">
            <w:pPr>
              <w:widowControl/>
              <w:spacing w:line="276" w:lineRule="auto"/>
              <w:jc w:val="center"/>
              <w:rPr>
                <w:rFonts w:hint="eastAsia" w:ascii="宋体" w:hAnsi="宋体"/>
                <w:kern w:val="0"/>
                <w:sz w:val="24"/>
              </w:rPr>
            </w:pPr>
            <w:r>
              <w:rPr>
                <w:rFonts w:hint="eastAsia" w:ascii="宋体" w:hAnsi="宋体"/>
                <w:kern w:val="0"/>
                <w:sz w:val="24"/>
              </w:rPr>
              <w:t>1</w:t>
            </w:r>
          </w:p>
        </w:tc>
        <w:tc>
          <w:tcPr>
            <w:tcW w:w="708" w:type="dxa"/>
            <w:vAlign w:val="center"/>
          </w:tcPr>
          <w:p w14:paraId="38C8C07A">
            <w:pPr>
              <w:widowControl/>
              <w:spacing w:line="276" w:lineRule="auto"/>
              <w:jc w:val="center"/>
              <w:rPr>
                <w:rFonts w:hint="eastAsia" w:ascii="宋体" w:hAnsi="宋体"/>
                <w:kern w:val="0"/>
                <w:sz w:val="24"/>
              </w:rPr>
            </w:pPr>
            <w:r>
              <w:rPr>
                <w:rFonts w:hint="eastAsia" w:ascii="宋体" w:hAnsi="宋体"/>
                <w:kern w:val="0"/>
                <w:sz w:val="24"/>
              </w:rPr>
              <w:t>套</w:t>
            </w:r>
          </w:p>
        </w:tc>
      </w:tr>
      <w:tr w14:paraId="0A6A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0154E78E">
            <w:pPr>
              <w:widowControl/>
              <w:spacing w:line="276" w:lineRule="auto"/>
              <w:jc w:val="center"/>
              <w:rPr>
                <w:rFonts w:hint="eastAsia" w:ascii="宋体" w:hAnsi="宋体"/>
                <w:kern w:val="0"/>
                <w:sz w:val="24"/>
              </w:rPr>
            </w:pPr>
            <w:r>
              <w:rPr>
                <w:rFonts w:hint="eastAsia" w:ascii="宋体" w:hAnsi="宋体"/>
                <w:kern w:val="0"/>
                <w:sz w:val="24"/>
              </w:rPr>
              <w:t>9</w:t>
            </w:r>
          </w:p>
        </w:tc>
        <w:tc>
          <w:tcPr>
            <w:tcW w:w="3426" w:type="dxa"/>
            <w:vAlign w:val="center"/>
          </w:tcPr>
          <w:p w14:paraId="3143E311">
            <w:pPr>
              <w:widowControl/>
              <w:spacing w:line="276" w:lineRule="auto"/>
              <w:jc w:val="center"/>
              <w:rPr>
                <w:rFonts w:hint="eastAsia" w:ascii="宋体" w:hAnsi="宋体"/>
                <w:kern w:val="0"/>
                <w:sz w:val="24"/>
              </w:rPr>
            </w:pPr>
            <w:r>
              <w:rPr>
                <w:rFonts w:hint="eastAsia" w:ascii="宋体" w:hAnsi="宋体"/>
                <w:kern w:val="0"/>
                <w:sz w:val="24"/>
              </w:rPr>
              <w:t>智能录播设备</w:t>
            </w:r>
          </w:p>
        </w:tc>
        <w:tc>
          <w:tcPr>
            <w:tcW w:w="1560" w:type="dxa"/>
            <w:vAlign w:val="center"/>
          </w:tcPr>
          <w:p w14:paraId="146ACAA9">
            <w:pPr>
              <w:widowControl/>
              <w:spacing w:line="276" w:lineRule="auto"/>
              <w:jc w:val="center"/>
              <w:rPr>
                <w:rFonts w:hint="eastAsia" w:ascii="宋体" w:hAnsi="宋体"/>
                <w:kern w:val="0"/>
                <w:sz w:val="24"/>
              </w:rPr>
            </w:pPr>
            <w:r>
              <w:rPr>
                <w:rFonts w:hint="eastAsia" w:ascii="宋体" w:hAnsi="宋体"/>
                <w:kern w:val="0"/>
                <w:sz w:val="24"/>
              </w:rPr>
              <w:t>1</w:t>
            </w:r>
          </w:p>
        </w:tc>
        <w:tc>
          <w:tcPr>
            <w:tcW w:w="708" w:type="dxa"/>
            <w:vAlign w:val="center"/>
          </w:tcPr>
          <w:p w14:paraId="5FED7F4F">
            <w:pPr>
              <w:widowControl/>
              <w:spacing w:line="276" w:lineRule="auto"/>
              <w:jc w:val="center"/>
              <w:rPr>
                <w:rFonts w:hint="eastAsia" w:ascii="宋体" w:hAnsi="宋体"/>
                <w:kern w:val="0"/>
                <w:sz w:val="24"/>
              </w:rPr>
            </w:pPr>
            <w:r>
              <w:rPr>
                <w:rFonts w:hint="eastAsia" w:ascii="宋体" w:hAnsi="宋体"/>
                <w:kern w:val="0"/>
                <w:sz w:val="24"/>
              </w:rPr>
              <w:t>套</w:t>
            </w:r>
          </w:p>
        </w:tc>
      </w:tr>
      <w:tr w14:paraId="3AC7C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129" w:type="dxa"/>
            <w:vAlign w:val="center"/>
          </w:tcPr>
          <w:p w14:paraId="2F51E4C0">
            <w:pPr>
              <w:widowControl/>
              <w:spacing w:line="276" w:lineRule="auto"/>
              <w:jc w:val="center"/>
              <w:rPr>
                <w:rFonts w:hint="eastAsia" w:ascii="宋体" w:hAnsi="宋体"/>
                <w:kern w:val="0"/>
                <w:sz w:val="24"/>
              </w:rPr>
            </w:pPr>
            <w:r>
              <w:rPr>
                <w:rFonts w:hint="eastAsia" w:ascii="宋体" w:hAnsi="宋体"/>
                <w:kern w:val="0"/>
                <w:sz w:val="24"/>
              </w:rPr>
              <w:t>10</w:t>
            </w:r>
          </w:p>
        </w:tc>
        <w:tc>
          <w:tcPr>
            <w:tcW w:w="3426" w:type="dxa"/>
            <w:vAlign w:val="center"/>
          </w:tcPr>
          <w:p w14:paraId="73C167D3">
            <w:pPr>
              <w:widowControl/>
              <w:spacing w:line="276" w:lineRule="auto"/>
              <w:jc w:val="center"/>
              <w:rPr>
                <w:rFonts w:hint="eastAsia" w:ascii="宋体" w:hAnsi="宋体"/>
                <w:kern w:val="0"/>
                <w:sz w:val="24"/>
              </w:rPr>
            </w:pPr>
            <w:r>
              <w:rPr>
                <w:rFonts w:hint="eastAsia" w:ascii="宋体" w:hAnsi="宋体"/>
                <w:kern w:val="0"/>
                <w:sz w:val="24"/>
              </w:rPr>
              <w:t>融媒刊创作系统</w:t>
            </w:r>
          </w:p>
        </w:tc>
        <w:tc>
          <w:tcPr>
            <w:tcW w:w="1560" w:type="dxa"/>
            <w:vAlign w:val="center"/>
          </w:tcPr>
          <w:p w14:paraId="5DB8EDD4">
            <w:pPr>
              <w:widowControl/>
              <w:spacing w:line="276" w:lineRule="auto"/>
              <w:jc w:val="center"/>
              <w:rPr>
                <w:rFonts w:hint="eastAsia" w:ascii="宋体" w:hAnsi="宋体"/>
                <w:kern w:val="0"/>
                <w:sz w:val="24"/>
              </w:rPr>
            </w:pPr>
            <w:r>
              <w:rPr>
                <w:rFonts w:hint="eastAsia" w:ascii="宋体" w:hAnsi="宋体"/>
                <w:kern w:val="0"/>
                <w:sz w:val="24"/>
              </w:rPr>
              <w:t>1</w:t>
            </w:r>
          </w:p>
        </w:tc>
        <w:tc>
          <w:tcPr>
            <w:tcW w:w="708" w:type="dxa"/>
            <w:vAlign w:val="center"/>
          </w:tcPr>
          <w:p w14:paraId="1A88D8AD">
            <w:pPr>
              <w:widowControl/>
              <w:spacing w:line="276" w:lineRule="auto"/>
              <w:jc w:val="center"/>
              <w:rPr>
                <w:rFonts w:hint="eastAsia" w:ascii="宋体" w:hAnsi="宋体"/>
                <w:kern w:val="0"/>
                <w:sz w:val="24"/>
              </w:rPr>
            </w:pPr>
            <w:r>
              <w:rPr>
                <w:rFonts w:hint="eastAsia" w:ascii="宋体" w:hAnsi="宋体"/>
                <w:kern w:val="0"/>
                <w:sz w:val="24"/>
              </w:rPr>
              <w:t>套</w:t>
            </w:r>
          </w:p>
        </w:tc>
      </w:tr>
    </w:tbl>
    <w:p w14:paraId="1C8E23B1">
      <w:pPr>
        <w:autoSpaceDE w:val="0"/>
        <w:autoSpaceDN w:val="0"/>
        <w:spacing w:line="276" w:lineRule="auto"/>
        <w:ind w:firstLine="470"/>
        <w:rPr>
          <w:rFonts w:hint="eastAsia" w:ascii="宋体" w:hAnsi="宋体"/>
          <w:bCs/>
          <w:kern w:val="0"/>
          <w:szCs w:val="21"/>
          <w:lang w:bidi="ar"/>
        </w:rPr>
      </w:pPr>
      <w:r>
        <w:rPr>
          <w:rFonts w:hint="eastAsia" w:ascii="宋体" w:hAnsi="宋体"/>
          <w:bCs/>
          <w:kern w:val="0"/>
          <w:szCs w:val="21"/>
          <w:lang w:bidi="ar"/>
        </w:rPr>
        <w:t>说明：</w:t>
      </w:r>
    </w:p>
    <w:p w14:paraId="13FC011D">
      <w:pPr>
        <w:spacing w:line="276" w:lineRule="auto"/>
        <w:ind w:firstLine="360" w:firstLineChars="200"/>
        <w:rPr>
          <w:rFonts w:hint="eastAsia" w:ascii="宋体" w:hAnsi="宋体"/>
          <w:color w:val="000000"/>
          <w:sz w:val="18"/>
          <w:szCs w:val="18"/>
        </w:rPr>
      </w:pPr>
      <w:r>
        <w:rPr>
          <w:rFonts w:hint="eastAsia" w:ascii="宋体" w:hAnsi="宋体"/>
          <w:color w:val="000000"/>
          <w:sz w:val="18"/>
          <w:szCs w:val="18"/>
        </w:rPr>
        <w:t>★</w:t>
      </w:r>
      <w:r>
        <w:rPr>
          <w:rFonts w:hint="eastAsia" w:ascii="宋体" w:hAnsi="宋体"/>
          <w:szCs w:val="21"/>
        </w:rPr>
        <w:t>投标人投标时每项单品目的投标金额不能超过单项投标控制金额，否者按废标处理。</w:t>
      </w:r>
    </w:p>
    <w:p w14:paraId="45C377C6">
      <w:pPr>
        <w:tabs>
          <w:tab w:val="left" w:pos="432"/>
          <w:tab w:val="left" w:pos="576"/>
        </w:tabs>
        <w:spacing w:before="120" w:after="312" w:line="276" w:lineRule="auto"/>
        <w:ind w:left="720" w:hanging="720"/>
        <w:jc w:val="left"/>
        <w:outlineLvl w:val="1"/>
        <w:rPr>
          <w:rFonts w:hint="eastAsia" w:ascii="宋体" w:hAnsi="宋体"/>
          <w:b/>
          <w:bCs/>
          <w:sz w:val="28"/>
          <w:szCs w:val="28"/>
        </w:rPr>
      </w:pPr>
      <w:r>
        <w:rPr>
          <w:rFonts w:hint="eastAsia" w:ascii="宋体" w:hAnsi="宋体"/>
          <w:b/>
          <w:bCs/>
          <w:sz w:val="28"/>
          <w:szCs w:val="28"/>
        </w:rPr>
        <w:t>二</w:t>
      </w:r>
      <w:r>
        <w:rPr>
          <w:rFonts w:ascii="宋体" w:hAnsi="宋体"/>
          <w:b/>
          <w:bCs/>
          <w:sz w:val="28"/>
          <w:szCs w:val="28"/>
        </w:rPr>
        <w:t>、</w:t>
      </w:r>
      <w:r>
        <w:rPr>
          <w:rFonts w:hint="eastAsia" w:ascii="宋体" w:hAnsi="宋体"/>
          <w:b/>
          <w:bCs/>
          <w:sz w:val="28"/>
          <w:szCs w:val="28"/>
        </w:rPr>
        <w:t>设备参数要求</w:t>
      </w:r>
    </w:p>
    <w:tbl>
      <w:tblPr>
        <w:tblStyle w:val="45"/>
        <w:tblW w:w="4886"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1278"/>
        <w:gridCol w:w="6242"/>
      </w:tblGrid>
      <w:tr w14:paraId="0A0E1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5" w:type="dxa"/>
            <w:vAlign w:val="center"/>
          </w:tcPr>
          <w:p w14:paraId="76D6B048">
            <w:pPr>
              <w:widowControl/>
              <w:spacing w:line="240" w:lineRule="exact"/>
              <w:jc w:val="center"/>
              <w:rPr>
                <w:rFonts w:hint="eastAsia" w:ascii="宋体" w:hAnsi="宋体"/>
                <w:color w:val="000000"/>
                <w:sz w:val="18"/>
                <w:szCs w:val="18"/>
              </w:rPr>
            </w:pPr>
            <w:r>
              <w:rPr>
                <w:rFonts w:hint="eastAsia" w:ascii="宋体" w:hAnsi="宋体"/>
                <w:color w:val="000000"/>
                <w:sz w:val="18"/>
                <w:szCs w:val="18"/>
              </w:rPr>
              <w:t>1</w:t>
            </w:r>
          </w:p>
        </w:tc>
        <w:tc>
          <w:tcPr>
            <w:tcW w:w="767" w:type="dxa"/>
            <w:vAlign w:val="center"/>
          </w:tcPr>
          <w:p w14:paraId="2535B3B1">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显示系统</w:t>
            </w:r>
          </w:p>
        </w:tc>
        <w:tc>
          <w:tcPr>
            <w:tcW w:w="3747" w:type="dxa"/>
            <w:vAlign w:val="center"/>
          </w:tcPr>
          <w:p w14:paraId="183B58C2">
            <w:pPr>
              <w:widowControl/>
              <w:spacing w:line="240" w:lineRule="exact"/>
              <w:jc w:val="left"/>
              <w:rPr>
                <w:rFonts w:hint="eastAsia" w:ascii="宋体" w:hAnsi="宋体"/>
                <w:color w:val="000000"/>
                <w:sz w:val="18"/>
                <w:szCs w:val="18"/>
              </w:rPr>
            </w:pPr>
            <w:r>
              <w:rPr>
                <w:rFonts w:hint="eastAsia" w:ascii="宋体" w:hAnsi="宋体"/>
                <w:color w:val="000000"/>
                <w:sz w:val="18"/>
                <w:szCs w:val="18"/>
              </w:rPr>
              <w:t>一、智慧黑板：1套</w:t>
            </w:r>
          </w:p>
          <w:p w14:paraId="37C8BA95">
            <w:pPr>
              <w:widowControl/>
              <w:spacing w:line="240" w:lineRule="exact"/>
              <w:jc w:val="left"/>
              <w:rPr>
                <w:rFonts w:hint="eastAsia" w:ascii="宋体" w:hAnsi="宋体"/>
                <w:color w:val="000000"/>
                <w:sz w:val="18"/>
                <w:szCs w:val="18"/>
              </w:rPr>
            </w:pPr>
            <w:r>
              <w:rPr>
                <w:rFonts w:hint="eastAsia" w:ascii="宋体" w:hAnsi="宋体"/>
                <w:color w:val="000000"/>
                <w:sz w:val="18"/>
                <w:szCs w:val="18"/>
              </w:rPr>
              <w:t>集高清显示、交互白板、电脑、音箱于一体的一体化设备。</w:t>
            </w:r>
          </w:p>
          <w:p w14:paraId="2AAAB122">
            <w:pPr>
              <w:widowControl/>
              <w:spacing w:line="240" w:lineRule="exact"/>
              <w:jc w:val="left"/>
              <w:rPr>
                <w:rFonts w:hint="eastAsia" w:ascii="宋体" w:hAnsi="宋体"/>
                <w:color w:val="000000"/>
                <w:sz w:val="18"/>
                <w:szCs w:val="18"/>
              </w:rPr>
            </w:pPr>
            <w:r>
              <w:rPr>
                <w:rFonts w:hint="eastAsia" w:ascii="宋体" w:hAnsi="宋体"/>
                <w:color w:val="000000"/>
                <w:sz w:val="18"/>
                <w:szCs w:val="18"/>
              </w:rPr>
              <w:t>1.整机尺寸：宽≥4200mm，高≥1200mm，厚≤110mm。</w:t>
            </w:r>
          </w:p>
          <w:p w14:paraId="715A385F">
            <w:pPr>
              <w:widowControl/>
              <w:spacing w:line="240" w:lineRule="exact"/>
              <w:jc w:val="left"/>
              <w:rPr>
                <w:rFonts w:hint="eastAsia" w:ascii="宋体" w:hAnsi="宋体"/>
                <w:color w:val="000000"/>
                <w:sz w:val="18"/>
                <w:szCs w:val="18"/>
              </w:rPr>
            </w:pPr>
            <w:r>
              <w:rPr>
                <w:rFonts w:hint="eastAsia" w:ascii="宋体" w:hAnsi="宋体"/>
                <w:color w:val="000000"/>
                <w:sz w:val="18"/>
                <w:szCs w:val="18"/>
              </w:rPr>
              <w:t>2.显示尺寸≥86英寸，4K超高清（3840×2160像素），采用全贴合工艺。</w:t>
            </w:r>
          </w:p>
          <w:p w14:paraId="2D31783E">
            <w:pPr>
              <w:widowControl/>
              <w:spacing w:line="240" w:lineRule="exact"/>
              <w:jc w:val="left"/>
              <w:rPr>
                <w:rFonts w:hint="eastAsia" w:ascii="宋体" w:hAnsi="宋体"/>
                <w:color w:val="000000"/>
                <w:sz w:val="18"/>
                <w:szCs w:val="18"/>
              </w:rPr>
            </w:pPr>
            <w:r>
              <w:rPr>
                <w:rFonts w:hint="eastAsia" w:ascii="宋体" w:hAnsi="宋体"/>
                <w:color w:val="000000"/>
                <w:sz w:val="18"/>
                <w:szCs w:val="18"/>
              </w:rPr>
              <w:t>3.防眩光钢化玻璃，透光率≥95%，硬度≥9H。</w:t>
            </w:r>
          </w:p>
          <w:p w14:paraId="5DDEB35F">
            <w:pPr>
              <w:widowControl/>
              <w:spacing w:line="240" w:lineRule="exact"/>
              <w:jc w:val="left"/>
              <w:rPr>
                <w:rFonts w:hint="eastAsia" w:ascii="宋体" w:hAnsi="宋体"/>
                <w:color w:val="000000"/>
                <w:sz w:val="18"/>
                <w:szCs w:val="18"/>
              </w:rPr>
            </w:pPr>
            <w:r>
              <w:rPr>
                <w:rFonts w:hint="eastAsia" w:ascii="宋体" w:hAnsi="宋体"/>
                <w:color w:val="000000"/>
                <w:sz w:val="18"/>
                <w:szCs w:val="18"/>
              </w:rPr>
              <w:t>4.操作系统：安卓≥Android14，与可插拔OPS电脑构成双系统；RAM≥4G，ROM≥32G； 适配国产化芯片（4核CPU+2核GPU）。</w:t>
            </w:r>
          </w:p>
          <w:p w14:paraId="43941CFA">
            <w:pPr>
              <w:widowControl/>
              <w:spacing w:line="240" w:lineRule="exact"/>
              <w:jc w:val="left"/>
              <w:rPr>
                <w:rFonts w:hint="eastAsia" w:ascii="宋体" w:hAnsi="宋体"/>
                <w:color w:val="000000"/>
                <w:sz w:val="18"/>
                <w:szCs w:val="18"/>
              </w:rPr>
            </w:pPr>
            <w:r>
              <w:rPr>
                <w:rFonts w:hint="eastAsia" w:ascii="宋体" w:hAnsi="宋体"/>
                <w:color w:val="000000"/>
                <w:sz w:val="18"/>
                <w:szCs w:val="18"/>
              </w:rPr>
              <w:t>5.电容触控方案，全通道≥55点触控；书写定位精度±1mm。</w:t>
            </w:r>
          </w:p>
          <w:p w14:paraId="24287804">
            <w:pPr>
              <w:widowControl/>
              <w:spacing w:line="240" w:lineRule="exact"/>
              <w:jc w:val="left"/>
              <w:rPr>
                <w:rFonts w:hint="eastAsia" w:ascii="宋体" w:hAnsi="宋体"/>
                <w:color w:val="000000"/>
                <w:sz w:val="18"/>
                <w:szCs w:val="18"/>
              </w:rPr>
            </w:pPr>
            <w:r>
              <w:rPr>
                <w:rFonts w:hint="eastAsia" w:ascii="宋体" w:hAnsi="宋体"/>
                <w:color w:val="000000"/>
                <w:sz w:val="18"/>
                <w:szCs w:val="18"/>
              </w:rPr>
              <w:t>6.高清显示： 4K显示分辨率≥1800线。</w:t>
            </w:r>
          </w:p>
          <w:p w14:paraId="3F90F916">
            <w:pPr>
              <w:widowControl/>
              <w:spacing w:line="240" w:lineRule="exact"/>
              <w:jc w:val="left"/>
              <w:rPr>
                <w:rFonts w:hint="eastAsia" w:ascii="宋体" w:hAnsi="宋体"/>
                <w:color w:val="000000"/>
                <w:sz w:val="18"/>
                <w:szCs w:val="18"/>
              </w:rPr>
            </w:pPr>
            <w:r>
              <w:rPr>
                <w:rFonts w:hint="eastAsia" w:ascii="宋体" w:hAnsi="宋体"/>
                <w:color w:val="000000"/>
                <w:sz w:val="18"/>
                <w:szCs w:val="18"/>
              </w:rPr>
              <w:t>二、双屏系统：2台</w:t>
            </w:r>
          </w:p>
          <w:p w14:paraId="37B08D58">
            <w:pPr>
              <w:widowControl/>
              <w:spacing w:line="240" w:lineRule="exact"/>
              <w:jc w:val="left"/>
              <w:rPr>
                <w:rFonts w:hint="eastAsia" w:ascii="宋体" w:hAnsi="宋体"/>
                <w:color w:val="000000"/>
                <w:sz w:val="18"/>
                <w:szCs w:val="18"/>
              </w:rPr>
            </w:pPr>
            <w:r>
              <w:rPr>
                <w:rFonts w:hint="eastAsia" w:ascii="宋体" w:hAnsi="宋体"/>
                <w:color w:val="000000"/>
                <w:sz w:val="18"/>
                <w:szCs w:val="18"/>
              </w:rPr>
              <w:t>1.单屏尺寸≥86英寸，4K超高清（3840×2160），采用全贴合工艺。</w:t>
            </w:r>
          </w:p>
          <w:p w14:paraId="0B2B4655">
            <w:pPr>
              <w:widowControl/>
              <w:spacing w:line="240" w:lineRule="exact"/>
              <w:jc w:val="left"/>
              <w:rPr>
                <w:rFonts w:hint="eastAsia" w:ascii="宋体" w:hAnsi="宋体"/>
                <w:color w:val="000000"/>
                <w:sz w:val="18"/>
                <w:szCs w:val="18"/>
              </w:rPr>
            </w:pPr>
            <w:r>
              <w:rPr>
                <w:rFonts w:hint="eastAsia" w:ascii="宋体" w:hAnsi="宋体"/>
                <w:color w:val="000000"/>
                <w:sz w:val="18"/>
                <w:szCs w:val="18"/>
              </w:rPr>
              <w:t>2.防眩光钢化玻璃，透光率≥95%。</w:t>
            </w:r>
          </w:p>
          <w:p w14:paraId="1635EACC">
            <w:pPr>
              <w:widowControl/>
              <w:spacing w:line="240" w:lineRule="exact"/>
              <w:jc w:val="left"/>
              <w:rPr>
                <w:rFonts w:hint="eastAsia" w:ascii="宋体" w:hAnsi="宋体"/>
                <w:color w:val="000000"/>
                <w:sz w:val="18"/>
                <w:szCs w:val="18"/>
              </w:rPr>
            </w:pPr>
            <w:r>
              <w:rPr>
                <w:rFonts w:hint="eastAsia" w:ascii="宋体" w:hAnsi="宋体"/>
                <w:color w:val="000000"/>
                <w:sz w:val="18"/>
                <w:szCs w:val="18"/>
              </w:rPr>
              <w:t>3.操作系统：安卓≥Android14，与可插拔OPS电脑构成双系统；RAM≥4G，ROM≥32G； 适配国产化芯片（4核CPU+2核GPU）。</w:t>
            </w:r>
          </w:p>
          <w:p w14:paraId="2D7D4544">
            <w:pPr>
              <w:widowControl/>
              <w:spacing w:line="240" w:lineRule="exact"/>
              <w:jc w:val="left"/>
              <w:rPr>
                <w:rFonts w:hint="eastAsia" w:ascii="宋体" w:hAnsi="宋体"/>
                <w:color w:val="000000"/>
                <w:sz w:val="18"/>
                <w:szCs w:val="18"/>
              </w:rPr>
            </w:pPr>
            <w:r>
              <w:rPr>
                <w:rFonts w:hint="eastAsia" w:ascii="宋体" w:hAnsi="宋体"/>
                <w:color w:val="000000"/>
                <w:sz w:val="18"/>
                <w:szCs w:val="18"/>
              </w:rPr>
              <w:t>4.★ 红外触控方案，全通道≥55点触控；书写定位精度±0.1mm。</w:t>
            </w:r>
          </w:p>
          <w:p w14:paraId="39D6FB2D">
            <w:pPr>
              <w:widowControl/>
              <w:spacing w:line="240" w:lineRule="exact"/>
              <w:jc w:val="left"/>
              <w:rPr>
                <w:rFonts w:hint="eastAsia" w:ascii="宋体" w:hAnsi="宋体"/>
                <w:color w:val="000000"/>
                <w:sz w:val="18"/>
                <w:szCs w:val="18"/>
              </w:rPr>
            </w:pPr>
            <w:r>
              <w:rPr>
                <w:rFonts w:hint="eastAsia" w:ascii="宋体" w:hAnsi="宋体"/>
                <w:color w:val="000000"/>
                <w:sz w:val="18"/>
                <w:szCs w:val="18"/>
              </w:rPr>
              <w:t>5.△ 内置摄像头≥3200万像素；内置≥8路麦克风阵列，拾音距离≥14m。</w:t>
            </w:r>
          </w:p>
          <w:p w14:paraId="076EAD0A">
            <w:pPr>
              <w:widowControl/>
              <w:spacing w:line="240" w:lineRule="exact"/>
              <w:jc w:val="left"/>
              <w:rPr>
                <w:rFonts w:hint="eastAsia" w:ascii="宋体" w:hAnsi="宋体"/>
                <w:color w:val="000000"/>
                <w:sz w:val="18"/>
                <w:szCs w:val="18"/>
              </w:rPr>
            </w:pPr>
            <w:r>
              <w:rPr>
                <w:rFonts w:hint="eastAsia" w:ascii="宋体" w:hAnsi="宋体"/>
                <w:color w:val="000000"/>
                <w:sz w:val="18"/>
                <w:szCs w:val="18"/>
              </w:rPr>
              <w:t>6.内置2.2声道音响，总额定功率≥72W。</w:t>
            </w:r>
          </w:p>
          <w:p w14:paraId="3BF11B3F">
            <w:pPr>
              <w:widowControl/>
              <w:spacing w:line="240" w:lineRule="exact"/>
              <w:jc w:val="left"/>
              <w:rPr>
                <w:rFonts w:hint="eastAsia" w:ascii="宋体" w:hAnsi="宋体"/>
                <w:color w:val="000000"/>
                <w:sz w:val="18"/>
                <w:szCs w:val="18"/>
              </w:rPr>
            </w:pPr>
            <w:r>
              <w:rPr>
                <w:rFonts w:hint="eastAsia" w:ascii="宋体" w:hAnsi="宋体"/>
                <w:color w:val="000000"/>
                <w:sz w:val="18"/>
                <w:szCs w:val="18"/>
              </w:rPr>
              <w:t>7.前置接口：至少3路USB3.0、1路Type-C、1路HDMI。</w:t>
            </w:r>
          </w:p>
          <w:p w14:paraId="2BAF05B9">
            <w:pPr>
              <w:widowControl/>
              <w:spacing w:line="240" w:lineRule="exact"/>
              <w:jc w:val="left"/>
              <w:rPr>
                <w:rFonts w:hint="eastAsia" w:ascii="宋体" w:hAnsi="宋体"/>
                <w:color w:val="000000"/>
                <w:sz w:val="18"/>
                <w:szCs w:val="18"/>
              </w:rPr>
            </w:pPr>
            <w:r>
              <w:rPr>
                <w:rFonts w:hint="eastAsia" w:ascii="宋体" w:hAnsi="宋体"/>
                <w:color w:val="000000"/>
                <w:sz w:val="18"/>
                <w:szCs w:val="18"/>
              </w:rPr>
              <w:t>8.★ 支持NFC、人脸、密码权限管理方式；NFC模块可记录≥200个卡信息。</w:t>
            </w:r>
          </w:p>
          <w:p w14:paraId="747B48C5">
            <w:pPr>
              <w:widowControl/>
              <w:spacing w:line="240" w:lineRule="exact"/>
              <w:jc w:val="left"/>
              <w:rPr>
                <w:rFonts w:hint="eastAsia" w:ascii="宋体" w:hAnsi="宋体"/>
                <w:color w:val="000000"/>
                <w:sz w:val="18"/>
                <w:szCs w:val="18"/>
              </w:rPr>
            </w:pPr>
            <w:r>
              <w:rPr>
                <w:rFonts w:hint="eastAsia" w:ascii="宋体" w:hAnsi="宋体"/>
                <w:color w:val="000000"/>
                <w:sz w:val="18"/>
                <w:szCs w:val="18"/>
              </w:rPr>
              <w:t>9.支持移动设备无线传屏（Android/iOS），支持反向控制。</w:t>
            </w:r>
          </w:p>
          <w:p w14:paraId="38A3A11B">
            <w:pPr>
              <w:widowControl/>
              <w:spacing w:line="240" w:lineRule="exact"/>
              <w:jc w:val="left"/>
              <w:rPr>
                <w:rFonts w:hint="eastAsia" w:ascii="宋体" w:hAnsi="宋体"/>
                <w:color w:val="000000"/>
                <w:sz w:val="18"/>
                <w:szCs w:val="18"/>
              </w:rPr>
            </w:pPr>
            <w:r>
              <w:rPr>
                <w:rFonts w:hint="eastAsia" w:ascii="宋体" w:hAnsi="宋体"/>
                <w:color w:val="000000"/>
                <w:sz w:val="18"/>
                <w:szCs w:val="18"/>
              </w:rPr>
              <w:t>10.支持五指、二指手势调出快捷菜单；支持色觉优化、多种护眼模式。</w:t>
            </w:r>
          </w:p>
          <w:p w14:paraId="7868663E">
            <w:pPr>
              <w:widowControl/>
              <w:spacing w:line="240" w:lineRule="exact"/>
              <w:jc w:val="left"/>
              <w:rPr>
                <w:rFonts w:hint="eastAsia" w:ascii="宋体" w:hAnsi="宋体"/>
                <w:color w:val="000000"/>
                <w:sz w:val="18"/>
                <w:szCs w:val="18"/>
              </w:rPr>
            </w:pPr>
            <w:r>
              <w:rPr>
                <w:rFonts w:hint="eastAsia" w:ascii="宋体" w:hAnsi="宋体"/>
                <w:color w:val="000000"/>
                <w:sz w:val="18"/>
                <w:szCs w:val="18"/>
              </w:rPr>
              <w:t>11.支持静默巡课、人脸识别挑人、地震预警、文件快传等</w:t>
            </w:r>
          </w:p>
          <w:p w14:paraId="582745C5">
            <w:pPr>
              <w:widowControl/>
              <w:spacing w:line="240" w:lineRule="exact"/>
              <w:jc w:val="left"/>
              <w:rPr>
                <w:rFonts w:hint="eastAsia" w:ascii="宋体" w:hAnsi="宋体"/>
                <w:color w:val="000000"/>
                <w:sz w:val="18"/>
                <w:szCs w:val="18"/>
              </w:rPr>
            </w:pPr>
            <w:r>
              <w:rPr>
                <w:rFonts w:hint="eastAsia" w:ascii="宋体" w:hAnsi="宋体"/>
                <w:color w:val="000000"/>
                <w:sz w:val="18"/>
                <w:szCs w:val="18"/>
              </w:rPr>
              <w:t>12.CPU≥i5-12代，RAM≥8G DDR4，ROM≥256G SSD。</w:t>
            </w:r>
          </w:p>
          <w:p w14:paraId="75AC6A1C">
            <w:pPr>
              <w:widowControl/>
              <w:spacing w:line="240" w:lineRule="exact"/>
              <w:jc w:val="left"/>
              <w:rPr>
                <w:rFonts w:hint="eastAsia" w:ascii="宋体" w:hAnsi="宋体"/>
                <w:color w:val="000000"/>
                <w:sz w:val="18"/>
                <w:szCs w:val="18"/>
              </w:rPr>
            </w:pPr>
            <w:r>
              <w:rPr>
                <w:rFonts w:hint="eastAsia" w:ascii="宋体" w:hAnsi="宋体"/>
                <w:color w:val="000000"/>
                <w:sz w:val="18"/>
                <w:szCs w:val="18"/>
              </w:rPr>
              <w:t>13.预装正版Windows专业版及Office 2019。</w:t>
            </w:r>
          </w:p>
          <w:p w14:paraId="726FA250">
            <w:pPr>
              <w:widowControl/>
              <w:spacing w:line="240" w:lineRule="exact"/>
              <w:jc w:val="left"/>
              <w:rPr>
                <w:rFonts w:hint="eastAsia" w:ascii="宋体" w:hAnsi="宋体"/>
                <w:color w:val="000000"/>
                <w:sz w:val="18"/>
                <w:szCs w:val="18"/>
              </w:rPr>
            </w:pPr>
            <w:r>
              <w:rPr>
                <w:rFonts w:hint="eastAsia" w:ascii="宋体" w:hAnsi="宋体"/>
                <w:color w:val="000000"/>
                <w:sz w:val="18"/>
                <w:szCs w:val="18"/>
              </w:rPr>
              <w:t>14.接口：USB≥6，Type-C≥1，HDMI OUT≥1，RJ45≥1。</w:t>
            </w:r>
          </w:p>
          <w:p w14:paraId="3FB2D7DD">
            <w:pPr>
              <w:widowControl/>
              <w:spacing w:line="240" w:lineRule="exact"/>
              <w:jc w:val="left"/>
              <w:rPr>
                <w:rFonts w:hint="eastAsia" w:ascii="宋体" w:hAnsi="宋体"/>
                <w:color w:val="000000"/>
                <w:sz w:val="18"/>
                <w:szCs w:val="18"/>
              </w:rPr>
            </w:pPr>
            <w:r>
              <w:rPr>
                <w:rFonts w:hint="eastAsia" w:ascii="宋体" w:hAnsi="宋体"/>
                <w:color w:val="000000"/>
                <w:sz w:val="18"/>
                <w:szCs w:val="18"/>
              </w:rPr>
              <w:t>三、小组显示屏：2台</w:t>
            </w:r>
          </w:p>
          <w:p w14:paraId="4B101C6A">
            <w:pPr>
              <w:widowControl/>
              <w:spacing w:line="240" w:lineRule="exact"/>
              <w:jc w:val="left"/>
              <w:rPr>
                <w:rFonts w:hint="eastAsia" w:ascii="宋体" w:hAnsi="宋体"/>
                <w:color w:val="000000"/>
                <w:sz w:val="18"/>
                <w:szCs w:val="18"/>
              </w:rPr>
            </w:pPr>
            <w:r>
              <w:rPr>
                <w:rFonts w:hint="eastAsia" w:ascii="宋体" w:hAnsi="宋体"/>
                <w:color w:val="000000"/>
                <w:sz w:val="18"/>
                <w:szCs w:val="18"/>
              </w:rPr>
              <w:t>1.屏幕尺寸≥65英寸，4K超高清分辨率。</w:t>
            </w:r>
          </w:p>
          <w:p w14:paraId="441EF443">
            <w:pPr>
              <w:widowControl/>
              <w:spacing w:line="240" w:lineRule="exact"/>
              <w:jc w:val="left"/>
              <w:rPr>
                <w:rFonts w:hint="eastAsia" w:ascii="宋体" w:hAnsi="宋体"/>
                <w:color w:val="000000"/>
                <w:sz w:val="18"/>
                <w:szCs w:val="18"/>
              </w:rPr>
            </w:pPr>
            <w:r>
              <w:rPr>
                <w:rFonts w:hint="eastAsia" w:ascii="宋体" w:hAnsi="宋体"/>
                <w:color w:val="000000"/>
                <w:sz w:val="18"/>
                <w:szCs w:val="18"/>
              </w:rPr>
              <w:t>2.四核处理器，RAM≥2GB，存储≥16GB。</w:t>
            </w:r>
          </w:p>
          <w:p w14:paraId="728D7B70">
            <w:pPr>
              <w:widowControl/>
              <w:spacing w:line="240" w:lineRule="exact"/>
              <w:jc w:val="left"/>
              <w:rPr>
                <w:rFonts w:hint="eastAsia" w:ascii="宋体" w:hAnsi="宋体"/>
                <w:color w:val="000000"/>
                <w:sz w:val="18"/>
                <w:szCs w:val="18"/>
              </w:rPr>
            </w:pPr>
            <w:r>
              <w:rPr>
                <w:rFonts w:hint="eastAsia" w:ascii="宋体" w:hAnsi="宋体"/>
                <w:color w:val="000000"/>
                <w:sz w:val="18"/>
                <w:szCs w:val="18"/>
              </w:rPr>
              <w:t>3.接口：HDMI 2.0≥2，USB 2.0≥2。</w:t>
            </w:r>
          </w:p>
          <w:p w14:paraId="38C5745E">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4.支持双频Wi-Fi，音响功率≥5W。</w:t>
            </w:r>
          </w:p>
        </w:tc>
      </w:tr>
      <w:tr w14:paraId="09F4E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5" w:type="dxa"/>
            <w:vAlign w:val="center"/>
          </w:tcPr>
          <w:p w14:paraId="5A919207">
            <w:pPr>
              <w:widowControl/>
              <w:spacing w:line="240" w:lineRule="exact"/>
              <w:jc w:val="center"/>
              <w:rPr>
                <w:rFonts w:hint="eastAsia" w:ascii="宋体" w:hAnsi="宋体"/>
                <w:color w:val="000000"/>
                <w:sz w:val="18"/>
                <w:szCs w:val="18"/>
              </w:rPr>
            </w:pPr>
            <w:r>
              <w:rPr>
                <w:rFonts w:hint="eastAsia" w:ascii="宋体" w:hAnsi="宋体"/>
                <w:color w:val="000000"/>
                <w:sz w:val="18"/>
                <w:szCs w:val="18"/>
              </w:rPr>
              <w:t>2</w:t>
            </w:r>
          </w:p>
        </w:tc>
        <w:tc>
          <w:tcPr>
            <w:tcW w:w="767" w:type="dxa"/>
            <w:vAlign w:val="center"/>
          </w:tcPr>
          <w:p w14:paraId="1D9BF987">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AIGC新媒体内容创作系统</w:t>
            </w:r>
          </w:p>
        </w:tc>
        <w:tc>
          <w:tcPr>
            <w:tcW w:w="3747" w:type="dxa"/>
            <w:vAlign w:val="center"/>
          </w:tcPr>
          <w:p w14:paraId="03C06180">
            <w:pPr>
              <w:widowControl/>
              <w:spacing w:line="240" w:lineRule="exact"/>
              <w:jc w:val="left"/>
              <w:rPr>
                <w:rFonts w:hint="eastAsia" w:ascii="宋体" w:hAnsi="宋体"/>
                <w:color w:val="000000"/>
                <w:sz w:val="18"/>
                <w:szCs w:val="18"/>
              </w:rPr>
            </w:pPr>
            <w:r>
              <w:rPr>
                <w:rFonts w:hint="eastAsia" w:ascii="宋体" w:hAnsi="宋体"/>
                <w:color w:val="000000"/>
                <w:sz w:val="18"/>
                <w:szCs w:val="18"/>
              </w:rPr>
              <w:t>一、版权素材库</w:t>
            </w:r>
          </w:p>
          <w:p w14:paraId="06691A7C">
            <w:pPr>
              <w:widowControl/>
              <w:spacing w:line="240" w:lineRule="exact"/>
              <w:jc w:val="left"/>
              <w:rPr>
                <w:rFonts w:hint="eastAsia" w:ascii="宋体" w:hAnsi="宋体"/>
                <w:color w:val="000000"/>
                <w:sz w:val="18"/>
                <w:szCs w:val="18"/>
              </w:rPr>
            </w:pPr>
            <w:r>
              <w:rPr>
                <w:rFonts w:hint="eastAsia" w:ascii="宋体" w:hAnsi="宋体"/>
                <w:color w:val="000000"/>
                <w:sz w:val="18"/>
                <w:szCs w:val="18"/>
              </w:rPr>
              <w:t>★1.平台拥有丰富的版权图片素材库，对接的图库素材数量≥3亿</w:t>
            </w:r>
            <w:r>
              <w:br w:type="textWrapping"/>
            </w:r>
            <w:r>
              <w:rPr>
                <w:rFonts w:hint="eastAsia" w:ascii="宋体" w:hAnsi="宋体"/>
                <w:color w:val="000000"/>
                <w:sz w:val="18"/>
                <w:szCs w:val="18"/>
              </w:rPr>
              <w:t>2.图片版权素材需支持版权证书下载</w:t>
            </w:r>
          </w:p>
          <w:p w14:paraId="0929B641">
            <w:pPr>
              <w:widowControl/>
              <w:spacing w:line="240" w:lineRule="exact"/>
              <w:jc w:val="left"/>
              <w:rPr>
                <w:rFonts w:hint="eastAsia" w:ascii="宋体" w:hAnsi="宋体"/>
                <w:color w:val="000000"/>
                <w:sz w:val="18"/>
                <w:szCs w:val="18"/>
              </w:rPr>
            </w:pPr>
            <w:r>
              <w:rPr>
                <w:rFonts w:hint="eastAsia" w:ascii="宋体" w:hAnsi="宋体"/>
                <w:color w:val="000000"/>
                <w:sz w:val="18"/>
                <w:szCs w:val="18"/>
              </w:rPr>
              <w:t>二、视频创作模块</w:t>
            </w:r>
          </w:p>
          <w:p w14:paraId="20419FBA">
            <w:pPr>
              <w:widowControl/>
              <w:spacing w:line="240" w:lineRule="exact"/>
              <w:jc w:val="left"/>
              <w:rPr>
                <w:rFonts w:hint="eastAsia" w:ascii="宋体" w:hAnsi="宋体"/>
                <w:color w:val="000000"/>
                <w:sz w:val="18"/>
                <w:szCs w:val="18"/>
              </w:rPr>
            </w:pPr>
            <w:r>
              <w:rPr>
                <w:rFonts w:hint="eastAsia" w:ascii="宋体" w:hAnsi="宋体"/>
                <w:color w:val="000000"/>
                <w:sz w:val="18"/>
                <w:szCs w:val="18"/>
              </w:rPr>
              <w:t>1.支持图文转视频功能，拥有丰富的版权图片和模板供使用中匹配，匹配图片可选择商用版权图片</w:t>
            </w:r>
            <w:r>
              <w:br w:type="textWrapping"/>
            </w:r>
            <w:r>
              <w:rPr>
                <w:rFonts w:hint="eastAsia" w:ascii="宋体" w:hAnsi="宋体"/>
                <w:color w:val="000000"/>
                <w:sz w:val="18"/>
                <w:szCs w:val="18"/>
              </w:rPr>
              <w:t>2.内置20款以上图文转视频模板</w:t>
            </w:r>
            <w:r>
              <w:br w:type="textWrapping"/>
            </w:r>
            <w:r>
              <w:rPr>
                <w:rFonts w:hint="eastAsia" w:ascii="宋体" w:hAnsi="宋体"/>
                <w:color w:val="000000"/>
                <w:sz w:val="18"/>
                <w:szCs w:val="18"/>
              </w:rPr>
              <w:t>3.内置2个及2个以上含数字人的图文转视频模板</w:t>
            </w:r>
          </w:p>
          <w:p w14:paraId="10995A52">
            <w:pPr>
              <w:widowControl/>
              <w:spacing w:line="240" w:lineRule="exact"/>
              <w:jc w:val="left"/>
              <w:rPr>
                <w:rFonts w:hint="eastAsia" w:ascii="宋体" w:hAnsi="宋体"/>
                <w:color w:val="000000"/>
                <w:sz w:val="18"/>
                <w:szCs w:val="18"/>
              </w:rPr>
            </w:pPr>
            <w:r>
              <w:rPr>
                <w:rFonts w:hint="eastAsia" w:ascii="宋体" w:hAnsi="宋体"/>
                <w:color w:val="000000"/>
                <w:sz w:val="18"/>
                <w:szCs w:val="18"/>
              </w:rPr>
              <w:t>△4.平台拥有视频模板功能，拥有丰富视频模板供制作视频中使用内置500款以上剪同款视频模板</w:t>
            </w:r>
            <w:r>
              <w:br w:type="textWrapping"/>
            </w:r>
            <w:r>
              <w:rPr>
                <w:rFonts w:hint="eastAsia" w:ascii="宋体" w:hAnsi="宋体"/>
                <w:color w:val="000000"/>
                <w:sz w:val="18"/>
                <w:szCs w:val="18"/>
              </w:rPr>
              <w:t>5.支持卡片式视频模板编辑功能，具有单个卡片进行编辑文字、图片视频素材插入、选择音乐、动态数据图表插入等视频创作能力，数据图表20款及以上</w:t>
            </w:r>
            <w:r>
              <w:br w:type="textWrapping"/>
            </w:r>
            <w:r>
              <w:rPr>
                <w:rFonts w:hint="eastAsia" w:ascii="宋体" w:hAnsi="宋体"/>
                <w:color w:val="000000"/>
                <w:sz w:val="18"/>
                <w:szCs w:val="18"/>
              </w:rPr>
              <w:t>6.支持PC网页端内置模板制作工具和AE制作模版插件</w:t>
            </w:r>
          </w:p>
          <w:p w14:paraId="662AB4A8">
            <w:pPr>
              <w:widowControl/>
              <w:spacing w:line="240" w:lineRule="exact"/>
              <w:jc w:val="left"/>
              <w:rPr>
                <w:rFonts w:hint="eastAsia" w:ascii="宋体" w:hAnsi="宋体"/>
                <w:color w:val="000000"/>
                <w:sz w:val="18"/>
                <w:szCs w:val="18"/>
              </w:rPr>
            </w:pPr>
            <w:r>
              <w:rPr>
                <w:rFonts w:hint="eastAsia" w:ascii="宋体" w:hAnsi="宋体"/>
                <w:color w:val="000000"/>
                <w:sz w:val="18"/>
                <w:szCs w:val="18"/>
              </w:rPr>
              <w:t>7.平台拥有视频混剪功能，支持对多组素材进行排列组合和内容算法的混剪处理：</w:t>
            </w:r>
            <w:r>
              <w:br w:type="textWrapping"/>
            </w:r>
            <w:r>
              <w:rPr>
                <w:rFonts w:hint="eastAsia" w:ascii="宋体" w:hAnsi="宋体"/>
                <w:color w:val="000000"/>
                <w:sz w:val="18"/>
                <w:szCs w:val="18"/>
              </w:rPr>
              <w:t>8.混剪出的视频成片支持筛选极低重复率的视频</w:t>
            </w:r>
            <w:r>
              <w:br w:type="textWrapping"/>
            </w:r>
            <w:r>
              <w:rPr>
                <w:rFonts w:hint="eastAsia" w:ascii="宋体" w:hAnsi="宋体"/>
                <w:color w:val="000000"/>
                <w:sz w:val="18"/>
                <w:szCs w:val="18"/>
              </w:rPr>
              <w:t>9.生成视频时支持去重功能</w:t>
            </w:r>
          </w:p>
          <w:p w14:paraId="0F618C11">
            <w:pPr>
              <w:widowControl/>
              <w:spacing w:line="240" w:lineRule="exact"/>
              <w:jc w:val="left"/>
              <w:rPr>
                <w:rFonts w:hint="eastAsia" w:ascii="宋体" w:hAnsi="宋体"/>
                <w:color w:val="000000"/>
                <w:sz w:val="18"/>
                <w:szCs w:val="18"/>
              </w:rPr>
            </w:pPr>
            <w:r>
              <w:rPr>
                <w:rFonts w:hint="eastAsia" w:ascii="宋体" w:hAnsi="宋体"/>
                <w:color w:val="000000"/>
                <w:sz w:val="18"/>
                <w:szCs w:val="18"/>
              </w:rPr>
              <w:t>三、图片创作模块</w:t>
            </w:r>
          </w:p>
          <w:p w14:paraId="2C472565">
            <w:pPr>
              <w:widowControl/>
              <w:spacing w:line="240" w:lineRule="exact"/>
              <w:jc w:val="left"/>
              <w:rPr>
                <w:rFonts w:hint="eastAsia" w:ascii="宋体" w:hAnsi="宋体"/>
                <w:color w:val="000000"/>
                <w:sz w:val="18"/>
                <w:szCs w:val="18"/>
              </w:rPr>
            </w:pPr>
            <w:r>
              <w:rPr>
                <w:rFonts w:hint="eastAsia" w:ascii="宋体" w:hAnsi="宋体"/>
                <w:color w:val="000000"/>
                <w:sz w:val="18"/>
                <w:szCs w:val="18"/>
              </w:rPr>
              <w:t>1.平台提供图片创作能力，提供AI生图，支持带中英文字的营销海报生成；支持两个及以上文生图模型切换</w:t>
            </w:r>
          </w:p>
          <w:p w14:paraId="40725687">
            <w:pPr>
              <w:widowControl/>
              <w:spacing w:line="240" w:lineRule="exact"/>
              <w:jc w:val="left"/>
              <w:rPr>
                <w:rFonts w:hint="eastAsia" w:ascii="宋体" w:hAnsi="宋体"/>
                <w:color w:val="000000"/>
                <w:sz w:val="18"/>
                <w:szCs w:val="18"/>
              </w:rPr>
            </w:pPr>
            <w:r>
              <w:br w:type="textWrapping"/>
            </w:r>
            <w:r>
              <w:rPr>
                <w:rFonts w:hint="eastAsia" w:ascii="宋体" w:hAnsi="宋体"/>
                <w:color w:val="000000"/>
                <w:sz w:val="18"/>
                <w:szCs w:val="18"/>
              </w:rPr>
              <w:t>2.提供商品主体生成，支持上传任意商品和电商商品，支持上传商品URL或商品ID生成商品图片</w:t>
            </w:r>
            <w:r>
              <w:br w:type="textWrapping"/>
            </w:r>
            <w:r>
              <w:rPr>
                <w:rFonts w:hint="eastAsia" w:ascii="宋体" w:hAnsi="宋体"/>
                <w:color w:val="000000"/>
                <w:sz w:val="18"/>
                <w:szCs w:val="18"/>
              </w:rPr>
              <w:t>△3.提供AI模特换装，支持批量换装</w:t>
            </w:r>
          </w:p>
          <w:p w14:paraId="7D6E53C7">
            <w:pPr>
              <w:widowControl/>
              <w:spacing w:line="240" w:lineRule="exact"/>
              <w:jc w:val="left"/>
              <w:rPr>
                <w:rFonts w:hint="eastAsia" w:ascii="宋体" w:hAnsi="宋体"/>
                <w:color w:val="000000"/>
                <w:sz w:val="18"/>
                <w:szCs w:val="18"/>
              </w:rPr>
            </w:pPr>
            <w:r>
              <w:rPr>
                <w:rFonts w:hint="eastAsia" w:ascii="宋体" w:hAnsi="宋体"/>
                <w:color w:val="000000"/>
                <w:sz w:val="18"/>
                <w:szCs w:val="18"/>
              </w:rPr>
              <w:t>四、图片编辑模块</w:t>
            </w:r>
            <w:r>
              <w:br w:type="textWrapping"/>
            </w:r>
            <w:r>
              <w:rPr>
                <w:rFonts w:hint="eastAsia" w:ascii="宋体" w:hAnsi="宋体"/>
                <w:color w:val="000000"/>
                <w:sz w:val="18"/>
                <w:szCs w:val="18"/>
              </w:rPr>
              <w:t>1.平台提供图片编辑能力提供智能抠图，一键抠图、快速去背景</w:t>
            </w:r>
            <w:r>
              <w:br w:type="textWrapping"/>
            </w:r>
            <w:r>
              <w:rPr>
                <w:rFonts w:hint="eastAsia" w:ascii="宋体" w:hAnsi="宋体"/>
                <w:color w:val="000000"/>
                <w:sz w:val="18"/>
                <w:szCs w:val="18"/>
              </w:rPr>
              <w:t>2.提供AI消除能力，对图像中的需要消除的区域进行消除和重绘</w:t>
            </w:r>
            <w:r>
              <w:br w:type="textWrapping"/>
            </w:r>
            <w:r>
              <w:rPr>
                <w:rFonts w:hint="eastAsia" w:ascii="宋体" w:hAnsi="宋体"/>
                <w:color w:val="000000"/>
                <w:sz w:val="18"/>
                <w:szCs w:val="18"/>
              </w:rPr>
              <w:t>3.提供AI扩图能力，上传图片，自定义更改图片尺寸</w:t>
            </w:r>
            <w:r>
              <w:br w:type="textWrapping"/>
            </w:r>
            <w:r>
              <w:rPr>
                <w:rFonts w:hint="eastAsia" w:ascii="宋体" w:hAnsi="宋体"/>
                <w:color w:val="000000"/>
                <w:sz w:val="18"/>
                <w:szCs w:val="18"/>
              </w:rPr>
              <w:t>4.提供局部重绘能力，重新绘制画面中不满意的区域</w:t>
            </w:r>
          </w:p>
          <w:p w14:paraId="0C90F83A">
            <w:pPr>
              <w:widowControl/>
              <w:spacing w:line="240" w:lineRule="exact"/>
              <w:jc w:val="left"/>
              <w:rPr>
                <w:rFonts w:hint="eastAsia" w:ascii="宋体" w:hAnsi="宋体"/>
                <w:color w:val="000000"/>
                <w:sz w:val="18"/>
                <w:szCs w:val="18"/>
              </w:rPr>
            </w:pPr>
            <w:r>
              <w:rPr>
                <w:rFonts w:hint="eastAsia" w:ascii="宋体" w:hAnsi="宋体"/>
                <w:color w:val="000000"/>
                <w:sz w:val="18"/>
                <w:szCs w:val="18"/>
              </w:rPr>
              <w:t>五、整体要求</w:t>
            </w:r>
          </w:p>
          <w:p w14:paraId="308F7129">
            <w:pPr>
              <w:widowControl/>
              <w:spacing w:line="240" w:lineRule="exact"/>
              <w:jc w:val="left"/>
              <w:rPr>
                <w:rFonts w:hint="eastAsia" w:ascii="宋体" w:hAnsi="宋体"/>
                <w:color w:val="000000"/>
                <w:sz w:val="18"/>
                <w:szCs w:val="18"/>
              </w:rPr>
            </w:pPr>
            <w:r>
              <w:rPr>
                <w:rFonts w:hint="eastAsia" w:ascii="宋体" w:hAnsi="宋体"/>
                <w:color w:val="000000"/>
                <w:sz w:val="18"/>
                <w:szCs w:val="18"/>
              </w:rPr>
              <w:t>1.要求3年授权服务，不少于41个授权使用账号</w:t>
            </w:r>
          </w:p>
        </w:tc>
      </w:tr>
      <w:tr w14:paraId="34B8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5" w:type="dxa"/>
            <w:vAlign w:val="center"/>
          </w:tcPr>
          <w:p w14:paraId="1415D36B">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3</w:t>
            </w:r>
          </w:p>
        </w:tc>
        <w:tc>
          <w:tcPr>
            <w:tcW w:w="767" w:type="dxa"/>
            <w:vAlign w:val="center"/>
          </w:tcPr>
          <w:p w14:paraId="245C6B84">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短视频虚拟仿真实训系统</w:t>
            </w:r>
          </w:p>
        </w:tc>
        <w:tc>
          <w:tcPr>
            <w:tcW w:w="3747" w:type="dxa"/>
            <w:vAlign w:val="center"/>
          </w:tcPr>
          <w:p w14:paraId="089570E9">
            <w:pPr>
              <w:widowControl/>
              <w:spacing w:line="240" w:lineRule="exact"/>
              <w:jc w:val="left"/>
              <w:rPr>
                <w:rFonts w:hint="eastAsia" w:ascii="宋体" w:hAnsi="宋体"/>
                <w:color w:val="000000"/>
                <w:sz w:val="18"/>
                <w:szCs w:val="18"/>
              </w:rPr>
            </w:pPr>
            <w:r>
              <w:rPr>
                <w:rFonts w:hint="eastAsia" w:ascii="宋体" w:hAnsi="宋体"/>
                <w:color w:val="000000"/>
                <w:sz w:val="18"/>
                <w:szCs w:val="18"/>
              </w:rPr>
              <w:t>一、整体要求与管理端功能</w:t>
            </w:r>
          </w:p>
          <w:p w14:paraId="681958D5">
            <w:pPr>
              <w:widowControl/>
              <w:spacing w:line="240" w:lineRule="exact"/>
              <w:jc w:val="left"/>
              <w:rPr>
                <w:rFonts w:hint="eastAsia" w:ascii="宋体" w:hAnsi="宋体"/>
                <w:color w:val="000000"/>
                <w:sz w:val="18"/>
                <w:szCs w:val="18"/>
              </w:rPr>
            </w:pPr>
            <w:r>
              <w:rPr>
                <w:rFonts w:hint="eastAsia" w:ascii="宋体" w:hAnsi="宋体"/>
                <w:color w:val="000000"/>
                <w:sz w:val="18"/>
                <w:szCs w:val="18"/>
              </w:rPr>
              <w:t>1.软件支持PC端学习，提供不少于100个账号；</w:t>
            </w:r>
          </w:p>
          <w:p w14:paraId="2F71DA71">
            <w:pPr>
              <w:widowControl/>
              <w:spacing w:line="240" w:lineRule="exact"/>
              <w:jc w:val="left"/>
              <w:rPr>
                <w:rFonts w:hint="eastAsia" w:ascii="宋体" w:hAnsi="宋体"/>
                <w:color w:val="000000"/>
                <w:sz w:val="18"/>
                <w:szCs w:val="18"/>
              </w:rPr>
            </w:pPr>
            <w:r>
              <w:rPr>
                <w:rFonts w:hint="eastAsia" w:ascii="宋体" w:hAnsi="宋体"/>
                <w:color w:val="000000"/>
                <w:sz w:val="18"/>
                <w:szCs w:val="18"/>
              </w:rPr>
              <w:t>2.账号密码登录：可通过该账密登录管理系统；</w:t>
            </w:r>
          </w:p>
          <w:p w14:paraId="3DD5EC94">
            <w:pPr>
              <w:widowControl/>
              <w:spacing w:line="240" w:lineRule="exact"/>
              <w:jc w:val="left"/>
              <w:rPr>
                <w:rFonts w:hint="eastAsia" w:ascii="宋体" w:hAnsi="宋体"/>
                <w:color w:val="000000"/>
                <w:sz w:val="18"/>
                <w:szCs w:val="18"/>
              </w:rPr>
            </w:pPr>
            <w:r>
              <w:rPr>
                <w:rFonts w:hint="eastAsia" w:ascii="宋体" w:hAnsi="宋体"/>
                <w:color w:val="000000"/>
                <w:sz w:val="18"/>
                <w:szCs w:val="18"/>
              </w:rPr>
              <w:t>3.用户管理：对软件上的用户进行维护管理、进行新增、修改、删除等操作；</w:t>
            </w:r>
          </w:p>
          <w:p w14:paraId="52E1C733">
            <w:pPr>
              <w:widowControl/>
              <w:spacing w:line="240" w:lineRule="exact"/>
              <w:jc w:val="left"/>
              <w:rPr>
                <w:rFonts w:hint="eastAsia" w:ascii="宋体" w:hAnsi="宋体"/>
                <w:color w:val="000000"/>
                <w:sz w:val="18"/>
                <w:szCs w:val="18"/>
              </w:rPr>
            </w:pPr>
            <w:r>
              <w:rPr>
                <w:rFonts w:hint="eastAsia" w:ascii="宋体" w:hAnsi="宋体"/>
                <w:color w:val="000000"/>
                <w:sz w:val="18"/>
                <w:szCs w:val="18"/>
              </w:rPr>
              <w:t>4.学校管理：对软件上的学校进行维护管理、进行新增、修改、删除等操作。可对学校进行课程权限的设置，包括开放课程、关闭课程；</w:t>
            </w:r>
          </w:p>
          <w:p w14:paraId="3AA3DCC6">
            <w:pPr>
              <w:widowControl/>
              <w:spacing w:line="240" w:lineRule="exact"/>
              <w:jc w:val="left"/>
              <w:rPr>
                <w:rFonts w:hint="eastAsia" w:ascii="宋体" w:hAnsi="宋体"/>
                <w:color w:val="000000"/>
                <w:sz w:val="18"/>
                <w:szCs w:val="18"/>
              </w:rPr>
            </w:pPr>
            <w:r>
              <w:rPr>
                <w:rFonts w:hint="eastAsia" w:ascii="宋体" w:hAnsi="宋体"/>
                <w:color w:val="000000"/>
                <w:sz w:val="18"/>
                <w:szCs w:val="18"/>
              </w:rPr>
              <w:t>5.教师管理：对软件上的教师进行维护管理、进行新增、修改、删除等操作；</w:t>
            </w:r>
          </w:p>
          <w:p w14:paraId="3B596B53">
            <w:pPr>
              <w:widowControl/>
              <w:spacing w:line="240" w:lineRule="exact"/>
              <w:jc w:val="left"/>
              <w:rPr>
                <w:rFonts w:hint="eastAsia" w:ascii="宋体" w:hAnsi="宋体"/>
                <w:color w:val="000000"/>
                <w:sz w:val="18"/>
                <w:szCs w:val="18"/>
              </w:rPr>
            </w:pPr>
            <w:r>
              <w:rPr>
                <w:rFonts w:hint="eastAsia" w:ascii="宋体" w:hAnsi="宋体"/>
                <w:color w:val="000000"/>
                <w:sz w:val="18"/>
                <w:szCs w:val="18"/>
              </w:rPr>
              <w:t>6.学生管理：对软件上的学员进行维护管理、进行新增、修改、删除等操作；</w:t>
            </w:r>
          </w:p>
          <w:p w14:paraId="70772F5C">
            <w:pPr>
              <w:widowControl/>
              <w:spacing w:line="240" w:lineRule="exact"/>
              <w:jc w:val="left"/>
              <w:rPr>
                <w:rFonts w:hint="eastAsia" w:ascii="宋体" w:hAnsi="宋体"/>
                <w:color w:val="000000"/>
                <w:sz w:val="18"/>
                <w:szCs w:val="18"/>
              </w:rPr>
            </w:pPr>
            <w:r>
              <w:rPr>
                <w:rFonts w:hint="eastAsia" w:ascii="宋体" w:hAnsi="宋体"/>
                <w:color w:val="000000"/>
                <w:sz w:val="18"/>
                <w:szCs w:val="18"/>
              </w:rPr>
              <w:t>7.实训管理：对软件上的课程进行维护管理、进行课程创建、修改、删除等操作。课程下细分为：课程岗位、课程章节、章节资源、章节测试等。</w:t>
            </w:r>
          </w:p>
          <w:p w14:paraId="2760BEF4">
            <w:pPr>
              <w:widowControl/>
              <w:spacing w:line="240" w:lineRule="exact"/>
              <w:jc w:val="left"/>
              <w:rPr>
                <w:rFonts w:hint="eastAsia" w:ascii="宋体" w:hAnsi="宋体"/>
                <w:color w:val="000000"/>
                <w:sz w:val="18"/>
                <w:szCs w:val="18"/>
              </w:rPr>
            </w:pPr>
            <w:r>
              <w:rPr>
                <w:rFonts w:hint="eastAsia" w:ascii="宋体" w:hAnsi="宋体"/>
                <w:color w:val="000000"/>
                <w:sz w:val="18"/>
                <w:szCs w:val="18"/>
              </w:rPr>
              <w:t>二、教师端功能</w:t>
            </w:r>
          </w:p>
          <w:p w14:paraId="458A6B16">
            <w:pPr>
              <w:widowControl/>
              <w:spacing w:line="240" w:lineRule="exact"/>
              <w:jc w:val="left"/>
              <w:rPr>
                <w:rFonts w:hint="eastAsia" w:ascii="宋体" w:hAnsi="宋体"/>
                <w:color w:val="000000"/>
                <w:sz w:val="18"/>
                <w:szCs w:val="18"/>
              </w:rPr>
            </w:pPr>
            <w:r>
              <w:rPr>
                <w:rFonts w:hint="eastAsia" w:ascii="宋体" w:hAnsi="宋体"/>
                <w:color w:val="000000"/>
                <w:sz w:val="18"/>
                <w:szCs w:val="18"/>
              </w:rPr>
              <w:t>1.注册：填写信息包含：学校名称、专业名称、姓名、性别、联系电话、头像等，系统内置头像图库，学员注册可直接选用图库头像，也可自行上传本地头像。教师端注册并提交申请后，需由管理员进行审核；</w:t>
            </w:r>
          </w:p>
          <w:p w14:paraId="6A3AF9AA">
            <w:pPr>
              <w:widowControl/>
              <w:spacing w:line="240" w:lineRule="exact"/>
              <w:jc w:val="left"/>
              <w:rPr>
                <w:rFonts w:hint="eastAsia" w:ascii="宋体" w:hAnsi="宋体"/>
                <w:color w:val="000000"/>
                <w:sz w:val="18"/>
                <w:szCs w:val="18"/>
              </w:rPr>
            </w:pPr>
            <w:r>
              <w:rPr>
                <w:rFonts w:hint="eastAsia" w:ascii="宋体" w:hAnsi="宋体"/>
                <w:color w:val="000000"/>
                <w:sz w:val="18"/>
                <w:szCs w:val="18"/>
              </w:rPr>
              <w:t>2.登录：通过手机号、密码方式登录；</w:t>
            </w:r>
          </w:p>
          <w:p w14:paraId="7388E451">
            <w:pPr>
              <w:widowControl/>
              <w:spacing w:line="240" w:lineRule="exact"/>
              <w:jc w:val="left"/>
              <w:rPr>
                <w:rFonts w:hint="eastAsia" w:ascii="宋体" w:hAnsi="宋体"/>
                <w:color w:val="000000"/>
                <w:sz w:val="18"/>
                <w:szCs w:val="18"/>
              </w:rPr>
            </w:pPr>
            <w:r>
              <w:rPr>
                <w:rFonts w:hint="eastAsia" w:ascii="宋体" w:hAnsi="宋体"/>
                <w:color w:val="000000"/>
                <w:sz w:val="18"/>
                <w:szCs w:val="18"/>
              </w:rPr>
              <w:t>3.课程展示：登录前，页面展示所有课程资源封面，课程封面显示登录、课程名称、章节、班级、团队、学员数以及对应的数量；</w:t>
            </w:r>
          </w:p>
          <w:p w14:paraId="65ABF767">
            <w:pPr>
              <w:widowControl/>
              <w:spacing w:line="240" w:lineRule="exact"/>
              <w:jc w:val="left"/>
              <w:rPr>
                <w:rFonts w:hint="eastAsia" w:ascii="宋体" w:hAnsi="宋体"/>
                <w:color w:val="000000"/>
                <w:sz w:val="18"/>
                <w:szCs w:val="18"/>
              </w:rPr>
            </w:pPr>
            <w:r>
              <w:rPr>
                <w:rFonts w:hint="eastAsia" w:ascii="宋体" w:hAnsi="宋体"/>
                <w:color w:val="000000"/>
                <w:sz w:val="18"/>
                <w:szCs w:val="18"/>
              </w:rPr>
              <w:t>4.课程展示：登录后，展示软件上的所有授课课程封面，课程封面上体现：课程名称、班级名称、邀请码、章节、班级、团队、学员数、进度以及开始上课等信息；</w:t>
            </w:r>
          </w:p>
          <w:p w14:paraId="113F0D8D">
            <w:pPr>
              <w:widowControl/>
              <w:spacing w:line="240" w:lineRule="exact"/>
              <w:jc w:val="left"/>
              <w:rPr>
                <w:rFonts w:hint="eastAsia" w:ascii="宋体" w:hAnsi="宋体"/>
                <w:color w:val="000000"/>
                <w:sz w:val="18"/>
                <w:szCs w:val="18"/>
              </w:rPr>
            </w:pPr>
            <w:r>
              <w:rPr>
                <w:rFonts w:hint="eastAsia" w:ascii="宋体" w:hAnsi="宋体"/>
                <w:color w:val="000000"/>
                <w:sz w:val="18"/>
                <w:szCs w:val="18"/>
              </w:rPr>
              <w:t>5.个人中心：可对教师的个人信息进行修改、更新等；</w:t>
            </w:r>
          </w:p>
          <w:p w14:paraId="3AF7999D">
            <w:pPr>
              <w:widowControl/>
              <w:spacing w:line="240" w:lineRule="exact"/>
              <w:jc w:val="left"/>
              <w:rPr>
                <w:rFonts w:hint="eastAsia" w:ascii="宋体" w:hAnsi="宋体"/>
                <w:color w:val="000000"/>
                <w:sz w:val="18"/>
                <w:szCs w:val="18"/>
              </w:rPr>
            </w:pPr>
            <w:r>
              <w:rPr>
                <w:rFonts w:hint="eastAsia" w:ascii="宋体" w:hAnsi="宋体"/>
                <w:color w:val="000000"/>
                <w:sz w:val="18"/>
                <w:szCs w:val="18"/>
              </w:rPr>
              <w:t>6.创建班级：教师可在此进行班级的新增。班级的创建信息包含：学校名称（默认.、班级名称、班级封面、课程选择、考核权重设置等；其中班级封面可从软件内置的图片库中选取，也可自行从本地上传。班级创建完成后，系统生成班级的邀请码；</w:t>
            </w:r>
          </w:p>
          <w:p w14:paraId="47CCE923">
            <w:pPr>
              <w:widowControl/>
              <w:spacing w:line="240" w:lineRule="exact"/>
              <w:jc w:val="left"/>
              <w:rPr>
                <w:rFonts w:hint="eastAsia" w:ascii="宋体" w:hAnsi="宋体"/>
                <w:color w:val="000000"/>
                <w:sz w:val="18"/>
                <w:szCs w:val="18"/>
              </w:rPr>
            </w:pPr>
            <w:r>
              <w:rPr>
                <w:rFonts w:hint="eastAsia" w:ascii="宋体" w:hAnsi="宋体"/>
                <w:color w:val="000000"/>
                <w:sz w:val="18"/>
                <w:szCs w:val="18"/>
              </w:rPr>
              <w:t>7.我的实训：显示教师当前正在授课的班级，课程名称、班级名称、邀请码、章节、团队、学员数、进度以及开始上课等信息；</w:t>
            </w:r>
          </w:p>
          <w:p w14:paraId="1B18BA09">
            <w:pPr>
              <w:widowControl/>
              <w:spacing w:line="240" w:lineRule="exact"/>
              <w:jc w:val="left"/>
              <w:rPr>
                <w:rFonts w:hint="eastAsia" w:ascii="宋体" w:hAnsi="宋体"/>
                <w:color w:val="000000"/>
                <w:sz w:val="18"/>
                <w:szCs w:val="18"/>
              </w:rPr>
            </w:pPr>
            <w:r>
              <w:rPr>
                <w:rFonts w:hint="eastAsia" w:ascii="宋体" w:hAnsi="宋体"/>
                <w:color w:val="000000"/>
                <w:sz w:val="18"/>
                <w:szCs w:val="18"/>
              </w:rPr>
              <w:t>8.实训功能：软件具有丰富的教学授课功能、教学过程数字化评价功能，满足日常教学功能；</w:t>
            </w:r>
          </w:p>
          <w:p w14:paraId="1EA5A857">
            <w:pPr>
              <w:widowControl/>
              <w:spacing w:line="240" w:lineRule="exact"/>
              <w:jc w:val="left"/>
              <w:rPr>
                <w:rFonts w:hint="eastAsia" w:ascii="宋体" w:hAnsi="宋体"/>
                <w:color w:val="000000"/>
                <w:sz w:val="18"/>
                <w:szCs w:val="18"/>
              </w:rPr>
            </w:pPr>
            <w:r>
              <w:rPr>
                <w:rFonts w:hint="eastAsia" w:ascii="宋体" w:hAnsi="宋体"/>
                <w:color w:val="000000"/>
                <w:sz w:val="18"/>
                <w:szCs w:val="18"/>
              </w:rPr>
              <w:t>9.资源补充：教师可在标准课程基础上增加自己的内容，包含视频、课件、附件等内容增加；</w:t>
            </w:r>
          </w:p>
          <w:p w14:paraId="5437C681">
            <w:pPr>
              <w:widowControl/>
              <w:spacing w:line="240" w:lineRule="exact"/>
              <w:jc w:val="left"/>
              <w:rPr>
                <w:rFonts w:hint="eastAsia" w:ascii="宋体" w:hAnsi="宋体"/>
                <w:color w:val="000000"/>
                <w:sz w:val="18"/>
                <w:szCs w:val="18"/>
              </w:rPr>
            </w:pPr>
            <w:r>
              <w:rPr>
                <w:rFonts w:hint="eastAsia" w:ascii="宋体" w:hAnsi="宋体"/>
                <w:color w:val="000000"/>
                <w:sz w:val="18"/>
                <w:szCs w:val="18"/>
              </w:rPr>
              <w:t>10.实训推送：课程章节需要教师点击课程推送后，学员才可进入该章节进行学习；</w:t>
            </w:r>
          </w:p>
          <w:p w14:paraId="7AC725D7">
            <w:pPr>
              <w:widowControl/>
              <w:spacing w:line="240" w:lineRule="exact"/>
              <w:jc w:val="left"/>
              <w:rPr>
                <w:rFonts w:hint="eastAsia" w:ascii="宋体" w:hAnsi="宋体"/>
                <w:color w:val="000000"/>
                <w:sz w:val="18"/>
                <w:szCs w:val="18"/>
              </w:rPr>
            </w:pPr>
            <w:r>
              <w:rPr>
                <w:rFonts w:hint="eastAsia" w:ascii="宋体" w:hAnsi="宋体"/>
                <w:color w:val="000000"/>
                <w:sz w:val="18"/>
                <w:szCs w:val="18"/>
              </w:rPr>
              <w:t>11.成绩生成：当教师完成小节授课时，可一键生成学生与团队评价成绩，含个人成绩，团队成绩，知识成绩，态度成绩，素养成绩、技能成绩等；</w:t>
            </w:r>
          </w:p>
          <w:p w14:paraId="4503A749">
            <w:pPr>
              <w:widowControl/>
              <w:spacing w:line="240" w:lineRule="exact"/>
              <w:jc w:val="left"/>
              <w:rPr>
                <w:rFonts w:hint="eastAsia" w:ascii="宋体" w:hAnsi="宋体"/>
                <w:color w:val="000000"/>
                <w:sz w:val="18"/>
                <w:szCs w:val="18"/>
              </w:rPr>
            </w:pPr>
            <w:r>
              <w:rPr>
                <w:rFonts w:hint="eastAsia" w:ascii="宋体" w:hAnsi="宋体"/>
                <w:color w:val="000000"/>
                <w:sz w:val="18"/>
                <w:szCs w:val="18"/>
              </w:rPr>
              <w:t>12.开始上课：点击开始上课，可以进入教师的授课页面；</w:t>
            </w:r>
          </w:p>
          <w:p w14:paraId="383570DD">
            <w:pPr>
              <w:widowControl/>
              <w:spacing w:line="240" w:lineRule="exact"/>
              <w:jc w:val="left"/>
              <w:rPr>
                <w:rFonts w:hint="eastAsia" w:ascii="宋体" w:hAnsi="宋体"/>
                <w:color w:val="000000"/>
                <w:sz w:val="18"/>
                <w:szCs w:val="18"/>
              </w:rPr>
            </w:pPr>
            <w:r>
              <w:rPr>
                <w:rFonts w:hint="eastAsia" w:ascii="宋体" w:hAnsi="宋体"/>
                <w:color w:val="000000"/>
                <w:sz w:val="18"/>
                <w:szCs w:val="18"/>
              </w:rPr>
              <w:t>13.章节内包含：视频、课件、测试、资料，实战、作品圈、教学活动、章节评价、学情统计等功能标签；</w:t>
            </w:r>
          </w:p>
          <w:p w14:paraId="7537A3DA">
            <w:pPr>
              <w:widowControl/>
              <w:spacing w:line="240" w:lineRule="exact"/>
              <w:jc w:val="left"/>
              <w:rPr>
                <w:rFonts w:hint="eastAsia" w:ascii="宋体" w:hAnsi="宋体"/>
                <w:color w:val="000000"/>
                <w:sz w:val="18"/>
                <w:szCs w:val="18"/>
              </w:rPr>
            </w:pPr>
            <w:r>
              <w:rPr>
                <w:rFonts w:hint="eastAsia" w:ascii="宋体" w:hAnsi="宋体"/>
                <w:color w:val="000000"/>
                <w:sz w:val="18"/>
                <w:szCs w:val="18"/>
              </w:rPr>
              <w:t>14.点击“视频”：可查看该节视频内容；可手动关闭该章节的“视频”功能；</w:t>
            </w:r>
          </w:p>
          <w:p w14:paraId="7295CCAA">
            <w:pPr>
              <w:widowControl/>
              <w:spacing w:line="240" w:lineRule="exact"/>
              <w:jc w:val="left"/>
              <w:rPr>
                <w:rFonts w:hint="eastAsia" w:ascii="宋体" w:hAnsi="宋体"/>
                <w:color w:val="000000"/>
                <w:sz w:val="18"/>
                <w:szCs w:val="18"/>
              </w:rPr>
            </w:pPr>
            <w:r>
              <w:rPr>
                <w:rFonts w:hint="eastAsia" w:ascii="宋体" w:hAnsi="宋体"/>
                <w:color w:val="000000"/>
                <w:sz w:val="18"/>
                <w:szCs w:val="18"/>
              </w:rPr>
              <w:t>15.点击“课件”：可查看该节课件内容；可手动关闭该章节的“课件”功能；</w:t>
            </w:r>
          </w:p>
          <w:p w14:paraId="77D99A4E">
            <w:pPr>
              <w:widowControl/>
              <w:spacing w:line="240" w:lineRule="exact"/>
              <w:jc w:val="left"/>
              <w:rPr>
                <w:rFonts w:hint="eastAsia" w:ascii="宋体" w:hAnsi="宋体"/>
                <w:color w:val="000000"/>
                <w:sz w:val="18"/>
                <w:szCs w:val="18"/>
              </w:rPr>
            </w:pPr>
            <w:r>
              <w:rPr>
                <w:rFonts w:hint="eastAsia" w:ascii="宋体" w:hAnsi="宋体"/>
                <w:color w:val="000000"/>
                <w:sz w:val="18"/>
                <w:szCs w:val="18"/>
              </w:rPr>
              <w:t>16.点击“测试”：可查看及作答该节考题内容；可手动关闭该章节的“测验”功能；</w:t>
            </w:r>
          </w:p>
          <w:p w14:paraId="7201889C">
            <w:pPr>
              <w:widowControl/>
              <w:spacing w:line="240" w:lineRule="exact"/>
              <w:jc w:val="left"/>
              <w:rPr>
                <w:rFonts w:hint="eastAsia" w:ascii="宋体" w:hAnsi="宋体"/>
                <w:color w:val="000000"/>
                <w:sz w:val="18"/>
                <w:szCs w:val="18"/>
              </w:rPr>
            </w:pPr>
            <w:r>
              <w:rPr>
                <w:rFonts w:hint="eastAsia" w:ascii="宋体" w:hAnsi="宋体"/>
                <w:color w:val="000000"/>
                <w:sz w:val="18"/>
                <w:szCs w:val="18"/>
              </w:rPr>
              <w:t>17.点击“资料”：可查看该节附件内容并下载；可手动关闭该章节的“资料”功能；</w:t>
            </w:r>
          </w:p>
          <w:p w14:paraId="3FE2C6A0">
            <w:pPr>
              <w:widowControl/>
              <w:spacing w:line="240" w:lineRule="exact"/>
              <w:jc w:val="left"/>
              <w:rPr>
                <w:rFonts w:hint="eastAsia" w:ascii="宋体" w:hAnsi="宋体"/>
                <w:color w:val="000000"/>
                <w:sz w:val="18"/>
                <w:szCs w:val="18"/>
              </w:rPr>
            </w:pPr>
            <w:r>
              <w:rPr>
                <w:rFonts w:hint="eastAsia" w:ascii="宋体" w:hAnsi="宋体"/>
                <w:color w:val="000000"/>
                <w:sz w:val="18"/>
                <w:szCs w:val="18"/>
              </w:rPr>
              <w:t>18.点击“实战”：可查看该节实战内容；可手动关闭该章节的“实战”功能；教师可以自行发布实战训练，包含个人实训或团队实训；</w:t>
            </w:r>
          </w:p>
          <w:p w14:paraId="79EACF00">
            <w:pPr>
              <w:widowControl/>
              <w:spacing w:line="240" w:lineRule="exact"/>
              <w:jc w:val="left"/>
              <w:rPr>
                <w:rFonts w:hint="eastAsia" w:ascii="宋体" w:hAnsi="宋体"/>
                <w:color w:val="000000"/>
                <w:sz w:val="18"/>
                <w:szCs w:val="18"/>
              </w:rPr>
            </w:pPr>
            <w:r>
              <w:rPr>
                <w:rFonts w:hint="eastAsia" w:ascii="宋体" w:hAnsi="宋体"/>
                <w:color w:val="000000"/>
                <w:sz w:val="18"/>
                <w:szCs w:val="18"/>
              </w:rPr>
              <w:t>19.点击“作品圈”：可跳转到作品圈，对学生作品作评价与评分，可手动关闭该章节的“作品圈”功能；</w:t>
            </w:r>
          </w:p>
          <w:p w14:paraId="40141BE6">
            <w:pPr>
              <w:widowControl/>
              <w:spacing w:line="240" w:lineRule="exact"/>
              <w:jc w:val="left"/>
              <w:rPr>
                <w:rFonts w:hint="eastAsia" w:ascii="宋体" w:hAnsi="宋体"/>
                <w:color w:val="000000"/>
                <w:sz w:val="18"/>
                <w:szCs w:val="18"/>
              </w:rPr>
            </w:pPr>
            <w:r>
              <w:rPr>
                <w:rFonts w:hint="eastAsia" w:ascii="宋体" w:hAnsi="宋体"/>
                <w:color w:val="000000"/>
                <w:sz w:val="18"/>
                <w:szCs w:val="18"/>
              </w:rPr>
              <w:t>20.软件拥有作品圈用于展示学生作品以及作品评价工具，教师可现场进行评分与留言评价</w:t>
            </w:r>
          </w:p>
          <w:p w14:paraId="5E7F2BC8">
            <w:pPr>
              <w:widowControl/>
              <w:spacing w:line="240" w:lineRule="exact"/>
              <w:jc w:val="left"/>
              <w:rPr>
                <w:rFonts w:hint="eastAsia" w:ascii="宋体" w:hAnsi="宋体"/>
                <w:color w:val="000000"/>
                <w:sz w:val="18"/>
                <w:szCs w:val="18"/>
              </w:rPr>
            </w:pPr>
            <w:r>
              <w:rPr>
                <w:rFonts w:hint="eastAsia" w:ascii="宋体" w:hAnsi="宋体"/>
                <w:color w:val="000000"/>
                <w:sz w:val="18"/>
                <w:szCs w:val="18"/>
              </w:rPr>
              <w:t>21.点击“教学活动”：拥有签到投票，选人、主题讨论、抢答、随堂练习等功能，可手动关闭该章节的“教学活动”功能；</w:t>
            </w:r>
          </w:p>
          <w:p w14:paraId="4FBF80B5">
            <w:pPr>
              <w:widowControl/>
              <w:spacing w:line="240" w:lineRule="exact"/>
              <w:jc w:val="left"/>
              <w:rPr>
                <w:rFonts w:hint="eastAsia" w:ascii="宋体" w:hAnsi="宋体"/>
                <w:color w:val="000000"/>
                <w:sz w:val="18"/>
                <w:szCs w:val="18"/>
              </w:rPr>
            </w:pPr>
            <w:r>
              <w:rPr>
                <w:rFonts w:hint="eastAsia" w:ascii="宋体" w:hAnsi="宋体"/>
                <w:color w:val="000000"/>
                <w:sz w:val="18"/>
                <w:szCs w:val="18"/>
              </w:rPr>
              <w:t>22.点击“章节评价”：可跳转到个人素养的评分，可手动关闭该章节的“章节评价”功能；</w:t>
            </w:r>
          </w:p>
          <w:p w14:paraId="00B96C8F">
            <w:pPr>
              <w:widowControl/>
              <w:spacing w:line="240" w:lineRule="exact"/>
              <w:jc w:val="left"/>
              <w:rPr>
                <w:rFonts w:hint="eastAsia" w:ascii="宋体" w:hAnsi="宋体"/>
                <w:color w:val="000000"/>
                <w:sz w:val="18"/>
                <w:szCs w:val="18"/>
              </w:rPr>
            </w:pPr>
            <w:r>
              <w:rPr>
                <w:rFonts w:hint="eastAsia" w:ascii="宋体" w:hAnsi="宋体"/>
                <w:color w:val="000000"/>
                <w:sz w:val="18"/>
                <w:szCs w:val="18"/>
              </w:rPr>
              <w:t>△23.章节学情考核项，不少于微课、课件、测试、实战四个维度统计并有相关的考核列表；</w:t>
            </w:r>
          </w:p>
          <w:p w14:paraId="64866464">
            <w:pPr>
              <w:widowControl/>
              <w:spacing w:line="240" w:lineRule="exact"/>
              <w:jc w:val="left"/>
              <w:rPr>
                <w:rFonts w:hint="eastAsia" w:ascii="宋体" w:hAnsi="宋体"/>
                <w:color w:val="000000"/>
                <w:sz w:val="18"/>
                <w:szCs w:val="18"/>
              </w:rPr>
            </w:pPr>
            <w:r>
              <w:rPr>
                <w:rFonts w:hint="eastAsia" w:ascii="宋体" w:hAnsi="宋体"/>
                <w:color w:val="000000"/>
                <w:sz w:val="18"/>
                <w:szCs w:val="18"/>
              </w:rPr>
              <w:t>24.点击“笔记”：教师在进行章节内容授课过程中，可以通过笔记功能进行知识点记录、问题记录等；</w:t>
            </w:r>
          </w:p>
          <w:p w14:paraId="12C6443F">
            <w:pPr>
              <w:widowControl/>
              <w:spacing w:line="240" w:lineRule="exact"/>
              <w:jc w:val="left"/>
              <w:rPr>
                <w:rFonts w:hint="eastAsia" w:ascii="宋体" w:hAnsi="宋体"/>
                <w:color w:val="000000"/>
                <w:sz w:val="18"/>
                <w:szCs w:val="18"/>
              </w:rPr>
            </w:pPr>
            <w:r>
              <w:rPr>
                <w:rFonts w:hint="eastAsia" w:ascii="宋体" w:hAnsi="宋体"/>
                <w:color w:val="000000"/>
                <w:sz w:val="18"/>
                <w:szCs w:val="18"/>
              </w:rPr>
              <w:t>25.点击“互动：教师可与班级内的学员使用互动功能进行交流、互动、问题提问及解答等；</w:t>
            </w:r>
          </w:p>
          <w:p w14:paraId="5B34E3C0">
            <w:pPr>
              <w:widowControl/>
              <w:spacing w:line="240" w:lineRule="exact"/>
              <w:jc w:val="left"/>
              <w:rPr>
                <w:rFonts w:hint="eastAsia" w:ascii="宋体" w:hAnsi="宋体"/>
                <w:color w:val="000000"/>
                <w:sz w:val="18"/>
                <w:szCs w:val="18"/>
              </w:rPr>
            </w:pPr>
            <w:r>
              <w:rPr>
                <w:rFonts w:hint="eastAsia" w:ascii="宋体" w:hAnsi="宋体"/>
                <w:color w:val="000000"/>
                <w:sz w:val="18"/>
                <w:szCs w:val="18"/>
              </w:rPr>
              <w:t>26.展现该班级当前的团队信息，包括团队头像、团队名称、队长、进度、成绩、审核状态、创建日期、操作等信息，教师可对每个团对进行操作，包括查看、删除等；</w:t>
            </w:r>
          </w:p>
          <w:p w14:paraId="171225CD">
            <w:pPr>
              <w:widowControl/>
              <w:spacing w:line="240" w:lineRule="exact"/>
              <w:jc w:val="left"/>
              <w:rPr>
                <w:rFonts w:hint="eastAsia" w:ascii="宋体" w:hAnsi="宋体"/>
                <w:color w:val="000000"/>
                <w:sz w:val="18"/>
                <w:szCs w:val="18"/>
              </w:rPr>
            </w:pPr>
            <w:r>
              <w:rPr>
                <w:rFonts w:hint="eastAsia" w:ascii="宋体" w:hAnsi="宋体"/>
                <w:color w:val="000000"/>
                <w:sz w:val="18"/>
                <w:szCs w:val="18"/>
              </w:rPr>
              <w:t>27.可以查看该班级内所有学员的详细信息，包含图像、姓名、学号、性别、成绩、所属团队、岗位、加入日期、操作功能；</w:t>
            </w:r>
          </w:p>
          <w:p w14:paraId="2E40F647">
            <w:pPr>
              <w:widowControl/>
              <w:spacing w:line="240" w:lineRule="exact"/>
              <w:jc w:val="left"/>
              <w:rPr>
                <w:rFonts w:hint="eastAsia" w:ascii="宋体" w:hAnsi="宋体"/>
                <w:color w:val="000000"/>
                <w:sz w:val="18"/>
                <w:szCs w:val="18"/>
              </w:rPr>
            </w:pPr>
            <w:r>
              <w:rPr>
                <w:rFonts w:hint="eastAsia" w:ascii="宋体" w:hAnsi="宋体"/>
                <w:color w:val="000000"/>
                <w:sz w:val="18"/>
                <w:szCs w:val="18"/>
              </w:rPr>
              <w:t>28.可查看学员个人及团队的分数及排行情况，每个章节教学任务完成后，榜单会进行自动实时更新，动态变化；</w:t>
            </w:r>
          </w:p>
          <w:p w14:paraId="0D34BC3E">
            <w:pPr>
              <w:widowControl/>
              <w:spacing w:line="240" w:lineRule="exact"/>
              <w:jc w:val="left"/>
              <w:rPr>
                <w:rFonts w:hint="eastAsia" w:ascii="宋体" w:hAnsi="宋体"/>
                <w:color w:val="000000"/>
                <w:sz w:val="18"/>
                <w:szCs w:val="18"/>
              </w:rPr>
            </w:pPr>
            <w:r>
              <w:rPr>
                <w:rFonts w:hint="eastAsia" w:ascii="宋体" w:hAnsi="宋体"/>
                <w:color w:val="000000"/>
                <w:sz w:val="18"/>
                <w:szCs w:val="18"/>
              </w:rPr>
              <w:t>29.教师可在作品圈看到班级内所有小组或个人上传的公开作品，并可进行点赞、评分等操作；</w:t>
            </w:r>
          </w:p>
          <w:p w14:paraId="3B263DB6">
            <w:pPr>
              <w:widowControl/>
              <w:spacing w:line="240" w:lineRule="exact"/>
              <w:jc w:val="left"/>
              <w:rPr>
                <w:rFonts w:hint="eastAsia" w:ascii="宋体" w:hAnsi="宋体"/>
                <w:color w:val="000000"/>
                <w:sz w:val="18"/>
                <w:szCs w:val="18"/>
              </w:rPr>
            </w:pPr>
            <w:r>
              <w:rPr>
                <w:rFonts w:hint="eastAsia" w:ascii="宋体" w:hAnsi="宋体"/>
                <w:color w:val="000000"/>
                <w:sz w:val="18"/>
                <w:szCs w:val="18"/>
              </w:rPr>
              <w:t>★30.软件拥有综合数据评价，数据不少于个人成绩，团队成绩，知识成绩、态度成绩、技能成绩、素养成绩等；</w:t>
            </w:r>
          </w:p>
          <w:p w14:paraId="451A48E2">
            <w:pPr>
              <w:widowControl/>
              <w:spacing w:line="240" w:lineRule="exact"/>
              <w:jc w:val="left"/>
              <w:rPr>
                <w:rFonts w:hint="eastAsia" w:ascii="宋体" w:hAnsi="宋体"/>
                <w:color w:val="000000"/>
                <w:sz w:val="18"/>
                <w:szCs w:val="18"/>
              </w:rPr>
            </w:pPr>
            <w:r>
              <w:rPr>
                <w:rFonts w:hint="eastAsia" w:ascii="宋体" w:hAnsi="宋体"/>
                <w:color w:val="000000"/>
                <w:sz w:val="18"/>
                <w:szCs w:val="18"/>
              </w:rPr>
              <w:t>31.知识考核，可以按个人、班级、章节三种模式进行成绩查询，并且对题目考核情况进行详细分析</w:t>
            </w:r>
          </w:p>
          <w:p w14:paraId="1C6AD0CF">
            <w:pPr>
              <w:widowControl/>
              <w:spacing w:line="240" w:lineRule="exact"/>
              <w:jc w:val="left"/>
              <w:rPr>
                <w:rFonts w:hint="eastAsia" w:ascii="宋体" w:hAnsi="宋体"/>
                <w:color w:val="000000"/>
                <w:sz w:val="18"/>
                <w:szCs w:val="18"/>
              </w:rPr>
            </w:pPr>
            <w:r>
              <w:rPr>
                <w:rFonts w:hint="eastAsia" w:ascii="宋体" w:hAnsi="宋体"/>
                <w:color w:val="000000"/>
                <w:sz w:val="18"/>
                <w:szCs w:val="18"/>
              </w:rPr>
              <w:t>32.教学软件可以抓取学生态度考核项，考核指标不低于14个；</w:t>
            </w:r>
          </w:p>
          <w:p w14:paraId="48D94C59">
            <w:pPr>
              <w:widowControl/>
              <w:spacing w:line="240" w:lineRule="exact"/>
              <w:jc w:val="left"/>
              <w:rPr>
                <w:rFonts w:hint="eastAsia" w:ascii="宋体" w:hAnsi="宋体"/>
                <w:color w:val="000000"/>
                <w:sz w:val="18"/>
                <w:szCs w:val="18"/>
              </w:rPr>
            </w:pPr>
            <w:r>
              <w:rPr>
                <w:rFonts w:hint="eastAsia" w:ascii="宋体" w:hAnsi="宋体"/>
                <w:color w:val="000000"/>
                <w:sz w:val="18"/>
                <w:szCs w:val="18"/>
              </w:rPr>
              <w:t>33.技能考核，可以按个人、章节两种模式进行技能查询，教师、学生、组长可以对作品进行多方评价。</w:t>
            </w:r>
          </w:p>
          <w:p w14:paraId="5352C02F">
            <w:pPr>
              <w:widowControl/>
              <w:spacing w:line="240" w:lineRule="exact"/>
              <w:jc w:val="left"/>
              <w:rPr>
                <w:rFonts w:hint="eastAsia" w:ascii="宋体" w:hAnsi="宋体"/>
                <w:color w:val="000000"/>
                <w:sz w:val="18"/>
                <w:szCs w:val="18"/>
              </w:rPr>
            </w:pPr>
            <w:r>
              <w:rPr>
                <w:rFonts w:hint="eastAsia" w:ascii="宋体" w:hAnsi="宋体"/>
                <w:color w:val="000000"/>
                <w:sz w:val="18"/>
                <w:szCs w:val="18"/>
              </w:rPr>
              <w:t>34.素养考核，可以按个人、章节两种模式进行考核查询，基于国家素养标准以及个性化需求考核，考核项不低于35个指标；</w:t>
            </w:r>
          </w:p>
          <w:p w14:paraId="28A39A5A">
            <w:pPr>
              <w:widowControl/>
              <w:spacing w:line="240" w:lineRule="exact"/>
              <w:jc w:val="left"/>
              <w:rPr>
                <w:rFonts w:hint="eastAsia" w:ascii="宋体" w:hAnsi="宋体"/>
                <w:color w:val="000000"/>
                <w:sz w:val="18"/>
                <w:szCs w:val="18"/>
              </w:rPr>
            </w:pPr>
            <w:r>
              <w:rPr>
                <w:rFonts w:hint="eastAsia" w:ascii="宋体" w:hAnsi="宋体"/>
                <w:color w:val="000000"/>
                <w:sz w:val="18"/>
                <w:szCs w:val="18"/>
              </w:rPr>
              <w:t>35.教师根据课程情况，支持自定义各指标数据权重，可设置权重指标不低于20个；</w:t>
            </w:r>
          </w:p>
          <w:p w14:paraId="276528EB">
            <w:pPr>
              <w:widowControl/>
              <w:spacing w:line="240" w:lineRule="exact"/>
              <w:jc w:val="left"/>
              <w:rPr>
                <w:rFonts w:hint="eastAsia" w:ascii="宋体" w:hAnsi="宋体"/>
                <w:color w:val="000000"/>
                <w:sz w:val="18"/>
                <w:szCs w:val="18"/>
              </w:rPr>
            </w:pPr>
            <w:r>
              <w:rPr>
                <w:rFonts w:hint="eastAsia" w:ascii="宋体" w:hAnsi="宋体"/>
                <w:color w:val="000000"/>
                <w:sz w:val="18"/>
                <w:szCs w:val="18"/>
              </w:rPr>
              <w:t>36.综合评价数据自动更新，随着教学进度以及教学活动，考核数据不断更新；</w:t>
            </w:r>
          </w:p>
          <w:p w14:paraId="6EDF7804">
            <w:pPr>
              <w:widowControl/>
              <w:spacing w:line="240" w:lineRule="exact"/>
              <w:jc w:val="left"/>
              <w:rPr>
                <w:rFonts w:hint="eastAsia" w:ascii="宋体" w:hAnsi="宋体"/>
                <w:color w:val="000000"/>
                <w:sz w:val="18"/>
                <w:szCs w:val="18"/>
              </w:rPr>
            </w:pPr>
            <w:r>
              <w:rPr>
                <w:rFonts w:hint="eastAsia" w:ascii="宋体" w:hAnsi="宋体"/>
                <w:color w:val="000000"/>
                <w:sz w:val="18"/>
                <w:szCs w:val="18"/>
              </w:rPr>
              <w:t>37.软件支持教师开发试卷，试题可以从题库挑选，也可以自己定义，题型包含选择题、判断题、填空题、简答题等；</w:t>
            </w:r>
          </w:p>
          <w:p w14:paraId="0E0C1795">
            <w:pPr>
              <w:widowControl/>
              <w:spacing w:line="240" w:lineRule="exact"/>
              <w:jc w:val="left"/>
              <w:rPr>
                <w:rFonts w:hint="eastAsia" w:ascii="宋体" w:hAnsi="宋体"/>
                <w:color w:val="000000"/>
                <w:sz w:val="18"/>
                <w:szCs w:val="18"/>
              </w:rPr>
            </w:pPr>
            <w:r>
              <w:rPr>
                <w:rFonts w:hint="eastAsia" w:ascii="宋体" w:hAnsi="宋体"/>
                <w:color w:val="000000"/>
                <w:sz w:val="18"/>
                <w:szCs w:val="18"/>
              </w:rPr>
              <w:t>△38.软件可以进行投流仿真模拟。</w:t>
            </w:r>
          </w:p>
          <w:p w14:paraId="00F178CA">
            <w:pPr>
              <w:widowControl/>
              <w:spacing w:line="240" w:lineRule="exact"/>
              <w:jc w:val="left"/>
              <w:rPr>
                <w:rFonts w:hint="eastAsia" w:ascii="宋体" w:hAnsi="宋体"/>
                <w:color w:val="000000"/>
                <w:sz w:val="18"/>
                <w:szCs w:val="18"/>
              </w:rPr>
            </w:pPr>
            <w:r>
              <w:rPr>
                <w:rFonts w:hint="eastAsia" w:ascii="宋体" w:hAnsi="宋体"/>
                <w:color w:val="000000"/>
                <w:sz w:val="18"/>
                <w:szCs w:val="18"/>
              </w:rPr>
              <w:t>三、学生端功能</w:t>
            </w:r>
          </w:p>
          <w:p w14:paraId="4AB37FB3">
            <w:pPr>
              <w:widowControl/>
              <w:spacing w:line="240" w:lineRule="exact"/>
              <w:jc w:val="left"/>
              <w:rPr>
                <w:rFonts w:hint="eastAsia" w:ascii="宋体" w:hAnsi="宋体"/>
                <w:color w:val="000000"/>
                <w:sz w:val="18"/>
                <w:szCs w:val="18"/>
              </w:rPr>
            </w:pPr>
            <w:r>
              <w:rPr>
                <w:rFonts w:hint="eastAsia" w:ascii="宋体" w:hAnsi="宋体"/>
                <w:color w:val="000000"/>
                <w:sz w:val="18"/>
                <w:szCs w:val="18"/>
              </w:rPr>
              <w:t>1.展示目前软件上所有班级的实训课程，实训课程体现四个维度的标签信息：章节、班级、团队、学员数；（学员未登录状态.</w:t>
            </w:r>
          </w:p>
          <w:p w14:paraId="6336D735">
            <w:pPr>
              <w:widowControl/>
              <w:spacing w:line="240" w:lineRule="exact"/>
              <w:jc w:val="left"/>
              <w:rPr>
                <w:rFonts w:hint="eastAsia" w:ascii="宋体" w:hAnsi="宋体"/>
                <w:color w:val="000000"/>
                <w:sz w:val="18"/>
                <w:szCs w:val="18"/>
              </w:rPr>
            </w:pPr>
            <w:r>
              <w:rPr>
                <w:rFonts w:hint="eastAsia" w:ascii="宋体" w:hAnsi="宋体"/>
                <w:color w:val="000000"/>
                <w:sz w:val="18"/>
                <w:szCs w:val="18"/>
              </w:rPr>
              <w:t>2.点击任一实战项目，自动跳转至注册/登录页；</w:t>
            </w:r>
          </w:p>
          <w:p w14:paraId="49EB081C">
            <w:pPr>
              <w:widowControl/>
              <w:spacing w:line="240" w:lineRule="exact"/>
              <w:jc w:val="left"/>
              <w:rPr>
                <w:rFonts w:hint="eastAsia" w:ascii="宋体" w:hAnsi="宋体"/>
                <w:color w:val="000000"/>
                <w:sz w:val="18"/>
                <w:szCs w:val="18"/>
              </w:rPr>
            </w:pPr>
            <w:r>
              <w:rPr>
                <w:rFonts w:hint="eastAsia" w:ascii="宋体" w:hAnsi="宋体"/>
                <w:color w:val="000000"/>
                <w:sz w:val="18"/>
                <w:szCs w:val="18"/>
              </w:rPr>
              <w:t>3.注册：填写信息包含：学生姓名、联系电话、性别、头像等，系统内置头像图库，学员注册可直接选用图库头像，也可自行上传本地头像；</w:t>
            </w:r>
          </w:p>
          <w:p w14:paraId="58A2FDAD">
            <w:pPr>
              <w:widowControl/>
              <w:spacing w:line="240" w:lineRule="exact"/>
              <w:jc w:val="left"/>
              <w:rPr>
                <w:rFonts w:hint="eastAsia" w:ascii="宋体" w:hAnsi="宋体"/>
                <w:color w:val="000000"/>
                <w:sz w:val="18"/>
                <w:szCs w:val="18"/>
              </w:rPr>
            </w:pPr>
            <w:r>
              <w:rPr>
                <w:rFonts w:hint="eastAsia" w:ascii="宋体" w:hAnsi="宋体"/>
                <w:color w:val="000000"/>
                <w:sz w:val="18"/>
                <w:szCs w:val="18"/>
              </w:rPr>
              <w:t>4.登录：通过学号/手机号、密码来登录；</w:t>
            </w:r>
          </w:p>
          <w:p w14:paraId="7FEAB813">
            <w:pPr>
              <w:widowControl/>
              <w:spacing w:line="240" w:lineRule="exact"/>
              <w:jc w:val="left"/>
              <w:rPr>
                <w:rFonts w:hint="eastAsia" w:ascii="宋体" w:hAnsi="宋体"/>
                <w:color w:val="000000"/>
                <w:sz w:val="18"/>
                <w:szCs w:val="18"/>
              </w:rPr>
            </w:pPr>
            <w:r>
              <w:rPr>
                <w:rFonts w:hint="eastAsia" w:ascii="宋体" w:hAnsi="宋体"/>
                <w:color w:val="000000"/>
                <w:sz w:val="18"/>
                <w:szCs w:val="18"/>
              </w:rPr>
              <w:t>5.个人中心：可对学员的个人信息进行修改、更新等；</w:t>
            </w:r>
          </w:p>
          <w:p w14:paraId="6AA4B61F">
            <w:pPr>
              <w:widowControl/>
              <w:spacing w:line="240" w:lineRule="exact"/>
              <w:jc w:val="left"/>
              <w:rPr>
                <w:rFonts w:hint="eastAsia" w:ascii="宋体" w:hAnsi="宋体"/>
                <w:color w:val="000000"/>
                <w:sz w:val="18"/>
                <w:szCs w:val="18"/>
              </w:rPr>
            </w:pPr>
            <w:r>
              <w:rPr>
                <w:rFonts w:hint="eastAsia" w:ascii="宋体" w:hAnsi="宋体"/>
                <w:color w:val="000000"/>
                <w:sz w:val="18"/>
                <w:szCs w:val="18"/>
              </w:rPr>
              <w:t>6.可直接点击输入班级邀请码，加入班级；</w:t>
            </w:r>
          </w:p>
          <w:p w14:paraId="4BEBC1F7">
            <w:pPr>
              <w:widowControl/>
              <w:spacing w:line="240" w:lineRule="exact"/>
              <w:jc w:val="left"/>
              <w:rPr>
                <w:rFonts w:hint="eastAsia" w:ascii="宋体" w:hAnsi="宋体"/>
                <w:color w:val="000000"/>
                <w:sz w:val="18"/>
                <w:szCs w:val="18"/>
              </w:rPr>
            </w:pPr>
            <w:r>
              <w:rPr>
                <w:rFonts w:hint="eastAsia" w:ascii="宋体" w:hAnsi="宋体"/>
                <w:color w:val="000000"/>
                <w:sz w:val="18"/>
                <w:szCs w:val="18"/>
              </w:rPr>
              <w:t>7.展示该学员当前正在学习及已经完成学习的实战课程。该展示中包含五个维度的信息：章节、团队、学员数、分数、进度等；</w:t>
            </w:r>
          </w:p>
          <w:p w14:paraId="2E7D007D">
            <w:pPr>
              <w:widowControl/>
              <w:spacing w:line="240" w:lineRule="exact"/>
              <w:jc w:val="left"/>
              <w:rPr>
                <w:rFonts w:hint="eastAsia" w:ascii="宋体" w:hAnsi="宋体"/>
                <w:color w:val="000000"/>
                <w:sz w:val="18"/>
                <w:szCs w:val="18"/>
              </w:rPr>
            </w:pPr>
            <w:r>
              <w:rPr>
                <w:rFonts w:hint="eastAsia" w:ascii="宋体" w:hAnsi="宋体"/>
                <w:color w:val="000000"/>
                <w:sz w:val="18"/>
                <w:szCs w:val="18"/>
              </w:rPr>
              <w:t>8.章节内包含：微课、课件、测试、资料、实战、作品圈、教学活动、章节评价、笔记、互动等功能标签：</w:t>
            </w:r>
          </w:p>
          <w:p w14:paraId="0C889A7F">
            <w:pPr>
              <w:widowControl/>
              <w:spacing w:line="240" w:lineRule="exact"/>
              <w:jc w:val="left"/>
              <w:rPr>
                <w:rFonts w:hint="eastAsia" w:ascii="宋体" w:hAnsi="宋体"/>
                <w:color w:val="000000"/>
                <w:sz w:val="18"/>
                <w:szCs w:val="18"/>
              </w:rPr>
            </w:pPr>
            <w:r>
              <w:rPr>
                <w:rFonts w:hint="eastAsia" w:ascii="宋体" w:hAnsi="宋体"/>
                <w:color w:val="000000"/>
                <w:sz w:val="18"/>
                <w:szCs w:val="18"/>
              </w:rPr>
              <w:t>9.点击“微课”：可查看该节视频内容；</w:t>
            </w:r>
          </w:p>
          <w:p w14:paraId="6F9BC0DE">
            <w:pPr>
              <w:widowControl/>
              <w:spacing w:line="240" w:lineRule="exact"/>
              <w:jc w:val="left"/>
              <w:rPr>
                <w:rFonts w:hint="eastAsia" w:ascii="宋体" w:hAnsi="宋体"/>
                <w:color w:val="000000"/>
                <w:sz w:val="18"/>
                <w:szCs w:val="18"/>
              </w:rPr>
            </w:pPr>
            <w:r>
              <w:rPr>
                <w:rFonts w:hint="eastAsia" w:ascii="宋体" w:hAnsi="宋体"/>
                <w:color w:val="000000"/>
                <w:sz w:val="18"/>
                <w:szCs w:val="18"/>
              </w:rPr>
              <w:t>10.点击“课件”：可查看该节课件内容；</w:t>
            </w:r>
          </w:p>
          <w:p w14:paraId="4542F078">
            <w:pPr>
              <w:widowControl/>
              <w:spacing w:line="240" w:lineRule="exact"/>
              <w:jc w:val="left"/>
              <w:rPr>
                <w:rFonts w:hint="eastAsia" w:ascii="宋体" w:hAnsi="宋体"/>
                <w:color w:val="000000"/>
                <w:sz w:val="18"/>
                <w:szCs w:val="18"/>
              </w:rPr>
            </w:pPr>
            <w:r>
              <w:rPr>
                <w:rFonts w:hint="eastAsia" w:ascii="宋体" w:hAnsi="宋体"/>
                <w:color w:val="000000"/>
                <w:sz w:val="18"/>
                <w:szCs w:val="18"/>
              </w:rPr>
              <w:t>11.点击“测试”：可查看及作答该节考题内容；</w:t>
            </w:r>
          </w:p>
          <w:p w14:paraId="3410141F">
            <w:pPr>
              <w:widowControl/>
              <w:spacing w:line="240" w:lineRule="exact"/>
              <w:jc w:val="left"/>
              <w:rPr>
                <w:rFonts w:hint="eastAsia" w:ascii="宋体" w:hAnsi="宋体"/>
                <w:color w:val="000000"/>
                <w:sz w:val="18"/>
                <w:szCs w:val="18"/>
              </w:rPr>
            </w:pPr>
            <w:r>
              <w:rPr>
                <w:rFonts w:hint="eastAsia" w:ascii="宋体" w:hAnsi="宋体"/>
                <w:color w:val="000000"/>
                <w:sz w:val="18"/>
                <w:szCs w:val="18"/>
              </w:rPr>
              <w:t>12.点击“资料”：可查看该节附件内容并下载；</w:t>
            </w:r>
          </w:p>
          <w:p w14:paraId="67E0ABA5">
            <w:pPr>
              <w:widowControl/>
              <w:spacing w:line="240" w:lineRule="exact"/>
              <w:jc w:val="left"/>
              <w:rPr>
                <w:rFonts w:hint="eastAsia" w:ascii="宋体" w:hAnsi="宋体"/>
                <w:color w:val="000000"/>
                <w:sz w:val="18"/>
                <w:szCs w:val="18"/>
              </w:rPr>
            </w:pPr>
            <w:r>
              <w:rPr>
                <w:rFonts w:hint="eastAsia" w:ascii="宋体" w:hAnsi="宋体"/>
                <w:color w:val="000000"/>
                <w:sz w:val="18"/>
                <w:szCs w:val="18"/>
              </w:rPr>
              <w:t>13.点击“实战”：可查看该节实战内容；</w:t>
            </w:r>
          </w:p>
          <w:p w14:paraId="3125D699">
            <w:pPr>
              <w:widowControl/>
              <w:spacing w:line="240" w:lineRule="exact"/>
              <w:jc w:val="left"/>
              <w:rPr>
                <w:rFonts w:hint="eastAsia" w:ascii="宋体" w:hAnsi="宋体"/>
                <w:color w:val="000000"/>
                <w:sz w:val="18"/>
                <w:szCs w:val="18"/>
              </w:rPr>
            </w:pPr>
            <w:r>
              <w:rPr>
                <w:rFonts w:hint="eastAsia" w:ascii="宋体" w:hAnsi="宋体"/>
                <w:color w:val="000000"/>
                <w:sz w:val="18"/>
                <w:szCs w:val="18"/>
              </w:rPr>
              <w:t>14.点击“作品圈”：可跳转到作品圈；</w:t>
            </w:r>
          </w:p>
          <w:p w14:paraId="13A67683">
            <w:pPr>
              <w:widowControl/>
              <w:spacing w:line="240" w:lineRule="exact"/>
              <w:jc w:val="left"/>
              <w:rPr>
                <w:rFonts w:hint="eastAsia" w:ascii="宋体" w:hAnsi="宋体"/>
                <w:color w:val="000000"/>
                <w:sz w:val="18"/>
                <w:szCs w:val="18"/>
              </w:rPr>
            </w:pPr>
            <w:r>
              <w:rPr>
                <w:rFonts w:hint="eastAsia" w:ascii="宋体" w:hAnsi="宋体"/>
                <w:color w:val="000000"/>
                <w:sz w:val="18"/>
                <w:szCs w:val="18"/>
              </w:rPr>
              <w:t>15.点击“教学活动”：可实现签到、投票、选人、抢答、主题讨论、随堂练习、评分等功能；</w:t>
            </w:r>
          </w:p>
          <w:p w14:paraId="741D4BA4">
            <w:pPr>
              <w:widowControl/>
              <w:spacing w:line="240" w:lineRule="exact"/>
              <w:jc w:val="left"/>
              <w:rPr>
                <w:rFonts w:hint="eastAsia" w:ascii="宋体" w:hAnsi="宋体"/>
                <w:color w:val="000000"/>
                <w:sz w:val="18"/>
                <w:szCs w:val="18"/>
              </w:rPr>
            </w:pPr>
            <w:r>
              <w:rPr>
                <w:rFonts w:hint="eastAsia" w:ascii="宋体" w:hAnsi="宋体"/>
                <w:color w:val="000000"/>
                <w:sz w:val="18"/>
                <w:szCs w:val="18"/>
              </w:rPr>
              <w:t>16.点击“笔记”：学员在进行章节内容学习过程中，可以通过笔记功能进行知识点记录、问题记录等。记录的笔记可根据章节进行筛选查看，方便学员复习；</w:t>
            </w:r>
          </w:p>
          <w:p w14:paraId="22EBBA6E">
            <w:pPr>
              <w:widowControl/>
              <w:spacing w:line="240" w:lineRule="exact"/>
              <w:jc w:val="left"/>
              <w:rPr>
                <w:rFonts w:hint="eastAsia" w:ascii="宋体" w:hAnsi="宋体"/>
                <w:color w:val="000000"/>
                <w:sz w:val="18"/>
                <w:szCs w:val="18"/>
              </w:rPr>
            </w:pPr>
            <w:r>
              <w:rPr>
                <w:rFonts w:hint="eastAsia" w:ascii="宋体" w:hAnsi="宋体"/>
                <w:color w:val="000000"/>
                <w:sz w:val="18"/>
                <w:szCs w:val="18"/>
              </w:rPr>
              <w:t>17.点击“互动”：班级内的学员可使用互动功能中进行交流、互动、问题提问及解答等，学生可实现对教师私聊；</w:t>
            </w:r>
          </w:p>
          <w:p w14:paraId="485BDE82">
            <w:pPr>
              <w:widowControl/>
              <w:spacing w:line="240" w:lineRule="exact"/>
              <w:jc w:val="left"/>
              <w:rPr>
                <w:rFonts w:hint="eastAsia" w:ascii="宋体" w:hAnsi="宋体"/>
                <w:color w:val="000000"/>
                <w:sz w:val="18"/>
                <w:szCs w:val="18"/>
              </w:rPr>
            </w:pPr>
            <w:r>
              <w:rPr>
                <w:rFonts w:hint="eastAsia" w:ascii="宋体" w:hAnsi="宋体"/>
                <w:color w:val="000000"/>
                <w:sz w:val="18"/>
                <w:szCs w:val="18"/>
              </w:rPr>
              <w:t>18.团队组建：首次点击需先创建个人信息，个人信息创建页包含组长、组员选项，选择创建组长，需填写团队名称、岗位名称（默认.、姓名等；创建组长需要教师端审核；</w:t>
            </w:r>
          </w:p>
          <w:p w14:paraId="0774052F">
            <w:pPr>
              <w:widowControl/>
              <w:spacing w:line="240" w:lineRule="exact"/>
              <w:jc w:val="left"/>
              <w:rPr>
                <w:rFonts w:hint="eastAsia" w:ascii="宋体" w:hAnsi="宋体"/>
                <w:color w:val="000000"/>
                <w:sz w:val="18"/>
                <w:szCs w:val="18"/>
              </w:rPr>
            </w:pPr>
            <w:r>
              <w:rPr>
                <w:rFonts w:hint="eastAsia" w:ascii="宋体" w:hAnsi="宋体"/>
                <w:color w:val="000000"/>
                <w:sz w:val="18"/>
                <w:szCs w:val="18"/>
              </w:rPr>
              <w:t>19.组员加入：选择创建组员，需要填写姓名、职务等，并选择团队申请加入；</w:t>
            </w:r>
          </w:p>
          <w:p w14:paraId="08F79B64">
            <w:pPr>
              <w:widowControl/>
              <w:spacing w:line="240" w:lineRule="exact"/>
              <w:jc w:val="left"/>
              <w:rPr>
                <w:rFonts w:hint="eastAsia" w:ascii="宋体" w:hAnsi="宋体"/>
                <w:color w:val="000000"/>
                <w:sz w:val="18"/>
                <w:szCs w:val="18"/>
              </w:rPr>
            </w:pPr>
            <w:r>
              <w:rPr>
                <w:rFonts w:hint="eastAsia" w:ascii="宋体" w:hAnsi="宋体"/>
                <w:color w:val="000000"/>
                <w:sz w:val="18"/>
                <w:szCs w:val="18"/>
              </w:rPr>
              <w:t>20.组员审核：身份为组长的学员拥有审核组员的权力。组员一旦审核通过，组长无法再修改其审核状态；</w:t>
            </w:r>
          </w:p>
          <w:p w14:paraId="1E111177">
            <w:pPr>
              <w:widowControl/>
              <w:spacing w:line="240" w:lineRule="exact"/>
              <w:jc w:val="left"/>
              <w:rPr>
                <w:rFonts w:hint="eastAsia" w:ascii="宋体" w:hAnsi="宋体"/>
                <w:color w:val="000000"/>
                <w:sz w:val="18"/>
                <w:szCs w:val="18"/>
              </w:rPr>
            </w:pPr>
            <w:r>
              <w:rPr>
                <w:rFonts w:hint="eastAsia" w:ascii="宋体" w:hAnsi="宋体"/>
                <w:color w:val="000000"/>
                <w:sz w:val="18"/>
                <w:szCs w:val="18"/>
              </w:rPr>
              <w:t>21.信息查看：可查看所有团队与我的团队成员信息，包括：团队名称、组员姓名、学号、职位、审核状态、成绩、操作（包括：通过、拒绝、删除.等；</w:t>
            </w:r>
          </w:p>
          <w:p w14:paraId="0FD7B64F">
            <w:pPr>
              <w:widowControl/>
              <w:spacing w:line="240" w:lineRule="exact"/>
              <w:jc w:val="left"/>
              <w:rPr>
                <w:rFonts w:hint="eastAsia" w:ascii="宋体" w:hAnsi="宋体"/>
                <w:color w:val="000000"/>
                <w:sz w:val="18"/>
                <w:szCs w:val="18"/>
              </w:rPr>
            </w:pPr>
            <w:r>
              <w:rPr>
                <w:rFonts w:hint="eastAsia" w:ascii="宋体" w:hAnsi="宋体"/>
                <w:color w:val="000000"/>
                <w:sz w:val="18"/>
                <w:szCs w:val="18"/>
              </w:rPr>
              <w:t>22.可以查看该班级内所有学员的详细信息，包含图像、姓名、学号、性别、成绩、所属团队；</w:t>
            </w:r>
          </w:p>
          <w:p w14:paraId="6179B164">
            <w:pPr>
              <w:widowControl/>
              <w:spacing w:line="240" w:lineRule="exact"/>
              <w:jc w:val="left"/>
              <w:rPr>
                <w:rFonts w:hint="eastAsia" w:ascii="宋体" w:hAnsi="宋体"/>
                <w:color w:val="000000"/>
                <w:sz w:val="18"/>
                <w:szCs w:val="18"/>
              </w:rPr>
            </w:pPr>
            <w:r>
              <w:rPr>
                <w:rFonts w:hint="eastAsia" w:ascii="宋体" w:hAnsi="宋体"/>
                <w:color w:val="000000"/>
                <w:sz w:val="18"/>
                <w:szCs w:val="18"/>
              </w:rPr>
              <w:t>23.可查看学员个人及团队的排行情况，每个章节教学任务完成后，榜单会进行自动实时更新，动态变化；</w:t>
            </w:r>
          </w:p>
          <w:p w14:paraId="1497281E">
            <w:pPr>
              <w:widowControl/>
              <w:spacing w:line="240" w:lineRule="exact"/>
              <w:jc w:val="left"/>
              <w:rPr>
                <w:rFonts w:hint="eastAsia" w:ascii="宋体" w:hAnsi="宋体"/>
                <w:color w:val="000000"/>
                <w:sz w:val="18"/>
                <w:szCs w:val="18"/>
              </w:rPr>
            </w:pPr>
            <w:r>
              <w:rPr>
                <w:rFonts w:hint="eastAsia" w:ascii="宋体" w:hAnsi="宋体"/>
                <w:color w:val="000000"/>
                <w:sz w:val="18"/>
                <w:szCs w:val="18"/>
              </w:rPr>
              <w:t>24.班级成员可在作品圈看到班级内所有小组或个人上传的公开作品，并可进行组内或组间互相进行点赞、评论、评分等互动；</w:t>
            </w:r>
          </w:p>
          <w:p w14:paraId="05EAB1C3">
            <w:pPr>
              <w:widowControl/>
              <w:spacing w:line="240" w:lineRule="exact"/>
              <w:jc w:val="left"/>
              <w:rPr>
                <w:rFonts w:hint="eastAsia" w:ascii="宋体" w:hAnsi="宋体"/>
                <w:color w:val="000000"/>
                <w:sz w:val="18"/>
                <w:szCs w:val="18"/>
              </w:rPr>
            </w:pPr>
            <w:r>
              <w:rPr>
                <w:rFonts w:hint="eastAsia" w:ascii="宋体" w:hAnsi="宋体"/>
                <w:color w:val="000000"/>
                <w:sz w:val="18"/>
                <w:szCs w:val="18"/>
              </w:rPr>
              <w:t>25.学生通过考试系统进行测试，客观题可实现系统自动考核，主观题由教师主观考核；</w:t>
            </w:r>
          </w:p>
          <w:p w14:paraId="17B2356C">
            <w:pPr>
              <w:widowControl/>
              <w:spacing w:line="240" w:lineRule="exact"/>
              <w:jc w:val="left"/>
              <w:rPr>
                <w:rFonts w:hint="eastAsia" w:ascii="宋体" w:hAnsi="宋体"/>
                <w:color w:val="000000"/>
                <w:sz w:val="18"/>
                <w:szCs w:val="18"/>
              </w:rPr>
            </w:pPr>
            <w:r>
              <w:rPr>
                <w:rFonts w:hint="eastAsia" w:ascii="宋体" w:hAnsi="宋体"/>
                <w:color w:val="000000"/>
                <w:sz w:val="18"/>
                <w:szCs w:val="18"/>
              </w:rPr>
              <w:t>26.软件为学生提供个人错题集，实现高效与精准复习；</w:t>
            </w:r>
          </w:p>
          <w:p w14:paraId="2AB830D3">
            <w:pPr>
              <w:widowControl/>
              <w:spacing w:line="240" w:lineRule="exact"/>
              <w:jc w:val="left"/>
              <w:rPr>
                <w:rFonts w:hint="eastAsia" w:ascii="宋体" w:hAnsi="宋体"/>
                <w:color w:val="000000"/>
                <w:sz w:val="18"/>
                <w:szCs w:val="18"/>
              </w:rPr>
            </w:pPr>
            <w:r>
              <w:rPr>
                <w:rFonts w:hint="eastAsia" w:ascii="宋体" w:hAnsi="宋体"/>
                <w:color w:val="000000"/>
                <w:sz w:val="18"/>
                <w:szCs w:val="18"/>
              </w:rPr>
              <w:t>27.学生仅可以看到个人的评价内容，包含团队实时排行、个人实时排行、评价雷达图、以及个人相关的态度考核平均分、知识考核平均分、技能考核平均分、素养考核平均分等；</w:t>
            </w:r>
          </w:p>
          <w:p w14:paraId="7735D827">
            <w:pPr>
              <w:widowControl/>
              <w:spacing w:line="240" w:lineRule="exact"/>
              <w:jc w:val="left"/>
              <w:rPr>
                <w:rFonts w:hint="eastAsia" w:ascii="宋体" w:hAnsi="宋体"/>
                <w:color w:val="000000"/>
                <w:sz w:val="18"/>
                <w:szCs w:val="18"/>
              </w:rPr>
            </w:pPr>
            <w:r>
              <w:rPr>
                <w:rFonts w:hint="eastAsia" w:ascii="宋体" w:hAnsi="宋体"/>
                <w:color w:val="000000"/>
                <w:sz w:val="18"/>
                <w:szCs w:val="18"/>
              </w:rPr>
              <w:t>28.知识考核，可以查看个人成绩，并且对题目考核情况进行详细分析；</w:t>
            </w:r>
          </w:p>
          <w:p w14:paraId="67B257A3">
            <w:pPr>
              <w:widowControl/>
              <w:spacing w:line="240" w:lineRule="exact"/>
              <w:jc w:val="left"/>
              <w:rPr>
                <w:rFonts w:hint="eastAsia" w:ascii="宋体" w:hAnsi="宋体"/>
                <w:color w:val="000000"/>
                <w:sz w:val="18"/>
                <w:szCs w:val="18"/>
              </w:rPr>
            </w:pPr>
            <w:r>
              <w:rPr>
                <w:rFonts w:hint="eastAsia" w:ascii="宋体" w:hAnsi="宋体"/>
                <w:color w:val="000000"/>
                <w:sz w:val="18"/>
                <w:szCs w:val="18"/>
              </w:rPr>
              <w:t>29.态度考核，可以查看个人态度成绩，软件可抓取不低于14个行为数据。技能考核，可以查看个人技能成绩；</w:t>
            </w:r>
          </w:p>
          <w:p w14:paraId="3FD8F1A4">
            <w:pPr>
              <w:widowControl/>
              <w:spacing w:line="240" w:lineRule="exact"/>
              <w:jc w:val="left"/>
              <w:rPr>
                <w:rFonts w:hint="eastAsia" w:ascii="宋体" w:hAnsi="宋体"/>
                <w:color w:val="000000"/>
                <w:sz w:val="18"/>
                <w:szCs w:val="18"/>
              </w:rPr>
            </w:pPr>
            <w:r>
              <w:rPr>
                <w:rFonts w:hint="eastAsia" w:ascii="宋体" w:hAnsi="宋体"/>
                <w:color w:val="000000"/>
                <w:sz w:val="18"/>
                <w:szCs w:val="18"/>
              </w:rPr>
              <w:t>30.素养考核，可查看个人素养成绩，基于国家素养标准以及个性化需求考核，考核项不低于35个指标；</w:t>
            </w:r>
          </w:p>
          <w:p w14:paraId="00BAE9DD">
            <w:pPr>
              <w:widowControl/>
              <w:spacing w:line="240" w:lineRule="exact"/>
              <w:jc w:val="left"/>
              <w:rPr>
                <w:rFonts w:hint="eastAsia" w:ascii="宋体" w:hAnsi="宋体"/>
                <w:color w:val="000000"/>
                <w:sz w:val="18"/>
                <w:szCs w:val="18"/>
              </w:rPr>
            </w:pPr>
            <w:r>
              <w:rPr>
                <w:rFonts w:hint="eastAsia" w:ascii="宋体" w:hAnsi="宋体"/>
                <w:color w:val="000000"/>
                <w:sz w:val="18"/>
                <w:szCs w:val="18"/>
              </w:rPr>
              <w:t>31.期末成绩，可以查看个人期末成绩。</w:t>
            </w:r>
          </w:p>
          <w:p w14:paraId="1DAA6920">
            <w:pPr>
              <w:widowControl/>
              <w:spacing w:line="240" w:lineRule="exact"/>
              <w:jc w:val="left"/>
              <w:rPr>
                <w:rFonts w:hint="eastAsia" w:ascii="宋体" w:hAnsi="宋体"/>
                <w:color w:val="000000"/>
                <w:sz w:val="18"/>
                <w:szCs w:val="18"/>
              </w:rPr>
            </w:pPr>
            <w:r>
              <w:rPr>
                <w:rFonts w:hint="eastAsia" w:ascii="宋体" w:hAnsi="宋体"/>
                <w:color w:val="000000"/>
                <w:sz w:val="18"/>
                <w:szCs w:val="18"/>
              </w:rPr>
              <w:t>四、实训模块内容</w:t>
            </w:r>
          </w:p>
          <w:p w14:paraId="2D8FC00D">
            <w:pPr>
              <w:widowControl/>
              <w:spacing w:line="240" w:lineRule="exact"/>
              <w:jc w:val="left"/>
              <w:rPr>
                <w:rFonts w:hint="eastAsia" w:ascii="宋体" w:hAnsi="宋体"/>
                <w:color w:val="000000"/>
                <w:sz w:val="18"/>
                <w:szCs w:val="18"/>
              </w:rPr>
            </w:pPr>
            <w:r>
              <w:rPr>
                <w:rFonts w:hint="eastAsia" w:ascii="宋体" w:hAnsi="宋体"/>
                <w:color w:val="000000"/>
                <w:sz w:val="18"/>
                <w:szCs w:val="18"/>
              </w:rPr>
              <w:t>软件提供不低于10个短视频平台的核心模块仿真实训，提升学生的动手操作能力。任务目录如下：</w:t>
            </w:r>
          </w:p>
          <w:p w14:paraId="7EC78660">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项目一 认识主流短视频</w:t>
            </w:r>
            <w:r>
              <w:tab/>
            </w:r>
            <w:r>
              <w:tab/>
            </w:r>
          </w:p>
          <w:p w14:paraId="477B1CA7">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 短视频行业概述</w:t>
            </w:r>
          </w:p>
          <w:p w14:paraId="590719FE">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任务1.2 主流短视频平台分析</w:t>
            </w:r>
          </w:p>
          <w:p w14:paraId="007D11A0">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项目二 账号定位与搭建技巧</w:t>
            </w:r>
            <w:r>
              <w:tab/>
            </w:r>
          </w:p>
          <w:p w14:paraId="5919CD43">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任务2.1 短视频账号定位</w:t>
            </w:r>
          </w:p>
          <w:p w14:paraId="4DE46EA3">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任务2.2 组建短视频团队</w:t>
            </w:r>
          </w:p>
          <w:p w14:paraId="4F754CB7">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任务2.3 搭建短视频账号</w:t>
            </w:r>
          </w:p>
          <w:p w14:paraId="620CD8BA">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项目三 短视频文案策划技巧</w:t>
            </w:r>
            <w:r>
              <w:tab/>
            </w:r>
          </w:p>
          <w:p w14:paraId="21E34604">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任务3.1 短视频选题技巧</w:t>
            </w:r>
          </w:p>
          <w:p w14:paraId="2701D741">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任务3.2 短视频拆片技巧</w:t>
            </w:r>
          </w:p>
          <w:p w14:paraId="0CAB9D40">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任务3.3 短视频文案创作思维</w:t>
            </w:r>
          </w:p>
          <w:p w14:paraId="2EBC626A">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任务3.4 短视频文案写作技巧</w:t>
            </w:r>
          </w:p>
          <w:p w14:paraId="0C183EE6">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任务3.5 撰写分镜头脚本</w:t>
            </w:r>
          </w:p>
          <w:p w14:paraId="1931AE7C">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任务3.6 情绪曲线设计</w:t>
            </w:r>
          </w:p>
          <w:p w14:paraId="21FF95FA">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任务3.7 设计剧情结构</w:t>
            </w:r>
          </w:p>
          <w:p w14:paraId="652963DF">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项目四 短视频拍摄技巧</w:t>
            </w:r>
          </w:p>
          <w:p w14:paraId="7FE949DC">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任务4.1 短视频拍摄前期准备</w:t>
            </w:r>
          </w:p>
          <w:p w14:paraId="33C373AF">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任务4.2 短视频拍摄要素</w:t>
            </w:r>
          </w:p>
          <w:p w14:paraId="6C39D6AA">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任务4.3 短视频拍摄构图原理和技巧</w:t>
            </w:r>
          </w:p>
          <w:p w14:paraId="01ED2CA6">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任务4.4 短视频拍摄布光技巧</w:t>
            </w:r>
          </w:p>
          <w:p w14:paraId="02D69D92">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任务4.5 短视频进阶拍摄技巧</w:t>
            </w:r>
          </w:p>
          <w:p w14:paraId="7E67A588">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项目五 短视频剪辑技巧</w:t>
            </w:r>
            <w:r>
              <w:tab/>
            </w:r>
          </w:p>
          <w:p w14:paraId="69464BC9">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任务5.1 短视频剪辑逻辑</w:t>
            </w:r>
          </w:p>
          <w:p w14:paraId="48D63A42">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任务5.2 短视频剪辑技巧</w:t>
            </w:r>
          </w:p>
          <w:p w14:paraId="5D85C074">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任务5.3 短视频配音配乐</w:t>
            </w:r>
          </w:p>
          <w:p w14:paraId="6F35111B">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任务5.4 短视频特效制作</w:t>
            </w:r>
          </w:p>
          <w:p w14:paraId="61DE3962">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项目六 短视频运营技巧</w:t>
            </w:r>
            <w:r>
              <w:tab/>
            </w:r>
          </w:p>
          <w:p w14:paraId="254C591E">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任务6.1 短视频流量推荐机制</w:t>
            </w:r>
          </w:p>
          <w:p w14:paraId="7D0398AE">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任务6.2 短视频核心数据指标分析</w:t>
            </w:r>
          </w:p>
          <w:p w14:paraId="0E0541AD">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任务6.3 自然流量获取技巧</w:t>
            </w:r>
          </w:p>
          <w:p w14:paraId="7AB54410">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任务6.4  投放技巧</w:t>
            </w:r>
          </w:p>
          <w:p w14:paraId="17011F30">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项目七 短视频变现技巧</w:t>
            </w:r>
            <w:r>
              <w:tab/>
            </w:r>
          </w:p>
          <w:p w14:paraId="21163434">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任务7.1 短视频账号变现方式</w:t>
            </w:r>
          </w:p>
          <w:p w14:paraId="6BDD7878">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任务7.2 开通橱窗小黄车</w:t>
            </w:r>
          </w:p>
          <w:p w14:paraId="2A637BAC">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任务7.3 开通小店</w:t>
            </w:r>
          </w:p>
          <w:p w14:paraId="458C3480">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任务7.4 心理账户基础</w:t>
            </w:r>
          </w:p>
          <w:p w14:paraId="2EC6E320">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任务7.5 心理账户应用</w:t>
            </w:r>
          </w:p>
          <w:p w14:paraId="1F040730">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项目八 短视频数据分析技巧</w:t>
            </w:r>
            <w:r>
              <w:tab/>
            </w:r>
          </w:p>
          <w:p w14:paraId="789477A1">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任务8.1 常见数据分析平台</w:t>
            </w:r>
          </w:p>
          <w:p w14:paraId="72BE485B">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任务8.2 个人短视频数据分析</w:t>
            </w:r>
          </w:p>
          <w:p w14:paraId="08EAC86B">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任务8.3 商业短视频数据分析</w:t>
            </w:r>
          </w:p>
          <w:p w14:paraId="32176001">
            <w:pPr>
              <w:widowControl/>
              <w:spacing w:line="240" w:lineRule="exact"/>
              <w:jc w:val="left"/>
              <w:rPr>
                <w:rFonts w:hint="eastAsia" w:ascii="宋体" w:hAnsi="宋体"/>
                <w:color w:val="000000"/>
                <w:sz w:val="18"/>
                <w:szCs w:val="18"/>
              </w:rPr>
            </w:pPr>
            <w:r>
              <w:rPr>
                <w:rFonts w:hint="eastAsia" w:ascii="宋体" w:hAnsi="宋体"/>
                <w:color w:val="000000"/>
                <w:sz w:val="18"/>
                <w:szCs w:val="18"/>
              </w:rPr>
              <w:t>五、团队项目实战模块</w:t>
            </w:r>
          </w:p>
          <w:p w14:paraId="45CAC381">
            <w:pPr>
              <w:widowControl/>
              <w:spacing w:line="240" w:lineRule="exact"/>
              <w:jc w:val="left"/>
              <w:rPr>
                <w:rFonts w:hint="eastAsia" w:ascii="宋体" w:hAnsi="宋体"/>
                <w:color w:val="000000"/>
                <w:sz w:val="18"/>
                <w:szCs w:val="18"/>
              </w:rPr>
            </w:pPr>
            <w:r>
              <w:rPr>
                <w:rFonts w:hint="eastAsia" w:ascii="宋体" w:hAnsi="宋体"/>
                <w:color w:val="000000"/>
                <w:sz w:val="18"/>
                <w:szCs w:val="18"/>
              </w:rPr>
              <w:t>支持权重动态调整，支持文案数量动态调整、支持3种角色评价功能、支持评价指标动态调整功能、提供教学活动功能、提供精准教学资源学习功能等。节点功能如下：</w:t>
            </w:r>
          </w:p>
          <w:p w14:paraId="0EBB0E19">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项目一 团队组建；包含团队能力测评问卷（不少于45题.，岗位分配功能，定岗等功能。</w:t>
            </w:r>
          </w:p>
          <w:p w14:paraId="39188D94">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项目二 账号定位；采用主流的定位工具，不低于9个定价维度；成果展示功能；成果评价（评价指标不低于25个.，以及排行榜等功能。</w:t>
            </w:r>
          </w:p>
          <w:p w14:paraId="7DFC3EF4">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项目三 账号搭建；利用账号搭建模拟器，搭建账号；成果展示功能；成果评价（评价指标不低于5个.，以及排行榜等功能。</w:t>
            </w:r>
          </w:p>
          <w:p w14:paraId="51080ED3">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△项目四 文案创作；软件拥有短视频文案公式生成器，生成公式不少于100万个；文案创作编辑器、成果展示功能；成果评价（评价指标不低于8个，以及排行榜等功能）。</w:t>
            </w:r>
          </w:p>
          <w:p w14:paraId="3D2D9BFB">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项目五 脚本创作；软件拥有脚本创作编辑器，分项不低于6项、成果展示功能；成果评价（评价指标不低于8个.，以及排行榜等功能。</w:t>
            </w:r>
          </w:p>
          <w:p w14:paraId="19C5B22B">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项目六 视频拍摄；软件拥有成果展示功能；成果评价（评价指标不低于8个.，以及排行榜等功能，支持查询与视频匹配的文案与脚本功能。</w:t>
            </w:r>
          </w:p>
          <w:p w14:paraId="5050E81F">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项目七 视频剪辑；软件拥有成果展示功能；成果评价（评价指标不低于10个.，以及排行榜等功能，支持查询与视频匹配的文案、脚本功能、源文件等。</w:t>
            </w:r>
          </w:p>
          <w:p w14:paraId="4AE5D88F">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项目八 视频运营；软件拥有成果展示功能、视频数据展示功能以及排行榜等功能。</w:t>
            </w:r>
          </w:p>
          <w:p w14:paraId="6EB1C3FB">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△项目九 数据分析；软件拥有分项数据分析（不少于7项.，团队增值评价、视频数据分析、个人排名、团队综合排名等数据分析。</w:t>
            </w:r>
          </w:p>
        </w:tc>
      </w:tr>
      <w:tr w14:paraId="2A43B6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5" w:type="dxa"/>
            <w:vAlign w:val="center"/>
          </w:tcPr>
          <w:p w14:paraId="23196E81">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4</w:t>
            </w:r>
          </w:p>
        </w:tc>
        <w:tc>
          <w:tcPr>
            <w:tcW w:w="767" w:type="dxa"/>
            <w:shd w:val="clear" w:color="auto" w:fill="FFFFFF"/>
            <w:vAlign w:val="center"/>
          </w:tcPr>
          <w:p w14:paraId="21B115A5">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新媒体数据分析仿真实训系统</w:t>
            </w:r>
          </w:p>
        </w:tc>
        <w:tc>
          <w:tcPr>
            <w:tcW w:w="3747" w:type="dxa"/>
            <w:vAlign w:val="center"/>
          </w:tcPr>
          <w:p w14:paraId="2198190F">
            <w:pPr>
              <w:widowControl/>
              <w:spacing w:line="240" w:lineRule="exact"/>
              <w:jc w:val="left"/>
              <w:rPr>
                <w:rFonts w:hint="eastAsia" w:ascii="宋体" w:hAnsi="宋体"/>
                <w:color w:val="000000"/>
                <w:sz w:val="18"/>
                <w:szCs w:val="18"/>
              </w:rPr>
            </w:pPr>
            <w:r>
              <w:rPr>
                <w:rFonts w:hint="eastAsia" w:ascii="宋体" w:hAnsi="宋体"/>
                <w:color w:val="000000"/>
                <w:sz w:val="18"/>
                <w:szCs w:val="18"/>
              </w:rPr>
              <w:t>一、管理端功能</w:t>
            </w:r>
          </w:p>
          <w:p w14:paraId="63061E2D">
            <w:pPr>
              <w:widowControl/>
              <w:spacing w:line="240" w:lineRule="exact"/>
              <w:jc w:val="left"/>
              <w:rPr>
                <w:rFonts w:hint="eastAsia" w:ascii="宋体" w:hAnsi="宋体"/>
                <w:color w:val="000000"/>
                <w:sz w:val="18"/>
                <w:szCs w:val="18"/>
              </w:rPr>
            </w:pPr>
            <w:r>
              <w:rPr>
                <w:rFonts w:hint="eastAsia" w:ascii="宋体" w:hAnsi="宋体"/>
                <w:color w:val="000000"/>
                <w:sz w:val="18"/>
                <w:szCs w:val="18"/>
              </w:rPr>
              <w:t>1.平台支持 PC端版学习，提供不少于100个账号；</w:t>
            </w:r>
          </w:p>
          <w:p w14:paraId="7CC09A5B">
            <w:pPr>
              <w:widowControl/>
              <w:spacing w:line="240" w:lineRule="exact"/>
              <w:jc w:val="left"/>
              <w:rPr>
                <w:rFonts w:hint="eastAsia" w:ascii="宋体" w:hAnsi="宋体"/>
                <w:color w:val="000000"/>
                <w:sz w:val="18"/>
                <w:szCs w:val="18"/>
              </w:rPr>
            </w:pPr>
            <w:r>
              <w:rPr>
                <w:rFonts w:hint="eastAsia" w:ascii="宋体" w:hAnsi="宋体"/>
                <w:color w:val="000000"/>
                <w:sz w:val="18"/>
                <w:szCs w:val="18"/>
              </w:rPr>
              <w:t>2.账号密码登录：可通过该账密登录管理系统；</w:t>
            </w:r>
          </w:p>
          <w:p w14:paraId="03EE987D">
            <w:pPr>
              <w:widowControl/>
              <w:spacing w:line="240" w:lineRule="exact"/>
              <w:jc w:val="left"/>
              <w:rPr>
                <w:rFonts w:hint="eastAsia" w:ascii="宋体" w:hAnsi="宋体"/>
                <w:color w:val="000000"/>
                <w:sz w:val="18"/>
                <w:szCs w:val="18"/>
              </w:rPr>
            </w:pPr>
            <w:r>
              <w:rPr>
                <w:rFonts w:hint="eastAsia" w:ascii="宋体" w:hAnsi="宋体"/>
                <w:color w:val="000000"/>
                <w:sz w:val="18"/>
                <w:szCs w:val="18"/>
              </w:rPr>
              <w:t>3.学校管理：对平台上的用户进行维护管理、进行新增、修改、删除等操作；</w:t>
            </w:r>
          </w:p>
          <w:p w14:paraId="735C9799">
            <w:pPr>
              <w:widowControl/>
              <w:spacing w:line="240" w:lineRule="exact"/>
              <w:jc w:val="left"/>
              <w:rPr>
                <w:rFonts w:hint="eastAsia" w:ascii="宋体" w:hAnsi="宋体"/>
                <w:color w:val="000000"/>
                <w:sz w:val="18"/>
                <w:szCs w:val="18"/>
              </w:rPr>
            </w:pPr>
            <w:r>
              <w:rPr>
                <w:rFonts w:hint="eastAsia" w:ascii="宋体" w:hAnsi="宋体"/>
                <w:color w:val="000000"/>
                <w:sz w:val="18"/>
                <w:szCs w:val="18"/>
              </w:rPr>
              <w:t>4.教师管理：对平台上的教师进行维护管理、进行新增、修改、删除等操作；</w:t>
            </w:r>
          </w:p>
          <w:p w14:paraId="4230BE85">
            <w:pPr>
              <w:widowControl/>
              <w:spacing w:line="240" w:lineRule="exact"/>
              <w:jc w:val="left"/>
              <w:rPr>
                <w:rFonts w:hint="eastAsia" w:ascii="宋体" w:hAnsi="宋体"/>
                <w:color w:val="000000"/>
                <w:sz w:val="18"/>
                <w:szCs w:val="18"/>
              </w:rPr>
            </w:pPr>
            <w:r>
              <w:rPr>
                <w:rFonts w:hint="eastAsia" w:ascii="宋体" w:hAnsi="宋体"/>
                <w:color w:val="000000"/>
                <w:sz w:val="18"/>
                <w:szCs w:val="18"/>
              </w:rPr>
              <w:t>5.学生管理：对平台上的学员进行维护管理、进行新增、修改、删除等操作；</w:t>
            </w:r>
          </w:p>
          <w:p w14:paraId="6309CA8F">
            <w:pPr>
              <w:widowControl/>
              <w:spacing w:line="240" w:lineRule="exact"/>
              <w:jc w:val="left"/>
              <w:rPr>
                <w:rFonts w:hint="eastAsia" w:ascii="宋体" w:hAnsi="宋体"/>
                <w:color w:val="000000"/>
                <w:sz w:val="18"/>
                <w:szCs w:val="18"/>
              </w:rPr>
            </w:pPr>
            <w:r>
              <w:rPr>
                <w:rFonts w:hint="eastAsia" w:ascii="宋体" w:hAnsi="宋体"/>
                <w:color w:val="000000"/>
                <w:sz w:val="18"/>
                <w:szCs w:val="18"/>
              </w:rPr>
              <w:t>6.课程管理：对平台上的课程进行维护管理、进行课程创建、修改、删除等操作。</w:t>
            </w:r>
          </w:p>
          <w:p w14:paraId="09ACAC6A">
            <w:pPr>
              <w:widowControl/>
              <w:spacing w:line="240" w:lineRule="exact"/>
              <w:jc w:val="left"/>
              <w:rPr>
                <w:rFonts w:hint="eastAsia" w:ascii="宋体" w:hAnsi="宋体"/>
                <w:color w:val="000000"/>
                <w:sz w:val="18"/>
                <w:szCs w:val="18"/>
              </w:rPr>
            </w:pPr>
            <w:r>
              <w:rPr>
                <w:rFonts w:hint="eastAsia" w:ascii="宋体" w:hAnsi="宋体"/>
                <w:color w:val="000000"/>
                <w:sz w:val="18"/>
                <w:szCs w:val="18"/>
              </w:rPr>
              <w:t>7.章节管理：可以对平台上的课程进行章节新增、删除、编辑等操作；</w:t>
            </w:r>
          </w:p>
          <w:p w14:paraId="405F1787">
            <w:pPr>
              <w:widowControl/>
              <w:spacing w:line="240" w:lineRule="exact"/>
              <w:jc w:val="left"/>
              <w:rPr>
                <w:rFonts w:hint="eastAsia" w:ascii="宋体" w:hAnsi="宋体"/>
                <w:color w:val="000000"/>
                <w:sz w:val="18"/>
                <w:szCs w:val="18"/>
              </w:rPr>
            </w:pPr>
            <w:r>
              <w:rPr>
                <w:rFonts w:hint="eastAsia" w:ascii="宋体" w:hAnsi="宋体"/>
                <w:color w:val="000000"/>
                <w:sz w:val="18"/>
                <w:szCs w:val="18"/>
              </w:rPr>
              <w:t>二、教师端功能</w:t>
            </w:r>
          </w:p>
          <w:p w14:paraId="1B1678A7">
            <w:pPr>
              <w:widowControl/>
              <w:spacing w:line="240" w:lineRule="exact"/>
              <w:jc w:val="left"/>
              <w:rPr>
                <w:rFonts w:hint="eastAsia" w:ascii="宋体" w:hAnsi="宋体"/>
                <w:color w:val="000000"/>
                <w:sz w:val="18"/>
                <w:szCs w:val="18"/>
              </w:rPr>
            </w:pPr>
            <w:r>
              <w:rPr>
                <w:rFonts w:hint="eastAsia" w:ascii="宋体" w:hAnsi="宋体"/>
                <w:color w:val="000000"/>
                <w:sz w:val="18"/>
                <w:szCs w:val="18"/>
              </w:rPr>
              <w:t>1.登录：通过账号、密码方式登录（账号及密码由管理端创建.；</w:t>
            </w:r>
          </w:p>
          <w:p w14:paraId="481F53A4">
            <w:pPr>
              <w:widowControl/>
              <w:spacing w:line="240" w:lineRule="exact"/>
              <w:jc w:val="left"/>
              <w:rPr>
                <w:rFonts w:hint="eastAsia" w:ascii="宋体" w:hAnsi="宋体"/>
                <w:color w:val="000000"/>
                <w:sz w:val="18"/>
                <w:szCs w:val="18"/>
              </w:rPr>
            </w:pPr>
            <w:r>
              <w:rPr>
                <w:rFonts w:hint="eastAsia" w:ascii="宋体" w:hAnsi="宋体"/>
                <w:color w:val="000000"/>
                <w:sz w:val="18"/>
                <w:szCs w:val="18"/>
              </w:rPr>
              <w:t>2.课程展示·登录后，展示平台上的所有授课课程封面，课程封面上体现：课程名称、班级名称、邀请码、任务数、团队、学员数、进度以及开始上课等信息；</w:t>
            </w:r>
          </w:p>
          <w:p w14:paraId="74D8A486">
            <w:pPr>
              <w:widowControl/>
              <w:spacing w:line="240" w:lineRule="exact"/>
              <w:jc w:val="left"/>
              <w:rPr>
                <w:rFonts w:hint="eastAsia" w:ascii="宋体" w:hAnsi="宋体"/>
                <w:color w:val="000000"/>
                <w:sz w:val="18"/>
                <w:szCs w:val="18"/>
              </w:rPr>
            </w:pPr>
            <w:r>
              <w:rPr>
                <w:rFonts w:hint="eastAsia" w:ascii="宋体" w:hAnsi="宋体"/>
                <w:color w:val="000000"/>
                <w:sz w:val="18"/>
                <w:szCs w:val="18"/>
              </w:rPr>
              <w:t>3.个人中心：可对教师的个人信息进行修改、更新等；</w:t>
            </w:r>
          </w:p>
          <w:p w14:paraId="362CA2BD">
            <w:pPr>
              <w:widowControl/>
              <w:spacing w:line="240" w:lineRule="exact"/>
              <w:jc w:val="left"/>
              <w:rPr>
                <w:rFonts w:hint="eastAsia" w:ascii="宋体" w:hAnsi="宋体"/>
                <w:color w:val="000000"/>
                <w:sz w:val="18"/>
                <w:szCs w:val="18"/>
              </w:rPr>
            </w:pPr>
            <w:r>
              <w:rPr>
                <w:rFonts w:hint="eastAsia" w:ascii="宋体" w:hAnsi="宋体"/>
                <w:color w:val="000000"/>
                <w:sz w:val="18"/>
                <w:szCs w:val="18"/>
              </w:rPr>
              <w:t>4. 创建班级：教师可在此进行班级的新增。班级的创建信息包含： 班级封面、班级名称、课程选择等；其中班级封面可从平台内置的图片库中选取，也可自行从本地上传。班级创建完成后，系统生成班级的邀请码；</w:t>
            </w:r>
          </w:p>
          <w:p w14:paraId="696C0273">
            <w:pPr>
              <w:widowControl/>
              <w:spacing w:line="240" w:lineRule="exact"/>
              <w:jc w:val="left"/>
              <w:rPr>
                <w:rFonts w:hint="eastAsia" w:ascii="宋体" w:hAnsi="宋体"/>
                <w:color w:val="000000"/>
                <w:sz w:val="18"/>
                <w:szCs w:val="18"/>
              </w:rPr>
            </w:pPr>
            <w:r>
              <w:rPr>
                <w:rFonts w:hint="eastAsia" w:ascii="宋体" w:hAnsi="宋体"/>
                <w:color w:val="000000"/>
                <w:sz w:val="18"/>
                <w:szCs w:val="18"/>
              </w:rPr>
              <w:t>5.我的班级：显示教师当前正在授课的班级，课程名称、班级名称、邀请码、任务数、团队、学员数、进度以及开始上课等信息；</w:t>
            </w:r>
          </w:p>
          <w:p w14:paraId="6FA6F527">
            <w:pPr>
              <w:widowControl/>
              <w:spacing w:line="240" w:lineRule="exact"/>
              <w:jc w:val="left"/>
              <w:rPr>
                <w:rFonts w:hint="eastAsia" w:ascii="宋体" w:hAnsi="宋体"/>
                <w:color w:val="000000"/>
                <w:sz w:val="18"/>
                <w:szCs w:val="18"/>
              </w:rPr>
            </w:pPr>
            <w:r>
              <w:rPr>
                <w:rFonts w:hint="eastAsia" w:ascii="宋体" w:hAnsi="宋体"/>
                <w:color w:val="000000"/>
                <w:sz w:val="18"/>
                <w:szCs w:val="18"/>
              </w:rPr>
              <w:t>6.权重设置：进入到任一班级后，可以进行考核权重的设置，考核内容包括章节态度成绩、章节知识成绩、章节实训成绩、章节素养成绩、考试成绩等；</w:t>
            </w:r>
          </w:p>
          <w:p w14:paraId="7317D146">
            <w:pPr>
              <w:widowControl/>
              <w:spacing w:line="240" w:lineRule="exact"/>
              <w:jc w:val="left"/>
              <w:rPr>
                <w:rFonts w:hint="eastAsia" w:ascii="宋体" w:hAnsi="宋体"/>
                <w:color w:val="000000"/>
                <w:sz w:val="18"/>
                <w:szCs w:val="18"/>
              </w:rPr>
            </w:pPr>
            <w:r>
              <w:rPr>
                <w:rFonts w:hint="eastAsia" w:ascii="宋体" w:hAnsi="宋体"/>
                <w:color w:val="000000"/>
                <w:sz w:val="18"/>
                <w:szCs w:val="18"/>
              </w:rPr>
              <w:t>7.实训功能：平台具有丰富的教学授课功能、教学过程数字化评价功能，满足日常教学功能；</w:t>
            </w:r>
          </w:p>
          <w:p w14:paraId="73C47139">
            <w:pPr>
              <w:widowControl/>
              <w:spacing w:line="240" w:lineRule="exact"/>
              <w:jc w:val="left"/>
              <w:rPr>
                <w:rFonts w:hint="eastAsia" w:ascii="宋体" w:hAnsi="宋体"/>
                <w:color w:val="000000"/>
                <w:sz w:val="18"/>
                <w:szCs w:val="18"/>
              </w:rPr>
            </w:pPr>
            <w:r>
              <w:rPr>
                <w:rFonts w:hint="eastAsia" w:ascii="宋体" w:hAnsi="宋体"/>
                <w:color w:val="000000"/>
                <w:sz w:val="18"/>
                <w:szCs w:val="18"/>
              </w:rPr>
              <w:t>8.课程推送：课程章节需要教师点击课程推送后，学员才可进入该章节进行学习；</w:t>
            </w:r>
          </w:p>
          <w:p w14:paraId="52388F38">
            <w:pPr>
              <w:widowControl/>
              <w:spacing w:line="240" w:lineRule="exact"/>
              <w:jc w:val="left"/>
              <w:rPr>
                <w:rFonts w:hint="eastAsia" w:ascii="宋体" w:hAnsi="宋体"/>
                <w:color w:val="000000"/>
                <w:sz w:val="18"/>
                <w:szCs w:val="18"/>
              </w:rPr>
            </w:pPr>
            <w:r>
              <w:rPr>
                <w:rFonts w:hint="eastAsia" w:ascii="宋体" w:hAnsi="宋体"/>
                <w:color w:val="000000"/>
                <w:sz w:val="18"/>
                <w:szCs w:val="18"/>
              </w:rPr>
              <w:t>9.开始上课：点击开始上课，可以进入教师的授课页面；</w:t>
            </w:r>
          </w:p>
          <w:p w14:paraId="5EDB2664">
            <w:pPr>
              <w:widowControl/>
              <w:spacing w:line="240" w:lineRule="exact"/>
              <w:jc w:val="left"/>
              <w:rPr>
                <w:rFonts w:hint="eastAsia" w:ascii="宋体" w:hAnsi="宋体"/>
                <w:color w:val="000000"/>
                <w:sz w:val="18"/>
                <w:szCs w:val="18"/>
              </w:rPr>
            </w:pPr>
            <w:r>
              <w:rPr>
                <w:rFonts w:hint="eastAsia" w:ascii="宋体" w:hAnsi="宋体"/>
                <w:color w:val="000000"/>
                <w:sz w:val="18"/>
                <w:szCs w:val="18"/>
              </w:rPr>
              <w:t>10.章节内包含：微课视频、PPT课件、参考资料、实训任务、实训指导、技能评价、习题测试、素养评价、教学活动、排行榜等功能标签；</w:t>
            </w:r>
          </w:p>
          <w:p w14:paraId="185CBC5F">
            <w:pPr>
              <w:widowControl/>
              <w:spacing w:line="240" w:lineRule="exact"/>
              <w:jc w:val="left"/>
              <w:rPr>
                <w:rFonts w:hint="eastAsia" w:ascii="宋体" w:hAnsi="宋体"/>
                <w:color w:val="000000"/>
                <w:sz w:val="18"/>
                <w:szCs w:val="18"/>
              </w:rPr>
            </w:pPr>
            <w:r>
              <w:rPr>
                <w:rFonts w:hint="eastAsia" w:ascii="宋体" w:hAnsi="宋体"/>
                <w:color w:val="000000"/>
                <w:sz w:val="18"/>
                <w:szCs w:val="18"/>
              </w:rPr>
              <w:t>11.点击“微课视频”：可查看该节视频内容；可手动关闭该章节的“微课视频”功能；</w:t>
            </w:r>
          </w:p>
          <w:p w14:paraId="38B34D85">
            <w:pPr>
              <w:widowControl/>
              <w:spacing w:line="240" w:lineRule="exact"/>
              <w:jc w:val="left"/>
              <w:rPr>
                <w:rFonts w:hint="eastAsia" w:ascii="宋体" w:hAnsi="宋体"/>
                <w:color w:val="000000"/>
                <w:sz w:val="18"/>
                <w:szCs w:val="18"/>
              </w:rPr>
            </w:pPr>
            <w:r>
              <w:rPr>
                <w:rFonts w:hint="eastAsia" w:ascii="宋体" w:hAnsi="宋体"/>
                <w:color w:val="000000"/>
                <w:sz w:val="18"/>
                <w:szCs w:val="18"/>
              </w:rPr>
              <w:t>12.点击“PPT课件”：可查看该节课件内容；可手动关闭该章节的“PPT课件”功能；</w:t>
            </w:r>
          </w:p>
          <w:p w14:paraId="51B1CC52">
            <w:pPr>
              <w:widowControl/>
              <w:spacing w:line="240" w:lineRule="exact"/>
              <w:jc w:val="left"/>
              <w:rPr>
                <w:rFonts w:hint="eastAsia" w:ascii="宋体" w:hAnsi="宋体"/>
                <w:color w:val="000000"/>
                <w:sz w:val="18"/>
                <w:szCs w:val="18"/>
              </w:rPr>
            </w:pPr>
            <w:r>
              <w:rPr>
                <w:rFonts w:hint="eastAsia" w:ascii="宋体" w:hAnsi="宋体"/>
                <w:color w:val="000000"/>
                <w:sz w:val="18"/>
                <w:szCs w:val="18"/>
              </w:rPr>
              <w:t>13.点击“参考资料”：可查看该节附件内容或下载；可手动关闭该章节的“参考资料” 功能，教师可个性化上传资料；</w:t>
            </w:r>
          </w:p>
          <w:p w14:paraId="2CF839EF">
            <w:pPr>
              <w:widowControl/>
              <w:spacing w:line="240" w:lineRule="exact"/>
              <w:jc w:val="left"/>
              <w:rPr>
                <w:rFonts w:hint="eastAsia" w:ascii="宋体" w:hAnsi="宋体"/>
                <w:color w:val="000000"/>
                <w:sz w:val="18"/>
                <w:szCs w:val="18"/>
              </w:rPr>
            </w:pPr>
            <w:r>
              <w:rPr>
                <w:rFonts w:hint="eastAsia" w:ascii="宋体" w:hAnsi="宋体"/>
                <w:color w:val="000000"/>
                <w:sz w:val="18"/>
                <w:szCs w:val="18"/>
              </w:rPr>
              <w:t>14.点击“实训任务”，可查看该节实训任务书，实训任务中拥有“开始实训”的按钮，方便快速进入短视频数据分析对应的实训操作界面。同时拥有“素材下载”按钮，点击“素材下载”按钮自动下载该节任务所需的实训素材；教师可通过点击“结束实训”来控制结束该节所有学生的实训。教师可手动关闭该章节的“实训任务”功能。</w:t>
            </w:r>
          </w:p>
          <w:p w14:paraId="49D35EFD">
            <w:pPr>
              <w:widowControl/>
              <w:spacing w:line="240" w:lineRule="exact"/>
              <w:jc w:val="left"/>
              <w:rPr>
                <w:rFonts w:hint="eastAsia" w:ascii="宋体" w:hAnsi="宋体"/>
                <w:color w:val="000000"/>
                <w:sz w:val="18"/>
                <w:szCs w:val="18"/>
              </w:rPr>
            </w:pPr>
            <w:r>
              <w:rPr>
                <w:rFonts w:hint="eastAsia" w:ascii="宋体" w:hAnsi="宋体"/>
                <w:color w:val="000000"/>
                <w:sz w:val="18"/>
                <w:szCs w:val="18"/>
              </w:rPr>
              <w:t>15.点击“实训指导”：可查看该节的实训指导书；实训指导中拥有“开始实训”的按钮，方便快速进入实训操作界面。同时拥有“素材下载”按钮，点击“素材下载”按钮自动下载该节任务所需的实训素材；教师可通过点击“结束实训”来控制结束该节所有学生的实训。可手动关闭该章节的“实训指导”功能；</w:t>
            </w:r>
          </w:p>
          <w:p w14:paraId="4CEFEF98">
            <w:pPr>
              <w:widowControl/>
              <w:spacing w:line="240" w:lineRule="exact"/>
              <w:jc w:val="left"/>
              <w:rPr>
                <w:rFonts w:hint="eastAsia" w:ascii="宋体" w:hAnsi="宋体"/>
                <w:color w:val="000000"/>
                <w:sz w:val="18"/>
                <w:szCs w:val="18"/>
              </w:rPr>
            </w:pPr>
            <w:r>
              <w:rPr>
                <w:rFonts w:hint="eastAsia" w:ascii="宋体" w:hAnsi="宋体"/>
                <w:color w:val="000000"/>
                <w:sz w:val="18"/>
                <w:szCs w:val="18"/>
              </w:rPr>
              <w:t>△16.点击“技能评价”：可查看该节所有学生实训任务的完成情况、提交时间、以及实训得分，其中操作类型的实训由系统AI判分；对于已提交实训任务的学员，教师可点击“查看”，来查阅该学员所有实训步骤的操作详情，并具有“打回重做”的功能。可手动关闭该章节的“实战”功能；</w:t>
            </w:r>
          </w:p>
          <w:p w14:paraId="2BC77256">
            <w:pPr>
              <w:widowControl/>
              <w:spacing w:line="240" w:lineRule="exact"/>
              <w:jc w:val="left"/>
              <w:rPr>
                <w:rFonts w:hint="eastAsia" w:ascii="宋体" w:hAnsi="宋体"/>
                <w:color w:val="000000"/>
                <w:sz w:val="18"/>
                <w:szCs w:val="18"/>
              </w:rPr>
            </w:pPr>
            <w:r>
              <w:rPr>
                <w:rFonts w:hint="eastAsia" w:ascii="宋体" w:hAnsi="宋体"/>
                <w:color w:val="000000"/>
                <w:sz w:val="18"/>
                <w:szCs w:val="18"/>
              </w:rPr>
              <w:t>17.点击“习题测试”：可查看该节的习题及每个习题对应的答案，教师可控制允许/不允许学生查看答案；可手动关闭该章节的“习题测试”功能；</w:t>
            </w:r>
          </w:p>
          <w:p w14:paraId="1D7A1819">
            <w:pPr>
              <w:widowControl/>
              <w:spacing w:line="240" w:lineRule="exact"/>
              <w:jc w:val="left"/>
              <w:rPr>
                <w:rFonts w:hint="eastAsia" w:ascii="宋体" w:hAnsi="宋体"/>
                <w:color w:val="000000"/>
                <w:sz w:val="18"/>
                <w:szCs w:val="18"/>
              </w:rPr>
            </w:pPr>
            <w:r>
              <w:rPr>
                <w:rFonts w:hint="eastAsia" w:ascii="宋体" w:hAnsi="宋体"/>
                <w:color w:val="000000"/>
                <w:sz w:val="18"/>
                <w:szCs w:val="18"/>
              </w:rPr>
              <w:t>18.点击“素养评价”：可对每一位学员进行素养评定，素养评定内容包含9个项目大类，25个评定细项，同时教师还可个性化新增素养评定细项；</w:t>
            </w:r>
          </w:p>
          <w:p w14:paraId="6FFB3C2A">
            <w:pPr>
              <w:widowControl/>
              <w:spacing w:line="240" w:lineRule="exact"/>
              <w:jc w:val="left"/>
              <w:rPr>
                <w:rFonts w:hint="eastAsia" w:ascii="宋体" w:hAnsi="宋体"/>
                <w:color w:val="000000"/>
                <w:sz w:val="18"/>
                <w:szCs w:val="18"/>
              </w:rPr>
            </w:pPr>
            <w:r>
              <w:rPr>
                <w:rFonts w:hint="eastAsia" w:ascii="宋体" w:hAnsi="宋体"/>
                <w:color w:val="000000"/>
                <w:sz w:val="18"/>
                <w:szCs w:val="18"/>
              </w:rPr>
              <w:t>19.点击“教学活动”：可使用包括“签到”、“投票”、“选人”、“抢答”、“主题讨论”、“随堂练习”等课堂教学辅助工具，可手动关闭该章节的“教学活动”功能；</w:t>
            </w:r>
          </w:p>
          <w:p w14:paraId="1440033C">
            <w:pPr>
              <w:widowControl/>
              <w:spacing w:line="240" w:lineRule="exact"/>
              <w:jc w:val="left"/>
              <w:rPr>
                <w:rFonts w:hint="eastAsia" w:ascii="宋体" w:hAnsi="宋体"/>
                <w:color w:val="000000"/>
                <w:sz w:val="18"/>
                <w:szCs w:val="18"/>
              </w:rPr>
            </w:pPr>
            <w:r>
              <w:rPr>
                <w:rFonts w:hint="eastAsia" w:ascii="宋体" w:hAnsi="宋体"/>
                <w:color w:val="000000"/>
                <w:sz w:val="18"/>
                <w:szCs w:val="18"/>
              </w:rPr>
              <w:t>20.点击“排行榜”：可查看该小节下，班级所有学生的排行情况，并可展示该节下学员的态度等分、知识得分、技能得分、素养得分及综合得分；点击各排行指标，可以查看各个考核数据，可手动关闭该章节的“排行榜”功能；</w:t>
            </w:r>
          </w:p>
          <w:p w14:paraId="76C8BE87">
            <w:pPr>
              <w:widowControl/>
              <w:spacing w:line="240" w:lineRule="exact"/>
              <w:jc w:val="left"/>
              <w:rPr>
                <w:rFonts w:hint="eastAsia" w:ascii="宋体" w:hAnsi="宋体"/>
                <w:color w:val="000000"/>
                <w:sz w:val="18"/>
                <w:szCs w:val="18"/>
              </w:rPr>
            </w:pPr>
            <w:r>
              <w:rPr>
                <w:rFonts w:hint="eastAsia" w:ascii="宋体" w:hAnsi="宋体"/>
                <w:color w:val="000000"/>
                <w:sz w:val="18"/>
                <w:szCs w:val="18"/>
              </w:rPr>
              <w:t>21.进入章节上课后，左侧可操作展开或隐藏课程目录，点击目录中的任一小节可实现章节跳转，方便教师快速切换章节；</w:t>
            </w:r>
          </w:p>
          <w:p w14:paraId="0E4247EB">
            <w:pPr>
              <w:widowControl/>
              <w:spacing w:line="240" w:lineRule="exact"/>
              <w:jc w:val="left"/>
              <w:rPr>
                <w:rFonts w:hint="eastAsia" w:ascii="宋体" w:hAnsi="宋体"/>
                <w:color w:val="000000"/>
                <w:sz w:val="18"/>
                <w:szCs w:val="18"/>
              </w:rPr>
            </w:pPr>
            <w:r>
              <w:rPr>
                <w:rFonts w:hint="eastAsia" w:ascii="宋体" w:hAnsi="宋体"/>
                <w:color w:val="000000"/>
                <w:sz w:val="18"/>
                <w:szCs w:val="18"/>
              </w:rPr>
              <w:t>22.学员：可以查看该班级内所有学员的详细信息，包含头像、姓名、学号、性别、加入日期等；</w:t>
            </w:r>
          </w:p>
          <w:p w14:paraId="1FCDB40D">
            <w:pPr>
              <w:widowControl/>
              <w:spacing w:line="240" w:lineRule="exact"/>
              <w:jc w:val="left"/>
              <w:rPr>
                <w:rFonts w:hint="eastAsia" w:ascii="宋体" w:hAnsi="宋体"/>
                <w:color w:val="000000"/>
                <w:sz w:val="18"/>
                <w:szCs w:val="18"/>
              </w:rPr>
            </w:pPr>
            <w:r>
              <w:rPr>
                <w:rFonts w:hint="eastAsia" w:ascii="宋体" w:hAnsi="宋体"/>
                <w:color w:val="000000"/>
                <w:sz w:val="18"/>
                <w:szCs w:val="18"/>
              </w:rPr>
              <w:t>23) 英雄榜：可以查看班级学生的成绩排行，信息包含排名、头像、姓名，姓别、学号、得分等。</w:t>
            </w:r>
          </w:p>
          <w:p w14:paraId="31811A9C">
            <w:pPr>
              <w:widowControl/>
              <w:spacing w:line="240" w:lineRule="exact"/>
              <w:jc w:val="left"/>
              <w:rPr>
                <w:rFonts w:hint="eastAsia" w:ascii="宋体" w:hAnsi="宋体"/>
                <w:color w:val="000000"/>
                <w:sz w:val="18"/>
                <w:szCs w:val="18"/>
              </w:rPr>
            </w:pPr>
            <w:r>
              <w:rPr>
                <w:rFonts w:hint="eastAsia" w:ascii="宋体" w:hAnsi="宋体"/>
                <w:color w:val="000000"/>
                <w:sz w:val="18"/>
                <w:szCs w:val="18"/>
              </w:rPr>
              <w:t>24.平台拥有题库功能，可展示当前课程下的习题总数以及各题型的数量，教师可自行新增或导入习题；</w:t>
            </w:r>
          </w:p>
          <w:p w14:paraId="40E69BE1">
            <w:pPr>
              <w:widowControl/>
              <w:spacing w:line="240" w:lineRule="exact"/>
              <w:jc w:val="left"/>
              <w:rPr>
                <w:rFonts w:hint="eastAsia" w:ascii="宋体" w:hAnsi="宋体"/>
                <w:color w:val="000000"/>
                <w:sz w:val="18"/>
                <w:szCs w:val="18"/>
              </w:rPr>
            </w:pPr>
            <w:r>
              <w:rPr>
                <w:rFonts w:hint="eastAsia" w:ascii="宋体" w:hAnsi="宋体"/>
                <w:color w:val="000000"/>
                <w:sz w:val="18"/>
                <w:szCs w:val="18"/>
              </w:rPr>
              <w:t>25.平台拥有考试功能，教师可以根据需求实现智能或手工组卷，可以实现考卷范围的选择，考试发放时间设置，防作弊，AB卷等功能；</w:t>
            </w:r>
          </w:p>
          <w:p w14:paraId="69F6CBF8">
            <w:pPr>
              <w:widowControl/>
              <w:spacing w:line="240" w:lineRule="exact"/>
              <w:jc w:val="left"/>
              <w:rPr>
                <w:rFonts w:hint="eastAsia" w:ascii="宋体" w:hAnsi="宋体"/>
                <w:color w:val="000000"/>
                <w:sz w:val="18"/>
                <w:szCs w:val="18"/>
              </w:rPr>
            </w:pPr>
            <w:r>
              <w:rPr>
                <w:rFonts w:hint="eastAsia" w:ascii="宋体" w:hAnsi="宋体"/>
                <w:color w:val="000000"/>
                <w:sz w:val="18"/>
                <w:szCs w:val="18"/>
              </w:rPr>
              <w:t>26.平台拥有综合数据评价，数据不少于个人成绩，知识成绩、态度成绩、技能成绩、素养成绩等；</w:t>
            </w:r>
          </w:p>
          <w:p w14:paraId="3BFBE301">
            <w:pPr>
              <w:widowControl/>
              <w:spacing w:line="240" w:lineRule="exact"/>
              <w:jc w:val="left"/>
              <w:rPr>
                <w:rFonts w:hint="eastAsia" w:ascii="宋体" w:hAnsi="宋体"/>
                <w:color w:val="000000"/>
                <w:sz w:val="18"/>
                <w:szCs w:val="18"/>
              </w:rPr>
            </w:pPr>
            <w:r>
              <w:rPr>
                <w:rFonts w:hint="eastAsia" w:ascii="宋体" w:hAnsi="宋体"/>
                <w:color w:val="000000"/>
                <w:sz w:val="18"/>
                <w:szCs w:val="18"/>
              </w:rPr>
              <w:t>27.知识考核：可以按个人、班级、章节三种模式进行成绩查询，可以查看每个学员答题详情与数据分析，班级答题详情与数据分析，并且可查看最高分、最低分及平均分；</w:t>
            </w:r>
          </w:p>
          <w:p w14:paraId="49406525">
            <w:pPr>
              <w:widowControl/>
              <w:spacing w:line="240" w:lineRule="exact"/>
              <w:jc w:val="left"/>
              <w:rPr>
                <w:rFonts w:hint="eastAsia" w:ascii="宋体" w:hAnsi="宋体"/>
                <w:color w:val="000000"/>
                <w:sz w:val="18"/>
                <w:szCs w:val="18"/>
              </w:rPr>
            </w:pPr>
            <w:r>
              <w:rPr>
                <w:rFonts w:hint="eastAsia" w:ascii="宋体" w:hAnsi="宋体"/>
                <w:color w:val="000000"/>
                <w:sz w:val="18"/>
                <w:szCs w:val="18"/>
              </w:rPr>
              <w:t>28.态度考核：可查看任一小节班级整体学员的态度考核分数，每个学生的考核数据不少于9个指标，并且可查看最高分、最低分及平均分；</w:t>
            </w:r>
          </w:p>
          <w:p w14:paraId="467516BB">
            <w:pPr>
              <w:widowControl/>
              <w:spacing w:line="240" w:lineRule="exact"/>
              <w:jc w:val="left"/>
              <w:rPr>
                <w:rFonts w:hint="eastAsia" w:ascii="宋体" w:hAnsi="宋体"/>
                <w:color w:val="000000"/>
                <w:sz w:val="18"/>
                <w:szCs w:val="18"/>
              </w:rPr>
            </w:pPr>
            <w:r>
              <w:rPr>
                <w:rFonts w:hint="eastAsia" w:ascii="宋体" w:hAnsi="宋体"/>
                <w:color w:val="000000"/>
                <w:sz w:val="18"/>
                <w:szCs w:val="18"/>
              </w:rPr>
              <w:t>29.技能考核：可查看任一小节班级整体学员的技能考核分数，可以查看所有学生的技能成果，并且可查看最高分、最低分及平均分；</w:t>
            </w:r>
          </w:p>
          <w:p w14:paraId="14F5D90E">
            <w:pPr>
              <w:widowControl/>
              <w:spacing w:line="240" w:lineRule="exact"/>
              <w:jc w:val="left"/>
              <w:rPr>
                <w:rFonts w:hint="eastAsia" w:ascii="宋体" w:hAnsi="宋体"/>
                <w:color w:val="000000"/>
                <w:sz w:val="18"/>
                <w:szCs w:val="18"/>
              </w:rPr>
            </w:pPr>
            <w:r>
              <w:rPr>
                <w:rFonts w:hint="eastAsia" w:ascii="宋体" w:hAnsi="宋体"/>
                <w:color w:val="000000"/>
                <w:sz w:val="18"/>
                <w:szCs w:val="18"/>
              </w:rPr>
              <w:t>30.素养考核：可查看任一小节班级整体学员的素养考核分数，可以查看所有学生的技能成果，并且可查看最高分、最低分及平均分；</w:t>
            </w:r>
          </w:p>
          <w:p w14:paraId="3694AEC0">
            <w:pPr>
              <w:widowControl/>
              <w:spacing w:line="240" w:lineRule="exact"/>
              <w:jc w:val="left"/>
              <w:rPr>
                <w:rFonts w:hint="eastAsia" w:ascii="宋体" w:hAnsi="宋体"/>
                <w:color w:val="000000"/>
                <w:sz w:val="18"/>
                <w:szCs w:val="18"/>
              </w:rPr>
            </w:pPr>
            <w:r>
              <w:rPr>
                <w:rFonts w:hint="eastAsia" w:ascii="宋体" w:hAnsi="宋体"/>
                <w:color w:val="000000"/>
                <w:sz w:val="18"/>
                <w:szCs w:val="18"/>
              </w:rPr>
              <w:t>31.综合评价数据自动更新，随着教学进度以及教学活动，考核数据不断更新。</w:t>
            </w:r>
          </w:p>
          <w:p w14:paraId="0100CC3A">
            <w:pPr>
              <w:widowControl/>
              <w:spacing w:line="240" w:lineRule="exact"/>
              <w:jc w:val="left"/>
              <w:rPr>
                <w:rFonts w:hint="eastAsia" w:ascii="宋体" w:hAnsi="宋体"/>
                <w:color w:val="000000"/>
                <w:sz w:val="18"/>
                <w:szCs w:val="18"/>
              </w:rPr>
            </w:pPr>
            <w:r>
              <w:rPr>
                <w:rFonts w:hint="eastAsia" w:ascii="宋体" w:hAnsi="宋体"/>
                <w:color w:val="000000"/>
                <w:sz w:val="18"/>
                <w:szCs w:val="18"/>
              </w:rPr>
              <w:t>三、学生端功能</w:t>
            </w:r>
          </w:p>
          <w:p w14:paraId="16A783B2">
            <w:pPr>
              <w:widowControl/>
              <w:spacing w:line="240" w:lineRule="exact"/>
              <w:jc w:val="left"/>
              <w:rPr>
                <w:rFonts w:hint="eastAsia" w:ascii="宋体" w:hAnsi="宋体"/>
                <w:color w:val="000000"/>
                <w:sz w:val="18"/>
                <w:szCs w:val="18"/>
              </w:rPr>
            </w:pPr>
            <w:r>
              <w:rPr>
                <w:rFonts w:hint="eastAsia" w:ascii="宋体" w:hAnsi="宋体"/>
                <w:color w:val="000000"/>
                <w:sz w:val="18"/>
                <w:szCs w:val="18"/>
              </w:rPr>
              <w:t>1.登录：通过账号、密码来登录；</w:t>
            </w:r>
          </w:p>
          <w:p w14:paraId="3374071A">
            <w:pPr>
              <w:widowControl/>
              <w:spacing w:line="240" w:lineRule="exact"/>
              <w:jc w:val="left"/>
              <w:rPr>
                <w:rFonts w:hint="eastAsia" w:ascii="宋体" w:hAnsi="宋体"/>
                <w:color w:val="000000"/>
                <w:sz w:val="18"/>
                <w:szCs w:val="18"/>
              </w:rPr>
            </w:pPr>
            <w:r>
              <w:rPr>
                <w:rFonts w:hint="eastAsia" w:ascii="宋体" w:hAnsi="宋体"/>
                <w:color w:val="000000"/>
                <w:sz w:val="18"/>
                <w:szCs w:val="18"/>
              </w:rPr>
              <w:t>2.个人中心：可对学员的个人信息进行修改、更新等；</w:t>
            </w:r>
          </w:p>
          <w:p w14:paraId="054141B5">
            <w:pPr>
              <w:widowControl/>
              <w:spacing w:line="240" w:lineRule="exact"/>
              <w:jc w:val="left"/>
              <w:rPr>
                <w:rFonts w:hint="eastAsia" w:ascii="宋体" w:hAnsi="宋体"/>
                <w:color w:val="000000"/>
                <w:sz w:val="18"/>
                <w:szCs w:val="18"/>
              </w:rPr>
            </w:pPr>
            <w:r>
              <w:rPr>
                <w:rFonts w:hint="eastAsia" w:ascii="宋体" w:hAnsi="宋体"/>
                <w:color w:val="000000"/>
                <w:sz w:val="18"/>
                <w:szCs w:val="18"/>
              </w:rPr>
              <w:t>3.点击加入班级，输入班级邀请码，可加入班级；</w:t>
            </w:r>
          </w:p>
          <w:p w14:paraId="33828300">
            <w:pPr>
              <w:widowControl/>
              <w:spacing w:line="240" w:lineRule="exact"/>
              <w:jc w:val="left"/>
              <w:rPr>
                <w:rFonts w:hint="eastAsia" w:ascii="宋体" w:hAnsi="宋体"/>
                <w:color w:val="000000"/>
                <w:sz w:val="18"/>
                <w:szCs w:val="18"/>
              </w:rPr>
            </w:pPr>
            <w:r>
              <w:rPr>
                <w:rFonts w:hint="eastAsia" w:ascii="宋体" w:hAnsi="宋体"/>
                <w:color w:val="000000"/>
                <w:sz w:val="18"/>
                <w:szCs w:val="18"/>
              </w:rPr>
              <w:t>4.展示该学员当前正在学习及已经完成学习的课程。该展示中包含四个维度的信息：任务、团队、学员数、进度等；</w:t>
            </w:r>
          </w:p>
          <w:p w14:paraId="30E868B6">
            <w:pPr>
              <w:widowControl/>
              <w:spacing w:line="240" w:lineRule="exact"/>
              <w:jc w:val="left"/>
              <w:rPr>
                <w:rFonts w:hint="eastAsia" w:ascii="宋体" w:hAnsi="宋体"/>
                <w:color w:val="000000"/>
                <w:sz w:val="18"/>
                <w:szCs w:val="18"/>
              </w:rPr>
            </w:pPr>
            <w:r>
              <w:rPr>
                <w:rFonts w:hint="eastAsia" w:ascii="宋体" w:hAnsi="宋体"/>
                <w:color w:val="000000"/>
                <w:sz w:val="18"/>
                <w:szCs w:val="18"/>
              </w:rPr>
              <w:t>5.章节内包含：微课视频、PPT课件、参考资料、实训任务、实训指导、技能评价、习题测试、素养评价、教学活动、排行榜等功能标签：</w:t>
            </w:r>
          </w:p>
          <w:p w14:paraId="5F05D7CF">
            <w:pPr>
              <w:widowControl/>
              <w:spacing w:line="240" w:lineRule="exact"/>
              <w:jc w:val="left"/>
              <w:rPr>
                <w:rFonts w:hint="eastAsia" w:ascii="宋体" w:hAnsi="宋体"/>
                <w:color w:val="000000"/>
                <w:sz w:val="18"/>
                <w:szCs w:val="18"/>
              </w:rPr>
            </w:pPr>
            <w:r>
              <w:rPr>
                <w:rFonts w:hint="eastAsia" w:ascii="宋体" w:hAnsi="宋体"/>
                <w:color w:val="000000"/>
                <w:sz w:val="18"/>
                <w:szCs w:val="18"/>
              </w:rPr>
              <w:t>6.点击“微课视频”：可查看该节视频内容；</w:t>
            </w:r>
          </w:p>
          <w:p w14:paraId="7E34FF8B">
            <w:pPr>
              <w:widowControl/>
              <w:spacing w:line="240" w:lineRule="exact"/>
              <w:jc w:val="left"/>
              <w:rPr>
                <w:rFonts w:hint="eastAsia" w:ascii="宋体" w:hAnsi="宋体"/>
                <w:color w:val="000000"/>
                <w:sz w:val="18"/>
                <w:szCs w:val="18"/>
              </w:rPr>
            </w:pPr>
            <w:r>
              <w:rPr>
                <w:rFonts w:hint="eastAsia" w:ascii="宋体" w:hAnsi="宋体"/>
                <w:color w:val="000000"/>
                <w:sz w:val="18"/>
                <w:szCs w:val="18"/>
              </w:rPr>
              <w:t>7.点击“PPT课件”：可查看该节课件内容；</w:t>
            </w:r>
          </w:p>
          <w:p w14:paraId="523C69D6">
            <w:pPr>
              <w:widowControl/>
              <w:spacing w:line="240" w:lineRule="exact"/>
              <w:jc w:val="left"/>
              <w:rPr>
                <w:rFonts w:hint="eastAsia" w:ascii="宋体" w:hAnsi="宋体"/>
                <w:color w:val="000000"/>
                <w:sz w:val="18"/>
                <w:szCs w:val="18"/>
              </w:rPr>
            </w:pPr>
            <w:r>
              <w:rPr>
                <w:rFonts w:hint="eastAsia" w:ascii="宋体" w:hAnsi="宋体"/>
                <w:color w:val="000000"/>
                <w:sz w:val="18"/>
                <w:szCs w:val="18"/>
              </w:rPr>
              <w:t>8.点击“参考资料”：可查看该节附件内容或下载；</w:t>
            </w:r>
          </w:p>
          <w:p w14:paraId="72B517C6">
            <w:pPr>
              <w:widowControl/>
              <w:spacing w:line="240" w:lineRule="exact"/>
              <w:jc w:val="left"/>
              <w:rPr>
                <w:rFonts w:hint="eastAsia" w:ascii="宋体" w:hAnsi="宋体"/>
                <w:color w:val="000000"/>
                <w:sz w:val="18"/>
                <w:szCs w:val="18"/>
              </w:rPr>
            </w:pPr>
            <w:r>
              <w:rPr>
                <w:rFonts w:hint="eastAsia" w:ascii="宋体" w:hAnsi="宋体"/>
                <w:color w:val="000000"/>
                <w:sz w:val="18"/>
                <w:szCs w:val="18"/>
              </w:rPr>
              <w:t>9.点击“实训任务”，可查看该节实训任务书，实训任务中拥有“开始实训”的按钮，方便快速进入实训操作界面，学员根据该节任务要求完成实训后，操作类的实训任务，系统将自动判分。同时拥有“素材下载”按钮，点击“素材下载”按钮自动下载该节任务所需的实训素材；</w:t>
            </w:r>
          </w:p>
          <w:p w14:paraId="285DE963">
            <w:pPr>
              <w:widowControl/>
              <w:spacing w:line="240" w:lineRule="exact"/>
              <w:jc w:val="left"/>
              <w:rPr>
                <w:rFonts w:hint="eastAsia" w:ascii="宋体" w:hAnsi="宋体"/>
                <w:color w:val="000000"/>
                <w:sz w:val="18"/>
                <w:szCs w:val="18"/>
              </w:rPr>
            </w:pPr>
            <w:r>
              <w:rPr>
                <w:rFonts w:hint="eastAsia" w:ascii="宋体" w:hAnsi="宋体"/>
                <w:color w:val="000000"/>
                <w:sz w:val="18"/>
                <w:szCs w:val="18"/>
              </w:rPr>
              <w:t>10.点击“实训指导”：可查看该节的实训指导书；实训指导中拥有“开始实训”的按钮，方便快速进入实训操作界面。同时拥有“素材下载”按钮，点击“素材下载”按钮自动下载该节任务所需的实训素材；</w:t>
            </w:r>
          </w:p>
          <w:p w14:paraId="35CF4884">
            <w:pPr>
              <w:widowControl/>
              <w:spacing w:line="240" w:lineRule="exact"/>
              <w:jc w:val="left"/>
              <w:rPr>
                <w:rFonts w:hint="eastAsia" w:ascii="宋体" w:hAnsi="宋体"/>
                <w:color w:val="000000"/>
                <w:sz w:val="18"/>
                <w:szCs w:val="18"/>
              </w:rPr>
            </w:pPr>
            <w:r>
              <w:rPr>
                <w:rFonts w:hint="eastAsia" w:ascii="宋体" w:hAnsi="宋体"/>
                <w:color w:val="000000"/>
                <w:sz w:val="18"/>
                <w:szCs w:val="18"/>
              </w:rPr>
              <w:t>11.点击“技能评价”：可查看自己在该节实训任务各步骤的作答详情及得分详情。</w:t>
            </w:r>
          </w:p>
          <w:p w14:paraId="6C1DC9B7">
            <w:pPr>
              <w:widowControl/>
              <w:spacing w:line="240" w:lineRule="exact"/>
              <w:jc w:val="left"/>
              <w:rPr>
                <w:rFonts w:hint="eastAsia" w:ascii="宋体" w:hAnsi="宋体"/>
                <w:color w:val="000000"/>
                <w:sz w:val="18"/>
                <w:szCs w:val="18"/>
              </w:rPr>
            </w:pPr>
            <w:r>
              <w:rPr>
                <w:rFonts w:hint="eastAsia" w:ascii="宋体" w:hAnsi="宋体"/>
                <w:color w:val="000000"/>
                <w:sz w:val="18"/>
                <w:szCs w:val="18"/>
              </w:rPr>
              <w:t>12.点击“习题测试”：可进行该节习题的作答，作答结束并提交之后，可以看到测试得分及各题型的得分详情；点击重做可以重新作答；</w:t>
            </w:r>
          </w:p>
          <w:p w14:paraId="4DD0628C">
            <w:pPr>
              <w:widowControl/>
              <w:spacing w:line="240" w:lineRule="exact"/>
              <w:jc w:val="left"/>
              <w:rPr>
                <w:rFonts w:hint="eastAsia" w:ascii="宋体" w:hAnsi="宋体"/>
                <w:color w:val="000000"/>
                <w:sz w:val="18"/>
                <w:szCs w:val="18"/>
              </w:rPr>
            </w:pPr>
            <w:r>
              <w:rPr>
                <w:rFonts w:hint="eastAsia" w:ascii="宋体" w:hAnsi="宋体"/>
                <w:color w:val="000000"/>
                <w:sz w:val="18"/>
                <w:szCs w:val="18"/>
              </w:rPr>
              <w:t>13.点击“素养评价”：可以看到学员在该节的素养得分情况；</w:t>
            </w:r>
          </w:p>
          <w:p w14:paraId="4E617272">
            <w:pPr>
              <w:widowControl/>
              <w:spacing w:line="240" w:lineRule="exact"/>
              <w:jc w:val="left"/>
              <w:rPr>
                <w:rFonts w:hint="eastAsia" w:ascii="宋体" w:hAnsi="宋体"/>
                <w:color w:val="000000"/>
                <w:sz w:val="18"/>
                <w:szCs w:val="18"/>
              </w:rPr>
            </w:pPr>
            <w:r>
              <w:rPr>
                <w:rFonts w:hint="eastAsia" w:ascii="宋体" w:hAnsi="宋体"/>
                <w:color w:val="000000"/>
                <w:sz w:val="18"/>
                <w:szCs w:val="18"/>
              </w:rPr>
              <w:t>14.点击“教学活动”：可以看到教师发布的教学活动，包括“签到”、“投票”、“选人”、“抢答”、“主题讨论”、“随堂练习”等；</w:t>
            </w:r>
          </w:p>
          <w:p w14:paraId="0B70543D">
            <w:pPr>
              <w:widowControl/>
              <w:spacing w:line="240" w:lineRule="exact"/>
              <w:jc w:val="left"/>
              <w:rPr>
                <w:rFonts w:hint="eastAsia" w:ascii="宋体" w:hAnsi="宋体"/>
                <w:color w:val="000000"/>
                <w:sz w:val="18"/>
                <w:szCs w:val="18"/>
              </w:rPr>
            </w:pPr>
            <w:r>
              <w:rPr>
                <w:rFonts w:hint="eastAsia" w:ascii="宋体" w:hAnsi="宋体"/>
                <w:color w:val="000000"/>
                <w:sz w:val="18"/>
                <w:szCs w:val="18"/>
              </w:rPr>
              <w:t>15.点击“排行榜”：可查看该小节下，班级所有学员的排行情况，并可展示该节下学员的态度等分、知识得分、技能得分、素养得分及综合得分；</w:t>
            </w:r>
          </w:p>
          <w:p w14:paraId="6F5C4CF3">
            <w:pPr>
              <w:widowControl/>
              <w:spacing w:line="240" w:lineRule="exact"/>
              <w:jc w:val="left"/>
              <w:rPr>
                <w:rFonts w:hint="eastAsia" w:ascii="宋体" w:hAnsi="宋体"/>
                <w:color w:val="000000"/>
                <w:sz w:val="18"/>
                <w:szCs w:val="18"/>
              </w:rPr>
            </w:pPr>
            <w:r>
              <w:rPr>
                <w:rFonts w:hint="eastAsia" w:ascii="宋体" w:hAnsi="宋体"/>
                <w:color w:val="000000"/>
                <w:sz w:val="18"/>
                <w:szCs w:val="18"/>
              </w:rPr>
              <w:t>16.可以查看该班级内所有学员的详细信息，包含头像、姓名、学号、性别、 加入时间；</w:t>
            </w:r>
          </w:p>
          <w:p w14:paraId="4300E73C">
            <w:pPr>
              <w:widowControl/>
              <w:spacing w:line="240" w:lineRule="exact"/>
              <w:jc w:val="left"/>
              <w:rPr>
                <w:rFonts w:hint="eastAsia" w:ascii="宋体" w:hAnsi="宋体"/>
                <w:color w:val="000000"/>
                <w:sz w:val="18"/>
                <w:szCs w:val="18"/>
              </w:rPr>
            </w:pPr>
            <w:r>
              <w:rPr>
                <w:rFonts w:hint="eastAsia" w:ascii="宋体" w:hAnsi="宋体"/>
                <w:color w:val="000000"/>
                <w:sz w:val="18"/>
                <w:szCs w:val="18"/>
              </w:rPr>
              <w:t>17.可查看学员个人的排行情况，每个章节教学任务完成后，榜单会进 行自动实时更新，动态变化；</w:t>
            </w:r>
          </w:p>
          <w:p w14:paraId="14B3C470">
            <w:pPr>
              <w:widowControl/>
              <w:spacing w:line="240" w:lineRule="exact"/>
              <w:jc w:val="left"/>
              <w:rPr>
                <w:rFonts w:hint="eastAsia" w:ascii="宋体" w:hAnsi="宋体"/>
                <w:color w:val="000000"/>
                <w:sz w:val="18"/>
                <w:szCs w:val="18"/>
              </w:rPr>
            </w:pPr>
            <w:r>
              <w:rPr>
                <w:rFonts w:hint="eastAsia" w:ascii="宋体" w:hAnsi="宋体"/>
                <w:color w:val="000000"/>
                <w:sz w:val="18"/>
                <w:szCs w:val="18"/>
              </w:rPr>
              <w:t>18.学生通过考试平台进行测试，客观题可实现系统自动考核，主观题由教师主观考核；</w:t>
            </w:r>
          </w:p>
          <w:p w14:paraId="4F83B5C8">
            <w:pPr>
              <w:widowControl/>
              <w:spacing w:line="240" w:lineRule="exact"/>
              <w:jc w:val="left"/>
              <w:rPr>
                <w:rFonts w:hint="eastAsia" w:ascii="宋体" w:hAnsi="宋体"/>
                <w:color w:val="000000"/>
                <w:sz w:val="18"/>
                <w:szCs w:val="18"/>
              </w:rPr>
            </w:pPr>
            <w:r>
              <w:rPr>
                <w:rFonts w:hint="eastAsia" w:ascii="宋体" w:hAnsi="宋体"/>
                <w:color w:val="000000"/>
                <w:sz w:val="18"/>
                <w:szCs w:val="18"/>
              </w:rPr>
              <w:t>19.学生仅可以看到个人的评价内容，包含个人实时排行、评价雷达图、以及个人相关的态度考核平均分、知识考核平均分、技能考核平均分、素养考核平均分、期末考核分数、期末综合成绩等；不少于5个模块可追溯过程学习数据。</w:t>
            </w:r>
          </w:p>
          <w:p w14:paraId="0AE1A33C">
            <w:pPr>
              <w:widowControl/>
              <w:spacing w:line="240" w:lineRule="exact"/>
              <w:jc w:val="left"/>
              <w:rPr>
                <w:rFonts w:hint="eastAsia" w:ascii="宋体" w:hAnsi="宋体"/>
                <w:color w:val="000000"/>
                <w:sz w:val="18"/>
                <w:szCs w:val="18"/>
              </w:rPr>
            </w:pPr>
            <w:r>
              <w:rPr>
                <w:rFonts w:hint="eastAsia" w:ascii="宋体" w:hAnsi="宋体"/>
                <w:color w:val="000000"/>
                <w:sz w:val="18"/>
                <w:szCs w:val="18"/>
              </w:rPr>
              <w:t>四、实训任务</w:t>
            </w:r>
          </w:p>
          <w:p w14:paraId="0D3FE5A7">
            <w:pPr>
              <w:widowControl/>
              <w:spacing w:line="240" w:lineRule="exact"/>
              <w:jc w:val="left"/>
              <w:rPr>
                <w:rFonts w:hint="eastAsia" w:ascii="宋体" w:hAnsi="宋体"/>
                <w:color w:val="000000"/>
                <w:sz w:val="18"/>
                <w:szCs w:val="18"/>
              </w:rPr>
            </w:pPr>
            <w:r>
              <w:rPr>
                <w:rFonts w:hint="eastAsia" w:ascii="宋体" w:hAnsi="宋体"/>
                <w:color w:val="000000"/>
                <w:sz w:val="18"/>
                <w:szCs w:val="18"/>
              </w:rPr>
              <w:t>实训任务共12个模块，具体如下：</w:t>
            </w:r>
          </w:p>
          <w:p w14:paraId="6759FBA0">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项目一 商务数据分析基础</w:t>
            </w:r>
            <w:r>
              <w:tab/>
            </w:r>
          </w:p>
          <w:p w14:paraId="02171FAA">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 数据采集</w:t>
            </w:r>
          </w:p>
          <w:p w14:paraId="4C267DDF">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任务1.2 数据清洗</w:t>
            </w:r>
          </w:p>
          <w:p w14:paraId="7BB7A7EE">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任务1.3 数据分析</w:t>
            </w:r>
          </w:p>
          <w:p w14:paraId="4FB25716">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任务1.4 数据应用与决策</w:t>
            </w:r>
          </w:p>
          <w:p w14:paraId="07C3CA20">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项目二 短视频数据分析基础</w:t>
            </w:r>
            <w:r>
              <w:tab/>
            </w:r>
          </w:p>
          <w:p w14:paraId="7D2DED03">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任务2.1 流量推荐机制</w:t>
            </w:r>
          </w:p>
          <w:p w14:paraId="65EA7F8D">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任务2.2 常见数据分析平台</w:t>
            </w:r>
          </w:p>
          <w:p w14:paraId="702C40FA">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任务2.3 短视频核心数据指标</w:t>
            </w:r>
          </w:p>
          <w:p w14:paraId="6CC5A137">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项目三 短视频个人经营账号数据分析</w:t>
            </w:r>
            <w:r>
              <w:tab/>
            </w:r>
          </w:p>
          <w:p w14:paraId="74C6B87C">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任务3.1 经营分析</w:t>
            </w:r>
          </w:p>
          <w:p w14:paraId="06A0507B">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任务3.2 内容分析</w:t>
            </w:r>
          </w:p>
          <w:p w14:paraId="4F3C33A8">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任务3.3 粉丝分析</w:t>
            </w:r>
          </w:p>
          <w:p w14:paraId="53969DFB">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项目四 短视频企业号数据分析</w:t>
            </w:r>
            <w:r>
              <w:tab/>
            </w:r>
          </w:p>
          <w:p w14:paraId="543779E1">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任务4.1 综合概览分析</w:t>
            </w:r>
          </w:p>
          <w:p w14:paraId="6F4B8274">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任务4.2 场景运营数据分析</w:t>
            </w:r>
          </w:p>
          <w:p w14:paraId="3ED8948D">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任务4.3 粉丝群数据分析</w:t>
            </w:r>
          </w:p>
          <w:p w14:paraId="15C7BB2B">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任务4.4 经营数据分析</w:t>
            </w:r>
          </w:p>
          <w:p w14:paraId="2A642136">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项目五投放数据提升</w:t>
            </w:r>
            <w:r>
              <w:tab/>
            </w:r>
          </w:p>
          <w:p w14:paraId="5E5ADE1F">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任务5.1投放基础</w:t>
            </w:r>
          </w:p>
          <w:p w14:paraId="5F082C5E">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任务5.2 个人投放案例分析</w:t>
            </w:r>
          </w:p>
          <w:p w14:paraId="579AFB92">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任务5.3 企业投放案例分析</w:t>
            </w:r>
          </w:p>
          <w:p w14:paraId="6FB1FFAE">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项目六 带货短视频数据分析</w:t>
            </w:r>
          </w:p>
          <w:p w14:paraId="1AAAA8C7">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任务6.1 带货短视频数据分析维度</w:t>
            </w:r>
          </w:p>
          <w:p w14:paraId="2019A9CB">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△任务6.2 三农带货短视频案例分析</w:t>
            </w:r>
          </w:p>
          <w:p w14:paraId="13939FE0">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任务6.3 日用品带货短视频案例分析</w:t>
            </w:r>
          </w:p>
          <w:p w14:paraId="216900A9">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任务6.4 电子类带货短视频案例分析</w:t>
            </w:r>
          </w:p>
          <w:p w14:paraId="544B1448">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项目七 直播数据分析基础</w:t>
            </w:r>
            <w:r>
              <w:tab/>
            </w:r>
          </w:p>
          <w:p w14:paraId="5F55F388">
            <w:pPr>
              <w:widowControl/>
              <w:spacing w:line="240" w:lineRule="exact"/>
              <w:jc w:val="left"/>
              <w:rPr>
                <w:rFonts w:hint="eastAsia" w:ascii="宋体" w:hAnsi="宋体"/>
                <w:color w:val="000000"/>
                <w:sz w:val="18"/>
                <w:szCs w:val="18"/>
              </w:rPr>
            </w:pPr>
            <w:r>
              <w:rPr>
                <w:rFonts w:hint="eastAsia" w:ascii="宋体" w:hAnsi="宋体"/>
                <w:color w:val="000000"/>
                <w:sz w:val="18"/>
                <w:szCs w:val="18"/>
              </w:rPr>
              <w:t xml:space="preserve">任务7.1 直播电商底层逻辑 </w:t>
            </w:r>
          </w:p>
          <w:p w14:paraId="7F6C9F64">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任务7.2 常见数据分析平台</w:t>
            </w:r>
          </w:p>
          <w:p w14:paraId="052BAA41">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任务7.3 直播电商流量来源分析</w:t>
            </w:r>
          </w:p>
          <w:p w14:paraId="772F3AE1">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项目八 直播大屏数据分析</w:t>
            </w:r>
          </w:p>
          <w:p w14:paraId="69F2BD93">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任务8.1 了解直播大屏</w:t>
            </w:r>
          </w:p>
          <w:p w14:paraId="205FA9B7">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任务8.2 直播间核心数据分析</w:t>
            </w:r>
          </w:p>
          <w:p w14:paraId="10FE87E2">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任务8.3 直播间流量分析</w:t>
            </w:r>
          </w:p>
          <w:p w14:paraId="0FAF97A3">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任务8.4 直播间商品分析</w:t>
            </w:r>
          </w:p>
          <w:p w14:paraId="5E58F3F9">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任务8.5 直播间人群分析</w:t>
            </w:r>
          </w:p>
          <w:p w14:paraId="1594744C">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任务8.6 违规情况数据分析</w:t>
            </w:r>
          </w:p>
          <w:p w14:paraId="7B3E3D1B">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项目九 直播后数据分析</w:t>
            </w:r>
          </w:p>
          <w:p w14:paraId="1DBB292D">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任务9.1 直播间流量来源分析</w:t>
            </w:r>
          </w:p>
          <w:p w14:paraId="30275A45">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任务9.2 直播间流量转化指标分析</w:t>
            </w:r>
          </w:p>
          <w:p w14:paraId="70BEE85F">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任务9.3 直播间用户行为分析</w:t>
            </w:r>
          </w:p>
          <w:p w14:paraId="66E58683">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项目十数据分析</w:t>
            </w:r>
          </w:p>
          <w:p w14:paraId="0E662F20">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★任务10.1投放(平台具有仿真模拟工具，并可进行广告计划的创建，投标一级选项包含4项，每项有不少于2个选项，可共组成16种广告投流组合。现场评审专家任选一种广告计划，都可进行投流操作</w:t>
            </w:r>
          </w:p>
          <w:p w14:paraId="012AA8CF">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任务10.2 数据概览分析</w:t>
            </w:r>
          </w:p>
          <w:p w14:paraId="5C9AB9EE">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任务10.3 投放策略</w:t>
            </w:r>
          </w:p>
          <w:p w14:paraId="36DBCA29">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任务10.4 推广分析</w:t>
            </w:r>
          </w:p>
          <w:p w14:paraId="28E75F03">
            <w:pPr>
              <w:widowControl/>
              <w:spacing w:line="240" w:lineRule="exact"/>
              <w:jc w:val="left"/>
              <w:rPr>
                <w:rFonts w:hint="eastAsia" w:ascii="宋体" w:hAnsi="宋体"/>
                <w:color w:val="000000"/>
                <w:sz w:val="18"/>
                <w:szCs w:val="18"/>
              </w:rPr>
            </w:pPr>
            <w:r>
              <w:rPr>
                <w:rFonts w:hint="eastAsia" w:ascii="宋体" w:hAnsi="宋体"/>
                <w:color w:val="000000"/>
                <w:sz w:val="18"/>
                <w:szCs w:val="18"/>
              </w:rPr>
              <w:t>项目十一 商城数据分析</w:t>
            </w:r>
          </w:p>
          <w:p w14:paraId="4F34C0F1">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任务11.1 了解电商罗盘</w:t>
            </w:r>
          </w:p>
          <w:p w14:paraId="35DAC900">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任务11.2 分析电商罗盘首页核心数据</w:t>
            </w:r>
          </w:p>
          <w:p w14:paraId="255DCA9C">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任务11.3 分析作战室数据</w:t>
            </w:r>
          </w:p>
          <w:p w14:paraId="1A3292B3">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任务11.4 分析直播数据</w:t>
            </w:r>
          </w:p>
          <w:p w14:paraId="21329035">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任务11.5 分析短视频数据</w:t>
            </w:r>
          </w:p>
          <w:p w14:paraId="2BD2F70E">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任务11.6 分析商品卡数据</w:t>
            </w:r>
          </w:p>
          <w:p w14:paraId="575C9798">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任务11.7 分析搜索数据</w:t>
            </w:r>
          </w:p>
          <w:p w14:paraId="16309550">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任务11.8 分析商城数据</w:t>
            </w:r>
          </w:p>
          <w:p w14:paraId="60DCD189">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任务11.9 分析交易数据</w:t>
            </w:r>
          </w:p>
          <w:p w14:paraId="125F6CCF">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任务11.10 分析商品数据</w:t>
            </w:r>
          </w:p>
          <w:p w14:paraId="71DDF439">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任务11.11 分析人群数据</w:t>
            </w:r>
          </w:p>
          <w:p w14:paraId="6AEF234B">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任务11.12 分析服务数据</w:t>
            </w:r>
          </w:p>
          <w:p w14:paraId="7329E65C">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任务11.13 分析物流数据</w:t>
            </w:r>
          </w:p>
          <w:p w14:paraId="297749D7">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任务11.14 分析达人数据</w:t>
            </w:r>
          </w:p>
          <w:p w14:paraId="60587EAB">
            <w:pPr>
              <w:widowControl/>
              <w:spacing w:line="240" w:lineRule="exact"/>
              <w:jc w:val="left"/>
              <w:rPr>
                <w:rFonts w:hint="eastAsia" w:ascii="宋体" w:hAnsi="宋体"/>
                <w:color w:val="000000"/>
                <w:sz w:val="18"/>
                <w:szCs w:val="18"/>
              </w:rPr>
            </w:pPr>
            <w:r>
              <w:rPr>
                <w:rFonts w:hint="eastAsia" w:ascii="宋体" w:hAnsi="宋体"/>
                <w:color w:val="000000"/>
                <w:sz w:val="18"/>
                <w:szCs w:val="18"/>
              </w:rPr>
              <w:t>任务11.15 分析营销数据</w:t>
            </w:r>
          </w:p>
          <w:p w14:paraId="3E003D7D">
            <w:pPr>
              <w:widowControl/>
              <w:spacing w:line="240" w:lineRule="exact"/>
              <w:jc w:val="left"/>
              <w:rPr>
                <w:rFonts w:hint="eastAsia" w:ascii="宋体" w:hAnsi="宋体"/>
                <w:color w:val="000000"/>
                <w:sz w:val="18"/>
                <w:szCs w:val="18"/>
              </w:rPr>
            </w:pPr>
          </w:p>
        </w:tc>
      </w:tr>
      <w:tr w14:paraId="499B3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5" w:type="dxa"/>
            <w:vAlign w:val="center"/>
          </w:tcPr>
          <w:p w14:paraId="02B5BCA2">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5</w:t>
            </w:r>
          </w:p>
        </w:tc>
        <w:tc>
          <w:tcPr>
            <w:tcW w:w="767" w:type="dxa"/>
            <w:vAlign w:val="center"/>
          </w:tcPr>
          <w:p w14:paraId="111254B7">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交互媒体设计系统（核心产品）</w:t>
            </w:r>
          </w:p>
        </w:tc>
        <w:tc>
          <w:tcPr>
            <w:tcW w:w="3747" w:type="dxa"/>
            <w:vAlign w:val="center"/>
          </w:tcPr>
          <w:p w14:paraId="0748BD5D">
            <w:pPr>
              <w:widowControl/>
              <w:spacing w:line="240" w:lineRule="exact"/>
              <w:jc w:val="left"/>
              <w:rPr>
                <w:rFonts w:hint="eastAsia" w:ascii="宋体" w:hAnsi="宋体"/>
                <w:color w:val="000000"/>
                <w:sz w:val="18"/>
                <w:szCs w:val="18"/>
              </w:rPr>
            </w:pPr>
            <w:r>
              <w:rPr>
                <w:rFonts w:hint="eastAsia" w:ascii="宋体" w:hAnsi="宋体"/>
                <w:color w:val="000000"/>
                <w:sz w:val="18"/>
                <w:szCs w:val="18"/>
              </w:rPr>
              <w:t>一、操作界面</w:t>
            </w:r>
          </w:p>
          <w:p w14:paraId="0C954AD7">
            <w:pPr>
              <w:widowControl/>
              <w:spacing w:line="240" w:lineRule="exact"/>
              <w:jc w:val="left"/>
              <w:rPr>
                <w:rFonts w:hint="eastAsia" w:ascii="宋体" w:hAnsi="宋体"/>
                <w:color w:val="000000"/>
                <w:sz w:val="18"/>
                <w:szCs w:val="18"/>
              </w:rPr>
            </w:pPr>
            <w:r>
              <w:rPr>
                <w:rFonts w:hint="eastAsia" w:ascii="宋体" w:hAnsi="宋体"/>
                <w:color w:val="000000"/>
                <w:sz w:val="18"/>
                <w:szCs w:val="18"/>
              </w:rPr>
              <w:t>1.系统界面无需编程，支持用户在界面内实现文字输入、图片输入、音视频输入、动画制作、交互制作等功能；</w:t>
            </w:r>
          </w:p>
          <w:p w14:paraId="5664DA78">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2.支持自定义页面布局，支持调整版面尺寸功能以及创建不同大小和方向的页面；</w:t>
            </w:r>
          </w:p>
          <w:p w14:paraId="761E088E">
            <w:pPr>
              <w:widowControl/>
              <w:spacing w:line="240" w:lineRule="exact"/>
              <w:jc w:val="left"/>
              <w:rPr>
                <w:rFonts w:hint="eastAsia" w:ascii="宋体" w:hAnsi="宋体"/>
                <w:color w:val="000000"/>
                <w:sz w:val="18"/>
                <w:szCs w:val="18"/>
              </w:rPr>
            </w:pPr>
            <w:r>
              <w:rPr>
                <w:rFonts w:hint="eastAsia" w:ascii="宋体" w:hAnsi="宋体"/>
                <w:color w:val="000000"/>
                <w:sz w:val="18"/>
                <w:szCs w:val="18"/>
              </w:rPr>
              <w:t>3.页面区域支持添加新页面、删除页面、复制页面、移动页面等功能，并且支持拖动调整页面的顺序；</w:t>
            </w:r>
          </w:p>
          <w:p w14:paraId="793B1D0E">
            <w:pPr>
              <w:widowControl/>
              <w:spacing w:line="240" w:lineRule="exact"/>
              <w:jc w:val="left"/>
              <w:rPr>
                <w:rFonts w:hint="eastAsia" w:ascii="宋体" w:hAnsi="宋体"/>
                <w:color w:val="000000"/>
                <w:sz w:val="18"/>
                <w:szCs w:val="18"/>
              </w:rPr>
            </w:pPr>
            <w:r>
              <w:rPr>
                <w:rFonts w:hint="eastAsia" w:ascii="宋体" w:hAnsi="宋体"/>
                <w:color w:val="000000"/>
                <w:sz w:val="18"/>
                <w:szCs w:val="18"/>
              </w:rPr>
              <w:t>4.△提供长页面模式，支持普通动画长页面和位移动画长页面，制作长页面HTML5作品（提供产品功能截图）；</w:t>
            </w:r>
          </w:p>
          <w:p w14:paraId="6BD68A75">
            <w:pPr>
              <w:widowControl/>
              <w:spacing w:line="240" w:lineRule="exact"/>
              <w:jc w:val="left"/>
              <w:rPr>
                <w:rFonts w:hint="eastAsia" w:ascii="宋体" w:hAnsi="宋体"/>
                <w:color w:val="000000"/>
                <w:sz w:val="18"/>
                <w:szCs w:val="18"/>
              </w:rPr>
            </w:pPr>
            <w:r>
              <w:rPr>
                <w:rFonts w:hint="eastAsia" w:ascii="宋体" w:hAnsi="宋体"/>
                <w:color w:val="000000"/>
                <w:sz w:val="18"/>
                <w:szCs w:val="18"/>
              </w:rPr>
              <w:t>二、多媒体元素添加</w:t>
            </w:r>
          </w:p>
          <w:p w14:paraId="208AABC2">
            <w:pPr>
              <w:widowControl/>
              <w:spacing w:line="240" w:lineRule="exact"/>
              <w:jc w:val="left"/>
              <w:rPr>
                <w:rFonts w:hint="eastAsia" w:ascii="宋体" w:hAnsi="宋体"/>
                <w:color w:val="000000"/>
                <w:sz w:val="18"/>
                <w:szCs w:val="18"/>
              </w:rPr>
            </w:pPr>
            <w:r>
              <w:rPr>
                <w:rFonts w:hint="eastAsia" w:ascii="宋体" w:hAnsi="宋体"/>
                <w:color w:val="000000"/>
                <w:sz w:val="18"/>
                <w:szCs w:val="18"/>
              </w:rPr>
              <w:t>1.支持插入PDF、EPS、TIF、BMP、JPG、GIF、HTML等，不少于10种文件格式；</w:t>
            </w:r>
          </w:p>
          <w:p w14:paraId="02EBF1B2">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2.支持不同质量的图像显示，能够在设计中嵌入和处理图形，包括对图像进行裁剪、旋转和效果添加；</w:t>
            </w:r>
          </w:p>
          <w:p w14:paraId="30A3E054">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3.支持在页面中插入mp4格式视频，并设置相关参数，如：自动播放、占位图等；</w:t>
            </w:r>
          </w:p>
          <w:p w14:paraId="19E1C5DF">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4.支持在页面中插入mp3格式音频，并设置相关参数，如：自动播放、占位图、循环播放等；</w:t>
            </w:r>
          </w:p>
          <w:p w14:paraId="0570ADD8">
            <w:pPr>
              <w:widowControl/>
              <w:spacing w:line="240" w:lineRule="exact"/>
              <w:jc w:val="left"/>
              <w:rPr>
                <w:rFonts w:hint="eastAsia" w:ascii="宋体" w:hAnsi="宋体"/>
                <w:color w:val="000000"/>
                <w:sz w:val="18"/>
                <w:szCs w:val="18"/>
              </w:rPr>
            </w:pPr>
            <w:r>
              <w:rPr>
                <w:rFonts w:hint="eastAsia" w:ascii="宋体" w:hAnsi="宋体"/>
                <w:color w:val="000000"/>
                <w:sz w:val="18"/>
                <w:szCs w:val="18"/>
              </w:rPr>
              <w:t>5.支持文字排版功能，能够对文字进行字体、字号、加粗、倾斜等设置，并且支持创建各种形状文本框；</w:t>
            </w:r>
          </w:p>
          <w:p w14:paraId="4EC9E2ED">
            <w:pPr>
              <w:widowControl/>
              <w:spacing w:line="240" w:lineRule="exact"/>
              <w:jc w:val="left"/>
              <w:rPr>
                <w:rFonts w:hint="eastAsia" w:ascii="宋体" w:hAnsi="宋体"/>
                <w:color w:val="000000"/>
                <w:sz w:val="18"/>
                <w:szCs w:val="18"/>
              </w:rPr>
            </w:pPr>
            <w:r>
              <w:rPr>
                <w:rFonts w:hint="eastAsia" w:ascii="宋体" w:hAnsi="宋体"/>
                <w:color w:val="000000"/>
                <w:sz w:val="18"/>
                <w:szCs w:val="18"/>
              </w:rPr>
              <w:t>6.支持生成交互式PDF和HTML，生成的PDF可以直接印刷；</w:t>
            </w:r>
          </w:p>
          <w:p w14:paraId="3213856D">
            <w:pPr>
              <w:widowControl/>
              <w:spacing w:line="240" w:lineRule="exact"/>
              <w:jc w:val="left"/>
              <w:rPr>
                <w:rFonts w:hint="eastAsia" w:ascii="宋体" w:hAnsi="宋体"/>
                <w:color w:val="000000"/>
                <w:sz w:val="18"/>
                <w:szCs w:val="18"/>
              </w:rPr>
            </w:pPr>
            <w:r>
              <w:rPr>
                <w:rFonts w:hint="eastAsia" w:ascii="宋体" w:hAnsi="宋体"/>
                <w:color w:val="000000"/>
                <w:sz w:val="18"/>
                <w:szCs w:val="18"/>
              </w:rPr>
              <w:t>7.△支持通过电脑浏览器打开作品时带手机外框（包含全面屏、异形屏、挖孔屏、16:9屏、4:3屏等7种），保证不同屏幕自适应效果在电脑端都能够看到完整页面（提供产品功能截图）；</w:t>
            </w:r>
          </w:p>
          <w:p w14:paraId="31F26C95">
            <w:pPr>
              <w:widowControl/>
              <w:spacing w:line="240" w:lineRule="exact"/>
              <w:jc w:val="left"/>
              <w:rPr>
                <w:rFonts w:hint="eastAsia" w:ascii="宋体" w:hAnsi="宋体"/>
                <w:color w:val="000000"/>
                <w:sz w:val="18"/>
                <w:szCs w:val="18"/>
              </w:rPr>
            </w:pPr>
            <w:r>
              <w:rPr>
                <w:rFonts w:hint="eastAsia" w:ascii="宋体" w:hAnsi="宋体"/>
                <w:color w:val="000000"/>
                <w:sz w:val="18"/>
                <w:szCs w:val="18"/>
              </w:rPr>
              <w:t>8.支持设置作品背景，图片自动撑满网页背景，无论作品如何适配不会出现留白，保证完美阅读效果；</w:t>
            </w:r>
          </w:p>
          <w:p w14:paraId="3C3C5CA2">
            <w:pPr>
              <w:widowControl/>
              <w:spacing w:line="240" w:lineRule="exact"/>
              <w:jc w:val="left"/>
              <w:rPr>
                <w:rFonts w:hint="eastAsia" w:ascii="宋体" w:hAnsi="宋体"/>
                <w:color w:val="000000"/>
                <w:sz w:val="18"/>
                <w:szCs w:val="18"/>
              </w:rPr>
            </w:pPr>
            <w:r>
              <w:rPr>
                <w:rFonts w:hint="eastAsia" w:ascii="宋体" w:hAnsi="宋体"/>
                <w:color w:val="000000"/>
                <w:sz w:val="18"/>
                <w:szCs w:val="18"/>
              </w:rPr>
              <w:t>三、文本输入</w:t>
            </w:r>
          </w:p>
          <w:p w14:paraId="72BA77C8">
            <w:pPr>
              <w:widowControl/>
              <w:spacing w:line="240" w:lineRule="exact"/>
              <w:jc w:val="left"/>
              <w:rPr>
                <w:rFonts w:hint="eastAsia" w:ascii="宋体" w:hAnsi="宋体"/>
                <w:color w:val="000000"/>
                <w:sz w:val="18"/>
                <w:szCs w:val="18"/>
              </w:rPr>
            </w:pPr>
            <w:r>
              <w:rPr>
                <w:rFonts w:hint="eastAsia" w:ascii="宋体" w:hAnsi="宋体"/>
                <w:color w:val="000000"/>
                <w:sz w:val="18"/>
                <w:szCs w:val="18"/>
              </w:rPr>
              <w:t>1.支持输入文字，设置字体、字号、加粗、倾斜、下划线、居中、居左、居右等属性，并且可以调用本地安装的字体，应用在软件中；</w:t>
            </w:r>
          </w:p>
          <w:p w14:paraId="7692380D">
            <w:pPr>
              <w:widowControl/>
              <w:spacing w:line="240" w:lineRule="exact"/>
              <w:jc w:val="left"/>
              <w:rPr>
                <w:rFonts w:hint="eastAsia" w:ascii="宋体" w:hAnsi="宋体"/>
                <w:color w:val="000000"/>
                <w:sz w:val="18"/>
                <w:szCs w:val="18"/>
              </w:rPr>
            </w:pPr>
            <w:r>
              <w:rPr>
                <w:rFonts w:hint="eastAsia" w:ascii="宋体" w:hAnsi="宋体"/>
                <w:color w:val="000000"/>
                <w:sz w:val="18"/>
                <w:szCs w:val="18"/>
              </w:rPr>
              <w:t>2.控件支持输入框、单选、多选、列表等表单工具并且支持设置相关参数，如：字号、颜色、必填、粗斜体等，支持上传数据到云端并导出；</w:t>
            </w:r>
          </w:p>
          <w:p w14:paraId="627D496D">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3.支持将完整的文字块打散成一个个单独的文字，便于后续进行动画或者文字的艺术创意制作；</w:t>
            </w:r>
          </w:p>
          <w:p w14:paraId="7B76BA6D">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4.支持设置艺术字、装饰字、支持设置文字转曲，将文字转换为可编辑的修改的图形；</w:t>
            </w:r>
          </w:p>
          <w:p w14:paraId="14DAF404">
            <w:pPr>
              <w:widowControl/>
              <w:spacing w:line="240" w:lineRule="exact"/>
              <w:jc w:val="left"/>
              <w:rPr>
                <w:rFonts w:hint="eastAsia" w:ascii="宋体" w:hAnsi="宋体"/>
                <w:color w:val="000000"/>
                <w:sz w:val="18"/>
                <w:szCs w:val="18"/>
              </w:rPr>
            </w:pPr>
            <w:r>
              <w:rPr>
                <w:rFonts w:hint="eastAsia" w:ascii="宋体" w:hAnsi="宋体"/>
                <w:color w:val="000000"/>
                <w:sz w:val="18"/>
                <w:szCs w:val="18"/>
              </w:rPr>
              <w:t>5.△支持文字的自动拼音和注音功能，用于制作儿童类作品（提供产品功能截图）；</w:t>
            </w:r>
          </w:p>
          <w:p w14:paraId="2ED00037">
            <w:pPr>
              <w:widowControl/>
              <w:spacing w:line="240" w:lineRule="exact"/>
              <w:jc w:val="left"/>
              <w:rPr>
                <w:rFonts w:hint="eastAsia" w:ascii="宋体" w:hAnsi="宋体"/>
                <w:color w:val="000000"/>
                <w:sz w:val="18"/>
                <w:szCs w:val="18"/>
              </w:rPr>
            </w:pPr>
            <w:r>
              <w:rPr>
                <w:rFonts w:hint="eastAsia" w:ascii="宋体" w:hAnsi="宋体"/>
                <w:color w:val="000000"/>
                <w:sz w:val="18"/>
                <w:szCs w:val="18"/>
              </w:rPr>
              <w:t>6.△提供文字拆笔画功能，提供不少于4种拆分方式（提供产品功能截图）。</w:t>
            </w:r>
          </w:p>
          <w:p w14:paraId="7CA511BF">
            <w:pPr>
              <w:widowControl/>
              <w:spacing w:line="240" w:lineRule="exact"/>
              <w:jc w:val="left"/>
              <w:rPr>
                <w:rFonts w:hint="eastAsia" w:ascii="宋体" w:hAnsi="宋体"/>
                <w:color w:val="000000"/>
                <w:sz w:val="18"/>
                <w:szCs w:val="18"/>
              </w:rPr>
            </w:pPr>
            <w:r>
              <w:rPr>
                <w:rFonts w:hint="eastAsia" w:ascii="宋体" w:hAnsi="宋体"/>
                <w:color w:val="000000"/>
                <w:sz w:val="18"/>
                <w:szCs w:val="18"/>
              </w:rPr>
              <w:t>四、动画设置</w:t>
            </w:r>
          </w:p>
          <w:p w14:paraId="63A6CF6F">
            <w:pPr>
              <w:widowControl/>
              <w:spacing w:line="240" w:lineRule="exact"/>
              <w:jc w:val="left"/>
              <w:rPr>
                <w:rFonts w:hint="eastAsia" w:ascii="宋体" w:hAnsi="宋体"/>
                <w:color w:val="000000"/>
                <w:sz w:val="18"/>
                <w:szCs w:val="18"/>
              </w:rPr>
            </w:pPr>
            <w:r>
              <w:rPr>
                <w:rFonts w:hint="eastAsia" w:ascii="宋体" w:hAnsi="宋体"/>
                <w:color w:val="000000"/>
                <w:sz w:val="18"/>
                <w:szCs w:val="18"/>
              </w:rPr>
              <w:t>1.支持设置进入动画：支持渐变、飞升、翻滚、旋转、滑动、回弹、光速、渐入、出现、跌落等10种进入效果；</w:t>
            </w:r>
          </w:p>
          <w:p w14:paraId="1170C9B1">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2.支持设置强调动画：支持弹跳、闪烁、放大、震动、摇晃、心跳、左右翻转等10种强调效果；</w:t>
            </w:r>
          </w:p>
          <w:p w14:paraId="2EF64226">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3.支持设置退出动画：支持渐变、飞升、翻滚、旋转、滑动、回弹、光速、渐出、退出、跌落等10种退出效果；</w:t>
            </w:r>
          </w:p>
          <w:p w14:paraId="38548425">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4.★支持设置路径动画、形变动画及形变路径；</w:t>
            </w:r>
          </w:p>
          <w:p w14:paraId="1D5E5F34">
            <w:pPr>
              <w:widowControl/>
              <w:spacing w:line="240" w:lineRule="exact"/>
              <w:jc w:val="left"/>
              <w:rPr>
                <w:rFonts w:hint="eastAsia" w:ascii="宋体" w:hAnsi="宋体"/>
                <w:color w:val="000000"/>
                <w:sz w:val="18"/>
                <w:szCs w:val="18"/>
              </w:rPr>
            </w:pPr>
            <w:r>
              <w:rPr>
                <w:rFonts w:hint="eastAsia" w:ascii="宋体" w:hAnsi="宋体"/>
                <w:color w:val="000000"/>
                <w:sz w:val="18"/>
                <w:szCs w:val="18"/>
              </w:rPr>
              <w:t>5.支持设置动画触发时机、延迟时间、方向、持续时间、播放次数等，支持循环播放动画；</w:t>
            </w:r>
          </w:p>
          <w:p w14:paraId="4877069C">
            <w:pPr>
              <w:widowControl/>
              <w:spacing w:line="240" w:lineRule="exact"/>
              <w:jc w:val="left"/>
              <w:rPr>
                <w:rFonts w:hint="eastAsia" w:ascii="宋体" w:hAnsi="宋体"/>
                <w:color w:val="000000"/>
                <w:sz w:val="18"/>
                <w:szCs w:val="18"/>
              </w:rPr>
            </w:pPr>
            <w:r>
              <w:rPr>
                <w:rFonts w:hint="eastAsia" w:ascii="宋体" w:hAnsi="宋体"/>
                <w:color w:val="000000"/>
                <w:sz w:val="18"/>
                <w:szCs w:val="18"/>
              </w:rPr>
              <w:t>五、图形图像编辑</w:t>
            </w:r>
          </w:p>
          <w:p w14:paraId="19457BC5">
            <w:pPr>
              <w:widowControl/>
              <w:spacing w:line="240" w:lineRule="exact"/>
              <w:jc w:val="left"/>
              <w:rPr>
                <w:rFonts w:hint="eastAsia" w:ascii="宋体" w:hAnsi="宋体"/>
                <w:color w:val="000000"/>
                <w:sz w:val="18"/>
                <w:szCs w:val="18"/>
              </w:rPr>
            </w:pPr>
            <w:r>
              <w:rPr>
                <w:rFonts w:hint="eastAsia" w:ascii="宋体" w:hAnsi="宋体"/>
                <w:color w:val="000000"/>
                <w:sz w:val="18"/>
                <w:szCs w:val="18"/>
              </w:rPr>
              <w:t>1.绘图组件支持绘制直线、矩形、正方形、圆形、椭圆形、三角形等；</w:t>
            </w:r>
          </w:p>
          <w:p w14:paraId="19A9FA07">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2.支持设置图片序列帧播放、画廊图片轮播、图片对比、动感图像、图片擦除、图片自由拖拽等功能，并支持设置对应参数，如：序列帧播放速度、图片轮播方式、图片对比百分比、图片随机下落数量等；</w:t>
            </w:r>
          </w:p>
          <w:p w14:paraId="28E9A0A2">
            <w:pPr>
              <w:widowControl/>
              <w:spacing w:line="240" w:lineRule="exact"/>
              <w:jc w:val="left"/>
              <w:rPr>
                <w:rFonts w:hint="eastAsia" w:ascii="宋体" w:hAnsi="宋体"/>
                <w:color w:val="000000"/>
                <w:sz w:val="18"/>
                <w:szCs w:val="18"/>
              </w:rPr>
            </w:pPr>
            <w:r>
              <w:rPr>
                <w:rFonts w:hint="eastAsia" w:ascii="宋体" w:hAnsi="宋体"/>
                <w:color w:val="000000"/>
                <w:sz w:val="18"/>
                <w:szCs w:val="18"/>
              </w:rPr>
              <w:t>3.工具栏支持移动、旋转、绘制直线、绘制矩形、绘制圆形、自由绘画、剪刀、钢笔、截图等工具；</w:t>
            </w:r>
          </w:p>
          <w:p w14:paraId="25C42246">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4.支持对象的对齐、层次、成组、解组、锁定等设置；</w:t>
            </w:r>
          </w:p>
          <w:p w14:paraId="70638C7A">
            <w:pPr>
              <w:widowControl/>
              <w:spacing w:line="240" w:lineRule="exact"/>
              <w:jc w:val="left"/>
              <w:rPr>
                <w:rFonts w:hint="eastAsia" w:ascii="宋体" w:hAnsi="宋体"/>
                <w:color w:val="000000"/>
                <w:sz w:val="18"/>
                <w:szCs w:val="18"/>
              </w:rPr>
            </w:pPr>
            <w:r>
              <w:rPr>
                <w:rFonts w:hint="eastAsia" w:ascii="宋体" w:hAnsi="宋体"/>
                <w:color w:val="000000"/>
                <w:sz w:val="18"/>
                <w:szCs w:val="18"/>
              </w:rPr>
              <w:t>5.支持穿透工具、钢笔工具等图形设计工具；</w:t>
            </w:r>
          </w:p>
          <w:p w14:paraId="3611153D">
            <w:pPr>
              <w:widowControl/>
              <w:spacing w:line="240" w:lineRule="exact"/>
              <w:jc w:val="left"/>
              <w:rPr>
                <w:rFonts w:hint="eastAsia" w:ascii="宋体" w:hAnsi="宋体"/>
                <w:color w:val="000000"/>
                <w:sz w:val="18"/>
                <w:szCs w:val="18"/>
              </w:rPr>
            </w:pPr>
            <w:r>
              <w:rPr>
                <w:rFonts w:hint="eastAsia" w:ascii="宋体" w:hAnsi="宋体"/>
                <w:color w:val="000000"/>
                <w:sz w:val="18"/>
                <w:szCs w:val="18"/>
              </w:rPr>
              <w:t>6.支持艺术字、装饰字、阴影、透明等不少于4种设计功能；</w:t>
            </w:r>
          </w:p>
          <w:p w14:paraId="486894CF">
            <w:pPr>
              <w:widowControl/>
              <w:spacing w:line="240" w:lineRule="exact"/>
              <w:jc w:val="left"/>
              <w:rPr>
                <w:rFonts w:hint="eastAsia" w:ascii="宋体" w:hAnsi="宋体"/>
                <w:color w:val="000000"/>
                <w:sz w:val="18"/>
                <w:szCs w:val="18"/>
              </w:rPr>
            </w:pPr>
            <w:r>
              <w:rPr>
                <w:rFonts w:hint="eastAsia" w:ascii="宋体" w:hAnsi="宋体"/>
                <w:color w:val="000000"/>
                <w:sz w:val="18"/>
                <w:szCs w:val="18"/>
              </w:rPr>
              <w:t>六、互动设置</w:t>
            </w:r>
          </w:p>
          <w:p w14:paraId="6F21A642">
            <w:pPr>
              <w:widowControl/>
              <w:spacing w:line="240" w:lineRule="exact"/>
              <w:jc w:val="left"/>
              <w:rPr>
                <w:rFonts w:hint="eastAsia" w:ascii="宋体" w:hAnsi="宋体"/>
                <w:color w:val="000000"/>
                <w:sz w:val="18"/>
                <w:szCs w:val="18"/>
              </w:rPr>
            </w:pPr>
            <w:r>
              <w:rPr>
                <w:rFonts w:hint="eastAsia" w:ascii="宋体" w:hAnsi="宋体"/>
                <w:color w:val="000000"/>
                <w:sz w:val="18"/>
                <w:szCs w:val="18"/>
              </w:rPr>
              <w:t>1.△支持背景音乐、虚拟现实、陀螺仪、超链接、计时器、数字接力、网页视图等功能（提供产品功能截图）；</w:t>
            </w:r>
          </w:p>
          <w:p w14:paraId="78F422BE">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设置按钮效果，一个按钮可以设置多个动作，能够跳转页面，弹出图片、控制图片序列帧播放与否、控制画廊、控制图片移动、控制图片大小等功能，并且支持设置各类判断条件，从而实现不同条件下执行不同的动作；</w:t>
            </w:r>
          </w:p>
          <w:p w14:paraId="48E5BB19">
            <w:pPr>
              <w:widowControl/>
              <w:spacing w:line="240" w:lineRule="exact"/>
              <w:jc w:val="left"/>
              <w:rPr>
                <w:rFonts w:hint="eastAsia" w:ascii="宋体" w:hAnsi="宋体"/>
                <w:color w:val="000000"/>
                <w:sz w:val="18"/>
                <w:szCs w:val="18"/>
              </w:rPr>
            </w:pPr>
            <w:r>
              <w:rPr>
                <w:rFonts w:hint="eastAsia" w:ascii="宋体" w:hAnsi="宋体"/>
                <w:color w:val="000000"/>
                <w:sz w:val="18"/>
                <w:szCs w:val="18"/>
              </w:rPr>
              <w:t>3.能够设置页面内容隐藏与显示，并且支持通过按钮点击来实现内容出现或消失；</w:t>
            </w:r>
          </w:p>
          <w:p w14:paraId="30479376">
            <w:pPr>
              <w:widowControl/>
              <w:spacing w:line="240" w:lineRule="exact"/>
              <w:jc w:val="left"/>
              <w:rPr>
                <w:rFonts w:hint="eastAsia" w:ascii="宋体" w:hAnsi="宋体"/>
                <w:color w:val="000000"/>
                <w:sz w:val="18"/>
                <w:szCs w:val="18"/>
              </w:rPr>
            </w:pPr>
            <w:r>
              <w:rPr>
                <w:rFonts w:hint="eastAsia" w:ascii="宋体" w:hAnsi="宋体"/>
                <w:color w:val="000000"/>
                <w:sz w:val="18"/>
                <w:szCs w:val="18"/>
              </w:rPr>
              <w:t>4.能够支持逻辑事件设置实现跳转页面、弹出图片、控制图片序列帧播放与否、控制图片轮播、控制图片移动、控制图片大小等功能，同时支持设置各类判断条件，从而实现不同条件下执行不同的动作；</w:t>
            </w:r>
          </w:p>
          <w:p w14:paraId="44F0E67D">
            <w:pPr>
              <w:widowControl/>
              <w:spacing w:line="240" w:lineRule="exact"/>
              <w:jc w:val="left"/>
              <w:rPr>
                <w:rFonts w:hint="eastAsia" w:ascii="宋体" w:hAnsi="宋体"/>
                <w:color w:val="000000"/>
                <w:sz w:val="18"/>
                <w:szCs w:val="18"/>
              </w:rPr>
            </w:pPr>
            <w:r>
              <w:rPr>
                <w:rFonts w:hint="eastAsia" w:ascii="宋体" w:hAnsi="宋体"/>
                <w:color w:val="000000"/>
                <w:sz w:val="18"/>
                <w:szCs w:val="18"/>
              </w:rPr>
              <w:t>5.支持合成图片功能，可将页面中的某些元素选中作为一个整体进行组合，并支持用户长按保存组合的图片；</w:t>
            </w:r>
          </w:p>
          <w:p w14:paraId="68C73455">
            <w:pPr>
              <w:widowControl/>
              <w:spacing w:line="240" w:lineRule="exact"/>
              <w:jc w:val="left"/>
              <w:rPr>
                <w:rFonts w:hint="eastAsia" w:ascii="宋体" w:hAnsi="宋体"/>
                <w:color w:val="000000"/>
                <w:sz w:val="18"/>
                <w:szCs w:val="18"/>
              </w:rPr>
            </w:pPr>
            <w:r>
              <w:rPr>
                <w:rFonts w:hint="eastAsia" w:ascii="宋体" w:hAnsi="宋体"/>
                <w:color w:val="000000"/>
                <w:sz w:val="18"/>
                <w:szCs w:val="18"/>
              </w:rPr>
              <w:t>6.★支持互动长图功能，能够支持在一张长图上设置多种动画、按钮、图片序列帧播放等内容，并且固定相对位置，观看作品时随着用户拖动图片，实现动画、按钮、图片序列帧播放的效果；</w:t>
            </w:r>
          </w:p>
          <w:p w14:paraId="3D2F8270">
            <w:pPr>
              <w:widowControl/>
              <w:spacing w:line="240" w:lineRule="exact"/>
              <w:jc w:val="left"/>
              <w:rPr>
                <w:rFonts w:hint="eastAsia" w:ascii="宋体" w:hAnsi="宋体"/>
                <w:color w:val="000000"/>
                <w:sz w:val="18"/>
                <w:szCs w:val="18"/>
              </w:rPr>
            </w:pPr>
            <w:r>
              <w:rPr>
                <w:rFonts w:hint="eastAsia" w:ascii="宋体" w:hAnsi="宋体"/>
                <w:color w:val="000000"/>
                <w:sz w:val="18"/>
                <w:szCs w:val="18"/>
              </w:rPr>
              <w:t>7.具有微信头像和微信昵称功能，能够调取阅读用户的头像和昵称，并支持设置参数：如：头像形状、访问者、浏览者等；</w:t>
            </w:r>
          </w:p>
          <w:p w14:paraId="62ABC931">
            <w:pPr>
              <w:widowControl/>
              <w:spacing w:line="240" w:lineRule="exact"/>
              <w:jc w:val="left"/>
              <w:rPr>
                <w:rFonts w:hint="eastAsia" w:ascii="宋体" w:hAnsi="宋体"/>
                <w:color w:val="000000"/>
                <w:sz w:val="18"/>
                <w:szCs w:val="18"/>
              </w:rPr>
            </w:pPr>
            <w:r>
              <w:rPr>
                <w:rFonts w:hint="eastAsia" w:ascii="宋体" w:hAnsi="宋体"/>
                <w:color w:val="000000"/>
                <w:sz w:val="18"/>
                <w:szCs w:val="18"/>
              </w:rPr>
              <w:t>8.支持生成一维条码和二维条码，并设置相关信息，如显示文字、字体、字号等；</w:t>
            </w:r>
          </w:p>
          <w:p w14:paraId="73525A14">
            <w:pPr>
              <w:widowControl/>
              <w:spacing w:line="240" w:lineRule="exact"/>
              <w:jc w:val="left"/>
              <w:rPr>
                <w:rFonts w:hint="eastAsia" w:ascii="宋体" w:hAnsi="宋体"/>
                <w:color w:val="000000"/>
                <w:sz w:val="18"/>
                <w:szCs w:val="18"/>
              </w:rPr>
            </w:pPr>
            <w:r>
              <w:rPr>
                <w:rFonts w:hint="eastAsia" w:ascii="宋体" w:hAnsi="宋体"/>
                <w:color w:val="000000"/>
                <w:sz w:val="18"/>
                <w:szCs w:val="18"/>
              </w:rPr>
              <w:t>七、作品管理</w:t>
            </w:r>
          </w:p>
          <w:p w14:paraId="3956A614">
            <w:pPr>
              <w:widowControl/>
              <w:spacing w:line="240" w:lineRule="exact"/>
              <w:jc w:val="left"/>
              <w:rPr>
                <w:rFonts w:hint="eastAsia" w:ascii="宋体" w:hAnsi="宋体"/>
                <w:color w:val="000000"/>
                <w:sz w:val="18"/>
                <w:szCs w:val="18"/>
              </w:rPr>
            </w:pPr>
            <w:r>
              <w:rPr>
                <w:rFonts w:hint="eastAsia" w:ascii="宋体" w:hAnsi="宋体"/>
                <w:color w:val="000000"/>
                <w:sz w:val="18"/>
                <w:szCs w:val="18"/>
              </w:rPr>
              <w:t>1.支持字体的管理，能够自动识别文件中个字体使用情况和缺失情况，并进行提醒；</w:t>
            </w:r>
          </w:p>
          <w:p w14:paraId="4C2E2DFF">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2.支持对页面中图片进行管理，能够替换图片、更新图片、另存图像信息等；</w:t>
            </w:r>
          </w:p>
          <w:p w14:paraId="22A77C96">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3.支持互动管理，支持管理页面或文档中全部的互动效果，双击任一互动即可跳转对应互动效果上；</w:t>
            </w:r>
          </w:p>
          <w:p w14:paraId="0E633E04">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4.支持同时打开多个文件，并在文件中切换，支持复制一个文件到另一个文件中，从而合并两个文件。</w:t>
            </w:r>
          </w:p>
          <w:p w14:paraId="104EE9C9">
            <w:pPr>
              <w:widowControl/>
              <w:spacing w:line="240" w:lineRule="exact"/>
              <w:jc w:val="left"/>
              <w:rPr>
                <w:rFonts w:hint="eastAsia" w:ascii="宋体" w:hAnsi="宋体"/>
                <w:color w:val="000000"/>
                <w:sz w:val="18"/>
                <w:szCs w:val="18"/>
              </w:rPr>
            </w:pPr>
            <w:r>
              <w:rPr>
                <w:rFonts w:hint="eastAsia" w:ascii="宋体" w:hAnsi="宋体"/>
                <w:color w:val="000000"/>
                <w:sz w:val="18"/>
                <w:szCs w:val="18"/>
              </w:rPr>
              <w:t>八、作品发布</w:t>
            </w:r>
          </w:p>
          <w:p w14:paraId="3E6B7EB0">
            <w:pPr>
              <w:widowControl/>
              <w:spacing w:line="240" w:lineRule="exact"/>
              <w:jc w:val="left"/>
              <w:rPr>
                <w:rFonts w:hint="eastAsia" w:ascii="宋体" w:hAnsi="宋体"/>
                <w:color w:val="000000"/>
                <w:sz w:val="18"/>
                <w:szCs w:val="18"/>
              </w:rPr>
            </w:pPr>
            <w:r>
              <w:rPr>
                <w:rFonts w:hint="eastAsia" w:ascii="宋体" w:hAnsi="宋体"/>
                <w:color w:val="000000"/>
                <w:sz w:val="18"/>
                <w:szCs w:val="18"/>
              </w:rPr>
              <w:t>1.发布时支持自定义加载页，提供不少于六种不同加载效果，包括：进度条、进度环、旋转、饼状、条状、百分比；</w:t>
            </w:r>
          </w:p>
          <w:p w14:paraId="3CE80865">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2.支持在软件中进行作品的发布设置，包括适配方式、翻页效果、翻页方向等，其中翻页效果不少于5种，包括平移、流转、擦除、翻牌子、胶片等；</w:t>
            </w:r>
          </w:p>
          <w:p w14:paraId="2C96D818">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3.支持横版作品强制竖屏显示，使移动端浏览横版作品更方便、显示区域更大、显示效果更好；</w:t>
            </w:r>
          </w:p>
          <w:p w14:paraId="31ECDC8C">
            <w:pPr>
              <w:widowControl/>
              <w:spacing w:line="240" w:lineRule="exact"/>
              <w:jc w:val="left"/>
              <w:rPr>
                <w:rFonts w:hint="eastAsia" w:ascii="宋体" w:hAnsi="宋体"/>
                <w:color w:val="000000"/>
                <w:sz w:val="18"/>
                <w:szCs w:val="18"/>
              </w:rPr>
            </w:pPr>
            <w:r>
              <w:rPr>
                <w:rFonts w:hint="eastAsia" w:ascii="宋体" w:hAnsi="宋体"/>
                <w:color w:val="000000"/>
                <w:sz w:val="18"/>
                <w:szCs w:val="18"/>
              </w:rPr>
              <w:t>4.软件与H5云服务对接，支持同步、预览、发布HTML5作品</w:t>
            </w:r>
          </w:p>
          <w:p w14:paraId="66D5B9CE">
            <w:pPr>
              <w:widowControl/>
              <w:spacing w:line="240" w:lineRule="exact"/>
              <w:jc w:val="left"/>
              <w:rPr>
                <w:rFonts w:hint="eastAsia" w:ascii="宋体" w:hAnsi="宋体"/>
                <w:color w:val="000000"/>
                <w:sz w:val="18"/>
                <w:szCs w:val="18"/>
              </w:rPr>
            </w:pPr>
            <w:r>
              <w:rPr>
                <w:rFonts w:hint="eastAsia" w:ascii="宋体" w:hAnsi="宋体"/>
                <w:color w:val="000000"/>
                <w:sz w:val="18"/>
                <w:szCs w:val="18"/>
              </w:rPr>
              <w:t>5.支持查看作品的访问量和浏览量，并可以设置具体的实践范围；</w:t>
            </w:r>
          </w:p>
          <w:p w14:paraId="3045F099">
            <w:pPr>
              <w:widowControl/>
              <w:spacing w:line="240" w:lineRule="exact"/>
              <w:jc w:val="left"/>
              <w:rPr>
                <w:rFonts w:hint="eastAsia" w:ascii="宋体" w:hAnsi="宋体"/>
                <w:color w:val="000000"/>
                <w:sz w:val="18"/>
                <w:szCs w:val="18"/>
              </w:rPr>
            </w:pPr>
            <w:r>
              <w:rPr>
                <w:rFonts w:hint="eastAsia" w:ascii="宋体" w:hAnsi="宋体"/>
                <w:color w:val="000000"/>
                <w:sz w:val="18"/>
                <w:szCs w:val="18"/>
              </w:rPr>
              <w:t>6.支持输出工程文件，内部包含所有的图片、音频、视频、字体等素材，并且支持重复打开及修改文件内容；</w:t>
            </w:r>
          </w:p>
          <w:p w14:paraId="062BF27B">
            <w:pPr>
              <w:widowControl/>
              <w:spacing w:line="240" w:lineRule="exact"/>
              <w:jc w:val="left"/>
              <w:rPr>
                <w:rFonts w:hint="eastAsia" w:ascii="宋体" w:hAnsi="宋体"/>
                <w:color w:val="000000"/>
                <w:sz w:val="18"/>
                <w:szCs w:val="18"/>
              </w:rPr>
            </w:pPr>
            <w:r>
              <w:rPr>
                <w:rFonts w:hint="eastAsia" w:ascii="宋体" w:hAnsi="宋体"/>
                <w:color w:val="000000"/>
                <w:sz w:val="18"/>
                <w:szCs w:val="18"/>
              </w:rPr>
              <w:t>7.支持自动存盘与灾难恢复，当出现断电、宕机、意外出错等情况时，只需重启软件，即可恢复所有文件内容。</w:t>
            </w:r>
          </w:p>
          <w:p w14:paraId="5F020471">
            <w:pPr>
              <w:widowControl/>
              <w:spacing w:line="240" w:lineRule="exact"/>
              <w:jc w:val="left"/>
              <w:rPr>
                <w:rFonts w:hint="eastAsia" w:ascii="宋体" w:hAnsi="宋体"/>
                <w:color w:val="000000"/>
                <w:sz w:val="18"/>
                <w:szCs w:val="18"/>
              </w:rPr>
            </w:pPr>
            <w:r>
              <w:rPr>
                <w:rFonts w:hint="eastAsia" w:ascii="宋体" w:hAnsi="宋体"/>
                <w:color w:val="000000"/>
                <w:sz w:val="18"/>
                <w:szCs w:val="18"/>
              </w:rPr>
              <w:t>九、处理器内核数≥20，≥28线程，基本频率≥3.4GHz；显存容量≥8G；内存：≥16GB DDR 4；硬盘：≥512GB 固态；显示器：≥23.8英寸显示；自带顶置提手；带有安全锁孔；扩展卡无螺钉设计；支持硬盘防震功能，静音设计；支持1个3.5英寸设备和1个2.5英寸设备；前置USB3.2*4+Type-C*2/耳机接口+麦克风接口；配套对应桌椅，风格可根据要求定制；提供配套1.2m，22U机柜；提供48口千兆交换机</w:t>
            </w:r>
          </w:p>
          <w:p w14:paraId="6B713FE2">
            <w:pPr>
              <w:widowControl/>
              <w:spacing w:line="240" w:lineRule="exact"/>
              <w:jc w:val="left"/>
              <w:rPr>
                <w:rFonts w:hint="eastAsia" w:ascii="宋体" w:hAnsi="宋体"/>
                <w:color w:val="000000"/>
                <w:sz w:val="18"/>
                <w:szCs w:val="18"/>
              </w:rPr>
            </w:pPr>
            <w:r>
              <w:rPr>
                <w:rFonts w:hint="eastAsia" w:ascii="宋体" w:hAnsi="宋体"/>
                <w:color w:val="000000"/>
                <w:sz w:val="18"/>
                <w:szCs w:val="18"/>
              </w:rPr>
              <w:t>十、配套资源</w:t>
            </w:r>
          </w:p>
          <w:p w14:paraId="72ACC353">
            <w:pPr>
              <w:widowControl/>
              <w:spacing w:line="240" w:lineRule="exact"/>
              <w:jc w:val="left"/>
              <w:rPr>
                <w:rFonts w:hint="eastAsia" w:ascii="宋体" w:hAnsi="宋体"/>
                <w:color w:val="000000"/>
                <w:sz w:val="18"/>
                <w:szCs w:val="18"/>
              </w:rPr>
            </w:pPr>
            <w:r>
              <w:rPr>
                <w:rFonts w:hint="eastAsia" w:ascii="宋体" w:hAnsi="宋体"/>
                <w:color w:val="000000"/>
                <w:sz w:val="18"/>
                <w:szCs w:val="18"/>
              </w:rPr>
              <w:t>1.提供设计实训及练习资源包，提供不少于10套案例练习素材，每套案例页面数不少于10页，并提供对应的链接及工程文件；</w:t>
            </w:r>
          </w:p>
          <w:p w14:paraId="68CE3BAA">
            <w:pPr>
              <w:widowControl/>
              <w:spacing w:line="240" w:lineRule="exact"/>
              <w:jc w:val="left"/>
              <w:rPr>
                <w:rFonts w:hint="eastAsia" w:ascii="宋体" w:hAnsi="宋体"/>
                <w:color w:val="000000"/>
                <w:sz w:val="18"/>
                <w:szCs w:val="18"/>
              </w:rPr>
            </w:pPr>
            <w:r>
              <w:rPr>
                <w:rFonts w:hint="eastAsia" w:ascii="宋体" w:hAnsi="宋体"/>
                <w:color w:val="000000"/>
                <w:sz w:val="18"/>
                <w:szCs w:val="18"/>
              </w:rPr>
              <w:t>2.能提供专业的功能分项讲解视频，不少于100分钟，提供不少于32学时教学大纲；</w:t>
            </w:r>
          </w:p>
          <w:p w14:paraId="4AD3D3FB">
            <w:pPr>
              <w:widowControl/>
              <w:spacing w:line="240" w:lineRule="exact"/>
              <w:jc w:val="left"/>
              <w:rPr>
                <w:rFonts w:hint="eastAsia" w:ascii="宋体" w:hAnsi="宋体"/>
                <w:color w:val="000000"/>
                <w:sz w:val="18"/>
                <w:szCs w:val="18"/>
              </w:rPr>
            </w:pPr>
            <w:r>
              <w:rPr>
                <w:rFonts w:hint="eastAsia" w:ascii="宋体" w:hAnsi="宋体"/>
                <w:color w:val="000000"/>
                <w:sz w:val="18"/>
                <w:szCs w:val="18"/>
              </w:rPr>
              <w:t>3.提供对应的教学课件，PPT格式，不少于200页；</w:t>
            </w:r>
          </w:p>
          <w:p w14:paraId="3B781B40">
            <w:pPr>
              <w:widowControl/>
              <w:spacing w:line="240" w:lineRule="exact"/>
              <w:jc w:val="left"/>
              <w:rPr>
                <w:rFonts w:hint="eastAsia" w:ascii="宋体" w:hAnsi="宋体"/>
                <w:color w:val="000000"/>
                <w:sz w:val="18"/>
                <w:szCs w:val="18"/>
              </w:rPr>
            </w:pPr>
            <w:r>
              <w:rPr>
                <w:rFonts w:hint="eastAsia" w:ascii="宋体" w:hAnsi="宋体"/>
                <w:color w:val="000000"/>
                <w:sz w:val="18"/>
                <w:szCs w:val="18"/>
              </w:rPr>
              <w:t>4.能提供线下的不少于32学时的授课服务；</w:t>
            </w:r>
          </w:p>
          <w:p w14:paraId="09BA42A4">
            <w:pPr>
              <w:widowControl/>
              <w:spacing w:line="240" w:lineRule="exact"/>
              <w:jc w:val="left"/>
              <w:rPr>
                <w:rFonts w:hint="eastAsia" w:ascii="宋体" w:hAnsi="宋体"/>
                <w:color w:val="000000"/>
                <w:sz w:val="18"/>
                <w:szCs w:val="18"/>
              </w:rPr>
            </w:pPr>
            <w:r>
              <w:rPr>
                <w:rFonts w:hint="eastAsia" w:ascii="宋体" w:hAnsi="宋体"/>
                <w:color w:val="000000"/>
                <w:sz w:val="18"/>
                <w:szCs w:val="18"/>
              </w:rPr>
              <w:t>5.提供的软件是终身版本，终身可以使用；</w:t>
            </w:r>
          </w:p>
        </w:tc>
      </w:tr>
      <w:tr w14:paraId="21317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5" w:type="dxa"/>
            <w:vAlign w:val="center"/>
          </w:tcPr>
          <w:p w14:paraId="63E4EA37">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6</w:t>
            </w:r>
          </w:p>
        </w:tc>
        <w:tc>
          <w:tcPr>
            <w:tcW w:w="767" w:type="dxa"/>
            <w:vAlign w:val="center"/>
          </w:tcPr>
          <w:p w14:paraId="5FFA1AF1">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智慧教学系统</w:t>
            </w:r>
          </w:p>
        </w:tc>
        <w:tc>
          <w:tcPr>
            <w:tcW w:w="3747" w:type="dxa"/>
            <w:vAlign w:val="center"/>
          </w:tcPr>
          <w:p w14:paraId="18E87D06">
            <w:pPr>
              <w:widowControl/>
              <w:spacing w:line="240" w:lineRule="exact"/>
              <w:jc w:val="left"/>
              <w:rPr>
                <w:rFonts w:hint="eastAsia" w:ascii="宋体" w:hAnsi="宋体"/>
                <w:color w:val="000000"/>
                <w:sz w:val="18"/>
                <w:szCs w:val="18"/>
              </w:rPr>
            </w:pPr>
            <w:r>
              <w:rPr>
                <w:rFonts w:hint="eastAsia" w:ascii="宋体" w:hAnsi="宋体"/>
                <w:color w:val="000000"/>
                <w:sz w:val="18"/>
                <w:szCs w:val="18"/>
              </w:rPr>
              <w:t>一、智能中控：1台</w:t>
            </w:r>
          </w:p>
          <w:p w14:paraId="2A11111E">
            <w:pPr>
              <w:widowControl/>
              <w:spacing w:line="240" w:lineRule="exact"/>
              <w:jc w:val="left"/>
              <w:rPr>
                <w:rFonts w:hint="eastAsia" w:ascii="宋体" w:hAnsi="宋体"/>
                <w:color w:val="000000"/>
                <w:sz w:val="18"/>
                <w:szCs w:val="18"/>
              </w:rPr>
            </w:pPr>
            <w:r>
              <w:rPr>
                <w:rFonts w:hint="eastAsia" w:ascii="宋体" w:hAnsi="宋体"/>
                <w:color w:val="000000"/>
                <w:sz w:val="18"/>
                <w:szCs w:val="18"/>
              </w:rPr>
              <w:t>1.处理器≥四核Cortex-A7，RAM≥1GB，存储≥8GB。</w:t>
            </w:r>
          </w:p>
          <w:p w14:paraId="6BCA7FBE">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2.支持本地存储校园卡、课表，断网刷卡开机。</w:t>
            </w:r>
          </w:p>
          <w:p w14:paraId="52937FAD">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3.支持实时记录设备状态，故障自定位恢复。</w:t>
            </w:r>
          </w:p>
          <w:p w14:paraId="7F960029">
            <w:pPr>
              <w:widowControl/>
              <w:spacing w:line="240" w:lineRule="exact"/>
              <w:jc w:val="left"/>
              <w:rPr>
                <w:rFonts w:hint="eastAsia" w:ascii="宋体" w:hAnsi="宋体"/>
                <w:color w:val="000000"/>
                <w:sz w:val="18"/>
                <w:szCs w:val="18"/>
              </w:rPr>
            </w:pPr>
            <w:r>
              <w:rPr>
                <w:rFonts w:hint="eastAsia" w:ascii="宋体" w:hAnsi="宋体"/>
                <w:color w:val="000000"/>
                <w:sz w:val="18"/>
                <w:szCs w:val="18"/>
              </w:rPr>
              <w:t>4.★ 接口：可编程双向RS-232≥12路，RS-485≥1路，I/O≥8路，Relay≥8路。</w:t>
            </w:r>
          </w:p>
          <w:p w14:paraId="38912FD0">
            <w:pPr>
              <w:widowControl/>
              <w:spacing w:line="240" w:lineRule="exact"/>
              <w:jc w:val="left"/>
              <w:rPr>
                <w:rFonts w:hint="eastAsia" w:ascii="宋体" w:hAnsi="宋体"/>
                <w:color w:val="000000"/>
                <w:sz w:val="18"/>
                <w:szCs w:val="18"/>
              </w:rPr>
            </w:pPr>
            <w:r>
              <w:rPr>
                <w:rFonts w:hint="eastAsia" w:ascii="宋体" w:hAnsi="宋体"/>
                <w:color w:val="000000"/>
                <w:sz w:val="18"/>
                <w:szCs w:val="18"/>
              </w:rPr>
              <w:t>5.支持反控、拾音器通道自动切换、多种方式联动上下课。</w:t>
            </w:r>
          </w:p>
          <w:p w14:paraId="34E40F69">
            <w:pPr>
              <w:widowControl/>
              <w:spacing w:line="240" w:lineRule="exact"/>
              <w:jc w:val="left"/>
              <w:rPr>
                <w:rFonts w:hint="eastAsia" w:ascii="宋体" w:hAnsi="宋体"/>
                <w:color w:val="000000"/>
                <w:sz w:val="18"/>
                <w:szCs w:val="18"/>
              </w:rPr>
            </w:pPr>
            <w:r>
              <w:rPr>
                <w:rFonts w:hint="eastAsia" w:ascii="宋体" w:hAnsi="宋体"/>
                <w:color w:val="000000"/>
                <w:sz w:val="18"/>
                <w:szCs w:val="18"/>
              </w:rPr>
              <w:t>二、智能控制终端：1台</w:t>
            </w:r>
          </w:p>
          <w:p w14:paraId="2C30089C">
            <w:pPr>
              <w:widowControl/>
              <w:spacing w:line="240" w:lineRule="exact"/>
              <w:jc w:val="left"/>
              <w:rPr>
                <w:rFonts w:hint="eastAsia" w:ascii="宋体" w:hAnsi="宋体"/>
                <w:color w:val="000000"/>
                <w:sz w:val="18"/>
                <w:szCs w:val="18"/>
              </w:rPr>
            </w:pPr>
            <w:r>
              <w:rPr>
                <w:rFonts w:hint="eastAsia" w:ascii="宋体" w:hAnsi="宋体"/>
                <w:color w:val="000000"/>
                <w:sz w:val="18"/>
                <w:szCs w:val="18"/>
              </w:rPr>
              <w:t>1. ≥10英寸全视角电容触控屏，分辨率≥1280*800像素；≥4核CPU，4G+32G，Android11。</w:t>
            </w:r>
          </w:p>
          <w:p w14:paraId="49C71DDD">
            <w:pPr>
              <w:widowControl/>
              <w:spacing w:line="240" w:lineRule="exact"/>
              <w:jc w:val="left"/>
              <w:rPr>
                <w:rFonts w:hint="eastAsia" w:ascii="宋体" w:hAnsi="宋体"/>
                <w:color w:val="000000"/>
                <w:sz w:val="18"/>
                <w:szCs w:val="18"/>
              </w:rPr>
            </w:pPr>
            <w:r>
              <w:rPr>
                <w:rFonts w:hint="eastAsia" w:ascii="宋体" w:hAnsi="宋体"/>
                <w:color w:val="000000"/>
                <w:sz w:val="18"/>
                <w:szCs w:val="18"/>
              </w:rPr>
              <w:t>2.△具备一键应急呼叫机械按键，支持双向语音对讲。</w:t>
            </w:r>
          </w:p>
          <w:p w14:paraId="76D19547">
            <w:pPr>
              <w:widowControl/>
              <w:spacing w:line="240" w:lineRule="exact"/>
              <w:jc w:val="left"/>
              <w:rPr>
                <w:rFonts w:hint="eastAsia" w:ascii="宋体" w:hAnsi="宋体"/>
                <w:color w:val="000000"/>
                <w:sz w:val="18"/>
                <w:szCs w:val="18"/>
              </w:rPr>
            </w:pPr>
            <w:r>
              <w:rPr>
                <w:rFonts w:hint="eastAsia" w:ascii="宋体" w:hAnsi="宋体"/>
                <w:color w:val="000000"/>
                <w:sz w:val="18"/>
                <w:szCs w:val="18"/>
              </w:rPr>
              <w:t xml:space="preserve"> 内置≥500万像素摄像头，支持人脸识别、刷卡、扫码认证。</w:t>
            </w:r>
          </w:p>
          <w:p w14:paraId="6158B782">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3.△支持远程信息播报、面板锁定、中控应急重启。</w:t>
            </w:r>
          </w:p>
          <w:p w14:paraId="2384D3AA">
            <w:pPr>
              <w:widowControl/>
              <w:spacing w:line="240" w:lineRule="exact"/>
              <w:jc w:val="left"/>
              <w:rPr>
                <w:rFonts w:hint="eastAsia" w:ascii="宋体" w:hAnsi="宋体"/>
                <w:color w:val="000000"/>
                <w:sz w:val="18"/>
                <w:szCs w:val="18"/>
              </w:rPr>
            </w:pPr>
            <w:r>
              <w:rPr>
                <w:rFonts w:hint="eastAsia" w:ascii="宋体" w:hAnsi="宋体"/>
                <w:color w:val="000000"/>
                <w:sz w:val="18"/>
                <w:szCs w:val="18"/>
              </w:rPr>
              <w:t>三、电源箱：1台</w:t>
            </w:r>
          </w:p>
          <w:p w14:paraId="39B8E7A4">
            <w:pPr>
              <w:widowControl/>
              <w:spacing w:line="240" w:lineRule="exact"/>
              <w:jc w:val="left"/>
              <w:rPr>
                <w:rFonts w:hint="eastAsia" w:ascii="宋体" w:hAnsi="宋体"/>
                <w:color w:val="000000"/>
                <w:sz w:val="18"/>
                <w:szCs w:val="18"/>
              </w:rPr>
            </w:pPr>
            <w:r>
              <w:rPr>
                <w:rFonts w:hint="eastAsia" w:ascii="宋体" w:hAnsi="宋体"/>
                <w:color w:val="000000"/>
                <w:sz w:val="18"/>
                <w:szCs w:val="18"/>
              </w:rPr>
              <w:t>1.≥8路可编程控制电源输出，≥1路直通输出。</w:t>
            </w:r>
          </w:p>
          <w:p w14:paraId="059B51FA">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2.支持远程监控每一路电源的开关状态、电流、电压、功率和能耗。</w:t>
            </w:r>
          </w:p>
          <w:p w14:paraId="32A49DAB">
            <w:pPr>
              <w:widowControl/>
              <w:spacing w:line="240" w:lineRule="exact"/>
              <w:jc w:val="left"/>
              <w:rPr>
                <w:rFonts w:hint="eastAsia" w:ascii="宋体" w:hAnsi="宋体"/>
                <w:color w:val="000000"/>
                <w:sz w:val="18"/>
                <w:szCs w:val="18"/>
              </w:rPr>
            </w:pPr>
            <w:r>
              <w:rPr>
                <w:rFonts w:hint="eastAsia" w:ascii="宋体" w:hAnsi="宋体"/>
                <w:color w:val="000000"/>
                <w:sz w:val="18"/>
                <w:szCs w:val="18"/>
              </w:rPr>
              <w:t>3.负载功率≥2200W，支持安全时序供电、状态记忆、DHCP、NTP校时。</w:t>
            </w:r>
          </w:p>
          <w:p w14:paraId="70416549">
            <w:pPr>
              <w:widowControl/>
              <w:spacing w:line="240" w:lineRule="exact"/>
              <w:jc w:val="left"/>
              <w:rPr>
                <w:rFonts w:hint="eastAsia" w:ascii="宋体" w:hAnsi="宋体"/>
                <w:color w:val="000000"/>
                <w:sz w:val="18"/>
                <w:szCs w:val="18"/>
              </w:rPr>
            </w:pPr>
            <w:r>
              <w:rPr>
                <w:rFonts w:hint="eastAsia" w:ascii="宋体" w:hAnsi="宋体"/>
                <w:color w:val="000000"/>
                <w:sz w:val="18"/>
                <w:szCs w:val="18"/>
              </w:rPr>
              <w:t>四、高清视频矩阵：1台</w:t>
            </w:r>
          </w:p>
          <w:p w14:paraId="17D79C41">
            <w:pPr>
              <w:widowControl/>
              <w:spacing w:line="240" w:lineRule="exact"/>
              <w:jc w:val="left"/>
              <w:rPr>
                <w:rFonts w:hint="eastAsia" w:ascii="宋体" w:hAnsi="宋体"/>
                <w:color w:val="000000"/>
                <w:sz w:val="18"/>
                <w:szCs w:val="18"/>
              </w:rPr>
            </w:pPr>
            <w:r>
              <w:rPr>
                <w:rFonts w:hint="eastAsia" w:ascii="宋体" w:hAnsi="宋体"/>
                <w:color w:val="000000"/>
                <w:sz w:val="18"/>
                <w:szCs w:val="18"/>
              </w:rPr>
              <w:t>1.≥8路HDMI输入，≥8路HDMI输出，支持4K分辨率。</w:t>
            </w:r>
          </w:p>
          <w:p w14:paraId="45923178">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2.支持音频加嵌/解嵌，无缝切换，≥16种场景保存调用。</w:t>
            </w:r>
          </w:p>
          <w:p w14:paraId="1480A9DB">
            <w:pPr>
              <w:widowControl/>
              <w:spacing w:line="240" w:lineRule="exact"/>
              <w:jc w:val="left"/>
              <w:rPr>
                <w:rFonts w:hint="eastAsia" w:ascii="宋体" w:hAnsi="宋体"/>
                <w:color w:val="000000"/>
                <w:sz w:val="18"/>
                <w:szCs w:val="18"/>
              </w:rPr>
            </w:pPr>
            <w:r>
              <w:rPr>
                <w:rFonts w:hint="eastAsia" w:ascii="宋体" w:hAnsi="宋体"/>
                <w:color w:val="000000"/>
                <w:sz w:val="18"/>
                <w:szCs w:val="18"/>
              </w:rPr>
              <w:t>五、三屏协同互动教学系统：1套</w:t>
            </w:r>
          </w:p>
          <w:p w14:paraId="2700E132">
            <w:pPr>
              <w:widowControl/>
              <w:spacing w:line="240" w:lineRule="exact"/>
              <w:jc w:val="left"/>
              <w:rPr>
                <w:rFonts w:hint="eastAsia" w:ascii="宋体" w:hAnsi="宋体"/>
                <w:color w:val="000000"/>
                <w:sz w:val="18"/>
                <w:szCs w:val="18"/>
              </w:rPr>
            </w:pPr>
            <w:r>
              <w:rPr>
                <w:rFonts w:hint="eastAsia" w:ascii="宋体" w:hAnsi="宋体"/>
                <w:color w:val="000000"/>
                <w:sz w:val="18"/>
                <w:szCs w:val="18"/>
              </w:rPr>
              <w:t>1.由交互书写屏（≥23.8英寸）和控制屏（≥19.2英寸）组成，上下排布。</w:t>
            </w:r>
          </w:p>
          <w:p w14:paraId="67CBFC33">
            <w:pPr>
              <w:widowControl/>
              <w:spacing w:line="240" w:lineRule="exact"/>
              <w:jc w:val="left"/>
              <w:rPr>
                <w:rFonts w:hint="eastAsia" w:ascii="宋体" w:hAnsi="宋体"/>
                <w:color w:val="000000"/>
                <w:sz w:val="18"/>
                <w:szCs w:val="18"/>
              </w:rPr>
            </w:pPr>
            <w:r>
              <w:rPr>
                <w:rFonts w:hint="eastAsia" w:ascii="宋体" w:hAnsi="宋体"/>
                <w:color w:val="000000"/>
                <w:sz w:val="18"/>
                <w:szCs w:val="18"/>
              </w:rPr>
              <w:t>2.Windows+安卓双系统分屏设计，双屏交互协同。</w:t>
            </w:r>
          </w:p>
          <w:p w14:paraId="179723D8">
            <w:pPr>
              <w:widowControl/>
              <w:spacing w:line="240" w:lineRule="exact"/>
              <w:jc w:val="left"/>
              <w:rPr>
                <w:rFonts w:hint="eastAsia" w:ascii="宋体" w:hAnsi="宋体"/>
                <w:color w:val="000000"/>
                <w:sz w:val="18"/>
                <w:szCs w:val="18"/>
              </w:rPr>
            </w:pPr>
            <w:r>
              <w:rPr>
                <w:rFonts w:hint="eastAsia" w:ascii="宋体" w:hAnsi="宋体"/>
                <w:color w:val="000000"/>
                <w:sz w:val="18"/>
                <w:szCs w:val="18"/>
              </w:rPr>
              <w:t>3.控制屏支持三区协同（预览、交互、控制）。</w:t>
            </w:r>
          </w:p>
          <w:p w14:paraId="1C46DDDA">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4.△支持一键分享到显示设备，未分享前投影/大屏不显示，保护隐私。</w:t>
            </w:r>
          </w:p>
          <w:p w14:paraId="65B9B981">
            <w:pPr>
              <w:widowControl/>
              <w:spacing w:line="240" w:lineRule="exact"/>
              <w:jc w:val="left"/>
              <w:rPr>
                <w:rFonts w:hint="eastAsia" w:ascii="宋体" w:hAnsi="宋体"/>
                <w:color w:val="000000"/>
                <w:sz w:val="18"/>
                <w:szCs w:val="18"/>
              </w:rPr>
            </w:pPr>
            <w:r>
              <w:rPr>
                <w:rFonts w:hint="eastAsia" w:ascii="宋体" w:hAnsi="宋体"/>
                <w:color w:val="000000"/>
                <w:sz w:val="18"/>
                <w:szCs w:val="18"/>
              </w:rPr>
              <w:t>5.支持书写笔、电子白板、PPT翻页、环境参数显示、身份识别。</w:t>
            </w:r>
          </w:p>
          <w:p w14:paraId="210E6461">
            <w:pPr>
              <w:widowControl/>
              <w:spacing w:line="240" w:lineRule="exact"/>
              <w:jc w:val="left"/>
              <w:rPr>
                <w:rFonts w:hint="eastAsia" w:ascii="宋体" w:hAnsi="宋体"/>
                <w:color w:val="000000"/>
                <w:sz w:val="18"/>
                <w:szCs w:val="18"/>
              </w:rPr>
            </w:pPr>
            <w:r>
              <w:rPr>
                <w:rFonts w:hint="eastAsia" w:ascii="宋体" w:hAnsi="宋体"/>
                <w:color w:val="000000"/>
                <w:sz w:val="18"/>
                <w:szCs w:val="18"/>
              </w:rPr>
              <w:t>六、升降多媒体讲桌：1台</w:t>
            </w:r>
          </w:p>
          <w:p w14:paraId="402DA0E6">
            <w:pPr>
              <w:widowControl/>
              <w:spacing w:line="240" w:lineRule="exact"/>
              <w:jc w:val="left"/>
              <w:rPr>
                <w:rFonts w:hint="eastAsia" w:ascii="宋体" w:hAnsi="宋体"/>
                <w:color w:val="000000"/>
                <w:sz w:val="18"/>
                <w:szCs w:val="18"/>
              </w:rPr>
            </w:pPr>
            <w:r>
              <w:rPr>
                <w:rFonts w:hint="eastAsia" w:ascii="宋体" w:hAnsi="宋体"/>
                <w:color w:val="000000"/>
                <w:sz w:val="18"/>
                <w:szCs w:val="18"/>
              </w:rPr>
              <w:t>1.电动升降，升降范围715mm~1215mm。</w:t>
            </w:r>
          </w:p>
          <w:p w14:paraId="31827238">
            <w:pPr>
              <w:widowControl/>
              <w:spacing w:line="240" w:lineRule="exact"/>
              <w:jc w:val="left"/>
              <w:rPr>
                <w:rFonts w:hint="eastAsia" w:ascii="宋体" w:hAnsi="宋体"/>
                <w:color w:val="000000"/>
                <w:sz w:val="18"/>
                <w:szCs w:val="18"/>
              </w:rPr>
            </w:pPr>
            <w:r>
              <w:rPr>
                <w:rFonts w:hint="eastAsia" w:ascii="宋体" w:hAnsi="宋体"/>
                <w:color w:val="000000"/>
                <w:sz w:val="18"/>
                <w:szCs w:val="18"/>
              </w:rPr>
              <w:t>2.木质桌面，带杯托、储物空间及≥8U机柜设备安装支架。</w:t>
            </w:r>
          </w:p>
          <w:p w14:paraId="74649FF0">
            <w:pPr>
              <w:widowControl/>
              <w:spacing w:line="240" w:lineRule="exact"/>
              <w:jc w:val="left"/>
              <w:rPr>
                <w:rFonts w:hint="eastAsia" w:ascii="宋体" w:hAnsi="宋体"/>
                <w:color w:val="000000"/>
                <w:sz w:val="18"/>
                <w:szCs w:val="18"/>
              </w:rPr>
            </w:pPr>
            <w:r>
              <w:rPr>
                <w:rFonts w:hint="eastAsia" w:ascii="宋体" w:hAnsi="宋体"/>
                <w:color w:val="000000"/>
                <w:sz w:val="18"/>
                <w:szCs w:val="18"/>
              </w:rPr>
              <w:t>3.桌面具备≥1个万能5孔电源、≥1个USB接口、≥1路HDMI输入。</w:t>
            </w:r>
          </w:p>
          <w:p w14:paraId="5358B2F9">
            <w:pPr>
              <w:widowControl/>
              <w:spacing w:line="240" w:lineRule="exact"/>
              <w:jc w:val="left"/>
              <w:rPr>
                <w:rFonts w:hint="eastAsia" w:ascii="宋体" w:hAnsi="宋体"/>
                <w:color w:val="000000"/>
                <w:sz w:val="18"/>
                <w:szCs w:val="18"/>
              </w:rPr>
            </w:pPr>
            <w:r>
              <w:rPr>
                <w:rFonts w:hint="eastAsia" w:ascii="宋体" w:hAnsi="宋体"/>
                <w:color w:val="000000"/>
                <w:sz w:val="18"/>
                <w:szCs w:val="18"/>
              </w:rPr>
              <w:t xml:space="preserve">4.显示器支架可电动翻转，角度≥15°。  </w:t>
            </w:r>
          </w:p>
          <w:p w14:paraId="0CD6CCCF">
            <w:pPr>
              <w:widowControl/>
              <w:spacing w:line="240" w:lineRule="exact"/>
              <w:jc w:val="left"/>
              <w:rPr>
                <w:rFonts w:hint="eastAsia" w:ascii="宋体" w:hAnsi="宋体"/>
                <w:color w:val="000000"/>
                <w:sz w:val="18"/>
                <w:szCs w:val="18"/>
              </w:rPr>
            </w:pPr>
            <w:r>
              <w:rPr>
                <w:rFonts w:hint="eastAsia" w:ascii="宋体" w:hAnsi="宋体"/>
                <w:color w:val="000000"/>
                <w:sz w:val="18"/>
                <w:szCs w:val="18"/>
              </w:rPr>
              <w:t>七、数字红外无线教学扩声系统（主机1台、接收器1台、麦克风1支、充电座1支）</w:t>
            </w:r>
          </w:p>
          <w:p w14:paraId="277BC637">
            <w:pPr>
              <w:widowControl/>
              <w:spacing w:line="240" w:lineRule="exact"/>
              <w:jc w:val="left"/>
              <w:rPr>
                <w:rFonts w:hint="eastAsia" w:ascii="宋体" w:hAnsi="宋体"/>
                <w:color w:val="000000"/>
                <w:sz w:val="18"/>
                <w:szCs w:val="18"/>
              </w:rPr>
            </w:pPr>
            <w:r>
              <w:rPr>
                <w:rFonts w:hint="eastAsia" w:ascii="宋体" w:hAnsi="宋体"/>
                <w:color w:val="000000"/>
                <w:sz w:val="18"/>
                <w:szCs w:val="18"/>
              </w:rPr>
              <w:t>1.采用dirATC数字红外音频传输及控制技术。</w:t>
            </w:r>
          </w:p>
          <w:p w14:paraId="526FFB7B">
            <w:pPr>
              <w:widowControl/>
              <w:spacing w:line="240" w:lineRule="exact"/>
              <w:jc w:val="left"/>
              <w:rPr>
                <w:rFonts w:hint="eastAsia" w:ascii="宋体" w:hAnsi="宋体"/>
                <w:color w:val="000000"/>
                <w:sz w:val="18"/>
                <w:szCs w:val="18"/>
              </w:rPr>
            </w:pPr>
            <w:r>
              <w:rPr>
                <w:rFonts w:hint="eastAsia" w:ascii="宋体" w:hAnsi="宋体"/>
                <w:color w:val="000000"/>
                <w:sz w:val="18"/>
                <w:szCs w:val="18"/>
              </w:rPr>
              <w:t>2.内置DSP，支持反馈抑制(AFC)和回声消除(AEC)。</w:t>
            </w:r>
          </w:p>
          <w:p w14:paraId="2D0F6CCF">
            <w:pPr>
              <w:widowControl/>
              <w:spacing w:line="240" w:lineRule="exact"/>
              <w:jc w:val="left"/>
              <w:rPr>
                <w:rFonts w:hint="eastAsia" w:ascii="宋体" w:hAnsi="宋体"/>
                <w:color w:val="000000"/>
                <w:sz w:val="18"/>
                <w:szCs w:val="18"/>
              </w:rPr>
            </w:pPr>
            <w:r>
              <w:rPr>
                <w:rFonts w:hint="eastAsia" w:ascii="宋体" w:hAnsi="宋体"/>
                <w:color w:val="000000"/>
                <w:sz w:val="18"/>
                <w:szCs w:val="18"/>
              </w:rPr>
              <w:t>3.可配≥2个无线麦克风，内置功放，支持多种音频输入输出。</w:t>
            </w:r>
          </w:p>
          <w:p w14:paraId="43CE13D8">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4.支持PPT翻页、激光笔、警报触发功能。</w:t>
            </w:r>
          </w:p>
          <w:p w14:paraId="53DC2CB8">
            <w:pPr>
              <w:widowControl/>
              <w:spacing w:line="240" w:lineRule="exact"/>
              <w:jc w:val="left"/>
              <w:rPr>
                <w:rFonts w:hint="eastAsia" w:ascii="宋体" w:hAnsi="宋体"/>
                <w:color w:val="000000"/>
                <w:sz w:val="18"/>
                <w:szCs w:val="18"/>
              </w:rPr>
            </w:pPr>
            <w:r>
              <w:rPr>
                <w:rFonts w:hint="eastAsia" w:ascii="宋体" w:hAnsi="宋体"/>
                <w:color w:val="000000"/>
                <w:sz w:val="18"/>
                <w:szCs w:val="18"/>
              </w:rPr>
              <w:t>5.充电底座支持网络管理、状态监控、中控联动解锁。</w:t>
            </w:r>
          </w:p>
          <w:p w14:paraId="40AC7439">
            <w:pPr>
              <w:widowControl/>
              <w:spacing w:line="240" w:lineRule="exact"/>
              <w:jc w:val="left"/>
              <w:rPr>
                <w:rFonts w:hint="eastAsia" w:ascii="宋体" w:hAnsi="宋体"/>
                <w:color w:val="000000"/>
                <w:sz w:val="18"/>
                <w:szCs w:val="18"/>
              </w:rPr>
            </w:pPr>
            <w:r>
              <w:rPr>
                <w:rFonts w:hint="eastAsia" w:ascii="宋体" w:hAnsi="宋体"/>
                <w:color w:val="000000"/>
                <w:sz w:val="18"/>
                <w:szCs w:val="18"/>
              </w:rPr>
              <w:t>八、智慧抗噪麦克风（含吊杆）：2支</w:t>
            </w:r>
          </w:p>
          <w:p w14:paraId="32F37F55">
            <w:pPr>
              <w:widowControl/>
              <w:spacing w:line="240" w:lineRule="exact"/>
              <w:jc w:val="left"/>
              <w:rPr>
                <w:rFonts w:hint="eastAsia" w:ascii="宋体" w:hAnsi="宋体"/>
                <w:color w:val="000000"/>
                <w:sz w:val="18"/>
                <w:szCs w:val="18"/>
              </w:rPr>
            </w:pPr>
            <w:r>
              <w:rPr>
                <w:rFonts w:hint="eastAsia" w:ascii="宋体" w:hAnsi="宋体"/>
                <w:color w:val="000000"/>
                <w:sz w:val="18"/>
                <w:szCs w:val="18"/>
              </w:rPr>
              <w:t>1.采用方管麦声学结构，130°大转角设计，可垂直朝下。</w:t>
            </w:r>
          </w:p>
          <w:p w14:paraId="4268A470">
            <w:pPr>
              <w:widowControl/>
              <w:spacing w:line="240" w:lineRule="exact"/>
              <w:jc w:val="left"/>
              <w:rPr>
                <w:rFonts w:hint="eastAsia" w:ascii="宋体" w:hAnsi="宋体"/>
                <w:color w:val="000000"/>
                <w:sz w:val="18"/>
                <w:szCs w:val="18"/>
              </w:rPr>
            </w:pPr>
            <w:r>
              <w:rPr>
                <w:rFonts w:hint="eastAsia" w:ascii="宋体" w:hAnsi="宋体"/>
                <w:color w:val="000000"/>
                <w:sz w:val="18"/>
                <w:szCs w:val="18"/>
              </w:rPr>
              <w:t>2.心型单指向，频率响应50Hz~20KHz，灵敏度≥-42dB。</w:t>
            </w:r>
          </w:p>
          <w:p w14:paraId="43793E3F">
            <w:pPr>
              <w:widowControl/>
              <w:spacing w:line="240" w:lineRule="exact"/>
              <w:jc w:val="left"/>
              <w:rPr>
                <w:rFonts w:hint="eastAsia" w:ascii="宋体" w:hAnsi="宋体"/>
                <w:color w:val="000000"/>
                <w:sz w:val="18"/>
                <w:szCs w:val="18"/>
              </w:rPr>
            </w:pPr>
            <w:r>
              <w:rPr>
                <w:rFonts w:hint="eastAsia" w:ascii="宋体" w:hAnsi="宋体"/>
                <w:color w:val="000000"/>
                <w:sz w:val="18"/>
                <w:szCs w:val="18"/>
              </w:rPr>
              <w:t>九、智能音频主机：1台</w:t>
            </w:r>
          </w:p>
          <w:p w14:paraId="1D55BD66">
            <w:pPr>
              <w:widowControl/>
              <w:spacing w:line="240" w:lineRule="exact"/>
              <w:jc w:val="left"/>
              <w:rPr>
                <w:rFonts w:hint="eastAsia" w:ascii="宋体" w:hAnsi="宋体"/>
                <w:color w:val="000000"/>
                <w:sz w:val="18"/>
                <w:szCs w:val="18"/>
              </w:rPr>
            </w:pPr>
            <w:r>
              <w:rPr>
                <w:rFonts w:hint="eastAsia" w:ascii="宋体" w:hAnsi="宋体"/>
                <w:color w:val="000000"/>
                <w:sz w:val="18"/>
                <w:szCs w:val="18"/>
              </w:rPr>
              <w:t>1.嵌入式架构，模块化设计，前面板带TFT彩色触摸屏。</w:t>
            </w:r>
          </w:p>
          <w:p w14:paraId="7D4FA29B">
            <w:pPr>
              <w:widowControl/>
              <w:spacing w:line="240" w:lineRule="exact"/>
              <w:jc w:val="left"/>
              <w:rPr>
                <w:rFonts w:hint="eastAsia" w:ascii="宋体" w:hAnsi="宋体"/>
                <w:color w:val="000000"/>
                <w:sz w:val="18"/>
                <w:szCs w:val="18"/>
              </w:rPr>
            </w:pPr>
            <w:r>
              <w:rPr>
                <w:rFonts w:hint="eastAsia" w:ascii="宋体" w:hAnsi="宋体"/>
                <w:color w:val="000000"/>
                <w:sz w:val="18"/>
                <w:szCs w:val="18"/>
              </w:rPr>
              <w:t>2.6入8出音频矩阵，每路麦克风具独立48V幻象电源。</w:t>
            </w:r>
          </w:p>
          <w:p w14:paraId="731E091E">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3.支持空间去混响、环境降噪、男/女声语音激励、自动增益控制。</w:t>
            </w:r>
          </w:p>
          <w:p w14:paraId="6250CAFE">
            <w:pPr>
              <w:widowControl/>
              <w:spacing w:line="240" w:lineRule="exact"/>
              <w:jc w:val="left"/>
              <w:rPr>
                <w:rFonts w:hint="eastAsia" w:ascii="宋体" w:hAnsi="宋体"/>
                <w:color w:val="000000"/>
                <w:sz w:val="18"/>
                <w:szCs w:val="18"/>
              </w:rPr>
            </w:pPr>
            <w:r>
              <w:rPr>
                <w:rFonts w:hint="eastAsia" w:ascii="宋体" w:hAnsi="宋体"/>
                <w:color w:val="000000"/>
                <w:sz w:val="18"/>
                <w:szCs w:val="18"/>
              </w:rPr>
              <w:t>4.回声消除强度(AEC)≥60dB，反馈抑制传声增益提升≥15dB。</w:t>
            </w:r>
          </w:p>
          <w:p w14:paraId="50885F4B">
            <w:pPr>
              <w:widowControl/>
              <w:spacing w:line="240" w:lineRule="exact"/>
              <w:jc w:val="left"/>
              <w:rPr>
                <w:rFonts w:hint="eastAsia" w:ascii="宋体" w:hAnsi="宋体"/>
                <w:color w:val="000000"/>
                <w:sz w:val="18"/>
                <w:szCs w:val="18"/>
              </w:rPr>
            </w:pPr>
            <w:r>
              <w:rPr>
                <w:rFonts w:hint="eastAsia" w:ascii="宋体" w:hAnsi="宋体"/>
                <w:color w:val="000000"/>
                <w:sz w:val="18"/>
                <w:szCs w:val="18"/>
              </w:rPr>
              <w:t>5.功放输出功率2*120W。</w:t>
            </w:r>
          </w:p>
          <w:p w14:paraId="1ABCA51A">
            <w:pPr>
              <w:widowControl/>
              <w:spacing w:line="240" w:lineRule="exact"/>
              <w:jc w:val="left"/>
              <w:rPr>
                <w:rFonts w:hint="eastAsia" w:ascii="宋体" w:hAnsi="宋体"/>
                <w:color w:val="000000"/>
                <w:sz w:val="18"/>
                <w:szCs w:val="18"/>
              </w:rPr>
            </w:pPr>
            <w:r>
              <w:rPr>
                <w:rFonts w:hint="eastAsia" w:ascii="宋体" w:hAnsi="宋体"/>
                <w:color w:val="000000"/>
                <w:sz w:val="18"/>
                <w:szCs w:val="18"/>
              </w:rPr>
              <w:t>十、专业三分频音箱：1对</w:t>
            </w:r>
          </w:p>
          <w:p w14:paraId="52169CA7">
            <w:pPr>
              <w:widowControl/>
              <w:spacing w:line="240" w:lineRule="exact"/>
              <w:jc w:val="left"/>
              <w:rPr>
                <w:rFonts w:hint="eastAsia" w:ascii="宋体" w:hAnsi="宋体"/>
                <w:color w:val="000000"/>
                <w:sz w:val="18"/>
                <w:szCs w:val="18"/>
              </w:rPr>
            </w:pPr>
            <w:r>
              <w:rPr>
                <w:rFonts w:hint="eastAsia" w:ascii="宋体" w:hAnsi="宋体"/>
                <w:color w:val="000000"/>
                <w:sz w:val="18"/>
                <w:szCs w:val="18"/>
              </w:rPr>
              <w:t>1.三喇叭单元（低音+中音+高音），壁挂式安装，角度可调。</w:t>
            </w:r>
          </w:p>
          <w:p w14:paraId="48849413">
            <w:pPr>
              <w:widowControl/>
              <w:spacing w:line="240" w:lineRule="exact"/>
              <w:jc w:val="left"/>
              <w:rPr>
                <w:rFonts w:hint="eastAsia" w:ascii="宋体" w:hAnsi="宋体"/>
                <w:color w:val="000000"/>
                <w:sz w:val="18"/>
                <w:szCs w:val="18"/>
              </w:rPr>
            </w:pPr>
            <w:r>
              <w:rPr>
                <w:rFonts w:hint="eastAsia" w:ascii="宋体" w:hAnsi="宋体"/>
                <w:color w:val="000000"/>
                <w:sz w:val="18"/>
                <w:szCs w:val="18"/>
              </w:rPr>
              <w:t>2.频率响应50Hz-20kHz，灵敏度≥87dB，额定功率≥65W。</w:t>
            </w:r>
          </w:p>
        </w:tc>
      </w:tr>
      <w:tr w14:paraId="3F1B4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5" w:type="dxa"/>
            <w:vAlign w:val="center"/>
          </w:tcPr>
          <w:p w14:paraId="02689FE8">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7</w:t>
            </w:r>
          </w:p>
        </w:tc>
        <w:tc>
          <w:tcPr>
            <w:tcW w:w="767" w:type="dxa"/>
            <w:vAlign w:val="center"/>
          </w:tcPr>
          <w:p w14:paraId="02CB2E9F">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互动教学系统</w:t>
            </w:r>
          </w:p>
        </w:tc>
        <w:tc>
          <w:tcPr>
            <w:tcW w:w="3747" w:type="dxa"/>
            <w:vAlign w:val="center"/>
          </w:tcPr>
          <w:p w14:paraId="47C84B1A">
            <w:pPr>
              <w:widowControl/>
              <w:spacing w:line="240" w:lineRule="exact"/>
              <w:jc w:val="left"/>
              <w:rPr>
                <w:rFonts w:hint="eastAsia" w:ascii="宋体" w:hAnsi="宋体"/>
                <w:color w:val="000000"/>
                <w:sz w:val="18"/>
                <w:szCs w:val="18"/>
              </w:rPr>
            </w:pPr>
            <w:r>
              <w:rPr>
                <w:rFonts w:hint="eastAsia" w:ascii="宋体" w:hAnsi="宋体"/>
                <w:color w:val="000000"/>
                <w:sz w:val="18"/>
                <w:szCs w:val="18"/>
              </w:rPr>
              <w:t>一、电子教室系统软件</w:t>
            </w:r>
          </w:p>
          <w:p w14:paraId="69F5FDE7">
            <w:pPr>
              <w:widowControl/>
              <w:spacing w:line="240" w:lineRule="exact"/>
              <w:jc w:val="left"/>
              <w:rPr>
                <w:rFonts w:hint="eastAsia" w:ascii="宋体" w:hAnsi="宋体"/>
                <w:color w:val="000000"/>
                <w:sz w:val="18"/>
                <w:szCs w:val="18"/>
              </w:rPr>
            </w:pPr>
            <w:r>
              <w:rPr>
                <w:rFonts w:hint="eastAsia" w:ascii="宋体" w:hAnsi="宋体"/>
                <w:color w:val="000000"/>
                <w:sz w:val="18"/>
                <w:szCs w:val="18"/>
              </w:rPr>
              <w:t>1.纯软件架构，支持至少七种显示视图（监控、报告、策略、文件提交、答题卡、抢答竞赛、共享白板）。</w:t>
            </w:r>
          </w:p>
          <w:p w14:paraId="1D1A7AD6">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2.支持屏幕广播、网络影院、视频直播、分组教学、随堂小考、标准化考试、弹幕互动、远程控制等功能。</w:t>
            </w:r>
          </w:p>
          <w:p w14:paraId="1BE71725">
            <w:pPr>
              <w:widowControl/>
              <w:spacing w:line="240" w:lineRule="exact"/>
              <w:jc w:val="left"/>
              <w:rPr>
                <w:rFonts w:hint="eastAsia" w:ascii="宋体" w:hAnsi="宋体"/>
                <w:color w:val="000000"/>
                <w:sz w:val="18"/>
                <w:szCs w:val="18"/>
              </w:rPr>
            </w:pPr>
            <w:r>
              <w:rPr>
                <w:rFonts w:hint="eastAsia" w:ascii="宋体" w:hAnsi="宋体"/>
                <w:color w:val="000000"/>
                <w:sz w:val="18"/>
                <w:szCs w:val="18"/>
              </w:rPr>
              <w:t>3.兼容Windows、macOS、Linux系统。</w:t>
            </w:r>
          </w:p>
          <w:p w14:paraId="0B6FB126">
            <w:pPr>
              <w:widowControl/>
              <w:spacing w:line="240" w:lineRule="exact"/>
              <w:jc w:val="left"/>
              <w:rPr>
                <w:rFonts w:hint="eastAsia" w:ascii="宋体" w:hAnsi="宋体"/>
                <w:color w:val="000000"/>
                <w:sz w:val="18"/>
                <w:szCs w:val="18"/>
              </w:rPr>
            </w:pPr>
            <w:r>
              <w:rPr>
                <w:rFonts w:hint="eastAsia" w:ascii="宋体" w:hAnsi="宋体"/>
                <w:color w:val="000000"/>
                <w:sz w:val="18"/>
                <w:szCs w:val="18"/>
              </w:rPr>
              <w:t>二、还原管理系统软件：1套</w:t>
            </w:r>
          </w:p>
          <w:p w14:paraId="56EBB5F3">
            <w:pPr>
              <w:widowControl/>
              <w:spacing w:line="240" w:lineRule="exact"/>
              <w:jc w:val="left"/>
              <w:rPr>
                <w:rFonts w:hint="eastAsia" w:ascii="宋体" w:hAnsi="宋体"/>
                <w:color w:val="000000"/>
                <w:sz w:val="18"/>
                <w:szCs w:val="18"/>
              </w:rPr>
            </w:pPr>
            <w:r>
              <w:rPr>
                <w:rFonts w:hint="eastAsia" w:ascii="宋体" w:hAnsi="宋体"/>
                <w:color w:val="000000"/>
                <w:sz w:val="18"/>
                <w:szCs w:val="18"/>
              </w:rPr>
              <w:t>1.支持系统还原、网络同传、计划任务、节能管理、远程控制。</w:t>
            </w:r>
          </w:p>
          <w:p w14:paraId="2BB01F7E">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2.支持并发数量≥500台，支持数据同步、独立环境、离线任务。</w:t>
            </w:r>
          </w:p>
          <w:p w14:paraId="1EB4F40D">
            <w:pPr>
              <w:widowControl/>
              <w:spacing w:line="240" w:lineRule="exact"/>
              <w:jc w:val="left"/>
              <w:rPr>
                <w:rFonts w:hint="eastAsia" w:ascii="宋体" w:hAnsi="宋体"/>
                <w:color w:val="000000"/>
                <w:sz w:val="18"/>
                <w:szCs w:val="18"/>
              </w:rPr>
            </w:pPr>
            <w:r>
              <w:rPr>
                <w:rFonts w:hint="eastAsia" w:ascii="宋体" w:hAnsi="宋体"/>
                <w:color w:val="000000"/>
                <w:sz w:val="18"/>
                <w:szCs w:val="18"/>
              </w:rPr>
              <w:t>三、软件：1套</w:t>
            </w:r>
          </w:p>
          <w:p w14:paraId="1F0350F2">
            <w:pPr>
              <w:widowControl/>
              <w:spacing w:line="240" w:lineRule="exact"/>
              <w:jc w:val="left"/>
              <w:rPr>
                <w:rFonts w:hint="eastAsia" w:ascii="宋体" w:hAnsi="宋体"/>
                <w:color w:val="000000"/>
                <w:sz w:val="18"/>
                <w:szCs w:val="18"/>
              </w:rPr>
            </w:pPr>
            <w:r>
              <w:rPr>
                <w:rFonts w:hint="eastAsia" w:ascii="宋体" w:hAnsi="宋体"/>
                <w:color w:val="000000"/>
                <w:sz w:val="18"/>
                <w:szCs w:val="18"/>
              </w:rPr>
              <w:t>1.硬件：Android系统，双核≥1.8GHz，RAM≥8G，存储≥128G；接口：HDMI IN/OUT、USB、网络等。</w:t>
            </w:r>
          </w:p>
          <w:p w14:paraId="5D450C8F">
            <w:pPr>
              <w:widowControl/>
              <w:spacing w:line="240" w:lineRule="exact"/>
              <w:jc w:val="left"/>
              <w:rPr>
                <w:rFonts w:hint="eastAsia" w:ascii="宋体" w:hAnsi="宋体"/>
                <w:color w:val="000000"/>
                <w:sz w:val="18"/>
                <w:szCs w:val="18"/>
              </w:rPr>
            </w:pPr>
            <w:r>
              <w:rPr>
                <w:rFonts w:hint="eastAsia" w:ascii="宋体" w:hAnsi="宋体"/>
                <w:color w:val="000000"/>
                <w:sz w:val="18"/>
                <w:szCs w:val="18"/>
              </w:rPr>
              <w:t>2.软件功能支持手写板WiFi接入与多屏对比。</w:t>
            </w:r>
          </w:p>
          <w:p w14:paraId="3CFFB014">
            <w:pPr>
              <w:widowControl/>
              <w:spacing w:line="240" w:lineRule="exact"/>
              <w:jc w:val="left"/>
              <w:rPr>
                <w:rFonts w:hint="eastAsia" w:ascii="宋体" w:hAnsi="宋体"/>
                <w:color w:val="000000"/>
                <w:sz w:val="18"/>
                <w:szCs w:val="18"/>
              </w:rPr>
            </w:pPr>
            <w:r>
              <w:rPr>
                <w:rFonts w:hint="eastAsia" w:ascii="宋体" w:hAnsi="宋体"/>
                <w:color w:val="000000"/>
                <w:sz w:val="18"/>
                <w:szCs w:val="18"/>
              </w:rPr>
              <w:t>3.软件功能支持16路投屏终端同步显示，不少于8种画面布局。</w:t>
            </w:r>
          </w:p>
          <w:p w14:paraId="3812B8D9">
            <w:pPr>
              <w:widowControl/>
              <w:spacing w:line="240" w:lineRule="exact"/>
              <w:jc w:val="left"/>
              <w:rPr>
                <w:rFonts w:hint="eastAsia" w:ascii="宋体" w:hAnsi="宋体"/>
                <w:color w:val="000000"/>
                <w:sz w:val="18"/>
                <w:szCs w:val="18"/>
              </w:rPr>
            </w:pPr>
            <w:r>
              <w:rPr>
                <w:rFonts w:hint="eastAsia" w:ascii="宋体" w:hAnsi="宋体"/>
                <w:color w:val="000000"/>
                <w:sz w:val="18"/>
                <w:szCs w:val="18"/>
              </w:rPr>
              <w:t>4.★软件功能支持课堂互动（签到、答题、抢答、投票等），并生成报告。</w:t>
            </w:r>
          </w:p>
          <w:p w14:paraId="414A1E8B">
            <w:pPr>
              <w:widowControl/>
              <w:spacing w:line="240" w:lineRule="exact"/>
              <w:jc w:val="left"/>
              <w:rPr>
                <w:rFonts w:hint="eastAsia" w:ascii="宋体" w:hAnsi="宋体"/>
                <w:color w:val="000000"/>
                <w:sz w:val="18"/>
                <w:szCs w:val="18"/>
              </w:rPr>
            </w:pPr>
            <w:r>
              <w:rPr>
                <w:rFonts w:hint="eastAsia" w:ascii="宋体" w:hAnsi="宋体"/>
                <w:color w:val="000000"/>
                <w:sz w:val="18"/>
                <w:szCs w:val="18"/>
              </w:rPr>
              <w:t>5.软件功能支持一键课程录制（多画面、外接麦克风同步）。</w:t>
            </w:r>
          </w:p>
          <w:p w14:paraId="53829FCC">
            <w:pPr>
              <w:widowControl/>
              <w:spacing w:line="240" w:lineRule="exact"/>
              <w:jc w:val="left"/>
              <w:rPr>
                <w:rFonts w:hint="eastAsia" w:ascii="宋体" w:hAnsi="宋体"/>
                <w:color w:val="000000"/>
                <w:sz w:val="18"/>
                <w:szCs w:val="18"/>
              </w:rPr>
            </w:pPr>
            <w:r>
              <w:rPr>
                <w:rFonts w:hint="eastAsia" w:ascii="宋体" w:hAnsi="宋体"/>
                <w:color w:val="000000"/>
                <w:sz w:val="18"/>
                <w:szCs w:val="18"/>
              </w:rPr>
              <w:t>6.△软件功能支持创建即时直播（校园电视台）。</w:t>
            </w:r>
          </w:p>
          <w:p w14:paraId="55394520">
            <w:pPr>
              <w:widowControl/>
              <w:spacing w:line="240" w:lineRule="exact"/>
              <w:jc w:val="left"/>
              <w:rPr>
                <w:rFonts w:hint="eastAsia" w:ascii="宋体" w:hAnsi="宋体"/>
                <w:color w:val="000000"/>
                <w:sz w:val="18"/>
                <w:szCs w:val="18"/>
              </w:rPr>
            </w:pPr>
            <w:r>
              <w:rPr>
                <w:rFonts w:hint="eastAsia" w:ascii="宋体" w:hAnsi="宋体"/>
                <w:color w:val="000000"/>
                <w:sz w:val="18"/>
                <w:szCs w:val="18"/>
              </w:rPr>
              <w:t>7.△软件功能支持三大公有协议投屏（AirPlay、Miracast、WIDI），无需安装APP。</w:t>
            </w:r>
          </w:p>
          <w:p w14:paraId="111DCBAC">
            <w:pPr>
              <w:widowControl/>
              <w:spacing w:line="240" w:lineRule="exact"/>
              <w:jc w:val="left"/>
              <w:rPr>
                <w:rFonts w:hint="eastAsia" w:ascii="宋体" w:hAnsi="宋体"/>
                <w:color w:val="000000"/>
                <w:sz w:val="18"/>
                <w:szCs w:val="18"/>
              </w:rPr>
            </w:pPr>
            <w:r>
              <w:rPr>
                <w:rFonts w:hint="eastAsia" w:ascii="宋体" w:hAnsi="宋体"/>
                <w:color w:val="000000"/>
                <w:sz w:val="18"/>
                <w:szCs w:val="18"/>
              </w:rPr>
              <w:t>8.软件功能支持批注白板、画面截屏、反向控制、安全策略。</w:t>
            </w:r>
          </w:p>
        </w:tc>
      </w:tr>
      <w:tr w14:paraId="2400A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5" w:type="dxa"/>
            <w:vAlign w:val="center"/>
          </w:tcPr>
          <w:p w14:paraId="137EBA5E">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8</w:t>
            </w:r>
          </w:p>
        </w:tc>
        <w:tc>
          <w:tcPr>
            <w:tcW w:w="767" w:type="dxa"/>
            <w:vAlign w:val="center"/>
          </w:tcPr>
          <w:p w14:paraId="7FC06D4E">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可视化综合信息管理平台</w:t>
            </w:r>
          </w:p>
        </w:tc>
        <w:tc>
          <w:tcPr>
            <w:tcW w:w="3747" w:type="dxa"/>
            <w:vAlign w:val="center"/>
          </w:tcPr>
          <w:p w14:paraId="142E3C47">
            <w:pPr>
              <w:widowControl/>
              <w:spacing w:line="240" w:lineRule="exact"/>
              <w:jc w:val="left"/>
              <w:rPr>
                <w:rFonts w:hint="eastAsia" w:ascii="宋体" w:hAnsi="宋体"/>
                <w:color w:val="000000"/>
                <w:sz w:val="18"/>
                <w:szCs w:val="18"/>
              </w:rPr>
            </w:pPr>
            <w:r>
              <w:rPr>
                <w:rFonts w:hint="eastAsia" w:ascii="宋体" w:hAnsi="宋体"/>
                <w:color w:val="000000"/>
                <w:sz w:val="18"/>
                <w:szCs w:val="18"/>
              </w:rPr>
              <w:t>一、统一管理平台、基础数据平台：</w:t>
            </w:r>
          </w:p>
          <w:p w14:paraId="4CCB3BD8">
            <w:pPr>
              <w:widowControl/>
              <w:spacing w:line="240" w:lineRule="exact"/>
              <w:jc w:val="left"/>
              <w:rPr>
                <w:rFonts w:hint="eastAsia" w:ascii="宋体" w:hAnsi="宋体"/>
                <w:color w:val="000000"/>
                <w:sz w:val="18"/>
                <w:szCs w:val="18"/>
              </w:rPr>
            </w:pPr>
            <w:r>
              <w:rPr>
                <w:rFonts w:hint="eastAsia" w:ascii="宋体" w:hAnsi="宋体"/>
                <w:color w:val="000000"/>
                <w:sz w:val="18"/>
                <w:szCs w:val="18"/>
              </w:rPr>
              <w:t>1.统一管理平台：B/S架构，模块化设计，支持统一认证、基础数据管理。</w:t>
            </w:r>
          </w:p>
          <w:p w14:paraId="2BC3B552">
            <w:pPr>
              <w:widowControl/>
              <w:spacing w:line="240" w:lineRule="exact"/>
              <w:jc w:val="left"/>
              <w:rPr>
                <w:rFonts w:hint="eastAsia" w:ascii="宋体" w:hAnsi="宋体"/>
                <w:color w:val="000000"/>
                <w:sz w:val="18"/>
                <w:szCs w:val="18"/>
              </w:rPr>
            </w:pPr>
            <w:r>
              <w:rPr>
                <w:rFonts w:hint="eastAsia" w:ascii="宋体" w:hAnsi="宋体"/>
                <w:color w:val="000000"/>
                <w:sz w:val="18"/>
                <w:szCs w:val="18"/>
              </w:rPr>
              <w:t>2.视频基础服务：支持主流网络摄像机接入、实时推流、点播、录制、电影画面合成。</w:t>
            </w:r>
          </w:p>
          <w:p w14:paraId="0E0FDB31">
            <w:pPr>
              <w:widowControl/>
              <w:spacing w:line="240" w:lineRule="exact"/>
              <w:jc w:val="left"/>
              <w:rPr>
                <w:rFonts w:hint="eastAsia" w:ascii="宋体" w:hAnsi="宋体"/>
                <w:color w:val="000000"/>
                <w:sz w:val="18"/>
                <w:szCs w:val="18"/>
              </w:rPr>
            </w:pPr>
            <w:r>
              <w:rPr>
                <w:rFonts w:hint="eastAsia" w:ascii="宋体" w:hAnsi="宋体"/>
                <w:color w:val="000000"/>
                <w:sz w:val="18"/>
                <w:szCs w:val="18"/>
              </w:rPr>
              <w:t>3.可视化设备控制页面支持自定义菜单布局、名称和显示/隐藏。</w:t>
            </w:r>
          </w:p>
          <w:p w14:paraId="11589675">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4.支持老师、学生、电脑桌面三分屏显示，支持画面拖动。</w:t>
            </w:r>
          </w:p>
          <w:p w14:paraId="0E90CE10">
            <w:pPr>
              <w:widowControl/>
              <w:spacing w:line="240" w:lineRule="exact"/>
              <w:jc w:val="left"/>
              <w:rPr>
                <w:rFonts w:hint="eastAsia" w:ascii="宋体" w:hAnsi="宋体"/>
                <w:color w:val="000000"/>
                <w:sz w:val="18"/>
                <w:szCs w:val="18"/>
              </w:rPr>
            </w:pPr>
            <w:r>
              <w:rPr>
                <w:rFonts w:hint="eastAsia" w:ascii="宋体" w:hAnsi="宋体"/>
                <w:color w:val="000000"/>
                <w:sz w:val="18"/>
                <w:szCs w:val="18"/>
              </w:rPr>
              <w:t>5.★支持按策略定时智能巡检，输出报告并定位故障。</w:t>
            </w:r>
          </w:p>
          <w:p w14:paraId="643E0132">
            <w:pPr>
              <w:widowControl/>
              <w:spacing w:line="240" w:lineRule="exact"/>
              <w:jc w:val="left"/>
              <w:rPr>
                <w:rFonts w:hint="eastAsia" w:ascii="宋体" w:hAnsi="宋体"/>
                <w:color w:val="000000"/>
                <w:sz w:val="18"/>
                <w:szCs w:val="18"/>
              </w:rPr>
            </w:pPr>
            <w:r>
              <w:rPr>
                <w:rFonts w:hint="eastAsia" w:ascii="宋体" w:hAnsi="宋体"/>
                <w:color w:val="000000"/>
                <w:sz w:val="18"/>
                <w:szCs w:val="18"/>
              </w:rPr>
              <w:t>6.支持教学转播，支持单画面、画中画、三分屏等多种布局。</w:t>
            </w:r>
          </w:p>
          <w:p w14:paraId="39C0BCA5">
            <w:pPr>
              <w:widowControl/>
              <w:spacing w:line="240" w:lineRule="exact"/>
              <w:jc w:val="left"/>
              <w:rPr>
                <w:rFonts w:hint="eastAsia" w:ascii="宋体" w:hAnsi="宋体"/>
                <w:color w:val="000000"/>
                <w:sz w:val="18"/>
                <w:szCs w:val="18"/>
              </w:rPr>
            </w:pPr>
            <w:r>
              <w:rPr>
                <w:rFonts w:hint="eastAsia" w:ascii="宋体" w:hAnsi="宋体"/>
                <w:color w:val="000000"/>
                <w:sz w:val="18"/>
                <w:szCs w:val="18"/>
              </w:rPr>
              <w:t>7.支持向中控面板、LED屏、教室计算机发送文字信息和通知。</w:t>
            </w:r>
          </w:p>
          <w:p w14:paraId="3211EBD8">
            <w:pPr>
              <w:widowControl/>
              <w:spacing w:line="240" w:lineRule="exact"/>
              <w:jc w:val="left"/>
              <w:rPr>
                <w:rFonts w:hint="eastAsia" w:ascii="宋体" w:hAnsi="宋体"/>
                <w:color w:val="000000"/>
                <w:sz w:val="18"/>
                <w:szCs w:val="18"/>
              </w:rPr>
            </w:pPr>
            <w:r>
              <w:rPr>
                <w:rFonts w:hint="eastAsia" w:ascii="宋体" w:hAnsi="宋体"/>
                <w:color w:val="000000"/>
                <w:sz w:val="18"/>
                <w:szCs w:val="18"/>
              </w:rPr>
              <w:t>8."下课"、"投影关"等重要功能具有二次确认提示。</w:t>
            </w:r>
          </w:p>
          <w:p w14:paraId="74919881">
            <w:pPr>
              <w:widowControl/>
              <w:spacing w:line="240" w:lineRule="exact"/>
              <w:jc w:val="left"/>
              <w:rPr>
                <w:rFonts w:hint="eastAsia" w:ascii="宋体" w:hAnsi="宋体"/>
                <w:color w:val="000000"/>
                <w:sz w:val="18"/>
                <w:szCs w:val="18"/>
              </w:rPr>
            </w:pPr>
            <w:r>
              <w:rPr>
                <w:rFonts w:hint="eastAsia" w:ascii="宋体" w:hAnsi="宋体"/>
                <w:color w:val="000000"/>
                <w:sz w:val="18"/>
                <w:szCs w:val="18"/>
              </w:rPr>
              <w:t>9.支持常态化网络录播和硬件录播系统接入控制。</w:t>
            </w:r>
          </w:p>
          <w:p w14:paraId="1094814E">
            <w:pPr>
              <w:widowControl/>
              <w:spacing w:line="240" w:lineRule="exact"/>
              <w:jc w:val="left"/>
              <w:rPr>
                <w:rFonts w:hint="eastAsia" w:ascii="宋体" w:hAnsi="宋体"/>
                <w:color w:val="000000"/>
                <w:sz w:val="18"/>
                <w:szCs w:val="18"/>
              </w:rPr>
            </w:pPr>
            <w:r>
              <w:rPr>
                <w:rFonts w:hint="eastAsia" w:ascii="宋体" w:hAnsi="宋体"/>
                <w:color w:val="000000"/>
                <w:sz w:val="18"/>
                <w:szCs w:val="18"/>
              </w:rPr>
              <w:t>10.一卡通课表：支持与校园一卡通及教务系统对接，实现刷卡上下课、课表同步。</w:t>
            </w:r>
          </w:p>
          <w:p w14:paraId="2C314B4E">
            <w:pPr>
              <w:widowControl/>
              <w:spacing w:line="240" w:lineRule="exact"/>
              <w:jc w:val="left"/>
              <w:rPr>
                <w:rFonts w:hint="eastAsia" w:ascii="宋体" w:hAnsi="宋体"/>
                <w:color w:val="000000"/>
                <w:sz w:val="18"/>
                <w:szCs w:val="18"/>
              </w:rPr>
            </w:pPr>
            <w:r>
              <w:rPr>
                <w:rFonts w:hint="eastAsia" w:ascii="宋体" w:hAnsi="宋体"/>
                <w:color w:val="000000"/>
                <w:sz w:val="18"/>
                <w:szCs w:val="18"/>
              </w:rPr>
              <w:t>11.教学观摩支持按课程、教师、教室检索，卡片和列表模式展示。</w:t>
            </w:r>
          </w:p>
          <w:p w14:paraId="7A22AB20">
            <w:pPr>
              <w:widowControl/>
              <w:spacing w:line="240" w:lineRule="exact"/>
              <w:jc w:val="left"/>
              <w:rPr>
                <w:rFonts w:hint="eastAsia" w:ascii="宋体" w:hAnsi="宋体"/>
                <w:color w:val="000000"/>
                <w:sz w:val="18"/>
                <w:szCs w:val="18"/>
              </w:rPr>
            </w:pPr>
            <w:r>
              <w:rPr>
                <w:rFonts w:hint="eastAsia" w:ascii="宋体" w:hAnsi="宋体"/>
                <w:color w:val="000000"/>
                <w:sz w:val="18"/>
                <w:szCs w:val="18"/>
              </w:rPr>
              <w:t>12.△教学观摩支持观摩窗口显示教师信息、课程名称、上课班级及在线观摩人数。</w:t>
            </w:r>
          </w:p>
          <w:p w14:paraId="1F0BE8E2">
            <w:pPr>
              <w:widowControl/>
              <w:spacing w:line="240" w:lineRule="exact"/>
              <w:jc w:val="left"/>
              <w:rPr>
                <w:rFonts w:hint="eastAsia" w:ascii="宋体" w:hAnsi="宋体"/>
                <w:color w:val="000000"/>
                <w:sz w:val="18"/>
                <w:szCs w:val="18"/>
              </w:rPr>
            </w:pPr>
            <w:r>
              <w:rPr>
                <w:rFonts w:hint="eastAsia" w:ascii="宋体" w:hAnsi="宋体"/>
                <w:color w:val="000000"/>
                <w:sz w:val="18"/>
                <w:szCs w:val="18"/>
              </w:rPr>
              <w:t>13.教学巡课支持单画面至36画面多分屏显示。</w:t>
            </w:r>
          </w:p>
          <w:p w14:paraId="26F1DC20">
            <w:pPr>
              <w:widowControl/>
              <w:spacing w:line="240" w:lineRule="exact"/>
              <w:jc w:val="left"/>
              <w:rPr>
                <w:rFonts w:hint="eastAsia" w:ascii="宋体" w:hAnsi="宋体"/>
                <w:color w:val="000000"/>
                <w:sz w:val="18"/>
                <w:szCs w:val="18"/>
              </w:rPr>
            </w:pPr>
            <w:r>
              <w:rPr>
                <w:rFonts w:hint="eastAsia" w:ascii="宋体" w:hAnsi="宋体"/>
                <w:color w:val="000000"/>
                <w:sz w:val="18"/>
                <w:szCs w:val="18"/>
              </w:rPr>
              <w:t>14.教学巡课支持导入学校平面图，设置巡课点，一键调取视频。</w:t>
            </w:r>
          </w:p>
          <w:p w14:paraId="2796900B">
            <w:pPr>
              <w:widowControl/>
              <w:spacing w:line="240" w:lineRule="exact"/>
              <w:jc w:val="left"/>
              <w:rPr>
                <w:rFonts w:hint="eastAsia" w:ascii="宋体" w:hAnsi="宋体"/>
                <w:color w:val="000000"/>
                <w:sz w:val="18"/>
                <w:szCs w:val="18"/>
              </w:rPr>
            </w:pPr>
            <w:r>
              <w:rPr>
                <w:rFonts w:hint="eastAsia" w:ascii="宋体" w:hAnsi="宋体"/>
                <w:color w:val="000000"/>
                <w:sz w:val="18"/>
                <w:szCs w:val="18"/>
              </w:rPr>
              <w:t>15.OTS在线学习平台：具备直播、点播、资源管理、考试、证书、数据统计等功能。</w:t>
            </w:r>
          </w:p>
          <w:p w14:paraId="5620B65C">
            <w:pPr>
              <w:widowControl/>
              <w:spacing w:line="240" w:lineRule="exact"/>
              <w:jc w:val="left"/>
              <w:rPr>
                <w:rFonts w:hint="eastAsia" w:ascii="宋体" w:hAnsi="宋体"/>
                <w:color w:val="000000"/>
                <w:sz w:val="18"/>
                <w:szCs w:val="18"/>
              </w:rPr>
            </w:pPr>
            <w:r>
              <w:rPr>
                <w:rFonts w:hint="eastAsia" w:ascii="宋体" w:hAnsi="宋体"/>
                <w:color w:val="000000"/>
                <w:sz w:val="18"/>
                <w:szCs w:val="18"/>
              </w:rPr>
              <w:t>二、服务器：2台</w:t>
            </w:r>
          </w:p>
          <w:p w14:paraId="4000C263">
            <w:pPr>
              <w:widowControl/>
              <w:spacing w:line="240" w:lineRule="exact"/>
              <w:jc w:val="left"/>
              <w:rPr>
                <w:rFonts w:hint="eastAsia" w:ascii="宋体" w:hAnsi="宋体"/>
                <w:color w:val="000000"/>
                <w:sz w:val="18"/>
                <w:szCs w:val="18"/>
              </w:rPr>
            </w:pPr>
            <w:r>
              <w:rPr>
                <w:rFonts w:hint="eastAsia" w:ascii="宋体" w:hAnsi="宋体"/>
                <w:color w:val="000000"/>
                <w:sz w:val="18"/>
                <w:szCs w:val="18"/>
              </w:rPr>
              <w:t>1.</w:t>
            </w:r>
            <w:r>
              <w:rPr>
                <w:rFonts w:ascii="宋体" w:hAnsi="宋体"/>
                <w:color w:val="000000"/>
                <w:sz w:val="18"/>
                <w:szCs w:val="18"/>
              </w:rPr>
              <w:t>2U机架式，CPU≥1颗Xeon 4210，内存≥1*32GB DDR4。</w:t>
            </w:r>
          </w:p>
          <w:p w14:paraId="782E1712">
            <w:pPr>
              <w:widowControl/>
              <w:spacing w:line="240" w:lineRule="exact"/>
              <w:jc w:val="left"/>
              <w:rPr>
                <w:rFonts w:hint="eastAsia" w:ascii="宋体" w:hAnsi="宋体"/>
                <w:color w:val="000000"/>
                <w:sz w:val="18"/>
                <w:szCs w:val="18"/>
              </w:rPr>
            </w:pPr>
            <w:r>
              <w:rPr>
                <w:rFonts w:hint="eastAsia" w:ascii="宋体" w:hAnsi="宋体"/>
                <w:color w:val="000000"/>
                <w:sz w:val="18"/>
                <w:szCs w:val="18"/>
              </w:rPr>
              <w:t>2.</w:t>
            </w:r>
            <w:r>
              <w:rPr>
                <w:rFonts w:ascii="宋体" w:hAnsi="宋体"/>
                <w:color w:val="000000"/>
                <w:sz w:val="18"/>
                <w:szCs w:val="18"/>
              </w:rPr>
              <w:t>硬盘：配置≥12个3.5寸热插拔槽位，实配≥2*480GB SSD。</w:t>
            </w:r>
          </w:p>
          <w:p w14:paraId="1B37F5D8">
            <w:pPr>
              <w:widowControl/>
              <w:spacing w:line="240" w:lineRule="exact"/>
              <w:jc w:val="left"/>
              <w:rPr>
                <w:rFonts w:hint="eastAsia" w:ascii="宋体" w:hAnsi="宋体"/>
                <w:color w:val="000000"/>
                <w:sz w:val="18"/>
                <w:szCs w:val="18"/>
              </w:rPr>
            </w:pPr>
            <w:r>
              <w:rPr>
                <w:rFonts w:hint="eastAsia" w:ascii="宋体" w:hAnsi="宋体"/>
                <w:color w:val="000000"/>
                <w:sz w:val="18"/>
                <w:szCs w:val="18"/>
              </w:rPr>
              <w:t>3.</w:t>
            </w:r>
            <w:r>
              <w:rPr>
                <w:rFonts w:ascii="宋体" w:hAnsi="宋体"/>
                <w:color w:val="000000"/>
                <w:sz w:val="18"/>
                <w:szCs w:val="18"/>
              </w:rPr>
              <w:t>配置≥1块SAS RAID卡，≥4个千兆电口，≥800W电源。</w:t>
            </w:r>
          </w:p>
          <w:p w14:paraId="4CDF0CF3">
            <w:pPr>
              <w:widowControl/>
              <w:spacing w:line="240" w:lineRule="exact"/>
              <w:jc w:val="left"/>
            </w:pPr>
          </w:p>
        </w:tc>
      </w:tr>
      <w:tr w14:paraId="48FBA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485" w:type="dxa"/>
            <w:vAlign w:val="center"/>
          </w:tcPr>
          <w:p w14:paraId="4883FFA1">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9</w:t>
            </w:r>
          </w:p>
        </w:tc>
        <w:tc>
          <w:tcPr>
            <w:tcW w:w="767" w:type="dxa"/>
            <w:vAlign w:val="center"/>
          </w:tcPr>
          <w:p w14:paraId="0AF29A1C">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智能录播设备</w:t>
            </w:r>
          </w:p>
        </w:tc>
        <w:tc>
          <w:tcPr>
            <w:tcW w:w="3747" w:type="dxa"/>
            <w:vAlign w:val="center"/>
          </w:tcPr>
          <w:p w14:paraId="180ED6C0">
            <w:pPr>
              <w:widowControl/>
              <w:spacing w:line="240" w:lineRule="exact"/>
              <w:jc w:val="left"/>
              <w:rPr>
                <w:rFonts w:hint="eastAsia" w:ascii="宋体" w:hAnsi="宋体"/>
                <w:color w:val="000000"/>
                <w:sz w:val="18"/>
                <w:szCs w:val="18"/>
              </w:rPr>
            </w:pPr>
            <w:r>
              <w:rPr>
                <w:rFonts w:hint="eastAsia" w:ascii="宋体" w:hAnsi="宋体"/>
                <w:color w:val="000000"/>
                <w:sz w:val="18"/>
                <w:szCs w:val="18"/>
              </w:rPr>
              <w:t>一、4K老师摄像机：1台</w:t>
            </w:r>
          </w:p>
          <w:p w14:paraId="0C514E88">
            <w:pPr>
              <w:widowControl/>
              <w:spacing w:line="240" w:lineRule="exact"/>
              <w:jc w:val="left"/>
              <w:rPr>
                <w:rFonts w:hint="eastAsia" w:ascii="宋体" w:hAnsi="宋体"/>
                <w:color w:val="000000"/>
                <w:sz w:val="18"/>
                <w:szCs w:val="18"/>
              </w:rPr>
            </w:pPr>
            <w:r>
              <w:rPr>
                <w:rFonts w:hint="eastAsia" w:ascii="宋体" w:hAnsi="宋体"/>
                <w:color w:val="000000"/>
                <w:sz w:val="18"/>
                <w:szCs w:val="18"/>
              </w:rPr>
              <w:t>1.△双镜头：特写镜头（水平视场角≤26°）、全景镜头（水平视场角≥43°）。</w:t>
            </w:r>
          </w:p>
          <w:p w14:paraId="263E7586">
            <w:pPr>
              <w:widowControl/>
              <w:spacing w:line="240" w:lineRule="exact"/>
              <w:jc w:val="left"/>
              <w:rPr>
                <w:rFonts w:hint="eastAsia" w:ascii="宋体" w:hAnsi="宋体"/>
                <w:color w:val="000000"/>
                <w:sz w:val="18"/>
                <w:szCs w:val="18"/>
              </w:rPr>
            </w:pPr>
            <w:r>
              <w:rPr>
                <w:rFonts w:hint="eastAsia" w:ascii="宋体" w:hAnsi="宋体"/>
                <w:color w:val="000000"/>
                <w:sz w:val="18"/>
                <w:szCs w:val="18"/>
              </w:rPr>
              <w:t>2.传感器≥1/2.7英寸CMOS，支持4K分辨率。</w:t>
            </w:r>
          </w:p>
          <w:p w14:paraId="452F5F69">
            <w:pPr>
              <w:widowControl/>
              <w:spacing w:line="240" w:lineRule="exact"/>
              <w:jc w:val="left"/>
              <w:rPr>
                <w:rFonts w:hint="eastAsia" w:ascii="宋体" w:hAnsi="宋体"/>
                <w:color w:val="000000"/>
                <w:sz w:val="18"/>
                <w:szCs w:val="18"/>
              </w:rPr>
            </w:pPr>
            <w:r>
              <w:rPr>
                <w:rFonts w:hint="eastAsia" w:ascii="宋体" w:hAnsi="宋体"/>
                <w:color w:val="000000"/>
                <w:sz w:val="18"/>
                <w:szCs w:val="18"/>
              </w:rPr>
              <w:t>3.内置≥4麦克风阵列，支持UVC、RTSP、RTMP、ONVIF等协议。</w:t>
            </w:r>
          </w:p>
          <w:p w14:paraId="456C0ECB">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4.支持PoE供电。</w:t>
            </w:r>
          </w:p>
          <w:p w14:paraId="5D805ECE">
            <w:pPr>
              <w:widowControl/>
              <w:spacing w:line="240" w:lineRule="exact"/>
              <w:jc w:val="left"/>
              <w:rPr>
                <w:rFonts w:hint="eastAsia" w:ascii="宋体" w:hAnsi="宋体"/>
                <w:color w:val="000000"/>
                <w:sz w:val="18"/>
                <w:szCs w:val="18"/>
              </w:rPr>
            </w:pPr>
            <w:r>
              <w:rPr>
                <w:rFonts w:hint="eastAsia" w:ascii="宋体" w:hAnsi="宋体"/>
                <w:color w:val="000000"/>
                <w:sz w:val="18"/>
                <w:szCs w:val="18"/>
              </w:rPr>
              <w:t>二、4K学生摄像机：1台</w:t>
            </w:r>
          </w:p>
          <w:p w14:paraId="20C1F59B">
            <w:pPr>
              <w:widowControl/>
              <w:spacing w:line="240" w:lineRule="exact"/>
              <w:jc w:val="left"/>
              <w:rPr>
                <w:rFonts w:hint="eastAsia" w:ascii="宋体" w:hAnsi="宋体"/>
                <w:color w:val="000000"/>
                <w:sz w:val="18"/>
                <w:szCs w:val="18"/>
              </w:rPr>
            </w:pPr>
            <w:r>
              <w:rPr>
                <w:rFonts w:hint="eastAsia" w:ascii="宋体" w:hAnsi="宋体"/>
                <w:color w:val="000000"/>
                <w:sz w:val="18"/>
                <w:szCs w:val="18"/>
              </w:rPr>
              <w:t>1.△双镜头：特写镜头（水平视场角≥43°）、全景镜头（水平视场角≥110°）。</w:t>
            </w:r>
          </w:p>
          <w:p w14:paraId="4BF7FCF2">
            <w:pPr>
              <w:widowControl/>
              <w:spacing w:line="240" w:lineRule="exact"/>
              <w:jc w:val="left"/>
              <w:rPr>
                <w:rFonts w:hint="eastAsia" w:ascii="宋体" w:hAnsi="宋体"/>
                <w:color w:val="000000"/>
                <w:sz w:val="18"/>
                <w:szCs w:val="18"/>
              </w:rPr>
            </w:pPr>
            <w:r>
              <w:rPr>
                <w:rFonts w:hint="eastAsia" w:ascii="宋体" w:hAnsi="宋体"/>
                <w:color w:val="000000"/>
                <w:sz w:val="18"/>
                <w:szCs w:val="18"/>
              </w:rPr>
              <w:t>2.传感器≥1/2.7英寸CMOS，支持4K分辨率。</w:t>
            </w:r>
          </w:p>
          <w:p w14:paraId="03AFAE41">
            <w:pPr>
              <w:widowControl/>
              <w:spacing w:line="240" w:lineRule="exact"/>
              <w:jc w:val="left"/>
              <w:rPr>
                <w:rFonts w:hint="eastAsia" w:ascii="宋体" w:hAnsi="宋体"/>
                <w:color w:val="000000"/>
                <w:sz w:val="18"/>
                <w:szCs w:val="18"/>
              </w:rPr>
            </w:pPr>
            <w:r>
              <w:rPr>
                <w:rFonts w:hint="eastAsia" w:ascii="宋体" w:hAnsi="宋体"/>
                <w:color w:val="000000"/>
                <w:sz w:val="18"/>
                <w:szCs w:val="18"/>
              </w:rPr>
              <w:t>3.内置≥4麦克风阵列，支持UVC、RTSP、RTMP、ONVIF等协议。</w:t>
            </w:r>
          </w:p>
          <w:p w14:paraId="05BC9B08">
            <w:pPr>
              <w:widowControl/>
              <w:spacing w:line="240" w:lineRule="exact"/>
              <w:jc w:val="left"/>
              <w:rPr>
                <w:rFonts w:hint="eastAsia" w:ascii="宋体" w:hAnsi="宋体"/>
                <w:color w:val="000000"/>
                <w:sz w:val="18"/>
                <w:szCs w:val="18"/>
              </w:rPr>
            </w:pPr>
            <w:r>
              <w:rPr>
                <w:rFonts w:hint="eastAsia" w:ascii="宋体" w:hAnsi="宋体"/>
                <w:color w:val="000000"/>
                <w:sz w:val="18"/>
                <w:szCs w:val="18"/>
              </w:rPr>
              <w:t>4.支持PoE供电。</w:t>
            </w:r>
          </w:p>
          <w:p w14:paraId="2F9423DA">
            <w:pPr>
              <w:widowControl/>
              <w:spacing w:line="240" w:lineRule="exact"/>
              <w:jc w:val="left"/>
              <w:rPr>
                <w:rFonts w:hint="eastAsia" w:ascii="宋体" w:hAnsi="宋体"/>
                <w:color w:val="000000"/>
                <w:sz w:val="18"/>
                <w:szCs w:val="18"/>
              </w:rPr>
            </w:pPr>
            <w:r>
              <w:rPr>
                <w:rFonts w:hint="eastAsia" w:ascii="宋体" w:hAnsi="宋体"/>
                <w:color w:val="000000"/>
                <w:sz w:val="18"/>
                <w:szCs w:val="18"/>
              </w:rPr>
              <w:t>三、嵌入式录播主机：1台</w:t>
            </w:r>
          </w:p>
          <w:p w14:paraId="61302089">
            <w:pPr>
              <w:widowControl/>
              <w:spacing w:line="240" w:lineRule="exact"/>
              <w:jc w:val="left"/>
              <w:rPr>
                <w:rFonts w:hint="eastAsia" w:ascii="宋体" w:hAnsi="宋体"/>
                <w:color w:val="000000"/>
                <w:sz w:val="18"/>
                <w:szCs w:val="18"/>
              </w:rPr>
            </w:pPr>
            <w:r>
              <w:rPr>
                <w:rFonts w:hint="eastAsia" w:ascii="宋体" w:hAnsi="宋体"/>
                <w:color w:val="000000"/>
                <w:sz w:val="18"/>
                <w:szCs w:val="18"/>
              </w:rPr>
              <w:t>1.纯硬件嵌入式架构，支持7*24小时工作。</w:t>
            </w:r>
          </w:p>
          <w:p w14:paraId="0E5D0668">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2.支持≥1路4K或6路1080p网络摄像机接入与录制。</w:t>
            </w:r>
          </w:p>
          <w:p w14:paraId="21CB8712">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3.支持RTMP推流、SIP转发、电影/资源/画中画模式。</w:t>
            </w:r>
          </w:p>
          <w:p w14:paraId="1809755D">
            <w:pPr>
              <w:widowControl/>
              <w:spacing w:line="240" w:lineRule="exact"/>
              <w:jc w:val="left"/>
              <w:rPr>
                <w:rFonts w:hint="eastAsia" w:ascii="宋体" w:hAnsi="宋体"/>
                <w:color w:val="000000"/>
                <w:sz w:val="18"/>
                <w:szCs w:val="18"/>
              </w:rPr>
            </w:pPr>
            <w:r>
              <w:rPr>
                <w:rFonts w:hint="eastAsia" w:ascii="宋体" w:hAnsi="宋体"/>
                <w:color w:val="000000"/>
                <w:sz w:val="18"/>
                <w:szCs w:val="18"/>
              </w:rPr>
              <w:t>4.标配1TB硬盘，支持ONVIF协议、自定义录制计划。</w:t>
            </w:r>
          </w:p>
          <w:p w14:paraId="3DE830A0">
            <w:pPr>
              <w:widowControl/>
              <w:spacing w:line="240" w:lineRule="exact"/>
              <w:jc w:val="left"/>
              <w:rPr>
                <w:rFonts w:hint="eastAsia" w:ascii="宋体" w:hAnsi="宋体"/>
                <w:color w:val="000000"/>
                <w:sz w:val="18"/>
                <w:szCs w:val="18"/>
              </w:rPr>
            </w:pPr>
            <w:r>
              <w:rPr>
                <w:rFonts w:hint="eastAsia" w:ascii="宋体" w:hAnsi="宋体"/>
                <w:color w:val="000000"/>
                <w:sz w:val="18"/>
                <w:szCs w:val="18"/>
              </w:rPr>
              <w:t>四、数字阵列麦克风：1支</w:t>
            </w:r>
          </w:p>
          <w:p w14:paraId="0F9E3AAD">
            <w:pPr>
              <w:widowControl/>
              <w:spacing w:line="240" w:lineRule="exact"/>
              <w:jc w:val="left"/>
              <w:rPr>
                <w:rFonts w:hint="eastAsia" w:ascii="宋体" w:hAnsi="宋体"/>
                <w:color w:val="000000"/>
                <w:sz w:val="18"/>
                <w:szCs w:val="18"/>
              </w:rPr>
            </w:pPr>
            <w:r>
              <w:rPr>
                <w:rFonts w:hint="eastAsia" w:ascii="宋体" w:hAnsi="宋体"/>
                <w:color w:val="000000"/>
                <w:sz w:val="18"/>
                <w:szCs w:val="18"/>
              </w:rPr>
              <w:t>1.7麦环形阵列，360°全向拾音，拾音距离≥8米。</w:t>
            </w:r>
          </w:p>
          <w:p w14:paraId="443DBC70">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2.支持回声消除、噪声抑制、自动增益。</w:t>
            </w:r>
          </w:p>
          <w:p w14:paraId="0F72FA5E">
            <w:pPr>
              <w:widowControl/>
              <w:spacing w:line="240" w:lineRule="exact"/>
              <w:jc w:val="left"/>
              <w:rPr>
                <w:rFonts w:hint="eastAsia" w:ascii="宋体" w:hAnsi="宋体"/>
                <w:color w:val="000000"/>
                <w:sz w:val="18"/>
                <w:szCs w:val="18"/>
              </w:rPr>
            </w:pPr>
            <w:r>
              <w:rPr>
                <w:rFonts w:hint="eastAsia" w:ascii="宋体" w:hAnsi="宋体"/>
                <w:color w:val="000000"/>
                <w:sz w:val="18"/>
                <w:szCs w:val="18"/>
              </w:rPr>
              <w:t>3.接口：3.5mm线性输入/输出，USB Type-B。</w:t>
            </w:r>
          </w:p>
        </w:tc>
      </w:tr>
      <w:tr w14:paraId="271F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485" w:type="dxa"/>
            <w:vAlign w:val="center"/>
          </w:tcPr>
          <w:p w14:paraId="7A59DA97">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10</w:t>
            </w:r>
          </w:p>
        </w:tc>
        <w:tc>
          <w:tcPr>
            <w:tcW w:w="767" w:type="dxa"/>
            <w:vAlign w:val="center"/>
          </w:tcPr>
          <w:p w14:paraId="6423DC46">
            <w:pPr>
              <w:widowControl/>
              <w:jc w:val="center"/>
              <w:rPr>
                <w:rFonts w:hint="eastAsia" w:ascii="宋体" w:hAnsi="宋体"/>
                <w:color w:val="000000"/>
                <w:kern w:val="0"/>
                <w:sz w:val="18"/>
                <w:szCs w:val="18"/>
                <w:lang w:bidi="ar"/>
              </w:rPr>
            </w:pPr>
            <w:r>
              <w:rPr>
                <w:rFonts w:hint="eastAsia" w:ascii="宋体" w:hAnsi="宋体"/>
                <w:color w:val="000000"/>
                <w:kern w:val="0"/>
                <w:sz w:val="18"/>
                <w:szCs w:val="18"/>
                <w:lang w:bidi="ar"/>
              </w:rPr>
              <w:t>融媒刊创作系统</w:t>
            </w:r>
          </w:p>
        </w:tc>
        <w:tc>
          <w:tcPr>
            <w:tcW w:w="3747" w:type="dxa"/>
            <w:vAlign w:val="center"/>
          </w:tcPr>
          <w:p w14:paraId="4EC6485D">
            <w:pPr>
              <w:widowControl/>
              <w:spacing w:line="240" w:lineRule="exact"/>
              <w:jc w:val="left"/>
              <w:rPr>
                <w:rFonts w:hint="eastAsia" w:ascii="宋体" w:hAnsi="宋体"/>
                <w:color w:val="000000"/>
                <w:sz w:val="18"/>
                <w:szCs w:val="18"/>
              </w:rPr>
            </w:pPr>
            <w:r>
              <w:rPr>
                <w:rFonts w:hint="eastAsia" w:ascii="宋体" w:hAnsi="宋体"/>
                <w:color w:val="000000"/>
                <w:sz w:val="18"/>
                <w:szCs w:val="18"/>
              </w:rPr>
              <w:t>1.支持使用PDF等文件发布电子书报刊；</w:t>
            </w:r>
          </w:p>
          <w:p w14:paraId="27D2F6F2">
            <w:pPr>
              <w:widowControl/>
              <w:spacing w:line="240" w:lineRule="exact"/>
              <w:jc w:val="left"/>
              <w:rPr>
                <w:rFonts w:hint="eastAsia" w:ascii="宋体" w:hAnsi="宋体"/>
                <w:color w:val="000000"/>
                <w:sz w:val="18"/>
                <w:szCs w:val="18"/>
              </w:rPr>
            </w:pPr>
            <w:r>
              <w:rPr>
                <w:rFonts w:hint="eastAsia" w:ascii="宋体" w:hAnsi="宋体"/>
                <w:color w:val="000000"/>
                <w:sz w:val="18"/>
                <w:szCs w:val="18"/>
              </w:rPr>
              <w:t>2.支持上传多个PDF文件，批量发布或在线合并发布电子书报刊；</w:t>
            </w:r>
          </w:p>
          <w:p w14:paraId="63586F9D">
            <w:pPr>
              <w:widowControl/>
              <w:spacing w:line="240" w:lineRule="exact"/>
              <w:jc w:val="left"/>
              <w:rPr>
                <w:rFonts w:hint="eastAsia" w:ascii="宋体" w:hAnsi="宋体"/>
                <w:color w:val="000000"/>
                <w:sz w:val="18"/>
                <w:szCs w:val="18"/>
              </w:rPr>
            </w:pPr>
            <w:r>
              <w:rPr>
                <w:rFonts w:hint="eastAsia" w:ascii="宋体" w:hAnsi="宋体"/>
                <w:color w:val="000000"/>
                <w:sz w:val="18"/>
                <w:szCs w:val="18"/>
              </w:rPr>
              <w:t>3.支持上传反解结果文件，发布包含单篇稿件阅读数字报；</w:t>
            </w:r>
          </w:p>
          <w:p w14:paraId="52BEC1BC">
            <w:pPr>
              <w:widowControl/>
              <w:spacing w:line="240" w:lineRule="exact"/>
              <w:jc w:val="left"/>
              <w:rPr>
                <w:rFonts w:hint="eastAsia" w:ascii="宋体" w:hAnsi="宋体"/>
                <w:color w:val="000000"/>
                <w:sz w:val="18"/>
                <w:szCs w:val="18"/>
              </w:rPr>
            </w:pPr>
            <w:r>
              <w:rPr>
                <w:rFonts w:hint="eastAsia" w:ascii="宋体" w:hAnsi="宋体"/>
                <w:color w:val="000000"/>
                <w:sz w:val="18"/>
                <w:szCs w:val="18"/>
              </w:rPr>
              <w:t>4.电子书报刊Html5网页自适应兼容PC端、移动端，满足跨终端阅读场景；</w:t>
            </w:r>
          </w:p>
          <w:p w14:paraId="7B1B321E">
            <w:pPr>
              <w:widowControl/>
              <w:spacing w:line="240" w:lineRule="exact"/>
              <w:jc w:val="left"/>
              <w:rPr>
                <w:rFonts w:hint="eastAsia" w:ascii="宋体" w:hAnsi="宋体"/>
                <w:color w:val="000000"/>
                <w:sz w:val="18"/>
                <w:szCs w:val="18"/>
              </w:rPr>
            </w:pPr>
            <w:r>
              <w:rPr>
                <w:rFonts w:hint="eastAsia" w:ascii="宋体" w:hAnsi="宋体"/>
                <w:color w:val="000000"/>
                <w:sz w:val="18"/>
                <w:szCs w:val="18"/>
              </w:rPr>
              <w:t>5.提供仿真翻页效果，支持高清版面缩放；</w:t>
            </w:r>
          </w:p>
          <w:p w14:paraId="5D5EAD85">
            <w:pPr>
              <w:widowControl/>
              <w:spacing w:line="240" w:lineRule="exact"/>
              <w:jc w:val="left"/>
              <w:rPr>
                <w:rFonts w:hint="eastAsia" w:ascii="宋体" w:hAnsi="宋体"/>
                <w:color w:val="000000"/>
                <w:sz w:val="18"/>
                <w:szCs w:val="18"/>
              </w:rPr>
            </w:pPr>
            <w:r>
              <w:rPr>
                <w:rFonts w:hint="eastAsia" w:ascii="宋体" w:hAnsi="宋体"/>
                <w:color w:val="000000"/>
                <w:sz w:val="18"/>
                <w:szCs w:val="18"/>
              </w:rPr>
              <w:t>6.提供缩略图导览、目录导览电子书报刊阅读导览功能；</w:t>
            </w:r>
          </w:p>
          <w:p w14:paraId="1433B4A4">
            <w:pPr>
              <w:widowControl/>
              <w:spacing w:line="240" w:lineRule="exact"/>
              <w:jc w:val="left"/>
              <w:rPr>
                <w:rFonts w:hint="eastAsia" w:ascii="宋体" w:hAnsi="宋体"/>
                <w:color w:val="000000"/>
                <w:sz w:val="18"/>
                <w:szCs w:val="18"/>
              </w:rPr>
            </w:pPr>
            <w:r>
              <w:rPr>
                <w:rFonts w:hint="eastAsia" w:ascii="宋体" w:hAnsi="宋体"/>
                <w:color w:val="000000"/>
                <w:sz w:val="18"/>
                <w:szCs w:val="18"/>
              </w:rPr>
              <w:t>7.提供背景音乐、翻页音效、自动翻页、全屏的电子书报刊阅读控制功能；</w:t>
            </w:r>
          </w:p>
          <w:p w14:paraId="1EA5AB95">
            <w:pPr>
              <w:widowControl/>
              <w:spacing w:line="240" w:lineRule="exact"/>
              <w:jc w:val="left"/>
              <w:rPr>
                <w:rFonts w:hint="eastAsia" w:ascii="宋体" w:hAnsi="宋体"/>
                <w:color w:val="000000"/>
                <w:sz w:val="18"/>
                <w:szCs w:val="18"/>
              </w:rPr>
            </w:pPr>
            <w:r>
              <w:rPr>
                <w:rFonts w:hint="eastAsia" w:ascii="宋体" w:hAnsi="宋体"/>
                <w:color w:val="000000"/>
                <w:sz w:val="18"/>
                <w:szCs w:val="18"/>
              </w:rPr>
              <w:t>8.支持定义LOGO、官网主页入口、历史资源入口等展示形象资源；</w:t>
            </w:r>
          </w:p>
          <w:p w14:paraId="54B428DA">
            <w:pPr>
              <w:widowControl/>
              <w:spacing w:line="240" w:lineRule="exact"/>
              <w:jc w:val="left"/>
              <w:rPr>
                <w:rFonts w:hint="eastAsia" w:ascii="宋体" w:hAnsi="宋体"/>
                <w:color w:val="000000"/>
                <w:sz w:val="18"/>
                <w:szCs w:val="18"/>
              </w:rPr>
            </w:pPr>
            <w:r>
              <w:rPr>
                <w:rFonts w:hint="eastAsia" w:ascii="宋体" w:hAnsi="宋体"/>
                <w:color w:val="000000"/>
                <w:sz w:val="18"/>
                <w:szCs w:val="18"/>
              </w:rPr>
              <w:t>9.提供内容搜索功能，可对包含文字的双层PDF文件中的内容、稿件文章中的内容进行搜索，选中搜索结果可跳转至对应页面、打开对应文章；</w:t>
            </w:r>
          </w:p>
          <w:p w14:paraId="4B78DC31">
            <w:pPr>
              <w:widowControl/>
              <w:spacing w:line="240" w:lineRule="exact"/>
              <w:jc w:val="left"/>
              <w:rPr>
                <w:rFonts w:hint="eastAsia" w:ascii="宋体" w:hAnsi="宋体"/>
                <w:color w:val="000000"/>
                <w:sz w:val="18"/>
                <w:szCs w:val="18"/>
              </w:rPr>
            </w:pPr>
            <w:r>
              <w:rPr>
                <w:rFonts w:hint="eastAsia" w:ascii="宋体" w:hAnsi="宋体"/>
                <w:color w:val="000000"/>
                <w:sz w:val="18"/>
                <w:szCs w:val="18"/>
              </w:rPr>
              <w:t>10.为电子书报刊稿件文章不同内容类型提供方正悠黑、方正悠宋两款屏显字体不同字重的字体；</w:t>
            </w:r>
          </w:p>
          <w:p w14:paraId="18ACB44C">
            <w:pPr>
              <w:widowControl/>
              <w:spacing w:line="240" w:lineRule="exact"/>
              <w:jc w:val="left"/>
              <w:rPr>
                <w:rFonts w:hint="eastAsia" w:ascii="宋体" w:hAnsi="宋体"/>
                <w:color w:val="000000"/>
                <w:sz w:val="18"/>
                <w:szCs w:val="18"/>
              </w:rPr>
            </w:pPr>
            <w:r>
              <w:rPr>
                <w:rFonts w:hint="eastAsia" w:ascii="宋体" w:hAnsi="宋体"/>
                <w:color w:val="000000"/>
                <w:sz w:val="18"/>
                <w:szCs w:val="18"/>
              </w:rPr>
              <w:t>11.报纸文章能够选择显示文章所在报纸版面；</w:t>
            </w:r>
          </w:p>
          <w:p w14:paraId="348D7AB6">
            <w:pPr>
              <w:widowControl/>
              <w:spacing w:line="240" w:lineRule="exact"/>
              <w:jc w:val="left"/>
              <w:rPr>
                <w:rFonts w:hint="eastAsia" w:ascii="宋体" w:hAnsi="宋体"/>
                <w:color w:val="000000"/>
                <w:sz w:val="18"/>
                <w:szCs w:val="18"/>
              </w:rPr>
            </w:pPr>
            <w:r>
              <w:rPr>
                <w:rFonts w:hint="eastAsia" w:ascii="宋体" w:hAnsi="宋体"/>
                <w:color w:val="000000"/>
                <w:sz w:val="18"/>
                <w:szCs w:val="18"/>
              </w:rPr>
              <w:t>12.支持稿件文章内容朗读，并提供多种朗读音效可选；</w:t>
            </w:r>
          </w:p>
          <w:p w14:paraId="32A96D50">
            <w:pPr>
              <w:widowControl/>
              <w:spacing w:line="240" w:lineRule="exact"/>
              <w:jc w:val="left"/>
              <w:rPr>
                <w:rFonts w:hint="eastAsia" w:ascii="宋体" w:hAnsi="宋体"/>
                <w:color w:val="000000"/>
                <w:sz w:val="18"/>
                <w:szCs w:val="18"/>
              </w:rPr>
            </w:pPr>
            <w:r>
              <w:rPr>
                <w:rFonts w:hint="eastAsia" w:ascii="宋体" w:hAnsi="宋体"/>
                <w:color w:val="000000"/>
                <w:sz w:val="18"/>
                <w:szCs w:val="18"/>
              </w:rPr>
              <w:t>13.★提供听文章模式，在不方便阅读的情况下，可直接收听全部文章内容；</w:t>
            </w:r>
          </w:p>
          <w:p w14:paraId="28D35DB2">
            <w:pPr>
              <w:widowControl/>
              <w:spacing w:line="240" w:lineRule="exact"/>
              <w:jc w:val="left"/>
              <w:rPr>
                <w:rFonts w:hint="eastAsia" w:ascii="宋体" w:hAnsi="宋体"/>
                <w:color w:val="000000"/>
                <w:sz w:val="18"/>
                <w:szCs w:val="18"/>
              </w:rPr>
            </w:pPr>
            <w:r>
              <w:rPr>
                <w:rFonts w:hint="eastAsia" w:ascii="宋体" w:hAnsi="宋体"/>
                <w:color w:val="000000"/>
                <w:sz w:val="18"/>
                <w:szCs w:val="18"/>
              </w:rPr>
              <w:t>14.支持收藏电子书报刊，读者可以在个人主页查看收藏、订阅的内容；</w:t>
            </w:r>
          </w:p>
          <w:p w14:paraId="4FBE4204">
            <w:pPr>
              <w:widowControl/>
              <w:spacing w:line="240" w:lineRule="exact"/>
              <w:jc w:val="left"/>
              <w:rPr>
                <w:rFonts w:hint="eastAsia" w:ascii="宋体" w:hAnsi="宋体"/>
                <w:color w:val="000000"/>
                <w:sz w:val="18"/>
                <w:szCs w:val="18"/>
              </w:rPr>
            </w:pPr>
            <w:r>
              <w:rPr>
                <w:rFonts w:hint="eastAsia" w:ascii="宋体" w:hAnsi="宋体"/>
                <w:color w:val="000000"/>
                <w:sz w:val="18"/>
                <w:szCs w:val="18"/>
              </w:rPr>
              <w:t>15.★提供视频推荐功能，支持在视频播放结束后自动跳转至云阅读链接或海报；</w:t>
            </w:r>
          </w:p>
          <w:p w14:paraId="50F770D0">
            <w:pPr>
              <w:widowControl/>
              <w:spacing w:line="240" w:lineRule="exact"/>
              <w:jc w:val="left"/>
              <w:rPr>
                <w:rFonts w:hint="eastAsia" w:ascii="宋体" w:hAnsi="宋体"/>
                <w:color w:val="000000"/>
                <w:sz w:val="18"/>
                <w:szCs w:val="18"/>
              </w:rPr>
            </w:pPr>
            <w:r>
              <w:rPr>
                <w:rFonts w:hint="eastAsia" w:ascii="宋体" w:hAnsi="宋体"/>
                <w:color w:val="000000"/>
                <w:sz w:val="18"/>
                <w:szCs w:val="18"/>
              </w:rPr>
              <w:t>16.提供数字报传统样式，报纸版面、版次目录、文章内容固定显示；</w:t>
            </w:r>
          </w:p>
          <w:p w14:paraId="3FAFC1D7">
            <w:pPr>
              <w:widowControl/>
              <w:spacing w:line="240" w:lineRule="exact"/>
              <w:jc w:val="left"/>
              <w:rPr>
                <w:rFonts w:hint="eastAsia" w:ascii="宋体" w:hAnsi="宋体"/>
                <w:color w:val="000000"/>
                <w:sz w:val="18"/>
                <w:szCs w:val="18"/>
              </w:rPr>
            </w:pPr>
            <w:r>
              <w:rPr>
                <w:rFonts w:hint="eastAsia" w:ascii="宋体" w:hAnsi="宋体"/>
                <w:color w:val="000000"/>
                <w:sz w:val="18"/>
                <w:szCs w:val="18"/>
              </w:rPr>
              <w:t>17.提供多种页面处理方式，双页显示可根据所在位置自动缩放或拆分页面，单页显示可按原始比例显示页面；</w:t>
            </w:r>
          </w:p>
          <w:p w14:paraId="54AC2C9F">
            <w:pPr>
              <w:widowControl/>
              <w:spacing w:line="240" w:lineRule="exact"/>
              <w:jc w:val="left"/>
              <w:rPr>
                <w:rFonts w:hint="eastAsia" w:ascii="宋体" w:hAnsi="宋体"/>
                <w:color w:val="000000"/>
                <w:sz w:val="18"/>
                <w:szCs w:val="18"/>
              </w:rPr>
            </w:pPr>
            <w:r>
              <w:rPr>
                <w:rFonts w:hint="eastAsia" w:ascii="宋体" w:hAnsi="宋体"/>
                <w:color w:val="000000"/>
                <w:sz w:val="18"/>
                <w:szCs w:val="18"/>
              </w:rPr>
              <w:t>18.支持自定义微信分享信息；</w:t>
            </w:r>
          </w:p>
          <w:p w14:paraId="6C38AF98">
            <w:pPr>
              <w:widowControl/>
              <w:spacing w:line="240" w:lineRule="exact"/>
              <w:jc w:val="left"/>
              <w:rPr>
                <w:rFonts w:hint="eastAsia" w:ascii="宋体" w:hAnsi="宋体"/>
                <w:color w:val="000000"/>
                <w:sz w:val="18"/>
                <w:szCs w:val="18"/>
              </w:rPr>
            </w:pPr>
            <w:r>
              <w:rPr>
                <w:rFonts w:hint="eastAsia" w:ascii="宋体" w:hAnsi="宋体"/>
                <w:color w:val="000000"/>
                <w:sz w:val="18"/>
                <w:szCs w:val="18"/>
              </w:rPr>
              <w:t>19.支持设置报纸、杂志刊期，阅读电子报刊时可在日历或年份列表中选择跳转其他刊期内容；</w:t>
            </w:r>
          </w:p>
          <w:p w14:paraId="55B54045">
            <w:pPr>
              <w:widowControl/>
              <w:spacing w:line="240" w:lineRule="exact"/>
              <w:jc w:val="left"/>
              <w:rPr>
                <w:rFonts w:hint="eastAsia" w:ascii="宋体" w:hAnsi="宋体"/>
                <w:color w:val="000000"/>
                <w:sz w:val="18"/>
                <w:szCs w:val="18"/>
              </w:rPr>
            </w:pPr>
            <w:r>
              <w:rPr>
                <w:rFonts w:hint="eastAsia" w:ascii="宋体" w:hAnsi="宋体"/>
                <w:color w:val="000000"/>
                <w:sz w:val="18"/>
                <w:szCs w:val="18"/>
              </w:rPr>
              <w:t>20.提供大量背景图片，支持自定义上传图片作为背景；</w:t>
            </w:r>
          </w:p>
          <w:p w14:paraId="256F8031">
            <w:pPr>
              <w:widowControl/>
              <w:spacing w:line="240" w:lineRule="exact"/>
              <w:jc w:val="left"/>
              <w:rPr>
                <w:rFonts w:hint="eastAsia" w:ascii="宋体" w:hAnsi="宋体"/>
                <w:color w:val="000000"/>
                <w:sz w:val="18"/>
                <w:szCs w:val="18"/>
              </w:rPr>
            </w:pPr>
            <w:r>
              <w:rPr>
                <w:rFonts w:hint="eastAsia" w:ascii="宋体" w:hAnsi="宋体"/>
                <w:color w:val="000000"/>
                <w:sz w:val="18"/>
                <w:szCs w:val="18"/>
              </w:rPr>
              <w:t>21.支持为电子书报刊添加目录，可自动提取PDF中的书签或根据反解文件生成目录，也可手动添加修改；</w:t>
            </w:r>
          </w:p>
          <w:p w14:paraId="4195AB92">
            <w:pPr>
              <w:widowControl/>
              <w:spacing w:line="240" w:lineRule="exact"/>
              <w:jc w:val="left"/>
              <w:rPr>
                <w:rFonts w:hint="eastAsia" w:ascii="宋体" w:hAnsi="宋体"/>
                <w:color w:val="000000"/>
                <w:sz w:val="18"/>
                <w:szCs w:val="18"/>
              </w:rPr>
            </w:pPr>
            <w:r>
              <w:rPr>
                <w:rFonts w:hint="eastAsia" w:ascii="宋体" w:hAnsi="宋体"/>
                <w:color w:val="000000"/>
                <w:sz w:val="18"/>
                <w:szCs w:val="18"/>
              </w:rPr>
              <w:t>22.支持自定义导航栏显示功能，并提供中文、图标两种按钮风格，导航栏内容可根据页面大小自动收起显示；</w:t>
            </w:r>
          </w:p>
          <w:p w14:paraId="25E3DCBA">
            <w:pPr>
              <w:widowControl/>
              <w:spacing w:line="240" w:lineRule="exact"/>
              <w:jc w:val="left"/>
              <w:rPr>
                <w:rFonts w:hint="eastAsia" w:ascii="宋体" w:hAnsi="宋体"/>
                <w:color w:val="000000"/>
                <w:sz w:val="18"/>
                <w:szCs w:val="18"/>
              </w:rPr>
            </w:pPr>
            <w:r>
              <w:rPr>
                <w:rFonts w:hint="eastAsia" w:ascii="宋体" w:hAnsi="宋体"/>
                <w:color w:val="000000"/>
                <w:sz w:val="18"/>
                <w:szCs w:val="18"/>
              </w:rPr>
              <w:t>23.支持设置作品在书架上的封面标记，可选“最新”“热门”或自定义的标记，突出显示作品；</w:t>
            </w:r>
          </w:p>
          <w:p w14:paraId="3197997F">
            <w:pPr>
              <w:widowControl/>
              <w:spacing w:line="240" w:lineRule="exact"/>
              <w:jc w:val="left"/>
              <w:rPr>
                <w:rFonts w:hint="eastAsia" w:ascii="宋体" w:hAnsi="宋体"/>
                <w:color w:val="000000"/>
                <w:sz w:val="18"/>
                <w:szCs w:val="18"/>
              </w:rPr>
            </w:pPr>
            <w:r>
              <w:rPr>
                <w:rFonts w:hint="eastAsia" w:ascii="宋体" w:hAnsi="宋体"/>
                <w:color w:val="000000"/>
                <w:sz w:val="18"/>
                <w:szCs w:val="18"/>
              </w:rPr>
              <w:t>24.支持为上传PDF发布的电子报刊添加稿件热区，生成包含单篇稿件阅读的电子报刊；</w:t>
            </w:r>
          </w:p>
          <w:p w14:paraId="1FE87362">
            <w:pPr>
              <w:widowControl/>
              <w:spacing w:line="240" w:lineRule="exact"/>
              <w:jc w:val="left"/>
              <w:rPr>
                <w:rFonts w:hint="eastAsia" w:ascii="宋体" w:hAnsi="宋体"/>
                <w:color w:val="000000"/>
                <w:sz w:val="18"/>
                <w:szCs w:val="18"/>
              </w:rPr>
            </w:pPr>
            <w:r>
              <w:rPr>
                <w:rFonts w:hint="eastAsia" w:ascii="宋体" w:hAnsi="宋体"/>
                <w:color w:val="000000"/>
                <w:sz w:val="18"/>
                <w:szCs w:val="18"/>
              </w:rPr>
              <w:t>25.△提供富媒体电子书报刊制作能力，可在电子书报刊版面上添加图片、音频、视频、超链接，并能自定义图标；</w:t>
            </w:r>
          </w:p>
          <w:p w14:paraId="339F2CB3">
            <w:pPr>
              <w:widowControl/>
              <w:spacing w:line="240" w:lineRule="exact"/>
              <w:jc w:val="left"/>
              <w:rPr>
                <w:rFonts w:hint="eastAsia" w:ascii="宋体" w:hAnsi="宋体"/>
                <w:color w:val="000000"/>
                <w:sz w:val="18"/>
                <w:szCs w:val="18"/>
              </w:rPr>
            </w:pPr>
            <w:r>
              <w:rPr>
                <w:rFonts w:hint="eastAsia" w:ascii="宋体" w:hAnsi="宋体"/>
                <w:color w:val="000000"/>
                <w:sz w:val="18"/>
                <w:szCs w:val="18"/>
              </w:rPr>
              <w:t>26.支持在电子报刊稿件文章中添加图片、音频、视频；</w:t>
            </w:r>
          </w:p>
          <w:p w14:paraId="7C82AE68">
            <w:pPr>
              <w:widowControl/>
              <w:spacing w:line="240" w:lineRule="exact"/>
              <w:jc w:val="left"/>
              <w:rPr>
                <w:rFonts w:hint="eastAsia" w:ascii="宋体" w:hAnsi="宋体"/>
                <w:color w:val="000000"/>
                <w:sz w:val="18"/>
                <w:szCs w:val="18"/>
              </w:rPr>
            </w:pPr>
            <w:r>
              <w:rPr>
                <w:rFonts w:hint="eastAsia" w:ascii="宋体" w:hAnsi="宋体"/>
                <w:color w:val="000000"/>
                <w:sz w:val="18"/>
                <w:szCs w:val="18"/>
              </w:rPr>
              <w:t>27.支持批量撤版功能，可搜索关键词，将包含关键词的版面批量设置撤版；</w:t>
            </w:r>
          </w:p>
          <w:p w14:paraId="3C69D4C0">
            <w:pPr>
              <w:widowControl/>
              <w:spacing w:line="240" w:lineRule="exact"/>
              <w:jc w:val="left"/>
              <w:rPr>
                <w:rFonts w:hint="eastAsia" w:ascii="宋体" w:hAnsi="宋体"/>
                <w:color w:val="000000"/>
                <w:sz w:val="18"/>
                <w:szCs w:val="18"/>
              </w:rPr>
            </w:pPr>
            <w:r>
              <w:rPr>
                <w:rFonts w:hint="eastAsia" w:ascii="宋体" w:hAnsi="宋体"/>
                <w:color w:val="000000"/>
                <w:sz w:val="18"/>
                <w:szCs w:val="18"/>
              </w:rPr>
              <w:t>28.支持电子书报刊文件替换，不改变链接地址，可在对外发布后随时调整；</w:t>
            </w:r>
          </w:p>
          <w:p w14:paraId="4313A516">
            <w:pPr>
              <w:widowControl/>
              <w:spacing w:line="240" w:lineRule="exact"/>
              <w:jc w:val="left"/>
              <w:rPr>
                <w:rFonts w:hint="eastAsia" w:ascii="宋体" w:hAnsi="宋体"/>
                <w:color w:val="000000"/>
                <w:sz w:val="18"/>
                <w:szCs w:val="18"/>
              </w:rPr>
            </w:pPr>
            <w:r>
              <w:rPr>
                <w:rFonts w:hint="eastAsia" w:ascii="宋体" w:hAnsi="宋体"/>
                <w:color w:val="000000"/>
                <w:sz w:val="18"/>
                <w:szCs w:val="18"/>
              </w:rPr>
              <w:t>29.支持设置书刊默认效果，相同阅读效果无需重复编辑设置，可为不同报纸刊系设置不同的默认效果；</w:t>
            </w:r>
          </w:p>
          <w:p w14:paraId="63B126F0">
            <w:pPr>
              <w:widowControl/>
              <w:spacing w:line="240" w:lineRule="exact"/>
              <w:jc w:val="left"/>
              <w:rPr>
                <w:rFonts w:hint="eastAsia" w:ascii="宋体" w:hAnsi="宋体"/>
                <w:color w:val="000000"/>
                <w:sz w:val="18"/>
                <w:szCs w:val="18"/>
              </w:rPr>
            </w:pPr>
            <w:r>
              <w:rPr>
                <w:rFonts w:hint="eastAsia" w:ascii="宋体" w:hAnsi="宋体"/>
                <w:color w:val="000000"/>
                <w:sz w:val="18"/>
                <w:szCs w:val="18"/>
              </w:rPr>
              <w:t>30.支持按照默认效果，批量对已发布的电子书报刊效果进行修改；</w:t>
            </w:r>
          </w:p>
          <w:p w14:paraId="1E2FBF40">
            <w:pPr>
              <w:widowControl/>
              <w:spacing w:line="240" w:lineRule="exact"/>
              <w:jc w:val="left"/>
              <w:rPr>
                <w:rFonts w:hint="eastAsia" w:ascii="宋体" w:hAnsi="宋体"/>
                <w:color w:val="000000"/>
                <w:sz w:val="18"/>
                <w:szCs w:val="18"/>
              </w:rPr>
            </w:pPr>
            <w:r>
              <w:rPr>
                <w:rFonts w:hint="eastAsia" w:ascii="宋体" w:hAnsi="宋体"/>
                <w:color w:val="000000"/>
                <w:sz w:val="18"/>
                <w:szCs w:val="18"/>
              </w:rPr>
              <w:t>31.★支持多部电子书刊作品打包创建书架整体传播，提供专辑、图书馆两层书架；</w:t>
            </w:r>
          </w:p>
          <w:p w14:paraId="28C8A99B">
            <w:pPr>
              <w:widowControl/>
              <w:spacing w:line="240" w:lineRule="exact"/>
              <w:jc w:val="left"/>
              <w:rPr>
                <w:rFonts w:hint="eastAsia" w:ascii="宋体" w:hAnsi="宋体"/>
                <w:color w:val="000000"/>
                <w:sz w:val="18"/>
                <w:szCs w:val="18"/>
              </w:rPr>
            </w:pPr>
            <w:r>
              <w:rPr>
                <w:rFonts w:hint="eastAsia" w:ascii="宋体" w:hAnsi="宋体"/>
                <w:color w:val="000000"/>
                <w:sz w:val="18"/>
                <w:szCs w:val="18"/>
              </w:rPr>
              <w:t>32.书架专辑封面可选以最新上传内容为封面或自定义上传封面；</w:t>
            </w:r>
          </w:p>
          <w:p w14:paraId="351F715B">
            <w:pPr>
              <w:widowControl/>
              <w:spacing w:line="240" w:lineRule="exact"/>
              <w:jc w:val="left"/>
              <w:rPr>
                <w:rFonts w:hint="eastAsia" w:ascii="宋体" w:hAnsi="宋体"/>
                <w:color w:val="000000"/>
                <w:sz w:val="18"/>
                <w:szCs w:val="18"/>
              </w:rPr>
            </w:pPr>
            <w:r>
              <w:rPr>
                <w:rFonts w:hint="eastAsia" w:ascii="宋体" w:hAnsi="宋体"/>
                <w:color w:val="000000"/>
                <w:sz w:val="18"/>
                <w:szCs w:val="18"/>
              </w:rPr>
              <w:t>33.支持创建链接作品，可在书架中增加外链，或添加专辑图书馆链接，实现多级嵌套；</w:t>
            </w:r>
          </w:p>
          <w:p w14:paraId="124C85EE">
            <w:pPr>
              <w:widowControl/>
              <w:spacing w:line="240" w:lineRule="exact"/>
              <w:jc w:val="left"/>
              <w:rPr>
                <w:rFonts w:hint="eastAsia" w:ascii="宋体" w:hAnsi="宋体"/>
                <w:color w:val="000000"/>
                <w:sz w:val="18"/>
                <w:szCs w:val="18"/>
              </w:rPr>
            </w:pPr>
            <w:r>
              <w:rPr>
                <w:rFonts w:hint="eastAsia" w:ascii="宋体" w:hAnsi="宋体"/>
                <w:color w:val="000000"/>
                <w:sz w:val="18"/>
                <w:szCs w:val="18"/>
              </w:rPr>
              <w:t>34.△提供数字报刊系分享链接，同一个地址打开后自动显示最新一期；</w:t>
            </w:r>
          </w:p>
          <w:p w14:paraId="1CBAB515">
            <w:pPr>
              <w:widowControl/>
              <w:spacing w:line="240" w:lineRule="exact"/>
              <w:jc w:val="left"/>
              <w:rPr>
                <w:rFonts w:hint="eastAsia" w:ascii="宋体" w:hAnsi="宋体"/>
                <w:color w:val="000000"/>
                <w:sz w:val="18"/>
                <w:szCs w:val="18"/>
              </w:rPr>
            </w:pPr>
            <w:r>
              <w:rPr>
                <w:rFonts w:hint="eastAsia" w:ascii="宋体" w:hAnsi="宋体"/>
                <w:color w:val="000000"/>
                <w:sz w:val="18"/>
                <w:szCs w:val="18"/>
              </w:rPr>
              <w:t>35.提供数字报刊统一入口网页，通过一个网页入口可以快速前往各个报刊阅读；</w:t>
            </w:r>
          </w:p>
          <w:p w14:paraId="41C1B441">
            <w:pPr>
              <w:widowControl/>
              <w:spacing w:line="240" w:lineRule="exact"/>
              <w:jc w:val="left"/>
              <w:rPr>
                <w:rFonts w:hint="eastAsia" w:ascii="宋体" w:hAnsi="宋体"/>
                <w:color w:val="000000"/>
                <w:sz w:val="18"/>
                <w:szCs w:val="18"/>
              </w:rPr>
            </w:pPr>
            <w:r>
              <w:rPr>
                <w:rFonts w:hint="eastAsia" w:ascii="宋体" w:hAnsi="宋体"/>
                <w:color w:val="000000"/>
                <w:sz w:val="18"/>
                <w:szCs w:val="18"/>
              </w:rPr>
              <w:t>36.提供报纸文章库，可以提供所有已上传的数字报文章内容检索，支持导出检索结果列表；</w:t>
            </w:r>
          </w:p>
          <w:p w14:paraId="3F2D0259">
            <w:pPr>
              <w:widowControl/>
              <w:spacing w:line="240" w:lineRule="exact"/>
              <w:jc w:val="left"/>
              <w:rPr>
                <w:rFonts w:hint="eastAsia" w:ascii="宋体" w:hAnsi="宋体"/>
                <w:color w:val="000000"/>
                <w:sz w:val="18"/>
                <w:szCs w:val="18"/>
              </w:rPr>
            </w:pPr>
            <w:r>
              <w:rPr>
                <w:rFonts w:hint="eastAsia" w:ascii="宋体" w:hAnsi="宋体"/>
                <w:color w:val="000000"/>
                <w:sz w:val="18"/>
                <w:szCs w:val="18"/>
              </w:rPr>
              <w:t>37.△多种分享形式，提供不同尺寸的二维码、链接、可自定义的作品海报三种分享方式；</w:t>
            </w:r>
          </w:p>
          <w:p w14:paraId="3CBFD6EA">
            <w:pPr>
              <w:widowControl/>
              <w:spacing w:line="240" w:lineRule="exact"/>
              <w:jc w:val="left"/>
              <w:rPr>
                <w:rFonts w:hint="eastAsia" w:ascii="宋体" w:hAnsi="宋体"/>
                <w:color w:val="000000"/>
                <w:sz w:val="18"/>
                <w:szCs w:val="18"/>
              </w:rPr>
            </w:pPr>
            <w:r>
              <w:rPr>
                <w:rFonts w:hint="eastAsia" w:ascii="宋体" w:hAnsi="宋体"/>
                <w:color w:val="000000"/>
                <w:sz w:val="18"/>
                <w:szCs w:val="18"/>
              </w:rPr>
              <w:t>38.提供iframe嵌入代码，可将电子书报刊嵌入到自建网站中；</w:t>
            </w:r>
          </w:p>
          <w:p w14:paraId="26A4ACE5">
            <w:pPr>
              <w:widowControl/>
              <w:spacing w:line="240" w:lineRule="exact"/>
              <w:jc w:val="left"/>
              <w:rPr>
                <w:rFonts w:hint="eastAsia" w:ascii="宋体" w:hAnsi="宋体"/>
                <w:color w:val="000000"/>
                <w:sz w:val="18"/>
                <w:szCs w:val="18"/>
              </w:rPr>
            </w:pPr>
            <w:r>
              <w:rPr>
                <w:rFonts w:hint="eastAsia" w:ascii="宋体" w:hAnsi="宋体"/>
                <w:color w:val="000000"/>
                <w:sz w:val="18"/>
                <w:szCs w:val="18"/>
              </w:rPr>
              <w:t>39.支持创建文章专题页，可将选择文章整合成一个专题网页进行传播分享；</w:t>
            </w:r>
          </w:p>
          <w:p w14:paraId="16899786">
            <w:pPr>
              <w:widowControl/>
              <w:spacing w:line="240" w:lineRule="exact"/>
              <w:jc w:val="left"/>
              <w:rPr>
                <w:rFonts w:hint="eastAsia" w:ascii="宋体" w:hAnsi="宋体"/>
                <w:color w:val="000000"/>
                <w:sz w:val="18"/>
                <w:szCs w:val="18"/>
              </w:rPr>
            </w:pPr>
            <w:r>
              <w:rPr>
                <w:rFonts w:hint="eastAsia" w:ascii="宋体" w:hAnsi="宋体"/>
                <w:color w:val="000000"/>
                <w:sz w:val="18"/>
                <w:szCs w:val="18"/>
              </w:rPr>
              <w:t>40.提供书报刊运营功能，可以开启内容付费、设置导购链接、在线问卷，并能自定义图标；</w:t>
            </w:r>
          </w:p>
          <w:p w14:paraId="3786AA59">
            <w:pPr>
              <w:widowControl/>
              <w:spacing w:line="240" w:lineRule="exact"/>
              <w:jc w:val="left"/>
              <w:rPr>
                <w:rFonts w:hint="eastAsia" w:ascii="宋体" w:hAnsi="宋体"/>
                <w:color w:val="000000"/>
                <w:sz w:val="18"/>
                <w:szCs w:val="18"/>
              </w:rPr>
            </w:pPr>
            <w:r>
              <w:rPr>
                <w:rFonts w:hint="eastAsia" w:ascii="宋体" w:hAnsi="宋体"/>
                <w:color w:val="000000"/>
                <w:sz w:val="18"/>
                <w:szCs w:val="18"/>
              </w:rPr>
              <w:t>41.支持自定义电子书报刊付费规则，可设置定价、购买时长、试读范围，并提供订单记录；</w:t>
            </w:r>
          </w:p>
          <w:p w14:paraId="4441FACA">
            <w:pPr>
              <w:widowControl/>
              <w:spacing w:line="240" w:lineRule="exact"/>
              <w:jc w:val="left"/>
              <w:rPr>
                <w:rFonts w:hint="eastAsia" w:ascii="宋体" w:hAnsi="宋体"/>
                <w:color w:val="000000"/>
                <w:sz w:val="18"/>
                <w:szCs w:val="18"/>
              </w:rPr>
            </w:pPr>
            <w:r>
              <w:rPr>
                <w:rFonts w:hint="eastAsia" w:ascii="宋体" w:hAnsi="宋体"/>
                <w:color w:val="000000"/>
                <w:sz w:val="18"/>
                <w:szCs w:val="18"/>
              </w:rPr>
              <w:t>42.提供浏览量、访问量、访问地域、访问时间等多种访问数据与访客分析；</w:t>
            </w:r>
          </w:p>
          <w:p w14:paraId="323EE4C9">
            <w:pPr>
              <w:widowControl/>
              <w:spacing w:line="240" w:lineRule="exact"/>
              <w:jc w:val="left"/>
              <w:rPr>
                <w:rFonts w:hint="eastAsia" w:ascii="宋体" w:hAnsi="宋体"/>
                <w:color w:val="000000"/>
                <w:sz w:val="18"/>
                <w:szCs w:val="18"/>
              </w:rPr>
            </w:pPr>
            <w:r>
              <w:rPr>
                <w:rFonts w:hint="eastAsia" w:ascii="宋体" w:hAnsi="宋体"/>
                <w:color w:val="000000"/>
                <w:sz w:val="18"/>
                <w:szCs w:val="18"/>
              </w:rPr>
              <w:t>43.支持创建子账号，进行单位内部分账号同步工作；</w:t>
            </w:r>
          </w:p>
          <w:p w14:paraId="31DBBED9">
            <w:pPr>
              <w:widowControl/>
              <w:spacing w:line="240" w:lineRule="exact"/>
              <w:jc w:val="left"/>
              <w:rPr>
                <w:rFonts w:hint="eastAsia" w:ascii="宋体" w:hAnsi="宋体"/>
                <w:color w:val="000000"/>
                <w:sz w:val="18"/>
                <w:szCs w:val="18"/>
              </w:rPr>
            </w:pPr>
            <w:r>
              <w:rPr>
                <w:rFonts w:hint="eastAsia" w:ascii="宋体" w:hAnsi="宋体"/>
                <w:color w:val="000000"/>
                <w:sz w:val="18"/>
                <w:szCs w:val="18"/>
              </w:rPr>
              <w:t>44.主账号可对子账号进行管理，修改密码收回账号、删除账号；</w:t>
            </w:r>
          </w:p>
          <w:p w14:paraId="56355DC7">
            <w:pPr>
              <w:widowControl/>
              <w:spacing w:line="240" w:lineRule="exact"/>
              <w:jc w:val="left"/>
              <w:rPr>
                <w:rFonts w:hint="eastAsia" w:ascii="宋体" w:hAnsi="宋体"/>
                <w:color w:val="000000"/>
                <w:sz w:val="18"/>
                <w:szCs w:val="18"/>
              </w:rPr>
            </w:pPr>
            <w:r>
              <w:rPr>
                <w:rFonts w:hint="eastAsia" w:ascii="宋体" w:hAnsi="宋体"/>
                <w:color w:val="000000"/>
                <w:sz w:val="18"/>
                <w:szCs w:val="18"/>
              </w:rPr>
              <w:t>45.团队成员账号内部可互相查看已发布作品，作者账号可设置作品未发布前允许哪些团队成员查看；</w:t>
            </w:r>
          </w:p>
          <w:p w14:paraId="585B780E">
            <w:pPr>
              <w:widowControl/>
              <w:spacing w:line="240" w:lineRule="exact"/>
              <w:jc w:val="left"/>
              <w:rPr>
                <w:rFonts w:hint="eastAsia" w:ascii="宋体" w:hAnsi="宋体"/>
                <w:color w:val="000000"/>
                <w:sz w:val="18"/>
                <w:szCs w:val="18"/>
              </w:rPr>
            </w:pPr>
            <w:r>
              <w:rPr>
                <w:rFonts w:hint="eastAsia" w:ascii="宋体" w:hAnsi="宋体"/>
                <w:color w:val="000000"/>
                <w:sz w:val="18"/>
                <w:szCs w:val="18"/>
              </w:rPr>
              <w:t>46.数字报作品可设置发布方式，支持设置自动发布、手动发布、定时发布，以及发布前是否需要审核；</w:t>
            </w:r>
          </w:p>
          <w:p w14:paraId="481985FB">
            <w:pPr>
              <w:widowControl/>
              <w:spacing w:line="240" w:lineRule="exact"/>
              <w:jc w:val="left"/>
              <w:rPr>
                <w:rFonts w:hint="eastAsia" w:ascii="宋体" w:hAnsi="宋体"/>
                <w:color w:val="000000"/>
                <w:sz w:val="18"/>
                <w:szCs w:val="18"/>
              </w:rPr>
            </w:pPr>
            <w:r>
              <w:rPr>
                <w:rFonts w:hint="eastAsia" w:ascii="宋体" w:hAnsi="宋体"/>
                <w:color w:val="000000"/>
                <w:sz w:val="18"/>
                <w:szCs w:val="18"/>
              </w:rPr>
              <w:t>47.支持指定团队成员账号有审核权限。</w:t>
            </w:r>
          </w:p>
          <w:p w14:paraId="1635C04F">
            <w:pPr>
              <w:widowControl/>
              <w:spacing w:line="240" w:lineRule="exact"/>
              <w:jc w:val="left"/>
              <w:rPr>
                <w:rFonts w:hint="eastAsia" w:ascii="宋体" w:hAnsi="宋体"/>
                <w:color w:val="000000"/>
                <w:sz w:val="18"/>
                <w:szCs w:val="18"/>
              </w:rPr>
            </w:pPr>
            <w:r>
              <w:rPr>
                <w:rFonts w:hint="eastAsia" w:ascii="宋体" w:hAnsi="宋体"/>
                <w:color w:val="000000"/>
                <w:sz w:val="18"/>
                <w:szCs w:val="18"/>
              </w:rPr>
              <w:t>48.提供三年服务，不少于41个账号</w:t>
            </w:r>
          </w:p>
        </w:tc>
      </w:tr>
    </w:tbl>
    <w:p w14:paraId="76E06CD8">
      <w:pPr>
        <w:snapToGrid w:val="0"/>
        <w:spacing w:line="276" w:lineRule="auto"/>
        <w:jc w:val="left"/>
        <w:rPr>
          <w:rFonts w:hint="eastAsia" w:ascii="宋体" w:hAnsi="宋体"/>
          <w:szCs w:val="21"/>
          <w:lang w:val="zh-CN"/>
        </w:rPr>
      </w:pPr>
    </w:p>
    <w:p w14:paraId="1ABC8ED6">
      <w:pPr>
        <w:spacing w:line="360" w:lineRule="auto"/>
        <w:rPr>
          <w:rFonts w:hint="eastAsia" w:ascii="宋体" w:hAnsi="宋体"/>
          <w:color w:val="000000"/>
          <w:sz w:val="24"/>
          <w:lang w:val="zh-CN"/>
        </w:rPr>
      </w:pPr>
    </w:p>
    <w:p w14:paraId="4EC05EAA">
      <w:pPr>
        <w:spacing w:line="360" w:lineRule="auto"/>
        <w:rPr>
          <w:rFonts w:hint="eastAsia" w:ascii="宋体" w:hAnsi="宋体"/>
          <w:color w:val="000000"/>
          <w:sz w:val="24"/>
          <w:lang w:val="zh-CN"/>
        </w:rPr>
      </w:pPr>
      <w:r>
        <w:rPr>
          <w:rFonts w:hint="eastAsia" w:ascii="宋体" w:hAnsi="宋体"/>
          <w:color w:val="000000"/>
          <w:sz w:val="24"/>
          <w:lang w:val="zh-CN"/>
        </w:rPr>
        <w:t>五、商务要求：</w:t>
      </w:r>
    </w:p>
    <w:p w14:paraId="44FC7F11">
      <w:pPr>
        <w:spacing w:line="360" w:lineRule="auto"/>
        <w:rPr>
          <w:rFonts w:hint="eastAsia" w:ascii="宋体" w:hAnsi="宋体"/>
          <w:color w:val="000000"/>
          <w:sz w:val="24"/>
          <w:lang w:val="zh-CN"/>
        </w:rPr>
      </w:pPr>
      <w:r>
        <w:rPr>
          <w:rFonts w:hint="eastAsia" w:ascii="宋体" w:hAnsi="宋体"/>
          <w:color w:val="000000"/>
          <w:sz w:val="24"/>
          <w:lang w:val="zh-CN"/>
        </w:rPr>
        <w:t>1.到货或服务完成的时间：合同签订后</w:t>
      </w:r>
      <w:r>
        <w:rPr>
          <w:rFonts w:ascii="宋体" w:hAnsi="宋体"/>
          <w:color w:val="000000"/>
          <w:sz w:val="24"/>
          <w:lang w:val="zh-CN"/>
        </w:rPr>
        <w:t>9</w:t>
      </w:r>
      <w:r>
        <w:rPr>
          <w:rFonts w:hint="eastAsia" w:ascii="宋体" w:hAnsi="宋体"/>
          <w:color w:val="000000"/>
          <w:sz w:val="24"/>
          <w:lang w:val="zh-CN"/>
        </w:rPr>
        <w:t>0个日历日</w:t>
      </w:r>
    </w:p>
    <w:p w14:paraId="25A38AD1">
      <w:pPr>
        <w:spacing w:line="360" w:lineRule="auto"/>
        <w:rPr>
          <w:rFonts w:hint="eastAsia" w:ascii="宋体" w:hAnsi="宋体"/>
          <w:color w:val="000000"/>
          <w:sz w:val="24"/>
          <w:lang w:val="zh-CN"/>
        </w:rPr>
      </w:pPr>
      <w:r>
        <w:rPr>
          <w:rFonts w:hint="eastAsia" w:ascii="宋体" w:hAnsi="宋体"/>
          <w:color w:val="000000"/>
          <w:sz w:val="24"/>
          <w:lang w:val="zh-CN"/>
        </w:rPr>
        <w:t>2.质保期：项目验收后1年</w:t>
      </w:r>
    </w:p>
    <w:p w14:paraId="0E112D06">
      <w:pPr>
        <w:spacing w:line="360" w:lineRule="auto"/>
        <w:rPr>
          <w:rFonts w:hint="eastAsia" w:ascii="宋体" w:hAnsi="宋体"/>
          <w:color w:val="000000"/>
          <w:sz w:val="24"/>
          <w:lang w:val="zh-CN"/>
        </w:rPr>
      </w:pPr>
      <w:r>
        <w:rPr>
          <w:rFonts w:hint="eastAsia" w:ascii="宋体" w:hAnsi="宋体"/>
          <w:color w:val="000000"/>
          <w:sz w:val="24"/>
          <w:lang w:val="zh-CN"/>
        </w:rPr>
        <w:t>3 .交货地点：北京青年政治学院</w:t>
      </w:r>
    </w:p>
    <w:p w14:paraId="43F90264">
      <w:pPr>
        <w:spacing w:line="360" w:lineRule="auto"/>
        <w:rPr>
          <w:rFonts w:hint="eastAsia" w:ascii="宋体" w:hAnsi="宋体"/>
          <w:color w:val="000000"/>
          <w:sz w:val="24"/>
          <w:lang w:val="zh-CN"/>
        </w:rPr>
      </w:pPr>
      <w:r>
        <w:rPr>
          <w:rFonts w:hint="eastAsia" w:ascii="宋体" w:hAnsi="宋体"/>
          <w:color w:val="000000"/>
          <w:sz w:val="24"/>
          <w:lang w:val="zh-CN"/>
        </w:rPr>
        <w:t>4.其他</w:t>
      </w:r>
    </w:p>
    <w:p w14:paraId="42DD8D8B">
      <w:pPr>
        <w:spacing w:line="360" w:lineRule="auto"/>
        <w:rPr>
          <w:rFonts w:hint="eastAsia" w:ascii="宋体" w:hAnsi="宋体"/>
          <w:color w:val="000000"/>
          <w:sz w:val="24"/>
          <w:lang w:val="zh-CN"/>
        </w:rPr>
      </w:pPr>
      <w:r>
        <w:rPr>
          <w:rFonts w:hint="eastAsia" w:ascii="宋体" w:hAnsi="宋体"/>
          <w:color w:val="000000"/>
          <w:sz w:val="24"/>
          <w:lang w:val="zh-CN"/>
        </w:rPr>
        <w:t xml:space="preserve">（1）投标人应提供已被广泛使用的、全新的、合格的知名的产品与配置，确保为原厂正品； </w:t>
      </w:r>
    </w:p>
    <w:p w14:paraId="488BF7D2">
      <w:pPr>
        <w:spacing w:line="360" w:lineRule="auto"/>
        <w:rPr>
          <w:rFonts w:hint="eastAsia" w:ascii="宋体" w:hAnsi="宋体"/>
          <w:color w:val="000000"/>
          <w:sz w:val="24"/>
          <w:lang w:val="zh-CN"/>
        </w:rPr>
      </w:pPr>
      <w:r>
        <w:rPr>
          <w:rFonts w:hint="eastAsia" w:ascii="宋体" w:hAnsi="宋体"/>
          <w:color w:val="000000"/>
          <w:sz w:val="24"/>
          <w:lang w:val="zh-CN"/>
        </w:rPr>
        <w:t>（2）配备具有三年以上服务维修经验的技术服务工程师。</w:t>
      </w:r>
    </w:p>
    <w:p w14:paraId="3CAF0376">
      <w:pPr>
        <w:spacing w:line="360" w:lineRule="auto"/>
        <w:rPr>
          <w:rFonts w:hint="eastAsia" w:ascii="宋体" w:hAnsi="宋体"/>
          <w:color w:val="000000"/>
          <w:sz w:val="24"/>
          <w:lang w:val="zh-CN"/>
        </w:rPr>
      </w:pPr>
      <w:r>
        <w:rPr>
          <w:rFonts w:hint="eastAsia" w:ascii="宋体" w:hAnsi="宋体"/>
          <w:color w:val="000000"/>
          <w:sz w:val="24"/>
          <w:lang w:val="zh-CN"/>
        </w:rPr>
        <w:t>（3）所有投标人应对所投产品承诺具体的交货时间或完工时间。</w:t>
      </w:r>
    </w:p>
    <w:p w14:paraId="2124AD58">
      <w:pPr>
        <w:spacing w:line="360" w:lineRule="auto"/>
        <w:rPr>
          <w:rFonts w:hint="eastAsia" w:ascii="宋体" w:hAnsi="宋体"/>
          <w:color w:val="000000"/>
          <w:sz w:val="24"/>
          <w:lang w:val="zh-CN"/>
        </w:rPr>
      </w:pPr>
      <w:r>
        <w:rPr>
          <w:rFonts w:hint="eastAsia" w:ascii="宋体" w:hAnsi="宋体"/>
          <w:color w:val="000000"/>
          <w:sz w:val="24"/>
          <w:lang w:val="zh-CN"/>
        </w:rPr>
        <w:t>（4）安装完成后须保证成套设备或整个系统能够正常使用。</w:t>
      </w:r>
    </w:p>
    <w:p w14:paraId="171ADCE4">
      <w:pPr>
        <w:spacing w:line="360" w:lineRule="auto"/>
        <w:rPr>
          <w:rFonts w:hint="eastAsia" w:ascii="宋体" w:hAnsi="宋体"/>
          <w:color w:val="000000"/>
          <w:sz w:val="24"/>
          <w:lang w:val="zh-CN"/>
        </w:rPr>
      </w:pPr>
      <w:r>
        <w:rPr>
          <w:rFonts w:hint="eastAsia" w:ascii="宋体" w:hAnsi="宋体"/>
          <w:color w:val="000000"/>
          <w:sz w:val="24"/>
          <w:lang w:val="zh-CN"/>
        </w:rPr>
        <w:t>（5）培训：乙方除了向甲方提供技术资料外，还应就所投产品测试、操作、保养和简单检修等有关内容，拟订培训计划，并完成对买方不少于5名人员的现场使用培训，培训发生的各种费用包括在投标报价中，具体培训时间由买方确定。培训合格的标准为：能独立、正确地对设备进行操作、保养。</w:t>
      </w:r>
    </w:p>
    <w:p w14:paraId="7C98DB16">
      <w:pPr>
        <w:spacing w:line="360" w:lineRule="auto"/>
        <w:rPr>
          <w:rFonts w:hint="eastAsia" w:ascii="宋体" w:hAnsi="宋体"/>
          <w:color w:val="000000"/>
          <w:sz w:val="24"/>
          <w:lang w:val="zh-CN"/>
        </w:rPr>
      </w:pPr>
      <w:r>
        <w:rPr>
          <w:rFonts w:hint="eastAsia" w:ascii="宋体" w:hAnsi="宋体"/>
          <w:color w:val="000000"/>
          <w:sz w:val="24"/>
          <w:lang w:val="zh-CN"/>
        </w:rPr>
        <w:t>（6）验收：按照投标文件响应参数逐条验收，所有条款均满足投标参数指标，方为验收合格。</w:t>
      </w:r>
    </w:p>
    <w:p w14:paraId="0F19C70B">
      <w:pPr>
        <w:spacing w:line="360" w:lineRule="auto"/>
        <w:rPr>
          <w:rFonts w:hint="eastAsia" w:ascii="宋体" w:hAnsi="宋体"/>
          <w:color w:val="000000"/>
          <w:sz w:val="24"/>
          <w:lang w:val="zh-CN"/>
        </w:rPr>
      </w:pPr>
      <w:r>
        <w:rPr>
          <w:rFonts w:hint="eastAsia" w:ascii="宋体" w:hAnsi="宋体"/>
          <w:color w:val="000000"/>
          <w:sz w:val="24"/>
          <w:lang w:val="zh-CN"/>
        </w:rPr>
        <w:t>（7）运输、安装、附件、调试、验收、税费和培训费等应包含在总报价中</w:t>
      </w:r>
    </w:p>
    <w:p w14:paraId="56CB9F99">
      <w:pPr>
        <w:spacing w:line="360" w:lineRule="auto"/>
        <w:rPr>
          <w:rFonts w:hint="eastAsia" w:ascii="宋体" w:hAnsi="宋体"/>
          <w:color w:val="000000"/>
          <w:sz w:val="24"/>
          <w:lang w:val="zh-CN"/>
        </w:rPr>
      </w:pPr>
      <w:r>
        <w:rPr>
          <w:rFonts w:ascii="宋体" w:hAnsi="宋体"/>
          <w:color w:val="000000"/>
          <w:sz w:val="24"/>
          <w:lang w:val="zh-CN"/>
        </w:rPr>
        <w:t>★</w:t>
      </w:r>
      <w:r>
        <w:rPr>
          <w:rFonts w:hint="eastAsia" w:ascii="宋体" w:hAnsi="宋体"/>
          <w:color w:val="000000"/>
          <w:sz w:val="24"/>
          <w:lang w:val="zh-CN"/>
        </w:rPr>
        <w:t>（8）投标人需自行承诺所投设备均符合国家相关法律法规要求，格式自拟。</w:t>
      </w:r>
    </w:p>
    <w:p w14:paraId="4CDAA93E">
      <w:pPr>
        <w:spacing w:before="137" w:line="338" w:lineRule="auto"/>
        <w:jc w:val="left"/>
        <w:rPr>
          <w:rFonts w:hint="eastAsia" w:ascii="宋体" w:hAnsi="宋体" w:cs="宋体"/>
          <w:color w:val="000000"/>
          <w:kern w:val="0"/>
          <w:sz w:val="24"/>
        </w:rPr>
      </w:pPr>
    </w:p>
    <w:p w14:paraId="7F7166D3">
      <w:pPr>
        <w:spacing w:before="137" w:line="338" w:lineRule="auto"/>
        <w:ind w:left="121" w:firstLine="480"/>
        <w:jc w:val="left"/>
        <w:rPr>
          <w:rFonts w:hint="eastAsia" w:ascii="宋体" w:hAnsi="宋体" w:cs="宋体"/>
          <w:color w:val="000000"/>
          <w:kern w:val="0"/>
          <w:sz w:val="24"/>
        </w:rPr>
      </w:pPr>
    </w:p>
    <w:p w14:paraId="3F5EE79D">
      <w:pPr>
        <w:widowControl/>
        <w:jc w:val="left"/>
        <w:rPr>
          <w:rFonts w:hint="eastAsia" w:ascii="宋体" w:hAnsi="宋体" w:cs="宋体"/>
          <w:color w:val="000000"/>
          <w:kern w:val="0"/>
          <w:sz w:val="24"/>
        </w:rPr>
      </w:pPr>
      <w:r>
        <w:rPr>
          <w:rFonts w:hint="eastAsia" w:ascii="宋体" w:hAnsi="宋体" w:cs="宋体"/>
          <w:color w:val="000000"/>
          <w:kern w:val="0"/>
          <w:sz w:val="24"/>
        </w:rPr>
        <w:br w:type="page"/>
      </w:r>
    </w:p>
    <w:p w14:paraId="5675C268">
      <w:pPr>
        <w:spacing w:line="360" w:lineRule="auto"/>
        <w:jc w:val="center"/>
        <w:outlineLvl w:val="0"/>
        <w:rPr>
          <w:rFonts w:hint="eastAsia" w:ascii="宋体" w:hAnsi="宋体"/>
          <w:b/>
          <w:sz w:val="36"/>
          <w:szCs w:val="36"/>
        </w:rPr>
      </w:pPr>
      <w:bookmarkStart w:id="769" w:name="_Toc200734044"/>
      <w:r>
        <w:rPr>
          <w:rFonts w:ascii="宋体" w:hAnsi="宋体"/>
          <w:b/>
          <w:sz w:val="36"/>
          <w:szCs w:val="36"/>
        </w:rPr>
        <w:t>第六章  拟签订的合同文本</w:t>
      </w:r>
      <w:bookmarkEnd w:id="769"/>
    </w:p>
    <w:p w14:paraId="297E4810"/>
    <w:p w14:paraId="039648E7">
      <w:pPr>
        <w:pStyle w:val="18"/>
        <w:ind w:left="-120" w:right="-120" w:firstLine="442"/>
        <w:jc w:val="center"/>
        <w:rPr>
          <w:rFonts w:hint="eastAsia" w:cs="宋体"/>
          <w:b/>
          <w:bCs/>
          <w:spacing w:val="-20"/>
          <w:kern w:val="44"/>
          <w:sz w:val="48"/>
          <w:szCs w:val="48"/>
        </w:rPr>
      </w:pPr>
      <w:bookmarkStart w:id="770" w:name="_Toc3995"/>
      <w:bookmarkStart w:id="771" w:name="OLE_LINK4"/>
    </w:p>
    <w:p w14:paraId="3777811D">
      <w:pPr>
        <w:pStyle w:val="18"/>
        <w:ind w:left="-120" w:right="-120" w:firstLine="442"/>
        <w:jc w:val="center"/>
        <w:rPr>
          <w:rFonts w:hint="eastAsia" w:cs="宋体"/>
          <w:b/>
          <w:bCs/>
          <w:spacing w:val="-20"/>
          <w:kern w:val="44"/>
          <w:sz w:val="48"/>
          <w:szCs w:val="48"/>
        </w:rPr>
      </w:pPr>
    </w:p>
    <w:p w14:paraId="7EA0FC0A">
      <w:pPr>
        <w:pStyle w:val="18"/>
        <w:ind w:left="-120" w:right="-120" w:firstLine="442"/>
        <w:jc w:val="center"/>
        <w:rPr>
          <w:rFonts w:hint="eastAsia" w:cs="宋体"/>
          <w:b/>
          <w:bCs/>
          <w:spacing w:val="-20"/>
          <w:kern w:val="44"/>
          <w:sz w:val="48"/>
          <w:szCs w:val="48"/>
        </w:rPr>
      </w:pPr>
    </w:p>
    <w:p w14:paraId="00F208EB">
      <w:pPr>
        <w:pStyle w:val="18"/>
        <w:ind w:left="-120" w:right="-120" w:firstLine="442"/>
        <w:jc w:val="center"/>
        <w:rPr>
          <w:rFonts w:hint="eastAsia" w:cs="宋体"/>
          <w:b/>
          <w:bCs/>
          <w:spacing w:val="-20"/>
          <w:kern w:val="44"/>
          <w:sz w:val="48"/>
          <w:szCs w:val="48"/>
        </w:rPr>
      </w:pPr>
    </w:p>
    <w:p w14:paraId="604CC775">
      <w:pPr>
        <w:pStyle w:val="18"/>
        <w:ind w:left="-120" w:right="-120" w:firstLine="442"/>
        <w:jc w:val="center"/>
        <w:rPr>
          <w:rFonts w:hint="eastAsia" w:cs="宋体"/>
          <w:b/>
          <w:bCs/>
          <w:spacing w:val="-20"/>
          <w:kern w:val="44"/>
          <w:sz w:val="48"/>
          <w:szCs w:val="48"/>
        </w:rPr>
      </w:pPr>
    </w:p>
    <w:p w14:paraId="7C8CB429">
      <w:pPr>
        <w:pStyle w:val="18"/>
        <w:ind w:left="-120" w:right="-120" w:firstLine="442"/>
        <w:jc w:val="center"/>
        <w:rPr>
          <w:rFonts w:hint="eastAsia" w:cs="宋体"/>
          <w:b/>
          <w:bCs/>
          <w:spacing w:val="-20"/>
          <w:kern w:val="44"/>
          <w:sz w:val="48"/>
          <w:szCs w:val="48"/>
        </w:rPr>
      </w:pPr>
      <w:r>
        <w:rPr>
          <w:rFonts w:hint="eastAsia" w:cs="宋体"/>
          <w:b/>
          <w:bCs/>
          <w:spacing w:val="-20"/>
          <w:kern w:val="44"/>
          <w:sz w:val="48"/>
          <w:szCs w:val="48"/>
        </w:rPr>
        <w:t>政府采购货物买卖合同</w:t>
      </w:r>
    </w:p>
    <w:p w14:paraId="3CE87A56">
      <w:pPr>
        <w:pStyle w:val="18"/>
        <w:ind w:left="-120" w:right="-120" w:firstLine="442"/>
        <w:jc w:val="center"/>
        <w:rPr>
          <w:rFonts w:hint="eastAsia" w:cs="宋体"/>
          <w:b/>
          <w:bCs/>
          <w:spacing w:val="-20"/>
          <w:kern w:val="44"/>
          <w:sz w:val="48"/>
          <w:szCs w:val="48"/>
        </w:rPr>
      </w:pPr>
      <w:r>
        <w:rPr>
          <w:rFonts w:hint="eastAsia" w:cs="宋体"/>
          <w:b/>
          <w:bCs/>
          <w:spacing w:val="-20"/>
          <w:kern w:val="44"/>
          <w:sz w:val="48"/>
          <w:szCs w:val="48"/>
        </w:rPr>
        <w:t>（试行）</w:t>
      </w:r>
    </w:p>
    <w:p w14:paraId="3DAA0F62">
      <w:pPr>
        <w:ind w:left="-120" w:right="-120" w:firstLine="362"/>
        <w:rPr>
          <w:rFonts w:hint="eastAsia" w:ascii="宋体" w:hAnsi="宋体" w:cs="宋体"/>
          <w:b/>
          <w:bCs/>
          <w:spacing w:val="-20"/>
          <w:kern w:val="44"/>
          <w:sz w:val="40"/>
          <w:szCs w:val="40"/>
        </w:rPr>
      </w:pPr>
    </w:p>
    <w:p w14:paraId="401CE9C9">
      <w:pPr>
        <w:ind w:left="-120" w:right="-120" w:firstLine="362"/>
        <w:rPr>
          <w:rFonts w:hint="eastAsia" w:ascii="宋体" w:hAnsi="宋体" w:cs="宋体"/>
          <w:b/>
          <w:bCs/>
          <w:spacing w:val="-20"/>
          <w:kern w:val="44"/>
          <w:sz w:val="40"/>
          <w:szCs w:val="40"/>
        </w:rPr>
      </w:pPr>
    </w:p>
    <w:p w14:paraId="30418CED">
      <w:pPr>
        <w:ind w:left="-120" w:right="-120" w:firstLine="362"/>
        <w:rPr>
          <w:rFonts w:hint="eastAsia" w:ascii="宋体" w:hAnsi="宋体" w:cs="宋体"/>
          <w:b/>
          <w:bCs/>
          <w:spacing w:val="-20"/>
          <w:kern w:val="44"/>
          <w:sz w:val="40"/>
          <w:szCs w:val="40"/>
        </w:rPr>
      </w:pPr>
    </w:p>
    <w:p w14:paraId="5DC82FD2">
      <w:pPr>
        <w:spacing w:line="360" w:lineRule="auto"/>
        <w:ind w:left="420" w:leftChars="200" w:right="-120" w:firstLine="320"/>
        <w:rPr>
          <w:rFonts w:hint="eastAsia" w:ascii="宋体" w:hAnsi="宋体"/>
          <w:sz w:val="32"/>
          <w:szCs w:val="32"/>
        </w:rPr>
      </w:pPr>
      <w:r>
        <w:rPr>
          <w:rFonts w:hint="eastAsia" w:ascii="宋体" w:hAnsi="宋体" w:cs="宋体"/>
          <w:kern w:val="0"/>
          <w:sz w:val="32"/>
          <w:szCs w:val="32"/>
        </w:rPr>
        <w:t>项目名称：</w:t>
      </w:r>
      <w:r>
        <w:rPr>
          <w:rFonts w:hint="eastAsia" w:ascii="宋体" w:hAnsi="宋体"/>
          <w:sz w:val="32"/>
          <w:szCs w:val="32"/>
          <w:u w:val="single"/>
        </w:rPr>
        <w:t xml:space="preserve">                             </w:t>
      </w:r>
    </w:p>
    <w:p w14:paraId="63DF6F51">
      <w:pPr>
        <w:spacing w:line="360" w:lineRule="auto"/>
        <w:ind w:left="420" w:leftChars="200" w:right="-120" w:firstLine="320"/>
        <w:rPr>
          <w:rFonts w:hint="eastAsia" w:ascii="宋体" w:hAnsi="宋体"/>
          <w:sz w:val="32"/>
          <w:szCs w:val="32"/>
          <w:u w:val="single"/>
        </w:rPr>
      </w:pPr>
      <w:r>
        <w:rPr>
          <w:rFonts w:hint="eastAsia" w:ascii="宋体" w:hAnsi="宋体"/>
          <w:sz w:val="32"/>
          <w:szCs w:val="32"/>
        </w:rPr>
        <w:t>合同编号：</w:t>
      </w:r>
      <w:r>
        <w:rPr>
          <w:rFonts w:hint="eastAsia" w:ascii="宋体" w:hAnsi="宋体"/>
          <w:sz w:val="32"/>
          <w:szCs w:val="32"/>
          <w:u w:val="single"/>
        </w:rPr>
        <w:t xml:space="preserve">                             </w:t>
      </w:r>
    </w:p>
    <w:p w14:paraId="0DBE6313">
      <w:pPr>
        <w:spacing w:line="360" w:lineRule="auto"/>
        <w:ind w:left="420" w:leftChars="200" w:right="-120" w:firstLine="320"/>
        <w:rPr>
          <w:rFonts w:hint="eastAsia" w:ascii="宋体" w:hAnsi="宋体"/>
          <w:sz w:val="32"/>
          <w:szCs w:val="32"/>
        </w:rPr>
      </w:pPr>
      <w:r>
        <w:rPr>
          <w:rFonts w:hint="eastAsia" w:ascii="宋体" w:hAnsi="宋体"/>
          <w:sz w:val="32"/>
          <w:szCs w:val="32"/>
        </w:rPr>
        <w:t>甲    方：</w:t>
      </w:r>
      <w:r>
        <w:rPr>
          <w:rFonts w:hint="eastAsia" w:ascii="宋体" w:hAnsi="宋体"/>
          <w:sz w:val="32"/>
          <w:szCs w:val="32"/>
          <w:u w:val="single"/>
        </w:rPr>
        <w:t xml:space="preserve">                             </w:t>
      </w:r>
    </w:p>
    <w:p w14:paraId="5BEB91EA">
      <w:pPr>
        <w:spacing w:line="360" w:lineRule="auto"/>
        <w:ind w:left="420" w:leftChars="200" w:right="-120" w:firstLine="320"/>
        <w:rPr>
          <w:rFonts w:hint="eastAsia" w:ascii="宋体" w:hAnsi="宋体"/>
          <w:sz w:val="32"/>
          <w:szCs w:val="32"/>
          <w:u w:val="single"/>
        </w:rPr>
      </w:pPr>
      <w:r>
        <w:rPr>
          <w:rFonts w:hint="eastAsia" w:ascii="宋体" w:hAnsi="宋体"/>
          <w:sz w:val="32"/>
          <w:szCs w:val="32"/>
        </w:rPr>
        <w:t>乙    方：</w:t>
      </w:r>
      <w:r>
        <w:rPr>
          <w:rFonts w:hint="eastAsia" w:ascii="宋体" w:hAnsi="宋体"/>
          <w:sz w:val="32"/>
          <w:szCs w:val="32"/>
          <w:u w:val="single"/>
        </w:rPr>
        <w:t xml:space="preserve">                             </w:t>
      </w:r>
    </w:p>
    <w:p w14:paraId="774998D1">
      <w:pPr>
        <w:spacing w:line="360" w:lineRule="auto"/>
        <w:ind w:left="420" w:leftChars="200" w:right="-120" w:firstLine="320"/>
        <w:rPr>
          <w:rFonts w:hint="eastAsia" w:ascii="宋体" w:hAnsi="宋体"/>
          <w:sz w:val="32"/>
          <w:szCs w:val="32"/>
        </w:rPr>
      </w:pPr>
      <w:r>
        <w:rPr>
          <w:rFonts w:hint="eastAsia" w:ascii="宋体" w:hAnsi="宋体"/>
          <w:sz w:val="32"/>
          <w:szCs w:val="32"/>
        </w:rPr>
        <w:t>签订时间：</w:t>
      </w:r>
      <w:r>
        <w:rPr>
          <w:rFonts w:hint="eastAsia" w:ascii="宋体" w:hAnsi="宋体"/>
          <w:sz w:val="32"/>
          <w:szCs w:val="32"/>
          <w:u w:val="single"/>
        </w:rPr>
        <w:t xml:space="preserve">      </w:t>
      </w:r>
      <w:r>
        <w:rPr>
          <w:rFonts w:ascii="宋体" w:hAnsi="宋体"/>
          <w:sz w:val="32"/>
          <w:szCs w:val="32"/>
          <w:u w:val="single"/>
        </w:rPr>
        <w:t xml:space="preserve">           </w:t>
      </w:r>
      <w:r>
        <w:rPr>
          <w:rFonts w:hint="eastAsia" w:ascii="宋体" w:hAnsi="宋体"/>
          <w:sz w:val="32"/>
          <w:szCs w:val="32"/>
          <w:u w:val="single"/>
        </w:rPr>
        <w:t xml:space="preserve">            </w:t>
      </w:r>
    </w:p>
    <w:p w14:paraId="5D788FD2">
      <w:pPr>
        <w:ind w:left="-120" w:right="-120" w:firstLine="240"/>
        <w:rPr>
          <w:rFonts w:hint="eastAsia" w:ascii="宋体" w:hAnsi="宋体"/>
        </w:rPr>
      </w:pPr>
    </w:p>
    <w:p w14:paraId="75325BE7">
      <w:pPr>
        <w:ind w:left="-120" w:right="-120" w:firstLine="440"/>
        <w:rPr>
          <w:rFonts w:hint="eastAsia" w:ascii="宋体" w:hAnsi="宋体"/>
          <w:sz w:val="44"/>
          <w:szCs w:val="44"/>
        </w:rPr>
      </w:pPr>
      <w:r>
        <w:rPr>
          <w:rFonts w:ascii="宋体" w:hAnsi="宋体"/>
          <w:sz w:val="44"/>
          <w:szCs w:val="44"/>
        </w:rPr>
        <w:br w:type="page"/>
      </w:r>
    </w:p>
    <w:p w14:paraId="27FCAD59">
      <w:pPr>
        <w:ind w:left="-120" w:right="-120" w:firstLine="440"/>
        <w:rPr>
          <w:rFonts w:hint="eastAsia" w:ascii="宋体" w:hAnsi="宋体"/>
          <w:sz w:val="44"/>
          <w:szCs w:val="44"/>
        </w:rPr>
      </w:pPr>
    </w:p>
    <w:p w14:paraId="2392EFB3">
      <w:pPr>
        <w:ind w:left="-120" w:right="-120" w:firstLine="440"/>
        <w:rPr>
          <w:rFonts w:hint="eastAsia" w:ascii="宋体" w:hAnsi="宋体"/>
          <w:sz w:val="44"/>
          <w:szCs w:val="44"/>
        </w:rPr>
      </w:pPr>
    </w:p>
    <w:p w14:paraId="57025AA0">
      <w:pPr>
        <w:ind w:left="-120" w:right="-120" w:firstLine="440"/>
        <w:jc w:val="center"/>
        <w:rPr>
          <w:rFonts w:hint="eastAsia" w:ascii="宋体" w:hAnsi="宋体"/>
          <w:sz w:val="44"/>
          <w:szCs w:val="44"/>
        </w:rPr>
      </w:pPr>
      <w:r>
        <w:rPr>
          <w:rFonts w:hint="eastAsia" w:ascii="宋体" w:hAnsi="宋体"/>
          <w:sz w:val="44"/>
          <w:szCs w:val="44"/>
        </w:rPr>
        <w:t>使 用 说 明</w:t>
      </w:r>
    </w:p>
    <w:p w14:paraId="105B9999">
      <w:pPr>
        <w:ind w:left="-120" w:right="-120" w:firstLine="640" w:firstLineChars="200"/>
        <w:rPr>
          <w:rFonts w:hint="eastAsia" w:ascii="宋体" w:hAnsi="宋体" w:cs="仿宋_GB2312"/>
          <w:sz w:val="32"/>
          <w:szCs w:val="32"/>
        </w:rPr>
      </w:pPr>
    </w:p>
    <w:p w14:paraId="25204485">
      <w:pPr>
        <w:ind w:left="-120" w:right="-120" w:firstLine="640" w:firstLineChars="200"/>
        <w:rPr>
          <w:rFonts w:hint="eastAsia" w:ascii="宋体" w:hAnsi="宋体" w:cs="仿宋_GB2312"/>
          <w:sz w:val="32"/>
          <w:szCs w:val="32"/>
        </w:rPr>
      </w:pPr>
      <w:r>
        <w:rPr>
          <w:rFonts w:hint="eastAsia" w:ascii="宋体" w:hAnsi="宋体" w:cs="仿宋_GB2312"/>
          <w:sz w:val="32"/>
          <w:szCs w:val="32"/>
        </w:rPr>
        <w:t>1.本合同标准文本适用于购买现成货物的采购项目，不包括需要供应商定制开发、创新研发的货物采购项目。</w:t>
      </w:r>
    </w:p>
    <w:p w14:paraId="61F17629">
      <w:pPr>
        <w:ind w:left="-120" w:right="-120" w:firstLine="440"/>
        <w:rPr>
          <w:rFonts w:hint="eastAsia" w:ascii="宋体" w:hAnsi="宋体"/>
          <w:sz w:val="44"/>
          <w:szCs w:val="44"/>
        </w:rPr>
      </w:pPr>
      <w:r>
        <w:rPr>
          <w:rFonts w:hint="eastAsia" w:ascii="宋体" w:hAnsi="宋体"/>
          <w:sz w:val="44"/>
          <w:szCs w:val="44"/>
        </w:rPr>
        <w:t xml:space="preserve">   </w:t>
      </w:r>
      <w:r>
        <w:rPr>
          <w:rFonts w:hint="eastAsia" w:ascii="宋体" w:hAnsi="宋体" w:cs="仿宋_GB2312"/>
          <w:sz w:val="32"/>
          <w:szCs w:val="32"/>
        </w:rPr>
        <w:t>2.本合同标准文本为政府采购货物买卖合同编制提供参考，可以结合采购项目具体情况，对文本作必要的调整修订后使用。</w:t>
      </w:r>
    </w:p>
    <w:p w14:paraId="074EE68E">
      <w:pPr>
        <w:ind w:left="-120" w:right="-120" w:firstLine="640" w:firstLineChars="200"/>
        <w:rPr>
          <w:rFonts w:hint="eastAsia" w:ascii="宋体" w:hAnsi="宋体" w:cs="仿宋_GB2312"/>
          <w:sz w:val="32"/>
          <w:szCs w:val="32"/>
        </w:rPr>
      </w:pPr>
      <w:r>
        <w:rPr>
          <w:rFonts w:hint="eastAsia" w:ascii="宋体" w:hAnsi="宋体" w:cs="仿宋_GB2312"/>
          <w:sz w:val="32"/>
          <w:szCs w:val="32"/>
        </w:rPr>
        <w:t>3.本合同标准文本各条款中，如涉及填写多家供应商、制造商，多种采购标的、分包主要内容等信息的，可根据采购项目具体情况添加信息项。</w:t>
      </w:r>
    </w:p>
    <w:p w14:paraId="78EF7906">
      <w:pPr>
        <w:ind w:left="-120" w:right="-120" w:firstLine="880" w:firstLineChars="200"/>
        <w:rPr>
          <w:rFonts w:hint="eastAsia" w:ascii="宋体" w:hAnsi="宋体"/>
          <w:sz w:val="44"/>
          <w:szCs w:val="44"/>
        </w:rPr>
        <w:sectPr>
          <w:pgSz w:w="11906" w:h="16838"/>
          <w:pgMar w:top="1440" w:right="1800" w:bottom="1440" w:left="1800" w:header="851" w:footer="992" w:gutter="0"/>
          <w:cols w:space="425" w:num="1"/>
          <w:docGrid w:type="lines" w:linePitch="312" w:charSpace="0"/>
        </w:sectPr>
      </w:pPr>
    </w:p>
    <w:bookmarkEnd w:id="770"/>
    <w:p w14:paraId="062B75D7">
      <w:pPr>
        <w:pStyle w:val="3"/>
        <w:snapToGrid w:val="0"/>
        <w:ind w:left="-120" w:right="-120" w:firstLine="281"/>
        <w:rPr>
          <w:rFonts w:hint="eastAsia" w:ascii="宋体" w:hAnsi="宋体"/>
          <w:sz w:val="28"/>
          <w:szCs w:val="28"/>
        </w:rPr>
      </w:pPr>
      <w:bookmarkStart w:id="772" w:name="_Toc22209"/>
      <w:r>
        <w:rPr>
          <w:rFonts w:hint="eastAsia" w:ascii="宋体" w:hAnsi="宋体"/>
          <w:sz w:val="28"/>
          <w:szCs w:val="28"/>
        </w:rPr>
        <w:t>第一节 政府采购合同协议书</w:t>
      </w:r>
      <w:bookmarkEnd w:id="772"/>
    </w:p>
    <w:p w14:paraId="5B949BCB">
      <w:pPr>
        <w:adjustRightInd w:val="0"/>
        <w:snapToGrid w:val="0"/>
        <w:spacing w:line="360" w:lineRule="auto"/>
        <w:ind w:left="-120" w:right="-120"/>
        <w:rPr>
          <w:rFonts w:hint="eastAsia" w:ascii="宋体" w:hAnsi="宋体"/>
          <w:sz w:val="24"/>
        </w:rPr>
      </w:pPr>
      <w:r>
        <w:rPr>
          <w:rFonts w:hint="eastAsia" w:ascii="宋体" w:hAnsi="宋体"/>
          <w:sz w:val="24"/>
        </w:rPr>
        <w:t>甲方（全称）：</w:t>
      </w:r>
      <w:r>
        <w:rPr>
          <w:rFonts w:hint="eastAsia" w:ascii="宋体" w:hAnsi="宋体"/>
          <w:sz w:val="24"/>
          <w:u w:val="single"/>
        </w:rPr>
        <w:t xml:space="preserve">               </w:t>
      </w:r>
    </w:p>
    <w:p w14:paraId="6F29AAD6">
      <w:pPr>
        <w:adjustRightInd w:val="0"/>
        <w:snapToGrid w:val="0"/>
        <w:spacing w:line="360" w:lineRule="auto"/>
        <w:ind w:left="-120" w:right="-120"/>
        <w:rPr>
          <w:rFonts w:hint="eastAsia" w:ascii="宋体" w:hAnsi="宋体"/>
          <w:sz w:val="24"/>
        </w:rPr>
      </w:pPr>
      <w:r>
        <w:rPr>
          <w:rFonts w:hint="eastAsia" w:ascii="宋体" w:hAnsi="宋体"/>
          <w:sz w:val="24"/>
        </w:rPr>
        <w:t>乙方（全称）：</w:t>
      </w:r>
      <w:r>
        <w:rPr>
          <w:rFonts w:hint="eastAsia" w:ascii="宋体" w:hAnsi="宋体"/>
          <w:sz w:val="24"/>
          <w:u w:val="single"/>
        </w:rPr>
        <w:t xml:space="preserve">              </w:t>
      </w:r>
      <w:r>
        <w:rPr>
          <w:rFonts w:hint="eastAsia" w:ascii="宋体" w:hAnsi="宋体"/>
          <w:sz w:val="24"/>
        </w:rPr>
        <w:t>（供应商）</w:t>
      </w:r>
    </w:p>
    <w:p w14:paraId="2C8BC9C1">
      <w:pPr>
        <w:pStyle w:val="19"/>
        <w:adjustRightInd w:val="0"/>
        <w:snapToGrid w:val="0"/>
        <w:ind w:left="-120" w:right="-120" w:firstLine="480" w:firstLineChars="200"/>
        <w:rPr>
          <w:rFonts w:hint="eastAsia" w:ascii="宋体" w:hAnsi="宋体"/>
        </w:rPr>
      </w:pPr>
      <w:r>
        <w:rPr>
          <w:rFonts w:hint="eastAsia" w:ascii="宋体" w:hAnsi="宋体"/>
        </w:rPr>
        <w:t xml:space="preserve">依据《中华人民共和国民法典》、《中华人民共和国政府采购法》等有关的法律法规，以及本采购项目的招标/谈判文件等采购文件、乙方的《投标（响应）文件》及《中标（成交）通知书》，甲乙双方同意签订本合同。具体情况及要求如下：     </w:t>
      </w:r>
    </w:p>
    <w:p w14:paraId="09C7CE41">
      <w:pPr>
        <w:numPr>
          <w:ilvl w:val="0"/>
          <w:numId w:val="8"/>
        </w:numPr>
        <w:adjustRightInd w:val="0"/>
        <w:snapToGrid w:val="0"/>
        <w:spacing w:line="360" w:lineRule="auto"/>
        <w:ind w:left="-120" w:right="-120" w:firstLine="482" w:firstLineChars="200"/>
        <w:rPr>
          <w:rFonts w:hint="eastAsia" w:ascii="宋体" w:hAnsi="宋体"/>
          <w:b/>
          <w:sz w:val="24"/>
        </w:rPr>
      </w:pPr>
      <w:r>
        <w:rPr>
          <w:rFonts w:hint="eastAsia" w:ascii="宋体" w:hAnsi="宋体"/>
          <w:b/>
          <w:sz w:val="24"/>
        </w:rPr>
        <w:t>项目信息</w:t>
      </w:r>
    </w:p>
    <w:p w14:paraId="51403E9F">
      <w:pPr>
        <w:pStyle w:val="19"/>
        <w:adjustRightInd w:val="0"/>
        <w:snapToGrid w:val="0"/>
        <w:ind w:left="-120" w:right="-120" w:firstLine="480" w:firstLineChars="200"/>
        <w:rPr>
          <w:rFonts w:hint="eastAsia" w:ascii="宋体" w:hAnsi="宋体"/>
          <w:u w:val="single"/>
        </w:rPr>
      </w:pPr>
      <w:r>
        <w:rPr>
          <w:rFonts w:hint="eastAsia" w:ascii="宋体" w:hAnsi="宋体"/>
        </w:rPr>
        <w:t>（1）采购项目名称：</w:t>
      </w:r>
      <w:r>
        <w:rPr>
          <w:rFonts w:ascii="宋体" w:hAnsi="宋体"/>
          <w:u w:val="single"/>
        </w:rPr>
        <w:t xml:space="preserve">                                          </w:t>
      </w:r>
    </w:p>
    <w:p w14:paraId="28AF3DA5">
      <w:pPr>
        <w:pStyle w:val="19"/>
        <w:numPr>
          <w:ilvl w:val="255"/>
          <w:numId w:val="0"/>
        </w:numPr>
        <w:tabs>
          <w:tab w:val="left" w:pos="999"/>
        </w:tabs>
        <w:adjustRightInd w:val="0"/>
        <w:snapToGrid w:val="0"/>
        <w:ind w:right="-120"/>
        <w:rPr>
          <w:rFonts w:hint="eastAsia" w:ascii="宋体" w:hAnsi="宋体"/>
        </w:rPr>
      </w:pPr>
      <w:r>
        <w:rPr>
          <w:rFonts w:hint="eastAsia" w:ascii="宋体" w:hAnsi="宋体"/>
        </w:rPr>
        <w:t xml:space="preserve">         采购项目编号：</w:t>
      </w:r>
      <w:r>
        <w:rPr>
          <w:rFonts w:ascii="宋体" w:hAnsi="宋体"/>
          <w:u w:val="single"/>
        </w:rPr>
        <w:t xml:space="preserve">                                          </w:t>
      </w:r>
    </w:p>
    <w:p w14:paraId="65DC9B49">
      <w:pPr>
        <w:pStyle w:val="19"/>
        <w:adjustRightInd w:val="0"/>
        <w:snapToGrid w:val="0"/>
        <w:ind w:left="-120" w:right="-120" w:firstLine="480" w:firstLineChars="200"/>
        <w:rPr>
          <w:rFonts w:hint="eastAsia" w:ascii="宋体" w:hAnsi="宋体"/>
        </w:rPr>
      </w:pPr>
      <w:r>
        <w:rPr>
          <w:rFonts w:hint="eastAsia" w:ascii="宋体" w:hAnsi="宋体"/>
        </w:rPr>
        <w:t>（2）采购计划编号：</w:t>
      </w:r>
      <w:r>
        <w:rPr>
          <w:rFonts w:ascii="宋体" w:hAnsi="宋体"/>
          <w:u w:val="single"/>
        </w:rPr>
        <w:t xml:space="preserve">                     </w:t>
      </w:r>
      <w:r>
        <w:rPr>
          <w:rFonts w:hint="eastAsia" w:ascii="宋体" w:hAnsi="宋体"/>
          <w:u w:val="single"/>
        </w:rPr>
        <w:t xml:space="preserve">                </w:t>
      </w:r>
      <w:r>
        <w:rPr>
          <w:rFonts w:ascii="宋体" w:hAnsi="宋体"/>
          <w:u w:val="single"/>
        </w:rPr>
        <w:t xml:space="preserve">     </w:t>
      </w:r>
      <w:r>
        <w:rPr>
          <w:rFonts w:ascii="宋体" w:hAnsi="宋体"/>
        </w:rPr>
        <w:t xml:space="preserve"> </w:t>
      </w:r>
    </w:p>
    <w:p w14:paraId="5B3E3023">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（3）项目内容：</w:t>
      </w:r>
    </w:p>
    <w:p w14:paraId="7BC988C6">
      <w:pPr>
        <w:adjustRightInd w:val="0"/>
        <w:snapToGrid w:val="0"/>
        <w:spacing w:line="360" w:lineRule="auto"/>
        <w:ind w:left="-120" w:right="-120" w:firstLine="480" w:firstLineChars="200"/>
        <w:rPr>
          <w:rFonts w:hint="eastAsia" w:ascii="宋体" w:hAnsi="宋体"/>
          <w:sz w:val="24"/>
          <w:u w:val="single"/>
        </w:rPr>
      </w:pPr>
      <w:r>
        <w:rPr>
          <w:rFonts w:hint="eastAsia" w:ascii="宋体" w:hAnsi="宋体"/>
          <w:sz w:val="24"/>
        </w:rPr>
        <w:t xml:space="preserve">     采购标的及数量（台/套</w:t>
      </w:r>
      <w:r>
        <w:rPr>
          <w:rFonts w:ascii="宋体" w:hAnsi="宋体"/>
          <w:sz w:val="24"/>
          <w:lang w:val="en"/>
        </w:rPr>
        <w:t>/</w:t>
      </w:r>
      <w:r>
        <w:rPr>
          <w:rFonts w:hint="eastAsia" w:ascii="宋体" w:hAnsi="宋体"/>
          <w:sz w:val="24"/>
          <w:lang w:val="en"/>
        </w:rPr>
        <w:t>个</w:t>
      </w:r>
      <w:r>
        <w:rPr>
          <w:rFonts w:ascii="宋体" w:hAnsi="宋体"/>
          <w:sz w:val="24"/>
          <w:lang w:val="en"/>
        </w:rPr>
        <w:t>/</w:t>
      </w:r>
      <w:r>
        <w:rPr>
          <w:rFonts w:hint="eastAsia" w:ascii="宋体" w:hAnsi="宋体"/>
          <w:sz w:val="24"/>
          <w:lang w:val="en"/>
        </w:rPr>
        <w:t>架</w:t>
      </w:r>
      <w:r>
        <w:rPr>
          <w:rFonts w:ascii="宋体" w:hAnsi="宋体"/>
          <w:sz w:val="24"/>
          <w:lang w:val="en"/>
        </w:rPr>
        <w:t>/</w:t>
      </w:r>
      <w:r>
        <w:rPr>
          <w:rFonts w:hint="eastAsia" w:ascii="宋体" w:hAnsi="宋体"/>
          <w:sz w:val="24"/>
          <w:lang w:val="en"/>
        </w:rPr>
        <w:t>组等</w:t>
      </w:r>
      <w:r>
        <w:rPr>
          <w:rFonts w:hint="eastAsia" w:ascii="宋体" w:hAnsi="宋体"/>
          <w:sz w:val="24"/>
        </w:rPr>
        <w:t>）：</w:t>
      </w:r>
      <w:r>
        <w:rPr>
          <w:rFonts w:hint="eastAsia" w:ascii="宋体" w:hAnsi="宋体"/>
          <w:sz w:val="24"/>
          <w:u w:val="single"/>
        </w:rPr>
        <w:t xml:space="preserve">               </w:t>
      </w:r>
    </w:p>
    <w:p w14:paraId="7D9120DE">
      <w:pPr>
        <w:numPr>
          <w:ilvl w:val="255"/>
          <w:numId w:val="0"/>
        </w:numPr>
        <w:adjustRightInd w:val="0"/>
        <w:snapToGrid w:val="0"/>
        <w:spacing w:line="360" w:lineRule="auto"/>
        <w:ind w:right="-120" w:firstLine="480" w:firstLineChars="200"/>
        <w:rPr>
          <w:rFonts w:hint="eastAsia" w:ascii="宋体" w:hAnsi="宋体" w:cs="宋体"/>
          <w:sz w:val="24"/>
          <w:lang w:val="en"/>
        </w:rPr>
      </w:pPr>
      <w:r>
        <w:rPr>
          <w:rFonts w:hint="eastAsia" w:ascii="宋体" w:hAnsi="宋体"/>
          <w:sz w:val="24"/>
        </w:rPr>
        <w:t xml:space="preserve">     </w:t>
      </w:r>
      <w:r>
        <w:rPr>
          <w:rFonts w:hint="eastAsia" w:ascii="宋体" w:hAnsi="宋体" w:cs="宋体"/>
          <w:sz w:val="24"/>
        </w:rPr>
        <w:t>品牌：</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lang w:val="en"/>
        </w:rPr>
        <w:t xml:space="preserve">     </w:t>
      </w:r>
      <w:r>
        <w:rPr>
          <w:rFonts w:hint="eastAsia" w:ascii="宋体" w:hAnsi="宋体" w:cs="宋体"/>
          <w:sz w:val="24"/>
        </w:rPr>
        <w:t>规格型号：</w:t>
      </w:r>
      <w:r>
        <w:rPr>
          <w:rFonts w:hint="eastAsia" w:ascii="宋体" w:hAnsi="宋体" w:cs="宋体"/>
          <w:sz w:val="24"/>
          <w:u w:val="single"/>
        </w:rPr>
        <w:t xml:space="preserve">   </w:t>
      </w:r>
      <w:r>
        <w:rPr>
          <w:rFonts w:ascii="宋体" w:hAnsi="宋体" w:cs="宋体"/>
          <w:sz w:val="24"/>
          <w:u w:val="single"/>
          <w:lang w:val="en"/>
        </w:rPr>
        <w:t xml:space="preserve">  </w:t>
      </w:r>
      <w:r>
        <w:rPr>
          <w:rFonts w:hint="eastAsia" w:ascii="宋体" w:hAnsi="宋体" w:cs="宋体"/>
          <w:sz w:val="24"/>
          <w:u w:val="single"/>
        </w:rPr>
        <w:t xml:space="preserve">       </w:t>
      </w:r>
      <w:r>
        <w:rPr>
          <w:rFonts w:ascii="宋体" w:hAnsi="宋体" w:cs="宋体"/>
          <w:sz w:val="24"/>
          <w:u w:val="single"/>
          <w:lang w:val="en"/>
        </w:rPr>
        <w:t xml:space="preserve">   </w:t>
      </w:r>
    </w:p>
    <w:p w14:paraId="43A6D81D">
      <w:pPr>
        <w:adjustRightInd w:val="0"/>
        <w:snapToGrid w:val="0"/>
        <w:spacing w:line="360" w:lineRule="auto"/>
        <w:ind w:left="-120" w:right="-120" w:firstLine="1080" w:firstLineChars="450"/>
        <w:rPr>
          <w:rFonts w:hint="eastAsia" w:ascii="宋体" w:hAnsi="宋体"/>
          <w:sz w:val="24"/>
          <w:u w:val="single"/>
        </w:rPr>
      </w:pPr>
      <w:r>
        <w:rPr>
          <w:rFonts w:hint="eastAsia" w:ascii="宋体" w:hAnsi="宋体"/>
          <w:sz w:val="24"/>
        </w:rPr>
        <w:t>采购标的的技术要求、商务要求具体见附件。</w:t>
      </w:r>
    </w:p>
    <w:p w14:paraId="72BDA6ED">
      <w:pPr>
        <w:numPr>
          <w:ilvl w:val="255"/>
          <w:numId w:val="0"/>
        </w:numPr>
        <w:adjustRightInd w:val="0"/>
        <w:snapToGrid w:val="0"/>
        <w:spacing w:line="360" w:lineRule="auto"/>
        <w:ind w:right="-120" w:firstLine="1080" w:firstLineChars="450"/>
        <w:rPr>
          <w:rFonts w:hint="eastAsia" w:ascii="宋体" w:hAnsi="宋体" w:cs="宋体"/>
          <w:sz w:val="24"/>
        </w:rPr>
      </w:pPr>
      <w:r>
        <w:rPr>
          <w:rFonts w:hint="eastAsia" w:ascii="宋体" w:hAnsi="宋体" w:cs="宋体"/>
          <w:sz w:val="24"/>
        </w:rPr>
        <w:t>涉及信息类产品，请填写该产品关键部件的品牌、型号：</w:t>
      </w:r>
    </w:p>
    <w:p w14:paraId="70B9BC7E">
      <w:pPr>
        <w:numPr>
          <w:ilvl w:val="255"/>
          <w:numId w:val="0"/>
        </w:numPr>
        <w:adjustRightInd w:val="0"/>
        <w:snapToGrid w:val="0"/>
        <w:spacing w:line="360" w:lineRule="auto"/>
        <w:ind w:right="-120" w:firstLine="480" w:firstLineChars="200"/>
        <w:rPr>
          <w:rFonts w:hint="eastAsia" w:ascii="宋体" w:hAnsi="宋体" w:cs="宋体"/>
          <w:kern w:val="0"/>
          <w:sz w:val="24"/>
          <w:u w:val="single"/>
        </w:rPr>
      </w:pPr>
      <w:r>
        <w:rPr>
          <w:rFonts w:hint="eastAsia" w:ascii="宋体" w:hAnsi="宋体" w:cs="宋体"/>
          <w:sz w:val="24"/>
        </w:rPr>
        <w:t xml:space="preserve">     标的名称：</w:t>
      </w:r>
      <w:r>
        <w:rPr>
          <w:rFonts w:hint="eastAsia" w:ascii="宋体" w:hAnsi="宋体" w:cs="宋体"/>
          <w:kern w:val="0"/>
          <w:sz w:val="24"/>
          <w:u w:val="single"/>
        </w:rPr>
        <w:t xml:space="preserve">      </w:t>
      </w:r>
      <w:r>
        <w:rPr>
          <w:rFonts w:ascii="宋体" w:hAnsi="宋体" w:cs="宋体"/>
          <w:kern w:val="0"/>
          <w:sz w:val="24"/>
          <w:u w:val="single"/>
          <w:lang w:val="en"/>
        </w:rPr>
        <w:t xml:space="preserve">               </w:t>
      </w:r>
      <w:r>
        <w:rPr>
          <w:rFonts w:hint="eastAsia" w:ascii="宋体" w:hAnsi="宋体" w:cs="宋体"/>
          <w:kern w:val="0"/>
          <w:sz w:val="24"/>
          <w:u w:val="single"/>
        </w:rPr>
        <w:t xml:space="preserve">    </w:t>
      </w:r>
    </w:p>
    <w:p w14:paraId="20812B48">
      <w:pPr>
        <w:numPr>
          <w:ilvl w:val="255"/>
          <w:numId w:val="0"/>
        </w:numPr>
        <w:adjustRightInd w:val="0"/>
        <w:snapToGrid w:val="0"/>
        <w:spacing w:line="360" w:lineRule="auto"/>
        <w:ind w:right="-120" w:firstLine="480" w:firstLineChars="200"/>
        <w:rPr>
          <w:rFonts w:hint="eastAsia" w:ascii="宋体" w:hAnsi="宋体" w:cs="宋体"/>
          <w:sz w:val="24"/>
        </w:rPr>
      </w:pPr>
      <w:r>
        <w:rPr>
          <w:rFonts w:hint="eastAsia" w:ascii="宋体" w:hAnsi="宋体" w:cs="宋体"/>
          <w:sz w:val="24"/>
        </w:rPr>
        <w:t xml:space="preserve">     关键部件：</w:t>
      </w:r>
      <w:r>
        <w:rPr>
          <w:rFonts w:hint="eastAsia" w:ascii="宋体" w:hAnsi="宋体" w:cs="宋体"/>
          <w:kern w:val="0"/>
          <w:sz w:val="24"/>
          <w:u w:val="single"/>
        </w:rPr>
        <w:t xml:space="preserve">          </w:t>
      </w:r>
      <w:r>
        <w:rPr>
          <w:rFonts w:hint="eastAsia" w:ascii="宋体" w:hAnsi="宋体" w:cs="宋体"/>
          <w:kern w:val="0"/>
          <w:sz w:val="24"/>
        </w:rPr>
        <w:t xml:space="preserve"> </w:t>
      </w:r>
      <w:r>
        <w:rPr>
          <w:rFonts w:hint="eastAsia" w:ascii="宋体" w:hAnsi="宋体" w:cs="宋体"/>
          <w:sz w:val="24"/>
        </w:rPr>
        <w:t>品牌：</w:t>
      </w:r>
      <w:r>
        <w:rPr>
          <w:rFonts w:hint="eastAsia" w:ascii="宋体" w:hAnsi="宋体" w:cs="宋体"/>
          <w:sz w:val="24"/>
          <w:u w:val="single"/>
        </w:rPr>
        <w:t xml:space="preserve">        </w:t>
      </w:r>
      <w:r>
        <w:rPr>
          <w:rFonts w:hint="eastAsia" w:ascii="宋体" w:hAnsi="宋体" w:cs="宋体"/>
          <w:sz w:val="24"/>
        </w:rPr>
        <w:t xml:space="preserve"> 型号：</w:t>
      </w:r>
      <w:r>
        <w:rPr>
          <w:rFonts w:hint="eastAsia" w:ascii="宋体" w:hAnsi="宋体" w:cs="宋体"/>
          <w:sz w:val="24"/>
          <w:u w:val="single"/>
        </w:rPr>
        <w:t xml:space="preserve">       </w:t>
      </w:r>
      <w:r>
        <w:rPr>
          <w:rFonts w:hint="eastAsia" w:ascii="宋体" w:hAnsi="宋体" w:cs="宋体"/>
          <w:sz w:val="24"/>
        </w:rPr>
        <w:t xml:space="preserve"> </w:t>
      </w:r>
    </w:p>
    <w:p w14:paraId="1666263A">
      <w:pPr>
        <w:pStyle w:val="337"/>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kern w:val="2"/>
          <w:sz w:val="24"/>
          <w:szCs w:val="24"/>
        </w:rPr>
        <w:t>关键部件</w:t>
      </w:r>
      <w:r>
        <w:rPr>
          <w:rFonts w:hint="eastAsia" w:ascii="宋体" w:hAnsi="宋体" w:eastAsia="宋体" w:cs="宋体"/>
          <w:sz w:val="24"/>
          <w:szCs w:val="24"/>
        </w:rPr>
        <w:t>：</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67D533F8">
      <w:pPr>
        <w:pStyle w:val="337"/>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关键部件：</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品牌：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型号：</w:t>
      </w:r>
      <w:r>
        <w:rPr>
          <w:rFonts w:hint="eastAsia" w:ascii="宋体" w:hAnsi="宋体" w:eastAsia="宋体" w:cs="宋体"/>
          <w:sz w:val="24"/>
          <w:szCs w:val="24"/>
          <w:u w:val="single"/>
        </w:rPr>
        <w:t xml:space="preserve">       </w:t>
      </w:r>
    </w:p>
    <w:p w14:paraId="79379412">
      <w:pPr>
        <w:pStyle w:val="337"/>
        <w:numPr>
          <w:ilvl w:val="255"/>
          <w:numId w:val="0"/>
        </w:numPr>
        <w:snapToGrid w:val="0"/>
        <w:spacing w:after="0" w:line="360" w:lineRule="auto"/>
        <w:rPr>
          <w:rFonts w:hint="eastAsia" w:ascii="宋体" w:hAnsi="宋体" w:eastAsia="宋体" w:cs="宋体"/>
          <w:sz w:val="24"/>
          <w:szCs w:val="24"/>
        </w:rPr>
      </w:pPr>
      <w:r>
        <w:rPr>
          <w:rFonts w:hint="eastAsia" w:ascii="宋体" w:hAnsi="宋体" w:eastAsia="宋体" w:cs="宋体"/>
          <w:sz w:val="24"/>
          <w:szCs w:val="24"/>
        </w:rPr>
        <w:t xml:space="preserve">   （注：关键部件是指财政部会同有关部门发布的政府采购需求标准规定的需要通过国家有关部门指定的测评机构开展的安全可靠测评的软硬件，如CPU芯片、操作系统、数据库等。）</w:t>
      </w:r>
    </w:p>
    <w:p w14:paraId="643874B7">
      <w:pPr>
        <w:pStyle w:val="337"/>
        <w:numPr>
          <w:ilvl w:val="255"/>
          <w:numId w:val="0"/>
        </w:numPr>
        <w:snapToGrid w:val="0"/>
        <w:spacing w:after="0" w:line="360" w:lineRule="auto"/>
        <w:rPr>
          <w:rFonts w:hint="eastAsia" w:ascii="宋体" w:hAnsi="宋体" w:eastAsia="宋体" w:cstheme="minorEastAsia"/>
          <w:sz w:val="24"/>
          <w:szCs w:val="24"/>
        </w:rPr>
      </w:pPr>
      <w:r>
        <w:rPr>
          <w:rFonts w:hint="eastAsia" w:ascii="宋体" w:hAnsi="宋体" w:eastAsia="宋体" w:cstheme="minorEastAsia"/>
          <w:sz w:val="24"/>
          <w:szCs w:val="24"/>
        </w:rPr>
        <w:t xml:space="preserve">    （</w:t>
      </w:r>
      <w:r>
        <w:rPr>
          <w:rFonts w:ascii="宋体" w:hAnsi="宋体" w:eastAsia="宋体" w:cstheme="minorEastAsia"/>
          <w:sz w:val="24"/>
          <w:szCs w:val="24"/>
          <w:lang w:val="en"/>
        </w:rPr>
        <w:t>4</w:t>
      </w:r>
      <w:r>
        <w:rPr>
          <w:rFonts w:hint="eastAsia" w:ascii="宋体" w:hAnsi="宋体" w:eastAsia="宋体" w:cstheme="minorEastAsia"/>
          <w:sz w:val="24"/>
          <w:szCs w:val="24"/>
        </w:rPr>
        <w:t>）政府采购组织形式：</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政府集中采购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部门集中采购  ■分散采购</w:t>
      </w:r>
    </w:p>
    <w:p w14:paraId="64E28C2F">
      <w:pPr>
        <w:pStyle w:val="337"/>
        <w:numPr>
          <w:ilvl w:val="255"/>
          <w:numId w:val="0"/>
        </w:numPr>
        <w:snapToGrid w:val="0"/>
        <w:spacing w:after="0" w:line="360" w:lineRule="auto"/>
        <w:ind w:firstLine="480" w:firstLineChars="200"/>
        <w:rPr>
          <w:rFonts w:hint="eastAsia" w:ascii="宋体" w:hAnsi="宋体" w:eastAsia="宋体" w:cstheme="minorEastAsia"/>
          <w:sz w:val="24"/>
          <w:szCs w:val="24"/>
        </w:rPr>
      </w:pPr>
      <w:r>
        <w:rPr>
          <w:rFonts w:hint="eastAsia" w:ascii="宋体" w:hAnsi="宋体" w:eastAsia="宋体" w:cstheme="minorEastAsia"/>
          <w:sz w:val="24"/>
          <w:szCs w:val="24"/>
        </w:rPr>
        <w:t>（</w:t>
      </w:r>
      <w:r>
        <w:rPr>
          <w:rFonts w:ascii="宋体" w:hAnsi="宋体" w:eastAsia="宋体" w:cstheme="minorEastAsia"/>
          <w:sz w:val="24"/>
          <w:szCs w:val="24"/>
          <w:lang w:val="en"/>
        </w:rPr>
        <w:t>5</w:t>
      </w:r>
      <w:r>
        <w:rPr>
          <w:rFonts w:hint="eastAsia" w:ascii="宋体" w:hAnsi="宋体" w:eastAsia="宋体" w:cstheme="minorEastAsia"/>
          <w:sz w:val="24"/>
          <w:szCs w:val="24"/>
        </w:rPr>
        <w:t xml:space="preserve">）政府采购方式：■公开招标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邀请招标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竞争性谈判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竞争性磋商</w:t>
      </w:r>
    </w:p>
    <w:p w14:paraId="6228E301">
      <w:pPr>
        <w:pStyle w:val="337"/>
        <w:numPr>
          <w:ilvl w:val="255"/>
          <w:numId w:val="0"/>
        </w:numPr>
        <w:snapToGrid w:val="0"/>
        <w:spacing w:after="0" w:line="360" w:lineRule="auto"/>
        <w:ind w:firstLine="420"/>
        <w:rPr>
          <w:rFonts w:hint="eastAsia" w:ascii="宋体" w:hAnsi="宋体" w:eastAsia="宋体" w:cs="宋体"/>
          <w:sz w:val="24"/>
          <w:szCs w:val="24"/>
          <w:u w:val="single"/>
        </w:rPr>
      </w:pPr>
      <w:r>
        <w:rPr>
          <w:rFonts w:hint="eastAsia" w:ascii="宋体" w:hAnsi="宋体" w:eastAsia="宋体" w:cs="宋体"/>
          <w:sz w:val="24"/>
          <w:szCs w:val="24"/>
        </w:rPr>
        <w:t xml:space="preserve">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询价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单一来源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 xml:space="preserve">框架协议 </w:t>
      </w:r>
      <w:r>
        <w:rPr>
          <w:rFonts w:hint="eastAsia" w:ascii="宋体" w:hAnsi="宋体" w:eastAsia="宋体" w:cstheme="minorEastAsia"/>
          <w:sz w:val="24"/>
          <w:szCs w:val="24"/>
        </w:rPr>
        <w:sym w:font="Wingdings" w:char="00A8"/>
      </w:r>
      <w:r>
        <w:rPr>
          <w:rFonts w:hint="eastAsia" w:ascii="宋体" w:hAnsi="宋体" w:eastAsia="宋体" w:cstheme="minorEastAsia"/>
          <w:sz w:val="24"/>
          <w:szCs w:val="24"/>
        </w:rPr>
        <w:t>其他：</w:t>
      </w:r>
      <w:r>
        <w:rPr>
          <w:rFonts w:hint="eastAsia" w:ascii="宋体" w:hAnsi="宋体" w:eastAsia="宋体" w:cs="宋体"/>
          <w:sz w:val="24"/>
          <w:szCs w:val="24"/>
          <w:u w:val="single"/>
        </w:rPr>
        <w:t xml:space="preserve">          </w:t>
      </w:r>
    </w:p>
    <w:p w14:paraId="559987D6">
      <w:pPr>
        <w:pStyle w:val="337"/>
        <w:numPr>
          <w:ilvl w:val="255"/>
          <w:numId w:val="0"/>
        </w:numPr>
        <w:snapToGrid w:val="0"/>
        <w:spacing w:after="0" w:line="360" w:lineRule="auto"/>
        <w:ind w:firstLine="420"/>
        <w:rPr>
          <w:rFonts w:hint="eastAsia" w:ascii="宋体" w:hAnsi="宋体" w:eastAsia="宋体" w:cs="宋体"/>
          <w:sz w:val="24"/>
          <w:szCs w:val="24"/>
        </w:rPr>
      </w:pPr>
      <w:r>
        <w:rPr>
          <w:rFonts w:hint="eastAsia" w:ascii="宋体" w:hAnsi="宋体" w:eastAsia="宋体" w:cs="宋体"/>
          <w:sz w:val="24"/>
          <w:szCs w:val="24"/>
        </w:rPr>
        <w:t>（注：在框架协议采购的第二阶段，可选择使用该合同文本）</w:t>
      </w:r>
    </w:p>
    <w:p w14:paraId="7DFCFAD9">
      <w:pPr>
        <w:pStyle w:val="337"/>
        <w:numPr>
          <w:ilvl w:val="255"/>
          <w:numId w:val="0"/>
        </w:numPr>
        <w:snapToGrid w:val="0"/>
        <w:spacing w:after="0" w:line="360" w:lineRule="auto"/>
        <w:ind w:firstLine="240" w:firstLineChars="100"/>
        <w:rPr>
          <w:rFonts w:hint="eastAsia" w:ascii="宋体" w:hAnsi="宋体" w:eastAsia="宋体" w:cs="宋体"/>
          <w:sz w:val="24"/>
          <w:szCs w:val="24"/>
        </w:rPr>
      </w:pPr>
      <w:r>
        <w:rPr>
          <w:rFonts w:hint="eastAsia" w:ascii="宋体" w:hAnsi="宋体" w:eastAsia="宋体"/>
          <w:sz w:val="24"/>
          <w:szCs w:val="24"/>
        </w:rPr>
        <w:t xml:space="preserve">  （</w:t>
      </w:r>
      <w:r>
        <w:rPr>
          <w:rFonts w:ascii="宋体" w:hAnsi="宋体" w:eastAsia="宋体"/>
          <w:sz w:val="24"/>
          <w:szCs w:val="24"/>
          <w:lang w:val="en"/>
        </w:rPr>
        <w:t>6</w:t>
      </w:r>
      <w:r>
        <w:rPr>
          <w:rFonts w:hint="eastAsia" w:ascii="宋体" w:hAnsi="宋体" w:eastAsia="宋体"/>
          <w:sz w:val="24"/>
          <w:szCs w:val="24"/>
        </w:rPr>
        <w:t>）</w:t>
      </w:r>
      <w:r>
        <w:rPr>
          <w:rFonts w:hint="eastAsia" w:ascii="宋体" w:hAnsi="宋体" w:eastAsia="宋体" w:cs="Times New Roman"/>
          <w:kern w:val="2"/>
          <w:sz w:val="24"/>
          <w:szCs w:val="24"/>
        </w:rPr>
        <w:t>中标（成交）采购标的制造商是否为中小</w:t>
      </w:r>
      <w:r>
        <w:rPr>
          <w:rFonts w:hint="eastAsia" w:ascii="宋体" w:hAnsi="宋体" w:eastAsia="宋体" w:cs="宋体"/>
          <w:sz w:val="24"/>
          <w:szCs w:val="24"/>
        </w:rPr>
        <w:t>企业：</w:t>
      </w:r>
      <w:r>
        <w:rPr>
          <w:rFonts w:hint="eastAsia" w:ascii="宋体" w:hAnsi="宋体" w:cs="宋体"/>
          <w:sz w:val="24"/>
        </w:rPr>
        <w:sym w:font="Wingdings" w:char="00A8"/>
      </w:r>
      <w:r>
        <w:rPr>
          <w:rFonts w:hint="eastAsia" w:ascii="宋体" w:hAnsi="宋体" w:eastAsia="宋体" w:cs="宋体"/>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sz w:val="24"/>
          <w:szCs w:val="24"/>
        </w:rPr>
        <w:t>否</w:t>
      </w:r>
    </w:p>
    <w:p w14:paraId="6D305C6D">
      <w:pPr>
        <w:numPr>
          <w:ilvl w:val="255"/>
          <w:numId w:val="0"/>
        </w:numPr>
        <w:adjustRightInd w:val="0"/>
        <w:snapToGrid w:val="0"/>
        <w:spacing w:line="360" w:lineRule="auto"/>
        <w:ind w:right="-120"/>
        <w:rPr>
          <w:rFonts w:hint="eastAsia" w:ascii="宋体" w:hAnsi="宋体" w:cs="宋体"/>
          <w:kern w:val="0"/>
          <w:sz w:val="24"/>
        </w:rPr>
      </w:pPr>
      <w:r>
        <w:rPr>
          <w:rFonts w:hint="eastAsia" w:ascii="宋体" w:hAnsi="宋体" w:cs="宋体"/>
          <w:kern w:val="0"/>
          <w:sz w:val="24"/>
        </w:rPr>
        <w:t>本合同是否为专门面向中小企业的采购合同（中小企业预留合同）：</w:t>
      </w:r>
      <w:r>
        <w:rPr>
          <w:rFonts w:hint="eastAsia" w:ascii="宋体" w:hAnsi="宋体" w:cs="宋体"/>
          <w:kern w:val="0"/>
          <w:sz w:val="24"/>
        </w:rPr>
        <w:sym w:font="Wingdings" w:char="00A8"/>
      </w:r>
      <w:r>
        <w:rPr>
          <w:rFonts w:hint="eastAsia" w:ascii="宋体" w:hAnsi="宋体" w:cs="宋体"/>
          <w:kern w:val="0"/>
          <w:sz w:val="24"/>
        </w:rPr>
        <w:t xml:space="preserve">是    </w:t>
      </w:r>
      <w:r>
        <w:rPr>
          <w:rFonts w:hint="eastAsia" w:ascii="宋体" w:hAnsi="宋体" w:cs="宋体"/>
          <w:kern w:val="0"/>
          <w:sz w:val="24"/>
        </w:rPr>
        <w:sym w:font="Wingdings" w:char="00A8"/>
      </w:r>
      <w:r>
        <w:rPr>
          <w:rFonts w:hint="eastAsia" w:ascii="宋体" w:hAnsi="宋体" w:cs="宋体"/>
          <w:kern w:val="0"/>
          <w:sz w:val="24"/>
        </w:rPr>
        <w:t>否</w:t>
      </w:r>
    </w:p>
    <w:p w14:paraId="7356BCB4">
      <w:pPr>
        <w:numPr>
          <w:ilvl w:val="255"/>
          <w:numId w:val="0"/>
        </w:numPr>
        <w:adjustRightInd w:val="0"/>
        <w:snapToGrid w:val="0"/>
        <w:spacing w:line="360" w:lineRule="auto"/>
        <w:ind w:right="-120"/>
        <w:rPr>
          <w:rFonts w:hint="eastAsia" w:ascii="宋体" w:hAnsi="宋体"/>
          <w:iCs/>
          <w:sz w:val="24"/>
        </w:rPr>
      </w:pPr>
      <w:r>
        <w:rPr>
          <w:rFonts w:hint="eastAsia" w:ascii="宋体" w:hAnsi="宋体"/>
          <w:sz w:val="24"/>
        </w:rPr>
        <w:t>若本项目不专门面向中小企业采购，是否给予小微企业评审优惠：</w:t>
      </w:r>
      <w:r>
        <w:rPr>
          <w:rFonts w:hint="eastAsia" w:ascii="宋体" w:hAnsi="宋体"/>
          <w:iCs/>
          <w:sz w:val="24"/>
        </w:rPr>
        <w:sym w:font="Wingdings" w:char="00A8"/>
      </w:r>
      <w:r>
        <w:rPr>
          <w:rFonts w:hint="eastAsia" w:ascii="宋体" w:hAnsi="宋体"/>
          <w:iCs/>
          <w:sz w:val="24"/>
        </w:rPr>
        <w:t xml:space="preserve">是   </w:t>
      </w:r>
      <w:r>
        <w:rPr>
          <w:rFonts w:hint="eastAsia" w:ascii="宋体" w:hAnsi="宋体"/>
          <w:iCs/>
          <w:sz w:val="24"/>
        </w:rPr>
        <w:sym w:font="Wingdings" w:char="00A8"/>
      </w:r>
      <w:r>
        <w:rPr>
          <w:rFonts w:hint="eastAsia" w:ascii="宋体" w:hAnsi="宋体"/>
          <w:iCs/>
          <w:sz w:val="24"/>
        </w:rPr>
        <w:t>否</w:t>
      </w:r>
    </w:p>
    <w:p w14:paraId="61923003">
      <w:pPr>
        <w:numPr>
          <w:ilvl w:val="255"/>
          <w:numId w:val="0"/>
        </w:numPr>
        <w:adjustRightInd w:val="0"/>
        <w:snapToGrid w:val="0"/>
        <w:spacing w:line="360" w:lineRule="auto"/>
        <w:ind w:right="-120"/>
        <w:rPr>
          <w:rFonts w:hint="eastAsia" w:ascii="宋体" w:hAnsi="宋体"/>
          <w:iCs/>
          <w:sz w:val="24"/>
        </w:rPr>
      </w:pPr>
      <w:r>
        <w:rPr>
          <w:rFonts w:hint="eastAsia" w:ascii="宋体" w:hAnsi="宋体"/>
          <w:sz w:val="24"/>
        </w:rPr>
        <w:t xml:space="preserve">         中标（成交）采购标的制造商是否为残疾人福利性单位：</w:t>
      </w:r>
      <w:r>
        <w:rPr>
          <w:rFonts w:hint="eastAsia" w:ascii="宋体" w:hAnsi="宋体"/>
          <w:iCs/>
          <w:sz w:val="24"/>
        </w:rPr>
        <w:sym w:font="Wingdings" w:char="00A8"/>
      </w:r>
      <w:r>
        <w:rPr>
          <w:rFonts w:hint="eastAsia" w:ascii="宋体" w:hAnsi="宋体"/>
          <w:iCs/>
          <w:sz w:val="24"/>
        </w:rPr>
        <w:t xml:space="preserve">是   </w:t>
      </w:r>
      <w:r>
        <w:rPr>
          <w:rFonts w:hint="eastAsia" w:ascii="宋体" w:hAnsi="宋体"/>
          <w:iCs/>
          <w:sz w:val="24"/>
        </w:rPr>
        <w:sym w:font="Wingdings" w:char="00A8"/>
      </w:r>
      <w:r>
        <w:rPr>
          <w:rFonts w:hint="eastAsia" w:ascii="宋体" w:hAnsi="宋体"/>
          <w:iCs/>
          <w:sz w:val="24"/>
        </w:rPr>
        <w:t>否</w:t>
      </w:r>
    </w:p>
    <w:p w14:paraId="4048CF36">
      <w:pPr>
        <w:snapToGrid w:val="0"/>
        <w:spacing w:line="360" w:lineRule="auto"/>
        <w:ind w:left="-120" w:right="-120"/>
        <w:rPr>
          <w:rFonts w:hint="eastAsia" w:ascii="宋体" w:hAnsi="宋体"/>
          <w:sz w:val="24"/>
        </w:rPr>
      </w:pPr>
      <w:r>
        <w:rPr>
          <w:rFonts w:hint="eastAsia" w:ascii="宋体" w:hAnsi="宋体"/>
          <w:sz w:val="24"/>
        </w:rPr>
        <w:t xml:space="preserve">         中标（成交）采购标的制造商是否为监狱企业：</w:t>
      </w:r>
      <w:r>
        <w:rPr>
          <w:rFonts w:hint="eastAsia" w:ascii="宋体" w:hAnsi="宋体"/>
          <w:iCs/>
          <w:sz w:val="24"/>
        </w:rPr>
        <w:sym w:font="Wingdings" w:char="00A8"/>
      </w:r>
      <w:r>
        <w:rPr>
          <w:rFonts w:hint="eastAsia" w:ascii="宋体" w:hAnsi="宋体"/>
          <w:iCs/>
          <w:sz w:val="24"/>
        </w:rPr>
        <w:t xml:space="preserve">是       </w:t>
      </w:r>
      <w:r>
        <w:rPr>
          <w:rFonts w:hint="eastAsia" w:ascii="宋体" w:hAnsi="宋体"/>
          <w:iCs/>
          <w:sz w:val="24"/>
        </w:rPr>
        <w:sym w:font="Wingdings" w:char="00A8"/>
      </w:r>
      <w:r>
        <w:rPr>
          <w:rFonts w:hint="eastAsia" w:ascii="宋体" w:hAnsi="宋体"/>
          <w:iCs/>
          <w:sz w:val="24"/>
        </w:rPr>
        <w:t>否</w:t>
      </w:r>
    </w:p>
    <w:p w14:paraId="44422894">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w:t>
      </w:r>
      <w:r>
        <w:rPr>
          <w:rFonts w:ascii="宋体" w:hAnsi="宋体"/>
          <w:sz w:val="24"/>
          <w:lang w:val="en"/>
        </w:rPr>
        <w:t>7</w:t>
      </w:r>
      <w:r>
        <w:rPr>
          <w:rFonts w:hint="eastAsia" w:ascii="宋体" w:hAnsi="宋体"/>
          <w:sz w:val="24"/>
        </w:rPr>
        <w:t>）合同是否分包：</w:t>
      </w:r>
      <w:r>
        <w:rPr>
          <w:rFonts w:hint="eastAsia" w:ascii="宋体" w:hAnsi="宋体"/>
          <w:iCs/>
          <w:sz w:val="24"/>
        </w:rPr>
        <w:sym w:font="Wingdings" w:char="00A8"/>
      </w:r>
      <w:r>
        <w:rPr>
          <w:rFonts w:hint="eastAsia" w:ascii="宋体" w:hAnsi="宋体"/>
          <w:iCs/>
          <w:sz w:val="24"/>
        </w:rPr>
        <w:t xml:space="preserve">是       </w:t>
      </w:r>
      <w:r>
        <w:rPr>
          <w:rFonts w:hint="eastAsia" w:ascii="宋体" w:hAnsi="宋体" w:cstheme="minorEastAsia"/>
          <w:sz w:val="24"/>
        </w:rPr>
        <w:t>■</w:t>
      </w:r>
      <w:r>
        <w:rPr>
          <w:rFonts w:hint="eastAsia" w:ascii="宋体" w:hAnsi="宋体"/>
          <w:iCs/>
          <w:sz w:val="24"/>
        </w:rPr>
        <w:t>否</w:t>
      </w:r>
    </w:p>
    <w:p w14:paraId="391B8710">
      <w:pPr>
        <w:adjustRightInd w:val="0"/>
        <w:snapToGrid w:val="0"/>
        <w:spacing w:line="360" w:lineRule="auto"/>
        <w:ind w:left="-120" w:right="-120" w:firstLine="960" w:firstLineChars="400"/>
        <w:rPr>
          <w:rFonts w:hint="eastAsia" w:ascii="宋体" w:hAnsi="宋体"/>
          <w:sz w:val="24"/>
          <w:u w:val="single"/>
        </w:rPr>
      </w:pPr>
      <w:r>
        <w:rPr>
          <w:rFonts w:hint="eastAsia" w:ascii="宋体" w:hAnsi="宋体"/>
          <w:sz w:val="24"/>
        </w:rPr>
        <w:t xml:space="preserve"> 分包主要内容：</w:t>
      </w:r>
      <w:r>
        <w:rPr>
          <w:rFonts w:hint="eastAsia" w:ascii="宋体" w:hAnsi="宋体"/>
          <w:sz w:val="24"/>
          <w:u w:val="single"/>
        </w:rPr>
        <w:t xml:space="preserve">                                            </w:t>
      </w:r>
    </w:p>
    <w:p w14:paraId="70194DB9">
      <w:pPr>
        <w:adjustRightInd w:val="0"/>
        <w:snapToGrid w:val="0"/>
        <w:spacing w:line="360" w:lineRule="auto"/>
        <w:ind w:left="-120" w:right="-120" w:firstLine="960" w:firstLineChars="400"/>
        <w:rPr>
          <w:rFonts w:hint="eastAsia" w:ascii="宋体" w:hAnsi="宋体"/>
          <w:sz w:val="24"/>
        </w:rPr>
      </w:pPr>
      <w:r>
        <w:rPr>
          <w:rFonts w:hint="eastAsia" w:ascii="宋体" w:hAnsi="宋体"/>
          <w:sz w:val="24"/>
        </w:rPr>
        <w:t xml:space="preserve"> 分包供应商/制造商名称（如供应商和制造商不同，请分别填写）：</w:t>
      </w:r>
    </w:p>
    <w:p w14:paraId="15C7950A">
      <w:pPr>
        <w:adjustRightInd w:val="0"/>
        <w:snapToGrid w:val="0"/>
        <w:spacing w:line="360" w:lineRule="auto"/>
        <w:ind w:left="-120" w:right="-120" w:firstLine="960" w:firstLineChars="400"/>
        <w:rPr>
          <w:rFonts w:hint="eastAsia" w:ascii="宋体" w:hAnsi="宋体"/>
          <w:sz w:val="24"/>
          <w:u w:val="single"/>
        </w:rPr>
      </w:pPr>
      <w:r>
        <w:rPr>
          <w:rFonts w:hint="eastAsia" w:ascii="宋体" w:hAnsi="宋体"/>
          <w:sz w:val="24"/>
        </w:rPr>
        <w:t xml:space="preserve"> </w:t>
      </w:r>
      <w:r>
        <w:rPr>
          <w:rFonts w:hint="eastAsia" w:ascii="宋体" w:hAnsi="宋体"/>
          <w:sz w:val="24"/>
          <w:u w:val="single"/>
        </w:rPr>
        <w:t xml:space="preserve">                                                          </w:t>
      </w:r>
    </w:p>
    <w:p w14:paraId="24AD6A97">
      <w:pPr>
        <w:adjustRightInd w:val="0"/>
        <w:snapToGrid w:val="0"/>
        <w:spacing w:line="360" w:lineRule="auto"/>
        <w:ind w:left="-120" w:right="-120" w:firstLine="960" w:firstLineChars="400"/>
        <w:rPr>
          <w:rFonts w:hint="eastAsia" w:ascii="宋体" w:hAnsi="宋体"/>
          <w:sz w:val="24"/>
        </w:rPr>
      </w:pPr>
      <w:r>
        <w:rPr>
          <w:rFonts w:hint="eastAsia" w:ascii="宋体" w:hAnsi="宋体"/>
          <w:sz w:val="24"/>
        </w:rPr>
        <w:t xml:space="preserve"> 分包供应商/制造商类型（如果供应商和制造商不同，只填写制造商类型）：</w:t>
      </w:r>
    </w:p>
    <w:p w14:paraId="2BDEE10C">
      <w:pPr>
        <w:adjustRightInd w:val="0"/>
        <w:snapToGrid w:val="0"/>
        <w:spacing w:line="360" w:lineRule="auto"/>
        <w:ind w:left="-120" w:right="-120" w:firstLine="960" w:firstLineChars="400"/>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大型企业  </w:t>
      </w:r>
      <w:r>
        <w:rPr>
          <w:rFonts w:hint="eastAsia" w:ascii="宋体" w:hAnsi="宋体"/>
          <w:iCs/>
          <w:sz w:val="24"/>
        </w:rPr>
        <w:sym w:font="Wingdings" w:char="00A8"/>
      </w:r>
      <w:r>
        <w:rPr>
          <w:rFonts w:hint="eastAsia" w:ascii="宋体" w:hAnsi="宋体"/>
          <w:iCs/>
          <w:sz w:val="24"/>
        </w:rPr>
        <w:t xml:space="preserve">中型企业  </w:t>
      </w:r>
      <w:r>
        <w:rPr>
          <w:rFonts w:hint="eastAsia" w:ascii="宋体" w:hAnsi="宋体"/>
          <w:iCs/>
          <w:sz w:val="24"/>
        </w:rPr>
        <w:sym w:font="Wingdings" w:char="00A8"/>
      </w:r>
      <w:r>
        <w:rPr>
          <w:rFonts w:hint="eastAsia" w:ascii="宋体" w:hAnsi="宋体"/>
          <w:iCs/>
          <w:sz w:val="24"/>
        </w:rPr>
        <w:t xml:space="preserve">小微型企业  </w:t>
      </w:r>
    </w:p>
    <w:p w14:paraId="206C5A0F">
      <w:pPr>
        <w:adjustRightInd w:val="0"/>
        <w:snapToGrid w:val="0"/>
        <w:spacing w:line="360" w:lineRule="auto"/>
        <w:ind w:left="-120" w:right="-120" w:firstLine="960" w:firstLineChars="400"/>
        <w:rPr>
          <w:rFonts w:hint="eastAsia" w:ascii="宋体" w:hAnsi="宋体"/>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残疾人福利性单位 </w:t>
      </w:r>
      <w:r>
        <w:rPr>
          <w:rFonts w:hint="eastAsia" w:ascii="宋体" w:hAnsi="宋体"/>
          <w:iCs/>
          <w:sz w:val="24"/>
        </w:rPr>
        <w:sym w:font="Wingdings" w:char="00A8"/>
      </w:r>
      <w:r>
        <w:rPr>
          <w:rFonts w:hint="eastAsia" w:ascii="宋体" w:hAnsi="宋体"/>
          <w:iCs/>
          <w:sz w:val="24"/>
        </w:rPr>
        <w:t xml:space="preserve">监狱企业 </w:t>
      </w:r>
      <w:r>
        <w:rPr>
          <w:rFonts w:hint="eastAsia" w:ascii="宋体" w:hAnsi="宋体"/>
          <w:iCs/>
          <w:sz w:val="24"/>
        </w:rPr>
        <w:sym w:font="Wingdings" w:char="00A8"/>
      </w:r>
      <w:r>
        <w:rPr>
          <w:rFonts w:hint="eastAsia" w:ascii="宋体" w:hAnsi="宋体"/>
          <w:iCs/>
          <w:sz w:val="24"/>
        </w:rPr>
        <w:t>其他</w:t>
      </w:r>
    </w:p>
    <w:p w14:paraId="77C7BCF9">
      <w:pPr>
        <w:adjustRightInd w:val="0"/>
        <w:snapToGrid w:val="0"/>
        <w:spacing w:line="360" w:lineRule="auto"/>
        <w:ind w:left="-120" w:right="-120" w:firstLine="480" w:firstLineChars="200"/>
        <w:rPr>
          <w:rFonts w:hint="eastAsia" w:ascii="宋体" w:hAnsi="宋体" w:cs="宋体"/>
          <w:iCs/>
          <w:sz w:val="24"/>
        </w:rPr>
      </w:pPr>
      <w:r>
        <w:rPr>
          <w:rFonts w:hint="eastAsia" w:ascii="宋体" w:hAnsi="宋体" w:cs="宋体"/>
          <w:sz w:val="24"/>
        </w:rPr>
        <w:t>（</w:t>
      </w:r>
      <w:r>
        <w:rPr>
          <w:rFonts w:ascii="宋体" w:hAnsi="宋体" w:cs="宋体"/>
          <w:sz w:val="24"/>
          <w:lang w:val="en"/>
        </w:rPr>
        <w:t>8</w:t>
      </w:r>
      <w:r>
        <w:rPr>
          <w:rFonts w:hint="eastAsia" w:ascii="宋体" w:hAnsi="宋体" w:cs="宋体"/>
          <w:sz w:val="24"/>
        </w:rPr>
        <w:t>）中标（成交）供应商是否为外商投资企业：</w:t>
      </w:r>
      <w:r>
        <w:rPr>
          <w:rFonts w:hint="eastAsia" w:ascii="宋体" w:hAnsi="宋体" w:cs="宋体"/>
          <w:iCs/>
          <w:sz w:val="24"/>
        </w:rPr>
        <w:sym w:font="Wingdings" w:char="00A8"/>
      </w:r>
      <w:r>
        <w:rPr>
          <w:rFonts w:hint="eastAsia" w:ascii="宋体" w:hAnsi="宋体" w:cs="宋体"/>
          <w:iCs/>
          <w:sz w:val="24"/>
        </w:rPr>
        <w:t xml:space="preserve">是       </w:t>
      </w:r>
      <w:r>
        <w:rPr>
          <w:rFonts w:hint="eastAsia" w:ascii="宋体" w:hAnsi="宋体" w:cstheme="minorEastAsia"/>
          <w:sz w:val="24"/>
        </w:rPr>
        <w:t>■</w:t>
      </w:r>
      <w:r>
        <w:rPr>
          <w:rFonts w:hint="eastAsia" w:ascii="宋体" w:hAnsi="宋体" w:cs="宋体"/>
          <w:iCs/>
          <w:sz w:val="24"/>
        </w:rPr>
        <w:t>否</w:t>
      </w:r>
    </w:p>
    <w:p w14:paraId="44A9A042">
      <w:pPr>
        <w:adjustRightInd w:val="0"/>
        <w:snapToGrid w:val="0"/>
        <w:spacing w:line="360" w:lineRule="auto"/>
        <w:ind w:left="-120" w:right="-120" w:firstLine="480" w:firstLineChars="200"/>
        <w:rPr>
          <w:rFonts w:hint="eastAsia" w:ascii="宋体" w:hAnsi="宋体" w:cs="宋体"/>
          <w:sz w:val="24"/>
        </w:rPr>
      </w:pPr>
      <w:r>
        <w:rPr>
          <w:rFonts w:hint="eastAsia" w:ascii="宋体" w:hAnsi="宋体" w:cs="宋体"/>
          <w:sz w:val="24"/>
        </w:rPr>
        <w:t xml:space="preserve">     外商投资企业类型：</w:t>
      </w:r>
      <w:r>
        <w:rPr>
          <w:rFonts w:hint="eastAsia" w:ascii="宋体" w:hAnsi="宋体" w:cs="宋体"/>
          <w:sz w:val="24"/>
        </w:rPr>
        <w:sym w:font="Wingdings" w:char="00A8"/>
      </w:r>
      <w:r>
        <w:rPr>
          <w:rFonts w:hint="eastAsia" w:ascii="宋体" w:hAnsi="宋体" w:cs="宋体"/>
          <w:sz w:val="24"/>
        </w:rPr>
        <w:t xml:space="preserve">全部由外国投资者投资  </w:t>
      </w:r>
      <w:r>
        <w:rPr>
          <w:rFonts w:hint="eastAsia" w:ascii="宋体" w:hAnsi="宋体" w:cs="宋体"/>
          <w:sz w:val="24"/>
        </w:rPr>
        <w:sym w:font="Wingdings" w:char="00A8"/>
      </w:r>
      <w:r>
        <w:rPr>
          <w:rFonts w:hint="eastAsia" w:ascii="宋体" w:hAnsi="宋体" w:cs="宋体"/>
          <w:sz w:val="24"/>
        </w:rPr>
        <w:t>部分由外国投资者投资</w:t>
      </w:r>
    </w:p>
    <w:p w14:paraId="3A75CAEF">
      <w:pPr>
        <w:adjustRightInd w:val="0"/>
        <w:snapToGrid w:val="0"/>
        <w:spacing w:line="360" w:lineRule="auto"/>
        <w:ind w:left="-120" w:right="-120" w:firstLine="480" w:firstLineChars="200"/>
        <w:rPr>
          <w:rFonts w:hint="eastAsia" w:ascii="宋体" w:hAnsi="宋体" w:cs="宋体"/>
          <w:sz w:val="24"/>
        </w:rPr>
      </w:pPr>
      <w:r>
        <w:rPr>
          <w:rFonts w:hint="eastAsia" w:ascii="宋体" w:hAnsi="宋体" w:cs="宋体"/>
          <w:sz w:val="24"/>
        </w:rPr>
        <w:t>（</w:t>
      </w:r>
      <w:r>
        <w:rPr>
          <w:rFonts w:ascii="宋体" w:hAnsi="宋体" w:cs="宋体"/>
          <w:sz w:val="24"/>
        </w:rPr>
        <w:t>9</w:t>
      </w:r>
      <w:r>
        <w:rPr>
          <w:rFonts w:hint="eastAsia" w:ascii="宋体" w:hAnsi="宋体" w:cs="宋体"/>
          <w:sz w:val="24"/>
        </w:rPr>
        <w:t>）是否涉及进口产品：</w:t>
      </w:r>
    </w:p>
    <w:p w14:paraId="53F70D30">
      <w:pPr>
        <w:adjustRightInd w:val="0"/>
        <w:snapToGrid w:val="0"/>
        <w:spacing w:line="360" w:lineRule="auto"/>
        <w:ind w:left="-120" w:right="-120" w:firstLine="480" w:firstLineChars="200"/>
        <w:rPr>
          <w:rFonts w:hint="eastAsia" w:ascii="宋体" w:hAnsi="宋体" w:cs="宋体"/>
          <w:sz w:val="24"/>
          <w:u w:val="single"/>
        </w:rPr>
      </w:pPr>
      <w:r>
        <w:rPr>
          <w:rFonts w:hint="eastAsia" w:ascii="宋体" w:hAnsi="宋体" w:cs="宋体"/>
          <w:sz w:val="24"/>
        </w:rPr>
        <w:t xml:space="preserve"> </w:t>
      </w:r>
      <w:r>
        <w:rPr>
          <w:rFonts w:hint="eastAsia" w:ascii="宋体" w:hAnsi="宋体" w:cs="宋体"/>
          <w:sz w:val="24"/>
        </w:rPr>
        <w:sym w:font="Wingdings" w:char="00A8"/>
      </w:r>
      <w:r>
        <w:rPr>
          <w:rFonts w:hint="eastAsia" w:ascii="宋体" w:hAnsi="宋体" w:cs="宋体"/>
          <w:sz w:val="24"/>
        </w:rPr>
        <w:t xml:space="preserve">是，《政府采购品目分类目录》底级品目名称：          金额：   </w:t>
      </w:r>
      <w:r>
        <w:rPr>
          <w:rFonts w:hint="eastAsia" w:ascii="宋体" w:hAnsi="宋体" w:cs="宋体"/>
          <w:sz w:val="24"/>
          <w:u w:val="single"/>
        </w:rPr>
        <w:t xml:space="preserve">     </w:t>
      </w:r>
    </w:p>
    <w:p w14:paraId="47C1C686">
      <w:pPr>
        <w:numPr>
          <w:ilvl w:val="255"/>
          <w:numId w:val="0"/>
        </w:numPr>
        <w:adjustRightInd w:val="0"/>
        <w:snapToGrid w:val="0"/>
        <w:spacing w:line="360" w:lineRule="auto"/>
        <w:ind w:right="-120" w:firstLine="960" w:firstLineChars="400"/>
        <w:rPr>
          <w:rFonts w:hint="eastAsia" w:ascii="宋体" w:hAnsi="宋体"/>
          <w:sz w:val="24"/>
        </w:rPr>
      </w:pPr>
      <w:r>
        <w:rPr>
          <w:rFonts w:hint="eastAsia" w:ascii="宋体" w:hAnsi="宋体" w:cs="宋体"/>
          <w:sz w:val="24"/>
        </w:rPr>
        <w:t xml:space="preserve">        国别：</w:t>
      </w:r>
      <w:r>
        <w:rPr>
          <w:rFonts w:hint="eastAsia" w:ascii="宋体" w:hAnsi="宋体" w:cs="宋体"/>
          <w:sz w:val="24"/>
          <w:u w:val="single"/>
        </w:rPr>
        <w:t xml:space="preserve">        </w:t>
      </w:r>
      <w:r>
        <w:rPr>
          <w:rFonts w:hint="eastAsia" w:ascii="宋体" w:hAnsi="宋体" w:cs="宋体"/>
          <w:sz w:val="24"/>
        </w:rPr>
        <w:t xml:space="preserve"> 品牌：</w:t>
      </w:r>
      <w:r>
        <w:rPr>
          <w:rFonts w:hint="eastAsia" w:ascii="宋体" w:hAnsi="宋体" w:cs="宋体"/>
          <w:sz w:val="24"/>
          <w:u w:val="single"/>
        </w:rPr>
        <w:t xml:space="preserve">        </w:t>
      </w:r>
      <w:r>
        <w:rPr>
          <w:rFonts w:hint="eastAsia" w:ascii="宋体" w:hAnsi="宋体" w:cs="宋体"/>
          <w:sz w:val="24"/>
        </w:rPr>
        <w:t xml:space="preserve"> 规格型号：</w:t>
      </w:r>
      <w:r>
        <w:rPr>
          <w:rFonts w:hint="eastAsia" w:ascii="宋体" w:hAnsi="宋体" w:cs="宋体"/>
          <w:sz w:val="24"/>
          <w:u w:val="single"/>
        </w:rPr>
        <w:t xml:space="preserve">        </w:t>
      </w:r>
      <w:r>
        <w:rPr>
          <w:rFonts w:hint="eastAsia" w:ascii="宋体" w:hAnsi="宋体"/>
          <w:sz w:val="24"/>
        </w:rPr>
        <w:t xml:space="preserve">      </w:t>
      </w:r>
    </w:p>
    <w:p w14:paraId="6FE9E595">
      <w:pPr>
        <w:adjustRightInd w:val="0"/>
        <w:snapToGrid w:val="0"/>
        <w:spacing w:line="360" w:lineRule="auto"/>
        <w:ind w:left="-120" w:right="-120" w:firstLine="960" w:firstLineChars="400"/>
        <w:rPr>
          <w:rFonts w:hint="eastAsia" w:ascii="宋体" w:hAnsi="宋体"/>
          <w:sz w:val="24"/>
        </w:rPr>
      </w:pPr>
      <w:r>
        <w:rPr>
          <w:rFonts w:hint="eastAsia" w:ascii="宋体" w:hAnsi="宋体"/>
          <w:sz w:val="24"/>
        </w:rPr>
        <w:t xml:space="preserve"> </w:t>
      </w:r>
      <w:r>
        <w:rPr>
          <w:rFonts w:hint="eastAsia" w:ascii="宋体" w:hAnsi="宋体" w:cs="宋体"/>
          <w:iCs/>
          <w:sz w:val="24"/>
        </w:rPr>
        <w:sym w:font="Wingdings" w:char="00A8"/>
      </w:r>
      <w:r>
        <w:rPr>
          <w:rFonts w:hint="eastAsia" w:ascii="宋体" w:hAnsi="宋体"/>
          <w:sz w:val="24"/>
        </w:rPr>
        <w:t>否</w:t>
      </w:r>
    </w:p>
    <w:p w14:paraId="7B197C56">
      <w:pPr>
        <w:numPr>
          <w:ilvl w:val="255"/>
          <w:numId w:val="0"/>
        </w:numPr>
        <w:tabs>
          <w:tab w:val="left" w:pos="740"/>
        </w:tabs>
        <w:adjustRightInd w:val="0"/>
        <w:snapToGrid w:val="0"/>
        <w:spacing w:line="360" w:lineRule="auto"/>
        <w:ind w:right="-120"/>
        <w:rPr>
          <w:rFonts w:hint="eastAsia" w:ascii="宋体" w:hAnsi="宋体"/>
          <w:sz w:val="24"/>
        </w:rPr>
      </w:pPr>
      <w:r>
        <w:rPr>
          <w:rFonts w:hint="eastAsia" w:ascii="宋体" w:hAnsi="宋体"/>
          <w:sz w:val="24"/>
        </w:rPr>
        <w:t xml:space="preserve">    （1</w:t>
      </w:r>
      <w:r>
        <w:rPr>
          <w:rFonts w:ascii="宋体" w:hAnsi="宋体"/>
          <w:sz w:val="24"/>
          <w:lang w:val="en"/>
        </w:rPr>
        <w:t>0</w:t>
      </w:r>
      <w:r>
        <w:rPr>
          <w:rFonts w:hint="eastAsia" w:ascii="宋体" w:hAnsi="宋体"/>
          <w:sz w:val="24"/>
        </w:rPr>
        <w:t>）是否涉及节能产品：</w:t>
      </w:r>
    </w:p>
    <w:p w14:paraId="1BC3EF26">
      <w:pPr>
        <w:numPr>
          <w:ilvl w:val="255"/>
          <w:numId w:val="0"/>
        </w:numPr>
        <w:tabs>
          <w:tab w:val="left" w:pos="740"/>
        </w:tabs>
        <w:adjustRightInd w:val="0"/>
        <w:snapToGrid w:val="0"/>
        <w:spacing w:line="360" w:lineRule="auto"/>
        <w:ind w:right="-120"/>
        <w:rPr>
          <w:rFonts w:hint="eastAsia" w:ascii="宋体" w:hAnsi="宋体"/>
          <w:iCs/>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是，《节能产品政府采购品目清单》的底级品目名称：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46BA3AAE">
      <w:pPr>
        <w:numPr>
          <w:ilvl w:val="255"/>
          <w:numId w:val="0"/>
        </w:numPr>
        <w:tabs>
          <w:tab w:val="left" w:pos="740"/>
        </w:tabs>
        <w:adjustRightInd w:val="0"/>
        <w:snapToGrid w:val="0"/>
        <w:spacing w:line="360" w:lineRule="auto"/>
        <w:ind w:right="-120"/>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7169EFB0">
      <w:pPr>
        <w:numPr>
          <w:ilvl w:val="255"/>
          <w:numId w:val="0"/>
        </w:numPr>
        <w:tabs>
          <w:tab w:val="left" w:pos="740"/>
        </w:tabs>
        <w:adjustRightInd w:val="0"/>
        <w:snapToGrid w:val="0"/>
        <w:spacing w:line="360" w:lineRule="auto"/>
        <w:ind w:right="-120"/>
        <w:rPr>
          <w:rFonts w:hint="eastAsia"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081D21E9">
      <w:pPr>
        <w:numPr>
          <w:ilvl w:val="255"/>
          <w:numId w:val="0"/>
        </w:numPr>
        <w:tabs>
          <w:tab w:val="left" w:pos="740"/>
        </w:tabs>
        <w:adjustRightInd w:val="0"/>
        <w:snapToGrid w:val="0"/>
        <w:spacing w:line="360" w:lineRule="auto"/>
        <w:ind w:right="-120"/>
        <w:rPr>
          <w:rFonts w:hint="eastAsia" w:ascii="宋体" w:hAnsi="宋体"/>
          <w:sz w:val="24"/>
        </w:rPr>
      </w:pPr>
      <w:r>
        <w:rPr>
          <w:rFonts w:hint="eastAsia" w:ascii="宋体" w:hAnsi="宋体"/>
          <w:sz w:val="24"/>
        </w:rPr>
        <w:t xml:space="preserve">          是否涉及环境标志产品：</w:t>
      </w:r>
    </w:p>
    <w:p w14:paraId="60AA9B91">
      <w:pPr>
        <w:numPr>
          <w:ilvl w:val="255"/>
          <w:numId w:val="0"/>
        </w:numPr>
        <w:tabs>
          <w:tab w:val="left" w:pos="740"/>
        </w:tabs>
        <w:adjustRightInd w:val="0"/>
        <w:snapToGrid w:val="0"/>
        <w:spacing w:line="360" w:lineRule="auto"/>
        <w:ind w:right="-120"/>
        <w:rPr>
          <w:rFonts w:hint="eastAsia" w:ascii="宋体" w:hAnsi="宋体"/>
          <w:sz w:val="24"/>
        </w:rPr>
      </w:pPr>
      <w:r>
        <w:rPr>
          <w:rFonts w:hint="eastAsia" w:ascii="宋体" w:hAnsi="宋体"/>
          <w:sz w:val="24"/>
        </w:rPr>
        <w:t xml:space="preserve">         </w:t>
      </w:r>
      <w:r>
        <w:rPr>
          <w:rFonts w:hint="eastAsia" w:ascii="宋体" w:hAnsi="宋体"/>
          <w:sz w:val="24"/>
        </w:rPr>
        <w:sym w:font="Wingdings" w:char="00A8"/>
      </w:r>
      <w:r>
        <w:rPr>
          <w:rFonts w:hint="eastAsia" w:ascii="宋体" w:hAnsi="宋体"/>
          <w:sz w:val="24"/>
        </w:rPr>
        <w:t>是，《环境标志产品政府采购品目清单》的底级品目名称：</w:t>
      </w:r>
      <w:r>
        <w:rPr>
          <w:rFonts w:hint="eastAsia" w:ascii="宋体" w:hAnsi="宋体"/>
          <w:sz w:val="24"/>
          <w:u w:val="single"/>
        </w:rPr>
        <w:t xml:space="preserve">         </w:t>
      </w:r>
      <w:r>
        <w:rPr>
          <w:rFonts w:hint="eastAsia" w:ascii="宋体" w:hAnsi="宋体"/>
          <w:iCs/>
          <w:sz w:val="24"/>
        </w:rPr>
        <w:t xml:space="preserve"> </w:t>
      </w:r>
    </w:p>
    <w:p w14:paraId="0C1F0529">
      <w:pPr>
        <w:numPr>
          <w:ilvl w:val="255"/>
          <w:numId w:val="0"/>
        </w:numPr>
        <w:tabs>
          <w:tab w:val="left" w:pos="740"/>
        </w:tabs>
        <w:adjustRightInd w:val="0"/>
        <w:snapToGrid w:val="0"/>
        <w:spacing w:line="360" w:lineRule="auto"/>
        <w:ind w:right="-120"/>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1D15B68F">
      <w:pPr>
        <w:numPr>
          <w:ilvl w:val="255"/>
          <w:numId w:val="0"/>
        </w:numPr>
        <w:tabs>
          <w:tab w:val="left" w:pos="740"/>
        </w:tabs>
        <w:adjustRightInd w:val="0"/>
        <w:snapToGrid w:val="0"/>
        <w:spacing w:line="360" w:lineRule="auto"/>
        <w:ind w:right="-120"/>
        <w:rPr>
          <w:rFonts w:hint="eastAsia" w:ascii="宋体" w:hAnsi="宋体"/>
          <w:sz w:val="24"/>
        </w:rPr>
      </w:pPr>
      <w:r>
        <w:rPr>
          <w:rFonts w:hint="eastAsia" w:ascii="宋体" w:hAnsi="宋体"/>
          <w:iCs/>
          <w:sz w:val="24"/>
        </w:rPr>
        <w:t xml:space="preserve">         </w:t>
      </w:r>
      <w:r>
        <w:rPr>
          <w:rFonts w:hint="eastAsia" w:ascii="宋体" w:hAnsi="宋体"/>
          <w:sz w:val="24"/>
        </w:rPr>
        <w:sym w:font="Wingdings" w:char="00A8"/>
      </w:r>
      <w:r>
        <w:rPr>
          <w:rFonts w:hint="eastAsia" w:ascii="宋体" w:hAnsi="宋体"/>
          <w:sz w:val="24"/>
        </w:rPr>
        <w:t>否</w:t>
      </w:r>
    </w:p>
    <w:p w14:paraId="65095C6C">
      <w:pPr>
        <w:pStyle w:val="337"/>
        <w:numPr>
          <w:ilvl w:val="255"/>
          <w:numId w:val="0"/>
        </w:numPr>
        <w:snapToGrid w:val="0"/>
        <w:spacing w:after="0" w:line="360" w:lineRule="auto"/>
        <w:rPr>
          <w:rFonts w:hint="eastAsia" w:ascii="宋体" w:hAnsi="宋体" w:eastAsia="宋体" w:cs="Times New Roman"/>
          <w:kern w:val="2"/>
          <w:sz w:val="24"/>
          <w:szCs w:val="24"/>
        </w:rPr>
      </w:pPr>
      <w:r>
        <w:rPr>
          <w:rFonts w:hint="eastAsia" w:ascii="宋体" w:hAnsi="宋体" w:eastAsia="宋体"/>
          <w:sz w:val="24"/>
          <w:szCs w:val="24"/>
        </w:rPr>
        <w:t xml:space="preserve">          </w:t>
      </w:r>
      <w:r>
        <w:rPr>
          <w:rFonts w:hint="eastAsia" w:ascii="宋体" w:hAnsi="宋体" w:eastAsia="宋体" w:cs="Times New Roman"/>
          <w:kern w:val="2"/>
          <w:sz w:val="24"/>
          <w:szCs w:val="24"/>
        </w:rPr>
        <w:t xml:space="preserve">是否涉及绿色产品： </w:t>
      </w:r>
    </w:p>
    <w:p w14:paraId="332B7839">
      <w:pPr>
        <w:pStyle w:val="337"/>
        <w:spacing w:after="0" w:line="360" w:lineRule="auto"/>
        <w:ind w:firstLine="420" w:firstLineChars="0"/>
        <w:rPr>
          <w:rFonts w:hint="eastAsia" w:ascii="宋体" w:hAnsi="宋体" w:eastAsia="宋体"/>
          <w:sz w:val="24"/>
          <w:szCs w:val="24"/>
          <w:u w:val="single"/>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是，绿色产品政府采购相关政策确定的底级品目名称：</w:t>
      </w:r>
      <w:r>
        <w:rPr>
          <w:rFonts w:hint="eastAsia" w:ascii="宋体" w:hAnsi="宋体" w:eastAsia="宋体"/>
          <w:sz w:val="24"/>
          <w:szCs w:val="24"/>
          <w:u w:val="single"/>
        </w:rPr>
        <w:t xml:space="preserve">         </w:t>
      </w:r>
    </w:p>
    <w:p w14:paraId="25AFE625">
      <w:pPr>
        <w:numPr>
          <w:ilvl w:val="255"/>
          <w:numId w:val="0"/>
        </w:numPr>
        <w:tabs>
          <w:tab w:val="left" w:pos="740"/>
        </w:tabs>
        <w:adjustRightInd w:val="0"/>
        <w:snapToGrid w:val="0"/>
        <w:spacing w:line="360" w:lineRule="auto"/>
        <w:ind w:right="-120"/>
        <w:rPr>
          <w:rFonts w:hint="eastAsia" w:ascii="宋体" w:hAnsi="宋体"/>
          <w:iCs/>
          <w:sz w:val="24"/>
        </w:rPr>
      </w:pPr>
      <w:r>
        <w:rPr>
          <w:rFonts w:hint="eastAsia" w:ascii="宋体" w:hAnsi="宋体"/>
          <w:iCs/>
          <w:sz w:val="24"/>
        </w:rPr>
        <w:t xml:space="preserve">                </w:t>
      </w:r>
      <w:r>
        <w:rPr>
          <w:rFonts w:hint="eastAsia" w:ascii="宋体" w:hAnsi="宋体"/>
          <w:iCs/>
          <w:sz w:val="24"/>
        </w:rPr>
        <w:sym w:font="Wingdings" w:char="00A8"/>
      </w:r>
      <w:r>
        <w:rPr>
          <w:rFonts w:hint="eastAsia" w:ascii="宋体" w:hAnsi="宋体"/>
          <w:iCs/>
          <w:sz w:val="24"/>
        </w:rPr>
        <w:t xml:space="preserve">强制采购       </w:t>
      </w:r>
      <w:r>
        <w:rPr>
          <w:rFonts w:hint="eastAsia" w:ascii="宋体" w:hAnsi="宋体"/>
          <w:iCs/>
          <w:sz w:val="24"/>
        </w:rPr>
        <w:sym w:font="Wingdings" w:char="00A8"/>
      </w:r>
      <w:r>
        <w:rPr>
          <w:rFonts w:hint="eastAsia" w:ascii="宋体" w:hAnsi="宋体"/>
          <w:iCs/>
          <w:sz w:val="24"/>
        </w:rPr>
        <w:t xml:space="preserve">优先采购    </w:t>
      </w:r>
    </w:p>
    <w:p w14:paraId="681CDF33">
      <w:pPr>
        <w:pStyle w:val="337"/>
        <w:spacing w:after="0" w:line="360" w:lineRule="auto"/>
        <w:ind w:firstLine="420" w:firstLineChars="0"/>
        <w:rPr>
          <w:rFonts w:hint="eastAsia" w:ascii="宋体" w:hAnsi="宋体" w:eastAsia="宋体"/>
          <w:sz w:val="24"/>
          <w:szCs w:val="24"/>
        </w:rPr>
      </w:pPr>
      <w:r>
        <w:rPr>
          <w:rFonts w:hint="eastAsia" w:ascii="宋体" w:hAnsi="宋体" w:eastAsia="宋体" w:cs="Times New Roman"/>
          <w:kern w:val="2"/>
          <w:sz w:val="24"/>
          <w:szCs w:val="24"/>
        </w:rPr>
        <w:t xml:space="preserve">     </w:t>
      </w:r>
      <w:r>
        <w:rPr>
          <w:rFonts w:hint="eastAsia" w:ascii="宋体" w:hAnsi="宋体" w:eastAsia="宋体" w:cs="Times New Roman"/>
          <w:kern w:val="2"/>
          <w:sz w:val="24"/>
          <w:szCs w:val="24"/>
        </w:rPr>
        <w:sym w:font="Wingdings" w:char="00A8"/>
      </w:r>
      <w:r>
        <w:rPr>
          <w:rFonts w:hint="eastAsia" w:ascii="宋体" w:hAnsi="宋体" w:eastAsia="宋体" w:cs="Times New Roman"/>
          <w:kern w:val="2"/>
          <w:sz w:val="24"/>
          <w:szCs w:val="24"/>
        </w:rPr>
        <w:t>否</w:t>
      </w:r>
    </w:p>
    <w:p w14:paraId="36AB857D">
      <w:pPr>
        <w:numPr>
          <w:ilvl w:val="255"/>
          <w:numId w:val="0"/>
        </w:numPr>
        <w:adjustRightInd w:val="0"/>
        <w:snapToGrid w:val="0"/>
        <w:spacing w:line="360" w:lineRule="auto"/>
        <w:ind w:right="-120"/>
        <w:rPr>
          <w:rFonts w:hint="eastAsia" w:ascii="宋体" w:hAnsi="宋体"/>
          <w:sz w:val="24"/>
        </w:rPr>
      </w:pPr>
      <w:r>
        <w:rPr>
          <w:rFonts w:hint="eastAsia" w:ascii="宋体" w:hAnsi="宋体"/>
          <w:sz w:val="24"/>
        </w:rPr>
        <w:t xml:space="preserve">    （1</w:t>
      </w:r>
      <w:r>
        <w:rPr>
          <w:rFonts w:ascii="宋体" w:hAnsi="宋体"/>
          <w:sz w:val="24"/>
          <w:lang w:val="en"/>
        </w:rPr>
        <w:t>1</w:t>
      </w:r>
      <w:r>
        <w:rPr>
          <w:rFonts w:hint="eastAsia" w:ascii="宋体" w:hAnsi="宋体"/>
          <w:sz w:val="24"/>
        </w:rPr>
        <w:t>）涉及商品包装和快递包装的，是否参考《商品包装政府采购需求标准（试行）》、《快递包装政府采购需求标准（试行）》明确产品及相关快递服务的具体包装要求：</w:t>
      </w:r>
    </w:p>
    <w:p w14:paraId="6D2CDDB4">
      <w:pPr>
        <w:numPr>
          <w:ilvl w:val="255"/>
          <w:numId w:val="0"/>
        </w:numPr>
        <w:adjustRightInd w:val="0"/>
        <w:snapToGrid w:val="0"/>
        <w:spacing w:line="360" w:lineRule="auto"/>
        <w:ind w:right="-120" w:firstLine="960" w:firstLineChars="400"/>
        <w:rPr>
          <w:rFonts w:hint="eastAsia" w:ascii="宋体" w:hAnsi="宋体"/>
          <w:sz w:val="24"/>
        </w:rPr>
      </w:pPr>
      <w:r>
        <w:rPr>
          <w:rFonts w:hint="eastAsia" w:ascii="宋体" w:hAnsi="宋体"/>
          <w:sz w:val="24"/>
        </w:rPr>
        <w:sym w:font="Wingdings" w:char="00A8"/>
      </w:r>
      <w:r>
        <w:rPr>
          <w:rFonts w:hint="eastAsia" w:ascii="宋体" w:hAnsi="宋体"/>
          <w:sz w:val="24"/>
        </w:rPr>
        <w:t xml:space="preserve">是       </w:t>
      </w:r>
      <w:r>
        <w:rPr>
          <w:rFonts w:hint="eastAsia" w:ascii="宋体" w:hAnsi="宋体"/>
          <w:sz w:val="24"/>
        </w:rPr>
        <w:sym w:font="Wingdings" w:char="00A8"/>
      </w:r>
      <w:r>
        <w:rPr>
          <w:rFonts w:hint="eastAsia" w:ascii="宋体" w:hAnsi="宋体"/>
          <w:sz w:val="24"/>
        </w:rPr>
        <w:t xml:space="preserve">否      </w:t>
      </w:r>
      <w:r>
        <w:rPr>
          <w:rFonts w:hint="eastAsia" w:ascii="宋体" w:hAnsi="宋体" w:cstheme="minorEastAsia"/>
          <w:sz w:val="24"/>
        </w:rPr>
        <w:t>■</w:t>
      </w:r>
      <w:r>
        <w:rPr>
          <w:rFonts w:hint="eastAsia" w:ascii="宋体" w:hAnsi="宋体"/>
          <w:sz w:val="24"/>
        </w:rPr>
        <w:t>不涉及</w:t>
      </w:r>
    </w:p>
    <w:p w14:paraId="6D4245AA">
      <w:pPr>
        <w:numPr>
          <w:ilvl w:val="0"/>
          <w:numId w:val="8"/>
        </w:numPr>
        <w:adjustRightInd w:val="0"/>
        <w:snapToGrid w:val="0"/>
        <w:spacing w:line="360" w:lineRule="auto"/>
        <w:ind w:left="-120" w:right="-120" w:firstLine="482" w:firstLineChars="200"/>
        <w:rPr>
          <w:rFonts w:hint="eastAsia" w:ascii="宋体" w:hAnsi="宋体"/>
          <w:b/>
          <w:sz w:val="24"/>
        </w:rPr>
      </w:pPr>
      <w:r>
        <w:rPr>
          <w:rFonts w:hint="eastAsia" w:ascii="宋体" w:hAnsi="宋体"/>
          <w:b/>
          <w:sz w:val="24"/>
        </w:rPr>
        <w:t>合同金额</w:t>
      </w:r>
    </w:p>
    <w:p w14:paraId="22776D97">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（1）合同金额小写：</w:t>
      </w:r>
      <w:r>
        <w:rPr>
          <w:rFonts w:hint="eastAsia" w:ascii="宋体" w:hAnsi="宋体"/>
          <w:sz w:val="24"/>
          <w:u w:val="single"/>
        </w:rPr>
        <w:t xml:space="preserve">                           </w:t>
      </w:r>
    </w:p>
    <w:p w14:paraId="5AB403CF">
      <w:pPr>
        <w:adjustRightInd w:val="0"/>
        <w:snapToGrid w:val="0"/>
        <w:spacing w:line="360" w:lineRule="auto"/>
        <w:ind w:left="-120" w:right="-120"/>
        <w:rPr>
          <w:rFonts w:hint="eastAsia"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470300C1">
      <w:pPr>
        <w:adjustRightInd w:val="0"/>
        <w:snapToGrid w:val="0"/>
        <w:spacing w:line="360" w:lineRule="auto"/>
        <w:ind w:left="-120" w:right="-120"/>
        <w:rPr>
          <w:rFonts w:hint="eastAsia" w:ascii="宋体" w:hAnsi="宋体"/>
          <w:sz w:val="24"/>
        </w:rPr>
      </w:pPr>
      <w:r>
        <w:rPr>
          <w:rFonts w:hint="eastAsia" w:ascii="宋体" w:hAnsi="宋体"/>
          <w:sz w:val="24"/>
        </w:rPr>
        <w:t xml:space="preserve">         分包金额（如有）小写：</w:t>
      </w:r>
      <w:r>
        <w:rPr>
          <w:rFonts w:hint="eastAsia" w:ascii="宋体" w:hAnsi="宋体"/>
          <w:sz w:val="24"/>
          <w:u w:val="single"/>
        </w:rPr>
        <w:t xml:space="preserve">                   </w:t>
      </w:r>
    </w:p>
    <w:p w14:paraId="5940BCCF">
      <w:pPr>
        <w:adjustRightInd w:val="0"/>
        <w:snapToGrid w:val="0"/>
        <w:spacing w:line="360" w:lineRule="auto"/>
        <w:ind w:left="-120" w:right="-120"/>
        <w:rPr>
          <w:rFonts w:hint="eastAsia" w:ascii="宋体" w:hAnsi="宋体"/>
          <w:sz w:val="24"/>
          <w:u w:val="single"/>
        </w:rPr>
      </w:pPr>
      <w:r>
        <w:rPr>
          <w:rFonts w:hint="eastAsia" w:ascii="宋体" w:hAnsi="宋体"/>
          <w:sz w:val="24"/>
        </w:rPr>
        <w:t xml:space="preserve">                         大写：</w:t>
      </w:r>
      <w:r>
        <w:rPr>
          <w:rFonts w:hint="eastAsia" w:ascii="宋体" w:hAnsi="宋体"/>
          <w:sz w:val="24"/>
          <w:u w:val="single"/>
        </w:rPr>
        <w:t xml:space="preserve">                       </w:t>
      </w:r>
    </w:p>
    <w:p w14:paraId="23984318">
      <w:pPr>
        <w:adjustRightInd w:val="0"/>
        <w:snapToGrid w:val="0"/>
        <w:spacing w:line="360" w:lineRule="auto"/>
        <w:ind w:left="-120" w:right="-120"/>
        <w:rPr>
          <w:rFonts w:hint="eastAsia" w:ascii="宋体" w:hAnsi="宋体"/>
          <w:sz w:val="24"/>
        </w:rPr>
      </w:pPr>
      <w:r>
        <w:rPr>
          <w:rFonts w:hint="eastAsia" w:ascii="宋体" w:hAnsi="宋体"/>
          <w:sz w:val="24"/>
        </w:rPr>
        <w:t xml:space="preserve">    （注：固定单价合同应填写单价和最高限价）</w:t>
      </w:r>
    </w:p>
    <w:p w14:paraId="2352A6CB">
      <w:pPr>
        <w:numPr>
          <w:ilvl w:val="255"/>
          <w:numId w:val="0"/>
        </w:numPr>
        <w:adjustRightInd w:val="0"/>
        <w:snapToGrid w:val="0"/>
        <w:spacing w:line="360" w:lineRule="auto"/>
        <w:ind w:right="-120"/>
        <w:rPr>
          <w:rFonts w:hint="eastAsia" w:ascii="宋体" w:hAnsi="宋体"/>
          <w:sz w:val="24"/>
        </w:rPr>
      </w:pPr>
      <w:r>
        <w:rPr>
          <w:rFonts w:hint="eastAsia" w:ascii="宋体" w:hAnsi="宋体"/>
          <w:sz w:val="24"/>
        </w:rPr>
        <w:t xml:space="preserve">    （2）合同定价方式（采用组合定价方式的，可以勾选多项）：</w:t>
      </w:r>
    </w:p>
    <w:p w14:paraId="34D580A1">
      <w:pPr>
        <w:adjustRightInd w:val="0"/>
        <w:snapToGrid w:val="0"/>
        <w:spacing w:line="360" w:lineRule="auto"/>
        <w:ind w:left="-120" w:right="-120" w:firstLine="480" w:firstLineChars="200"/>
        <w:rPr>
          <w:rFonts w:hint="eastAsia" w:ascii="宋体" w:hAnsi="宋体"/>
          <w:sz w:val="24"/>
        </w:rPr>
      </w:pPr>
      <w:r>
        <w:rPr>
          <w:rFonts w:hint="eastAsia" w:ascii="宋体" w:hAnsi="宋体"/>
          <w:iCs/>
          <w:sz w:val="24"/>
        </w:rPr>
        <w:t xml:space="preserve">  ■固定总价 </w:t>
      </w:r>
      <w:r>
        <w:rPr>
          <w:rFonts w:hint="eastAsia" w:ascii="宋体" w:hAnsi="宋体"/>
          <w:iCs/>
          <w:sz w:val="24"/>
        </w:rPr>
        <w:sym w:font="Wingdings" w:char="00A8"/>
      </w:r>
      <w:r>
        <w:rPr>
          <w:rFonts w:hint="eastAsia" w:ascii="宋体" w:hAnsi="宋体"/>
          <w:iCs/>
          <w:sz w:val="24"/>
        </w:rPr>
        <w:t xml:space="preserve">固定单价 </w:t>
      </w:r>
      <w:r>
        <w:rPr>
          <w:rFonts w:hint="eastAsia" w:ascii="宋体" w:hAnsi="宋体"/>
          <w:iCs/>
          <w:sz w:val="24"/>
        </w:rPr>
        <w:sym w:font="Wingdings" w:char="00A8"/>
      </w:r>
      <w:r>
        <w:rPr>
          <w:rFonts w:hint="eastAsia" w:ascii="宋体" w:hAnsi="宋体"/>
          <w:iCs/>
          <w:sz w:val="24"/>
        </w:rPr>
        <w:t xml:space="preserve">固定费率 </w:t>
      </w:r>
      <w:r>
        <w:rPr>
          <w:rFonts w:hint="eastAsia" w:ascii="宋体" w:hAnsi="宋体"/>
          <w:iCs/>
          <w:sz w:val="24"/>
        </w:rPr>
        <w:sym w:font="Wingdings" w:char="00A8"/>
      </w:r>
      <w:r>
        <w:rPr>
          <w:rFonts w:hint="eastAsia" w:ascii="宋体" w:hAnsi="宋体"/>
          <w:iCs/>
          <w:sz w:val="24"/>
        </w:rPr>
        <w:t xml:space="preserve">成本补偿 </w:t>
      </w:r>
      <w:r>
        <w:rPr>
          <w:rFonts w:hint="eastAsia" w:ascii="宋体" w:hAnsi="宋体"/>
          <w:iCs/>
          <w:sz w:val="24"/>
        </w:rPr>
        <w:sym w:font="Wingdings" w:char="00A8"/>
      </w:r>
      <w:r>
        <w:rPr>
          <w:rFonts w:hint="eastAsia" w:ascii="宋体" w:hAnsi="宋体"/>
          <w:iCs/>
          <w:sz w:val="24"/>
        </w:rPr>
        <w:t xml:space="preserve">绩效激励 </w:t>
      </w:r>
      <w:r>
        <w:rPr>
          <w:rFonts w:hint="eastAsia" w:ascii="宋体" w:hAnsi="宋体"/>
          <w:iCs/>
          <w:sz w:val="24"/>
        </w:rPr>
        <w:sym w:font="Wingdings" w:char="00A8"/>
      </w:r>
      <w:r>
        <w:rPr>
          <w:rFonts w:hint="eastAsia" w:ascii="宋体" w:hAnsi="宋体"/>
          <w:iCs/>
          <w:sz w:val="24"/>
        </w:rPr>
        <w:t>其他</w:t>
      </w:r>
      <w:r>
        <w:rPr>
          <w:rFonts w:hint="eastAsia" w:ascii="宋体" w:hAnsi="宋体"/>
          <w:sz w:val="24"/>
          <w:u w:val="single"/>
        </w:rPr>
        <w:t xml:space="preserve">       </w:t>
      </w:r>
    </w:p>
    <w:p w14:paraId="7DB473E1">
      <w:pPr>
        <w:pStyle w:val="193"/>
        <w:spacing w:line="360" w:lineRule="auto"/>
        <w:ind w:left="-120" w:right="-120" w:firstLine="480"/>
        <w:rPr>
          <w:rFonts w:hint="eastAsia" w:ascii="宋体" w:hAnsi="宋体"/>
          <w:sz w:val="24"/>
          <w:szCs w:val="24"/>
        </w:rPr>
      </w:pPr>
      <w:r>
        <w:rPr>
          <w:rFonts w:hint="eastAsia" w:ascii="宋体" w:hAnsi="宋体"/>
          <w:sz w:val="24"/>
          <w:szCs w:val="24"/>
        </w:rPr>
        <w:t>（3）付款方式（按项目实际勾选填写）：</w:t>
      </w:r>
    </w:p>
    <w:p w14:paraId="0A562906">
      <w:pPr>
        <w:adjustRightInd w:val="0"/>
        <w:snapToGrid w:val="0"/>
        <w:spacing w:line="360" w:lineRule="auto"/>
        <w:ind w:left="-120" w:right="-120" w:firstLine="720" w:firstLineChars="300"/>
        <w:rPr>
          <w:rFonts w:hint="eastAsia" w:ascii="宋体" w:hAnsi="宋体"/>
          <w:sz w:val="24"/>
        </w:rPr>
      </w:pPr>
      <w:bookmarkStart w:id="773" w:name="OLE_LINK18"/>
      <w:bookmarkStart w:id="774" w:name="OLE_LINK17"/>
      <w:r>
        <w:rPr>
          <w:rFonts w:hint="eastAsia" w:ascii="宋体" w:hAnsi="宋体" w:cstheme="minorEastAsia"/>
          <w:sz w:val="24"/>
        </w:rPr>
        <w:t>■</w:t>
      </w:r>
      <w:bookmarkEnd w:id="773"/>
      <w:bookmarkEnd w:id="774"/>
      <w:r>
        <w:rPr>
          <w:rFonts w:hint="eastAsia" w:ascii="宋体" w:hAnsi="宋体"/>
          <w:sz w:val="24"/>
        </w:rPr>
        <w:t>第一类：</w:t>
      </w:r>
    </w:p>
    <w:p w14:paraId="6E046AE4">
      <w:pPr>
        <w:adjustRightInd w:val="0"/>
        <w:snapToGrid w:val="0"/>
        <w:spacing w:line="360" w:lineRule="auto"/>
        <w:ind w:left="-120" w:right="-120" w:firstLine="720" w:firstLineChars="300"/>
        <w:rPr>
          <w:rFonts w:hint="eastAsia" w:ascii="宋体" w:hAnsi="宋体" w:cs="宋体"/>
          <w:sz w:val="24"/>
        </w:rPr>
      </w:pPr>
      <w:r>
        <w:rPr>
          <w:rFonts w:hint="eastAsia" w:ascii="宋体" w:hAnsi="宋体" w:cs="宋体"/>
          <w:sz w:val="24"/>
        </w:rPr>
        <w:t>合同签订后10日内买方支付给卖方合同金额60%的首付款，项目完成且验收合格后，买方向卖方支付合同金额40%尾款。同时卖方按国家有关财税规定为买方开具等额发票。</w:t>
      </w:r>
    </w:p>
    <w:p w14:paraId="3A858D1D">
      <w:pPr>
        <w:snapToGrid w:val="0"/>
        <w:spacing w:line="360" w:lineRule="auto"/>
        <w:ind w:left="-120" w:right="-120" w:firstLine="720" w:firstLineChars="300"/>
        <w:rPr>
          <w:rFonts w:hint="eastAsia" w:ascii="宋体" w:hAnsi="宋体"/>
          <w:sz w:val="24"/>
        </w:rPr>
      </w:pPr>
      <w:r>
        <w:rPr>
          <w:rFonts w:hint="eastAsia" w:ascii="宋体" w:hAnsi="宋体"/>
          <w:sz w:val="24"/>
        </w:rPr>
        <w:sym w:font="Wingdings" w:char="00A8"/>
      </w:r>
      <w:r>
        <w:rPr>
          <w:rFonts w:hint="eastAsia" w:ascii="宋体" w:hAnsi="宋体"/>
          <w:sz w:val="24"/>
        </w:rPr>
        <w:t>第二类：</w:t>
      </w:r>
    </w:p>
    <w:p w14:paraId="308354BF">
      <w:pPr>
        <w:snapToGrid w:val="0"/>
        <w:spacing w:line="360" w:lineRule="auto"/>
        <w:ind w:left="-120" w:right="-120" w:firstLine="720" w:firstLineChars="300"/>
        <w:rPr>
          <w:rFonts w:hint="eastAsia" w:ascii="宋体" w:hAnsi="宋体"/>
          <w:sz w:val="24"/>
        </w:rPr>
      </w:pPr>
      <w:r>
        <w:rPr>
          <w:rFonts w:hint="eastAsia" w:ascii="宋体" w:hAnsi="宋体"/>
          <w:sz w:val="24"/>
          <w:u w:val="single"/>
        </w:rPr>
        <w:t>在本合同规定的货物及相关服务交付并验收合格后的7个工作日内，甲方向乙方支付本合同总价款的100%，即人民币         元。</w:t>
      </w:r>
    </w:p>
    <w:p w14:paraId="3956FA9B">
      <w:pPr>
        <w:numPr>
          <w:ilvl w:val="0"/>
          <w:numId w:val="8"/>
        </w:numPr>
        <w:adjustRightInd w:val="0"/>
        <w:snapToGrid w:val="0"/>
        <w:spacing w:line="360" w:lineRule="auto"/>
        <w:ind w:left="-120" w:right="-120" w:firstLine="482" w:firstLineChars="200"/>
        <w:rPr>
          <w:rFonts w:hint="eastAsia" w:ascii="宋体" w:hAnsi="宋体"/>
          <w:b/>
          <w:sz w:val="24"/>
          <w:u w:val="single"/>
        </w:rPr>
      </w:pPr>
      <w:r>
        <w:rPr>
          <w:rFonts w:hint="eastAsia" w:ascii="宋体" w:hAnsi="宋体"/>
          <w:b/>
          <w:sz w:val="24"/>
        </w:rPr>
        <w:t>合同履行</w:t>
      </w:r>
    </w:p>
    <w:p w14:paraId="58D8D044">
      <w:pPr>
        <w:adjustRightInd w:val="0"/>
        <w:snapToGrid w:val="0"/>
        <w:spacing w:line="360" w:lineRule="auto"/>
        <w:ind w:left="-120" w:right="-120" w:firstLine="480" w:firstLineChars="200"/>
        <w:rPr>
          <w:rFonts w:hint="eastAsia" w:ascii="宋体" w:hAnsi="宋体" w:cs="宋体"/>
          <w:sz w:val="24"/>
        </w:rPr>
      </w:pPr>
      <w:r>
        <w:rPr>
          <w:rFonts w:hint="eastAsia" w:ascii="宋体" w:hAnsi="宋体" w:cs="宋体"/>
          <w:sz w:val="24"/>
        </w:rPr>
        <w:t>（1）起始日期：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日，完成日期：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14:paraId="10BAB73E">
      <w:pPr>
        <w:adjustRightInd w:val="0"/>
        <w:snapToGrid w:val="0"/>
        <w:spacing w:line="360" w:lineRule="auto"/>
        <w:ind w:left="-120" w:right="-120" w:firstLine="480" w:firstLineChars="200"/>
        <w:rPr>
          <w:rFonts w:hint="eastAsia" w:ascii="宋体" w:hAnsi="宋体" w:cs="宋体"/>
          <w:sz w:val="24"/>
          <w:u w:val="single"/>
        </w:rPr>
      </w:pPr>
      <w:r>
        <w:rPr>
          <w:rFonts w:hint="eastAsia" w:ascii="宋体" w:hAnsi="宋体" w:cs="宋体"/>
          <w:sz w:val="24"/>
        </w:rPr>
        <w:t>（2）履约地点</w:t>
      </w:r>
      <w:r>
        <w:rPr>
          <w:rFonts w:hint="eastAsia" w:ascii="宋体" w:hAnsi="宋体" w:cs="宋体"/>
          <w:bCs/>
          <w:sz w:val="24"/>
        </w:rPr>
        <w:t>：</w:t>
      </w:r>
      <w:r>
        <w:rPr>
          <w:rFonts w:hint="eastAsia" w:ascii="宋体" w:hAnsi="宋体" w:cs="宋体"/>
          <w:sz w:val="24"/>
          <w:u w:val="single"/>
        </w:rPr>
        <w:t xml:space="preserve">                             </w:t>
      </w:r>
    </w:p>
    <w:p w14:paraId="661486A2">
      <w:pPr>
        <w:adjustRightInd w:val="0"/>
        <w:snapToGrid w:val="0"/>
        <w:spacing w:line="360" w:lineRule="auto"/>
        <w:ind w:left="-120" w:right="-120" w:firstLine="480" w:firstLineChars="200"/>
        <w:rPr>
          <w:rFonts w:hint="eastAsia" w:ascii="宋体" w:hAnsi="宋体" w:cs="宋体"/>
          <w:sz w:val="24"/>
        </w:rPr>
      </w:pPr>
      <w:r>
        <w:rPr>
          <w:rFonts w:hint="eastAsia" w:ascii="宋体" w:hAnsi="宋体" w:cs="宋体"/>
          <w:bCs/>
          <w:sz w:val="24"/>
        </w:rPr>
        <w:t>（3）履约担保：</w:t>
      </w:r>
      <w:r>
        <w:rPr>
          <w:rFonts w:hint="eastAsia" w:ascii="宋体" w:hAnsi="宋体" w:cs="宋体"/>
          <w:sz w:val="24"/>
        </w:rPr>
        <w:t xml:space="preserve">是否收取履约保证金：■是    </w:t>
      </w:r>
      <w:r>
        <w:rPr>
          <w:rFonts w:hint="eastAsia" w:ascii="宋体" w:hAnsi="宋体" w:cs="宋体"/>
          <w:sz w:val="24"/>
        </w:rPr>
        <w:sym w:font="Wingdings" w:char="00A8"/>
      </w:r>
      <w:r>
        <w:rPr>
          <w:rFonts w:hint="eastAsia" w:ascii="宋体" w:hAnsi="宋体" w:cs="宋体"/>
          <w:sz w:val="24"/>
        </w:rPr>
        <w:t>否（根据合同约定的付款方式进行选择）</w:t>
      </w:r>
    </w:p>
    <w:p w14:paraId="3C7DEF23">
      <w:pPr>
        <w:pStyle w:val="337"/>
        <w:spacing w:after="0" w:line="360" w:lineRule="auto"/>
        <w:ind w:firstLine="480"/>
        <w:rPr>
          <w:rFonts w:hint="eastAsia" w:ascii="宋体" w:hAnsi="宋体" w:eastAsia="宋体" w:cs="宋体"/>
          <w:bCs/>
          <w:sz w:val="24"/>
          <w:szCs w:val="24"/>
          <w:u w:val="single"/>
        </w:rPr>
      </w:pPr>
      <w:r>
        <w:rPr>
          <w:rFonts w:hint="eastAsia" w:ascii="宋体" w:hAnsi="宋体" w:eastAsia="宋体" w:cs="宋体"/>
          <w:bCs/>
          <w:sz w:val="24"/>
          <w:szCs w:val="24"/>
        </w:rPr>
        <w:t xml:space="preserve">  </w:t>
      </w:r>
      <w:r>
        <w:rPr>
          <w:rFonts w:hint="eastAsia" w:ascii="宋体" w:hAnsi="宋体" w:eastAsia="宋体" w:cs="宋体"/>
          <w:sz w:val="24"/>
          <w:szCs w:val="24"/>
        </w:rPr>
        <w:t xml:space="preserve">  收取履约保证金形式： </w:t>
      </w:r>
      <w:r>
        <w:rPr>
          <w:rFonts w:ascii="宋体" w:hAnsi="宋体" w:eastAsia="宋体" w:cs="宋体"/>
          <w:sz w:val="24"/>
          <w:szCs w:val="24"/>
          <w:u w:val="single"/>
        </w:rPr>
        <w:t xml:space="preserve">          </w:t>
      </w:r>
      <w:r>
        <w:rPr>
          <w:rFonts w:hint="eastAsia" w:ascii="宋体" w:hAnsi="宋体" w:eastAsia="宋体" w:cs="宋体"/>
          <w:sz w:val="24"/>
          <w:szCs w:val="24"/>
          <w:u w:val="single"/>
        </w:rPr>
        <w:t>电汇</w:t>
      </w:r>
      <w:r>
        <w:rPr>
          <w:rFonts w:ascii="宋体" w:hAnsi="宋体" w:eastAsia="宋体" w:cs="宋体"/>
          <w:sz w:val="24"/>
          <w:szCs w:val="24"/>
          <w:u w:val="single"/>
        </w:rPr>
        <w:t xml:space="preserve">            </w:t>
      </w:r>
    </w:p>
    <w:p w14:paraId="464BD5F9">
      <w:pPr>
        <w:pStyle w:val="337"/>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 xml:space="preserve">    收取履约保证金金额：</w:t>
      </w:r>
      <w:r>
        <w:rPr>
          <w:rFonts w:hint="eastAsia" w:ascii="宋体" w:hAnsi="宋体" w:eastAsia="宋体" w:cs="宋体"/>
          <w:bCs/>
          <w:sz w:val="24"/>
          <w:szCs w:val="24"/>
          <w:u w:val="single"/>
        </w:rPr>
        <w:t xml:space="preserve">        合同签订后5个工作日内向甲方支付合同金额的5%的履约保证金                    </w:t>
      </w:r>
    </w:p>
    <w:p w14:paraId="665C9D80">
      <w:pPr>
        <w:snapToGrid w:val="0"/>
        <w:spacing w:line="360" w:lineRule="auto"/>
        <w:ind w:left="-120" w:right="-120" w:firstLine="480" w:firstLineChars="200"/>
        <w:rPr>
          <w:rFonts w:hint="eastAsia" w:ascii="宋体" w:hAnsi="宋体" w:cs="宋体"/>
          <w:sz w:val="24"/>
        </w:rPr>
      </w:pPr>
      <w:r>
        <w:rPr>
          <w:rFonts w:hint="eastAsia" w:ascii="宋体" w:hAnsi="宋体" w:cs="宋体"/>
          <w:bCs/>
          <w:sz w:val="24"/>
        </w:rPr>
        <w:t xml:space="preserve">    履约担保期限：</w:t>
      </w:r>
      <w:r>
        <w:rPr>
          <w:rFonts w:ascii="宋体" w:hAnsi="宋体" w:cs="宋体"/>
          <w:bCs/>
          <w:sz w:val="24"/>
          <w:u w:val="single"/>
        </w:rPr>
        <w:t xml:space="preserve"> /          </w:t>
      </w:r>
    </w:p>
    <w:p w14:paraId="0A1334DC">
      <w:pPr>
        <w:adjustRightInd w:val="0"/>
        <w:snapToGrid w:val="0"/>
        <w:spacing w:line="360" w:lineRule="auto"/>
        <w:ind w:left="-120" w:right="-120" w:firstLine="480" w:firstLineChars="200"/>
        <w:rPr>
          <w:rFonts w:hint="eastAsia" w:ascii="宋体" w:hAnsi="宋体" w:cs="宋体"/>
          <w:bCs/>
          <w:sz w:val="24"/>
        </w:rPr>
      </w:pPr>
      <w:r>
        <w:rPr>
          <w:rFonts w:hint="eastAsia" w:ascii="宋体" w:hAnsi="宋体" w:cs="宋体"/>
          <w:bCs/>
          <w:sz w:val="24"/>
        </w:rPr>
        <w:t>（4）分期履行要求：</w:t>
      </w:r>
      <w:r>
        <w:rPr>
          <w:rFonts w:hint="eastAsia" w:ascii="宋体" w:hAnsi="宋体" w:cs="宋体"/>
          <w:bCs/>
          <w:sz w:val="24"/>
          <w:u w:val="single"/>
        </w:rPr>
        <w:t xml:space="preserve">                                 </w:t>
      </w:r>
    </w:p>
    <w:p w14:paraId="1DDF8AFB">
      <w:pPr>
        <w:adjustRightInd w:val="0"/>
        <w:snapToGrid w:val="0"/>
        <w:spacing w:line="360" w:lineRule="auto"/>
        <w:ind w:left="-120" w:right="-120" w:firstLine="480" w:firstLineChars="200"/>
        <w:rPr>
          <w:rFonts w:hint="eastAsia" w:ascii="宋体" w:hAnsi="宋体" w:cs="宋体"/>
          <w:sz w:val="24"/>
          <w:u w:val="single"/>
        </w:rPr>
      </w:pPr>
      <w:r>
        <w:rPr>
          <w:rFonts w:hint="eastAsia" w:ascii="宋体" w:hAnsi="宋体" w:cs="宋体"/>
          <w:bCs/>
          <w:sz w:val="24"/>
        </w:rPr>
        <w:t>（5）风险处置措施和替代方案：</w:t>
      </w:r>
      <w:r>
        <w:rPr>
          <w:rFonts w:hint="eastAsia" w:ascii="宋体" w:hAnsi="宋体" w:cs="宋体"/>
          <w:sz w:val="24"/>
          <w:u w:val="single"/>
        </w:rPr>
        <w:t xml:space="preserve">                       </w:t>
      </w:r>
    </w:p>
    <w:p w14:paraId="23E3755C">
      <w:pPr>
        <w:numPr>
          <w:ilvl w:val="0"/>
          <w:numId w:val="8"/>
        </w:numPr>
        <w:adjustRightInd w:val="0"/>
        <w:snapToGrid w:val="0"/>
        <w:spacing w:line="360" w:lineRule="auto"/>
        <w:ind w:left="-120" w:right="-120" w:firstLine="482" w:firstLineChars="200"/>
        <w:rPr>
          <w:rFonts w:hint="eastAsia" w:ascii="宋体" w:hAnsi="宋体"/>
          <w:b/>
          <w:sz w:val="24"/>
        </w:rPr>
      </w:pPr>
      <w:r>
        <w:rPr>
          <w:rFonts w:hint="eastAsia" w:ascii="宋体" w:hAnsi="宋体"/>
          <w:b/>
          <w:sz w:val="24"/>
        </w:rPr>
        <w:t>合同验收</w:t>
      </w:r>
    </w:p>
    <w:p w14:paraId="681A0A69">
      <w:pPr>
        <w:numPr>
          <w:ilvl w:val="0"/>
          <w:numId w:val="9"/>
        </w:numPr>
        <w:adjustRightInd w:val="0"/>
        <w:snapToGrid w:val="0"/>
        <w:spacing w:line="360" w:lineRule="auto"/>
        <w:ind w:left="-120" w:right="-120" w:firstLine="480" w:firstLineChars="200"/>
        <w:rPr>
          <w:rFonts w:hint="eastAsia" w:ascii="宋体" w:hAnsi="宋体"/>
          <w:bCs/>
          <w:sz w:val="24"/>
        </w:rPr>
      </w:pPr>
      <w:r>
        <w:rPr>
          <w:rFonts w:hint="eastAsia" w:ascii="宋体" w:hAnsi="宋体"/>
          <w:bCs/>
          <w:sz w:val="24"/>
        </w:rPr>
        <w:t>验收组织方式：</w:t>
      </w:r>
      <w:r>
        <w:rPr>
          <w:rFonts w:hint="eastAsia" w:ascii="宋体" w:hAnsi="宋体" w:cstheme="minorEastAsia"/>
          <w:sz w:val="24"/>
        </w:rPr>
        <w:t>■</w:t>
      </w:r>
      <w:r>
        <w:rPr>
          <w:rFonts w:hint="eastAsia" w:ascii="宋体" w:hAnsi="宋体"/>
          <w:bCs/>
          <w:sz w:val="24"/>
        </w:rPr>
        <w:t xml:space="preserve">自行组织 </w:t>
      </w:r>
      <w:r>
        <w:rPr>
          <w:rFonts w:hint="eastAsia" w:ascii="宋体" w:hAnsi="宋体" w:cs="宋体"/>
          <w:sz w:val="24"/>
        </w:rPr>
        <w:sym w:font="Wingdings" w:char="00A8"/>
      </w:r>
      <w:r>
        <w:rPr>
          <w:rFonts w:hint="eastAsia" w:ascii="宋体" w:hAnsi="宋体"/>
          <w:bCs/>
          <w:sz w:val="24"/>
        </w:rPr>
        <w:t>委托第三方组织</w:t>
      </w:r>
    </w:p>
    <w:p w14:paraId="4A0E3CA1">
      <w:pPr>
        <w:adjustRightInd w:val="0"/>
        <w:snapToGrid w:val="0"/>
        <w:spacing w:line="360" w:lineRule="auto"/>
        <w:ind w:left="-120" w:right="-120"/>
        <w:rPr>
          <w:rFonts w:hint="eastAsia" w:ascii="宋体" w:hAnsi="宋体"/>
          <w:bCs/>
          <w:sz w:val="24"/>
        </w:rPr>
      </w:pPr>
      <w:r>
        <w:rPr>
          <w:rFonts w:hint="eastAsia" w:ascii="宋体" w:hAnsi="宋体"/>
          <w:bCs/>
          <w:sz w:val="24"/>
        </w:rPr>
        <w:t xml:space="preserve">         验收主体：</w:t>
      </w:r>
      <w:r>
        <w:rPr>
          <w:rFonts w:hint="eastAsia" w:ascii="宋体" w:hAnsi="宋体"/>
          <w:bCs/>
          <w:sz w:val="24"/>
          <w:u w:val="single"/>
        </w:rPr>
        <w:t xml:space="preserve">                                     </w:t>
      </w:r>
      <w:r>
        <w:rPr>
          <w:rFonts w:hint="eastAsia" w:ascii="宋体" w:hAnsi="宋体"/>
          <w:bCs/>
          <w:sz w:val="24"/>
        </w:rPr>
        <w:t xml:space="preserve">                </w:t>
      </w:r>
    </w:p>
    <w:p w14:paraId="1F38C834">
      <w:pPr>
        <w:adjustRightInd w:val="0"/>
        <w:snapToGrid w:val="0"/>
        <w:spacing w:line="360" w:lineRule="auto"/>
        <w:ind w:left="-120" w:right="-120"/>
        <w:rPr>
          <w:rFonts w:hint="eastAsia" w:ascii="宋体" w:hAnsi="宋体"/>
          <w:bCs/>
          <w:sz w:val="24"/>
        </w:rPr>
      </w:pPr>
      <w:r>
        <w:rPr>
          <w:rFonts w:hint="eastAsia" w:ascii="宋体" w:hAnsi="宋体"/>
          <w:bCs/>
          <w:sz w:val="24"/>
        </w:rPr>
        <w:t xml:space="preserve">        是否邀请本项目的其他供应商参加验收：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否（仪器设备单价大于等于10万的，需用户单位组织验收并填写验收报告）</w:t>
      </w:r>
    </w:p>
    <w:p w14:paraId="606532F4">
      <w:pPr>
        <w:adjustRightInd w:val="0"/>
        <w:snapToGrid w:val="0"/>
        <w:spacing w:line="360" w:lineRule="auto"/>
        <w:ind w:left="-120" w:right="-120" w:firstLine="960" w:firstLineChars="400"/>
        <w:rPr>
          <w:rFonts w:hint="eastAsia" w:ascii="宋体" w:hAnsi="宋体"/>
          <w:bCs/>
          <w:sz w:val="24"/>
        </w:rPr>
      </w:pPr>
      <w:r>
        <w:rPr>
          <w:rFonts w:hint="eastAsia" w:ascii="宋体" w:hAnsi="宋体"/>
          <w:bCs/>
          <w:sz w:val="24"/>
        </w:rPr>
        <w:t>是否邀请专家参加验收：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宋体"/>
          <w:sz w:val="24"/>
        </w:rPr>
        <w:sym w:font="Wingdings" w:char="00A8"/>
      </w:r>
      <w:r>
        <w:rPr>
          <w:rFonts w:hint="eastAsia" w:ascii="宋体" w:hAnsi="宋体"/>
          <w:bCs/>
          <w:sz w:val="24"/>
        </w:rPr>
        <w:t>否（仪器设备单价大于等于10万的，需用户单位组织验收并填写验收报告）</w:t>
      </w:r>
    </w:p>
    <w:p w14:paraId="2560A018">
      <w:pPr>
        <w:adjustRightInd w:val="0"/>
        <w:snapToGrid w:val="0"/>
        <w:spacing w:line="360" w:lineRule="auto"/>
        <w:ind w:left="-120" w:right="-120" w:firstLine="960" w:firstLineChars="400"/>
        <w:rPr>
          <w:rFonts w:hint="eastAsia" w:ascii="宋体" w:hAnsi="宋体"/>
          <w:bCs/>
          <w:sz w:val="24"/>
        </w:rPr>
      </w:pPr>
      <w:r>
        <w:rPr>
          <w:rFonts w:hint="eastAsia" w:ascii="宋体" w:hAnsi="宋体"/>
          <w:bCs/>
          <w:sz w:val="24"/>
        </w:rPr>
        <w:t>是否邀请服务对象参加验收：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theme="minorEastAsia"/>
          <w:sz w:val="24"/>
        </w:rPr>
        <w:t>■</w:t>
      </w:r>
      <w:r>
        <w:rPr>
          <w:rFonts w:hint="eastAsia" w:ascii="宋体" w:hAnsi="宋体"/>
          <w:bCs/>
          <w:sz w:val="24"/>
        </w:rPr>
        <w:t>否</w:t>
      </w:r>
    </w:p>
    <w:p w14:paraId="06EA9050">
      <w:pPr>
        <w:adjustRightInd w:val="0"/>
        <w:snapToGrid w:val="0"/>
        <w:spacing w:line="360" w:lineRule="auto"/>
        <w:ind w:left="-120" w:right="-120" w:firstLine="960" w:firstLineChars="400"/>
        <w:rPr>
          <w:rFonts w:hint="eastAsia" w:ascii="宋体" w:hAnsi="宋体"/>
          <w:bCs/>
          <w:sz w:val="24"/>
        </w:rPr>
      </w:pPr>
      <w:r>
        <w:rPr>
          <w:rFonts w:hint="eastAsia" w:ascii="宋体" w:hAnsi="宋体"/>
          <w:bCs/>
          <w:sz w:val="24"/>
        </w:rPr>
        <w:t>是否邀请第三方检测机构参加验收：</w:t>
      </w:r>
      <w:r>
        <w:rPr>
          <w:rFonts w:hint="eastAsia" w:ascii="宋体" w:hAnsi="宋体" w:cs="宋体"/>
          <w:sz w:val="24"/>
        </w:rPr>
        <w:sym w:font="Wingdings" w:char="00A8"/>
      </w:r>
      <w:r>
        <w:rPr>
          <w:rFonts w:hint="eastAsia" w:ascii="宋体" w:hAnsi="宋体"/>
          <w:bCs/>
          <w:sz w:val="24"/>
        </w:rPr>
        <w:t xml:space="preserve">是 </w:t>
      </w:r>
      <w:r>
        <w:rPr>
          <w:rFonts w:hint="eastAsia" w:ascii="宋体" w:hAnsi="宋体" w:cstheme="minorEastAsia"/>
          <w:sz w:val="24"/>
        </w:rPr>
        <w:t>■</w:t>
      </w:r>
      <w:r>
        <w:rPr>
          <w:rFonts w:hint="eastAsia" w:ascii="宋体" w:hAnsi="宋体"/>
          <w:bCs/>
          <w:sz w:val="24"/>
        </w:rPr>
        <w:t>否</w:t>
      </w:r>
    </w:p>
    <w:p w14:paraId="6FAF0D80">
      <w:pPr>
        <w:adjustRightInd w:val="0"/>
        <w:snapToGrid w:val="0"/>
        <w:spacing w:line="360" w:lineRule="auto"/>
        <w:ind w:left="-120" w:right="-120" w:firstLine="960" w:firstLineChars="400"/>
        <w:rPr>
          <w:rFonts w:hint="eastAsia" w:ascii="宋体" w:hAnsi="宋体"/>
          <w:bCs/>
          <w:sz w:val="24"/>
        </w:rPr>
      </w:pPr>
      <w:r>
        <w:rPr>
          <w:rFonts w:hint="eastAsia" w:ascii="宋体" w:hAnsi="宋体"/>
          <w:bCs/>
          <w:sz w:val="24"/>
        </w:rPr>
        <w:t>是否进行抽查检测：</w:t>
      </w:r>
      <w:r>
        <w:rPr>
          <w:rFonts w:hint="eastAsia" w:ascii="宋体" w:hAnsi="宋体" w:cs="宋体"/>
          <w:sz w:val="24"/>
        </w:rPr>
        <w:sym w:font="Wingdings" w:char="00A8"/>
      </w:r>
      <w:r>
        <w:rPr>
          <w:rFonts w:hint="eastAsia" w:ascii="宋体" w:hAnsi="宋体"/>
          <w:bCs/>
          <w:sz w:val="24"/>
        </w:rPr>
        <w:t>是，抽查比例：</w:t>
      </w:r>
      <w:r>
        <w:rPr>
          <w:rFonts w:hint="eastAsia" w:ascii="宋体" w:hAnsi="宋体"/>
          <w:bCs/>
          <w:sz w:val="24"/>
          <w:u w:val="single"/>
        </w:rPr>
        <w:t xml:space="preserve">        </w:t>
      </w:r>
      <w:r>
        <w:rPr>
          <w:rFonts w:hint="eastAsia" w:ascii="宋体" w:hAnsi="宋体"/>
          <w:bCs/>
          <w:sz w:val="24"/>
        </w:rPr>
        <w:t xml:space="preserve"> </w:t>
      </w:r>
      <w:r>
        <w:rPr>
          <w:rFonts w:hint="eastAsia" w:ascii="宋体" w:hAnsi="宋体" w:cstheme="minorEastAsia"/>
          <w:sz w:val="24"/>
        </w:rPr>
        <w:t>■</w:t>
      </w:r>
      <w:r>
        <w:rPr>
          <w:rFonts w:hint="eastAsia" w:ascii="宋体" w:hAnsi="宋体"/>
          <w:bCs/>
          <w:sz w:val="24"/>
        </w:rPr>
        <w:t>否</w:t>
      </w:r>
    </w:p>
    <w:p w14:paraId="29A5C96F">
      <w:pPr>
        <w:adjustRightInd w:val="0"/>
        <w:snapToGrid w:val="0"/>
        <w:spacing w:line="360" w:lineRule="auto"/>
        <w:ind w:left="-120" w:right="-120" w:firstLine="960" w:firstLineChars="400"/>
        <w:rPr>
          <w:rFonts w:hint="eastAsia" w:ascii="宋体" w:hAnsi="宋体"/>
          <w:bCs/>
          <w:sz w:val="24"/>
          <w:u w:val="single"/>
        </w:rPr>
      </w:pPr>
      <w:r>
        <w:rPr>
          <w:rFonts w:hint="eastAsia" w:ascii="宋体" w:hAnsi="宋体"/>
          <w:bCs/>
          <w:sz w:val="24"/>
        </w:rPr>
        <w:t>是否存在破坏性检测：</w:t>
      </w:r>
      <w:r>
        <w:rPr>
          <w:rFonts w:hint="eastAsia" w:ascii="宋体" w:hAnsi="宋体" w:cs="宋体"/>
          <w:sz w:val="24"/>
        </w:rPr>
        <w:sym w:font="Wingdings" w:char="00A8"/>
      </w:r>
      <w:r>
        <w:rPr>
          <w:rFonts w:hint="eastAsia" w:ascii="宋体" w:hAnsi="宋体"/>
          <w:bCs/>
          <w:sz w:val="24"/>
        </w:rPr>
        <w:t>是，</w:t>
      </w:r>
      <w:r>
        <w:rPr>
          <w:rFonts w:hint="eastAsia" w:ascii="宋体" w:hAnsi="宋体"/>
          <w:bCs/>
          <w:sz w:val="24"/>
          <w:u w:val="single"/>
        </w:rPr>
        <w:t>（应明确对被破坏的检测产品的处理方式）</w:t>
      </w:r>
    </w:p>
    <w:p w14:paraId="582D6A62">
      <w:pPr>
        <w:adjustRightInd w:val="0"/>
        <w:snapToGrid w:val="0"/>
        <w:spacing w:line="360" w:lineRule="auto"/>
        <w:ind w:left="-120" w:right="-120" w:firstLine="960" w:firstLineChars="400"/>
        <w:rPr>
          <w:rFonts w:hint="eastAsia" w:ascii="宋体" w:hAnsi="宋体"/>
          <w:bCs/>
          <w:sz w:val="24"/>
        </w:rPr>
      </w:pPr>
      <w:r>
        <w:rPr>
          <w:rFonts w:hint="eastAsia" w:ascii="宋体" w:hAnsi="宋体"/>
          <w:bCs/>
          <w:sz w:val="24"/>
        </w:rPr>
        <w:t xml:space="preserve">                    </w:t>
      </w:r>
      <w:r>
        <w:rPr>
          <w:rFonts w:hint="eastAsia" w:ascii="宋体" w:hAnsi="宋体" w:cstheme="minorEastAsia"/>
          <w:sz w:val="24"/>
        </w:rPr>
        <w:t>■</w:t>
      </w:r>
      <w:r>
        <w:rPr>
          <w:rFonts w:hint="eastAsia" w:ascii="宋体" w:hAnsi="宋体"/>
          <w:bCs/>
          <w:sz w:val="24"/>
        </w:rPr>
        <w:t>否</w:t>
      </w:r>
    </w:p>
    <w:p w14:paraId="6157213E">
      <w:pPr>
        <w:adjustRightInd w:val="0"/>
        <w:snapToGrid w:val="0"/>
        <w:spacing w:line="360" w:lineRule="auto"/>
        <w:ind w:left="-120" w:right="-120" w:firstLine="960" w:firstLineChars="400"/>
        <w:rPr>
          <w:rFonts w:hint="eastAsia" w:ascii="宋体" w:hAnsi="宋体"/>
          <w:bCs/>
          <w:sz w:val="24"/>
          <w:u w:val="single"/>
        </w:rPr>
      </w:pPr>
      <w:r>
        <w:rPr>
          <w:rFonts w:hint="eastAsia" w:ascii="宋体" w:hAnsi="宋体"/>
          <w:bCs/>
          <w:sz w:val="24"/>
        </w:rPr>
        <w:t>验收组织的其他事项：</w:t>
      </w:r>
      <w:r>
        <w:rPr>
          <w:rFonts w:hint="eastAsia" w:ascii="宋体" w:hAnsi="宋体"/>
          <w:bCs/>
          <w:sz w:val="24"/>
          <w:u w:val="single"/>
        </w:rPr>
        <w:t xml:space="preserve">                </w:t>
      </w:r>
    </w:p>
    <w:p w14:paraId="66A33A16">
      <w:pPr>
        <w:adjustRightInd w:val="0"/>
        <w:snapToGrid w:val="0"/>
        <w:spacing w:line="360" w:lineRule="auto"/>
        <w:ind w:left="-120" w:right="-120" w:firstLine="480" w:firstLineChars="200"/>
        <w:rPr>
          <w:rFonts w:hint="eastAsia" w:ascii="宋体" w:hAnsi="宋体"/>
          <w:bCs/>
          <w:sz w:val="24"/>
          <w:u w:val="single"/>
        </w:rPr>
      </w:pPr>
      <w:r>
        <w:rPr>
          <w:rFonts w:hint="eastAsia" w:ascii="宋体" w:hAnsi="宋体"/>
          <w:bCs/>
          <w:sz w:val="24"/>
        </w:rPr>
        <w:t>（2）履约验收时间：</w:t>
      </w:r>
      <w:r>
        <w:rPr>
          <w:rFonts w:hint="eastAsia" w:ascii="宋体" w:hAnsi="宋体"/>
          <w:bCs/>
          <w:sz w:val="24"/>
          <w:u w:val="single"/>
        </w:rPr>
        <w:t xml:space="preserve">（计划于何时验收/供应商提出验收申请之日起        日内组织验收） </w:t>
      </w:r>
    </w:p>
    <w:p w14:paraId="1EF853C8">
      <w:pPr>
        <w:adjustRightInd w:val="0"/>
        <w:snapToGrid w:val="0"/>
        <w:spacing w:line="360" w:lineRule="auto"/>
        <w:ind w:left="-120" w:right="-120" w:firstLine="480" w:firstLineChars="200"/>
        <w:rPr>
          <w:rFonts w:hint="eastAsia" w:ascii="宋体" w:hAnsi="宋体"/>
          <w:bCs/>
          <w:sz w:val="24"/>
        </w:rPr>
      </w:pPr>
      <w:r>
        <w:rPr>
          <w:rFonts w:hint="eastAsia" w:ascii="宋体" w:hAnsi="宋体"/>
          <w:bCs/>
          <w:sz w:val="24"/>
        </w:rPr>
        <w:t>（3）履约验收方式：</w:t>
      </w:r>
      <w:r>
        <w:rPr>
          <w:rFonts w:hint="eastAsia" w:ascii="宋体" w:hAnsi="宋体" w:cstheme="minorEastAsia"/>
          <w:sz w:val="24"/>
        </w:rPr>
        <w:t>■</w:t>
      </w:r>
      <w:r>
        <w:rPr>
          <w:rFonts w:hint="eastAsia" w:ascii="宋体" w:hAnsi="宋体"/>
          <w:bCs/>
          <w:sz w:val="24"/>
        </w:rPr>
        <w:t xml:space="preserve">一次性验收         </w:t>
      </w:r>
    </w:p>
    <w:p w14:paraId="37B2E7D0">
      <w:pPr>
        <w:adjustRightInd w:val="0"/>
        <w:snapToGrid w:val="0"/>
        <w:spacing w:line="360" w:lineRule="auto"/>
        <w:ind w:left="-120" w:right="-120"/>
        <w:rPr>
          <w:rFonts w:hint="eastAsia" w:ascii="宋体" w:hAnsi="宋体"/>
          <w:bCs/>
          <w:sz w:val="24"/>
        </w:rPr>
      </w:pPr>
      <w:r>
        <w:rPr>
          <w:rFonts w:hint="eastAsia" w:ascii="宋体" w:hAnsi="宋体"/>
          <w:bCs/>
          <w:sz w:val="24"/>
        </w:rPr>
        <w:t xml:space="preserve">                       </w:t>
      </w:r>
      <w:r>
        <w:rPr>
          <w:rFonts w:hint="eastAsia" w:ascii="宋体" w:hAnsi="宋体" w:cs="宋体"/>
          <w:sz w:val="24"/>
        </w:rPr>
        <w:sym w:font="Wingdings" w:char="00A8"/>
      </w:r>
      <w:r>
        <w:rPr>
          <w:rFonts w:hint="eastAsia" w:ascii="宋体" w:hAnsi="宋体"/>
          <w:bCs/>
          <w:sz w:val="24"/>
        </w:rPr>
        <w:t>分期/分项验收：</w:t>
      </w:r>
      <w:r>
        <w:rPr>
          <w:rFonts w:hint="eastAsia" w:ascii="宋体" w:hAnsi="宋体"/>
          <w:bCs/>
          <w:sz w:val="24"/>
          <w:u w:val="single"/>
        </w:rPr>
        <w:t xml:space="preserve"> （应明确分期</w:t>
      </w:r>
      <w:r>
        <w:rPr>
          <w:rFonts w:ascii="宋体" w:hAnsi="宋体"/>
          <w:bCs/>
          <w:sz w:val="24"/>
          <w:u w:val="single"/>
          <w:lang w:val="en"/>
        </w:rPr>
        <w:t>/</w:t>
      </w:r>
      <w:r>
        <w:rPr>
          <w:rFonts w:hint="eastAsia" w:ascii="宋体" w:hAnsi="宋体"/>
          <w:bCs/>
          <w:sz w:val="24"/>
          <w:u w:val="single"/>
          <w:lang w:val="en"/>
        </w:rPr>
        <w:t>分项验收的工作安排</w:t>
      </w:r>
      <w:r>
        <w:rPr>
          <w:rFonts w:hint="eastAsia" w:ascii="宋体" w:hAnsi="宋体"/>
          <w:bCs/>
          <w:sz w:val="24"/>
          <w:u w:val="single"/>
        </w:rPr>
        <w:t>） 。</w:t>
      </w:r>
    </w:p>
    <w:p w14:paraId="6573ED54">
      <w:pPr>
        <w:adjustRightInd w:val="0"/>
        <w:snapToGrid w:val="0"/>
        <w:spacing w:line="360" w:lineRule="auto"/>
        <w:ind w:left="-120" w:right="-120" w:firstLine="480" w:firstLineChars="200"/>
        <w:rPr>
          <w:rFonts w:hint="eastAsia" w:ascii="宋体" w:hAnsi="宋体"/>
          <w:bCs/>
          <w:sz w:val="24"/>
        </w:rPr>
      </w:pPr>
      <w:r>
        <w:rPr>
          <w:rFonts w:hint="eastAsia" w:ascii="宋体" w:hAnsi="宋体"/>
          <w:bCs/>
          <w:sz w:val="24"/>
        </w:rPr>
        <w:t>（4）履约验收程序：</w:t>
      </w:r>
      <w:r>
        <w:rPr>
          <w:rFonts w:hint="eastAsia" w:ascii="宋体" w:hAnsi="宋体"/>
          <w:bCs/>
          <w:sz w:val="24"/>
          <w:u w:val="single"/>
        </w:rPr>
        <w:t xml:space="preserve">  按照甲方验收管理要求开展  。</w:t>
      </w:r>
      <w:r>
        <w:rPr>
          <w:rFonts w:hint="eastAsia" w:ascii="宋体" w:hAnsi="宋体"/>
          <w:bCs/>
          <w:sz w:val="24"/>
        </w:rPr>
        <w:t xml:space="preserve">                   </w:t>
      </w:r>
      <w:r>
        <w:rPr>
          <w:rFonts w:hint="eastAsia" w:ascii="宋体" w:hAnsi="宋体"/>
          <w:bCs/>
          <w:sz w:val="24"/>
          <w:u w:val="single"/>
        </w:rPr>
        <w:t xml:space="preserve">                  </w:t>
      </w:r>
    </w:p>
    <w:p w14:paraId="2B649665">
      <w:pPr>
        <w:adjustRightInd w:val="0"/>
        <w:snapToGrid w:val="0"/>
        <w:spacing w:line="360" w:lineRule="auto"/>
        <w:ind w:left="-120" w:right="-120" w:firstLine="480" w:firstLineChars="200"/>
        <w:rPr>
          <w:rFonts w:hint="eastAsia" w:ascii="宋体" w:hAnsi="宋体"/>
          <w:bCs/>
          <w:sz w:val="24"/>
          <w:u w:val="single"/>
        </w:rPr>
      </w:pPr>
      <w:r>
        <w:rPr>
          <w:rFonts w:hint="eastAsia" w:ascii="宋体" w:hAnsi="宋体"/>
          <w:bCs/>
          <w:sz w:val="24"/>
        </w:rPr>
        <w:t>（5）履约验收的内容：</w:t>
      </w:r>
      <w:r>
        <w:rPr>
          <w:rFonts w:hint="eastAsia" w:ascii="宋体" w:hAnsi="宋体"/>
          <w:bCs/>
          <w:sz w:val="24"/>
          <w:u w:val="single"/>
        </w:rPr>
        <w:t xml:space="preserve"> （应当包括每一项技术和商务要求的履约情况，特别是落实政府采购扶持中小企业，支持绿色发展和乡村振兴等政策情况） 。</w:t>
      </w:r>
    </w:p>
    <w:p w14:paraId="4CEA633A">
      <w:pPr>
        <w:adjustRightInd w:val="0"/>
        <w:snapToGrid w:val="0"/>
        <w:spacing w:line="360" w:lineRule="auto"/>
        <w:ind w:left="-120" w:right="-120" w:firstLine="480" w:firstLineChars="200"/>
        <w:rPr>
          <w:rFonts w:hint="eastAsia" w:ascii="宋体" w:hAnsi="宋体"/>
          <w:bCs/>
          <w:sz w:val="24"/>
          <w:u w:val="single"/>
        </w:rPr>
      </w:pPr>
      <w:r>
        <w:rPr>
          <w:rFonts w:hint="eastAsia" w:ascii="宋体" w:hAnsi="宋体"/>
          <w:bCs/>
          <w:sz w:val="24"/>
        </w:rPr>
        <w:t>（6）履约验收标准：</w:t>
      </w:r>
      <w:r>
        <w:rPr>
          <w:rFonts w:hint="eastAsia" w:ascii="宋体" w:hAnsi="宋体"/>
          <w:bCs/>
          <w:sz w:val="24"/>
          <w:u w:val="single"/>
        </w:rPr>
        <w:t>①验收根据x</w:t>
      </w:r>
      <w:r>
        <w:rPr>
          <w:rFonts w:ascii="宋体" w:hAnsi="宋体"/>
          <w:bCs/>
          <w:sz w:val="24"/>
          <w:u w:val="single"/>
        </w:rPr>
        <w:t>x</w:t>
      </w:r>
      <w:r>
        <w:rPr>
          <w:rFonts w:hint="eastAsia" w:ascii="宋体" w:hAnsi="宋体"/>
          <w:bCs/>
          <w:sz w:val="24"/>
          <w:u w:val="single"/>
        </w:rPr>
        <w:t>的招标文件、投标文件、技术指标、采购合同进行，合同货物质量应符合中华人民共和国部颁标准及相应的技术规范要求。②乙方应保证所提供的货物经正确安装、合理操作和维护保养在其使用寿命期内具有令甲方满意的性能，并对由于合同货物的设计、工艺或材料的缺陷而发生的任何故障负责。③乙方保证向甲方提供的技术资料是清晰的、正确的、完整的。甲方在清点乙方提供的技术资料时如发现缺失，乙方应在接到甲方通知后七日内予以补足。</w:t>
      </w:r>
    </w:p>
    <w:p w14:paraId="56ED8D4C">
      <w:pPr>
        <w:pStyle w:val="337"/>
        <w:spacing w:after="0" w:line="360" w:lineRule="auto"/>
        <w:ind w:firstLine="480"/>
        <w:rPr>
          <w:rFonts w:hint="eastAsia" w:ascii="宋体" w:hAnsi="宋体" w:eastAsia="宋体" w:cs="宋体"/>
          <w:sz w:val="24"/>
          <w:szCs w:val="24"/>
        </w:rPr>
      </w:pPr>
      <w:r>
        <w:rPr>
          <w:rFonts w:hint="eastAsia" w:ascii="宋体" w:hAnsi="宋体" w:eastAsia="宋体" w:cs="宋体"/>
          <w:bCs/>
          <w:sz w:val="24"/>
          <w:szCs w:val="24"/>
        </w:rPr>
        <w:t>（7）是否以采购活动中供应商提供的样品作为参考：</w:t>
      </w:r>
      <w:r>
        <w:rPr>
          <w:rFonts w:hint="eastAsia" w:ascii="宋体" w:hAnsi="宋体" w:eastAsia="宋体" w:cstheme="minorEastAsia"/>
          <w:sz w:val="24"/>
          <w:szCs w:val="24"/>
        </w:rPr>
        <w:t>■</w:t>
      </w:r>
      <w:r>
        <w:rPr>
          <w:rFonts w:hint="eastAsia" w:ascii="宋体" w:hAnsi="宋体" w:eastAsia="宋体" w:cs="宋体"/>
          <w:bCs/>
          <w:sz w:val="24"/>
          <w:szCs w:val="24"/>
        </w:rPr>
        <w:t xml:space="preserve">是  </w:t>
      </w:r>
      <w:r>
        <w:rPr>
          <w:rFonts w:hint="eastAsia" w:ascii="宋体" w:hAnsi="宋体" w:eastAsia="宋体" w:cs="宋体"/>
          <w:sz w:val="24"/>
          <w:szCs w:val="24"/>
        </w:rPr>
        <w:sym w:font="Wingdings" w:char="00A8"/>
      </w:r>
      <w:r>
        <w:rPr>
          <w:rFonts w:hint="eastAsia" w:ascii="宋体" w:hAnsi="宋体" w:eastAsia="宋体" w:cs="宋体"/>
          <w:bCs/>
          <w:sz w:val="24"/>
          <w:szCs w:val="24"/>
        </w:rPr>
        <w:t>否</w:t>
      </w:r>
    </w:p>
    <w:p w14:paraId="725285A8">
      <w:pPr>
        <w:adjustRightInd w:val="0"/>
        <w:snapToGrid w:val="0"/>
        <w:spacing w:line="360" w:lineRule="auto"/>
        <w:ind w:left="-120" w:right="-120" w:firstLine="480" w:firstLineChars="200"/>
        <w:rPr>
          <w:rFonts w:hint="eastAsia" w:ascii="宋体" w:hAnsi="宋体" w:cs="宋体"/>
          <w:bCs/>
          <w:sz w:val="24"/>
          <w:u w:val="single"/>
        </w:rPr>
      </w:pPr>
      <w:r>
        <w:rPr>
          <w:rFonts w:hint="eastAsia" w:ascii="宋体" w:hAnsi="宋体" w:cs="宋体"/>
          <w:bCs/>
          <w:sz w:val="24"/>
        </w:rPr>
        <w:t>（8）履约验收其他事项：</w:t>
      </w:r>
      <w:r>
        <w:rPr>
          <w:rFonts w:hint="eastAsia" w:ascii="宋体" w:hAnsi="宋体" w:cs="宋体"/>
          <w:bCs/>
          <w:sz w:val="24"/>
          <w:u w:val="single"/>
        </w:rPr>
        <w:t xml:space="preserve">      （产权过户登记等）          </w:t>
      </w:r>
    </w:p>
    <w:p w14:paraId="62DE7132">
      <w:pPr>
        <w:numPr>
          <w:ilvl w:val="0"/>
          <w:numId w:val="8"/>
        </w:numPr>
        <w:adjustRightInd w:val="0"/>
        <w:snapToGrid w:val="0"/>
        <w:spacing w:line="360" w:lineRule="auto"/>
        <w:ind w:left="-120" w:right="-120" w:firstLine="482" w:firstLineChars="200"/>
        <w:rPr>
          <w:rFonts w:hint="eastAsia" w:ascii="宋体" w:hAnsi="宋体"/>
          <w:b/>
          <w:sz w:val="24"/>
        </w:rPr>
      </w:pPr>
      <w:r>
        <w:rPr>
          <w:rFonts w:hint="eastAsia" w:ascii="宋体" w:hAnsi="宋体"/>
          <w:b/>
          <w:sz w:val="24"/>
        </w:rPr>
        <w:t>组成合同的文件</w:t>
      </w:r>
    </w:p>
    <w:p w14:paraId="0AA96C0D">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本协议书与下列文件一起构成合同文件，如下述文件之间有任何抵触、矛盾或歧义，应按以下顺序解释：</w:t>
      </w:r>
    </w:p>
    <w:p w14:paraId="20A2DCE1">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（1）政府采购合同协议书及其变更、补充协议</w:t>
      </w:r>
    </w:p>
    <w:p w14:paraId="23007962">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（2）政府采购合同专用条款</w:t>
      </w:r>
    </w:p>
    <w:p w14:paraId="643D6FAE">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（3）政府采购合同通用条款</w:t>
      </w:r>
    </w:p>
    <w:p w14:paraId="23F24034">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（4）中标（成交）通知书</w:t>
      </w:r>
    </w:p>
    <w:p w14:paraId="1F95C423">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（5）投标（响应）文件（中标、成交）</w:t>
      </w:r>
    </w:p>
    <w:p w14:paraId="4F9243DD">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（6）采购文件</w:t>
      </w:r>
    </w:p>
    <w:p w14:paraId="39424443">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（7）有关技术文件，图纸</w:t>
      </w:r>
    </w:p>
    <w:p w14:paraId="3E41830D">
      <w:pPr>
        <w:pStyle w:val="337"/>
        <w:spacing w:after="0" w:line="360" w:lineRule="auto"/>
        <w:ind w:firstLine="480"/>
        <w:rPr>
          <w:rFonts w:hint="eastAsia" w:ascii="宋体" w:hAnsi="宋体" w:eastAsia="宋体" w:cs="宋体"/>
          <w:b/>
          <w:bCs/>
          <w:kern w:val="2"/>
          <w:sz w:val="24"/>
          <w:szCs w:val="24"/>
        </w:rPr>
      </w:pPr>
      <w:r>
        <w:rPr>
          <w:rFonts w:hint="eastAsia" w:ascii="宋体" w:hAnsi="宋体" w:eastAsia="宋体" w:cs="宋体"/>
          <w:sz w:val="24"/>
          <w:szCs w:val="24"/>
        </w:rPr>
        <w:t>（8）</w:t>
      </w:r>
      <w:r>
        <w:rPr>
          <w:rFonts w:hint="eastAsia" w:ascii="宋体" w:hAnsi="宋体" w:eastAsia="宋体" w:cs="宋体"/>
          <w:kern w:val="2"/>
          <w:sz w:val="24"/>
          <w:szCs w:val="24"/>
        </w:rPr>
        <w:t>国家法律、行政法规和规章制度规定或合同约定的作为合同组成部分的其他文件</w:t>
      </w:r>
    </w:p>
    <w:p w14:paraId="724D52DA">
      <w:pPr>
        <w:numPr>
          <w:ilvl w:val="0"/>
          <w:numId w:val="8"/>
        </w:numPr>
        <w:adjustRightInd w:val="0"/>
        <w:snapToGrid w:val="0"/>
        <w:spacing w:line="360" w:lineRule="auto"/>
        <w:ind w:left="-120" w:right="-120" w:firstLine="482" w:firstLineChars="200"/>
        <w:rPr>
          <w:rFonts w:hint="eastAsia" w:ascii="宋体" w:hAnsi="宋体"/>
          <w:b/>
          <w:sz w:val="24"/>
        </w:rPr>
      </w:pPr>
      <w:r>
        <w:rPr>
          <w:rFonts w:hint="eastAsia" w:ascii="宋体" w:hAnsi="宋体"/>
          <w:b/>
          <w:sz w:val="24"/>
        </w:rPr>
        <w:t>合同生效</w:t>
      </w:r>
    </w:p>
    <w:p w14:paraId="1B7059D4">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本合同自</w:t>
      </w:r>
      <w:r>
        <w:rPr>
          <w:rFonts w:hint="eastAsia" w:ascii="宋体" w:hAnsi="宋体"/>
          <w:sz w:val="24"/>
          <w:u w:val="single"/>
        </w:rPr>
        <w:t xml:space="preserve">                             </w:t>
      </w:r>
      <w:r>
        <w:rPr>
          <w:rFonts w:hint="eastAsia" w:ascii="宋体" w:hAnsi="宋体"/>
          <w:sz w:val="24"/>
        </w:rPr>
        <w:t>生效。</w:t>
      </w:r>
    </w:p>
    <w:p w14:paraId="4032CB65">
      <w:pPr>
        <w:numPr>
          <w:ilvl w:val="0"/>
          <w:numId w:val="8"/>
        </w:numPr>
        <w:adjustRightInd w:val="0"/>
        <w:snapToGrid w:val="0"/>
        <w:spacing w:line="360" w:lineRule="auto"/>
        <w:ind w:left="-120" w:right="-120" w:firstLine="482" w:firstLineChars="200"/>
        <w:rPr>
          <w:rFonts w:hint="eastAsia" w:ascii="宋体" w:hAnsi="宋体"/>
          <w:b/>
          <w:sz w:val="24"/>
        </w:rPr>
      </w:pPr>
      <w:r>
        <w:rPr>
          <w:rFonts w:hint="eastAsia" w:ascii="宋体" w:hAnsi="宋体"/>
          <w:b/>
          <w:sz w:val="24"/>
        </w:rPr>
        <w:t>合同份数</w:t>
      </w:r>
    </w:p>
    <w:p w14:paraId="77B1B010">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本合同一式</w:t>
      </w:r>
      <w:r>
        <w:rPr>
          <w:rFonts w:hint="eastAsia" w:ascii="宋体" w:hAnsi="宋体"/>
          <w:sz w:val="24"/>
          <w:u w:val="single"/>
        </w:rPr>
        <w:t xml:space="preserve">    </w:t>
      </w:r>
      <w:r>
        <w:rPr>
          <w:rFonts w:hint="eastAsia" w:ascii="宋体" w:hAnsi="宋体"/>
          <w:sz w:val="24"/>
        </w:rPr>
        <w:t>份，甲方执</w:t>
      </w:r>
      <w:r>
        <w:rPr>
          <w:rFonts w:hint="eastAsia" w:ascii="宋体" w:hAnsi="宋体"/>
          <w:sz w:val="24"/>
          <w:u w:val="single"/>
        </w:rPr>
        <w:t xml:space="preserve">    </w:t>
      </w:r>
      <w:r>
        <w:rPr>
          <w:rFonts w:hint="eastAsia" w:ascii="宋体" w:hAnsi="宋体"/>
          <w:sz w:val="24"/>
        </w:rPr>
        <w:t>份，乙方执</w:t>
      </w:r>
      <w:r>
        <w:rPr>
          <w:rFonts w:hint="eastAsia" w:ascii="宋体" w:hAnsi="宋体"/>
          <w:sz w:val="24"/>
          <w:u w:val="single"/>
        </w:rPr>
        <w:t xml:space="preserve">    </w:t>
      </w:r>
      <w:r>
        <w:rPr>
          <w:rFonts w:hint="eastAsia" w:ascii="宋体" w:hAnsi="宋体"/>
          <w:sz w:val="24"/>
        </w:rPr>
        <w:t>份，均具有同等法律效力。</w:t>
      </w:r>
    </w:p>
    <w:p w14:paraId="76BC55DD">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本合同由甲方提供经“信用中国”网站（www.creditchina.gov.cn）、中国政府采购网 （www.ccgp.gov.cn）等渠道查询的乙方截止到本合同签订之日（含签订之日）之前的信用记录情况的网页截图，作为本合同附件。</w:t>
      </w:r>
    </w:p>
    <w:p w14:paraId="3236E976">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本次采购活动的项目负责人及相关工作人员与乙方均不存在利害关系，如有不实，项目负责人将承担一切法律责任。</w:t>
      </w:r>
    </w:p>
    <w:p w14:paraId="7FA7162D">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本合同未尽事宜，双方友好协商处理。</w:t>
      </w:r>
    </w:p>
    <w:p w14:paraId="480AB309">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合同订立时间：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p w14:paraId="5D832F51">
      <w:pPr>
        <w:adjustRightInd w:val="0"/>
        <w:snapToGrid w:val="0"/>
        <w:spacing w:line="360" w:lineRule="auto"/>
        <w:ind w:left="-120" w:right="-120" w:firstLine="480" w:firstLineChars="200"/>
        <w:rPr>
          <w:rFonts w:hint="eastAsia" w:ascii="宋体" w:hAnsi="宋体"/>
          <w:sz w:val="24"/>
        </w:rPr>
      </w:pPr>
      <w:r>
        <w:rPr>
          <w:rFonts w:hint="eastAsia" w:ascii="宋体" w:hAnsi="宋体"/>
          <w:sz w:val="24"/>
        </w:rPr>
        <w:t>合同订立地点：</w:t>
      </w:r>
      <w:r>
        <w:rPr>
          <w:rFonts w:hint="eastAsia" w:ascii="宋体" w:hAnsi="宋体"/>
          <w:sz w:val="24"/>
          <w:u w:val="single"/>
        </w:rPr>
        <w:t xml:space="preserve">                           </w:t>
      </w:r>
    </w:p>
    <w:p w14:paraId="0CBB2878">
      <w:pPr>
        <w:adjustRightInd w:val="0"/>
        <w:snapToGrid w:val="0"/>
        <w:spacing w:line="360" w:lineRule="auto"/>
        <w:ind w:left="-120" w:right="-120" w:firstLine="480" w:firstLineChars="200"/>
        <w:rPr>
          <w:rFonts w:hint="eastAsia" w:ascii="宋体" w:hAnsi="宋体"/>
        </w:rPr>
      </w:pPr>
      <w:r>
        <w:rPr>
          <w:rFonts w:hint="eastAsia" w:ascii="宋体" w:hAnsi="宋体"/>
          <w:sz w:val="24"/>
        </w:rPr>
        <w:t>附件：具体标的及其技术要求和商务要求等。</w:t>
      </w:r>
      <w:r>
        <w:rPr>
          <w:rFonts w:hint="eastAsia" w:ascii="宋体" w:hAnsi="宋体"/>
        </w:rPr>
        <w:br w:type="page"/>
      </w:r>
    </w:p>
    <w:p w14:paraId="030C489B">
      <w:pPr>
        <w:pStyle w:val="193"/>
        <w:ind w:left="-120" w:right="-120"/>
        <w:rPr>
          <w:rFonts w:hint="eastAsia" w:ascii="宋体" w:hAnsi="宋体"/>
        </w:rPr>
      </w:pPr>
    </w:p>
    <w:tbl>
      <w:tblPr>
        <w:tblStyle w:val="45"/>
        <w:tblW w:w="5000"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2091"/>
        <w:gridCol w:w="2668"/>
        <w:gridCol w:w="2188"/>
        <w:gridCol w:w="2341"/>
      </w:tblGrid>
      <w:tr w14:paraId="3007C56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2" w:type="pct"/>
            <w:gridSpan w:val="2"/>
            <w:tcBorders>
              <w:bottom w:val="single" w:color="auto" w:sz="2" w:space="0"/>
              <w:right w:val="single" w:color="auto" w:sz="2" w:space="0"/>
            </w:tcBorders>
            <w:vAlign w:val="center"/>
          </w:tcPr>
          <w:p w14:paraId="094A20F4">
            <w:pPr>
              <w:adjustRightInd w:val="0"/>
              <w:snapToGrid w:val="0"/>
              <w:spacing w:line="300" w:lineRule="exact"/>
              <w:ind w:left="-120" w:right="-120"/>
              <w:jc w:val="center"/>
              <w:rPr>
                <w:rFonts w:hint="eastAsia" w:ascii="宋体" w:hAnsi="宋体"/>
                <w:sz w:val="24"/>
              </w:rPr>
            </w:pPr>
            <w:r>
              <w:rPr>
                <w:rFonts w:ascii="宋体" w:hAnsi="宋体"/>
                <w:sz w:val="24"/>
              </w:rPr>
              <w:t>甲方</w:t>
            </w:r>
          </w:p>
        </w:tc>
        <w:tc>
          <w:tcPr>
            <w:tcW w:w="2438" w:type="pct"/>
            <w:gridSpan w:val="2"/>
            <w:tcBorders>
              <w:left w:val="single" w:color="auto" w:sz="2" w:space="0"/>
              <w:bottom w:val="single" w:color="auto" w:sz="2" w:space="0"/>
            </w:tcBorders>
            <w:vAlign w:val="center"/>
          </w:tcPr>
          <w:p w14:paraId="7BDEDE6C">
            <w:pPr>
              <w:adjustRightInd w:val="0"/>
              <w:snapToGrid w:val="0"/>
              <w:spacing w:line="300" w:lineRule="exact"/>
              <w:ind w:left="-120" w:right="-120"/>
              <w:jc w:val="center"/>
              <w:rPr>
                <w:rFonts w:hint="eastAsia" w:ascii="宋体" w:hAnsi="宋体"/>
                <w:sz w:val="24"/>
              </w:rPr>
            </w:pPr>
            <w:r>
              <w:rPr>
                <w:rFonts w:ascii="宋体" w:hAnsi="宋体"/>
                <w:sz w:val="24"/>
              </w:rPr>
              <w:t>乙方</w:t>
            </w:r>
            <w:r>
              <w:rPr>
                <w:rFonts w:hint="eastAsia" w:ascii="宋体" w:hAnsi="宋体"/>
                <w:sz w:val="24"/>
              </w:rPr>
              <w:t>（供应商）</w:t>
            </w:r>
          </w:p>
        </w:tc>
      </w:tr>
      <w:tr w14:paraId="4D169DF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6" w:type="pct"/>
            <w:tcBorders>
              <w:top w:val="single" w:color="auto" w:sz="2" w:space="0"/>
              <w:bottom w:val="single" w:color="auto" w:sz="2" w:space="0"/>
              <w:right w:val="single" w:color="auto" w:sz="2" w:space="0"/>
            </w:tcBorders>
            <w:vAlign w:val="center"/>
          </w:tcPr>
          <w:p w14:paraId="352C7B19">
            <w:pPr>
              <w:adjustRightInd w:val="0"/>
              <w:snapToGrid w:val="0"/>
              <w:spacing w:line="300" w:lineRule="exact"/>
              <w:ind w:left="-120" w:right="-120"/>
              <w:jc w:val="center"/>
              <w:rPr>
                <w:rFonts w:hint="eastAsia" w:ascii="宋体" w:hAnsi="宋体"/>
                <w:sz w:val="24"/>
              </w:rPr>
            </w:pPr>
            <w:r>
              <w:rPr>
                <w:rFonts w:ascii="宋体" w:hAnsi="宋体"/>
                <w:sz w:val="24"/>
              </w:rPr>
              <w:t>单位名称</w:t>
            </w:r>
            <w:r>
              <w:rPr>
                <w:rFonts w:hint="eastAsia" w:ascii="宋体" w:hAnsi="宋体"/>
                <w:sz w:val="24"/>
              </w:rPr>
              <w:t>（公章或合同章）</w:t>
            </w:r>
          </w:p>
        </w:tc>
        <w:tc>
          <w:tcPr>
            <w:tcW w:w="1436" w:type="pct"/>
            <w:tcBorders>
              <w:top w:val="single" w:color="auto" w:sz="2" w:space="0"/>
              <w:left w:val="single" w:color="auto" w:sz="2" w:space="0"/>
              <w:bottom w:val="single" w:color="auto" w:sz="2" w:space="0"/>
              <w:right w:val="single" w:color="auto" w:sz="2" w:space="0"/>
            </w:tcBorders>
            <w:vAlign w:val="center"/>
          </w:tcPr>
          <w:p w14:paraId="067B4BE5">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31B538D">
            <w:pPr>
              <w:adjustRightInd w:val="0"/>
              <w:snapToGrid w:val="0"/>
              <w:spacing w:line="300" w:lineRule="exact"/>
              <w:ind w:left="-120" w:right="-120"/>
              <w:jc w:val="center"/>
              <w:rPr>
                <w:rFonts w:hint="eastAsia" w:ascii="宋体" w:hAnsi="宋体"/>
                <w:sz w:val="24"/>
              </w:rPr>
            </w:pPr>
            <w:r>
              <w:rPr>
                <w:rFonts w:ascii="宋体" w:hAnsi="宋体"/>
                <w:sz w:val="24"/>
              </w:rPr>
              <w:t>单位名称</w:t>
            </w:r>
            <w:r>
              <w:rPr>
                <w:rFonts w:hint="eastAsia" w:ascii="宋体" w:hAnsi="宋体"/>
                <w:sz w:val="24"/>
              </w:rPr>
              <w:t>（公章或合同章）</w:t>
            </w:r>
          </w:p>
        </w:tc>
        <w:tc>
          <w:tcPr>
            <w:tcW w:w="1260" w:type="pct"/>
            <w:tcBorders>
              <w:top w:val="single" w:color="auto" w:sz="2" w:space="0"/>
              <w:left w:val="single" w:color="auto" w:sz="2" w:space="0"/>
              <w:bottom w:val="single" w:color="auto" w:sz="2" w:space="0"/>
            </w:tcBorders>
            <w:vAlign w:val="center"/>
          </w:tcPr>
          <w:p w14:paraId="0A612D61">
            <w:pPr>
              <w:adjustRightInd w:val="0"/>
              <w:snapToGrid w:val="0"/>
              <w:spacing w:line="300" w:lineRule="exact"/>
              <w:ind w:left="-120" w:right="-120" w:firstLine="280"/>
              <w:jc w:val="center"/>
              <w:rPr>
                <w:rFonts w:hint="eastAsia" w:ascii="宋体" w:hAnsi="宋体"/>
                <w:spacing w:val="20"/>
                <w:sz w:val="24"/>
              </w:rPr>
            </w:pPr>
          </w:p>
        </w:tc>
      </w:tr>
      <w:tr w14:paraId="16DB1355">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6" w:type="pct"/>
            <w:vMerge w:val="restart"/>
            <w:tcBorders>
              <w:top w:val="single" w:color="auto" w:sz="2" w:space="0"/>
              <w:right w:val="single" w:color="auto" w:sz="2" w:space="0"/>
            </w:tcBorders>
            <w:vAlign w:val="center"/>
          </w:tcPr>
          <w:p w14:paraId="77B690EC">
            <w:pPr>
              <w:adjustRightInd w:val="0"/>
              <w:snapToGrid w:val="0"/>
              <w:spacing w:line="300" w:lineRule="exact"/>
              <w:ind w:left="-120" w:right="-120"/>
              <w:jc w:val="center"/>
              <w:rPr>
                <w:rFonts w:hint="eastAsia" w:ascii="宋体" w:hAnsi="宋体"/>
                <w:sz w:val="24"/>
              </w:rPr>
            </w:pPr>
            <w:r>
              <w:rPr>
                <w:rFonts w:ascii="宋体" w:hAnsi="宋体"/>
                <w:sz w:val="24"/>
              </w:rPr>
              <w:t>法定代表人</w:t>
            </w:r>
          </w:p>
          <w:p w14:paraId="31E2B488">
            <w:pPr>
              <w:adjustRightInd w:val="0"/>
              <w:snapToGrid w:val="0"/>
              <w:spacing w:line="300" w:lineRule="exact"/>
              <w:ind w:left="-120" w:right="-120" w:firstLine="115" w:firstLineChars="48"/>
              <w:jc w:val="center"/>
              <w:rPr>
                <w:rFonts w:hint="eastAsia" w:ascii="宋体" w:hAnsi="宋体"/>
                <w:sz w:val="24"/>
              </w:rPr>
            </w:pPr>
            <w:r>
              <w:rPr>
                <w:rFonts w:hint="eastAsia" w:ascii="宋体" w:hAnsi="宋体"/>
                <w:sz w:val="24"/>
              </w:rPr>
              <w:t>或其</w:t>
            </w:r>
            <w:r>
              <w:rPr>
                <w:rFonts w:ascii="宋体" w:hAnsi="宋体"/>
                <w:sz w:val="24"/>
              </w:rPr>
              <w:t>委托代理人</w:t>
            </w:r>
            <w:r>
              <w:rPr>
                <w:rFonts w:hint="eastAsia" w:ascii="宋体" w:hAnsi="宋体"/>
                <w:sz w:val="24"/>
              </w:rPr>
              <w:t>（签章）</w:t>
            </w:r>
          </w:p>
        </w:tc>
        <w:tc>
          <w:tcPr>
            <w:tcW w:w="1436" w:type="pct"/>
            <w:vMerge w:val="restart"/>
            <w:tcBorders>
              <w:top w:val="single" w:color="auto" w:sz="2" w:space="0"/>
              <w:left w:val="single" w:color="auto" w:sz="2" w:space="0"/>
              <w:right w:val="single" w:color="auto" w:sz="2" w:space="0"/>
            </w:tcBorders>
            <w:vAlign w:val="center"/>
          </w:tcPr>
          <w:p w14:paraId="6134968D">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right w:val="single" w:color="auto" w:sz="2" w:space="0"/>
            </w:tcBorders>
            <w:vAlign w:val="center"/>
          </w:tcPr>
          <w:p w14:paraId="39809490">
            <w:pPr>
              <w:adjustRightInd w:val="0"/>
              <w:snapToGrid w:val="0"/>
              <w:spacing w:line="300" w:lineRule="exact"/>
              <w:ind w:left="-120" w:right="-120"/>
              <w:jc w:val="center"/>
              <w:rPr>
                <w:rFonts w:hint="eastAsia" w:ascii="宋体" w:hAnsi="宋体"/>
                <w:sz w:val="24"/>
              </w:rPr>
            </w:pPr>
            <w:r>
              <w:rPr>
                <w:rFonts w:ascii="宋体" w:hAnsi="宋体"/>
                <w:sz w:val="24"/>
              </w:rPr>
              <w:t>法定代表人</w:t>
            </w:r>
          </w:p>
          <w:p w14:paraId="14D01D06">
            <w:pPr>
              <w:adjustRightInd w:val="0"/>
              <w:snapToGrid w:val="0"/>
              <w:spacing w:line="300" w:lineRule="exact"/>
              <w:ind w:left="-120" w:right="-120"/>
              <w:jc w:val="center"/>
              <w:rPr>
                <w:rFonts w:hint="eastAsia" w:ascii="宋体" w:hAnsi="宋体"/>
                <w:sz w:val="24"/>
              </w:rPr>
            </w:pPr>
            <w:r>
              <w:rPr>
                <w:rFonts w:hint="eastAsia" w:ascii="宋体" w:hAnsi="宋体"/>
                <w:sz w:val="24"/>
              </w:rPr>
              <w:t>或其</w:t>
            </w:r>
            <w:r>
              <w:rPr>
                <w:rFonts w:ascii="宋体" w:hAnsi="宋体"/>
                <w:sz w:val="24"/>
              </w:rPr>
              <w:t>委托代理人</w:t>
            </w:r>
            <w:r>
              <w:rPr>
                <w:rFonts w:hint="eastAsia" w:ascii="宋体" w:hAnsi="宋体"/>
                <w:sz w:val="24"/>
              </w:rPr>
              <w:t>（签章）</w:t>
            </w:r>
          </w:p>
        </w:tc>
        <w:tc>
          <w:tcPr>
            <w:tcW w:w="1260" w:type="pct"/>
            <w:tcBorders>
              <w:top w:val="single" w:color="auto" w:sz="2" w:space="0"/>
              <w:left w:val="single" w:color="auto" w:sz="2" w:space="0"/>
              <w:bottom w:val="single" w:color="auto" w:sz="2" w:space="0"/>
            </w:tcBorders>
            <w:vAlign w:val="center"/>
          </w:tcPr>
          <w:p w14:paraId="0EF63850">
            <w:pPr>
              <w:adjustRightInd w:val="0"/>
              <w:snapToGrid w:val="0"/>
              <w:spacing w:line="300" w:lineRule="exact"/>
              <w:ind w:left="-120" w:right="-120"/>
              <w:jc w:val="center"/>
              <w:rPr>
                <w:rFonts w:hint="eastAsia" w:ascii="宋体" w:hAnsi="宋体"/>
                <w:sz w:val="24"/>
              </w:rPr>
            </w:pPr>
          </w:p>
        </w:tc>
      </w:tr>
      <w:tr w14:paraId="60004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vMerge w:val="continue"/>
            <w:tcBorders>
              <w:bottom w:val="single" w:color="auto" w:sz="2" w:space="0"/>
              <w:right w:val="single" w:color="auto" w:sz="2" w:space="0"/>
            </w:tcBorders>
            <w:vAlign w:val="center"/>
          </w:tcPr>
          <w:p w14:paraId="6D81552E">
            <w:pPr>
              <w:adjustRightInd w:val="0"/>
              <w:snapToGrid w:val="0"/>
              <w:spacing w:line="300" w:lineRule="exact"/>
              <w:ind w:left="-120" w:right="-120"/>
              <w:jc w:val="center"/>
              <w:rPr>
                <w:rFonts w:hint="eastAsia" w:ascii="宋体" w:hAnsi="宋体"/>
                <w:sz w:val="24"/>
              </w:rPr>
            </w:pPr>
          </w:p>
        </w:tc>
        <w:tc>
          <w:tcPr>
            <w:tcW w:w="1436" w:type="pct"/>
            <w:vMerge w:val="continue"/>
            <w:tcBorders>
              <w:left w:val="single" w:color="auto" w:sz="2" w:space="0"/>
              <w:bottom w:val="single" w:color="auto" w:sz="2" w:space="0"/>
              <w:right w:val="single" w:color="auto" w:sz="2" w:space="0"/>
            </w:tcBorders>
            <w:vAlign w:val="center"/>
          </w:tcPr>
          <w:p w14:paraId="15ADB37C">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3CB5392">
            <w:pPr>
              <w:adjustRightInd w:val="0"/>
              <w:snapToGrid w:val="0"/>
              <w:spacing w:line="300" w:lineRule="exact"/>
              <w:ind w:left="-120" w:right="-120"/>
              <w:jc w:val="center"/>
              <w:rPr>
                <w:rFonts w:hint="eastAsia" w:ascii="宋体" w:hAnsi="宋体"/>
                <w:sz w:val="24"/>
              </w:rPr>
            </w:pPr>
            <w:r>
              <w:rPr>
                <w:rFonts w:hint="eastAsia" w:ascii="宋体" w:hAnsi="宋体"/>
                <w:sz w:val="24"/>
              </w:rPr>
              <w:t>拥有者性别（必填）</w:t>
            </w:r>
          </w:p>
        </w:tc>
        <w:tc>
          <w:tcPr>
            <w:tcW w:w="1260" w:type="pct"/>
            <w:tcBorders>
              <w:top w:val="single" w:color="auto" w:sz="2" w:space="0"/>
              <w:left w:val="single" w:color="auto" w:sz="2" w:space="0"/>
              <w:bottom w:val="single" w:color="auto" w:sz="2" w:space="0"/>
            </w:tcBorders>
            <w:vAlign w:val="center"/>
          </w:tcPr>
          <w:p w14:paraId="6A51D25E">
            <w:pPr>
              <w:adjustRightInd w:val="0"/>
              <w:snapToGrid w:val="0"/>
              <w:spacing w:line="300" w:lineRule="exact"/>
              <w:ind w:left="-120" w:right="-120" w:firstLine="280"/>
              <w:jc w:val="center"/>
              <w:rPr>
                <w:rFonts w:hint="eastAsia" w:ascii="宋体" w:hAnsi="宋体"/>
                <w:spacing w:val="20"/>
                <w:sz w:val="24"/>
              </w:rPr>
            </w:pPr>
          </w:p>
        </w:tc>
      </w:tr>
      <w:tr w14:paraId="3576873F">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4D1642C">
            <w:pPr>
              <w:adjustRightInd w:val="0"/>
              <w:snapToGrid w:val="0"/>
              <w:spacing w:line="300" w:lineRule="exact"/>
              <w:ind w:left="-120" w:right="-120"/>
              <w:jc w:val="center"/>
              <w:rPr>
                <w:rFonts w:hint="eastAsia" w:ascii="宋体" w:hAnsi="宋体"/>
                <w:sz w:val="24"/>
              </w:rPr>
            </w:pPr>
            <w:r>
              <w:rPr>
                <w:rFonts w:hint="eastAsia" w:ascii="宋体" w:hAnsi="宋体"/>
                <w:sz w:val="24"/>
              </w:rPr>
              <w:t>住  所</w:t>
            </w:r>
          </w:p>
        </w:tc>
        <w:tc>
          <w:tcPr>
            <w:tcW w:w="1436" w:type="pct"/>
            <w:tcBorders>
              <w:top w:val="single" w:color="auto" w:sz="2" w:space="0"/>
              <w:left w:val="single" w:color="auto" w:sz="2" w:space="0"/>
              <w:bottom w:val="single" w:color="auto" w:sz="2" w:space="0"/>
              <w:right w:val="single" w:color="auto" w:sz="2" w:space="0"/>
            </w:tcBorders>
            <w:vAlign w:val="center"/>
          </w:tcPr>
          <w:p w14:paraId="6FFC9305">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7A11902">
            <w:pPr>
              <w:adjustRightInd w:val="0"/>
              <w:snapToGrid w:val="0"/>
              <w:spacing w:line="300" w:lineRule="exact"/>
              <w:ind w:left="-120" w:right="-120"/>
              <w:jc w:val="center"/>
              <w:rPr>
                <w:rFonts w:hint="eastAsia" w:ascii="宋体" w:hAnsi="宋体"/>
                <w:sz w:val="24"/>
              </w:rPr>
            </w:pPr>
            <w:r>
              <w:rPr>
                <w:rFonts w:hint="eastAsia" w:ascii="宋体" w:hAnsi="宋体"/>
                <w:sz w:val="24"/>
              </w:rPr>
              <w:t>住  所</w:t>
            </w:r>
          </w:p>
        </w:tc>
        <w:tc>
          <w:tcPr>
            <w:tcW w:w="1260" w:type="pct"/>
            <w:tcBorders>
              <w:top w:val="single" w:color="auto" w:sz="2" w:space="0"/>
              <w:left w:val="single" w:color="auto" w:sz="2" w:space="0"/>
              <w:bottom w:val="single" w:color="auto" w:sz="2" w:space="0"/>
            </w:tcBorders>
            <w:vAlign w:val="center"/>
          </w:tcPr>
          <w:p w14:paraId="0A4934AD">
            <w:pPr>
              <w:adjustRightInd w:val="0"/>
              <w:snapToGrid w:val="0"/>
              <w:spacing w:line="300" w:lineRule="exact"/>
              <w:ind w:left="-120" w:right="-120" w:firstLine="280"/>
              <w:jc w:val="center"/>
              <w:rPr>
                <w:rFonts w:hint="eastAsia" w:ascii="宋体" w:hAnsi="宋体"/>
                <w:spacing w:val="20"/>
                <w:sz w:val="24"/>
              </w:rPr>
            </w:pPr>
          </w:p>
        </w:tc>
      </w:tr>
      <w:tr w14:paraId="70427B2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F2F50C8">
            <w:pPr>
              <w:adjustRightInd w:val="0"/>
              <w:snapToGrid w:val="0"/>
              <w:spacing w:line="300" w:lineRule="exact"/>
              <w:ind w:left="-120" w:right="-120"/>
              <w:jc w:val="center"/>
              <w:rPr>
                <w:rFonts w:hint="eastAsia" w:ascii="宋体" w:hAnsi="宋体"/>
                <w:sz w:val="24"/>
              </w:rPr>
            </w:pPr>
            <w:r>
              <w:rPr>
                <w:rFonts w:ascii="宋体" w:hAnsi="宋体"/>
                <w:sz w:val="24"/>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753ADAC6">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DE7E120">
            <w:pPr>
              <w:adjustRightInd w:val="0"/>
              <w:snapToGrid w:val="0"/>
              <w:spacing w:line="300" w:lineRule="exact"/>
              <w:ind w:left="-120" w:right="-120"/>
              <w:jc w:val="center"/>
              <w:rPr>
                <w:rFonts w:hint="eastAsia" w:ascii="宋体" w:hAnsi="宋体"/>
                <w:sz w:val="24"/>
              </w:rPr>
            </w:pPr>
            <w:r>
              <w:rPr>
                <w:rFonts w:ascii="宋体" w:hAnsi="宋体"/>
                <w:sz w:val="24"/>
              </w:rPr>
              <w:t>联 系 人</w:t>
            </w:r>
          </w:p>
        </w:tc>
        <w:tc>
          <w:tcPr>
            <w:tcW w:w="1260" w:type="pct"/>
            <w:tcBorders>
              <w:top w:val="single" w:color="auto" w:sz="2" w:space="0"/>
              <w:left w:val="single" w:color="auto" w:sz="2" w:space="0"/>
              <w:bottom w:val="single" w:color="auto" w:sz="2" w:space="0"/>
            </w:tcBorders>
            <w:vAlign w:val="center"/>
          </w:tcPr>
          <w:p w14:paraId="73B48AEC">
            <w:pPr>
              <w:adjustRightInd w:val="0"/>
              <w:snapToGrid w:val="0"/>
              <w:spacing w:line="300" w:lineRule="exact"/>
              <w:ind w:left="-120" w:right="-120" w:firstLine="280"/>
              <w:jc w:val="center"/>
              <w:rPr>
                <w:rFonts w:hint="eastAsia" w:ascii="宋体" w:hAnsi="宋体"/>
                <w:spacing w:val="20"/>
                <w:sz w:val="24"/>
              </w:rPr>
            </w:pPr>
          </w:p>
        </w:tc>
      </w:tr>
      <w:tr w14:paraId="765D13C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417AF436">
            <w:pPr>
              <w:adjustRightInd w:val="0"/>
              <w:snapToGrid w:val="0"/>
              <w:spacing w:line="300" w:lineRule="exact"/>
              <w:ind w:left="-120" w:right="-120"/>
              <w:jc w:val="center"/>
              <w:rPr>
                <w:rFonts w:hint="eastAsia" w:ascii="宋体" w:hAnsi="宋体"/>
                <w:sz w:val="24"/>
              </w:rPr>
            </w:pPr>
            <w:r>
              <w:rPr>
                <w:rFonts w:ascii="宋体" w:hAnsi="宋体"/>
                <w:sz w:val="24"/>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24F79742">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9727812">
            <w:pPr>
              <w:adjustRightInd w:val="0"/>
              <w:snapToGrid w:val="0"/>
              <w:spacing w:line="300" w:lineRule="exact"/>
              <w:ind w:left="-120" w:right="-120"/>
              <w:jc w:val="center"/>
              <w:rPr>
                <w:rFonts w:hint="eastAsia" w:ascii="宋体" w:hAnsi="宋体"/>
                <w:sz w:val="24"/>
              </w:rPr>
            </w:pPr>
            <w:r>
              <w:rPr>
                <w:rFonts w:ascii="宋体" w:hAnsi="宋体"/>
                <w:sz w:val="24"/>
              </w:rPr>
              <w:t>联系电话</w:t>
            </w:r>
          </w:p>
        </w:tc>
        <w:tc>
          <w:tcPr>
            <w:tcW w:w="1260" w:type="pct"/>
            <w:tcBorders>
              <w:top w:val="single" w:color="auto" w:sz="2" w:space="0"/>
              <w:left w:val="single" w:color="auto" w:sz="2" w:space="0"/>
              <w:bottom w:val="single" w:color="auto" w:sz="2" w:space="0"/>
            </w:tcBorders>
            <w:vAlign w:val="center"/>
          </w:tcPr>
          <w:p w14:paraId="4775341D">
            <w:pPr>
              <w:adjustRightInd w:val="0"/>
              <w:snapToGrid w:val="0"/>
              <w:spacing w:line="300" w:lineRule="exact"/>
              <w:ind w:left="-120" w:right="-120" w:firstLine="280"/>
              <w:jc w:val="center"/>
              <w:rPr>
                <w:rFonts w:hint="eastAsia" w:ascii="宋体" w:hAnsi="宋体"/>
                <w:spacing w:val="20"/>
                <w:sz w:val="24"/>
              </w:rPr>
            </w:pPr>
          </w:p>
        </w:tc>
      </w:tr>
      <w:tr w14:paraId="6ED2A01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6BCB9712">
            <w:pPr>
              <w:adjustRightInd w:val="0"/>
              <w:snapToGrid w:val="0"/>
              <w:spacing w:line="300" w:lineRule="exact"/>
              <w:ind w:left="-120" w:right="-120"/>
              <w:jc w:val="center"/>
              <w:rPr>
                <w:rFonts w:hint="eastAsia" w:ascii="宋体" w:hAnsi="宋体"/>
                <w:sz w:val="24"/>
              </w:rPr>
            </w:pPr>
            <w:r>
              <w:rPr>
                <w:rFonts w:hint="eastAsia" w:ascii="宋体" w:hAnsi="宋体"/>
                <w:sz w:val="24"/>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7C6F8426">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5D2D9453">
            <w:pPr>
              <w:adjustRightInd w:val="0"/>
              <w:snapToGrid w:val="0"/>
              <w:spacing w:line="300" w:lineRule="exact"/>
              <w:ind w:left="-120" w:right="-120"/>
              <w:jc w:val="center"/>
              <w:rPr>
                <w:rFonts w:hint="eastAsia" w:ascii="宋体" w:hAnsi="宋体"/>
                <w:sz w:val="24"/>
              </w:rPr>
            </w:pPr>
            <w:r>
              <w:rPr>
                <w:rFonts w:hint="eastAsia" w:ascii="宋体" w:hAnsi="宋体"/>
                <w:sz w:val="24"/>
              </w:rPr>
              <w:t>通信地址</w:t>
            </w:r>
          </w:p>
        </w:tc>
        <w:tc>
          <w:tcPr>
            <w:tcW w:w="1260" w:type="pct"/>
            <w:tcBorders>
              <w:top w:val="single" w:color="auto" w:sz="2" w:space="0"/>
              <w:left w:val="single" w:color="auto" w:sz="2" w:space="0"/>
              <w:bottom w:val="single" w:color="auto" w:sz="2" w:space="0"/>
            </w:tcBorders>
            <w:vAlign w:val="center"/>
          </w:tcPr>
          <w:p w14:paraId="38A00AFF">
            <w:pPr>
              <w:adjustRightInd w:val="0"/>
              <w:snapToGrid w:val="0"/>
              <w:spacing w:line="300" w:lineRule="exact"/>
              <w:ind w:left="-120" w:right="-120" w:firstLine="280"/>
              <w:jc w:val="center"/>
              <w:rPr>
                <w:rFonts w:hint="eastAsia" w:ascii="宋体" w:hAnsi="宋体"/>
                <w:spacing w:val="20"/>
                <w:sz w:val="24"/>
              </w:rPr>
            </w:pPr>
          </w:p>
        </w:tc>
      </w:tr>
      <w:tr w14:paraId="33D7101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215583AE">
            <w:pPr>
              <w:adjustRightInd w:val="0"/>
              <w:snapToGrid w:val="0"/>
              <w:spacing w:line="300" w:lineRule="exact"/>
              <w:ind w:left="-120" w:right="-120"/>
              <w:jc w:val="center"/>
              <w:rPr>
                <w:rFonts w:hint="eastAsia" w:ascii="宋体" w:hAnsi="宋体"/>
                <w:sz w:val="24"/>
              </w:rPr>
            </w:pPr>
            <w:r>
              <w:rPr>
                <w:rFonts w:ascii="宋体" w:hAnsi="宋体"/>
                <w:sz w:val="24"/>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68A96986">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642262D">
            <w:pPr>
              <w:adjustRightInd w:val="0"/>
              <w:snapToGrid w:val="0"/>
              <w:spacing w:line="300" w:lineRule="exact"/>
              <w:ind w:left="-120" w:right="-120"/>
              <w:jc w:val="center"/>
              <w:rPr>
                <w:rFonts w:hint="eastAsia" w:ascii="宋体" w:hAnsi="宋体"/>
                <w:sz w:val="24"/>
              </w:rPr>
            </w:pPr>
            <w:r>
              <w:rPr>
                <w:rFonts w:ascii="宋体" w:hAnsi="宋体"/>
                <w:sz w:val="24"/>
              </w:rPr>
              <w:t>邮政编码</w:t>
            </w:r>
          </w:p>
        </w:tc>
        <w:tc>
          <w:tcPr>
            <w:tcW w:w="1260" w:type="pct"/>
            <w:tcBorders>
              <w:top w:val="single" w:color="auto" w:sz="2" w:space="0"/>
              <w:left w:val="single" w:color="auto" w:sz="2" w:space="0"/>
              <w:bottom w:val="single" w:color="auto" w:sz="2" w:space="0"/>
            </w:tcBorders>
            <w:vAlign w:val="center"/>
          </w:tcPr>
          <w:p w14:paraId="72BF66C9">
            <w:pPr>
              <w:adjustRightInd w:val="0"/>
              <w:snapToGrid w:val="0"/>
              <w:spacing w:line="300" w:lineRule="exact"/>
              <w:ind w:left="-120" w:right="-120" w:firstLine="280"/>
              <w:jc w:val="center"/>
              <w:rPr>
                <w:rFonts w:hint="eastAsia" w:ascii="宋体" w:hAnsi="宋体"/>
                <w:spacing w:val="20"/>
                <w:sz w:val="24"/>
              </w:rPr>
            </w:pPr>
          </w:p>
        </w:tc>
      </w:tr>
      <w:tr w14:paraId="2062B2E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9087D6">
            <w:pPr>
              <w:adjustRightInd w:val="0"/>
              <w:snapToGrid w:val="0"/>
              <w:spacing w:line="300" w:lineRule="exact"/>
              <w:ind w:left="-120" w:right="-120"/>
              <w:jc w:val="center"/>
              <w:rPr>
                <w:rFonts w:hint="eastAsia" w:ascii="宋体" w:hAnsi="宋体"/>
                <w:sz w:val="24"/>
              </w:rPr>
            </w:pPr>
            <w:r>
              <w:rPr>
                <w:rFonts w:hint="eastAsia" w:ascii="宋体" w:hAnsi="宋体"/>
                <w:sz w:val="24"/>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2FB7FBE7">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0479A9E">
            <w:pPr>
              <w:adjustRightInd w:val="0"/>
              <w:snapToGrid w:val="0"/>
              <w:spacing w:line="300" w:lineRule="exact"/>
              <w:ind w:left="-120" w:right="-120"/>
              <w:jc w:val="center"/>
              <w:rPr>
                <w:rFonts w:hint="eastAsia" w:ascii="宋体" w:hAnsi="宋体"/>
                <w:sz w:val="24"/>
              </w:rPr>
            </w:pPr>
            <w:r>
              <w:rPr>
                <w:rFonts w:hint="eastAsia" w:ascii="宋体" w:hAnsi="宋体"/>
                <w:sz w:val="24"/>
              </w:rPr>
              <w:t>电子邮箱</w:t>
            </w:r>
          </w:p>
        </w:tc>
        <w:tc>
          <w:tcPr>
            <w:tcW w:w="1260" w:type="pct"/>
            <w:tcBorders>
              <w:top w:val="single" w:color="auto" w:sz="2" w:space="0"/>
              <w:left w:val="single" w:color="auto" w:sz="2" w:space="0"/>
              <w:bottom w:val="single" w:color="auto" w:sz="2" w:space="0"/>
            </w:tcBorders>
            <w:vAlign w:val="center"/>
          </w:tcPr>
          <w:p w14:paraId="1603871A">
            <w:pPr>
              <w:adjustRightInd w:val="0"/>
              <w:snapToGrid w:val="0"/>
              <w:spacing w:line="300" w:lineRule="exact"/>
              <w:ind w:left="-120" w:right="-120" w:firstLine="280"/>
              <w:jc w:val="center"/>
              <w:rPr>
                <w:rFonts w:hint="eastAsia" w:ascii="宋体" w:hAnsi="宋体"/>
                <w:spacing w:val="20"/>
                <w:sz w:val="24"/>
              </w:rPr>
            </w:pPr>
          </w:p>
        </w:tc>
      </w:tr>
      <w:tr w14:paraId="2F5B4BC7">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05764C8C">
            <w:pPr>
              <w:adjustRightInd w:val="0"/>
              <w:snapToGrid w:val="0"/>
              <w:spacing w:line="300" w:lineRule="exact"/>
              <w:ind w:left="-120" w:right="-120"/>
              <w:jc w:val="center"/>
              <w:rPr>
                <w:rFonts w:hint="eastAsia" w:ascii="宋体" w:hAnsi="宋体"/>
                <w:sz w:val="24"/>
              </w:rPr>
            </w:pPr>
            <w:r>
              <w:rPr>
                <w:rFonts w:hint="eastAsia" w:ascii="宋体" w:hAnsi="宋体"/>
                <w:sz w:val="24"/>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2663374E">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474D77C3">
            <w:pPr>
              <w:adjustRightInd w:val="0"/>
              <w:snapToGrid w:val="0"/>
              <w:spacing w:line="300" w:lineRule="exact"/>
              <w:ind w:left="-120" w:right="-120"/>
              <w:jc w:val="center"/>
              <w:rPr>
                <w:rFonts w:hint="eastAsia" w:ascii="宋体" w:hAnsi="宋体"/>
                <w:sz w:val="24"/>
              </w:rPr>
            </w:pPr>
            <w:r>
              <w:rPr>
                <w:rFonts w:hint="eastAsia" w:ascii="宋体" w:hAnsi="宋体"/>
                <w:sz w:val="24"/>
              </w:rPr>
              <w:t>统一社会信用代码</w:t>
            </w:r>
          </w:p>
        </w:tc>
        <w:tc>
          <w:tcPr>
            <w:tcW w:w="1260" w:type="pct"/>
            <w:tcBorders>
              <w:top w:val="single" w:color="auto" w:sz="2" w:space="0"/>
              <w:left w:val="single" w:color="auto" w:sz="2" w:space="0"/>
              <w:bottom w:val="single" w:color="auto" w:sz="2" w:space="0"/>
            </w:tcBorders>
            <w:vAlign w:val="center"/>
          </w:tcPr>
          <w:p w14:paraId="01F8582C">
            <w:pPr>
              <w:adjustRightInd w:val="0"/>
              <w:snapToGrid w:val="0"/>
              <w:spacing w:line="300" w:lineRule="exact"/>
              <w:ind w:left="-120" w:right="-120" w:firstLine="280"/>
              <w:jc w:val="center"/>
              <w:rPr>
                <w:rFonts w:hint="eastAsia" w:ascii="宋体" w:hAnsi="宋体"/>
                <w:spacing w:val="20"/>
                <w:sz w:val="24"/>
              </w:rPr>
            </w:pPr>
          </w:p>
        </w:tc>
      </w:tr>
      <w:tr w14:paraId="6373421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C76E92F">
            <w:pPr>
              <w:adjustRightInd w:val="0"/>
              <w:snapToGrid w:val="0"/>
              <w:spacing w:line="300" w:lineRule="exact"/>
              <w:ind w:left="-120" w:right="-120"/>
              <w:jc w:val="center"/>
              <w:rPr>
                <w:rFonts w:hint="eastAsia" w:ascii="宋体" w:hAnsi="宋体"/>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8DCA363">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2374FBB6">
            <w:pPr>
              <w:adjustRightInd w:val="0"/>
              <w:snapToGrid w:val="0"/>
              <w:spacing w:line="300" w:lineRule="exact"/>
              <w:ind w:left="-120" w:right="-120"/>
              <w:jc w:val="center"/>
              <w:rPr>
                <w:rFonts w:hint="eastAsia" w:ascii="宋体" w:hAnsi="宋体"/>
                <w:sz w:val="24"/>
              </w:rPr>
            </w:pPr>
            <w:r>
              <w:rPr>
                <w:rFonts w:ascii="宋体" w:hAnsi="宋体"/>
                <w:sz w:val="24"/>
              </w:rPr>
              <w:t>开户名称</w:t>
            </w:r>
          </w:p>
        </w:tc>
        <w:tc>
          <w:tcPr>
            <w:tcW w:w="1260" w:type="pct"/>
            <w:tcBorders>
              <w:top w:val="single" w:color="auto" w:sz="2" w:space="0"/>
              <w:left w:val="single" w:color="auto" w:sz="2" w:space="0"/>
              <w:bottom w:val="single" w:color="auto" w:sz="2" w:space="0"/>
            </w:tcBorders>
            <w:vAlign w:val="center"/>
          </w:tcPr>
          <w:p w14:paraId="59E93A6D">
            <w:pPr>
              <w:adjustRightInd w:val="0"/>
              <w:snapToGrid w:val="0"/>
              <w:spacing w:line="300" w:lineRule="exact"/>
              <w:ind w:left="-120" w:right="-120" w:firstLine="280"/>
              <w:jc w:val="center"/>
              <w:rPr>
                <w:rFonts w:hint="eastAsia" w:ascii="宋体" w:hAnsi="宋体"/>
                <w:spacing w:val="20"/>
                <w:sz w:val="24"/>
              </w:rPr>
            </w:pPr>
          </w:p>
        </w:tc>
      </w:tr>
      <w:tr w14:paraId="08D623D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57BC1632">
            <w:pPr>
              <w:adjustRightInd w:val="0"/>
              <w:snapToGrid w:val="0"/>
              <w:spacing w:line="300" w:lineRule="exact"/>
              <w:ind w:left="-120" w:right="-120"/>
              <w:jc w:val="center"/>
              <w:rPr>
                <w:rFonts w:hint="eastAsia" w:ascii="宋体" w:hAnsi="宋体"/>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65AC56D3">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1F8BD49D">
            <w:pPr>
              <w:adjustRightInd w:val="0"/>
              <w:snapToGrid w:val="0"/>
              <w:spacing w:line="300" w:lineRule="exact"/>
              <w:ind w:left="-120" w:right="-120"/>
              <w:jc w:val="center"/>
              <w:rPr>
                <w:rFonts w:hint="eastAsia" w:ascii="宋体" w:hAnsi="宋体"/>
                <w:sz w:val="24"/>
              </w:rPr>
            </w:pPr>
            <w:r>
              <w:rPr>
                <w:rFonts w:ascii="宋体" w:hAnsi="宋体"/>
                <w:sz w:val="24"/>
              </w:rPr>
              <w:t>开户银行</w:t>
            </w:r>
          </w:p>
        </w:tc>
        <w:tc>
          <w:tcPr>
            <w:tcW w:w="1260" w:type="pct"/>
            <w:tcBorders>
              <w:top w:val="single" w:color="auto" w:sz="2" w:space="0"/>
              <w:left w:val="single" w:color="auto" w:sz="2" w:space="0"/>
              <w:bottom w:val="single" w:color="auto" w:sz="2" w:space="0"/>
            </w:tcBorders>
            <w:vAlign w:val="center"/>
          </w:tcPr>
          <w:p w14:paraId="52685D75">
            <w:pPr>
              <w:adjustRightInd w:val="0"/>
              <w:snapToGrid w:val="0"/>
              <w:spacing w:line="300" w:lineRule="exact"/>
              <w:ind w:left="-120" w:right="-120" w:firstLine="280"/>
              <w:jc w:val="center"/>
              <w:rPr>
                <w:rFonts w:hint="eastAsia" w:ascii="宋体" w:hAnsi="宋体"/>
                <w:spacing w:val="20"/>
                <w:sz w:val="24"/>
              </w:rPr>
            </w:pPr>
          </w:p>
        </w:tc>
      </w:tr>
      <w:tr w14:paraId="595492D4">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6" w:type="pct"/>
            <w:tcBorders>
              <w:top w:val="single" w:color="auto" w:sz="2" w:space="0"/>
              <w:bottom w:val="single" w:color="auto" w:sz="2" w:space="0"/>
              <w:right w:val="single" w:color="auto" w:sz="2" w:space="0"/>
            </w:tcBorders>
            <w:vAlign w:val="center"/>
          </w:tcPr>
          <w:p w14:paraId="1A2A2D93">
            <w:pPr>
              <w:adjustRightInd w:val="0"/>
              <w:snapToGrid w:val="0"/>
              <w:spacing w:line="300" w:lineRule="exact"/>
              <w:ind w:left="-120" w:right="-120"/>
              <w:jc w:val="center"/>
              <w:rPr>
                <w:rFonts w:hint="eastAsia" w:ascii="宋体" w:hAnsi="宋体"/>
                <w:sz w:val="24"/>
              </w:rPr>
            </w:pPr>
          </w:p>
        </w:tc>
        <w:tc>
          <w:tcPr>
            <w:tcW w:w="1436" w:type="pct"/>
            <w:tcBorders>
              <w:top w:val="single" w:color="auto" w:sz="2" w:space="0"/>
              <w:left w:val="single" w:color="auto" w:sz="2" w:space="0"/>
              <w:bottom w:val="single" w:color="auto" w:sz="2" w:space="0"/>
              <w:right w:val="single" w:color="auto" w:sz="2" w:space="0"/>
            </w:tcBorders>
            <w:vAlign w:val="center"/>
          </w:tcPr>
          <w:p w14:paraId="5F232FE6">
            <w:pPr>
              <w:adjustRightInd w:val="0"/>
              <w:snapToGrid w:val="0"/>
              <w:spacing w:line="300" w:lineRule="exact"/>
              <w:ind w:left="-120" w:right="-120"/>
              <w:jc w:val="center"/>
              <w:rPr>
                <w:rFonts w:hint="eastAsia" w:ascii="宋体" w:hAnsi="宋体"/>
                <w:sz w:val="24"/>
              </w:rPr>
            </w:pPr>
          </w:p>
        </w:tc>
        <w:tc>
          <w:tcPr>
            <w:tcW w:w="1178" w:type="pct"/>
            <w:tcBorders>
              <w:top w:val="single" w:color="auto" w:sz="2" w:space="0"/>
              <w:left w:val="single" w:color="auto" w:sz="2" w:space="0"/>
              <w:bottom w:val="single" w:color="auto" w:sz="2" w:space="0"/>
              <w:right w:val="single" w:color="auto" w:sz="2" w:space="0"/>
            </w:tcBorders>
            <w:vAlign w:val="center"/>
          </w:tcPr>
          <w:p w14:paraId="63F1800A">
            <w:pPr>
              <w:adjustRightInd w:val="0"/>
              <w:snapToGrid w:val="0"/>
              <w:spacing w:line="300" w:lineRule="exact"/>
              <w:ind w:left="-120" w:right="-120"/>
              <w:jc w:val="center"/>
              <w:rPr>
                <w:rFonts w:hint="eastAsia" w:ascii="宋体" w:hAnsi="宋体"/>
                <w:sz w:val="24"/>
              </w:rPr>
            </w:pPr>
            <w:r>
              <w:rPr>
                <w:rFonts w:ascii="宋体" w:hAnsi="宋体"/>
                <w:sz w:val="24"/>
              </w:rPr>
              <w:t>银行账号</w:t>
            </w:r>
          </w:p>
        </w:tc>
        <w:tc>
          <w:tcPr>
            <w:tcW w:w="1260" w:type="pct"/>
            <w:tcBorders>
              <w:top w:val="single" w:color="auto" w:sz="2" w:space="0"/>
              <w:left w:val="single" w:color="auto" w:sz="2" w:space="0"/>
              <w:bottom w:val="single" w:color="auto" w:sz="2" w:space="0"/>
            </w:tcBorders>
            <w:vAlign w:val="center"/>
          </w:tcPr>
          <w:p w14:paraId="42C9F8A4">
            <w:pPr>
              <w:adjustRightInd w:val="0"/>
              <w:snapToGrid w:val="0"/>
              <w:spacing w:line="300" w:lineRule="exact"/>
              <w:ind w:left="-120" w:right="-120" w:firstLine="280"/>
              <w:jc w:val="center"/>
              <w:rPr>
                <w:rFonts w:hint="eastAsia" w:ascii="宋体" w:hAnsi="宋体"/>
                <w:spacing w:val="20"/>
                <w:sz w:val="24"/>
              </w:rPr>
            </w:pPr>
          </w:p>
        </w:tc>
      </w:tr>
      <w:tr w14:paraId="1CC25751">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586" w:hRule="atLeast"/>
        </w:trPr>
        <w:tc>
          <w:tcPr>
            <w:tcW w:w="5000" w:type="pct"/>
            <w:gridSpan w:val="4"/>
            <w:tcBorders>
              <w:top w:val="single" w:color="auto" w:sz="2" w:space="0"/>
            </w:tcBorders>
            <w:vAlign w:val="center"/>
          </w:tcPr>
          <w:p w14:paraId="1C91B465">
            <w:pPr>
              <w:pStyle w:val="19"/>
              <w:adjustRightInd w:val="0"/>
              <w:snapToGrid w:val="0"/>
              <w:spacing w:before="120" w:beforeLines="50"/>
              <w:ind w:left="-120" w:right="-120" w:firstLine="240"/>
              <w:jc w:val="left"/>
              <w:rPr>
                <w:rFonts w:hint="eastAsia" w:ascii="宋体" w:hAnsi="宋体"/>
                <w:spacing w:val="20"/>
              </w:rPr>
            </w:pPr>
            <w:r>
              <w:rPr>
                <w:rFonts w:hint="eastAsia" w:ascii="宋体" w:hAnsi="宋体"/>
              </w:rPr>
              <w:t>注：涉及联合体或其他合同主体的信息应按上表格式加列。</w:t>
            </w:r>
          </w:p>
        </w:tc>
      </w:tr>
    </w:tbl>
    <w:p w14:paraId="669C82FC">
      <w:pPr>
        <w:pStyle w:val="3"/>
        <w:snapToGrid w:val="0"/>
        <w:ind w:left="-120" w:right="-120" w:firstLine="211"/>
        <w:rPr>
          <w:rFonts w:hint="eastAsia" w:ascii="宋体" w:hAnsi="宋体"/>
          <w:sz w:val="28"/>
          <w:szCs w:val="28"/>
        </w:rPr>
      </w:pPr>
      <w:r>
        <w:rPr>
          <w:rFonts w:ascii="宋体" w:hAnsi="宋体"/>
          <w:sz w:val="21"/>
          <w:szCs w:val="21"/>
          <w:u w:val="single"/>
        </w:rPr>
        <w:br w:type="page"/>
      </w:r>
      <w:bookmarkStart w:id="775" w:name="_Toc27624"/>
      <w:r>
        <w:rPr>
          <w:rFonts w:hint="eastAsia" w:ascii="宋体" w:hAnsi="宋体"/>
          <w:sz w:val="28"/>
          <w:szCs w:val="28"/>
        </w:rPr>
        <w:t>第二节 政府采购合同通用条款</w:t>
      </w:r>
      <w:bookmarkEnd w:id="775"/>
    </w:p>
    <w:p w14:paraId="1D59DF1B">
      <w:pPr>
        <w:tabs>
          <w:tab w:val="left" w:pos="8820"/>
          <w:tab w:val="left" w:pos="9345"/>
          <w:tab w:val="left" w:pos="9765"/>
        </w:tabs>
        <w:adjustRightInd w:val="0"/>
        <w:snapToGrid w:val="0"/>
        <w:spacing w:line="360" w:lineRule="auto"/>
        <w:ind w:left="-120" w:right="-120" w:firstLine="241"/>
        <w:jc w:val="left"/>
        <w:rPr>
          <w:rFonts w:hint="eastAsia" w:ascii="宋体" w:hAnsi="宋体"/>
          <w:b/>
          <w:bCs/>
          <w:sz w:val="24"/>
        </w:rPr>
      </w:pPr>
      <w:r>
        <w:rPr>
          <w:rFonts w:hint="eastAsia" w:ascii="宋体" w:hAnsi="宋体"/>
          <w:b/>
          <w:sz w:val="24"/>
        </w:rPr>
        <w:t xml:space="preserve">1. </w:t>
      </w:r>
      <w:r>
        <w:rPr>
          <w:rFonts w:hint="eastAsia" w:ascii="宋体" w:hAnsi="宋体"/>
          <w:b/>
          <w:bCs/>
          <w:sz w:val="24"/>
        </w:rPr>
        <w:t>定义</w:t>
      </w:r>
    </w:p>
    <w:p w14:paraId="1BD0D552">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1.1合同当事人</w:t>
      </w:r>
    </w:p>
    <w:p w14:paraId="35945B58">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（1）采购人（以下称甲方）是指使用财政性资金，通过政府采购方式向供应商购买货物及其相关服务的国家机关、事业单位、团体组织。</w:t>
      </w:r>
    </w:p>
    <w:p w14:paraId="17810D6C">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（2）供应商（以下称乙方）是指参加政府采购活动并且中标（成交），向采购人提供合同约定的货物及其相关服务的法人、非法人组织或者自然人。</w:t>
      </w:r>
    </w:p>
    <w:p w14:paraId="4CECA287">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（3）其他合同主体是指除采购人和供应商以外，</w:t>
      </w:r>
      <w:r>
        <w:rPr>
          <w:rFonts w:hint="eastAsia" w:ascii="宋体" w:hAnsi="宋体" w:cs="宋体"/>
          <w:bCs/>
          <w:sz w:val="24"/>
        </w:rPr>
        <w:t>依法参与合同缔结或履行，享有权利、承担义务的合同当事人</w:t>
      </w:r>
      <w:r>
        <w:rPr>
          <w:rFonts w:hint="eastAsia" w:ascii="宋体" w:hAnsi="宋体"/>
          <w:sz w:val="24"/>
        </w:rPr>
        <w:t>。</w:t>
      </w:r>
    </w:p>
    <w:p w14:paraId="2D23FB06">
      <w:pPr>
        <w:tabs>
          <w:tab w:val="left" w:pos="570"/>
          <w:tab w:val="left" w:pos="9240"/>
          <w:tab w:val="left" w:pos="9555"/>
        </w:tabs>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1.2本合同下列术语应解释为：</w:t>
      </w:r>
    </w:p>
    <w:p w14:paraId="5861D0D2">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（1）“合同”系指</w:t>
      </w:r>
      <w:r>
        <w:rPr>
          <w:rFonts w:hint="eastAsia" w:ascii="宋体" w:hAnsi="宋体" w:cs="宋体"/>
          <w:bCs/>
          <w:sz w:val="24"/>
        </w:rPr>
        <w:t>合同当事人意思表示达成一致的任何协议，包括签署的</w:t>
      </w:r>
      <w:r>
        <w:rPr>
          <w:rFonts w:hint="eastAsia" w:ascii="宋体" w:hAnsi="宋体"/>
          <w:sz w:val="24"/>
        </w:rPr>
        <w:t>政府采购合同协议书及其变更、补充协议，政府采购合同专用条款，政府采购合同通用条款，中标（成交）通知书，投标（响应）文件，采购文件，有关技术文件和图纸，以及</w:t>
      </w:r>
      <w:r>
        <w:rPr>
          <w:rFonts w:hint="eastAsia" w:ascii="宋体" w:hAnsi="宋体" w:cs="宋体"/>
          <w:sz w:val="24"/>
        </w:rPr>
        <w:t>国家法律、行政法规和规章制度规定或合同约定的作为合同组成部分的其他文件</w:t>
      </w:r>
      <w:r>
        <w:rPr>
          <w:rFonts w:hint="eastAsia" w:ascii="宋体" w:hAnsi="宋体"/>
          <w:sz w:val="24"/>
        </w:rPr>
        <w:t>。</w:t>
      </w:r>
    </w:p>
    <w:p w14:paraId="3B94F89B">
      <w:pPr>
        <w:tabs>
          <w:tab w:val="left" w:pos="570"/>
          <w:tab w:val="left" w:pos="9240"/>
          <w:tab w:val="left" w:pos="9555"/>
        </w:tabs>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（2）“合同价款”系指根据本合同规定乙方在全面履行合同义务后甲方应支付给乙方的价款。</w:t>
      </w:r>
    </w:p>
    <w:p w14:paraId="5D1236DC">
      <w:pPr>
        <w:tabs>
          <w:tab w:val="left" w:pos="570"/>
          <w:tab w:val="left" w:pos="9240"/>
          <w:tab w:val="left" w:pos="9555"/>
        </w:tabs>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（3）“货物”系指乙方根据本合同规定须向甲方提供的各种形态和种类的物品，包括原材料、设备、产品（包括软件）及相关的其备品备件、工具、手册及</w:t>
      </w:r>
      <w:r>
        <w:rPr>
          <w:rFonts w:ascii="宋体" w:hAnsi="宋体"/>
          <w:sz w:val="24"/>
          <w:lang w:val="en"/>
        </w:rPr>
        <w:t>其他</w:t>
      </w:r>
      <w:r>
        <w:rPr>
          <w:rFonts w:hint="eastAsia" w:ascii="宋体" w:hAnsi="宋体"/>
          <w:sz w:val="24"/>
        </w:rPr>
        <w:t>技术资料和材料等。</w:t>
      </w:r>
    </w:p>
    <w:p w14:paraId="1ECF8CFC">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（4）“相关服务”系指根据合同规定，乙方应提供的与货物有关的技术、管理和</w:t>
      </w:r>
      <w:r>
        <w:rPr>
          <w:rFonts w:ascii="宋体" w:hAnsi="宋体"/>
          <w:sz w:val="24"/>
          <w:lang w:val="en"/>
        </w:rPr>
        <w:t>其他</w:t>
      </w:r>
      <w:r>
        <w:rPr>
          <w:rFonts w:hint="eastAsia" w:ascii="宋体" w:hAnsi="宋体"/>
          <w:sz w:val="24"/>
        </w:rPr>
        <w:t>服务，包括但不限于：管理和质量保证、运输、保险、检验、现场准备、安装、集成、调试、培训、维修、废弃处置、技术支持等以及合同中规定乙方应承担的</w:t>
      </w:r>
      <w:r>
        <w:rPr>
          <w:rFonts w:ascii="宋体" w:hAnsi="宋体"/>
          <w:sz w:val="24"/>
          <w:lang w:val="en"/>
        </w:rPr>
        <w:t>其他</w:t>
      </w:r>
      <w:r>
        <w:rPr>
          <w:rFonts w:hint="eastAsia" w:ascii="宋体" w:hAnsi="宋体"/>
          <w:sz w:val="24"/>
        </w:rPr>
        <w:t>义务。</w:t>
      </w:r>
    </w:p>
    <w:p w14:paraId="1B606B14">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（5）“分包”系指中标（成交）供应商按采购文件、投标（响应）文件的规定，根据分包意向协议，将中标（成交）项目中的部分履约内容，分给具有相应资质条件的供应商履行合同的行为。</w:t>
      </w:r>
    </w:p>
    <w:p w14:paraId="5CF89556">
      <w:pPr>
        <w:tabs>
          <w:tab w:val="left" w:pos="570"/>
          <w:tab w:val="left" w:pos="9240"/>
          <w:tab w:val="left" w:pos="9555"/>
        </w:tabs>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宋体" w:hAnsi="宋体"/>
          <w:b/>
          <w:bCs/>
          <w:sz w:val="24"/>
        </w:rPr>
        <w:t>政府采购合同专用条款</w:t>
      </w:r>
      <w:r>
        <w:rPr>
          <w:rFonts w:hint="eastAsia" w:ascii="宋体" w:hAnsi="宋体"/>
          <w:sz w:val="24"/>
        </w:rPr>
        <w:t>】。</w:t>
      </w:r>
    </w:p>
    <w:p w14:paraId="4785F17D">
      <w:pPr>
        <w:tabs>
          <w:tab w:val="left" w:pos="570"/>
          <w:tab w:val="left" w:pos="9240"/>
          <w:tab w:val="left" w:pos="9555"/>
        </w:tabs>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（7）其他术语解释，见【</w:t>
      </w:r>
      <w:r>
        <w:rPr>
          <w:rFonts w:hint="eastAsia" w:ascii="宋体" w:hAnsi="宋体"/>
          <w:b/>
          <w:bCs/>
          <w:sz w:val="24"/>
        </w:rPr>
        <w:t>政府采购合同专用条款</w:t>
      </w:r>
      <w:r>
        <w:rPr>
          <w:rFonts w:hint="eastAsia" w:ascii="宋体" w:hAnsi="宋体"/>
          <w:sz w:val="24"/>
        </w:rPr>
        <w:t>】。</w:t>
      </w:r>
    </w:p>
    <w:p w14:paraId="788E1BCD">
      <w:pPr>
        <w:numPr>
          <w:ilvl w:val="0"/>
          <w:numId w:val="10"/>
        </w:num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sz w:val="24"/>
        </w:rPr>
        <w:t>合同标的及金额</w:t>
      </w:r>
    </w:p>
    <w:p w14:paraId="7ECD8E0A">
      <w:pPr>
        <w:autoSpaceDE w:val="0"/>
        <w:autoSpaceDN w:val="0"/>
        <w:adjustRightInd w:val="0"/>
        <w:snapToGrid w:val="0"/>
        <w:spacing w:line="360" w:lineRule="auto"/>
        <w:ind w:left="-120" w:right="-120" w:firstLine="480" w:firstLineChars="200"/>
        <w:jc w:val="left"/>
        <w:rPr>
          <w:rFonts w:hint="eastAsia" w:ascii="宋体" w:hAnsi="宋体"/>
          <w:b/>
          <w:bCs/>
          <w:i/>
          <w:iCs/>
          <w:sz w:val="24"/>
        </w:rPr>
      </w:pPr>
      <w:r>
        <w:rPr>
          <w:rFonts w:hint="eastAsia" w:ascii="宋体" w:hAnsi="宋体"/>
          <w:sz w:val="24"/>
        </w:rPr>
        <w:t>2.1 合同标的及金额应与中标（成交）结果一致。乙方为履行本合同而发生的所有费用均应包含在合同价款中，甲方不再另行支付</w:t>
      </w:r>
      <w:r>
        <w:rPr>
          <w:rFonts w:ascii="宋体" w:hAnsi="宋体"/>
          <w:sz w:val="24"/>
          <w:lang w:val="en"/>
        </w:rPr>
        <w:t>其他</w:t>
      </w:r>
      <w:r>
        <w:rPr>
          <w:rFonts w:hint="eastAsia" w:ascii="宋体" w:hAnsi="宋体"/>
          <w:sz w:val="24"/>
        </w:rPr>
        <w:t>任何费用。</w:t>
      </w:r>
    </w:p>
    <w:p w14:paraId="2ECF1E87">
      <w:pPr>
        <w:adjustRightInd w:val="0"/>
        <w:snapToGrid w:val="0"/>
        <w:spacing w:line="360" w:lineRule="auto"/>
        <w:ind w:left="-120" w:right="-120" w:firstLine="241"/>
        <w:jc w:val="left"/>
        <w:rPr>
          <w:rFonts w:hint="eastAsia" w:ascii="宋体" w:hAnsi="宋体"/>
          <w:b/>
          <w:sz w:val="24"/>
        </w:rPr>
      </w:pPr>
      <w:r>
        <w:rPr>
          <w:rFonts w:hint="eastAsia" w:ascii="宋体" w:hAnsi="宋体"/>
          <w:b/>
          <w:sz w:val="24"/>
        </w:rPr>
        <w:t>3. 履行合同的时间、地点和方式</w:t>
      </w:r>
    </w:p>
    <w:p w14:paraId="5AD2F57C">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 xml:space="preserve">3.1 </w:t>
      </w:r>
      <w:r>
        <w:rPr>
          <w:rFonts w:hint="eastAsia" w:ascii="宋体" w:hAnsi="宋体" w:cs="宋体"/>
          <w:sz w:val="24"/>
        </w:rPr>
        <w:t>乙方应当在约定的时间、地点，按照约定方式履行合同。</w:t>
      </w:r>
    </w:p>
    <w:p w14:paraId="6A208B15">
      <w:p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4. 甲方的权利和义务</w:t>
      </w:r>
    </w:p>
    <w:p w14:paraId="7D849A30">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4.1</w:t>
      </w:r>
      <w:r>
        <w:rPr>
          <w:rFonts w:ascii="宋体" w:hAnsi="宋体"/>
          <w:sz w:val="24"/>
        </w:rPr>
        <w:t xml:space="preserve"> 签署合同后，甲方</w:t>
      </w:r>
      <w:r>
        <w:rPr>
          <w:rFonts w:hint="eastAsia" w:ascii="宋体" w:hAnsi="宋体"/>
          <w:sz w:val="24"/>
        </w:rPr>
        <w:t>应</w:t>
      </w:r>
      <w:r>
        <w:rPr>
          <w:rFonts w:ascii="宋体" w:hAnsi="宋体"/>
          <w:sz w:val="24"/>
        </w:rPr>
        <w:t>确定</w:t>
      </w:r>
      <w:r>
        <w:rPr>
          <w:rFonts w:hint="eastAsia" w:ascii="宋体" w:hAnsi="宋体"/>
          <w:sz w:val="24"/>
        </w:rPr>
        <w:t>项目负责人（或项目联系人）</w:t>
      </w:r>
      <w:r>
        <w:rPr>
          <w:rFonts w:ascii="宋体" w:hAnsi="宋体"/>
          <w:sz w:val="24"/>
        </w:rPr>
        <w:t>，负责与本合同有关的事务。</w:t>
      </w:r>
      <w:r>
        <w:rPr>
          <w:rFonts w:hint="eastAsia" w:ascii="宋体" w:hAnsi="宋体"/>
          <w:sz w:val="24"/>
        </w:rPr>
        <w:t>甲方有权对乙方的履约行为进行检查，并</w:t>
      </w:r>
      <w:r>
        <w:rPr>
          <w:rFonts w:ascii="宋体" w:hAnsi="宋体"/>
          <w:sz w:val="24"/>
        </w:rPr>
        <w:t>及时确认乙方提交的事项</w:t>
      </w:r>
      <w:r>
        <w:rPr>
          <w:rFonts w:hint="eastAsia" w:ascii="宋体" w:hAnsi="宋体"/>
          <w:sz w:val="24"/>
        </w:rPr>
        <w:t>。甲方应当</w:t>
      </w:r>
      <w:r>
        <w:rPr>
          <w:rFonts w:ascii="宋体" w:hAnsi="宋体"/>
          <w:sz w:val="24"/>
        </w:rPr>
        <w:t>配合乙方完成</w:t>
      </w:r>
      <w:r>
        <w:rPr>
          <w:rFonts w:hint="eastAsia" w:ascii="宋体" w:hAnsi="宋体"/>
          <w:sz w:val="24"/>
        </w:rPr>
        <w:t>相关项目</w:t>
      </w:r>
      <w:r>
        <w:rPr>
          <w:rFonts w:ascii="宋体" w:hAnsi="宋体"/>
          <w:sz w:val="24"/>
        </w:rPr>
        <w:t>实施工作。</w:t>
      </w:r>
    </w:p>
    <w:p w14:paraId="631C236A">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 xml:space="preserve">4.2 </w:t>
      </w:r>
      <w:r>
        <w:rPr>
          <w:rFonts w:ascii="宋体" w:hAnsi="宋体"/>
          <w:sz w:val="24"/>
        </w:rPr>
        <w:t>甲方有权要求乙方按时提交各阶段有关</w:t>
      </w:r>
      <w:r>
        <w:rPr>
          <w:rFonts w:hint="eastAsia" w:ascii="宋体" w:hAnsi="宋体"/>
          <w:sz w:val="24"/>
        </w:rPr>
        <w:t>安排计划</w:t>
      </w:r>
      <w:r>
        <w:rPr>
          <w:rFonts w:ascii="宋体" w:hAnsi="宋体"/>
          <w:sz w:val="24"/>
        </w:rPr>
        <w:t>，并有权</w:t>
      </w:r>
      <w:r>
        <w:rPr>
          <w:rFonts w:hint="eastAsia" w:ascii="宋体" w:hAnsi="宋体"/>
          <w:sz w:val="24"/>
        </w:rPr>
        <w:t>定期核对乙方提供货物数量、规格、质量等内容。甲方</w:t>
      </w:r>
      <w:r>
        <w:rPr>
          <w:rFonts w:ascii="宋体" w:hAnsi="宋体"/>
          <w:sz w:val="24"/>
        </w:rPr>
        <w:t>有权督促乙方工作并要求乙方</w:t>
      </w:r>
      <w:r>
        <w:rPr>
          <w:rFonts w:hint="eastAsia" w:ascii="宋体" w:hAnsi="宋体"/>
          <w:sz w:val="24"/>
        </w:rPr>
        <w:t>更</w:t>
      </w:r>
      <w:r>
        <w:rPr>
          <w:rFonts w:ascii="宋体" w:hAnsi="宋体"/>
          <w:sz w:val="24"/>
        </w:rPr>
        <w:t>换不符合要求的</w:t>
      </w:r>
      <w:r>
        <w:rPr>
          <w:rFonts w:hint="eastAsia" w:ascii="宋体" w:hAnsi="宋体"/>
          <w:sz w:val="24"/>
        </w:rPr>
        <w:t>货物</w:t>
      </w:r>
      <w:r>
        <w:rPr>
          <w:rFonts w:ascii="宋体" w:hAnsi="宋体"/>
          <w:sz w:val="24"/>
        </w:rPr>
        <w:t>。</w:t>
      </w:r>
    </w:p>
    <w:p w14:paraId="49877CA3">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4.</w:t>
      </w:r>
      <w:r>
        <w:rPr>
          <w:rFonts w:ascii="宋体" w:hAnsi="宋体"/>
          <w:sz w:val="24"/>
        </w:rPr>
        <w:t>3</w:t>
      </w:r>
      <w:r>
        <w:rPr>
          <w:rFonts w:hint="eastAsia" w:ascii="宋体" w:hAnsi="宋体"/>
          <w:sz w:val="24"/>
        </w:rPr>
        <w:t xml:space="preserve"> </w:t>
      </w:r>
      <w:r>
        <w:rPr>
          <w:rFonts w:ascii="宋体" w:hAnsi="宋体"/>
          <w:sz w:val="24"/>
        </w:rPr>
        <w:t>甲方</w:t>
      </w:r>
      <w:r>
        <w:rPr>
          <w:rFonts w:hint="eastAsia" w:ascii="宋体" w:hAnsi="宋体"/>
          <w:sz w:val="24"/>
        </w:rPr>
        <w:t>有权要求乙方对缺陷部分予以修复，并按合同约定享有货物保修及其他合同约定的权利。</w:t>
      </w:r>
    </w:p>
    <w:p w14:paraId="6DC55EF7">
      <w:pPr>
        <w:snapToGrid w:val="0"/>
        <w:spacing w:line="360" w:lineRule="auto"/>
        <w:ind w:left="-120" w:right="-120" w:firstLine="480" w:firstLineChars="200"/>
        <w:rPr>
          <w:rFonts w:hint="eastAsia" w:ascii="宋体" w:hAnsi="宋体"/>
          <w:sz w:val="24"/>
        </w:rPr>
      </w:pPr>
      <w:r>
        <w:rPr>
          <w:rFonts w:ascii="宋体" w:hAnsi="宋体"/>
          <w:sz w:val="24"/>
        </w:rPr>
        <w:t>4.4 甲方应当按照合同约定及时对交付的货物进行验收</w:t>
      </w:r>
      <w:r>
        <w:rPr>
          <w:rFonts w:hint="eastAsia" w:ascii="宋体" w:hAnsi="宋体"/>
          <w:sz w:val="24"/>
        </w:rPr>
        <w:t>，</w:t>
      </w:r>
      <w:r>
        <w:rPr>
          <w:rFonts w:hint="eastAsia" w:ascii="宋体" w:hAnsi="宋体" w:cs="宋体"/>
          <w:sz w:val="24"/>
        </w:rPr>
        <w:t>未</w:t>
      </w:r>
      <w:r>
        <w:rPr>
          <w:rFonts w:hint="eastAsia" w:ascii="宋体" w:hAnsi="宋体"/>
          <w:sz w:val="24"/>
        </w:rPr>
        <w:t>在</w:t>
      </w:r>
      <w:r>
        <w:rPr>
          <w:rFonts w:hint="eastAsia" w:ascii="宋体" w:hAnsi="宋体" w:cs="宋体"/>
          <w:b/>
          <w:bCs/>
          <w:sz w:val="24"/>
        </w:rPr>
        <w:t>【政府采购合同专用条款】</w:t>
      </w:r>
      <w:r>
        <w:rPr>
          <w:rFonts w:hint="eastAsia" w:ascii="宋体" w:hAnsi="宋体" w:cs="宋体"/>
          <w:sz w:val="24"/>
        </w:rPr>
        <w:t>约定的期限内对乙方履约提出任何异议或者向乙方作出任何说明的，</w:t>
      </w:r>
      <w:r>
        <w:rPr>
          <w:rFonts w:hint="eastAsia" w:ascii="宋体" w:hAnsi="宋体"/>
          <w:sz w:val="24"/>
        </w:rPr>
        <w:t>视为验收通过。</w:t>
      </w:r>
    </w:p>
    <w:p w14:paraId="47D91D32">
      <w:pPr>
        <w:autoSpaceDE w:val="0"/>
        <w:autoSpaceDN w:val="0"/>
        <w:adjustRightInd w:val="0"/>
        <w:snapToGrid w:val="0"/>
        <w:spacing w:line="360" w:lineRule="auto"/>
        <w:ind w:left="-120" w:right="-120" w:firstLine="480" w:firstLineChars="200"/>
        <w:jc w:val="left"/>
        <w:rPr>
          <w:rFonts w:hint="eastAsia" w:ascii="宋体" w:hAnsi="宋体"/>
          <w:sz w:val="24"/>
        </w:rPr>
      </w:pPr>
      <w:r>
        <w:rPr>
          <w:rFonts w:ascii="宋体" w:hAnsi="宋体"/>
          <w:sz w:val="24"/>
        </w:rPr>
        <w:t>4</w:t>
      </w:r>
      <w:r>
        <w:rPr>
          <w:rFonts w:hint="eastAsia" w:ascii="宋体" w:hAnsi="宋体"/>
          <w:sz w:val="24"/>
        </w:rPr>
        <w:t>.</w:t>
      </w:r>
      <w:r>
        <w:rPr>
          <w:rFonts w:ascii="宋体" w:hAnsi="宋体"/>
          <w:sz w:val="24"/>
        </w:rPr>
        <w:t xml:space="preserve">5 </w:t>
      </w:r>
      <w:r>
        <w:rPr>
          <w:rFonts w:hint="eastAsia" w:ascii="宋体" w:hAnsi="宋体"/>
          <w:sz w:val="24"/>
        </w:rPr>
        <w:t>甲方应当根据合同约定及时向乙方支付合同价款</w:t>
      </w:r>
      <w:r>
        <w:rPr>
          <w:rFonts w:ascii="宋体" w:hAnsi="宋体"/>
          <w:sz w:val="24"/>
        </w:rPr>
        <w:t>，不得以内部人员变更、履行内部付款流程等为由，拒绝或迟延支付。</w:t>
      </w:r>
    </w:p>
    <w:p w14:paraId="6F41DD8E">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4.6</w:t>
      </w:r>
      <w:r>
        <w:rPr>
          <w:rFonts w:ascii="宋体" w:hAnsi="宋体"/>
          <w:sz w:val="24"/>
        </w:rPr>
        <w:t xml:space="preserve"> </w:t>
      </w:r>
      <w:r>
        <w:rPr>
          <w:rFonts w:hint="eastAsia" w:ascii="宋体" w:hAnsi="宋体"/>
          <w:sz w:val="24"/>
        </w:rPr>
        <w:t>国家法律法规规定及</w:t>
      </w:r>
      <w:r>
        <w:rPr>
          <w:rFonts w:hint="eastAsia" w:ascii="宋体" w:hAnsi="宋体" w:cs="宋体"/>
          <w:b/>
          <w:bCs/>
          <w:sz w:val="24"/>
        </w:rPr>
        <w:t>【政府采购合同专用条款】</w:t>
      </w:r>
      <w:r>
        <w:rPr>
          <w:rFonts w:hint="eastAsia" w:ascii="宋体" w:hAnsi="宋体"/>
          <w:sz w:val="24"/>
        </w:rPr>
        <w:t>约定应由甲方承担的其他义务和责任。</w:t>
      </w:r>
    </w:p>
    <w:p w14:paraId="4CDD7AFC">
      <w:p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5. 乙方的权利和义务</w:t>
      </w:r>
    </w:p>
    <w:p w14:paraId="67C3ECB0">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 xml:space="preserve">5.1 </w:t>
      </w:r>
      <w:r>
        <w:rPr>
          <w:rFonts w:ascii="宋体" w:hAnsi="宋体"/>
          <w:sz w:val="24"/>
        </w:rPr>
        <w:t>签署合同后，乙方</w:t>
      </w:r>
      <w:r>
        <w:rPr>
          <w:rFonts w:hint="eastAsia" w:ascii="宋体" w:hAnsi="宋体"/>
          <w:sz w:val="24"/>
        </w:rPr>
        <w:t>应</w:t>
      </w:r>
      <w:r>
        <w:rPr>
          <w:rFonts w:ascii="宋体" w:hAnsi="宋体"/>
          <w:sz w:val="24"/>
        </w:rPr>
        <w:t>确定</w:t>
      </w:r>
      <w:r>
        <w:rPr>
          <w:rFonts w:hint="eastAsia" w:ascii="宋体" w:hAnsi="宋体"/>
          <w:sz w:val="24"/>
        </w:rPr>
        <w:t>项目负责人（或项目联系人）</w:t>
      </w:r>
      <w:r>
        <w:rPr>
          <w:rFonts w:ascii="宋体" w:hAnsi="宋体"/>
          <w:sz w:val="24"/>
        </w:rPr>
        <w:t>，负责与本合同有关的事务。</w:t>
      </w:r>
    </w:p>
    <w:p w14:paraId="625BFF4A">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5.</w:t>
      </w:r>
      <w:r>
        <w:rPr>
          <w:rFonts w:ascii="宋体" w:hAnsi="宋体"/>
          <w:sz w:val="24"/>
        </w:rPr>
        <w:t>2 乙方应按照合同要求</w:t>
      </w:r>
      <w:r>
        <w:rPr>
          <w:rFonts w:hint="eastAsia" w:ascii="宋体" w:hAnsi="宋体"/>
          <w:sz w:val="24"/>
        </w:rPr>
        <w:t>履约</w:t>
      </w:r>
      <w:r>
        <w:rPr>
          <w:rFonts w:ascii="宋体" w:hAnsi="宋体"/>
          <w:sz w:val="24"/>
        </w:rPr>
        <w:t>，充分合理安排，确保</w:t>
      </w:r>
      <w:r>
        <w:rPr>
          <w:rFonts w:hint="eastAsia" w:ascii="宋体" w:hAnsi="宋体"/>
          <w:sz w:val="24"/>
        </w:rPr>
        <w:t>提供的货物及相关服务符合合同有关</w:t>
      </w:r>
      <w:r>
        <w:rPr>
          <w:rFonts w:ascii="宋体" w:hAnsi="宋体"/>
          <w:sz w:val="24"/>
        </w:rPr>
        <w:t>要求</w:t>
      </w:r>
      <w:r>
        <w:rPr>
          <w:rFonts w:hint="eastAsia" w:ascii="宋体" w:hAnsi="宋体"/>
          <w:sz w:val="24"/>
        </w:rPr>
        <w:t>。接受项目行业管理部门及政府有关部门的指导，配合甲方的履约检查及验收，并</w:t>
      </w:r>
      <w:r>
        <w:rPr>
          <w:rFonts w:ascii="宋体" w:hAnsi="宋体"/>
          <w:sz w:val="24"/>
        </w:rPr>
        <w:t>负责项目实施过程中的所有协调工作。</w:t>
      </w:r>
    </w:p>
    <w:p w14:paraId="7E5DB489">
      <w:pPr>
        <w:pStyle w:val="18"/>
        <w:spacing w:line="360" w:lineRule="auto"/>
        <w:ind w:left="-120" w:right="-120" w:firstLine="422" w:firstLineChars="176"/>
        <w:rPr>
          <w:rFonts w:hint="eastAsia" w:cs="宋体"/>
        </w:rPr>
      </w:pPr>
      <w:r>
        <w:rPr>
          <w:rFonts w:hint="eastAsia"/>
        </w:rPr>
        <w:t>5.</w:t>
      </w:r>
      <w:r>
        <w:t>3</w:t>
      </w:r>
      <w:r>
        <w:rPr>
          <w:rFonts w:hint="eastAsia"/>
        </w:rPr>
        <w:t>乙方有权</w:t>
      </w:r>
      <w:r>
        <w:rPr>
          <w:rFonts w:hint="eastAsia" w:cs="宋体"/>
        </w:rPr>
        <w:t>根据合同约定向甲方收取合同价款。</w:t>
      </w:r>
    </w:p>
    <w:p w14:paraId="6BE3F93B">
      <w:pPr>
        <w:pStyle w:val="18"/>
        <w:spacing w:line="360" w:lineRule="auto"/>
        <w:ind w:left="-120" w:right="-120" w:firstLine="422" w:firstLineChars="176"/>
        <w:rPr>
          <w:rFonts w:hint="eastAsia" w:cs="宋体"/>
        </w:rPr>
      </w:pPr>
      <w:r>
        <w:rPr>
          <w:rFonts w:hint="eastAsia"/>
        </w:rPr>
        <w:t>5.</w:t>
      </w:r>
      <w:r>
        <w:t>4</w:t>
      </w:r>
      <w:r>
        <w:rPr>
          <w:rFonts w:hint="eastAsia" w:cs="宋体"/>
        </w:rPr>
        <w:t>国家法律法规规定</w:t>
      </w:r>
      <w:r>
        <w:rPr>
          <w:rFonts w:hint="eastAsia"/>
        </w:rPr>
        <w:t>及</w:t>
      </w:r>
      <w:r>
        <w:rPr>
          <w:rFonts w:hint="eastAsia" w:cs="宋体"/>
          <w:b/>
          <w:bCs/>
        </w:rPr>
        <w:t>【政府采购合同专用条款】</w:t>
      </w:r>
      <w:r>
        <w:rPr>
          <w:rFonts w:hint="eastAsia" w:cs="宋体"/>
        </w:rPr>
        <w:t>约定应由乙方承担的其他义务和责任。</w:t>
      </w:r>
    </w:p>
    <w:p w14:paraId="23DD4A3E">
      <w:pPr>
        <w:numPr>
          <w:ilvl w:val="0"/>
          <w:numId w:val="11"/>
        </w:num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合同履行</w:t>
      </w:r>
    </w:p>
    <w:p w14:paraId="7B75DF19">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6.1 甲乙双方应当按照</w:t>
      </w:r>
      <w:r>
        <w:rPr>
          <w:rFonts w:hint="eastAsia" w:ascii="宋体" w:hAnsi="宋体" w:cs="宋体"/>
          <w:b/>
          <w:bCs/>
          <w:sz w:val="24"/>
        </w:rPr>
        <w:t>【政府采购合同专用条款】</w:t>
      </w:r>
      <w:r>
        <w:rPr>
          <w:rFonts w:hint="eastAsia" w:ascii="宋体" w:hAnsi="宋体"/>
          <w:sz w:val="24"/>
        </w:rPr>
        <w:t>约定顺序履行合同义务；如果没有先后顺序的，应当同时履行。</w:t>
      </w:r>
    </w:p>
    <w:p w14:paraId="73FCB339">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6.2 甲乙双方按照合同约定顺序履行合同义务时，应当先履行一方未履行的，后履行一方有权拒绝其履行请求。先履行一方履行不符合约定的，后履行一方有权拒绝其相应的履行请求。</w:t>
      </w:r>
    </w:p>
    <w:p w14:paraId="40747656">
      <w:pPr>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7. 货物包装、运输、保险和交付要求</w:t>
      </w:r>
    </w:p>
    <w:p w14:paraId="4EEC98FC">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7.1 本合同</w:t>
      </w:r>
      <w:r>
        <w:rPr>
          <w:rFonts w:hint="eastAsia" w:ascii="宋体" w:hAnsi="宋体"/>
          <w:bCs/>
          <w:sz w:val="24"/>
        </w:rPr>
        <w:t>涉及商品包装、快递包装的，</w:t>
      </w:r>
      <w:r>
        <w:rPr>
          <w:rFonts w:hint="eastAsia" w:ascii="宋体" w:hAnsi="宋体"/>
          <w:sz w:val="24"/>
        </w:rPr>
        <w:t>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包装应适应远距离运输、防潮、防震、防锈和防野蛮装卸等要求，确保货物安全无损地运抵</w:t>
      </w:r>
      <w:r>
        <w:rPr>
          <w:rFonts w:hint="eastAsia" w:ascii="宋体" w:hAnsi="宋体"/>
          <w:b/>
          <w:sz w:val="24"/>
        </w:rPr>
        <w:t>【政府采购合同专用条款】</w:t>
      </w:r>
      <w:r>
        <w:rPr>
          <w:rFonts w:hint="eastAsia" w:ascii="宋体" w:hAnsi="宋体"/>
          <w:bCs/>
          <w:sz w:val="24"/>
        </w:rPr>
        <w:t>约定的</w:t>
      </w:r>
      <w:r>
        <w:rPr>
          <w:rFonts w:hint="eastAsia" w:ascii="宋体" w:hAnsi="宋体"/>
          <w:sz w:val="24"/>
        </w:rPr>
        <w:t>指定现场。</w:t>
      </w:r>
    </w:p>
    <w:p w14:paraId="65B5C9EB">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7.2 除</w:t>
      </w:r>
      <w:r>
        <w:rPr>
          <w:rFonts w:hint="eastAsia" w:ascii="宋体" w:hAnsi="宋体"/>
          <w:b/>
          <w:sz w:val="24"/>
        </w:rPr>
        <w:t>【政府采购合同专用条款】</w:t>
      </w:r>
      <w:r>
        <w:rPr>
          <w:rFonts w:hint="eastAsia" w:ascii="宋体" w:hAnsi="宋体"/>
          <w:bCs/>
          <w:sz w:val="24"/>
        </w:rPr>
        <w:t>另有约定外，</w:t>
      </w:r>
      <w:r>
        <w:rPr>
          <w:rFonts w:hint="eastAsia" w:ascii="宋体" w:hAnsi="宋体"/>
          <w:sz w:val="24"/>
        </w:rPr>
        <w:t>乙方负责办理将货物运抵本合同规定的交货地点，并装卸、交付至甲方的一切运输事项，相关费用应包含在合同价款中。</w:t>
      </w:r>
    </w:p>
    <w:p w14:paraId="0A103C6D">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7.3 货物保险要求按</w:t>
      </w:r>
      <w:r>
        <w:rPr>
          <w:rFonts w:hint="eastAsia" w:ascii="宋体" w:hAnsi="宋体"/>
          <w:b/>
          <w:sz w:val="24"/>
        </w:rPr>
        <w:t>【政府采购合同专用条款】</w:t>
      </w:r>
      <w:r>
        <w:rPr>
          <w:rFonts w:hint="eastAsia" w:ascii="宋体" w:hAnsi="宋体"/>
          <w:bCs/>
          <w:sz w:val="24"/>
        </w:rPr>
        <w:t>规定执行</w:t>
      </w:r>
      <w:r>
        <w:rPr>
          <w:rFonts w:hint="eastAsia" w:ascii="宋体" w:hAnsi="宋体"/>
          <w:sz w:val="24"/>
        </w:rPr>
        <w:t>。</w:t>
      </w:r>
    </w:p>
    <w:p w14:paraId="2BEAE556">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6D6CCF82">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 xml:space="preserve">7.5 </w:t>
      </w:r>
      <w:r>
        <w:rPr>
          <w:rFonts w:hint="eastAsia" w:ascii="宋体" w:hAnsi="宋体" w:cs="宋体"/>
          <w:sz w:val="24"/>
        </w:rPr>
        <w:t>乙方在运输到达之前应提前通知甲方，并提示货物运输装卸的注意事项，甲方配合乙方做好货物的接收工作。</w:t>
      </w:r>
    </w:p>
    <w:p w14:paraId="0261A212">
      <w:pPr>
        <w:pStyle w:val="337"/>
        <w:spacing w:after="0" w:line="360" w:lineRule="auto"/>
        <w:ind w:firstLine="480"/>
        <w:rPr>
          <w:rFonts w:hint="eastAsia" w:ascii="宋体" w:hAnsi="宋体" w:eastAsia="宋体"/>
          <w:sz w:val="24"/>
          <w:szCs w:val="24"/>
        </w:rPr>
      </w:pPr>
      <w:r>
        <w:rPr>
          <w:rFonts w:hint="eastAsia" w:ascii="宋体" w:hAnsi="宋体" w:eastAsia="宋体" w:cs="Times New Roman"/>
          <w:kern w:val="2"/>
          <w:sz w:val="24"/>
          <w:szCs w:val="24"/>
        </w:rPr>
        <w:t>7.6 如因包装、运输问题导致货物损毁、丢失或者品质下降，甲方有权要求降价、换货、拒收部分或整批货物，由此产生的费用和损失，均由乙方承担。</w:t>
      </w:r>
    </w:p>
    <w:p w14:paraId="7693391E">
      <w:pPr>
        <w:adjustRightInd w:val="0"/>
        <w:snapToGrid w:val="0"/>
        <w:spacing w:line="360" w:lineRule="auto"/>
        <w:ind w:left="-120" w:right="-120" w:firstLine="241"/>
        <w:jc w:val="left"/>
        <w:rPr>
          <w:rFonts w:hint="eastAsia" w:ascii="宋体" w:hAnsi="宋体"/>
          <w:b/>
          <w:sz w:val="24"/>
        </w:rPr>
      </w:pPr>
      <w:r>
        <w:rPr>
          <w:rFonts w:hint="eastAsia" w:ascii="宋体" w:hAnsi="宋体"/>
          <w:b/>
          <w:sz w:val="24"/>
        </w:rPr>
        <w:t>8. 质量标准和保证</w:t>
      </w:r>
    </w:p>
    <w:p w14:paraId="09033707">
      <w:pPr>
        <w:pStyle w:val="24"/>
        <w:adjustRightInd w:val="0"/>
        <w:snapToGrid w:val="0"/>
        <w:spacing w:line="360" w:lineRule="auto"/>
        <w:ind w:left="-120" w:right="-120" w:firstLine="480" w:firstLineChars="200"/>
        <w:jc w:val="left"/>
        <w:rPr>
          <w:rFonts w:hAnsi="宋体"/>
          <w:b/>
          <w:sz w:val="24"/>
          <w:szCs w:val="24"/>
        </w:rPr>
      </w:pPr>
      <w:r>
        <w:rPr>
          <w:rFonts w:hAnsi="宋体"/>
          <w:sz w:val="24"/>
          <w:szCs w:val="24"/>
        </w:rPr>
        <w:t>8.1 质量标准</w:t>
      </w:r>
    </w:p>
    <w:p w14:paraId="5B62CD26">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（1）本合同下提供的货物应符合合同</w:t>
      </w:r>
      <w:r>
        <w:rPr>
          <w:rFonts w:hint="eastAsia" w:ascii="宋体" w:hAnsi="宋体" w:cs="宋体"/>
          <w:sz w:val="24"/>
        </w:rPr>
        <w:t>约定的品牌、规格型号、技术性能、配置、质量、数量等要求。</w:t>
      </w:r>
      <w:r>
        <w:rPr>
          <w:rFonts w:hint="eastAsia" w:ascii="宋体" w:hAnsi="宋体"/>
          <w:sz w:val="24"/>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78652130">
      <w:pPr>
        <w:pStyle w:val="24"/>
        <w:adjustRightInd w:val="0"/>
        <w:snapToGrid w:val="0"/>
        <w:spacing w:line="360" w:lineRule="auto"/>
        <w:ind w:left="-120" w:right="-120" w:firstLine="480" w:firstLineChars="200"/>
        <w:jc w:val="left"/>
        <w:rPr>
          <w:rFonts w:hAnsi="宋体"/>
          <w:sz w:val="24"/>
          <w:szCs w:val="24"/>
        </w:rPr>
      </w:pPr>
      <w:r>
        <w:rPr>
          <w:rFonts w:hAnsi="宋体"/>
          <w:sz w:val="24"/>
          <w:szCs w:val="24"/>
        </w:rPr>
        <w:t>（2）采用中华人民共和国法定计量单位。</w:t>
      </w:r>
    </w:p>
    <w:p w14:paraId="5AB72E57">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（3）乙方所提供的货物应符合国家有关安全、环保、卫生的规定。</w:t>
      </w:r>
    </w:p>
    <w:p w14:paraId="40799BD8">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（4）乙方应向甲方提交所提供货物的技术文件，包括相应的中文技术文件，如：产品目录、图纸、操作手册、使用说明、维护手册或服务指南等。上述文件应包装好随货物一同发运。</w:t>
      </w:r>
    </w:p>
    <w:p w14:paraId="145C77F3">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8.2 保证</w:t>
      </w:r>
    </w:p>
    <w:p w14:paraId="3A726DE2">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（1）乙方应保证提供的货物完全符合合同规定的质量、规格和性能要求。乙方应保证货物在正确安装、正常使用和保养条件下，</w:t>
      </w:r>
      <w:r>
        <w:rPr>
          <w:rFonts w:hint="eastAsia" w:ascii="宋体" w:hAnsi="宋体" w:cs="宋体"/>
          <w:sz w:val="24"/>
        </w:rPr>
        <w:t>在其使用寿命期内具备合同约定的性能</w:t>
      </w:r>
      <w:r>
        <w:rPr>
          <w:rFonts w:hint="eastAsia" w:ascii="宋体" w:hAnsi="宋体"/>
          <w:sz w:val="24"/>
        </w:rPr>
        <w:t>。存在质量保证期的，货物最终交付验收合格后在</w:t>
      </w:r>
      <w:r>
        <w:rPr>
          <w:rFonts w:hint="eastAsia" w:ascii="宋体" w:hAnsi="宋体"/>
          <w:b/>
          <w:sz w:val="24"/>
        </w:rPr>
        <w:t>【政府采购合同专用条款】</w:t>
      </w:r>
      <w:r>
        <w:rPr>
          <w:rFonts w:hint="eastAsia" w:ascii="宋体" w:hAnsi="宋体"/>
          <w:sz w:val="24"/>
        </w:rPr>
        <w:t>规定或乙方书面承诺（两者以较长的为准）的质量保证期内，本保证保持有效。</w:t>
      </w:r>
    </w:p>
    <w:p w14:paraId="52EE5150">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（2）在质量保证期内所发现的缺陷，甲方应尽快以书面形式通知乙方。</w:t>
      </w:r>
    </w:p>
    <w:p w14:paraId="1BB25E94">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（3）乙方收到通知后，应在</w:t>
      </w:r>
      <w:r>
        <w:rPr>
          <w:rFonts w:hint="eastAsia" w:ascii="宋体" w:hAnsi="宋体"/>
          <w:b/>
          <w:sz w:val="24"/>
        </w:rPr>
        <w:t>【政府采购合同专用条款】</w:t>
      </w:r>
      <w:r>
        <w:rPr>
          <w:rFonts w:hint="eastAsia" w:ascii="宋体" w:hAnsi="宋体"/>
          <w:sz w:val="24"/>
        </w:rPr>
        <w:t>规定的响应时间内以合理的速度免费维修或更换有缺陷的货物或部件。</w:t>
      </w:r>
    </w:p>
    <w:p w14:paraId="24E3188D">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（4）在质量保证期内，如果货物的质量或规格与合同不符，或证实货物是有缺陷的，包括潜在的缺陷或使用不符合要求的材料等，甲方可以根据本合同第15.1条规定以书面形式追究乙方的违约责任。</w:t>
      </w:r>
    </w:p>
    <w:p w14:paraId="3731A952">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（5）乙方在约定的时间内未能弥补缺陷，甲方可采取必要的补救措施，但其风险和费用将由乙方承担，甲方根据合同约定对乙方行使的其他权利不受影响。</w:t>
      </w:r>
    </w:p>
    <w:p w14:paraId="07398F4D">
      <w:pPr>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9. 权利瑕疵担保</w:t>
      </w:r>
    </w:p>
    <w:p w14:paraId="463B2EA6">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9.1 乙方保证对其出售的货物享有合法的权利。</w:t>
      </w:r>
    </w:p>
    <w:p w14:paraId="6779808D">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 xml:space="preserve">9.2 </w:t>
      </w:r>
      <w:r>
        <w:rPr>
          <w:rFonts w:hint="eastAsia" w:ascii="宋体" w:hAnsi="宋体" w:cs="宋体"/>
          <w:sz w:val="24"/>
        </w:rPr>
        <w:t>乙方保证在交付的货物上不存在抵押权等担保物权。</w:t>
      </w:r>
    </w:p>
    <w:p w14:paraId="3B4590CB">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9.3 如甲方使用上述货物构成对第三人侵权的，则由乙方承担全部责任。</w:t>
      </w:r>
    </w:p>
    <w:p w14:paraId="76D080FA">
      <w:p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10. 知识产权保护</w:t>
      </w:r>
    </w:p>
    <w:p w14:paraId="37F0F0BB">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10.1 乙方对其所销售的货物应当享有知识产权或经权利人合法授权，保证没有侵犯任何第三人的知识产权等权利。</w:t>
      </w:r>
      <w:bookmarkStart w:id="776" w:name="_Hlk163047038"/>
      <w:r>
        <w:rPr>
          <w:rFonts w:hint="eastAsia" w:ascii="宋体" w:hAnsi="宋体" w:cs="宋体"/>
          <w:sz w:val="24"/>
        </w:rPr>
        <w:t>因违反前述约定对第三人构成侵权的，应当由乙方向第三人承担法律责任；甲方依法向第三人赔偿后，有权向乙方追偿。甲方有其他损失的，乙方应当赔偿</w:t>
      </w:r>
      <w:bookmarkEnd w:id="776"/>
      <w:r>
        <w:rPr>
          <w:rFonts w:hint="eastAsia" w:ascii="宋体" w:hAnsi="宋体"/>
          <w:sz w:val="24"/>
        </w:rPr>
        <w:t>。</w:t>
      </w:r>
    </w:p>
    <w:p w14:paraId="314FFDCB">
      <w:p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11. 保密义务</w:t>
      </w:r>
    </w:p>
    <w:p w14:paraId="64C80FA3">
      <w:pPr>
        <w:autoSpaceDE w:val="0"/>
        <w:autoSpaceDN w:val="0"/>
        <w:adjustRightInd w:val="0"/>
        <w:snapToGrid w:val="0"/>
        <w:spacing w:line="360" w:lineRule="auto"/>
        <w:ind w:left="-120" w:right="-120" w:firstLine="480" w:firstLineChars="200"/>
        <w:jc w:val="left"/>
        <w:rPr>
          <w:rFonts w:hint="eastAsia" w:ascii="宋体" w:hAnsi="宋体" w:cs="宋体"/>
          <w:sz w:val="24"/>
        </w:rPr>
      </w:pPr>
      <w:r>
        <w:rPr>
          <w:rFonts w:hint="eastAsia" w:ascii="宋体" w:hAnsi="宋体" w:cs="宋体"/>
          <w:sz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宋体" w:hAnsi="宋体" w:cs="宋体"/>
          <w:b/>
          <w:bCs/>
          <w:sz w:val="24"/>
        </w:rPr>
        <w:t>【政府采购合同专用条款】</w:t>
      </w:r>
      <w:r>
        <w:rPr>
          <w:rFonts w:hint="eastAsia" w:ascii="宋体" w:hAnsi="宋体" w:cs="宋体"/>
          <w:sz w:val="24"/>
        </w:rPr>
        <w:t>中约定。</w:t>
      </w:r>
    </w:p>
    <w:p w14:paraId="6A0CD793">
      <w:p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12. 合同价款支付</w:t>
      </w:r>
    </w:p>
    <w:p w14:paraId="09B709CF">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12.1 合同价款支付按照国库集中支付制度及财政管理相关规定执行。</w:t>
      </w:r>
    </w:p>
    <w:p w14:paraId="4DFFF0C9">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政府采购合同专用条款】中约定。</w:t>
      </w:r>
    </w:p>
    <w:p w14:paraId="6EC53DC3">
      <w:pPr>
        <w:pStyle w:val="18"/>
        <w:spacing w:line="360" w:lineRule="auto"/>
        <w:ind w:left="-120" w:right="-120" w:firstLine="241"/>
        <w:rPr>
          <w:rFonts w:hint="eastAsia"/>
          <w:b/>
          <w:bCs/>
        </w:rPr>
      </w:pPr>
      <w:r>
        <w:rPr>
          <w:rFonts w:hint="eastAsia"/>
          <w:b/>
          <w:bCs/>
        </w:rPr>
        <w:t>13. 履约保证金</w:t>
      </w:r>
    </w:p>
    <w:p w14:paraId="1FDF4D84">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 xml:space="preserve">13.1 </w:t>
      </w:r>
      <w:r>
        <w:rPr>
          <w:rFonts w:hint="eastAsia" w:ascii="宋体" w:hAnsi="宋体" w:cs="宋体"/>
          <w:sz w:val="24"/>
        </w:rPr>
        <w:t>乙方应当以支票、汇票、本票或者金融机构、担保机构出具的保函等非现金形式提交。</w:t>
      </w:r>
    </w:p>
    <w:p w14:paraId="54AD752D">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13.2 如果乙方出现</w:t>
      </w:r>
      <w:r>
        <w:rPr>
          <w:rFonts w:hint="eastAsia" w:ascii="宋体" w:hAnsi="宋体" w:cs="宋体"/>
          <w:b/>
          <w:bCs/>
          <w:sz w:val="24"/>
        </w:rPr>
        <w:t>【政府采购合同专用条款】</w:t>
      </w:r>
      <w:r>
        <w:rPr>
          <w:rFonts w:hint="eastAsia" w:ascii="宋体" w:hAnsi="宋体" w:cs="宋体"/>
          <w:sz w:val="24"/>
        </w:rPr>
        <w:t>约定情形的</w:t>
      </w:r>
      <w:r>
        <w:rPr>
          <w:rFonts w:hint="eastAsia" w:ascii="宋体" w:hAnsi="宋体"/>
          <w:sz w:val="24"/>
        </w:rPr>
        <w:t>，履约保证金不予退还；如果乙方未能按合同约定全面履行义务，甲方有权从履约保证金中取得补偿或赔偿，且不影响甲方要求乙方承担合同约定的超过履约保证金的违约责任的权利。</w:t>
      </w:r>
    </w:p>
    <w:p w14:paraId="1D753058">
      <w:pPr>
        <w:spacing w:line="360" w:lineRule="auto"/>
        <w:ind w:left="-120" w:right="-120" w:firstLine="240"/>
        <w:rPr>
          <w:rFonts w:hint="eastAsia" w:ascii="宋体" w:hAnsi="宋体"/>
          <w:sz w:val="24"/>
        </w:rPr>
      </w:pPr>
      <w:r>
        <w:rPr>
          <w:rFonts w:hint="eastAsia" w:ascii="宋体" w:hAnsi="宋体"/>
          <w:sz w:val="24"/>
        </w:rPr>
        <w:t>13.3 甲方在项目通过验收后按照</w:t>
      </w:r>
      <w:r>
        <w:rPr>
          <w:rFonts w:hint="eastAsia" w:ascii="宋体" w:hAnsi="宋体"/>
          <w:b/>
          <w:sz w:val="24"/>
        </w:rPr>
        <w:t>【政府采购合同专用条款】</w:t>
      </w:r>
      <w:r>
        <w:rPr>
          <w:rFonts w:hint="eastAsia" w:ascii="宋体" w:hAnsi="宋体"/>
          <w:sz w:val="24"/>
        </w:rPr>
        <w:t>规定的时间内将履约保证金退还乙方；逾期退还的，乙方可要求甲方支付违约金，违约金按照</w:t>
      </w:r>
      <w:r>
        <w:rPr>
          <w:rFonts w:hint="eastAsia" w:ascii="宋体" w:hAnsi="宋体"/>
          <w:b/>
          <w:sz w:val="24"/>
        </w:rPr>
        <w:t>【政府采购合同专用条款】</w:t>
      </w:r>
      <w:r>
        <w:rPr>
          <w:rFonts w:hint="eastAsia" w:ascii="宋体" w:hAnsi="宋体"/>
          <w:sz w:val="24"/>
        </w:rPr>
        <w:t>规定支付。</w:t>
      </w:r>
    </w:p>
    <w:p w14:paraId="33CC5026">
      <w:pPr>
        <w:autoSpaceDE w:val="0"/>
        <w:autoSpaceDN w:val="0"/>
        <w:adjustRightInd w:val="0"/>
        <w:snapToGrid w:val="0"/>
        <w:spacing w:line="360" w:lineRule="auto"/>
        <w:ind w:left="-120" w:right="-120" w:firstLine="241"/>
        <w:jc w:val="left"/>
        <w:rPr>
          <w:rFonts w:hint="eastAsia" w:ascii="宋体" w:hAnsi="宋体"/>
          <w:b/>
          <w:sz w:val="24"/>
        </w:rPr>
      </w:pPr>
      <w:r>
        <w:rPr>
          <w:rFonts w:hint="eastAsia" w:ascii="宋体" w:hAnsi="宋体"/>
          <w:b/>
          <w:bCs/>
          <w:sz w:val="24"/>
        </w:rPr>
        <w:t xml:space="preserve">14. </w:t>
      </w:r>
      <w:r>
        <w:rPr>
          <w:rFonts w:hint="eastAsia" w:ascii="宋体" w:hAnsi="宋体"/>
          <w:b/>
          <w:sz w:val="24"/>
        </w:rPr>
        <w:t>售后服务</w:t>
      </w:r>
    </w:p>
    <w:p w14:paraId="402B93C7">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14.1 除项目不涉及或采购活动中明确约定无须承担外，乙方还应提供下列服务：</w:t>
      </w:r>
    </w:p>
    <w:p w14:paraId="62D10831">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（1）货物的现场移动、安装、调试、启动监督及技术支持；</w:t>
      </w:r>
    </w:p>
    <w:p w14:paraId="083423E9">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（2）提供货物组装和维修所需的专用工具和辅助材料；</w:t>
      </w:r>
    </w:p>
    <w:p w14:paraId="53524888">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（3）在</w:t>
      </w:r>
      <w:r>
        <w:rPr>
          <w:rFonts w:hint="eastAsia" w:ascii="宋体" w:hAnsi="宋体" w:cs="宋体"/>
          <w:b/>
          <w:bCs/>
          <w:sz w:val="24"/>
        </w:rPr>
        <w:t>【政府采购合同专用条款】</w:t>
      </w:r>
      <w:r>
        <w:rPr>
          <w:rFonts w:hint="eastAsia" w:ascii="宋体" w:hAnsi="宋体"/>
          <w:sz w:val="24"/>
        </w:rPr>
        <w:t>约定的期限内对所有的货物实施运行监督、维修，但前提条件是该服务并不能免除乙方在质量保证期内所承担的义务；</w:t>
      </w:r>
    </w:p>
    <w:p w14:paraId="16B56DAA">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（4）在制造商所在地或指定现场就货物的安装、启动、运营、维护、废弃处置等对甲方操作人员进行培训</w:t>
      </w:r>
      <w:r>
        <w:rPr>
          <w:rFonts w:hint="eastAsia" w:ascii="宋体" w:hAnsi="宋体" w:cs="宋体"/>
          <w:sz w:val="24"/>
        </w:rPr>
        <w:t>；</w:t>
      </w:r>
    </w:p>
    <w:p w14:paraId="493CC795">
      <w:pPr>
        <w:pStyle w:val="337"/>
        <w:spacing w:after="0" w:line="360" w:lineRule="auto"/>
        <w:ind w:firstLine="480"/>
        <w:rPr>
          <w:rFonts w:hint="eastAsia" w:ascii="宋体" w:hAnsi="宋体" w:eastAsia="宋体" w:cs="宋体"/>
          <w:sz w:val="24"/>
          <w:szCs w:val="24"/>
        </w:rPr>
      </w:pPr>
      <w:r>
        <w:rPr>
          <w:rFonts w:hint="eastAsia" w:ascii="宋体" w:hAnsi="宋体" w:eastAsia="宋体" w:cs="宋体"/>
          <w:sz w:val="24"/>
          <w:szCs w:val="24"/>
        </w:rPr>
        <w:t>（5）依照法律、行政法规的规定或者按照</w:t>
      </w:r>
      <w:r>
        <w:rPr>
          <w:rFonts w:hint="eastAsia" w:ascii="宋体" w:hAnsi="宋体" w:eastAsia="宋体" w:cs="宋体"/>
          <w:b/>
          <w:bCs/>
          <w:sz w:val="24"/>
          <w:szCs w:val="24"/>
        </w:rPr>
        <w:t>【政府采购合同专用条款】</w:t>
      </w:r>
      <w:r>
        <w:rPr>
          <w:rFonts w:hint="eastAsia" w:ascii="宋体" w:hAnsi="宋体" w:eastAsia="宋体" w:cs="宋体"/>
          <w:sz w:val="24"/>
          <w:szCs w:val="24"/>
        </w:rPr>
        <w:t>约定，货物在有效使用年限届满后应予回收的，乙方负有自行或者委托第三人对货物予以回收的义务；</w:t>
      </w:r>
    </w:p>
    <w:p w14:paraId="3BC17B24">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（6）</w:t>
      </w:r>
      <w:r>
        <w:rPr>
          <w:rFonts w:hint="eastAsia" w:ascii="宋体" w:hAnsi="宋体"/>
          <w:b/>
          <w:sz w:val="24"/>
        </w:rPr>
        <w:t>【政府采购合同专用条款】</w:t>
      </w:r>
      <w:r>
        <w:rPr>
          <w:rFonts w:hint="eastAsia" w:ascii="宋体" w:hAnsi="宋体"/>
          <w:sz w:val="24"/>
        </w:rPr>
        <w:t>规定由乙方提供的其他服务。</w:t>
      </w:r>
    </w:p>
    <w:p w14:paraId="089DF005">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14.2 乙方提供的售后服务的费用已包含在合同价款中，甲方不再另行支付。</w:t>
      </w:r>
    </w:p>
    <w:p w14:paraId="2E0D9E6C">
      <w:pPr>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15. 违约责任</w:t>
      </w:r>
    </w:p>
    <w:p w14:paraId="5B836E53">
      <w:pPr>
        <w:adjustRightInd w:val="0"/>
        <w:snapToGrid w:val="0"/>
        <w:spacing w:line="360" w:lineRule="auto"/>
        <w:ind w:left="-120" w:right="-120" w:firstLine="480" w:firstLineChars="200"/>
        <w:jc w:val="left"/>
        <w:rPr>
          <w:rFonts w:hint="eastAsia" w:ascii="宋体" w:hAnsi="宋体"/>
          <w:bCs/>
          <w:sz w:val="24"/>
        </w:rPr>
      </w:pPr>
      <w:r>
        <w:rPr>
          <w:rFonts w:hint="eastAsia" w:ascii="宋体" w:hAnsi="宋体"/>
          <w:bCs/>
          <w:sz w:val="24"/>
        </w:rPr>
        <w:t>15.1质量瑕疵的违约责任</w:t>
      </w:r>
    </w:p>
    <w:p w14:paraId="5C2C3EDE">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乙方提供的产品不符合合同约定的质量标准或存在产品质量缺陷，甲方有权要求乙方根据</w:t>
      </w:r>
      <w:r>
        <w:rPr>
          <w:rFonts w:hint="eastAsia" w:ascii="宋体" w:hAnsi="宋体"/>
          <w:b/>
          <w:sz w:val="24"/>
        </w:rPr>
        <w:t>【政府采购合同专用条款】</w:t>
      </w:r>
      <w:r>
        <w:rPr>
          <w:rFonts w:hint="eastAsia" w:ascii="宋体" w:hAnsi="宋体"/>
          <w:bCs/>
          <w:sz w:val="24"/>
        </w:rPr>
        <w:t>要求</w:t>
      </w:r>
      <w:r>
        <w:rPr>
          <w:rFonts w:hint="eastAsia" w:ascii="宋体" w:hAnsi="宋体"/>
          <w:sz w:val="24"/>
        </w:rPr>
        <w:t>及时修理、重作、更换，并承担由此给甲方造成的损失。</w:t>
      </w:r>
    </w:p>
    <w:p w14:paraId="2874A6E3">
      <w:pPr>
        <w:autoSpaceDE w:val="0"/>
        <w:autoSpaceDN w:val="0"/>
        <w:adjustRightInd w:val="0"/>
        <w:snapToGrid w:val="0"/>
        <w:spacing w:line="360" w:lineRule="auto"/>
        <w:ind w:left="-120" w:right="-120" w:firstLine="480" w:firstLineChars="200"/>
        <w:jc w:val="left"/>
        <w:rPr>
          <w:rFonts w:hint="eastAsia" w:ascii="宋体" w:hAnsi="宋体"/>
          <w:bCs/>
          <w:sz w:val="24"/>
        </w:rPr>
      </w:pPr>
      <w:r>
        <w:rPr>
          <w:rFonts w:hint="eastAsia" w:ascii="宋体" w:hAnsi="宋体"/>
          <w:bCs/>
          <w:sz w:val="24"/>
        </w:rPr>
        <w:t>15.2 迟延交货的违约责任</w:t>
      </w:r>
    </w:p>
    <w:p w14:paraId="1E331CF2">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9EA3885">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（2）如果乙方没有按照合同规定的时间交货和提供相关服务，甲方有权从货款中扣除误期赔偿费而不影响合同项下的其他补救方法，赔偿费按</w:t>
      </w:r>
      <w:r>
        <w:rPr>
          <w:rFonts w:hint="eastAsia" w:ascii="宋体" w:hAnsi="宋体"/>
          <w:b/>
          <w:sz w:val="24"/>
        </w:rPr>
        <w:t>【政府采购合同专用条款】</w:t>
      </w:r>
      <w:r>
        <w:rPr>
          <w:rFonts w:hint="eastAsia" w:ascii="宋体" w:hAnsi="宋体"/>
          <w:sz w:val="24"/>
        </w:rPr>
        <w:t>规定执行。如果涉及公共利益，且赔偿金额无法弥补公共利益损失，甲方可要求继续履行或者采取其他补救措施。</w:t>
      </w:r>
    </w:p>
    <w:p w14:paraId="19872088">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15.3 迟延支付的违约责任</w:t>
      </w:r>
    </w:p>
    <w:p w14:paraId="6FF7CF8E">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甲方存在迟延支付乙方合同款项的，应当承担</w:t>
      </w:r>
      <w:r>
        <w:rPr>
          <w:rFonts w:hint="eastAsia" w:ascii="宋体" w:hAnsi="宋体"/>
          <w:b/>
          <w:bCs/>
          <w:sz w:val="24"/>
        </w:rPr>
        <w:t>【政府采购合同专用条款】</w:t>
      </w:r>
      <w:r>
        <w:rPr>
          <w:rFonts w:hint="eastAsia" w:ascii="宋体" w:hAnsi="宋体"/>
          <w:sz w:val="24"/>
        </w:rPr>
        <w:t>规定的逾期付款利息。</w:t>
      </w:r>
    </w:p>
    <w:p w14:paraId="10E265BD">
      <w:pPr>
        <w:adjustRightInd w:val="0"/>
        <w:snapToGrid w:val="0"/>
        <w:spacing w:line="360" w:lineRule="auto"/>
        <w:ind w:left="-120" w:right="-120" w:firstLine="480" w:firstLineChars="200"/>
        <w:jc w:val="left"/>
        <w:rPr>
          <w:rFonts w:hint="eastAsia" w:ascii="宋体" w:hAnsi="宋体"/>
          <w:sz w:val="24"/>
        </w:rPr>
      </w:pPr>
      <w:r>
        <w:rPr>
          <w:rFonts w:hint="eastAsia" w:ascii="宋体" w:hAnsi="宋体"/>
          <w:bCs/>
          <w:sz w:val="24"/>
        </w:rPr>
        <w:t>15.4其他违约责任根据项目实际需要按</w:t>
      </w:r>
      <w:r>
        <w:rPr>
          <w:rFonts w:hint="eastAsia" w:ascii="宋体" w:hAnsi="宋体"/>
          <w:b/>
          <w:bCs/>
          <w:sz w:val="24"/>
        </w:rPr>
        <w:t>【政府采购合同专用条款】</w:t>
      </w:r>
      <w:r>
        <w:rPr>
          <w:rFonts w:hint="eastAsia" w:ascii="宋体" w:hAnsi="宋体"/>
          <w:sz w:val="24"/>
        </w:rPr>
        <w:t>规定执行。</w:t>
      </w:r>
    </w:p>
    <w:p w14:paraId="5865AD8B">
      <w:pPr>
        <w:numPr>
          <w:ilvl w:val="0"/>
          <w:numId w:val="12"/>
        </w:numPr>
        <w:autoSpaceDE w:val="0"/>
        <w:autoSpaceDN w:val="0"/>
        <w:adjustRightInd w:val="0"/>
        <w:snapToGrid w:val="0"/>
        <w:spacing w:line="360" w:lineRule="auto"/>
        <w:ind w:left="-120" w:right="-120" w:firstLine="241"/>
        <w:jc w:val="left"/>
        <w:rPr>
          <w:rFonts w:hint="eastAsia" w:ascii="宋体" w:hAnsi="宋体"/>
          <w:b/>
          <w:sz w:val="24"/>
        </w:rPr>
      </w:pPr>
      <w:r>
        <w:rPr>
          <w:rFonts w:hint="eastAsia" w:ascii="宋体" w:hAnsi="宋体"/>
          <w:b/>
          <w:sz w:val="24"/>
        </w:rPr>
        <w:t>合同变更、中止与终止</w:t>
      </w:r>
    </w:p>
    <w:p w14:paraId="4FBF9BF1">
      <w:pPr>
        <w:adjustRightInd w:val="0"/>
        <w:snapToGrid w:val="0"/>
        <w:spacing w:line="360" w:lineRule="auto"/>
        <w:ind w:left="-120" w:right="-120"/>
        <w:jc w:val="left"/>
        <w:rPr>
          <w:rFonts w:hint="eastAsia" w:ascii="宋体" w:hAnsi="宋体"/>
          <w:sz w:val="24"/>
        </w:rPr>
      </w:pPr>
      <w:r>
        <w:rPr>
          <w:rFonts w:hint="eastAsia" w:ascii="宋体" w:hAnsi="宋体"/>
          <w:sz w:val="24"/>
        </w:rPr>
        <w:t xml:space="preserve">    16.1合同的变更</w:t>
      </w:r>
    </w:p>
    <w:p w14:paraId="04CE3C5A">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政府采购合同履行中，在不改变合同其他条款的前提下，甲方可以在合同价款10%的范围内追加与合同标的相同的货物，并就此与乙方协商一致后签订补充协议。</w:t>
      </w:r>
    </w:p>
    <w:p w14:paraId="76EE0D54">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16.2合同的中止</w:t>
      </w:r>
    </w:p>
    <w:p w14:paraId="2582380B">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（1）合同履行过程中因供应商就采购文件、采购过程或结果提起投诉的，甲方认为有必要的，可以中止合同的履行。</w:t>
      </w:r>
    </w:p>
    <w:p w14:paraId="0FACC076">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716026C3">
      <w:pPr>
        <w:pStyle w:val="337"/>
        <w:spacing w:after="0" w:line="360" w:lineRule="auto"/>
        <w:ind w:firstLine="480"/>
        <w:jc w:val="both"/>
        <w:rPr>
          <w:rFonts w:hint="eastAsia" w:ascii="宋体" w:hAnsi="宋体" w:eastAsia="宋体"/>
          <w:sz w:val="24"/>
          <w:szCs w:val="24"/>
        </w:rPr>
      </w:pPr>
      <w:r>
        <w:rPr>
          <w:rFonts w:hint="eastAsia" w:ascii="宋体" w:hAnsi="宋体" w:eastAsia="宋体" w:cs="宋体"/>
          <w:sz w:val="24"/>
          <w:szCs w:val="24"/>
        </w:rPr>
        <w:t>（3）乙方分立、合并或者变更住所的，应当及时以书面形式告知甲方。乙方没有及时告知甲方，致使合同履行发生困难的，甲方可以中止合同履行并要求乙方承担由此给甲方造成的损失。</w:t>
      </w:r>
    </w:p>
    <w:p w14:paraId="10BBF403">
      <w:pPr>
        <w:snapToGrid w:val="0"/>
        <w:spacing w:line="360" w:lineRule="auto"/>
        <w:ind w:left="-120" w:right="-120" w:firstLine="480" w:firstLineChars="200"/>
        <w:jc w:val="left"/>
        <w:rPr>
          <w:rFonts w:hint="eastAsia" w:ascii="宋体" w:hAnsi="宋体"/>
          <w:sz w:val="24"/>
        </w:rPr>
      </w:pPr>
      <w:r>
        <w:rPr>
          <w:rFonts w:hint="eastAsia" w:ascii="宋体" w:hAnsi="宋体"/>
          <w:sz w:val="24"/>
        </w:rPr>
        <w:t>（4）甲方不得以行政区划调整、政府换届、机构或者职能调整以及相关责任人更替为由中止合同。</w:t>
      </w:r>
    </w:p>
    <w:p w14:paraId="158CE398">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16.3合同的终止</w:t>
      </w:r>
    </w:p>
    <w:p w14:paraId="59040327">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（1）合同因有效期限届满而终止；</w:t>
      </w:r>
    </w:p>
    <w:p w14:paraId="09F9CD35">
      <w:pPr>
        <w:snapToGrid w:val="0"/>
        <w:spacing w:line="360" w:lineRule="auto"/>
        <w:ind w:left="-120" w:right="-120" w:firstLine="480" w:firstLineChars="200"/>
        <w:rPr>
          <w:rFonts w:hint="eastAsia" w:ascii="宋体" w:hAnsi="宋体" w:cs="宋体"/>
          <w:sz w:val="24"/>
        </w:rPr>
      </w:pPr>
      <w:r>
        <w:rPr>
          <w:rFonts w:hint="eastAsia" w:ascii="宋体" w:hAnsi="宋体"/>
          <w:sz w:val="24"/>
        </w:rPr>
        <w:t>（2）乙方未按合同约定履行，构成根本性违约的，甲方有权终止合同，</w:t>
      </w:r>
      <w:r>
        <w:rPr>
          <w:rFonts w:hint="eastAsia" w:ascii="宋体" w:hAnsi="宋体" w:cs="宋体"/>
          <w:sz w:val="24"/>
        </w:rPr>
        <w:t>并追究乙方的违约责任</w:t>
      </w:r>
      <w:r>
        <w:rPr>
          <w:rFonts w:hint="eastAsia" w:ascii="宋体" w:hAnsi="宋体"/>
          <w:sz w:val="24"/>
        </w:rPr>
        <w:t>。</w:t>
      </w:r>
    </w:p>
    <w:p w14:paraId="4F421C28">
      <w:pPr>
        <w:pStyle w:val="337"/>
        <w:spacing w:after="0" w:line="360" w:lineRule="auto"/>
        <w:ind w:firstLine="480"/>
        <w:rPr>
          <w:rFonts w:hint="eastAsia" w:ascii="宋体" w:hAnsi="宋体" w:eastAsia="宋体"/>
          <w:sz w:val="24"/>
          <w:szCs w:val="24"/>
        </w:rPr>
      </w:pPr>
      <w:r>
        <w:rPr>
          <w:rFonts w:hint="eastAsia" w:ascii="宋体" w:hAnsi="宋体" w:eastAsia="宋体"/>
          <w:sz w:val="24"/>
          <w:szCs w:val="24"/>
        </w:rPr>
        <w:t xml:space="preserve">16.4 </w:t>
      </w:r>
      <w:r>
        <w:rPr>
          <w:rFonts w:hint="eastAsia" w:ascii="宋体" w:hAnsi="宋体" w:eastAsia="宋体" w:cs="Times New Roman"/>
          <w:kern w:val="2"/>
          <w:sz w:val="24"/>
          <w:szCs w:val="24"/>
        </w:rPr>
        <w:t>涉及国家利益、社会公共利益的情形</w:t>
      </w:r>
    </w:p>
    <w:p w14:paraId="363F0352">
      <w:pPr>
        <w:pStyle w:val="337"/>
        <w:spacing w:after="0" w:line="360" w:lineRule="auto"/>
        <w:ind w:firstLine="480"/>
        <w:jc w:val="both"/>
        <w:rPr>
          <w:rFonts w:hint="eastAsia" w:ascii="宋体" w:hAnsi="宋体" w:eastAsia="宋体"/>
          <w:sz w:val="24"/>
          <w:szCs w:val="24"/>
        </w:rPr>
      </w:pPr>
      <w:r>
        <w:rPr>
          <w:rFonts w:hint="eastAsia" w:ascii="宋体" w:hAnsi="宋体" w:eastAsia="宋体" w:cs="宋体"/>
          <w:sz w:val="24"/>
          <w:szCs w:val="24"/>
        </w:rPr>
        <w:t>政府采购合同继续履行将损害国家利益和社会公共利益的，双方当事人应当变更、中止或者终止合同。有过错的一方应当承担赔偿责任，双方都有过错的，各自承担相应的责任。</w:t>
      </w:r>
    </w:p>
    <w:p w14:paraId="2A6F43FF">
      <w:p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17. 合同分包</w:t>
      </w:r>
    </w:p>
    <w:p w14:paraId="099053FF">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17.1 乙方不得将合同转包给其他供应商。涉及合同分包的，乙方应根据采购文件和投标（响应）文件规定进行合同分包。</w:t>
      </w:r>
    </w:p>
    <w:p w14:paraId="00F3269F">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17.2 乙方执行政府采购政策向中小企业依法分包的，乙方应当按采购文件和投标（响应）文件签订分包意向协议，分包意向协议属于本合同组成部分。</w:t>
      </w:r>
    </w:p>
    <w:p w14:paraId="0B1D5218">
      <w:p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18. 不可抗力</w:t>
      </w:r>
    </w:p>
    <w:p w14:paraId="7EE31C43">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18.1 不可抗力是指合同双方不能预见、不能避免且不能克服的客观情况。</w:t>
      </w:r>
    </w:p>
    <w:p w14:paraId="69C02EDC">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18.2 任何一方对由于不可抗力造成的部分或全部不能履行合同不承担违约责任。但迟延履行后发生不可抗力的，不能免除责任。</w:t>
      </w:r>
    </w:p>
    <w:p w14:paraId="0CD2A18A">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078BE907">
      <w:pPr>
        <w:autoSpaceDE w:val="0"/>
        <w:autoSpaceDN w:val="0"/>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19. 解决争议的方法</w:t>
      </w:r>
    </w:p>
    <w:p w14:paraId="1D77665F">
      <w:pPr>
        <w:pStyle w:val="337"/>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089F002A">
      <w:pPr>
        <w:pStyle w:val="337"/>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19.2 选择仲裁的，应在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中明确仲裁机构及仲裁地；通过诉讼方式解决的，可以在</w:t>
      </w:r>
      <w:r>
        <w:rPr>
          <w:rFonts w:hint="eastAsia" w:ascii="宋体" w:hAnsi="宋体" w:eastAsia="宋体" w:cs="宋体"/>
          <w:b/>
          <w:bCs/>
          <w:sz w:val="24"/>
          <w:szCs w:val="24"/>
        </w:rPr>
        <w:t>【政府采购合同专用条款】</w:t>
      </w:r>
      <w:r>
        <w:rPr>
          <w:rFonts w:hint="eastAsia" w:ascii="宋体" w:hAnsi="宋体" w:eastAsia="宋体" w:cs="宋体"/>
          <w:sz w:val="24"/>
          <w:szCs w:val="24"/>
        </w:rPr>
        <w:t>中进一步约定选择与争议有实际联系的地点的人民法院管辖，但管辖法院的约定不得违反级别管辖和专属管辖的规定。</w:t>
      </w:r>
    </w:p>
    <w:p w14:paraId="56D600D5">
      <w:pPr>
        <w:pStyle w:val="337"/>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19.3 如甲乙双方有争议的事项不影响合同其他部分的履行，在争议解决期间，合同其他部分应当继续履行。</w:t>
      </w:r>
    </w:p>
    <w:p w14:paraId="6AEAC058">
      <w:pPr>
        <w:autoSpaceDE w:val="0"/>
        <w:autoSpaceDN w:val="0"/>
        <w:adjustRightInd w:val="0"/>
        <w:snapToGrid w:val="0"/>
        <w:spacing w:line="360" w:lineRule="auto"/>
        <w:ind w:left="-120" w:right="-120" w:firstLine="241"/>
        <w:jc w:val="left"/>
        <w:rPr>
          <w:rFonts w:hint="eastAsia" w:ascii="宋体" w:hAnsi="宋体"/>
          <w:sz w:val="24"/>
        </w:rPr>
      </w:pPr>
      <w:r>
        <w:rPr>
          <w:rFonts w:hint="eastAsia" w:ascii="宋体" w:hAnsi="宋体"/>
          <w:b/>
          <w:sz w:val="24"/>
        </w:rPr>
        <w:t>20. 政府采购政策</w:t>
      </w:r>
    </w:p>
    <w:p w14:paraId="4AE1EF6C">
      <w:pPr>
        <w:autoSpaceDE w:val="0"/>
        <w:autoSpaceDN w:val="0"/>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 xml:space="preserve">20.1 </w:t>
      </w:r>
      <w:r>
        <w:rPr>
          <w:rFonts w:hint="eastAsia" w:ascii="宋体" w:hAnsi="宋体" w:cs="宋体"/>
          <w:sz w:val="24"/>
          <w:lang w:val="en-GB"/>
        </w:rPr>
        <w:t>本合同应当按照规定执行政府采购政策。</w:t>
      </w:r>
    </w:p>
    <w:p w14:paraId="58AADB06">
      <w:pPr>
        <w:autoSpaceDE w:val="0"/>
        <w:autoSpaceDN w:val="0"/>
        <w:adjustRightInd w:val="0"/>
        <w:snapToGrid w:val="0"/>
        <w:spacing w:line="360" w:lineRule="auto"/>
        <w:ind w:left="-120" w:right="-120" w:firstLine="480" w:firstLineChars="200"/>
        <w:jc w:val="left"/>
        <w:rPr>
          <w:rFonts w:hint="eastAsia" w:ascii="宋体" w:hAnsi="宋体"/>
          <w:sz w:val="24"/>
        </w:rPr>
      </w:pPr>
      <w:r>
        <w:rPr>
          <w:rFonts w:ascii="宋体" w:hAnsi="宋体"/>
          <w:sz w:val="24"/>
        </w:rPr>
        <w:t>2</w:t>
      </w:r>
      <w:r>
        <w:rPr>
          <w:rFonts w:hint="eastAsia" w:ascii="宋体" w:hAnsi="宋体"/>
          <w:sz w:val="24"/>
        </w:rPr>
        <w:t>0.2 本合同依法执行政府采购政策的方式和内容，属于合同履约验收的范围。</w:t>
      </w:r>
      <w:r>
        <w:rPr>
          <w:rFonts w:hint="eastAsia" w:ascii="宋体" w:hAnsi="宋体" w:cs="宋体"/>
          <w:sz w:val="24"/>
        </w:rPr>
        <w:t>甲乙双方</w:t>
      </w:r>
      <w:r>
        <w:rPr>
          <w:rFonts w:hint="eastAsia" w:ascii="宋体" w:hAnsi="宋体" w:cs="宋体"/>
          <w:sz w:val="24"/>
          <w:lang w:val="en-GB"/>
        </w:rPr>
        <w:t>未按规定要求执行政府采购政策造成损失的</w:t>
      </w:r>
      <w:r>
        <w:rPr>
          <w:rFonts w:hint="eastAsia" w:ascii="宋体" w:hAnsi="宋体"/>
          <w:sz w:val="24"/>
        </w:rPr>
        <w:t>，有过错的一方应当承担赔偿责任，双方都有过错的，各自承担相应的责任。</w:t>
      </w:r>
    </w:p>
    <w:p w14:paraId="2DA15863">
      <w:pPr>
        <w:pStyle w:val="18"/>
        <w:spacing w:line="360" w:lineRule="auto"/>
        <w:ind w:left="-120" w:right="-120" w:firstLine="480" w:firstLineChars="200"/>
        <w:rPr>
          <w:rFonts w:hint="eastAsia"/>
        </w:rPr>
      </w:pPr>
      <w:r>
        <w:t>2</w:t>
      </w:r>
      <w:r>
        <w:rPr>
          <w:rFonts w:hint="eastAsia"/>
        </w:rPr>
        <w:t>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21C89453">
      <w:pPr>
        <w:autoSpaceDE w:val="0"/>
        <w:autoSpaceDN w:val="0"/>
        <w:adjustRightInd w:val="0"/>
        <w:snapToGrid w:val="0"/>
        <w:spacing w:line="360" w:lineRule="auto"/>
        <w:ind w:left="-120" w:right="-120" w:firstLine="241"/>
        <w:jc w:val="left"/>
        <w:rPr>
          <w:rFonts w:hint="eastAsia" w:ascii="宋体" w:hAnsi="宋体"/>
          <w:b/>
          <w:sz w:val="24"/>
        </w:rPr>
      </w:pPr>
      <w:r>
        <w:rPr>
          <w:rFonts w:hint="eastAsia" w:ascii="宋体" w:hAnsi="宋体"/>
          <w:b/>
          <w:sz w:val="24"/>
        </w:rPr>
        <w:t>21. 法律适用</w:t>
      </w:r>
    </w:p>
    <w:p w14:paraId="26EEFD22">
      <w:pPr>
        <w:pStyle w:val="337"/>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21.1 本合同的订立、生效、解释、履行及与本合同有关的争议解决，均适用法律、行政法规。</w:t>
      </w:r>
    </w:p>
    <w:p w14:paraId="3971D80B">
      <w:pPr>
        <w:pStyle w:val="337"/>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21.2 本合同条款与法律、行政法规的强制性规定不一致的，双方当事人应按照法律、行政法规的强制性规定修改本合同的相关条款。</w:t>
      </w:r>
    </w:p>
    <w:p w14:paraId="5F79FDE7">
      <w:pPr>
        <w:numPr>
          <w:ilvl w:val="255"/>
          <w:numId w:val="0"/>
        </w:numPr>
        <w:autoSpaceDE w:val="0"/>
        <w:autoSpaceDN w:val="0"/>
        <w:adjustRightInd w:val="0"/>
        <w:snapToGrid w:val="0"/>
        <w:spacing w:line="360" w:lineRule="auto"/>
        <w:ind w:right="-120"/>
        <w:jc w:val="left"/>
        <w:rPr>
          <w:rFonts w:hint="eastAsia" w:ascii="宋体" w:hAnsi="宋体"/>
          <w:b/>
          <w:sz w:val="24"/>
        </w:rPr>
      </w:pPr>
      <w:r>
        <w:rPr>
          <w:rFonts w:hint="eastAsia" w:ascii="宋体" w:hAnsi="宋体"/>
          <w:b/>
          <w:sz w:val="24"/>
        </w:rPr>
        <w:t>22. 通知</w:t>
      </w:r>
    </w:p>
    <w:p w14:paraId="660E73F0">
      <w:pPr>
        <w:pStyle w:val="337"/>
        <w:spacing w:after="0" w:line="360" w:lineRule="auto"/>
        <w:ind w:firstLine="480"/>
        <w:jc w:val="both"/>
        <w:rPr>
          <w:rFonts w:hint="eastAsia" w:ascii="宋体" w:hAnsi="宋体" w:eastAsia="宋体" w:cs="宋体"/>
          <w:sz w:val="24"/>
          <w:szCs w:val="24"/>
        </w:rPr>
      </w:pPr>
      <w:r>
        <w:rPr>
          <w:rFonts w:hint="eastAsia" w:ascii="宋体" w:hAnsi="宋体" w:eastAsia="宋体" w:cs="宋体"/>
          <w:sz w:val="24"/>
          <w:szCs w:val="24"/>
        </w:rPr>
        <w:t>22.1 本合同任何一方向对方发出的通知、信件、数据电文等，应当发送至本合同第一部分《政府采购合同协议书》所约定的通讯地址、联系人、联系电话或电子邮箱。</w:t>
      </w:r>
    </w:p>
    <w:p w14:paraId="5382A30A">
      <w:pPr>
        <w:pStyle w:val="337"/>
        <w:spacing w:after="0" w:line="360" w:lineRule="auto"/>
        <w:ind w:firstLine="0" w:firstLineChars="0"/>
        <w:jc w:val="both"/>
        <w:rPr>
          <w:rFonts w:hint="eastAsia" w:ascii="宋体" w:hAnsi="宋体" w:eastAsia="宋体"/>
          <w:sz w:val="24"/>
          <w:szCs w:val="24"/>
        </w:rPr>
      </w:pPr>
      <w:r>
        <w:rPr>
          <w:rFonts w:hint="eastAsia" w:ascii="宋体" w:hAnsi="宋体" w:eastAsia="宋体" w:cs="宋体"/>
          <w:sz w:val="24"/>
          <w:szCs w:val="24"/>
        </w:rPr>
        <w:t xml:space="preserve">    22.2 一方当事人变更名称、住所、联系人、联系电话或电子邮箱等信息的，应当在变更后3日内及时书面通知对方，对方实际收到变更通知前的送达仍为有效送达。</w:t>
      </w:r>
    </w:p>
    <w:p w14:paraId="55B5A334">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22.3本合同一方给另一方的通知均应采用书面形式，传真或快递送到本合同中规定的对方的地址和办理签收手续。</w:t>
      </w:r>
    </w:p>
    <w:p w14:paraId="3442E34C">
      <w:pPr>
        <w:adjustRightInd w:val="0"/>
        <w:snapToGrid w:val="0"/>
        <w:spacing w:line="360" w:lineRule="auto"/>
        <w:ind w:left="-120" w:right="-120" w:firstLine="480" w:firstLineChars="200"/>
        <w:jc w:val="left"/>
        <w:rPr>
          <w:rFonts w:hint="eastAsia" w:ascii="宋体" w:hAnsi="宋体"/>
          <w:sz w:val="24"/>
        </w:rPr>
      </w:pPr>
      <w:r>
        <w:rPr>
          <w:rFonts w:hint="eastAsia" w:ascii="宋体" w:hAnsi="宋体"/>
          <w:sz w:val="24"/>
        </w:rPr>
        <w:t>22.4通知以送达之日或通知书中规定的生效之日起生效，两者中以较迟之日为准。</w:t>
      </w:r>
    </w:p>
    <w:p w14:paraId="0516B98C">
      <w:pPr>
        <w:numPr>
          <w:ilvl w:val="0"/>
          <w:numId w:val="13"/>
        </w:numPr>
        <w:adjustRightInd w:val="0"/>
        <w:snapToGrid w:val="0"/>
        <w:spacing w:line="360" w:lineRule="auto"/>
        <w:ind w:left="-120" w:right="-120" w:firstLine="241"/>
        <w:jc w:val="left"/>
        <w:rPr>
          <w:rFonts w:hint="eastAsia" w:ascii="宋体" w:hAnsi="宋体"/>
          <w:b/>
          <w:bCs/>
          <w:sz w:val="24"/>
        </w:rPr>
      </w:pPr>
      <w:r>
        <w:rPr>
          <w:rFonts w:hint="eastAsia" w:ascii="宋体" w:hAnsi="宋体"/>
          <w:b/>
          <w:bCs/>
          <w:sz w:val="24"/>
        </w:rPr>
        <w:t>合同未尽事项</w:t>
      </w:r>
    </w:p>
    <w:p w14:paraId="53D8E8A7">
      <w:pPr>
        <w:adjustRightInd w:val="0"/>
        <w:snapToGrid w:val="0"/>
        <w:spacing w:line="360" w:lineRule="auto"/>
        <w:ind w:left="-120" w:right="-120" w:firstLine="480" w:firstLineChars="200"/>
        <w:jc w:val="left"/>
        <w:rPr>
          <w:rFonts w:hint="eastAsia" w:ascii="宋体" w:hAnsi="宋体"/>
          <w:bCs/>
          <w:sz w:val="24"/>
        </w:rPr>
      </w:pPr>
      <w:r>
        <w:rPr>
          <w:rFonts w:hint="eastAsia" w:ascii="宋体" w:hAnsi="宋体"/>
          <w:bCs/>
          <w:sz w:val="24"/>
        </w:rPr>
        <w:t>23.1合同未尽事项见</w:t>
      </w:r>
      <w:r>
        <w:rPr>
          <w:rFonts w:hint="eastAsia" w:ascii="宋体" w:hAnsi="宋体"/>
          <w:b/>
          <w:sz w:val="24"/>
        </w:rPr>
        <w:t>【政府采购合同专用条款】</w:t>
      </w:r>
      <w:r>
        <w:rPr>
          <w:rFonts w:hint="eastAsia" w:ascii="宋体" w:hAnsi="宋体"/>
          <w:bCs/>
          <w:sz w:val="24"/>
        </w:rPr>
        <w:t>。</w:t>
      </w:r>
    </w:p>
    <w:p w14:paraId="436242BB">
      <w:pPr>
        <w:adjustRightInd w:val="0"/>
        <w:snapToGrid w:val="0"/>
        <w:spacing w:line="360" w:lineRule="auto"/>
        <w:ind w:left="-120" w:right="-120"/>
        <w:jc w:val="left"/>
        <w:rPr>
          <w:rFonts w:hint="eastAsia" w:ascii="宋体" w:hAnsi="宋体"/>
          <w:sz w:val="24"/>
        </w:rPr>
      </w:pPr>
      <w:r>
        <w:rPr>
          <w:rFonts w:hint="eastAsia" w:ascii="宋体" w:hAnsi="宋体"/>
          <w:bCs/>
          <w:sz w:val="24"/>
        </w:rPr>
        <w:t xml:space="preserve">    23.2 合同附件与合同正文具有同等的法律效力。</w:t>
      </w:r>
      <w:bookmarkStart w:id="777" w:name="_Toc20313"/>
    </w:p>
    <w:p w14:paraId="2BA6E7A3">
      <w:pPr>
        <w:pStyle w:val="3"/>
        <w:snapToGrid w:val="0"/>
        <w:ind w:left="-120" w:right="-120" w:firstLine="281"/>
        <w:rPr>
          <w:rFonts w:hint="eastAsia" w:ascii="宋体" w:hAnsi="宋体"/>
          <w:sz w:val="28"/>
          <w:szCs w:val="28"/>
        </w:rPr>
      </w:pPr>
      <w:r>
        <w:rPr>
          <w:rFonts w:hint="eastAsia" w:ascii="宋体" w:hAnsi="宋体"/>
          <w:sz w:val="28"/>
          <w:szCs w:val="28"/>
        </w:rPr>
        <w:t>第三节 政府采购合同专用条款</w:t>
      </w:r>
      <w:bookmarkEnd w:id="777"/>
    </w:p>
    <w:tbl>
      <w:tblPr>
        <w:tblStyle w:val="45"/>
        <w:tblW w:w="5000" w:type="pct"/>
        <w:tblInd w:w="0" w:type="dxa"/>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586"/>
        <w:gridCol w:w="1748"/>
        <w:gridCol w:w="5954"/>
      </w:tblGrid>
      <w:tr w14:paraId="6B3B53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3D111AAD">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54393D1B">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第1.2（6）项</w:t>
            </w:r>
          </w:p>
        </w:tc>
        <w:tc>
          <w:tcPr>
            <w:tcW w:w="941" w:type="pct"/>
            <w:vAlign w:val="center"/>
          </w:tcPr>
          <w:p w14:paraId="32EA21FB">
            <w:pPr>
              <w:adjustRightInd w:val="0"/>
              <w:snapToGrid w:val="0"/>
              <w:ind w:left="-50" w:right="-50"/>
              <w:jc w:val="left"/>
              <w:rPr>
                <w:rFonts w:hint="eastAsia" w:ascii="宋体" w:hAnsi="宋体"/>
                <w:sz w:val="22"/>
                <w:szCs w:val="22"/>
              </w:rPr>
            </w:pPr>
            <w:r>
              <w:rPr>
                <w:rFonts w:hint="eastAsia" w:ascii="宋体" w:hAnsi="宋体"/>
                <w:sz w:val="22"/>
                <w:szCs w:val="22"/>
              </w:rPr>
              <w:t>联合体具体要求</w:t>
            </w:r>
          </w:p>
        </w:tc>
        <w:tc>
          <w:tcPr>
            <w:tcW w:w="3205" w:type="pct"/>
            <w:vAlign w:val="center"/>
          </w:tcPr>
          <w:p w14:paraId="5B26669C">
            <w:pPr>
              <w:adjustRightInd w:val="0"/>
              <w:snapToGrid w:val="0"/>
              <w:ind w:left="-120" w:right="-120" w:firstLine="220"/>
              <w:jc w:val="left"/>
              <w:rPr>
                <w:rFonts w:hint="eastAsia" w:ascii="宋体" w:hAnsi="宋体"/>
                <w:sz w:val="22"/>
                <w:szCs w:val="22"/>
              </w:rPr>
            </w:pPr>
            <w:r>
              <w:rPr>
                <w:rFonts w:hint="eastAsia" w:ascii="宋体" w:hAnsi="宋体"/>
                <w:sz w:val="22"/>
                <w:szCs w:val="22"/>
              </w:rPr>
              <w:t>不涉及</w:t>
            </w:r>
          </w:p>
        </w:tc>
      </w:tr>
      <w:tr w14:paraId="570D81A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5DEC0928">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43281B92">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第1.2（7）项</w:t>
            </w:r>
          </w:p>
        </w:tc>
        <w:tc>
          <w:tcPr>
            <w:tcW w:w="941" w:type="pct"/>
            <w:vAlign w:val="center"/>
          </w:tcPr>
          <w:p w14:paraId="74B69A49">
            <w:pPr>
              <w:adjustRightInd w:val="0"/>
              <w:snapToGrid w:val="0"/>
              <w:ind w:left="-50" w:right="-50"/>
              <w:jc w:val="left"/>
              <w:rPr>
                <w:rFonts w:hint="eastAsia" w:ascii="宋体" w:hAnsi="宋体"/>
                <w:sz w:val="22"/>
                <w:szCs w:val="22"/>
              </w:rPr>
            </w:pPr>
            <w:r>
              <w:rPr>
                <w:rFonts w:hint="eastAsia" w:ascii="宋体" w:hAnsi="宋体"/>
                <w:sz w:val="22"/>
                <w:szCs w:val="22"/>
              </w:rPr>
              <w:t>其他术语解释</w:t>
            </w:r>
          </w:p>
        </w:tc>
        <w:tc>
          <w:tcPr>
            <w:tcW w:w="3205" w:type="pct"/>
            <w:vAlign w:val="center"/>
          </w:tcPr>
          <w:p w14:paraId="1C49D217">
            <w:pPr>
              <w:adjustRightInd w:val="0"/>
              <w:snapToGrid w:val="0"/>
              <w:ind w:left="-120" w:right="-120" w:firstLine="220"/>
              <w:jc w:val="left"/>
              <w:rPr>
                <w:rFonts w:hint="eastAsia" w:ascii="宋体" w:hAnsi="宋体"/>
                <w:sz w:val="22"/>
                <w:szCs w:val="22"/>
              </w:rPr>
            </w:pPr>
          </w:p>
        </w:tc>
      </w:tr>
      <w:tr w14:paraId="39C51C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3C343146">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39530E17">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第4.4款</w:t>
            </w:r>
          </w:p>
        </w:tc>
        <w:tc>
          <w:tcPr>
            <w:tcW w:w="941" w:type="pct"/>
            <w:vAlign w:val="center"/>
          </w:tcPr>
          <w:p w14:paraId="42506305">
            <w:pPr>
              <w:adjustRightInd w:val="0"/>
              <w:snapToGrid w:val="0"/>
              <w:ind w:left="-50" w:right="-50"/>
              <w:jc w:val="left"/>
              <w:rPr>
                <w:rFonts w:hint="eastAsia" w:ascii="宋体" w:hAnsi="宋体"/>
                <w:sz w:val="22"/>
                <w:szCs w:val="22"/>
              </w:rPr>
            </w:pPr>
            <w:r>
              <w:rPr>
                <w:rFonts w:hint="eastAsia" w:ascii="宋体" w:hAnsi="宋体"/>
                <w:sz w:val="22"/>
                <w:szCs w:val="22"/>
              </w:rPr>
              <w:t>履约验收中甲方提出异议或作出说明的期限</w:t>
            </w:r>
          </w:p>
        </w:tc>
        <w:tc>
          <w:tcPr>
            <w:tcW w:w="3205" w:type="pct"/>
            <w:vAlign w:val="center"/>
          </w:tcPr>
          <w:p w14:paraId="20F3886A">
            <w:pPr>
              <w:adjustRightInd w:val="0"/>
              <w:snapToGrid w:val="0"/>
              <w:ind w:left="-120" w:right="-120" w:firstLine="220"/>
              <w:jc w:val="left"/>
              <w:rPr>
                <w:rFonts w:hint="eastAsia" w:ascii="宋体" w:hAnsi="宋体"/>
                <w:sz w:val="22"/>
                <w:szCs w:val="22"/>
              </w:rPr>
            </w:pPr>
            <w:r>
              <w:rPr>
                <w:rFonts w:hint="eastAsia" w:ascii="宋体" w:hAnsi="宋体"/>
                <w:sz w:val="22"/>
                <w:szCs w:val="22"/>
              </w:rPr>
              <w:t>①甲方在清点乙方提供的技术资料时如发现缺失，乙方应在接到甲方通知后七日内予以补足。②在双方签署验收证书后三十日内，如果甲方发现货物内在的、非显而易见的损坏，或者货物的质量与合同规定不符，或者在货物质量保证期内证实货物是有缺陷的（包括潜在的缺陷或使用不符合要求的材料等），甲方有权要求乙方免费更换有缺陷的货物或部件。甲方应在发现该情况之日起三日内以书面形式通知乙方，一方应在收到甲方通知后十日内免费更换有缺陷的货物或部件，相关费用由乙方承担。</w:t>
            </w:r>
          </w:p>
        </w:tc>
      </w:tr>
      <w:tr w14:paraId="6D84F78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59F3A8CE">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739FD893">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第4.6款</w:t>
            </w:r>
          </w:p>
        </w:tc>
        <w:tc>
          <w:tcPr>
            <w:tcW w:w="941" w:type="pct"/>
            <w:vAlign w:val="center"/>
          </w:tcPr>
          <w:p w14:paraId="56447543">
            <w:pPr>
              <w:adjustRightInd w:val="0"/>
              <w:snapToGrid w:val="0"/>
              <w:ind w:left="-50" w:right="-50"/>
              <w:jc w:val="left"/>
              <w:rPr>
                <w:rFonts w:hint="eastAsia" w:ascii="宋体" w:hAnsi="宋体"/>
                <w:sz w:val="22"/>
                <w:szCs w:val="22"/>
              </w:rPr>
            </w:pPr>
            <w:r>
              <w:rPr>
                <w:rFonts w:hint="eastAsia" w:ascii="宋体" w:hAnsi="宋体"/>
                <w:sz w:val="22"/>
                <w:szCs w:val="22"/>
              </w:rPr>
              <w:t>约定甲方承担的其他义务和责任</w:t>
            </w:r>
          </w:p>
        </w:tc>
        <w:tc>
          <w:tcPr>
            <w:tcW w:w="3205" w:type="pct"/>
            <w:vAlign w:val="center"/>
          </w:tcPr>
          <w:p w14:paraId="1B5380E8">
            <w:pPr>
              <w:adjustRightInd w:val="0"/>
              <w:snapToGrid w:val="0"/>
              <w:ind w:left="-120" w:right="-120" w:firstLine="220"/>
              <w:jc w:val="left"/>
              <w:rPr>
                <w:rFonts w:hint="eastAsia" w:ascii="宋体" w:hAnsi="宋体"/>
                <w:sz w:val="22"/>
                <w:szCs w:val="22"/>
              </w:rPr>
            </w:pPr>
          </w:p>
        </w:tc>
      </w:tr>
      <w:tr w14:paraId="395D531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2118FF8A">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57101099">
            <w:pPr>
              <w:snapToGrid w:val="0"/>
              <w:ind w:left="-105" w:leftChars="-50" w:right="-105" w:rightChars="-50"/>
              <w:jc w:val="center"/>
              <w:rPr>
                <w:rFonts w:hint="eastAsia" w:ascii="宋体" w:hAnsi="宋体"/>
                <w:sz w:val="22"/>
                <w:szCs w:val="22"/>
              </w:rPr>
            </w:pPr>
            <w:r>
              <w:rPr>
                <w:rFonts w:hint="eastAsia" w:ascii="宋体" w:hAnsi="宋体"/>
                <w:sz w:val="22"/>
                <w:szCs w:val="22"/>
              </w:rPr>
              <w:t>第5.4款</w:t>
            </w:r>
          </w:p>
        </w:tc>
        <w:tc>
          <w:tcPr>
            <w:tcW w:w="941" w:type="pct"/>
            <w:vAlign w:val="center"/>
          </w:tcPr>
          <w:p w14:paraId="1E5991A7">
            <w:pPr>
              <w:adjustRightInd w:val="0"/>
              <w:snapToGrid w:val="0"/>
              <w:ind w:left="-50" w:right="-50"/>
              <w:jc w:val="left"/>
              <w:rPr>
                <w:rFonts w:hint="eastAsia" w:ascii="宋体" w:hAnsi="宋体"/>
                <w:sz w:val="22"/>
                <w:szCs w:val="22"/>
              </w:rPr>
            </w:pPr>
            <w:r>
              <w:rPr>
                <w:rFonts w:hint="eastAsia" w:ascii="宋体" w:hAnsi="宋体"/>
                <w:sz w:val="22"/>
                <w:szCs w:val="22"/>
              </w:rPr>
              <w:t>约定乙方承担的其他义务和责任</w:t>
            </w:r>
          </w:p>
        </w:tc>
        <w:tc>
          <w:tcPr>
            <w:tcW w:w="3205" w:type="pct"/>
            <w:vAlign w:val="center"/>
          </w:tcPr>
          <w:p w14:paraId="6D3585DD">
            <w:pPr>
              <w:adjustRightInd w:val="0"/>
              <w:snapToGrid w:val="0"/>
              <w:ind w:left="-120" w:right="-120" w:firstLine="220"/>
              <w:jc w:val="left"/>
              <w:rPr>
                <w:rFonts w:hint="eastAsia" w:ascii="宋体" w:hAnsi="宋体"/>
                <w:sz w:val="22"/>
                <w:szCs w:val="22"/>
              </w:rPr>
            </w:pPr>
          </w:p>
        </w:tc>
      </w:tr>
      <w:tr w14:paraId="0A08C7A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4C497119">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38849A75">
            <w:pPr>
              <w:snapToGrid w:val="0"/>
              <w:ind w:left="-105" w:leftChars="-50" w:right="-105" w:rightChars="-50"/>
              <w:jc w:val="center"/>
              <w:rPr>
                <w:rFonts w:hint="eastAsia" w:ascii="宋体" w:hAnsi="宋体"/>
                <w:sz w:val="22"/>
                <w:szCs w:val="22"/>
              </w:rPr>
            </w:pPr>
            <w:r>
              <w:rPr>
                <w:rFonts w:hint="eastAsia" w:ascii="宋体" w:hAnsi="宋体"/>
                <w:sz w:val="22"/>
                <w:szCs w:val="22"/>
              </w:rPr>
              <w:t>第6.1款</w:t>
            </w:r>
          </w:p>
        </w:tc>
        <w:tc>
          <w:tcPr>
            <w:tcW w:w="941" w:type="pct"/>
            <w:vAlign w:val="center"/>
          </w:tcPr>
          <w:p w14:paraId="52265431">
            <w:pPr>
              <w:adjustRightInd w:val="0"/>
              <w:snapToGrid w:val="0"/>
              <w:ind w:left="-50" w:right="-50"/>
              <w:jc w:val="left"/>
              <w:rPr>
                <w:rFonts w:hint="eastAsia" w:ascii="宋体" w:hAnsi="宋体"/>
                <w:sz w:val="22"/>
                <w:szCs w:val="22"/>
              </w:rPr>
            </w:pPr>
            <w:r>
              <w:rPr>
                <w:rFonts w:hint="eastAsia" w:ascii="宋体" w:hAnsi="宋体"/>
                <w:sz w:val="22"/>
                <w:szCs w:val="22"/>
              </w:rPr>
              <w:t>履行合同义务的顺序</w:t>
            </w:r>
          </w:p>
        </w:tc>
        <w:tc>
          <w:tcPr>
            <w:tcW w:w="3205" w:type="pct"/>
            <w:vAlign w:val="center"/>
          </w:tcPr>
          <w:p w14:paraId="2378C5E7">
            <w:pPr>
              <w:adjustRightInd w:val="0"/>
              <w:snapToGrid w:val="0"/>
              <w:ind w:left="-120" w:right="-120" w:firstLine="220"/>
              <w:jc w:val="left"/>
              <w:rPr>
                <w:rFonts w:hint="eastAsia" w:ascii="宋体" w:hAnsi="宋体"/>
                <w:sz w:val="22"/>
                <w:szCs w:val="22"/>
              </w:rPr>
            </w:pPr>
            <w:r>
              <w:rPr>
                <w:rFonts w:hint="eastAsia" w:ascii="宋体" w:hAnsi="宋体"/>
                <w:sz w:val="22"/>
                <w:szCs w:val="22"/>
              </w:rPr>
              <w:t>（1）政府采购合同协议书及其变更、补充协议</w:t>
            </w:r>
          </w:p>
          <w:p w14:paraId="6B4CEA2F">
            <w:pPr>
              <w:adjustRightInd w:val="0"/>
              <w:snapToGrid w:val="0"/>
              <w:ind w:left="-120" w:right="-120" w:firstLine="220"/>
              <w:jc w:val="left"/>
              <w:rPr>
                <w:rFonts w:hint="eastAsia" w:ascii="宋体" w:hAnsi="宋体"/>
                <w:sz w:val="22"/>
                <w:szCs w:val="22"/>
              </w:rPr>
            </w:pPr>
            <w:r>
              <w:rPr>
                <w:rFonts w:hint="eastAsia" w:ascii="宋体" w:hAnsi="宋体"/>
                <w:sz w:val="22"/>
                <w:szCs w:val="22"/>
              </w:rPr>
              <w:t>（2）政府采购合同专用条款</w:t>
            </w:r>
          </w:p>
          <w:p w14:paraId="00C100EB">
            <w:pPr>
              <w:adjustRightInd w:val="0"/>
              <w:snapToGrid w:val="0"/>
              <w:ind w:left="-120" w:right="-120" w:firstLine="220"/>
              <w:jc w:val="left"/>
              <w:rPr>
                <w:rFonts w:hint="eastAsia" w:ascii="宋体" w:hAnsi="宋体"/>
                <w:sz w:val="22"/>
                <w:szCs w:val="22"/>
              </w:rPr>
            </w:pPr>
            <w:r>
              <w:rPr>
                <w:rFonts w:hint="eastAsia" w:ascii="宋体" w:hAnsi="宋体"/>
                <w:sz w:val="22"/>
                <w:szCs w:val="22"/>
              </w:rPr>
              <w:t>（3）政府采购合同通用条款</w:t>
            </w:r>
          </w:p>
          <w:p w14:paraId="074CE3F5">
            <w:pPr>
              <w:adjustRightInd w:val="0"/>
              <w:snapToGrid w:val="0"/>
              <w:ind w:left="-120" w:right="-120" w:firstLine="220"/>
              <w:jc w:val="left"/>
              <w:rPr>
                <w:rFonts w:hint="eastAsia" w:ascii="宋体" w:hAnsi="宋体"/>
                <w:sz w:val="22"/>
                <w:szCs w:val="22"/>
              </w:rPr>
            </w:pPr>
            <w:r>
              <w:rPr>
                <w:rFonts w:hint="eastAsia" w:ascii="宋体" w:hAnsi="宋体"/>
                <w:sz w:val="22"/>
                <w:szCs w:val="22"/>
              </w:rPr>
              <w:t>（4）中标（成交）通知书</w:t>
            </w:r>
          </w:p>
          <w:p w14:paraId="2BD1E468">
            <w:pPr>
              <w:adjustRightInd w:val="0"/>
              <w:snapToGrid w:val="0"/>
              <w:ind w:left="-120" w:right="-120" w:firstLine="220"/>
              <w:jc w:val="left"/>
              <w:rPr>
                <w:rFonts w:hint="eastAsia" w:ascii="宋体" w:hAnsi="宋体"/>
                <w:sz w:val="22"/>
                <w:szCs w:val="22"/>
              </w:rPr>
            </w:pPr>
            <w:r>
              <w:rPr>
                <w:rFonts w:hint="eastAsia" w:ascii="宋体" w:hAnsi="宋体"/>
                <w:sz w:val="22"/>
                <w:szCs w:val="22"/>
              </w:rPr>
              <w:t>（5）投标（响应）文件（中标或成交）</w:t>
            </w:r>
          </w:p>
          <w:p w14:paraId="2E3423D1">
            <w:pPr>
              <w:adjustRightInd w:val="0"/>
              <w:snapToGrid w:val="0"/>
              <w:ind w:left="-120" w:right="-120" w:firstLine="220"/>
              <w:jc w:val="left"/>
              <w:rPr>
                <w:rFonts w:hint="eastAsia" w:ascii="宋体" w:hAnsi="宋体"/>
                <w:sz w:val="22"/>
                <w:szCs w:val="22"/>
              </w:rPr>
            </w:pPr>
            <w:r>
              <w:rPr>
                <w:rFonts w:hint="eastAsia" w:ascii="宋体" w:hAnsi="宋体"/>
                <w:sz w:val="22"/>
                <w:szCs w:val="22"/>
              </w:rPr>
              <w:t>（6）采购文件</w:t>
            </w:r>
          </w:p>
          <w:p w14:paraId="214EC356">
            <w:pPr>
              <w:adjustRightInd w:val="0"/>
              <w:snapToGrid w:val="0"/>
              <w:ind w:left="-120" w:right="-120" w:firstLine="220"/>
              <w:jc w:val="left"/>
              <w:rPr>
                <w:rFonts w:hint="eastAsia" w:ascii="宋体" w:hAnsi="宋体"/>
                <w:sz w:val="22"/>
                <w:szCs w:val="22"/>
              </w:rPr>
            </w:pPr>
            <w:r>
              <w:rPr>
                <w:rFonts w:hint="eastAsia" w:ascii="宋体" w:hAnsi="宋体"/>
                <w:sz w:val="22"/>
                <w:szCs w:val="22"/>
              </w:rPr>
              <w:t>（7）有关技术文件，图纸</w:t>
            </w:r>
          </w:p>
          <w:p w14:paraId="65A87120">
            <w:pPr>
              <w:adjustRightInd w:val="0"/>
              <w:snapToGrid w:val="0"/>
              <w:ind w:left="-120" w:right="-120" w:firstLine="220"/>
              <w:jc w:val="left"/>
              <w:rPr>
                <w:rFonts w:hint="eastAsia" w:ascii="宋体" w:hAnsi="宋体"/>
                <w:sz w:val="22"/>
                <w:szCs w:val="22"/>
              </w:rPr>
            </w:pPr>
            <w:r>
              <w:rPr>
                <w:rFonts w:hint="eastAsia" w:ascii="宋体" w:hAnsi="宋体"/>
                <w:sz w:val="22"/>
                <w:szCs w:val="22"/>
              </w:rPr>
              <w:t>（8）国家法律、行政法规和规章制度规定或合同约定的作为合同组成部分的其他文件</w:t>
            </w:r>
          </w:p>
        </w:tc>
      </w:tr>
      <w:tr w14:paraId="6FE2FA8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Merge w:val="restart"/>
            <w:vAlign w:val="center"/>
          </w:tcPr>
          <w:p w14:paraId="0DDF5C55">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4CE5F17C">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第7.1款</w:t>
            </w:r>
          </w:p>
        </w:tc>
        <w:tc>
          <w:tcPr>
            <w:tcW w:w="941" w:type="pct"/>
            <w:vAlign w:val="center"/>
          </w:tcPr>
          <w:p w14:paraId="2C6DFC43">
            <w:pPr>
              <w:adjustRightInd w:val="0"/>
              <w:snapToGrid w:val="0"/>
              <w:ind w:left="-50" w:right="-50"/>
              <w:jc w:val="left"/>
              <w:rPr>
                <w:rFonts w:hint="eastAsia" w:ascii="宋体" w:hAnsi="宋体"/>
                <w:sz w:val="22"/>
                <w:szCs w:val="22"/>
              </w:rPr>
            </w:pPr>
            <w:r>
              <w:rPr>
                <w:rFonts w:hint="eastAsia" w:ascii="宋体" w:hAnsi="宋体"/>
                <w:sz w:val="22"/>
                <w:szCs w:val="22"/>
              </w:rPr>
              <w:t>包装特殊要求</w:t>
            </w:r>
          </w:p>
        </w:tc>
        <w:tc>
          <w:tcPr>
            <w:tcW w:w="3205" w:type="pct"/>
            <w:vAlign w:val="center"/>
          </w:tcPr>
          <w:p w14:paraId="1273647E">
            <w:pPr>
              <w:ind w:left="-120" w:right="-120" w:firstLine="220"/>
              <w:rPr>
                <w:rFonts w:hint="eastAsia" w:ascii="宋体" w:hAnsi="宋体"/>
                <w:sz w:val="22"/>
                <w:szCs w:val="22"/>
              </w:rPr>
            </w:pPr>
            <w:r>
              <w:rPr>
                <w:rFonts w:hint="eastAsia" w:ascii="宋体" w:hAnsi="宋体"/>
                <w:sz w:val="22"/>
                <w:szCs w:val="22"/>
              </w:rPr>
              <w:t>/</w:t>
            </w:r>
          </w:p>
        </w:tc>
      </w:tr>
      <w:tr w14:paraId="75D91C0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Merge w:val="continue"/>
            <w:vAlign w:val="center"/>
          </w:tcPr>
          <w:p w14:paraId="71B3100B">
            <w:pPr>
              <w:adjustRightInd w:val="0"/>
              <w:snapToGrid w:val="0"/>
              <w:ind w:left="-105" w:leftChars="-50" w:right="-105" w:rightChars="-50"/>
              <w:jc w:val="center"/>
              <w:rPr>
                <w:rFonts w:hint="eastAsia" w:ascii="宋体" w:hAnsi="宋体"/>
                <w:sz w:val="22"/>
                <w:szCs w:val="22"/>
              </w:rPr>
            </w:pPr>
          </w:p>
        </w:tc>
        <w:tc>
          <w:tcPr>
            <w:tcW w:w="941" w:type="pct"/>
            <w:vAlign w:val="center"/>
          </w:tcPr>
          <w:p w14:paraId="7D7B7CF0">
            <w:pPr>
              <w:adjustRightInd w:val="0"/>
              <w:snapToGrid w:val="0"/>
              <w:ind w:left="-50" w:right="-50"/>
              <w:jc w:val="left"/>
              <w:rPr>
                <w:rFonts w:hint="eastAsia" w:ascii="宋体" w:hAnsi="宋体"/>
                <w:sz w:val="22"/>
                <w:szCs w:val="22"/>
              </w:rPr>
            </w:pPr>
            <w:r>
              <w:rPr>
                <w:rFonts w:hint="eastAsia" w:ascii="宋体" w:hAnsi="宋体"/>
                <w:sz w:val="22"/>
                <w:szCs w:val="22"/>
              </w:rPr>
              <w:t>指定现场</w:t>
            </w:r>
          </w:p>
        </w:tc>
        <w:tc>
          <w:tcPr>
            <w:tcW w:w="3205" w:type="pct"/>
            <w:vAlign w:val="center"/>
          </w:tcPr>
          <w:p w14:paraId="057508A4">
            <w:pPr>
              <w:ind w:left="-120" w:right="-120" w:firstLine="220"/>
              <w:rPr>
                <w:rFonts w:hint="eastAsia" w:ascii="宋体" w:hAnsi="宋体"/>
                <w:sz w:val="22"/>
                <w:szCs w:val="22"/>
              </w:rPr>
            </w:pPr>
          </w:p>
        </w:tc>
      </w:tr>
      <w:tr w14:paraId="2A086AC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2514DE9C">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2CACC4A4">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第7.2款</w:t>
            </w:r>
          </w:p>
        </w:tc>
        <w:tc>
          <w:tcPr>
            <w:tcW w:w="941" w:type="pct"/>
            <w:vAlign w:val="center"/>
          </w:tcPr>
          <w:p w14:paraId="7B00835E">
            <w:pPr>
              <w:adjustRightInd w:val="0"/>
              <w:snapToGrid w:val="0"/>
              <w:ind w:left="-50" w:right="-50"/>
              <w:jc w:val="left"/>
              <w:rPr>
                <w:rFonts w:hint="eastAsia" w:ascii="宋体" w:hAnsi="宋体"/>
                <w:sz w:val="22"/>
                <w:szCs w:val="22"/>
              </w:rPr>
            </w:pPr>
            <w:r>
              <w:rPr>
                <w:rFonts w:hint="eastAsia" w:ascii="宋体" w:hAnsi="宋体"/>
                <w:sz w:val="22"/>
                <w:szCs w:val="22"/>
              </w:rPr>
              <w:t>运输特殊要求</w:t>
            </w:r>
          </w:p>
        </w:tc>
        <w:tc>
          <w:tcPr>
            <w:tcW w:w="3205" w:type="pct"/>
            <w:vAlign w:val="center"/>
          </w:tcPr>
          <w:p w14:paraId="5DBCAB67">
            <w:pPr>
              <w:ind w:left="-120" w:right="-120" w:firstLine="220"/>
              <w:rPr>
                <w:rFonts w:hint="eastAsia" w:ascii="宋体" w:hAnsi="宋体"/>
                <w:sz w:val="22"/>
                <w:szCs w:val="22"/>
              </w:rPr>
            </w:pPr>
            <w:r>
              <w:rPr>
                <w:rFonts w:hint="eastAsia" w:ascii="宋体" w:hAnsi="宋体"/>
                <w:sz w:val="22"/>
                <w:szCs w:val="22"/>
              </w:rPr>
              <w:t>/</w:t>
            </w:r>
          </w:p>
        </w:tc>
      </w:tr>
      <w:tr w14:paraId="3025D4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1FF63941">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43FF32FA">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第7.3款</w:t>
            </w:r>
          </w:p>
        </w:tc>
        <w:tc>
          <w:tcPr>
            <w:tcW w:w="941" w:type="pct"/>
            <w:vAlign w:val="center"/>
          </w:tcPr>
          <w:p w14:paraId="30537BC9">
            <w:pPr>
              <w:adjustRightInd w:val="0"/>
              <w:snapToGrid w:val="0"/>
              <w:ind w:left="-50" w:right="-50"/>
              <w:jc w:val="left"/>
              <w:rPr>
                <w:rFonts w:hint="eastAsia" w:ascii="宋体" w:hAnsi="宋体"/>
                <w:sz w:val="22"/>
                <w:szCs w:val="22"/>
              </w:rPr>
            </w:pPr>
            <w:r>
              <w:rPr>
                <w:rFonts w:hint="eastAsia" w:ascii="宋体" w:hAnsi="宋体"/>
                <w:sz w:val="22"/>
                <w:szCs w:val="22"/>
              </w:rPr>
              <w:t>保险要求</w:t>
            </w:r>
          </w:p>
        </w:tc>
        <w:tc>
          <w:tcPr>
            <w:tcW w:w="3205" w:type="pct"/>
            <w:vAlign w:val="center"/>
          </w:tcPr>
          <w:p w14:paraId="0DC09521">
            <w:pPr>
              <w:ind w:left="-120" w:right="-120" w:firstLine="220"/>
              <w:rPr>
                <w:rFonts w:hint="eastAsia" w:ascii="宋体" w:hAnsi="宋体"/>
                <w:sz w:val="22"/>
                <w:szCs w:val="22"/>
              </w:rPr>
            </w:pPr>
            <w:r>
              <w:rPr>
                <w:rFonts w:hint="eastAsia" w:ascii="宋体" w:hAnsi="宋体"/>
                <w:sz w:val="22"/>
                <w:szCs w:val="22"/>
              </w:rPr>
              <w:t>/</w:t>
            </w:r>
          </w:p>
        </w:tc>
      </w:tr>
      <w:tr w14:paraId="5F0E861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36665BF1">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0FE21035">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第8.2（1）项</w:t>
            </w:r>
          </w:p>
        </w:tc>
        <w:tc>
          <w:tcPr>
            <w:tcW w:w="941" w:type="pct"/>
            <w:vAlign w:val="center"/>
          </w:tcPr>
          <w:p w14:paraId="6E948B0E">
            <w:pPr>
              <w:adjustRightInd w:val="0"/>
              <w:snapToGrid w:val="0"/>
              <w:ind w:left="-50" w:right="-50"/>
              <w:jc w:val="left"/>
              <w:rPr>
                <w:rFonts w:hint="eastAsia" w:ascii="宋体" w:hAnsi="宋体"/>
                <w:sz w:val="22"/>
                <w:szCs w:val="22"/>
              </w:rPr>
            </w:pPr>
            <w:r>
              <w:rPr>
                <w:rFonts w:hint="eastAsia" w:ascii="宋体" w:hAnsi="宋体"/>
                <w:sz w:val="22"/>
                <w:szCs w:val="22"/>
              </w:rPr>
              <w:t>质量保证期</w:t>
            </w:r>
          </w:p>
        </w:tc>
        <w:tc>
          <w:tcPr>
            <w:tcW w:w="3205" w:type="pct"/>
            <w:vAlign w:val="center"/>
          </w:tcPr>
          <w:p w14:paraId="53A79511">
            <w:pPr>
              <w:autoSpaceDE w:val="0"/>
              <w:autoSpaceDN w:val="0"/>
              <w:adjustRightInd w:val="0"/>
              <w:snapToGrid w:val="0"/>
              <w:ind w:left="-120" w:right="-120" w:firstLine="220"/>
              <w:jc w:val="left"/>
              <w:rPr>
                <w:rFonts w:hint="eastAsia" w:ascii="宋体" w:hAnsi="宋体"/>
                <w:sz w:val="22"/>
                <w:szCs w:val="22"/>
              </w:rPr>
            </w:pPr>
            <w:r>
              <w:rPr>
                <w:rFonts w:ascii="宋体" w:hAnsi="宋体"/>
                <w:sz w:val="22"/>
                <w:szCs w:val="22"/>
              </w:rPr>
              <w:t>设备验收合格之日算起</w:t>
            </w:r>
            <w:r>
              <w:rPr>
                <w:rFonts w:hint="eastAsia" w:ascii="宋体" w:hAnsi="宋体"/>
                <w:sz w:val="22"/>
                <w:szCs w:val="22"/>
              </w:rPr>
              <w:t xml:space="preserve">     </w:t>
            </w:r>
            <w:r>
              <w:rPr>
                <w:rFonts w:ascii="宋体" w:hAnsi="宋体"/>
                <w:sz w:val="22"/>
                <w:szCs w:val="22"/>
              </w:rPr>
              <w:t>年</w:t>
            </w:r>
            <w:r>
              <w:rPr>
                <w:rFonts w:hint="eastAsia" w:ascii="宋体" w:hAnsi="宋体"/>
                <w:sz w:val="22"/>
                <w:szCs w:val="22"/>
              </w:rPr>
              <w:t>内</w:t>
            </w:r>
            <w:r>
              <w:rPr>
                <w:rFonts w:ascii="宋体" w:hAnsi="宋体"/>
                <w:sz w:val="22"/>
                <w:szCs w:val="22"/>
              </w:rPr>
              <w:t>免费质保，终生维修。</w:t>
            </w:r>
          </w:p>
        </w:tc>
      </w:tr>
      <w:tr w14:paraId="520C75C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4B3BF7AD">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56998C53">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第8.2（3）项</w:t>
            </w:r>
          </w:p>
        </w:tc>
        <w:tc>
          <w:tcPr>
            <w:tcW w:w="941" w:type="pct"/>
            <w:vAlign w:val="center"/>
          </w:tcPr>
          <w:p w14:paraId="5BA93C3E">
            <w:pPr>
              <w:adjustRightInd w:val="0"/>
              <w:snapToGrid w:val="0"/>
              <w:ind w:left="-50" w:right="-50"/>
              <w:jc w:val="left"/>
              <w:rPr>
                <w:rFonts w:hint="eastAsia" w:ascii="宋体" w:hAnsi="宋体"/>
                <w:sz w:val="22"/>
                <w:szCs w:val="22"/>
              </w:rPr>
            </w:pPr>
            <w:r>
              <w:rPr>
                <w:rFonts w:hint="eastAsia" w:ascii="宋体" w:hAnsi="宋体"/>
                <w:sz w:val="22"/>
                <w:szCs w:val="22"/>
              </w:rPr>
              <w:t>货物质量缺陷</w:t>
            </w:r>
          </w:p>
          <w:p w14:paraId="06790C8A">
            <w:pPr>
              <w:adjustRightInd w:val="0"/>
              <w:snapToGrid w:val="0"/>
              <w:ind w:left="-50" w:right="-50"/>
              <w:jc w:val="left"/>
              <w:rPr>
                <w:rFonts w:hint="eastAsia" w:ascii="宋体" w:hAnsi="宋体"/>
                <w:sz w:val="22"/>
                <w:szCs w:val="22"/>
              </w:rPr>
            </w:pPr>
            <w:r>
              <w:rPr>
                <w:rFonts w:hint="eastAsia" w:ascii="宋体" w:hAnsi="宋体"/>
                <w:sz w:val="22"/>
                <w:szCs w:val="22"/>
              </w:rPr>
              <w:t>响应时间</w:t>
            </w:r>
          </w:p>
        </w:tc>
        <w:tc>
          <w:tcPr>
            <w:tcW w:w="3205" w:type="pct"/>
            <w:vAlign w:val="center"/>
          </w:tcPr>
          <w:p w14:paraId="6CE2C0D4">
            <w:pPr>
              <w:adjustRightInd w:val="0"/>
              <w:snapToGrid w:val="0"/>
              <w:ind w:left="-120" w:right="-120" w:firstLine="220"/>
              <w:jc w:val="left"/>
              <w:rPr>
                <w:rFonts w:hint="eastAsia" w:ascii="宋体" w:hAnsi="宋体"/>
                <w:sz w:val="22"/>
                <w:szCs w:val="22"/>
              </w:rPr>
            </w:pPr>
            <w:r>
              <w:rPr>
                <w:rFonts w:hint="eastAsia" w:ascii="宋体" w:hAnsi="宋体"/>
                <w:sz w:val="22"/>
                <w:szCs w:val="22"/>
              </w:rPr>
              <w:t>乙方在收到甲方要求更换有缺陷的货物或部件的通知后十日内或在乙方签署货损证明后十日内</w:t>
            </w:r>
          </w:p>
        </w:tc>
      </w:tr>
      <w:tr w14:paraId="6F1AED8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430F61BB">
            <w:pPr>
              <w:snapToGrid w:val="0"/>
              <w:ind w:left="-105" w:leftChars="-50" w:right="-105" w:rightChars="-50"/>
              <w:jc w:val="center"/>
              <w:rPr>
                <w:rFonts w:hint="eastAsia" w:ascii="宋体" w:hAnsi="宋体" w:cs="宋体"/>
                <w:sz w:val="22"/>
                <w:szCs w:val="22"/>
              </w:rPr>
            </w:pPr>
            <w:r>
              <w:rPr>
                <w:rFonts w:hint="eastAsia" w:ascii="宋体" w:hAnsi="宋体" w:cs="宋体"/>
                <w:sz w:val="22"/>
                <w:szCs w:val="22"/>
              </w:rPr>
              <w:t>第二节</w:t>
            </w:r>
          </w:p>
          <w:p w14:paraId="4025283D">
            <w:pPr>
              <w:pStyle w:val="337"/>
              <w:spacing w:after="0" w:line="240" w:lineRule="auto"/>
              <w:ind w:left="-105" w:leftChars="-50" w:right="-105" w:rightChars="-50" w:firstLine="0" w:firstLineChars="0"/>
              <w:jc w:val="center"/>
              <w:rPr>
                <w:rFonts w:hint="eastAsia" w:ascii="宋体" w:hAnsi="宋体" w:eastAsia="宋体"/>
                <w:szCs w:val="22"/>
              </w:rPr>
            </w:pPr>
            <w:r>
              <w:rPr>
                <w:rFonts w:hint="eastAsia" w:ascii="宋体" w:hAnsi="宋体" w:eastAsia="宋体" w:cs="宋体"/>
                <w:szCs w:val="22"/>
              </w:rPr>
              <w:t>第11.1款</w:t>
            </w:r>
          </w:p>
        </w:tc>
        <w:tc>
          <w:tcPr>
            <w:tcW w:w="941" w:type="pct"/>
            <w:vAlign w:val="center"/>
          </w:tcPr>
          <w:p w14:paraId="6C8575D0">
            <w:pPr>
              <w:adjustRightInd w:val="0"/>
              <w:snapToGrid w:val="0"/>
              <w:ind w:left="-50" w:right="-50"/>
              <w:rPr>
                <w:rFonts w:hint="eastAsia" w:ascii="宋体" w:hAnsi="宋体"/>
                <w:sz w:val="22"/>
                <w:szCs w:val="22"/>
              </w:rPr>
            </w:pPr>
            <w:r>
              <w:rPr>
                <w:rFonts w:hint="eastAsia" w:ascii="宋体" w:hAnsi="宋体"/>
                <w:sz w:val="22"/>
                <w:szCs w:val="22"/>
              </w:rPr>
              <w:t>其他应当保密的信息</w:t>
            </w:r>
          </w:p>
        </w:tc>
        <w:tc>
          <w:tcPr>
            <w:tcW w:w="3205" w:type="pct"/>
            <w:vAlign w:val="center"/>
          </w:tcPr>
          <w:p w14:paraId="57059B9B">
            <w:pPr>
              <w:adjustRightInd w:val="0"/>
              <w:snapToGrid w:val="0"/>
              <w:ind w:left="-120" w:right="-120" w:firstLine="220"/>
              <w:jc w:val="left"/>
              <w:rPr>
                <w:rFonts w:hint="eastAsia" w:ascii="宋体" w:hAnsi="宋体"/>
                <w:sz w:val="22"/>
                <w:szCs w:val="22"/>
              </w:rPr>
            </w:pPr>
            <w:r>
              <w:rPr>
                <w:rFonts w:hint="eastAsia" w:ascii="宋体" w:hAnsi="宋体"/>
                <w:sz w:val="22"/>
                <w:szCs w:val="22"/>
              </w:rPr>
              <w:t>任何一方对其获知的本合同及附件中其他各方的商业秘密和国家秘密负有保密义务。</w:t>
            </w:r>
          </w:p>
          <w:p w14:paraId="0D2F6AA5">
            <w:pPr>
              <w:adjustRightInd w:val="0"/>
              <w:snapToGrid w:val="0"/>
              <w:ind w:left="-120" w:right="-120" w:firstLine="220"/>
              <w:jc w:val="left"/>
              <w:rPr>
                <w:rFonts w:hint="eastAsia" w:ascii="宋体" w:hAnsi="宋体"/>
                <w:sz w:val="22"/>
                <w:szCs w:val="22"/>
              </w:rPr>
            </w:pPr>
            <w:r>
              <w:rPr>
                <w:rFonts w:hint="eastAsia" w:ascii="宋体" w:hAnsi="宋体"/>
                <w:sz w:val="22"/>
                <w:szCs w:val="22"/>
              </w:rPr>
              <w:t>除非法律、法规另有规定或得到本合同另一方的书面许可，任何一方不得向第三人泄露前款规定的商业秘密和国家秘密。保密期限自任何一方获知该商业秘密和国家秘密之日起至本条规定的秘密成为公众信息之日止。</w:t>
            </w:r>
          </w:p>
        </w:tc>
      </w:tr>
      <w:tr w14:paraId="466E607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7717D0C6">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67B12FB1">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第12.2款</w:t>
            </w:r>
          </w:p>
        </w:tc>
        <w:tc>
          <w:tcPr>
            <w:tcW w:w="941" w:type="pct"/>
            <w:vAlign w:val="center"/>
          </w:tcPr>
          <w:p w14:paraId="137F8B92">
            <w:pPr>
              <w:adjustRightInd w:val="0"/>
              <w:snapToGrid w:val="0"/>
              <w:ind w:left="-50" w:right="-50"/>
              <w:jc w:val="left"/>
              <w:rPr>
                <w:rFonts w:hint="eastAsia" w:ascii="宋体" w:hAnsi="宋体"/>
                <w:sz w:val="22"/>
                <w:szCs w:val="22"/>
              </w:rPr>
            </w:pPr>
            <w:r>
              <w:rPr>
                <w:rFonts w:hint="eastAsia" w:ascii="宋体" w:hAnsi="宋体"/>
                <w:sz w:val="22"/>
                <w:szCs w:val="22"/>
              </w:rPr>
              <w:t>合同价款支付时间</w:t>
            </w:r>
          </w:p>
        </w:tc>
        <w:tc>
          <w:tcPr>
            <w:tcW w:w="3205" w:type="pct"/>
            <w:vAlign w:val="center"/>
          </w:tcPr>
          <w:p w14:paraId="1F1A1398">
            <w:pPr>
              <w:adjustRightInd w:val="0"/>
              <w:snapToGrid w:val="0"/>
              <w:ind w:left="-120" w:right="-120" w:firstLine="220"/>
              <w:jc w:val="left"/>
              <w:rPr>
                <w:rFonts w:hint="eastAsia" w:ascii="宋体" w:hAnsi="宋体"/>
                <w:sz w:val="22"/>
                <w:szCs w:val="22"/>
              </w:rPr>
            </w:pPr>
            <w:r>
              <w:rPr>
                <w:rFonts w:hint="eastAsia" w:ascii="宋体" w:hAnsi="宋体"/>
                <w:sz w:val="22"/>
                <w:szCs w:val="22"/>
              </w:rPr>
              <w:t>按照合同协议约定付款方式，根据甲方安排进度，进行支付。</w:t>
            </w:r>
          </w:p>
        </w:tc>
      </w:tr>
      <w:tr w14:paraId="33E2F04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1378BD68">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1A070D62">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第13.2款</w:t>
            </w:r>
          </w:p>
        </w:tc>
        <w:tc>
          <w:tcPr>
            <w:tcW w:w="941" w:type="pct"/>
            <w:vAlign w:val="center"/>
          </w:tcPr>
          <w:p w14:paraId="1B9930D6">
            <w:pPr>
              <w:adjustRightInd w:val="0"/>
              <w:snapToGrid w:val="0"/>
              <w:ind w:left="-50" w:right="-50"/>
              <w:jc w:val="left"/>
              <w:rPr>
                <w:rFonts w:hint="eastAsia" w:ascii="宋体" w:hAnsi="宋体"/>
                <w:sz w:val="22"/>
                <w:szCs w:val="22"/>
              </w:rPr>
            </w:pPr>
            <w:r>
              <w:rPr>
                <w:rFonts w:hint="eastAsia" w:ascii="宋体" w:hAnsi="宋体"/>
                <w:sz w:val="22"/>
                <w:szCs w:val="22"/>
              </w:rPr>
              <w:t>履约保证金不予退还的情形</w:t>
            </w:r>
          </w:p>
        </w:tc>
        <w:tc>
          <w:tcPr>
            <w:tcW w:w="3205" w:type="pct"/>
            <w:vAlign w:val="center"/>
          </w:tcPr>
          <w:p w14:paraId="5EF3391D">
            <w:pPr>
              <w:adjustRightInd w:val="0"/>
              <w:snapToGrid w:val="0"/>
              <w:ind w:left="-120" w:right="-120" w:firstLine="220"/>
              <w:jc w:val="left"/>
              <w:rPr>
                <w:rFonts w:hint="eastAsia" w:ascii="宋体" w:hAnsi="宋体"/>
                <w:sz w:val="22"/>
                <w:szCs w:val="22"/>
              </w:rPr>
            </w:pPr>
            <w:r>
              <w:rPr>
                <w:rFonts w:hint="eastAsia" w:ascii="宋体" w:hAnsi="宋体"/>
                <w:sz w:val="22"/>
                <w:szCs w:val="22"/>
              </w:rPr>
              <w:t>未按要求履行合同的</w:t>
            </w:r>
          </w:p>
        </w:tc>
      </w:tr>
      <w:tr w14:paraId="531FC2B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24293029">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5B29503D">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第13.3款</w:t>
            </w:r>
          </w:p>
        </w:tc>
        <w:tc>
          <w:tcPr>
            <w:tcW w:w="941" w:type="pct"/>
            <w:vAlign w:val="center"/>
          </w:tcPr>
          <w:p w14:paraId="5AF8089A">
            <w:pPr>
              <w:adjustRightInd w:val="0"/>
              <w:snapToGrid w:val="0"/>
              <w:ind w:left="-50" w:right="-50"/>
              <w:jc w:val="left"/>
              <w:rPr>
                <w:rFonts w:hint="eastAsia" w:ascii="宋体" w:hAnsi="宋体"/>
                <w:sz w:val="22"/>
                <w:szCs w:val="22"/>
              </w:rPr>
            </w:pPr>
            <w:r>
              <w:rPr>
                <w:rFonts w:hint="eastAsia" w:ascii="宋体" w:hAnsi="宋体"/>
                <w:sz w:val="22"/>
                <w:szCs w:val="22"/>
              </w:rPr>
              <w:t>履约保证金退还时间及逾期退还的违约金</w:t>
            </w:r>
          </w:p>
        </w:tc>
        <w:tc>
          <w:tcPr>
            <w:tcW w:w="3205" w:type="pct"/>
            <w:vAlign w:val="center"/>
          </w:tcPr>
          <w:p w14:paraId="786EF0FB">
            <w:pPr>
              <w:adjustRightInd w:val="0"/>
              <w:snapToGrid w:val="0"/>
              <w:ind w:right="-120"/>
              <w:jc w:val="left"/>
              <w:rPr>
                <w:rFonts w:hint="eastAsia" w:ascii="宋体" w:hAnsi="宋体"/>
                <w:sz w:val="22"/>
                <w:szCs w:val="22"/>
              </w:rPr>
            </w:pPr>
            <w:r>
              <w:rPr>
                <w:rFonts w:hint="eastAsia" w:ascii="宋体" w:hAnsi="宋体"/>
                <w:sz w:val="22"/>
                <w:szCs w:val="22"/>
              </w:rPr>
              <w:t>如涉及履约保证金则在质保期结束后的1年内无息内退还</w:t>
            </w:r>
          </w:p>
        </w:tc>
      </w:tr>
      <w:tr w14:paraId="46D3885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047EF314">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15400A01">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第14.1（3）项</w:t>
            </w:r>
          </w:p>
        </w:tc>
        <w:tc>
          <w:tcPr>
            <w:tcW w:w="941" w:type="pct"/>
            <w:vAlign w:val="center"/>
          </w:tcPr>
          <w:p w14:paraId="54CC83A1">
            <w:pPr>
              <w:adjustRightInd w:val="0"/>
              <w:snapToGrid w:val="0"/>
              <w:ind w:left="-50" w:right="-50"/>
              <w:jc w:val="left"/>
              <w:rPr>
                <w:rFonts w:hint="eastAsia" w:ascii="宋体" w:hAnsi="宋体"/>
                <w:sz w:val="22"/>
                <w:szCs w:val="22"/>
              </w:rPr>
            </w:pPr>
            <w:r>
              <w:rPr>
                <w:rFonts w:hint="eastAsia" w:ascii="宋体" w:hAnsi="宋体"/>
                <w:sz w:val="22"/>
                <w:szCs w:val="22"/>
              </w:rPr>
              <w:t>运行监督、维修期限</w:t>
            </w:r>
          </w:p>
        </w:tc>
        <w:tc>
          <w:tcPr>
            <w:tcW w:w="3205" w:type="pct"/>
            <w:vAlign w:val="center"/>
          </w:tcPr>
          <w:p w14:paraId="44E2AB54">
            <w:pPr>
              <w:adjustRightInd w:val="0"/>
              <w:snapToGrid w:val="0"/>
              <w:ind w:left="-120" w:right="-120" w:firstLine="220"/>
              <w:jc w:val="left"/>
              <w:rPr>
                <w:rFonts w:hint="eastAsia" w:ascii="宋体" w:hAnsi="宋体"/>
                <w:sz w:val="22"/>
                <w:szCs w:val="22"/>
              </w:rPr>
            </w:pPr>
            <w:r>
              <w:rPr>
                <w:rFonts w:hint="eastAsia" w:ascii="宋体" w:hAnsi="宋体"/>
                <w:sz w:val="22"/>
                <w:szCs w:val="22"/>
              </w:rPr>
              <w:t>在合同履行期内免费质保期内。</w:t>
            </w:r>
          </w:p>
        </w:tc>
      </w:tr>
      <w:tr w14:paraId="41CBEF0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3C2133E3">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60D06899">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第14.1（5）项</w:t>
            </w:r>
          </w:p>
        </w:tc>
        <w:tc>
          <w:tcPr>
            <w:tcW w:w="941" w:type="pct"/>
            <w:vAlign w:val="center"/>
          </w:tcPr>
          <w:p w14:paraId="3649AD51">
            <w:pPr>
              <w:adjustRightInd w:val="0"/>
              <w:snapToGrid w:val="0"/>
              <w:ind w:left="-50" w:right="-50"/>
              <w:jc w:val="left"/>
              <w:rPr>
                <w:rFonts w:hint="eastAsia" w:ascii="宋体" w:hAnsi="宋体"/>
                <w:sz w:val="22"/>
                <w:szCs w:val="22"/>
              </w:rPr>
            </w:pPr>
            <w:r>
              <w:rPr>
                <w:rFonts w:hint="eastAsia" w:ascii="宋体" w:hAnsi="宋体"/>
                <w:sz w:val="22"/>
                <w:szCs w:val="22"/>
              </w:rPr>
              <w:t>货物回收的约定</w:t>
            </w:r>
          </w:p>
        </w:tc>
        <w:tc>
          <w:tcPr>
            <w:tcW w:w="3205" w:type="pct"/>
            <w:vAlign w:val="center"/>
          </w:tcPr>
          <w:p w14:paraId="438AE04E">
            <w:pPr>
              <w:adjustRightInd w:val="0"/>
              <w:snapToGrid w:val="0"/>
              <w:ind w:left="-120" w:right="-120" w:firstLine="220"/>
              <w:jc w:val="left"/>
              <w:rPr>
                <w:rFonts w:hint="eastAsia" w:ascii="宋体" w:hAnsi="宋体"/>
                <w:sz w:val="22"/>
                <w:szCs w:val="22"/>
              </w:rPr>
            </w:pPr>
          </w:p>
        </w:tc>
      </w:tr>
      <w:tr w14:paraId="00A9C9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479E699D">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2346861A">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第14.1（6）项</w:t>
            </w:r>
          </w:p>
        </w:tc>
        <w:tc>
          <w:tcPr>
            <w:tcW w:w="941" w:type="pct"/>
            <w:vAlign w:val="center"/>
          </w:tcPr>
          <w:p w14:paraId="639353A8">
            <w:pPr>
              <w:adjustRightInd w:val="0"/>
              <w:snapToGrid w:val="0"/>
              <w:ind w:left="-50" w:right="-50"/>
              <w:jc w:val="left"/>
              <w:rPr>
                <w:rFonts w:hint="eastAsia" w:ascii="宋体" w:hAnsi="宋体"/>
                <w:sz w:val="22"/>
                <w:szCs w:val="22"/>
              </w:rPr>
            </w:pPr>
            <w:r>
              <w:rPr>
                <w:rFonts w:hint="eastAsia" w:ascii="宋体" w:hAnsi="宋体"/>
                <w:sz w:val="22"/>
                <w:szCs w:val="22"/>
              </w:rPr>
              <w:t>乙方提供的其他服</w:t>
            </w:r>
          </w:p>
        </w:tc>
        <w:tc>
          <w:tcPr>
            <w:tcW w:w="3205" w:type="pct"/>
            <w:vAlign w:val="center"/>
          </w:tcPr>
          <w:p w14:paraId="25FD476C">
            <w:pPr>
              <w:adjustRightInd w:val="0"/>
              <w:snapToGrid w:val="0"/>
              <w:ind w:left="-120" w:right="-120" w:firstLine="240"/>
              <w:jc w:val="left"/>
            </w:pPr>
          </w:p>
        </w:tc>
      </w:tr>
      <w:tr w14:paraId="318925F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0CA740AF">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07692E1B">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第15.1款</w:t>
            </w:r>
          </w:p>
        </w:tc>
        <w:tc>
          <w:tcPr>
            <w:tcW w:w="941" w:type="pct"/>
            <w:vAlign w:val="center"/>
          </w:tcPr>
          <w:p w14:paraId="691A6715">
            <w:pPr>
              <w:adjustRightInd w:val="0"/>
              <w:snapToGrid w:val="0"/>
              <w:ind w:left="-50" w:right="-50"/>
              <w:jc w:val="left"/>
              <w:rPr>
                <w:rFonts w:hint="eastAsia" w:ascii="宋体" w:hAnsi="宋体"/>
                <w:sz w:val="22"/>
                <w:szCs w:val="22"/>
              </w:rPr>
            </w:pPr>
            <w:r>
              <w:rPr>
                <w:rFonts w:hint="eastAsia" w:ascii="宋体" w:hAnsi="宋体"/>
                <w:sz w:val="22"/>
                <w:szCs w:val="22"/>
              </w:rPr>
              <w:t>修理、重作、更换相关具体规定</w:t>
            </w:r>
          </w:p>
        </w:tc>
        <w:tc>
          <w:tcPr>
            <w:tcW w:w="3205" w:type="pct"/>
            <w:vAlign w:val="center"/>
          </w:tcPr>
          <w:p w14:paraId="34F18BB3">
            <w:pPr>
              <w:adjustRightInd w:val="0"/>
              <w:snapToGrid w:val="0"/>
              <w:ind w:left="-120" w:right="-120" w:firstLine="220"/>
              <w:jc w:val="left"/>
            </w:pPr>
            <w:r>
              <w:rPr>
                <w:rFonts w:hint="eastAsia" w:ascii="宋体" w:hAnsi="宋体"/>
                <w:sz w:val="22"/>
                <w:szCs w:val="22"/>
              </w:rPr>
              <w:t>在甲方规定的时间内，用符合合同规定的规格、质量和性能要求的新零件、部件或货物来更换有缺陷的零件、部件或货物</w:t>
            </w:r>
          </w:p>
        </w:tc>
      </w:tr>
      <w:tr w14:paraId="2972C7B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75819F89">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08D236D2">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第15.2（2）项</w:t>
            </w:r>
          </w:p>
        </w:tc>
        <w:tc>
          <w:tcPr>
            <w:tcW w:w="941" w:type="pct"/>
            <w:vAlign w:val="center"/>
          </w:tcPr>
          <w:p w14:paraId="038DC712">
            <w:pPr>
              <w:adjustRightInd w:val="0"/>
              <w:snapToGrid w:val="0"/>
              <w:ind w:left="-50" w:right="-50"/>
              <w:jc w:val="left"/>
              <w:rPr>
                <w:rFonts w:hint="eastAsia" w:ascii="宋体" w:hAnsi="宋体"/>
                <w:sz w:val="22"/>
                <w:szCs w:val="22"/>
              </w:rPr>
            </w:pPr>
            <w:r>
              <w:rPr>
                <w:rFonts w:hint="eastAsia" w:ascii="宋体" w:hAnsi="宋体"/>
                <w:sz w:val="22"/>
                <w:szCs w:val="22"/>
              </w:rPr>
              <w:t>迟延交货赔偿费</w:t>
            </w:r>
          </w:p>
        </w:tc>
        <w:tc>
          <w:tcPr>
            <w:tcW w:w="3205" w:type="pct"/>
            <w:vAlign w:val="center"/>
          </w:tcPr>
          <w:p w14:paraId="711ABA87">
            <w:pPr>
              <w:adjustRightInd w:val="0"/>
              <w:snapToGrid w:val="0"/>
              <w:ind w:left="-120" w:right="-120" w:firstLine="220"/>
              <w:jc w:val="left"/>
              <w:rPr>
                <w:rFonts w:hint="eastAsia" w:ascii="宋体" w:hAnsi="宋体"/>
                <w:sz w:val="22"/>
                <w:szCs w:val="22"/>
                <w:u w:val="single"/>
              </w:rPr>
            </w:pPr>
          </w:p>
        </w:tc>
      </w:tr>
      <w:tr w14:paraId="2441BCC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33640534">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1F287A4D">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第15.3款</w:t>
            </w:r>
          </w:p>
        </w:tc>
        <w:tc>
          <w:tcPr>
            <w:tcW w:w="941" w:type="pct"/>
            <w:vAlign w:val="center"/>
          </w:tcPr>
          <w:p w14:paraId="6EE8B0B7">
            <w:pPr>
              <w:adjustRightInd w:val="0"/>
              <w:snapToGrid w:val="0"/>
              <w:ind w:left="-50" w:right="-50"/>
              <w:jc w:val="left"/>
              <w:rPr>
                <w:rFonts w:hint="eastAsia" w:ascii="宋体" w:hAnsi="宋体"/>
                <w:sz w:val="22"/>
                <w:szCs w:val="22"/>
              </w:rPr>
            </w:pPr>
            <w:r>
              <w:rPr>
                <w:rFonts w:hint="eastAsia" w:ascii="宋体" w:hAnsi="宋体"/>
                <w:sz w:val="22"/>
                <w:szCs w:val="22"/>
              </w:rPr>
              <w:t>逾期付款利息</w:t>
            </w:r>
          </w:p>
        </w:tc>
        <w:tc>
          <w:tcPr>
            <w:tcW w:w="3205" w:type="pct"/>
            <w:vAlign w:val="center"/>
          </w:tcPr>
          <w:p w14:paraId="6FD04707">
            <w:pPr>
              <w:adjustRightInd w:val="0"/>
              <w:snapToGrid w:val="0"/>
              <w:ind w:left="-120" w:right="-120" w:firstLine="220"/>
              <w:jc w:val="left"/>
              <w:rPr>
                <w:rFonts w:hint="eastAsia" w:ascii="宋体" w:hAnsi="宋体"/>
                <w:sz w:val="22"/>
                <w:szCs w:val="22"/>
                <w:u w:val="single"/>
              </w:rPr>
            </w:pPr>
          </w:p>
        </w:tc>
      </w:tr>
      <w:tr w14:paraId="41186F9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tcBorders>
              <w:bottom w:val="single" w:color="auto" w:sz="2" w:space="0"/>
              <w:right w:val="single" w:color="auto" w:sz="2" w:space="0"/>
            </w:tcBorders>
            <w:vAlign w:val="center"/>
          </w:tcPr>
          <w:p w14:paraId="08F3BAB2">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094DEC13">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第15.4款</w:t>
            </w:r>
          </w:p>
        </w:tc>
        <w:tc>
          <w:tcPr>
            <w:tcW w:w="941" w:type="pct"/>
            <w:tcBorders>
              <w:left w:val="single" w:color="auto" w:sz="2" w:space="0"/>
              <w:bottom w:val="single" w:color="auto" w:sz="2" w:space="0"/>
              <w:right w:val="single" w:color="auto" w:sz="2" w:space="0"/>
            </w:tcBorders>
            <w:vAlign w:val="center"/>
          </w:tcPr>
          <w:p w14:paraId="0D664B3B">
            <w:pPr>
              <w:adjustRightInd w:val="0"/>
              <w:snapToGrid w:val="0"/>
              <w:ind w:left="-50" w:right="-50"/>
              <w:jc w:val="left"/>
              <w:rPr>
                <w:rFonts w:hint="eastAsia" w:ascii="宋体" w:hAnsi="宋体"/>
                <w:sz w:val="22"/>
                <w:szCs w:val="22"/>
              </w:rPr>
            </w:pPr>
            <w:r>
              <w:rPr>
                <w:rFonts w:hint="eastAsia" w:ascii="宋体" w:hAnsi="宋体"/>
                <w:sz w:val="22"/>
                <w:szCs w:val="22"/>
              </w:rPr>
              <w:t>其他违约责任</w:t>
            </w:r>
          </w:p>
        </w:tc>
        <w:tc>
          <w:tcPr>
            <w:tcW w:w="3205" w:type="pct"/>
            <w:tcBorders>
              <w:left w:val="single" w:color="auto" w:sz="2" w:space="0"/>
              <w:bottom w:val="single" w:color="auto" w:sz="2" w:space="0"/>
            </w:tcBorders>
            <w:vAlign w:val="center"/>
          </w:tcPr>
          <w:p w14:paraId="2860BDFF">
            <w:pPr>
              <w:adjustRightInd w:val="0"/>
              <w:snapToGrid w:val="0"/>
              <w:ind w:left="-120" w:right="-120" w:firstLine="220"/>
              <w:jc w:val="left"/>
              <w:rPr>
                <w:rFonts w:hint="eastAsia" w:ascii="宋体" w:hAnsi="宋体"/>
                <w:sz w:val="22"/>
                <w:szCs w:val="22"/>
              </w:rPr>
            </w:pPr>
            <w:r>
              <w:rPr>
                <w:rFonts w:hint="eastAsia" w:ascii="宋体" w:hAnsi="宋体"/>
                <w:sz w:val="22"/>
                <w:szCs w:val="22"/>
              </w:rPr>
              <w:t>（1）甲方未能按合同约定提供经费或未能提供必要的支持，导致乙方工作延误的，应允许合同规定的完成期限相应顺延。</w:t>
            </w:r>
          </w:p>
          <w:p w14:paraId="2265B5E2">
            <w:pPr>
              <w:adjustRightInd w:val="0"/>
              <w:snapToGrid w:val="0"/>
              <w:ind w:left="-120" w:right="-120" w:firstLine="220"/>
              <w:jc w:val="left"/>
              <w:rPr>
                <w:rFonts w:hint="eastAsia" w:ascii="宋体" w:hAnsi="宋体"/>
                <w:sz w:val="22"/>
                <w:szCs w:val="22"/>
              </w:rPr>
            </w:pPr>
            <w:r>
              <w:rPr>
                <w:rFonts w:hint="eastAsia" w:ascii="宋体" w:hAnsi="宋体"/>
                <w:sz w:val="22"/>
                <w:szCs w:val="22"/>
              </w:rPr>
              <w:t>（2）如果乙方未按照合同规定的要求交付合同货物和提供服务；或乙方在收到甲方要求更换有缺陷的货物或部件的通知后十日内或在乙方签署货损证明后十日内没有补足或更换货物、或交货仍不符合要求；或乙方未能履行合同规定的任何其他义务时，甲方有权向乙方发出违约通知书，乙方应按照甲方选择的下列一种或多种方式承担赔偿责任：</w:t>
            </w:r>
          </w:p>
          <w:p w14:paraId="32FF5533">
            <w:pPr>
              <w:adjustRightInd w:val="0"/>
              <w:snapToGrid w:val="0"/>
              <w:ind w:left="-120" w:right="-120" w:firstLine="220"/>
              <w:jc w:val="left"/>
              <w:rPr>
                <w:rFonts w:hint="eastAsia" w:ascii="宋体" w:hAnsi="宋体"/>
                <w:sz w:val="22"/>
                <w:szCs w:val="22"/>
              </w:rPr>
            </w:pPr>
            <w:r>
              <w:rPr>
                <w:rFonts w:hint="eastAsia" w:ascii="宋体" w:hAnsi="宋体"/>
                <w:sz w:val="22"/>
                <w:szCs w:val="22"/>
              </w:rPr>
              <w:t>①在甲方规定的时间内，用符合合同规定的规格、质量和性能要求的新零件、部件或货物来更换有缺陷的零件、部件或货物 和修补缺陷部分以达到合同规定的要求，乙方应承担由此发生的一切费用和风险。此时，相关货物的质量保修期也应相应延长。</w:t>
            </w:r>
          </w:p>
          <w:p w14:paraId="087464EA">
            <w:pPr>
              <w:adjustRightInd w:val="0"/>
              <w:snapToGrid w:val="0"/>
              <w:ind w:left="-120" w:right="-120" w:firstLine="220"/>
              <w:jc w:val="left"/>
              <w:rPr>
                <w:rFonts w:hint="eastAsia" w:ascii="宋体" w:hAnsi="宋体"/>
                <w:sz w:val="22"/>
                <w:szCs w:val="22"/>
              </w:rPr>
            </w:pPr>
            <w:r>
              <w:rPr>
                <w:rFonts w:hint="eastAsia" w:ascii="宋体" w:hAnsi="宋体"/>
                <w:sz w:val="22"/>
                <w:szCs w:val="22"/>
              </w:rPr>
              <w:t>②甲方有权部分或全部解除合同并要求乙方赔偿由此造成的损失。此时甲方可采取必要的补救措施，相关费用由乙方承担。</w:t>
            </w:r>
          </w:p>
          <w:p w14:paraId="7450213F">
            <w:pPr>
              <w:adjustRightInd w:val="0"/>
              <w:snapToGrid w:val="0"/>
              <w:ind w:left="-120" w:right="-120" w:firstLine="220"/>
              <w:jc w:val="left"/>
              <w:rPr>
                <w:rFonts w:hint="eastAsia" w:ascii="宋体" w:hAnsi="宋体"/>
                <w:sz w:val="22"/>
                <w:szCs w:val="22"/>
                <w:u w:val="single"/>
              </w:rPr>
            </w:pPr>
            <w:r>
              <w:rPr>
                <w:rFonts w:hint="eastAsia" w:ascii="宋体" w:hAnsi="宋体"/>
                <w:sz w:val="22"/>
                <w:szCs w:val="22"/>
              </w:rPr>
              <w:t>③如果乙方在收到甲方的违约通知书后十日内未作答复也没有按照甲方选择的方式承担违约责任，则甲方有权从尚未支付的合同价款或履约保证金中扣回索赔金额。如果这些金额不足以补偿，甲方有权向乙方提出不足部分的赔偿要求。</w:t>
            </w:r>
          </w:p>
        </w:tc>
      </w:tr>
      <w:tr w14:paraId="4DB8910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tcBorders>
              <w:top w:val="single" w:color="auto" w:sz="2" w:space="0"/>
              <w:right w:val="single" w:color="auto" w:sz="2" w:space="0"/>
            </w:tcBorders>
            <w:vAlign w:val="center"/>
          </w:tcPr>
          <w:p w14:paraId="617DB784">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2EF61D9E">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第19.2款</w:t>
            </w:r>
          </w:p>
        </w:tc>
        <w:tc>
          <w:tcPr>
            <w:tcW w:w="941" w:type="pct"/>
            <w:tcBorders>
              <w:top w:val="single" w:color="auto" w:sz="2" w:space="0"/>
              <w:left w:val="single" w:color="auto" w:sz="2" w:space="0"/>
              <w:right w:val="single" w:color="auto" w:sz="2" w:space="0"/>
            </w:tcBorders>
            <w:vAlign w:val="center"/>
          </w:tcPr>
          <w:p w14:paraId="32DB07FF">
            <w:pPr>
              <w:adjustRightInd w:val="0"/>
              <w:snapToGrid w:val="0"/>
              <w:ind w:left="-50" w:right="-50"/>
              <w:jc w:val="left"/>
              <w:rPr>
                <w:rFonts w:hint="eastAsia" w:ascii="宋体" w:hAnsi="宋体"/>
                <w:sz w:val="22"/>
                <w:szCs w:val="22"/>
              </w:rPr>
            </w:pPr>
            <w:r>
              <w:rPr>
                <w:rFonts w:hint="eastAsia" w:ascii="宋体" w:hAnsi="宋体"/>
                <w:sz w:val="22"/>
                <w:szCs w:val="22"/>
              </w:rPr>
              <w:t>解决争议的方法</w:t>
            </w:r>
          </w:p>
        </w:tc>
        <w:tc>
          <w:tcPr>
            <w:tcW w:w="3205" w:type="pct"/>
            <w:tcBorders>
              <w:top w:val="single" w:color="auto" w:sz="2" w:space="0"/>
              <w:left w:val="single" w:color="auto" w:sz="2" w:space="0"/>
            </w:tcBorders>
            <w:vAlign w:val="center"/>
          </w:tcPr>
          <w:p w14:paraId="17CE9410">
            <w:pPr>
              <w:autoSpaceDE w:val="0"/>
              <w:autoSpaceDN w:val="0"/>
              <w:adjustRightInd w:val="0"/>
              <w:snapToGrid w:val="0"/>
              <w:ind w:left="-120" w:right="-120" w:firstLine="220"/>
              <w:jc w:val="left"/>
              <w:rPr>
                <w:rFonts w:hint="eastAsia" w:ascii="宋体" w:hAnsi="宋体" w:cs="宋体"/>
                <w:iCs/>
                <w:sz w:val="22"/>
                <w:szCs w:val="22"/>
              </w:rPr>
            </w:pPr>
            <w:r>
              <w:rPr>
                <w:rFonts w:hint="eastAsia" w:ascii="宋体" w:hAnsi="宋体" w:cs="宋体"/>
                <w:iCs/>
                <w:sz w:val="22"/>
                <w:szCs w:val="22"/>
              </w:rPr>
              <w:t>因本合同及合同有关事项发生的争议，按下列第（2）种方式解决：</w:t>
            </w:r>
          </w:p>
          <w:p w14:paraId="6B12D5CB">
            <w:pPr>
              <w:autoSpaceDE w:val="0"/>
              <w:autoSpaceDN w:val="0"/>
              <w:adjustRightInd w:val="0"/>
              <w:snapToGrid w:val="0"/>
              <w:ind w:left="-120" w:right="-120" w:firstLine="220"/>
              <w:jc w:val="left"/>
              <w:rPr>
                <w:rFonts w:hint="eastAsia" w:ascii="宋体" w:hAnsi="宋体" w:cs="宋体"/>
                <w:iCs/>
                <w:sz w:val="22"/>
                <w:szCs w:val="22"/>
              </w:rPr>
            </w:pPr>
            <w:r>
              <w:rPr>
                <w:rFonts w:hint="eastAsia" w:ascii="宋体" w:hAnsi="宋体" w:cs="宋体"/>
                <w:iCs/>
                <w:sz w:val="22"/>
                <w:szCs w:val="22"/>
              </w:rPr>
              <w:t>（1）向</w:t>
            </w:r>
            <w:r>
              <w:rPr>
                <w:rFonts w:hint="eastAsia" w:ascii="宋体" w:hAnsi="宋体" w:cs="宋体"/>
                <w:iCs/>
                <w:sz w:val="22"/>
                <w:szCs w:val="22"/>
                <w:u w:val="single"/>
              </w:rPr>
              <w:t xml:space="preserve">                    </w:t>
            </w:r>
            <w:r>
              <w:rPr>
                <w:rFonts w:hint="eastAsia" w:ascii="宋体" w:hAnsi="宋体" w:cs="宋体"/>
                <w:iCs/>
                <w:sz w:val="22"/>
                <w:szCs w:val="22"/>
              </w:rPr>
              <w:t>仲裁委员会申请仲裁，仲裁地点为</w:t>
            </w:r>
            <w:r>
              <w:rPr>
                <w:rFonts w:hint="eastAsia" w:ascii="宋体" w:hAnsi="宋体" w:cs="宋体"/>
                <w:iCs/>
                <w:sz w:val="22"/>
                <w:szCs w:val="22"/>
                <w:u w:val="single"/>
              </w:rPr>
              <w:t xml:space="preserve">           </w:t>
            </w:r>
            <w:r>
              <w:rPr>
                <w:rFonts w:hint="eastAsia" w:ascii="宋体" w:hAnsi="宋体" w:cs="宋体"/>
                <w:iCs/>
                <w:sz w:val="22"/>
                <w:szCs w:val="22"/>
              </w:rPr>
              <w:t>；</w:t>
            </w:r>
          </w:p>
          <w:p w14:paraId="4CA0BE7D">
            <w:pPr>
              <w:adjustRightInd w:val="0"/>
              <w:snapToGrid w:val="0"/>
              <w:ind w:left="-120" w:right="-120" w:firstLine="220"/>
              <w:jc w:val="left"/>
              <w:rPr>
                <w:rFonts w:hint="eastAsia" w:ascii="宋体" w:hAnsi="宋体"/>
                <w:sz w:val="22"/>
                <w:szCs w:val="22"/>
                <w:u w:val="single"/>
              </w:rPr>
            </w:pPr>
            <w:r>
              <w:rPr>
                <w:rFonts w:hint="eastAsia" w:ascii="宋体" w:hAnsi="宋体" w:cs="宋体"/>
                <w:iCs/>
                <w:sz w:val="22"/>
                <w:szCs w:val="22"/>
              </w:rPr>
              <w:t>（2）向</w:t>
            </w:r>
            <w:r>
              <w:rPr>
                <w:rFonts w:hint="eastAsia" w:ascii="宋体" w:hAnsi="宋体" w:cs="宋体"/>
                <w:iCs/>
                <w:sz w:val="22"/>
                <w:szCs w:val="22"/>
                <w:u w:val="single"/>
              </w:rPr>
              <w:t>甲方所在地</w:t>
            </w:r>
            <w:r>
              <w:rPr>
                <w:rFonts w:hint="eastAsia" w:ascii="宋体" w:hAnsi="宋体" w:cs="宋体"/>
                <w:iCs/>
                <w:sz w:val="22"/>
                <w:szCs w:val="22"/>
              </w:rPr>
              <w:t>人民法院起诉。</w:t>
            </w:r>
          </w:p>
        </w:tc>
      </w:tr>
      <w:tr w14:paraId="327323F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54" w:type="pct"/>
            <w:vAlign w:val="center"/>
          </w:tcPr>
          <w:p w14:paraId="3CA1C983">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第二节</w:t>
            </w:r>
          </w:p>
          <w:p w14:paraId="25BC70FF">
            <w:pPr>
              <w:adjustRightInd w:val="0"/>
              <w:snapToGrid w:val="0"/>
              <w:ind w:left="-105" w:leftChars="-50" w:right="-105" w:rightChars="-50"/>
              <w:jc w:val="center"/>
              <w:rPr>
                <w:rFonts w:hint="eastAsia" w:ascii="宋体" w:hAnsi="宋体"/>
                <w:sz w:val="22"/>
                <w:szCs w:val="22"/>
              </w:rPr>
            </w:pPr>
            <w:r>
              <w:rPr>
                <w:rFonts w:hint="eastAsia" w:ascii="宋体" w:hAnsi="宋体"/>
                <w:sz w:val="22"/>
                <w:szCs w:val="22"/>
              </w:rPr>
              <w:t>第23.1款</w:t>
            </w:r>
          </w:p>
        </w:tc>
        <w:tc>
          <w:tcPr>
            <w:tcW w:w="941" w:type="pct"/>
            <w:vAlign w:val="center"/>
          </w:tcPr>
          <w:p w14:paraId="4947A846">
            <w:pPr>
              <w:adjustRightInd w:val="0"/>
              <w:snapToGrid w:val="0"/>
              <w:ind w:left="-120" w:right="-120" w:firstLine="220"/>
              <w:jc w:val="left"/>
              <w:rPr>
                <w:rFonts w:hint="eastAsia" w:ascii="宋体" w:hAnsi="宋体"/>
                <w:sz w:val="22"/>
                <w:szCs w:val="22"/>
              </w:rPr>
            </w:pPr>
            <w:r>
              <w:rPr>
                <w:rFonts w:hint="eastAsia" w:ascii="宋体" w:hAnsi="宋体"/>
                <w:bCs/>
                <w:sz w:val="22"/>
                <w:szCs w:val="22"/>
              </w:rPr>
              <w:t>其他专用条款</w:t>
            </w:r>
          </w:p>
        </w:tc>
        <w:tc>
          <w:tcPr>
            <w:tcW w:w="3205" w:type="pct"/>
            <w:vAlign w:val="center"/>
          </w:tcPr>
          <w:p w14:paraId="5D0F63C3">
            <w:pPr>
              <w:adjustRightInd w:val="0"/>
              <w:snapToGrid w:val="0"/>
              <w:ind w:left="-120" w:right="-120" w:firstLine="220"/>
              <w:jc w:val="left"/>
              <w:rPr>
                <w:rFonts w:hint="eastAsia" w:ascii="宋体" w:hAnsi="宋体"/>
                <w:sz w:val="22"/>
                <w:szCs w:val="22"/>
              </w:rPr>
            </w:pPr>
          </w:p>
        </w:tc>
      </w:tr>
      <w:bookmarkEnd w:id="771"/>
    </w:tbl>
    <w:p w14:paraId="06381C7E"/>
    <w:p w14:paraId="2AD5D9E6">
      <w:pPr>
        <w:widowControl/>
        <w:jc w:val="left"/>
        <w:rPr>
          <w:rFonts w:hint="eastAsia" w:ascii="宋体" w:hAnsi="宋体"/>
          <w:sz w:val="24"/>
        </w:rPr>
      </w:pPr>
      <w:r>
        <w:rPr>
          <w:rFonts w:ascii="宋体" w:hAnsi="宋体"/>
          <w:sz w:val="24"/>
        </w:rPr>
        <w:br w:type="page"/>
      </w:r>
    </w:p>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p w14:paraId="6915160F">
      <w:pPr>
        <w:keepNext/>
        <w:keepLines/>
        <w:autoSpaceDE w:val="0"/>
        <w:autoSpaceDN w:val="0"/>
        <w:adjustRightInd w:val="0"/>
        <w:spacing w:before="120" w:line="300" w:lineRule="auto"/>
        <w:jc w:val="left"/>
        <w:outlineLvl w:val="1"/>
        <w:rPr>
          <w:rFonts w:hint="eastAsia" w:ascii="宋体" w:hAnsi="宋体"/>
          <w:b/>
          <w:kern w:val="0"/>
          <w:sz w:val="30"/>
          <w:szCs w:val="20"/>
        </w:rPr>
      </w:pPr>
      <w:r>
        <w:rPr>
          <w:rFonts w:ascii="宋体" w:hAnsi="宋体"/>
          <w:b/>
          <w:spacing w:val="20"/>
          <w:sz w:val="24"/>
        </w:rPr>
        <w:t>一、资格证明文件格式</w:t>
      </w:r>
    </w:p>
    <w:p w14:paraId="68FC1E8E">
      <w:pPr>
        <w:rPr>
          <w:rFonts w:hint="eastAsia" w:ascii="宋体" w:hAnsi="宋体"/>
          <w:b/>
          <w:spacing w:val="20"/>
          <w:szCs w:val="21"/>
        </w:rPr>
      </w:pPr>
    </w:p>
    <w:p w14:paraId="2B2D1703">
      <w:pPr>
        <w:rPr>
          <w:rFonts w:hint="eastAsia" w:ascii="宋体" w:hAnsi="宋体"/>
          <w:b/>
          <w:sz w:val="24"/>
        </w:rPr>
      </w:pPr>
      <w:r>
        <w:rPr>
          <w:rFonts w:ascii="宋体" w:hAnsi="宋体"/>
          <w:b/>
          <w:spacing w:val="20"/>
          <w:sz w:val="24"/>
        </w:rPr>
        <w:t>投标文件（资格证明文件）</w:t>
      </w:r>
      <w:r>
        <w:rPr>
          <w:rFonts w:ascii="宋体" w:hAnsi="宋体"/>
          <w:b/>
          <w:sz w:val="24"/>
        </w:rPr>
        <w:t>封面（非实质性格式）</w:t>
      </w:r>
    </w:p>
    <w:p w14:paraId="7BD8975E">
      <w:pPr>
        <w:jc w:val="center"/>
        <w:rPr>
          <w:rFonts w:hint="eastAsia" w:ascii="宋体" w:hAnsi="宋体"/>
          <w:szCs w:val="21"/>
        </w:rPr>
      </w:pPr>
    </w:p>
    <w:p w14:paraId="3F33E3B7">
      <w:pPr>
        <w:jc w:val="center"/>
        <w:rPr>
          <w:rFonts w:hint="eastAsia" w:ascii="宋体" w:hAnsi="宋体"/>
          <w:b/>
          <w:spacing w:val="60"/>
          <w:sz w:val="84"/>
          <w:szCs w:val="84"/>
        </w:rPr>
      </w:pPr>
      <w:r>
        <w:rPr>
          <w:rFonts w:ascii="宋体" w:hAnsi="宋体"/>
          <w:b/>
          <w:spacing w:val="60"/>
          <w:sz w:val="84"/>
          <w:szCs w:val="84"/>
        </w:rPr>
        <w:t>投 标 文 件</w:t>
      </w:r>
    </w:p>
    <w:p w14:paraId="44B3B2FB">
      <w:pPr>
        <w:jc w:val="center"/>
        <w:rPr>
          <w:rFonts w:hint="eastAsia" w:ascii="宋体" w:hAnsi="宋体"/>
          <w:b/>
          <w:spacing w:val="60"/>
          <w:sz w:val="52"/>
          <w:szCs w:val="52"/>
        </w:rPr>
      </w:pPr>
      <w:r>
        <w:rPr>
          <w:rFonts w:ascii="宋体" w:hAnsi="宋体"/>
          <w:b/>
          <w:spacing w:val="60"/>
          <w:sz w:val="52"/>
          <w:szCs w:val="52"/>
        </w:rPr>
        <w:t>（资格证明文件）</w:t>
      </w:r>
    </w:p>
    <w:p w14:paraId="3CE6164F">
      <w:pPr>
        <w:ind w:firstLine="542" w:firstLineChars="150"/>
        <w:rPr>
          <w:rFonts w:hint="eastAsia" w:ascii="宋体" w:hAnsi="宋体"/>
          <w:b/>
          <w:spacing w:val="20"/>
          <w:sz w:val="32"/>
          <w:szCs w:val="32"/>
        </w:rPr>
      </w:pPr>
    </w:p>
    <w:p w14:paraId="61F2A758">
      <w:pPr>
        <w:ind w:firstLine="542" w:firstLineChars="150"/>
        <w:rPr>
          <w:rFonts w:hint="eastAsia" w:ascii="宋体" w:hAnsi="宋体"/>
          <w:b/>
          <w:spacing w:val="20"/>
          <w:sz w:val="32"/>
          <w:szCs w:val="32"/>
        </w:rPr>
      </w:pPr>
    </w:p>
    <w:p w14:paraId="350AC239">
      <w:pPr>
        <w:ind w:firstLine="542" w:firstLineChars="150"/>
        <w:rPr>
          <w:rFonts w:hint="eastAsia" w:ascii="宋体" w:hAnsi="宋体"/>
          <w:b/>
          <w:spacing w:val="20"/>
          <w:sz w:val="32"/>
          <w:szCs w:val="32"/>
        </w:rPr>
      </w:pPr>
      <w:r>
        <w:rPr>
          <w:rFonts w:ascii="宋体" w:hAnsi="宋体"/>
          <w:b/>
          <w:spacing w:val="20"/>
          <w:sz w:val="32"/>
          <w:szCs w:val="32"/>
        </w:rPr>
        <w:t>项目名称:</w:t>
      </w:r>
    </w:p>
    <w:p w14:paraId="78C9C3B8">
      <w:pPr>
        <w:ind w:firstLine="542" w:firstLineChars="150"/>
        <w:rPr>
          <w:rFonts w:hint="eastAsia" w:ascii="宋体" w:hAnsi="宋体"/>
          <w:b/>
          <w:spacing w:val="20"/>
          <w:sz w:val="32"/>
          <w:szCs w:val="32"/>
        </w:rPr>
      </w:pPr>
      <w:r>
        <w:rPr>
          <w:rFonts w:ascii="宋体" w:hAnsi="宋体"/>
          <w:b/>
          <w:spacing w:val="20"/>
          <w:sz w:val="32"/>
          <w:szCs w:val="32"/>
        </w:rPr>
        <w:t>项目编号/包号：</w:t>
      </w:r>
    </w:p>
    <w:p w14:paraId="6F6660D4">
      <w:pPr>
        <w:ind w:firstLine="542" w:firstLineChars="150"/>
        <w:rPr>
          <w:rFonts w:hint="eastAsia" w:ascii="宋体" w:hAnsi="宋体"/>
          <w:b/>
          <w:spacing w:val="20"/>
          <w:sz w:val="32"/>
          <w:szCs w:val="32"/>
        </w:rPr>
      </w:pPr>
    </w:p>
    <w:p w14:paraId="459D8FF0">
      <w:pPr>
        <w:ind w:firstLine="542" w:firstLineChars="150"/>
        <w:rPr>
          <w:rFonts w:hint="eastAsia" w:ascii="宋体" w:hAnsi="宋体"/>
          <w:b/>
          <w:spacing w:val="20"/>
          <w:sz w:val="32"/>
          <w:szCs w:val="32"/>
        </w:rPr>
      </w:pPr>
    </w:p>
    <w:p w14:paraId="48A7CBD2">
      <w:pPr>
        <w:jc w:val="center"/>
        <w:rPr>
          <w:rFonts w:hint="eastAsia" w:ascii="宋体" w:hAnsi="宋体"/>
          <w:b/>
          <w:sz w:val="32"/>
          <w:szCs w:val="32"/>
        </w:rPr>
      </w:pPr>
    </w:p>
    <w:p w14:paraId="684304C3">
      <w:pPr>
        <w:jc w:val="center"/>
        <w:rPr>
          <w:rFonts w:hint="eastAsia" w:ascii="宋体" w:hAnsi="宋体"/>
          <w:b/>
          <w:sz w:val="32"/>
          <w:szCs w:val="32"/>
        </w:rPr>
      </w:pPr>
    </w:p>
    <w:p w14:paraId="6E1AA5FF">
      <w:pPr>
        <w:jc w:val="center"/>
        <w:rPr>
          <w:rFonts w:hint="eastAsia" w:ascii="宋体" w:hAnsi="宋体"/>
          <w:b/>
          <w:sz w:val="32"/>
          <w:szCs w:val="32"/>
        </w:rPr>
      </w:pPr>
    </w:p>
    <w:p w14:paraId="0F5F1CD4">
      <w:pPr>
        <w:jc w:val="center"/>
        <w:rPr>
          <w:rFonts w:hint="eastAsia" w:ascii="宋体" w:hAnsi="宋体"/>
          <w:b/>
          <w:spacing w:val="20"/>
          <w:sz w:val="32"/>
          <w:szCs w:val="32"/>
        </w:rPr>
      </w:pPr>
    </w:p>
    <w:p w14:paraId="4EE1A7CA">
      <w:pPr>
        <w:jc w:val="center"/>
        <w:rPr>
          <w:rFonts w:hint="eastAsia" w:ascii="宋体" w:hAnsi="宋体"/>
          <w:b/>
          <w:spacing w:val="20"/>
          <w:sz w:val="32"/>
          <w:szCs w:val="32"/>
        </w:rPr>
      </w:pPr>
    </w:p>
    <w:p w14:paraId="41EEC1C1">
      <w:pPr>
        <w:jc w:val="center"/>
        <w:rPr>
          <w:rFonts w:hint="eastAsia" w:ascii="宋体" w:hAnsi="宋体"/>
          <w:b/>
          <w:spacing w:val="20"/>
          <w:sz w:val="32"/>
          <w:szCs w:val="32"/>
        </w:rPr>
      </w:pPr>
    </w:p>
    <w:p w14:paraId="7F8BECFD">
      <w:pPr>
        <w:spacing w:line="360" w:lineRule="auto"/>
        <w:ind w:firstLine="1445" w:firstLineChars="400"/>
        <w:jc w:val="left"/>
        <w:rPr>
          <w:rFonts w:hint="eastAsia" w:ascii="宋体" w:hAnsi="宋体"/>
          <w:b/>
          <w:spacing w:val="20"/>
          <w:sz w:val="32"/>
          <w:szCs w:val="32"/>
        </w:rPr>
      </w:pPr>
      <w:r>
        <w:rPr>
          <w:rFonts w:ascii="宋体" w:hAnsi="宋体"/>
          <w:b/>
          <w:spacing w:val="20"/>
          <w:sz w:val="32"/>
          <w:szCs w:val="32"/>
        </w:rPr>
        <w:t>投标人名称：</w:t>
      </w:r>
    </w:p>
    <w:p w14:paraId="360FAAFC">
      <w:pPr>
        <w:jc w:val="center"/>
        <w:rPr>
          <w:rFonts w:hint="eastAsia" w:ascii="宋体" w:hAnsi="宋体"/>
          <w:b/>
          <w:sz w:val="32"/>
          <w:szCs w:val="32"/>
        </w:rPr>
      </w:pPr>
    </w:p>
    <w:p w14:paraId="121F4FCE">
      <w:pPr>
        <w:rPr>
          <w:rFonts w:hint="eastAsia" w:ascii="宋体" w:hAnsi="宋体"/>
          <w:b/>
        </w:rPr>
      </w:pPr>
      <w:r>
        <w:rPr>
          <w:rFonts w:ascii="宋体" w:hAnsi="宋体"/>
          <w:b/>
          <w:spacing w:val="20"/>
          <w:sz w:val="32"/>
          <w:szCs w:val="32"/>
        </w:rPr>
        <w:br w:type="page"/>
      </w:r>
    </w:p>
    <w:p w14:paraId="56454589">
      <w:pPr>
        <w:spacing w:line="360" w:lineRule="auto"/>
        <w:outlineLvl w:val="2"/>
        <w:rPr>
          <w:rFonts w:hint="eastAsia" w:ascii="宋体" w:hAnsi="宋体"/>
          <w:color w:val="000000"/>
          <w:sz w:val="24"/>
          <w:szCs w:val="20"/>
        </w:rPr>
      </w:pPr>
      <w:r>
        <w:rPr>
          <w:rFonts w:ascii="宋体" w:hAnsi="宋体"/>
          <w:color w:val="000000"/>
          <w:sz w:val="24"/>
          <w:szCs w:val="20"/>
        </w:rPr>
        <w:t xml:space="preserve">1 </w:t>
      </w:r>
      <w:r>
        <w:rPr>
          <w:rFonts w:ascii="宋体" w:hAnsi="宋体"/>
          <w:sz w:val="24"/>
        </w:rPr>
        <w:t>满足《中华人民共和国政府采购法》第二十二条规定及法律法规的其他规定</w:t>
      </w:r>
    </w:p>
    <w:p w14:paraId="3A897F59">
      <w:pPr>
        <w:spacing w:line="360" w:lineRule="auto"/>
        <w:outlineLvl w:val="2"/>
        <w:rPr>
          <w:rFonts w:hint="eastAsia" w:ascii="宋体" w:hAnsi="宋体"/>
          <w:color w:val="000000"/>
          <w:sz w:val="24"/>
          <w:szCs w:val="20"/>
        </w:rPr>
      </w:pPr>
      <w:r>
        <w:rPr>
          <w:rFonts w:ascii="宋体" w:hAnsi="宋体"/>
          <w:color w:val="000000"/>
          <w:sz w:val="24"/>
          <w:szCs w:val="20"/>
        </w:rPr>
        <w:t>1-1营业执照等证明文件</w:t>
      </w:r>
    </w:p>
    <w:p w14:paraId="47E7465C">
      <w:pPr>
        <w:tabs>
          <w:tab w:val="left" w:pos="1080"/>
        </w:tabs>
        <w:snapToGrid w:val="0"/>
        <w:rPr>
          <w:rFonts w:hint="eastAsia" w:ascii="宋体" w:hAnsi="宋体"/>
          <w:sz w:val="24"/>
        </w:rPr>
      </w:pPr>
    </w:p>
    <w:p w14:paraId="0E8306C6">
      <w:pPr>
        <w:widowControl/>
        <w:jc w:val="left"/>
        <w:rPr>
          <w:rFonts w:hint="eastAsia" w:ascii="宋体" w:hAnsi="宋体"/>
          <w:color w:val="000000"/>
          <w:sz w:val="24"/>
          <w:szCs w:val="20"/>
        </w:rPr>
      </w:pPr>
      <w:r>
        <w:rPr>
          <w:rFonts w:ascii="宋体" w:hAnsi="宋体"/>
          <w:color w:val="000000"/>
          <w:sz w:val="24"/>
        </w:rPr>
        <w:br w:type="page"/>
      </w:r>
    </w:p>
    <w:p w14:paraId="53A79B1E">
      <w:pPr>
        <w:pStyle w:val="5"/>
        <w:rPr>
          <w:rFonts w:hint="eastAsia" w:hAnsi="宋体"/>
          <w:b w:val="0"/>
          <w:bCs/>
          <w:color w:val="000000"/>
          <w:u w:val="none"/>
        </w:rPr>
      </w:pPr>
      <w:r>
        <w:rPr>
          <w:rFonts w:hAnsi="宋体"/>
          <w:b w:val="0"/>
          <w:color w:val="000000"/>
          <w:u w:val="none"/>
        </w:rPr>
        <w:t>1-2 投标人资格声明书（实质性格式）</w:t>
      </w:r>
    </w:p>
    <w:p w14:paraId="5FF6A8C9">
      <w:pPr>
        <w:jc w:val="center"/>
        <w:rPr>
          <w:rFonts w:hint="eastAsia" w:ascii="宋体" w:hAnsi="宋体"/>
          <w:b/>
          <w:color w:val="000000"/>
          <w:sz w:val="36"/>
          <w:szCs w:val="36"/>
        </w:rPr>
      </w:pPr>
      <w:r>
        <w:rPr>
          <w:rFonts w:hint="eastAsia" w:ascii="宋体" w:hAnsi="宋体"/>
          <w:b/>
          <w:color w:val="000000"/>
          <w:sz w:val="36"/>
          <w:szCs w:val="36"/>
        </w:rPr>
        <w:t>投标人资格声明书</w:t>
      </w:r>
    </w:p>
    <w:p w14:paraId="14B60D86">
      <w:pPr>
        <w:tabs>
          <w:tab w:val="left" w:pos="5580"/>
        </w:tabs>
        <w:spacing w:line="360" w:lineRule="auto"/>
        <w:rPr>
          <w:rFonts w:hint="eastAsia" w:ascii="宋体" w:hAnsi="宋体"/>
          <w:sz w:val="24"/>
        </w:rPr>
      </w:pPr>
    </w:p>
    <w:p w14:paraId="273193BD">
      <w:pPr>
        <w:tabs>
          <w:tab w:val="left" w:pos="5580"/>
        </w:tabs>
        <w:spacing w:line="360" w:lineRule="auto"/>
        <w:rPr>
          <w:rFonts w:hint="eastAsia" w:ascii="宋体" w:hAnsi="宋体"/>
          <w:sz w:val="24"/>
        </w:rPr>
      </w:pPr>
      <w:r>
        <w:rPr>
          <w:rFonts w:ascii="宋体" w:hAnsi="宋体"/>
          <w:sz w:val="24"/>
        </w:rPr>
        <w:t>致：</w:t>
      </w:r>
      <w:r>
        <w:rPr>
          <w:rFonts w:ascii="宋体" w:hAnsi="宋体"/>
          <w:sz w:val="24"/>
          <w:u w:val="single"/>
        </w:rPr>
        <w:t>采购人或采购代理机构</w:t>
      </w:r>
    </w:p>
    <w:p w14:paraId="33FD8D22">
      <w:pPr>
        <w:spacing w:line="360" w:lineRule="auto"/>
        <w:ind w:firstLine="480" w:firstLineChars="200"/>
        <w:rPr>
          <w:rFonts w:hint="eastAsia" w:ascii="宋体" w:hAnsi="宋体"/>
          <w:sz w:val="24"/>
        </w:rPr>
      </w:pPr>
      <w:r>
        <w:rPr>
          <w:rFonts w:ascii="宋体" w:hAnsi="宋体"/>
          <w:sz w:val="24"/>
        </w:rPr>
        <w:t>在参与本次项目投标中，我单位承诺：</w:t>
      </w:r>
    </w:p>
    <w:p w14:paraId="211C122B">
      <w:pPr>
        <w:spacing w:line="360" w:lineRule="auto"/>
        <w:ind w:left="1134" w:hanging="720"/>
        <w:rPr>
          <w:rFonts w:hint="eastAsia" w:ascii="宋体" w:hAnsi="宋体"/>
          <w:sz w:val="24"/>
          <w:szCs w:val="22"/>
        </w:rPr>
      </w:pPr>
      <w:r>
        <w:rPr>
          <w:rFonts w:ascii="宋体" w:hAnsi="宋体"/>
          <w:sz w:val="24"/>
          <w:szCs w:val="22"/>
        </w:rPr>
        <w:t>（一）</w:t>
      </w:r>
      <w:r>
        <w:rPr>
          <w:rFonts w:ascii="宋体" w:hAnsi="宋体"/>
          <w:sz w:val="24"/>
          <w:szCs w:val="22"/>
        </w:rPr>
        <w:tab/>
      </w:r>
      <w:r>
        <w:rPr>
          <w:rFonts w:ascii="宋体" w:hAnsi="宋体"/>
          <w:sz w:val="24"/>
          <w:szCs w:val="22"/>
        </w:rPr>
        <w:t>具有良好的商业信誉和健全的财务会计制度；</w:t>
      </w:r>
    </w:p>
    <w:p w14:paraId="4CF1B3AB">
      <w:pPr>
        <w:spacing w:line="360" w:lineRule="auto"/>
        <w:ind w:left="1134" w:hanging="720"/>
        <w:rPr>
          <w:rFonts w:hint="eastAsia" w:ascii="宋体" w:hAnsi="宋体"/>
          <w:sz w:val="24"/>
          <w:szCs w:val="22"/>
        </w:rPr>
      </w:pPr>
      <w:r>
        <w:rPr>
          <w:rFonts w:ascii="宋体" w:hAnsi="宋体"/>
          <w:sz w:val="24"/>
          <w:szCs w:val="22"/>
        </w:rPr>
        <w:t>（二）</w:t>
      </w:r>
      <w:r>
        <w:rPr>
          <w:rFonts w:ascii="宋体" w:hAnsi="宋体"/>
          <w:sz w:val="24"/>
          <w:szCs w:val="22"/>
        </w:rPr>
        <w:tab/>
      </w:r>
      <w:r>
        <w:rPr>
          <w:rFonts w:ascii="宋体" w:hAnsi="宋体"/>
          <w:sz w:val="24"/>
          <w:szCs w:val="22"/>
        </w:rPr>
        <w:t>具有履行合同所必需的设备和专业技术能力；</w:t>
      </w:r>
    </w:p>
    <w:p w14:paraId="6F867BDD">
      <w:pPr>
        <w:spacing w:line="360" w:lineRule="auto"/>
        <w:ind w:left="1134" w:hanging="720"/>
        <w:rPr>
          <w:rFonts w:hint="eastAsia" w:ascii="宋体" w:hAnsi="宋体"/>
          <w:sz w:val="24"/>
          <w:szCs w:val="22"/>
        </w:rPr>
      </w:pPr>
      <w:r>
        <w:rPr>
          <w:rFonts w:ascii="宋体" w:hAnsi="宋体"/>
          <w:sz w:val="24"/>
          <w:szCs w:val="22"/>
        </w:rPr>
        <w:t>（三）</w:t>
      </w:r>
      <w:r>
        <w:rPr>
          <w:rFonts w:ascii="宋体" w:hAnsi="宋体"/>
          <w:sz w:val="24"/>
          <w:szCs w:val="22"/>
        </w:rPr>
        <w:tab/>
      </w:r>
      <w:r>
        <w:rPr>
          <w:rFonts w:ascii="宋体" w:hAnsi="宋体"/>
          <w:sz w:val="24"/>
          <w:szCs w:val="22"/>
        </w:rPr>
        <w:t>有依法缴纳税收和社会保障资金的良好记录；</w:t>
      </w:r>
    </w:p>
    <w:p w14:paraId="154AB7D6">
      <w:pPr>
        <w:spacing w:line="360" w:lineRule="auto"/>
        <w:ind w:left="1134" w:hanging="720"/>
        <w:rPr>
          <w:rFonts w:hint="eastAsia" w:ascii="宋体" w:hAnsi="宋体"/>
          <w:sz w:val="24"/>
          <w:szCs w:val="22"/>
        </w:rPr>
      </w:pPr>
      <w:r>
        <w:rPr>
          <w:rFonts w:ascii="宋体" w:hAnsi="宋体"/>
          <w:sz w:val="24"/>
          <w:szCs w:val="22"/>
        </w:rPr>
        <w:t>（四）</w:t>
      </w:r>
      <w:r>
        <w:rPr>
          <w:rFonts w:ascii="宋体" w:hAnsi="宋体"/>
          <w:sz w:val="24"/>
          <w:szCs w:val="22"/>
        </w:rPr>
        <w:tab/>
      </w:r>
      <w:r>
        <w:rPr>
          <w:rFonts w:ascii="宋体" w:hAnsi="宋体"/>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6E7B4B9B">
      <w:pPr>
        <w:spacing w:line="360" w:lineRule="auto"/>
        <w:ind w:left="1134" w:hanging="720"/>
        <w:rPr>
          <w:rFonts w:hint="eastAsia" w:ascii="宋体" w:hAnsi="宋体"/>
          <w:sz w:val="24"/>
          <w:szCs w:val="22"/>
        </w:rPr>
      </w:pPr>
      <w:r>
        <w:rPr>
          <w:rFonts w:ascii="宋体" w:hAnsi="宋体"/>
          <w:sz w:val="24"/>
          <w:szCs w:val="22"/>
        </w:rPr>
        <w:t>（五）</w:t>
      </w:r>
      <w:r>
        <w:rPr>
          <w:rFonts w:ascii="宋体" w:hAnsi="宋体"/>
          <w:sz w:val="24"/>
          <w:szCs w:val="22"/>
        </w:rPr>
        <w:tab/>
      </w:r>
      <w:r>
        <w:rPr>
          <w:rFonts w:ascii="宋体" w:hAnsi="宋体"/>
          <w:sz w:val="24"/>
          <w:szCs w:val="22"/>
        </w:rPr>
        <w:t>我单位不属于政府采购法律、行政法规规定的公益一类事业单位、或使用事业编制且由财政拨款保障的群团组织（仅适用于政府购买服务项目）；</w:t>
      </w:r>
    </w:p>
    <w:p w14:paraId="0B10625D">
      <w:pPr>
        <w:spacing w:line="360" w:lineRule="auto"/>
        <w:ind w:left="1134" w:hanging="720"/>
        <w:rPr>
          <w:rFonts w:hint="eastAsia" w:ascii="宋体" w:hAnsi="宋体"/>
          <w:sz w:val="24"/>
          <w:szCs w:val="22"/>
        </w:rPr>
      </w:pPr>
      <w:r>
        <w:rPr>
          <w:rFonts w:ascii="宋体" w:hAnsi="宋体"/>
          <w:sz w:val="24"/>
          <w:szCs w:val="22"/>
        </w:rPr>
        <w:t>（六）</w:t>
      </w:r>
      <w:r>
        <w:rPr>
          <w:rFonts w:ascii="宋体" w:hAnsi="宋体"/>
          <w:sz w:val="24"/>
          <w:szCs w:val="22"/>
        </w:rPr>
        <w:tab/>
      </w:r>
      <w:r>
        <w:rPr>
          <w:rFonts w:ascii="宋体" w:hAnsi="宋体"/>
          <w:sz w:val="24"/>
          <w:szCs w:val="22"/>
        </w:rPr>
        <w:t>我单位不存在为采购项目提供整体设计、规范编制或者项目管理、监理、检测等服务后，再参加该采购项目的其他采购活动的情形（单一来源采购项目除外）</w:t>
      </w:r>
      <w:r>
        <w:rPr>
          <w:rFonts w:hint="eastAsia" w:ascii="宋体" w:hAnsi="宋体"/>
          <w:sz w:val="24"/>
          <w:szCs w:val="22"/>
        </w:rPr>
        <w:t>；</w:t>
      </w:r>
    </w:p>
    <w:p w14:paraId="0E9A3060">
      <w:pPr>
        <w:spacing w:line="360" w:lineRule="auto"/>
        <w:ind w:left="1134" w:hanging="720"/>
        <w:rPr>
          <w:rFonts w:hint="eastAsia" w:ascii="宋体" w:hAnsi="宋体"/>
          <w:sz w:val="24"/>
          <w:szCs w:val="22"/>
        </w:rPr>
      </w:pPr>
      <w:r>
        <w:rPr>
          <w:rFonts w:ascii="宋体" w:hAnsi="宋体"/>
          <w:sz w:val="24"/>
          <w:szCs w:val="22"/>
        </w:rPr>
        <w:t>（七）</w:t>
      </w:r>
      <w:r>
        <w:rPr>
          <w:rFonts w:ascii="宋体" w:hAnsi="宋体"/>
          <w:sz w:val="24"/>
          <w:szCs w:val="22"/>
        </w:rPr>
        <w:tab/>
      </w:r>
      <w:r>
        <w:rPr>
          <w:rFonts w:ascii="宋体" w:hAnsi="宋体"/>
          <w:sz w:val="24"/>
          <w:szCs w:val="22"/>
        </w:rPr>
        <w:t>与我单位存在“单位负责人为同一人或者存在直接控股、管理关系”的其他法人单位信息如下（如有，不论其是否参加同一合同项下的政府采购活动均须填写）：</w:t>
      </w:r>
    </w:p>
    <w:p w14:paraId="4C3E9B41">
      <w:pPr>
        <w:spacing w:line="360" w:lineRule="auto"/>
        <w:ind w:left="1134" w:hanging="720"/>
        <w:rPr>
          <w:rFonts w:hint="eastAsia" w:ascii="宋体" w:hAnsi="宋体"/>
          <w:sz w:val="24"/>
          <w:szCs w:val="22"/>
        </w:rPr>
      </w:pPr>
      <w:r>
        <w:rPr>
          <w:rFonts w:hint="eastAsia" w:ascii="宋体" w:hAnsi="宋体"/>
          <w:sz w:val="24"/>
          <w:szCs w:val="22"/>
        </w:rPr>
        <w:t>（如投标人没有表中列示的相关单位，请填写“无”）</w:t>
      </w:r>
    </w:p>
    <w:tbl>
      <w:tblPr>
        <w:tblStyle w:val="45"/>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28F8EC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18D6F84A">
            <w:pPr>
              <w:jc w:val="center"/>
              <w:rPr>
                <w:rFonts w:hint="eastAsia" w:ascii="宋体" w:hAnsi="宋体"/>
                <w:sz w:val="24"/>
              </w:rPr>
            </w:pPr>
            <w:r>
              <w:rPr>
                <w:rFonts w:ascii="宋体" w:hAnsi="宋体"/>
                <w:sz w:val="24"/>
              </w:rPr>
              <w:t>序号</w:t>
            </w:r>
          </w:p>
        </w:tc>
        <w:tc>
          <w:tcPr>
            <w:tcW w:w="4574" w:type="dxa"/>
            <w:vAlign w:val="center"/>
          </w:tcPr>
          <w:p w14:paraId="09FFE309">
            <w:pPr>
              <w:jc w:val="center"/>
              <w:rPr>
                <w:rFonts w:hint="eastAsia" w:ascii="宋体" w:hAnsi="宋体"/>
                <w:sz w:val="24"/>
              </w:rPr>
            </w:pPr>
            <w:r>
              <w:rPr>
                <w:rFonts w:ascii="宋体" w:hAnsi="宋体"/>
                <w:sz w:val="24"/>
              </w:rPr>
              <w:t>单位名称</w:t>
            </w:r>
          </w:p>
        </w:tc>
        <w:tc>
          <w:tcPr>
            <w:tcW w:w="2976" w:type="dxa"/>
            <w:vAlign w:val="center"/>
          </w:tcPr>
          <w:p w14:paraId="38B593EE">
            <w:pPr>
              <w:jc w:val="center"/>
              <w:rPr>
                <w:rFonts w:hint="eastAsia" w:ascii="宋体" w:hAnsi="宋体"/>
                <w:sz w:val="24"/>
              </w:rPr>
            </w:pPr>
            <w:r>
              <w:rPr>
                <w:rFonts w:ascii="宋体" w:hAnsi="宋体"/>
                <w:sz w:val="24"/>
              </w:rPr>
              <w:t>相互关系</w:t>
            </w:r>
          </w:p>
        </w:tc>
      </w:tr>
      <w:tr w14:paraId="4B41A4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0875938">
            <w:pPr>
              <w:jc w:val="center"/>
              <w:rPr>
                <w:rFonts w:hint="eastAsia" w:ascii="宋体" w:hAnsi="宋体"/>
                <w:sz w:val="24"/>
              </w:rPr>
            </w:pPr>
            <w:r>
              <w:rPr>
                <w:rFonts w:ascii="宋体" w:hAnsi="宋体"/>
                <w:sz w:val="24"/>
              </w:rPr>
              <w:t>1</w:t>
            </w:r>
          </w:p>
        </w:tc>
        <w:tc>
          <w:tcPr>
            <w:tcW w:w="4574" w:type="dxa"/>
            <w:vAlign w:val="center"/>
          </w:tcPr>
          <w:p w14:paraId="1376B222">
            <w:pPr>
              <w:jc w:val="center"/>
              <w:rPr>
                <w:rFonts w:hint="eastAsia" w:ascii="宋体" w:hAnsi="宋体"/>
                <w:sz w:val="24"/>
              </w:rPr>
            </w:pPr>
          </w:p>
        </w:tc>
        <w:tc>
          <w:tcPr>
            <w:tcW w:w="2976" w:type="dxa"/>
            <w:vAlign w:val="center"/>
          </w:tcPr>
          <w:p w14:paraId="4B9C6E56">
            <w:pPr>
              <w:jc w:val="center"/>
              <w:rPr>
                <w:rFonts w:hint="eastAsia" w:ascii="宋体" w:hAnsi="宋体"/>
                <w:sz w:val="24"/>
              </w:rPr>
            </w:pPr>
          </w:p>
        </w:tc>
      </w:tr>
      <w:tr w14:paraId="65E29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0553743">
            <w:pPr>
              <w:jc w:val="center"/>
              <w:rPr>
                <w:rFonts w:hint="eastAsia" w:ascii="宋体" w:hAnsi="宋体"/>
                <w:sz w:val="24"/>
              </w:rPr>
            </w:pPr>
            <w:r>
              <w:rPr>
                <w:rFonts w:ascii="宋体" w:hAnsi="宋体"/>
                <w:sz w:val="24"/>
              </w:rPr>
              <w:t>2</w:t>
            </w:r>
          </w:p>
        </w:tc>
        <w:tc>
          <w:tcPr>
            <w:tcW w:w="4574" w:type="dxa"/>
            <w:vAlign w:val="center"/>
          </w:tcPr>
          <w:p w14:paraId="5035D477">
            <w:pPr>
              <w:jc w:val="center"/>
              <w:rPr>
                <w:rFonts w:hint="eastAsia" w:ascii="宋体" w:hAnsi="宋体"/>
                <w:sz w:val="24"/>
              </w:rPr>
            </w:pPr>
          </w:p>
        </w:tc>
        <w:tc>
          <w:tcPr>
            <w:tcW w:w="2976" w:type="dxa"/>
            <w:vAlign w:val="center"/>
          </w:tcPr>
          <w:p w14:paraId="3C24ABE0">
            <w:pPr>
              <w:jc w:val="center"/>
              <w:rPr>
                <w:rFonts w:hint="eastAsia" w:ascii="宋体" w:hAnsi="宋体"/>
                <w:sz w:val="24"/>
              </w:rPr>
            </w:pPr>
          </w:p>
        </w:tc>
      </w:tr>
      <w:tr w14:paraId="20B9DD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40DFBA81">
            <w:pPr>
              <w:jc w:val="center"/>
              <w:rPr>
                <w:rFonts w:hint="eastAsia" w:ascii="宋体" w:hAnsi="宋体"/>
                <w:sz w:val="24"/>
              </w:rPr>
            </w:pPr>
            <w:r>
              <w:rPr>
                <w:rFonts w:ascii="宋体" w:hAnsi="宋体"/>
                <w:sz w:val="24"/>
              </w:rPr>
              <w:t>…</w:t>
            </w:r>
          </w:p>
        </w:tc>
        <w:tc>
          <w:tcPr>
            <w:tcW w:w="4574" w:type="dxa"/>
            <w:vAlign w:val="center"/>
          </w:tcPr>
          <w:p w14:paraId="6202B77C">
            <w:pPr>
              <w:jc w:val="center"/>
              <w:rPr>
                <w:rFonts w:hint="eastAsia" w:ascii="宋体" w:hAnsi="宋体"/>
                <w:sz w:val="24"/>
              </w:rPr>
            </w:pPr>
          </w:p>
        </w:tc>
        <w:tc>
          <w:tcPr>
            <w:tcW w:w="2976" w:type="dxa"/>
            <w:vAlign w:val="center"/>
          </w:tcPr>
          <w:p w14:paraId="1D45FAF9">
            <w:pPr>
              <w:jc w:val="center"/>
              <w:rPr>
                <w:rFonts w:hint="eastAsia" w:ascii="宋体" w:hAnsi="宋体"/>
                <w:sz w:val="24"/>
              </w:rPr>
            </w:pPr>
          </w:p>
        </w:tc>
      </w:tr>
    </w:tbl>
    <w:p w14:paraId="1579162E">
      <w:pPr>
        <w:ind w:firstLine="480" w:firstLineChars="200"/>
        <w:rPr>
          <w:rFonts w:hint="eastAsia" w:ascii="宋体" w:hAnsi="宋体"/>
          <w:sz w:val="24"/>
          <w:szCs w:val="22"/>
        </w:rPr>
      </w:pPr>
      <w:r>
        <w:rPr>
          <w:rFonts w:ascii="宋体" w:hAnsi="宋体"/>
          <w:sz w:val="24"/>
        </w:rPr>
        <w:t>上述声明真实有效，否则我方负全部责任。</w:t>
      </w:r>
    </w:p>
    <w:p w14:paraId="61549343">
      <w:pPr>
        <w:autoSpaceDE w:val="0"/>
        <w:autoSpaceDN w:val="0"/>
        <w:adjustRightInd w:val="0"/>
        <w:snapToGrid w:val="0"/>
        <w:spacing w:before="25" w:after="25" w:line="360" w:lineRule="auto"/>
        <w:jc w:val="right"/>
        <w:rPr>
          <w:rFonts w:hint="eastAsia"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04A26628">
      <w:pPr>
        <w:spacing w:line="360" w:lineRule="auto"/>
        <w:ind w:right="360" w:firstLine="480"/>
        <w:jc w:val="right"/>
        <w:rPr>
          <w:rFonts w:hint="eastAsia" w:ascii="宋体" w:hAnsi="宋体"/>
          <w:sz w:val="24"/>
        </w:rPr>
      </w:pPr>
      <w:r>
        <w:rPr>
          <w:rFonts w:ascii="宋体" w:hAnsi="宋体"/>
          <w:color w:val="000000"/>
          <w:sz w:val="24"/>
          <w:szCs w:val="20"/>
        </w:rPr>
        <w:t xml:space="preserve">日期：_____年______月______日   </w:t>
      </w:r>
    </w:p>
    <w:p w14:paraId="5B1972A1">
      <w:pPr>
        <w:spacing w:line="360" w:lineRule="auto"/>
        <w:rPr>
          <w:rFonts w:hint="eastAsia" w:ascii="宋体" w:hAnsi="宋体"/>
          <w:sz w:val="24"/>
        </w:rPr>
      </w:pPr>
      <w:r>
        <w:rPr>
          <w:rFonts w:ascii="宋体" w:hAnsi="宋体"/>
          <w:sz w:val="24"/>
        </w:rPr>
        <w:t>说明：</w:t>
      </w:r>
      <w:r>
        <w:rPr>
          <w:rFonts w:hint="eastAsia" w:ascii="宋体" w:hAnsi="宋体"/>
          <w:sz w:val="24"/>
        </w:rPr>
        <w:t>供应商承诺不实的，依据《政府采购法》第七十七条“提供虚假材料谋取中标、成交的”有关规定予以处理</w:t>
      </w:r>
      <w:r>
        <w:rPr>
          <w:rFonts w:ascii="宋体" w:hAnsi="宋体"/>
          <w:sz w:val="24"/>
        </w:rPr>
        <w:t>。</w:t>
      </w:r>
      <w:r>
        <w:rPr>
          <w:rFonts w:ascii="宋体" w:hAnsi="宋体"/>
          <w:sz w:val="24"/>
        </w:rPr>
        <w:br w:type="page"/>
      </w:r>
    </w:p>
    <w:p w14:paraId="7A4F6C7E">
      <w:pPr>
        <w:spacing w:line="360" w:lineRule="auto"/>
        <w:outlineLvl w:val="2"/>
        <w:rPr>
          <w:color w:val="000000"/>
          <w:sz w:val="24"/>
          <w:szCs w:val="20"/>
        </w:rPr>
      </w:pPr>
      <w:r>
        <w:rPr>
          <w:color w:val="000000"/>
          <w:sz w:val="24"/>
          <w:szCs w:val="20"/>
        </w:rPr>
        <w:t>2 落实政府采购政策需满足的资格要求（如有）</w:t>
      </w:r>
    </w:p>
    <w:p w14:paraId="54020E17">
      <w:pPr>
        <w:spacing w:line="360" w:lineRule="auto"/>
        <w:outlineLvl w:val="2"/>
        <w:rPr>
          <w:color w:val="000000"/>
          <w:sz w:val="24"/>
          <w:szCs w:val="20"/>
        </w:rPr>
      </w:pPr>
      <w:r>
        <w:rPr>
          <w:color w:val="000000"/>
          <w:sz w:val="24"/>
          <w:szCs w:val="20"/>
        </w:rPr>
        <w:t>2-1中小企业声明函</w:t>
      </w:r>
    </w:p>
    <w:p w14:paraId="6DE36CFB">
      <w:pPr>
        <w:tabs>
          <w:tab w:val="left" w:pos="5580"/>
        </w:tabs>
        <w:spacing w:line="360" w:lineRule="auto"/>
        <w:rPr>
          <w:sz w:val="24"/>
        </w:rPr>
      </w:pPr>
    </w:p>
    <w:p w14:paraId="48D8D736">
      <w:pPr>
        <w:tabs>
          <w:tab w:val="left" w:pos="5580"/>
        </w:tabs>
        <w:spacing w:line="360" w:lineRule="auto"/>
        <w:rPr>
          <w:sz w:val="24"/>
        </w:rPr>
      </w:pPr>
      <w:r>
        <w:rPr>
          <w:sz w:val="24"/>
        </w:rPr>
        <w:t>说明：</w:t>
      </w:r>
    </w:p>
    <w:p w14:paraId="41C5208A">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p>
    <w:p w14:paraId="427E1384">
      <w:pPr>
        <w:tabs>
          <w:tab w:val="left" w:pos="5580"/>
        </w:tabs>
        <w:spacing w:line="360" w:lineRule="auto"/>
        <w:rPr>
          <w:sz w:val="24"/>
        </w:rPr>
      </w:pPr>
      <w:r>
        <w:rPr>
          <w:sz w:val="24"/>
        </w:rPr>
        <w:t>（2）如本项目（包）专门面向中小/小微企业采购，须提供《中小企业声明函》</w:t>
      </w:r>
      <w:r>
        <w:rPr>
          <w:color w:val="000000"/>
          <w:sz w:val="24"/>
          <w:szCs w:val="20"/>
        </w:rPr>
        <w:t>（实质性格式）</w:t>
      </w:r>
      <w:r>
        <w:rPr>
          <w:sz w:val="24"/>
        </w:rPr>
        <w:t>。</w:t>
      </w:r>
    </w:p>
    <w:p w14:paraId="79BF906E">
      <w:pPr>
        <w:tabs>
          <w:tab w:val="left" w:pos="5580"/>
        </w:tabs>
        <w:spacing w:line="360" w:lineRule="auto"/>
        <w:rPr>
          <w:sz w:val="24"/>
        </w:rPr>
      </w:pPr>
      <w:r>
        <w:rPr>
          <w:sz w:val="24"/>
        </w:rPr>
        <w:t>（3）如本项目（包）预留部分采购项目预算专门面向中小企业采购，要求供应商以联合体形式参加采购活动，且联合体中中小企业承担的部分达到一定比例的，须提供《联合协议》；要求获得采购合同的供应商将采购项目中的一定比例分包给一家或者多家中小企业的，须提供《拟分包情况说明及分包意向协议（类型一）》。</w:t>
      </w:r>
    </w:p>
    <w:p w14:paraId="4514D83A">
      <w:pPr>
        <w:tabs>
          <w:tab w:val="left" w:pos="5580"/>
        </w:tabs>
        <w:spacing w:line="360" w:lineRule="auto"/>
        <w:rPr>
          <w:sz w:val="24"/>
        </w:rPr>
      </w:pPr>
      <w:r>
        <w:rPr>
          <w:rFonts w:hint="eastAsia"/>
          <w:sz w:val="24"/>
        </w:rPr>
        <w:t>（4）其他</w:t>
      </w:r>
    </w:p>
    <w:p w14:paraId="4BB8041C">
      <w:pPr>
        <w:tabs>
          <w:tab w:val="left" w:pos="5580"/>
        </w:tabs>
        <w:spacing w:line="360" w:lineRule="auto"/>
        <w:rPr>
          <w:sz w:val="24"/>
        </w:rPr>
      </w:pPr>
      <w:r>
        <w:rPr>
          <w:rFonts w:hint="eastAsia"/>
          <w:sz w:val="24"/>
        </w:rPr>
        <w:t>1）中小企业参加政府采购活动，应当出具此格式文件。《中小企业声明函》由参加政府采购活动的投标人出具。联合体投标的，《中小企业声明函》由牵头人出具。</w:t>
      </w:r>
    </w:p>
    <w:p w14:paraId="6D82743F">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项目名称”部分标明联合体中中小企业承担的具体内容或者中小企业的具体分包内容。</w:t>
      </w:r>
    </w:p>
    <w:p w14:paraId="40B27911">
      <w:pPr>
        <w:tabs>
          <w:tab w:val="left" w:pos="5580"/>
        </w:tabs>
        <w:spacing w:line="360" w:lineRule="auto"/>
        <w:rPr>
          <w:sz w:val="24"/>
        </w:rPr>
      </w:pPr>
      <w:r>
        <w:rPr>
          <w:rFonts w:hint="eastAsia"/>
          <w:sz w:val="24"/>
        </w:rPr>
        <w:t>3）对于多标的的采购项目，投标人应充分、准确地了解所投产品制造企业信息。对相关情况了解不清楚的，不建议填报本声明函。</w:t>
      </w:r>
    </w:p>
    <w:p w14:paraId="19DB5579">
      <w:pPr>
        <w:tabs>
          <w:tab w:val="left" w:pos="5580"/>
        </w:tabs>
        <w:spacing w:line="360" w:lineRule="auto"/>
        <w:rPr>
          <w:sz w:val="24"/>
        </w:rPr>
      </w:pPr>
      <w:r>
        <w:rPr>
          <w:rFonts w:hint="eastAsia"/>
          <w:sz w:val="24"/>
        </w:rPr>
        <w:t>（5）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14:paraId="12DCD859">
      <w:pPr>
        <w:pStyle w:val="4"/>
        <w:spacing w:line="360" w:lineRule="auto"/>
        <w:ind w:firstLine="0"/>
        <w:rPr>
          <w:rFonts w:ascii="Times New Roman"/>
        </w:rPr>
      </w:pPr>
      <w:r>
        <w:rPr>
          <w:rFonts w:hint="eastAsia" w:ascii="Times New Roman"/>
        </w:rPr>
        <w:t>（6）项目属性为货物的项目里如涉及相关服务，在中小企业声明函中无需体现服务内容，项目属性为服务的项目里面如涉及相关货物，在中小企业声明函中无需体现货物内容</w:t>
      </w:r>
    </w:p>
    <w:p w14:paraId="0E6AC3B3">
      <w:pPr>
        <w:pStyle w:val="4"/>
        <w:spacing w:line="360" w:lineRule="auto"/>
        <w:rPr>
          <w:rFonts w:ascii="Times New Roman"/>
        </w:rPr>
      </w:pPr>
      <w:r>
        <w:rPr>
          <w:rFonts w:hint="eastAsia" w:ascii="Times New Roman"/>
        </w:rPr>
        <w:t>项目属性：报价分值≥30分为货物，报价分值＜30分为服务</w:t>
      </w:r>
      <w:r>
        <w:br w:type="page"/>
      </w:r>
    </w:p>
    <w:p w14:paraId="30E25B1B">
      <w:pPr>
        <w:spacing w:before="240" w:beforeLines="100" w:after="240" w:afterLines="100" w:line="360" w:lineRule="auto"/>
        <w:jc w:val="center"/>
        <w:rPr>
          <w:b/>
          <w:color w:val="000000"/>
          <w:sz w:val="36"/>
          <w:szCs w:val="36"/>
        </w:rPr>
      </w:pPr>
      <w:r>
        <w:rPr>
          <w:rFonts w:hint="eastAsia"/>
          <w:b/>
          <w:bCs/>
          <w:color w:val="000000"/>
          <w:sz w:val="36"/>
          <w:szCs w:val="36"/>
        </w:rPr>
        <w:t>中小企业声明函（货物）格式</w:t>
      </w:r>
    </w:p>
    <w:p w14:paraId="76CDF3AC">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5609F7A8">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576ED0B4">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51498014">
      <w:pPr>
        <w:spacing w:line="360" w:lineRule="auto"/>
        <w:ind w:firstLine="504"/>
        <w:rPr>
          <w:spacing w:val="6"/>
          <w:sz w:val="24"/>
        </w:rPr>
      </w:pPr>
      <w:r>
        <w:rPr>
          <w:spacing w:val="6"/>
          <w:sz w:val="24"/>
        </w:rPr>
        <w:t>……</w:t>
      </w:r>
    </w:p>
    <w:p w14:paraId="0BC34E5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5EA0451A">
      <w:pPr>
        <w:spacing w:line="360" w:lineRule="auto"/>
        <w:ind w:firstLine="504"/>
        <w:rPr>
          <w:spacing w:val="6"/>
          <w:sz w:val="24"/>
        </w:rPr>
      </w:pPr>
      <w:r>
        <w:rPr>
          <w:spacing w:val="6"/>
          <w:sz w:val="24"/>
        </w:rPr>
        <w:t>本企业对上述声明内容的真实性负责。如有虚假，将依法承担相应责任。</w:t>
      </w:r>
    </w:p>
    <w:p w14:paraId="4587E1D1">
      <w:pPr>
        <w:spacing w:line="360" w:lineRule="auto"/>
        <w:ind w:firstLine="504"/>
        <w:rPr>
          <w:spacing w:val="6"/>
          <w:sz w:val="24"/>
        </w:rPr>
      </w:pPr>
    </w:p>
    <w:p w14:paraId="08EEF3EF">
      <w:pPr>
        <w:spacing w:line="360" w:lineRule="auto"/>
        <w:ind w:right="360" w:firstLine="480"/>
        <w:jc w:val="right"/>
        <w:rPr>
          <w:color w:val="000000"/>
          <w:sz w:val="24"/>
        </w:rPr>
      </w:pPr>
      <w:r>
        <w:rPr>
          <w:color w:val="000000"/>
          <w:sz w:val="24"/>
        </w:rPr>
        <w:t>企业名称（盖章）：________</w:t>
      </w:r>
    </w:p>
    <w:p w14:paraId="5210C59B">
      <w:pPr>
        <w:spacing w:line="360" w:lineRule="auto"/>
        <w:ind w:right="360" w:firstLine="480"/>
        <w:jc w:val="right"/>
        <w:rPr>
          <w:color w:val="000000"/>
          <w:sz w:val="24"/>
        </w:rPr>
      </w:pPr>
      <w:r>
        <w:rPr>
          <w:color w:val="000000"/>
          <w:sz w:val="24"/>
        </w:rPr>
        <w:t>日 期：________</w:t>
      </w:r>
    </w:p>
    <w:p w14:paraId="6879A479">
      <w:pPr>
        <w:spacing w:line="360" w:lineRule="auto"/>
        <w:ind w:right="360" w:firstLine="480"/>
        <w:jc w:val="right"/>
        <w:rPr>
          <w:color w:val="000000"/>
          <w:sz w:val="24"/>
        </w:rPr>
      </w:pPr>
    </w:p>
    <w:p w14:paraId="1DA795A5">
      <w:pPr>
        <w:spacing w:line="360" w:lineRule="auto"/>
        <w:ind w:right="360" w:firstLine="480"/>
        <w:jc w:val="right"/>
        <w:rPr>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32365385">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41248CB2">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692EDA66">
      <w:pPr>
        <w:autoSpaceDE w:val="0"/>
        <w:autoSpaceDN w:val="0"/>
        <w:adjustRightInd w:val="0"/>
        <w:ind w:firstLine="420"/>
        <w:jc w:val="left"/>
        <w:rPr>
          <w:sz w:val="24"/>
        </w:rPr>
      </w:pPr>
    </w:p>
    <w:p w14:paraId="457D6707">
      <w:pPr>
        <w:spacing w:line="360" w:lineRule="auto"/>
        <w:rPr>
          <w:color w:val="000000"/>
          <w:sz w:val="24"/>
        </w:rPr>
      </w:pPr>
    </w:p>
    <w:p w14:paraId="76E64790">
      <w:pPr>
        <w:spacing w:before="240" w:beforeLines="100" w:after="240" w:afterLines="100" w:line="360" w:lineRule="auto"/>
        <w:jc w:val="center"/>
        <w:rPr>
          <w:b/>
          <w:bCs/>
          <w:color w:val="000000"/>
          <w:sz w:val="36"/>
          <w:szCs w:val="36"/>
        </w:rPr>
      </w:pPr>
      <w:r>
        <w:rPr>
          <w:color w:val="000000"/>
          <w:sz w:val="24"/>
        </w:rPr>
        <w:br w:type="page"/>
      </w:r>
      <w:r>
        <w:rPr>
          <w:rFonts w:hint="eastAsia"/>
          <w:b/>
          <w:bCs/>
          <w:color w:val="000000"/>
          <w:sz w:val="36"/>
          <w:szCs w:val="36"/>
        </w:rPr>
        <w:t>中小企业声明函（工程、服务）格式</w:t>
      </w:r>
    </w:p>
    <w:p w14:paraId="7B545F36">
      <w:pPr>
        <w:spacing w:line="360" w:lineRule="auto"/>
        <w:ind w:firstLine="504"/>
        <w:rPr>
          <w:spacing w:val="6"/>
          <w:sz w:val="24"/>
        </w:rPr>
      </w:pPr>
      <w:r>
        <w:rPr>
          <w:spacing w:val="6"/>
          <w:sz w:val="24"/>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6ED59D37">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w:t>
      </w:r>
      <w:r>
        <w:rPr>
          <w:spacing w:val="6"/>
          <w:sz w:val="24"/>
          <w:vertAlign w:val="superscript"/>
        </w:rPr>
        <w:t>1</w:t>
      </w:r>
      <w:r>
        <w:rPr>
          <w:spacing w:val="6"/>
          <w:sz w:val="24"/>
        </w:rPr>
        <w:t>，属于（中型企业、小型企业、微型企业）；</w:t>
      </w:r>
    </w:p>
    <w:p w14:paraId="13FD37E7">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，从业人员______人，营业收入为______万元，资产总额为______万元，属于</w:t>
      </w:r>
      <w:r>
        <w:rPr>
          <w:spacing w:val="6"/>
          <w:sz w:val="24"/>
          <w:u w:val="single"/>
        </w:rPr>
        <w:t>（中型企业、小型企业、微型企业）</w:t>
      </w:r>
      <w:r>
        <w:rPr>
          <w:spacing w:val="6"/>
          <w:sz w:val="24"/>
        </w:rPr>
        <w:t>；</w:t>
      </w:r>
    </w:p>
    <w:p w14:paraId="74564233">
      <w:pPr>
        <w:spacing w:line="360" w:lineRule="auto"/>
        <w:ind w:firstLine="504"/>
        <w:rPr>
          <w:spacing w:val="6"/>
          <w:sz w:val="24"/>
        </w:rPr>
      </w:pPr>
    </w:p>
    <w:p w14:paraId="2C36A1F4">
      <w:pPr>
        <w:spacing w:line="360" w:lineRule="auto"/>
        <w:ind w:firstLine="504"/>
        <w:rPr>
          <w:spacing w:val="6"/>
          <w:sz w:val="24"/>
        </w:rPr>
      </w:pPr>
      <w:r>
        <w:rPr>
          <w:spacing w:val="6"/>
          <w:sz w:val="24"/>
        </w:rPr>
        <w:t>……</w:t>
      </w:r>
    </w:p>
    <w:p w14:paraId="46EFD832">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45C5BC">
      <w:pPr>
        <w:spacing w:line="360" w:lineRule="auto"/>
        <w:ind w:firstLine="504"/>
        <w:rPr>
          <w:spacing w:val="6"/>
          <w:sz w:val="24"/>
        </w:rPr>
      </w:pPr>
      <w:r>
        <w:rPr>
          <w:spacing w:val="6"/>
          <w:sz w:val="24"/>
        </w:rPr>
        <w:t>本企业对上述声明内容的真实性负责。如有虚假，将依法承担相应责任。</w:t>
      </w:r>
    </w:p>
    <w:p w14:paraId="61BFB9C0">
      <w:pPr>
        <w:spacing w:line="360" w:lineRule="auto"/>
        <w:ind w:right="360" w:firstLine="480"/>
        <w:jc w:val="right"/>
        <w:rPr>
          <w:color w:val="000000"/>
          <w:sz w:val="24"/>
        </w:rPr>
      </w:pPr>
    </w:p>
    <w:p w14:paraId="1345EFB7">
      <w:pPr>
        <w:spacing w:line="360" w:lineRule="auto"/>
        <w:ind w:right="360" w:firstLine="480"/>
        <w:jc w:val="right"/>
        <w:rPr>
          <w:color w:val="000000"/>
          <w:sz w:val="24"/>
        </w:rPr>
      </w:pPr>
      <w:r>
        <w:rPr>
          <w:color w:val="000000"/>
          <w:sz w:val="24"/>
        </w:rPr>
        <w:t>企业名称（盖章）：________</w:t>
      </w:r>
    </w:p>
    <w:p w14:paraId="7D0A07B5">
      <w:pPr>
        <w:spacing w:line="360" w:lineRule="auto"/>
        <w:ind w:right="360" w:firstLine="480"/>
        <w:jc w:val="right"/>
        <w:rPr>
          <w:color w:val="000000"/>
          <w:sz w:val="24"/>
        </w:rPr>
      </w:pPr>
      <w:r>
        <w:rPr>
          <w:color w:val="000000"/>
          <w:sz w:val="24"/>
        </w:rPr>
        <w:t>日 期：________</w:t>
      </w:r>
    </w:p>
    <w:p w14:paraId="04D6AEDB">
      <w:pPr>
        <w:adjustRightInd w:val="0"/>
        <w:snapToGrid w:val="0"/>
        <w:jc w:val="left"/>
        <w:rPr>
          <w:color w:val="000000"/>
          <w:sz w:val="24"/>
          <w:szCs w:val="21"/>
        </w:rPr>
      </w:pPr>
    </w:p>
    <w:p w14:paraId="3AFEC407">
      <w:pPr>
        <w:adjustRightInd w:val="0"/>
        <w:snapToGrid w:val="0"/>
        <w:jc w:val="left"/>
        <w:rPr>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21A3AED2">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5AB30A6C">
            <w:pPr>
              <w:adjustRightInd w:val="0"/>
              <w:snapToGrid w:val="0"/>
              <w:jc w:val="left"/>
              <w:rPr>
                <w:color w:val="000000"/>
                <w:szCs w:val="21"/>
              </w:rPr>
            </w:pPr>
            <w:r>
              <w:rPr>
                <w:color w:val="000000"/>
                <w:szCs w:val="21"/>
                <w:vertAlign w:val="superscript"/>
              </w:rPr>
              <w:t>1</w:t>
            </w:r>
            <w:r>
              <w:rPr>
                <w:color w:val="000000"/>
                <w:szCs w:val="21"/>
              </w:rPr>
              <w:t>从业人员、营业收入、资产总额填报上一年度数据，无上一年度数据的新成立企业可不填报。</w:t>
            </w:r>
          </w:p>
        </w:tc>
      </w:tr>
    </w:tbl>
    <w:p w14:paraId="1F76831C">
      <w:pPr>
        <w:adjustRightInd w:val="0"/>
        <w:snapToGrid w:val="0"/>
        <w:jc w:val="left"/>
        <w:rPr>
          <w:color w:val="000000"/>
          <w:szCs w:val="21"/>
          <w:vertAlign w:val="superscript"/>
        </w:rPr>
      </w:pPr>
    </w:p>
    <w:p w14:paraId="20909454">
      <w:pPr>
        <w:spacing w:line="360" w:lineRule="auto"/>
        <w:ind w:right="360" w:firstLine="480"/>
        <w:jc w:val="right"/>
        <w:rPr>
          <w:color w:val="000000"/>
          <w:sz w:val="24"/>
        </w:rPr>
      </w:pPr>
    </w:p>
    <w:p w14:paraId="6597151C">
      <w:pPr>
        <w:spacing w:line="360" w:lineRule="auto"/>
        <w:ind w:right="360" w:firstLine="480"/>
        <w:jc w:val="right"/>
        <w:rPr>
          <w:color w:val="000000"/>
          <w:sz w:val="24"/>
        </w:rPr>
      </w:pPr>
    </w:p>
    <w:p w14:paraId="7011AEA8">
      <w:pPr>
        <w:spacing w:line="360" w:lineRule="auto"/>
        <w:outlineLvl w:val="2"/>
        <w:rPr>
          <w:color w:val="000000"/>
          <w:sz w:val="24"/>
          <w:szCs w:val="20"/>
        </w:rPr>
      </w:pPr>
      <w:r>
        <w:rPr>
          <w:color w:val="000000"/>
          <w:sz w:val="24"/>
          <w:szCs w:val="20"/>
        </w:rPr>
        <w:br w:type="page"/>
      </w:r>
    </w:p>
    <w:p w14:paraId="71665AEA">
      <w:pPr>
        <w:spacing w:before="240" w:beforeLines="100" w:after="240" w:afterLines="100" w:line="360" w:lineRule="auto"/>
        <w:jc w:val="center"/>
        <w:rPr>
          <w:b/>
          <w:color w:val="000000"/>
          <w:sz w:val="36"/>
          <w:szCs w:val="36"/>
        </w:rPr>
      </w:pPr>
      <w:r>
        <w:rPr>
          <w:rFonts w:hint="eastAsia"/>
          <w:b/>
          <w:bCs/>
          <w:color w:val="000000"/>
          <w:sz w:val="36"/>
          <w:szCs w:val="36"/>
        </w:rPr>
        <w:t>残疾人福利性单位声明函格式</w:t>
      </w:r>
      <w:r>
        <w:rPr>
          <w:b/>
          <w:color w:val="000000"/>
          <w:sz w:val="36"/>
          <w:szCs w:val="36"/>
        </w:rPr>
        <w:t xml:space="preserve">       </w:t>
      </w:r>
    </w:p>
    <w:p w14:paraId="7EBAB4D2">
      <w:pPr>
        <w:spacing w:line="588" w:lineRule="exact"/>
        <w:ind w:firstLine="504"/>
        <w:rPr>
          <w:spacing w:val="6"/>
          <w:sz w:val="24"/>
        </w:rPr>
      </w:pPr>
      <w:r>
        <w:rPr>
          <w:spacing w:val="6"/>
          <w:sz w:val="24"/>
        </w:rPr>
        <w:t>本单位郑重声明，根据《财政部 民政部 中国残疾人联合会关于促进残疾人就业政府采购政策的通知》（财库</w:t>
      </w:r>
      <w:r>
        <w:rPr>
          <w:sz w:val="24"/>
        </w:rPr>
        <w:t>〔2017〕 141</w:t>
      </w:r>
      <w:r>
        <w:rPr>
          <w:spacing w:val="6"/>
          <w:sz w:val="24"/>
        </w:rPr>
        <w:t>号）的规定，本单位</w:t>
      </w:r>
      <w:r>
        <w:rPr>
          <w:b/>
          <w:sz w:val="24"/>
        </w:rPr>
        <w:t>（请进行勾选）</w:t>
      </w:r>
      <w:r>
        <w:rPr>
          <w:spacing w:val="6"/>
          <w:sz w:val="24"/>
        </w:rPr>
        <w:t>：</w:t>
      </w:r>
    </w:p>
    <w:p w14:paraId="5BB7D931">
      <w:pPr>
        <w:spacing w:line="588" w:lineRule="exact"/>
        <w:ind w:firstLine="482"/>
        <w:rPr>
          <w:b/>
          <w:spacing w:val="6"/>
          <w:sz w:val="24"/>
        </w:rPr>
      </w:pPr>
      <w:r>
        <w:rPr>
          <w:b/>
          <w:sz w:val="24"/>
        </w:rPr>
        <w:t>□</w:t>
      </w:r>
      <w:r>
        <w:rPr>
          <w:b/>
          <w:spacing w:val="6"/>
          <w:sz w:val="24"/>
        </w:rPr>
        <w:t>不属于符合条件的残疾人福利性单位。</w:t>
      </w:r>
    </w:p>
    <w:p w14:paraId="37142536">
      <w:pPr>
        <w:spacing w:line="588" w:lineRule="exact"/>
        <w:ind w:firstLine="482"/>
        <w:rPr>
          <w:spacing w:val="6"/>
          <w:sz w:val="24"/>
        </w:rPr>
      </w:pPr>
      <w:r>
        <w:rPr>
          <w:b/>
          <w:sz w:val="24"/>
        </w:rPr>
        <w:t>□</w:t>
      </w:r>
      <w:r>
        <w:rPr>
          <w:b/>
          <w:spacing w:val="6"/>
          <w:sz w:val="24"/>
        </w:rPr>
        <w:t>属于符合条件的残疾人福利性单位，</w:t>
      </w:r>
      <w:r>
        <w:rPr>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1AE45E7D">
      <w:pPr>
        <w:spacing w:line="588" w:lineRule="exact"/>
        <w:ind w:firstLine="506" w:firstLineChars="200"/>
        <w:rPr>
          <w:spacing w:val="6"/>
          <w:sz w:val="24"/>
        </w:rPr>
      </w:pPr>
      <w:r>
        <w:rPr>
          <w:b/>
          <w:spacing w:val="6"/>
          <w:sz w:val="24"/>
        </w:rPr>
        <w:t>本单位对上述声明的真实性负责。如有虚假，将依法承担相应责任。</w:t>
      </w:r>
    </w:p>
    <w:p w14:paraId="46099B08">
      <w:pPr>
        <w:spacing w:line="588" w:lineRule="exact"/>
        <w:ind w:firstLine="504" w:firstLineChars="200"/>
        <w:rPr>
          <w:spacing w:val="6"/>
          <w:sz w:val="24"/>
        </w:rPr>
      </w:pPr>
    </w:p>
    <w:p w14:paraId="798D4F87">
      <w:pPr>
        <w:spacing w:line="588" w:lineRule="exact"/>
        <w:ind w:firstLine="504" w:firstLineChars="200"/>
        <w:rPr>
          <w:spacing w:val="6"/>
          <w:sz w:val="24"/>
        </w:rPr>
      </w:pPr>
    </w:p>
    <w:p w14:paraId="3D30F524">
      <w:pPr>
        <w:tabs>
          <w:tab w:val="left" w:pos="4860"/>
        </w:tabs>
        <w:spacing w:line="588" w:lineRule="exact"/>
        <w:ind w:right="1560" w:firstLine="504" w:firstLineChars="200"/>
        <w:jc w:val="center"/>
        <w:rPr>
          <w:spacing w:val="6"/>
          <w:sz w:val="24"/>
        </w:rPr>
      </w:pPr>
      <w:r>
        <w:rPr>
          <w:spacing w:val="6"/>
          <w:sz w:val="24"/>
        </w:rPr>
        <w:t xml:space="preserve">               单位名称（盖章）：</w:t>
      </w:r>
    </w:p>
    <w:p w14:paraId="1A392CBD">
      <w:pPr>
        <w:tabs>
          <w:tab w:val="left" w:pos="4860"/>
        </w:tabs>
        <w:spacing w:line="588" w:lineRule="exact"/>
        <w:ind w:right="1560" w:firstLine="504" w:firstLineChars="200"/>
        <w:jc w:val="center"/>
        <w:rPr>
          <w:spacing w:val="6"/>
          <w:sz w:val="24"/>
        </w:rPr>
      </w:pPr>
      <w:r>
        <w:rPr>
          <w:spacing w:val="6"/>
          <w:sz w:val="24"/>
        </w:rPr>
        <w:t xml:space="preserve">       日  期：</w:t>
      </w:r>
    </w:p>
    <w:p w14:paraId="1E760D27">
      <w:pPr>
        <w:widowControl/>
        <w:jc w:val="left"/>
        <w:rPr>
          <w:color w:val="000000"/>
          <w:sz w:val="24"/>
          <w:szCs w:val="20"/>
        </w:rPr>
      </w:pPr>
      <w:r>
        <w:rPr>
          <w:color w:val="000000"/>
          <w:sz w:val="24"/>
          <w:szCs w:val="20"/>
        </w:rPr>
        <w:br w:type="page"/>
      </w:r>
    </w:p>
    <w:p w14:paraId="31E35761">
      <w:pPr>
        <w:spacing w:line="360" w:lineRule="auto"/>
        <w:outlineLvl w:val="2"/>
        <w:rPr>
          <w:color w:val="000000"/>
          <w:sz w:val="24"/>
          <w:szCs w:val="20"/>
        </w:rPr>
      </w:pPr>
      <w:r>
        <w:rPr>
          <w:color w:val="000000"/>
          <w:sz w:val="24"/>
          <w:szCs w:val="20"/>
        </w:rPr>
        <w:t>2-2拟分包情况说明及分包意向协议（类型一）（实质性格式）</w:t>
      </w:r>
    </w:p>
    <w:p w14:paraId="799BDF47">
      <w:pPr>
        <w:autoSpaceDE w:val="0"/>
        <w:autoSpaceDN w:val="0"/>
        <w:adjustRightInd w:val="0"/>
        <w:jc w:val="center"/>
        <w:rPr>
          <w:color w:val="000000"/>
          <w:sz w:val="30"/>
          <w:szCs w:val="30"/>
        </w:rPr>
      </w:pPr>
    </w:p>
    <w:p w14:paraId="6BD1AC17">
      <w:pPr>
        <w:autoSpaceDE w:val="0"/>
        <w:autoSpaceDN w:val="0"/>
        <w:adjustRightInd w:val="0"/>
        <w:spacing w:line="360" w:lineRule="auto"/>
        <w:jc w:val="center"/>
        <w:rPr>
          <w:b/>
          <w:color w:val="000000"/>
          <w:sz w:val="36"/>
          <w:szCs w:val="36"/>
        </w:rPr>
      </w:pPr>
      <w:r>
        <w:rPr>
          <w:rFonts w:hint="eastAsia"/>
          <w:b/>
          <w:color w:val="000000"/>
          <w:sz w:val="36"/>
          <w:szCs w:val="36"/>
        </w:rPr>
        <w:t>拟分包情况说明（如有）</w:t>
      </w:r>
    </w:p>
    <w:p w14:paraId="65C3CD96">
      <w:pPr>
        <w:tabs>
          <w:tab w:val="left" w:pos="5580"/>
        </w:tabs>
        <w:spacing w:line="360" w:lineRule="auto"/>
        <w:rPr>
          <w:color w:val="000000"/>
          <w:sz w:val="24"/>
        </w:rPr>
      </w:pPr>
      <w:r>
        <w:rPr>
          <w:color w:val="000000"/>
          <w:sz w:val="24"/>
        </w:rPr>
        <w:t>致：</w:t>
      </w:r>
      <w:r>
        <w:rPr>
          <w:color w:val="000000"/>
          <w:sz w:val="24"/>
          <w:u w:val="single"/>
        </w:rPr>
        <w:t>（采购人或采购代理机构）</w:t>
      </w:r>
    </w:p>
    <w:p w14:paraId="23B2EE9A">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374BE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22784E22">
            <w:pPr>
              <w:pStyle w:val="260"/>
              <w:jc w:val="center"/>
              <w:rPr>
                <w:rFonts w:hint="eastAsia"/>
                <w:sz w:val="24"/>
              </w:rPr>
            </w:pPr>
            <w:r>
              <w:rPr>
                <w:sz w:val="24"/>
              </w:rPr>
              <w:t>序号</w:t>
            </w:r>
          </w:p>
        </w:tc>
        <w:tc>
          <w:tcPr>
            <w:tcW w:w="1287" w:type="dxa"/>
            <w:vAlign w:val="center"/>
          </w:tcPr>
          <w:p w14:paraId="7C5A2D10">
            <w:pPr>
              <w:pStyle w:val="260"/>
              <w:jc w:val="center"/>
              <w:rPr>
                <w:rFonts w:hint="eastAsia"/>
                <w:sz w:val="24"/>
              </w:rPr>
            </w:pPr>
            <w:r>
              <w:rPr>
                <w:sz w:val="24"/>
              </w:rPr>
              <w:t>分包承担</w:t>
            </w:r>
          </w:p>
          <w:p w14:paraId="2A7FC04A">
            <w:pPr>
              <w:pStyle w:val="260"/>
              <w:jc w:val="center"/>
              <w:rPr>
                <w:rFonts w:hint="eastAsia"/>
                <w:sz w:val="24"/>
              </w:rPr>
            </w:pPr>
            <w:r>
              <w:rPr>
                <w:sz w:val="24"/>
              </w:rPr>
              <w:t>主体名称</w:t>
            </w:r>
          </w:p>
        </w:tc>
        <w:tc>
          <w:tcPr>
            <w:tcW w:w="1513" w:type="dxa"/>
            <w:vAlign w:val="center"/>
          </w:tcPr>
          <w:p w14:paraId="0200ABEE">
            <w:pPr>
              <w:pStyle w:val="260"/>
              <w:jc w:val="center"/>
              <w:rPr>
                <w:rFonts w:hint="eastAsia"/>
                <w:sz w:val="24"/>
                <w:lang w:eastAsia="zh-CN"/>
              </w:rPr>
            </w:pPr>
            <w:r>
              <w:rPr>
                <w:sz w:val="24"/>
                <w:lang w:eastAsia="zh-CN"/>
              </w:rPr>
              <w:t>分包承担</w:t>
            </w:r>
          </w:p>
          <w:p w14:paraId="6ED08327">
            <w:pPr>
              <w:pStyle w:val="260"/>
              <w:jc w:val="center"/>
              <w:rPr>
                <w:rFonts w:hint="eastAsia"/>
                <w:sz w:val="24"/>
                <w:lang w:eastAsia="zh-CN"/>
              </w:rPr>
            </w:pPr>
            <w:r>
              <w:rPr>
                <w:sz w:val="24"/>
                <w:lang w:eastAsia="zh-CN"/>
              </w:rPr>
              <w:t>主体类型</w:t>
            </w:r>
          </w:p>
          <w:p w14:paraId="50446A21">
            <w:pPr>
              <w:pStyle w:val="260"/>
              <w:jc w:val="center"/>
              <w:rPr>
                <w:rFonts w:hint="eastAsia"/>
                <w:sz w:val="24"/>
                <w:lang w:eastAsia="zh-CN"/>
              </w:rPr>
            </w:pPr>
            <w:r>
              <w:rPr>
                <w:rFonts w:hint="eastAsia"/>
                <w:sz w:val="24"/>
                <w:lang w:eastAsia="zh-CN"/>
              </w:rPr>
              <w:t>（勾选）</w:t>
            </w:r>
          </w:p>
        </w:tc>
        <w:tc>
          <w:tcPr>
            <w:tcW w:w="1125" w:type="dxa"/>
            <w:vAlign w:val="center"/>
          </w:tcPr>
          <w:p w14:paraId="6BA8413D">
            <w:pPr>
              <w:pStyle w:val="260"/>
              <w:jc w:val="center"/>
              <w:rPr>
                <w:rFonts w:hint="eastAsia"/>
                <w:sz w:val="24"/>
              </w:rPr>
            </w:pPr>
            <w:r>
              <w:rPr>
                <w:sz w:val="24"/>
              </w:rPr>
              <w:t>资质等级</w:t>
            </w:r>
          </w:p>
        </w:tc>
        <w:tc>
          <w:tcPr>
            <w:tcW w:w="1561" w:type="dxa"/>
            <w:vAlign w:val="center"/>
          </w:tcPr>
          <w:p w14:paraId="30DBA56A">
            <w:pPr>
              <w:pStyle w:val="260"/>
              <w:jc w:val="center"/>
              <w:rPr>
                <w:rFonts w:hint="eastAsia"/>
                <w:sz w:val="24"/>
              </w:rPr>
            </w:pPr>
            <w:r>
              <w:rPr>
                <w:sz w:val="24"/>
              </w:rPr>
              <w:t>拟分包</w:t>
            </w:r>
          </w:p>
          <w:p w14:paraId="7565AED8">
            <w:pPr>
              <w:pStyle w:val="260"/>
              <w:jc w:val="center"/>
              <w:rPr>
                <w:rFonts w:hint="eastAsia"/>
                <w:sz w:val="24"/>
              </w:rPr>
            </w:pPr>
            <w:r>
              <w:rPr>
                <w:sz w:val="24"/>
              </w:rPr>
              <w:t>合同内容</w:t>
            </w:r>
          </w:p>
        </w:tc>
        <w:tc>
          <w:tcPr>
            <w:tcW w:w="1498" w:type="dxa"/>
            <w:vAlign w:val="center"/>
          </w:tcPr>
          <w:p w14:paraId="58F17E6B">
            <w:pPr>
              <w:pStyle w:val="260"/>
              <w:jc w:val="center"/>
              <w:rPr>
                <w:rFonts w:hint="eastAsia"/>
                <w:sz w:val="24"/>
                <w:lang w:eastAsia="zh-CN"/>
              </w:rPr>
            </w:pPr>
            <w:r>
              <w:rPr>
                <w:sz w:val="24"/>
                <w:lang w:eastAsia="zh-CN"/>
              </w:rPr>
              <w:t>拟分包</w:t>
            </w:r>
          </w:p>
          <w:p w14:paraId="438BA2B7">
            <w:pPr>
              <w:pStyle w:val="260"/>
              <w:jc w:val="center"/>
              <w:rPr>
                <w:rFonts w:hint="eastAsia"/>
                <w:sz w:val="24"/>
                <w:lang w:eastAsia="zh-CN"/>
              </w:rPr>
            </w:pPr>
            <w:r>
              <w:rPr>
                <w:sz w:val="24"/>
                <w:lang w:eastAsia="zh-CN"/>
              </w:rPr>
              <w:t>合同金额</w:t>
            </w:r>
          </w:p>
          <w:p w14:paraId="5EEE2A22">
            <w:pPr>
              <w:pStyle w:val="260"/>
              <w:jc w:val="center"/>
              <w:rPr>
                <w:rFonts w:hint="eastAsia"/>
                <w:sz w:val="24"/>
                <w:lang w:eastAsia="zh-CN"/>
              </w:rPr>
            </w:pPr>
            <w:r>
              <w:rPr>
                <w:sz w:val="24"/>
                <w:lang w:eastAsia="zh-CN"/>
              </w:rPr>
              <w:t>（人民币元）</w:t>
            </w:r>
          </w:p>
        </w:tc>
        <w:tc>
          <w:tcPr>
            <w:tcW w:w="1564" w:type="dxa"/>
            <w:vAlign w:val="center"/>
          </w:tcPr>
          <w:p w14:paraId="71D34A84">
            <w:pPr>
              <w:pStyle w:val="260"/>
              <w:jc w:val="center"/>
              <w:rPr>
                <w:rFonts w:hint="eastAsia"/>
                <w:sz w:val="24"/>
                <w:lang w:eastAsia="zh-CN"/>
              </w:rPr>
            </w:pPr>
            <w:r>
              <w:rPr>
                <w:sz w:val="24"/>
                <w:lang w:eastAsia="zh-CN"/>
              </w:rPr>
              <w:t>占该采购包</w:t>
            </w:r>
          </w:p>
          <w:p w14:paraId="51DEA6EF">
            <w:pPr>
              <w:pStyle w:val="260"/>
              <w:jc w:val="center"/>
              <w:rPr>
                <w:rFonts w:hint="eastAsia"/>
                <w:b/>
                <w:sz w:val="24"/>
                <w:lang w:eastAsia="zh-CN"/>
              </w:rPr>
            </w:pPr>
            <w:r>
              <w:rPr>
                <w:rFonts w:hint="eastAsia"/>
                <w:b/>
                <w:sz w:val="24"/>
                <w:lang w:eastAsia="zh-CN"/>
              </w:rPr>
              <w:t>预算</w:t>
            </w:r>
            <w:r>
              <w:rPr>
                <w:b/>
                <w:sz w:val="24"/>
                <w:lang w:eastAsia="zh-CN"/>
              </w:rPr>
              <w:t>金额的</w:t>
            </w:r>
          </w:p>
          <w:p w14:paraId="65B6F7C3">
            <w:pPr>
              <w:pStyle w:val="260"/>
              <w:jc w:val="center"/>
              <w:rPr>
                <w:rFonts w:hint="eastAsia"/>
                <w:sz w:val="24"/>
                <w:lang w:eastAsia="zh-CN"/>
              </w:rPr>
            </w:pPr>
            <w:r>
              <w:rPr>
                <w:sz w:val="24"/>
                <w:lang w:eastAsia="zh-CN"/>
              </w:rPr>
              <w:t>比例</w:t>
            </w:r>
            <w:r>
              <w:rPr>
                <w:rFonts w:hint="eastAsia"/>
                <w:sz w:val="24"/>
                <w:lang w:eastAsia="zh-CN"/>
              </w:rPr>
              <w:t>（</w:t>
            </w:r>
            <w:r>
              <w:rPr>
                <w:rFonts w:ascii="Times New Roman" w:eastAsia="Times New Roman"/>
                <w:sz w:val="24"/>
                <w:lang w:eastAsia="zh-CN"/>
              </w:rPr>
              <w:t>%</w:t>
            </w:r>
            <w:r>
              <w:rPr>
                <w:rFonts w:hint="eastAsia"/>
                <w:sz w:val="24"/>
                <w:lang w:eastAsia="zh-CN"/>
              </w:rPr>
              <w:t>）</w:t>
            </w:r>
          </w:p>
        </w:tc>
      </w:tr>
      <w:tr w14:paraId="17407A7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59C55A9">
            <w:pPr>
              <w:pStyle w:val="260"/>
              <w:jc w:val="center"/>
              <w:rPr>
                <w:rFonts w:hint="eastAsia" w:ascii="Times New Roman"/>
                <w:sz w:val="24"/>
              </w:rPr>
            </w:pPr>
            <w:r>
              <w:rPr>
                <w:rFonts w:ascii="Times New Roman"/>
                <w:sz w:val="24"/>
              </w:rPr>
              <w:t>1</w:t>
            </w:r>
          </w:p>
        </w:tc>
        <w:tc>
          <w:tcPr>
            <w:tcW w:w="1287" w:type="dxa"/>
            <w:vAlign w:val="center"/>
          </w:tcPr>
          <w:p w14:paraId="098F247E">
            <w:pPr>
              <w:pStyle w:val="260"/>
              <w:jc w:val="center"/>
              <w:rPr>
                <w:rFonts w:ascii="Times New Roman" w:hAnsi="Times New Roman" w:cs="Times New Roman"/>
                <w:sz w:val="30"/>
              </w:rPr>
            </w:pPr>
          </w:p>
        </w:tc>
        <w:tc>
          <w:tcPr>
            <w:tcW w:w="1513" w:type="dxa"/>
            <w:vAlign w:val="center"/>
          </w:tcPr>
          <w:p w14:paraId="53779F0F">
            <w:pPr>
              <w:pStyle w:val="26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2F1DDF83">
            <w:pPr>
              <w:pStyle w:val="26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28146EFF">
            <w:pPr>
              <w:pStyle w:val="260"/>
              <w:jc w:val="center"/>
              <w:rPr>
                <w:rFonts w:hint="eastAsia" w:ascii="Times New Roman"/>
                <w:sz w:val="30"/>
                <w:lang w:eastAsia="zh-CN"/>
              </w:rPr>
            </w:pPr>
          </w:p>
        </w:tc>
        <w:tc>
          <w:tcPr>
            <w:tcW w:w="1561" w:type="dxa"/>
            <w:vAlign w:val="center"/>
          </w:tcPr>
          <w:p w14:paraId="32F2EE46">
            <w:pPr>
              <w:pStyle w:val="260"/>
              <w:jc w:val="center"/>
              <w:rPr>
                <w:rFonts w:hint="eastAsia" w:ascii="Times New Roman"/>
                <w:sz w:val="30"/>
                <w:lang w:eastAsia="zh-CN"/>
              </w:rPr>
            </w:pPr>
          </w:p>
        </w:tc>
        <w:tc>
          <w:tcPr>
            <w:tcW w:w="1498" w:type="dxa"/>
            <w:vAlign w:val="center"/>
          </w:tcPr>
          <w:p w14:paraId="2CABD1C4">
            <w:pPr>
              <w:pStyle w:val="260"/>
              <w:jc w:val="center"/>
              <w:rPr>
                <w:rFonts w:hint="eastAsia" w:ascii="Times New Roman"/>
                <w:sz w:val="30"/>
                <w:lang w:eastAsia="zh-CN"/>
              </w:rPr>
            </w:pPr>
          </w:p>
        </w:tc>
        <w:tc>
          <w:tcPr>
            <w:tcW w:w="1564" w:type="dxa"/>
            <w:vAlign w:val="center"/>
          </w:tcPr>
          <w:p w14:paraId="569B19FA">
            <w:pPr>
              <w:pStyle w:val="260"/>
              <w:jc w:val="center"/>
              <w:rPr>
                <w:rFonts w:hint="eastAsia" w:ascii="Times New Roman"/>
                <w:sz w:val="30"/>
                <w:lang w:eastAsia="zh-CN"/>
              </w:rPr>
            </w:pPr>
          </w:p>
        </w:tc>
      </w:tr>
      <w:tr w14:paraId="739F5C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1FA7F21E">
            <w:pPr>
              <w:pStyle w:val="260"/>
              <w:jc w:val="center"/>
              <w:rPr>
                <w:rFonts w:hint="eastAsia" w:ascii="Times New Roman"/>
                <w:sz w:val="24"/>
                <w:lang w:eastAsia="zh-CN"/>
              </w:rPr>
            </w:pPr>
            <w:r>
              <w:rPr>
                <w:rFonts w:hint="eastAsia" w:ascii="Times New Roman"/>
                <w:sz w:val="24"/>
                <w:lang w:eastAsia="zh-CN"/>
              </w:rPr>
              <w:t>2</w:t>
            </w:r>
          </w:p>
        </w:tc>
        <w:tc>
          <w:tcPr>
            <w:tcW w:w="1287" w:type="dxa"/>
            <w:vAlign w:val="center"/>
          </w:tcPr>
          <w:p w14:paraId="0900212C">
            <w:pPr>
              <w:pStyle w:val="260"/>
              <w:jc w:val="center"/>
              <w:rPr>
                <w:rFonts w:hint="eastAsia" w:ascii="Times New Roman"/>
                <w:sz w:val="30"/>
              </w:rPr>
            </w:pPr>
          </w:p>
        </w:tc>
        <w:tc>
          <w:tcPr>
            <w:tcW w:w="1513" w:type="dxa"/>
            <w:vAlign w:val="center"/>
          </w:tcPr>
          <w:p w14:paraId="65055845">
            <w:pPr>
              <w:pStyle w:val="26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□中型企业</w:t>
            </w:r>
          </w:p>
          <w:p w14:paraId="19182D41">
            <w:pPr>
              <w:pStyle w:val="26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tc>
        <w:tc>
          <w:tcPr>
            <w:tcW w:w="1125" w:type="dxa"/>
            <w:vAlign w:val="center"/>
          </w:tcPr>
          <w:p w14:paraId="4F8CD674">
            <w:pPr>
              <w:pStyle w:val="260"/>
              <w:jc w:val="center"/>
              <w:rPr>
                <w:rFonts w:hint="eastAsia" w:ascii="Times New Roman"/>
                <w:sz w:val="30"/>
                <w:lang w:eastAsia="zh-CN"/>
              </w:rPr>
            </w:pPr>
          </w:p>
        </w:tc>
        <w:tc>
          <w:tcPr>
            <w:tcW w:w="1561" w:type="dxa"/>
            <w:vAlign w:val="center"/>
          </w:tcPr>
          <w:p w14:paraId="690BF0B0">
            <w:pPr>
              <w:pStyle w:val="260"/>
              <w:jc w:val="center"/>
              <w:rPr>
                <w:rFonts w:hint="eastAsia" w:ascii="Times New Roman"/>
                <w:sz w:val="30"/>
                <w:lang w:eastAsia="zh-CN"/>
              </w:rPr>
            </w:pPr>
          </w:p>
        </w:tc>
        <w:tc>
          <w:tcPr>
            <w:tcW w:w="1498" w:type="dxa"/>
            <w:vAlign w:val="center"/>
          </w:tcPr>
          <w:p w14:paraId="0A1D73E5">
            <w:pPr>
              <w:pStyle w:val="260"/>
              <w:jc w:val="center"/>
              <w:rPr>
                <w:rFonts w:hint="eastAsia" w:ascii="Times New Roman"/>
                <w:sz w:val="30"/>
                <w:lang w:eastAsia="zh-CN"/>
              </w:rPr>
            </w:pPr>
          </w:p>
        </w:tc>
        <w:tc>
          <w:tcPr>
            <w:tcW w:w="1564" w:type="dxa"/>
            <w:vAlign w:val="center"/>
          </w:tcPr>
          <w:p w14:paraId="26F3D782">
            <w:pPr>
              <w:pStyle w:val="260"/>
              <w:jc w:val="center"/>
              <w:rPr>
                <w:rFonts w:hint="eastAsia" w:ascii="Times New Roman"/>
                <w:sz w:val="30"/>
                <w:lang w:eastAsia="zh-CN"/>
              </w:rPr>
            </w:pPr>
          </w:p>
        </w:tc>
      </w:tr>
      <w:tr w14:paraId="2340AB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43A70FDC">
            <w:pPr>
              <w:pStyle w:val="260"/>
              <w:jc w:val="center"/>
              <w:rPr>
                <w:rFonts w:hint="eastAsia" w:ascii="Times New Roman"/>
                <w:sz w:val="24"/>
                <w:lang w:eastAsia="zh-CN"/>
              </w:rPr>
            </w:pPr>
            <w:r>
              <w:rPr>
                <w:rFonts w:ascii="Times New Roman"/>
                <w:sz w:val="24"/>
                <w:lang w:eastAsia="zh-CN"/>
              </w:rPr>
              <w:t>…</w:t>
            </w:r>
          </w:p>
        </w:tc>
        <w:tc>
          <w:tcPr>
            <w:tcW w:w="1287" w:type="dxa"/>
            <w:vAlign w:val="center"/>
          </w:tcPr>
          <w:p w14:paraId="7B184E0C">
            <w:pPr>
              <w:pStyle w:val="260"/>
              <w:jc w:val="center"/>
              <w:rPr>
                <w:rFonts w:hint="eastAsia" w:ascii="Times New Roman"/>
                <w:sz w:val="30"/>
              </w:rPr>
            </w:pPr>
          </w:p>
        </w:tc>
        <w:tc>
          <w:tcPr>
            <w:tcW w:w="1513" w:type="dxa"/>
            <w:vAlign w:val="center"/>
          </w:tcPr>
          <w:p w14:paraId="6E772E79">
            <w:pPr>
              <w:pStyle w:val="260"/>
              <w:tabs>
                <w:tab w:val="left" w:pos="235"/>
              </w:tabs>
              <w:jc w:val="center"/>
              <w:rPr>
                <w:rFonts w:hint="eastAsia"/>
                <w:sz w:val="24"/>
              </w:rPr>
            </w:pPr>
          </w:p>
        </w:tc>
        <w:tc>
          <w:tcPr>
            <w:tcW w:w="1125" w:type="dxa"/>
            <w:vAlign w:val="center"/>
          </w:tcPr>
          <w:p w14:paraId="6D3ECB92">
            <w:pPr>
              <w:pStyle w:val="260"/>
              <w:jc w:val="center"/>
              <w:rPr>
                <w:rFonts w:hint="eastAsia" w:ascii="Times New Roman"/>
                <w:sz w:val="30"/>
              </w:rPr>
            </w:pPr>
          </w:p>
        </w:tc>
        <w:tc>
          <w:tcPr>
            <w:tcW w:w="1561" w:type="dxa"/>
            <w:vAlign w:val="center"/>
          </w:tcPr>
          <w:p w14:paraId="1D14845F">
            <w:pPr>
              <w:pStyle w:val="260"/>
              <w:jc w:val="center"/>
              <w:rPr>
                <w:rFonts w:hint="eastAsia" w:ascii="Times New Roman"/>
                <w:sz w:val="30"/>
              </w:rPr>
            </w:pPr>
          </w:p>
        </w:tc>
        <w:tc>
          <w:tcPr>
            <w:tcW w:w="1498" w:type="dxa"/>
            <w:vAlign w:val="center"/>
          </w:tcPr>
          <w:p w14:paraId="3726EC61">
            <w:pPr>
              <w:pStyle w:val="260"/>
              <w:jc w:val="center"/>
              <w:rPr>
                <w:rFonts w:hint="eastAsia" w:ascii="Times New Roman"/>
                <w:sz w:val="30"/>
              </w:rPr>
            </w:pPr>
          </w:p>
        </w:tc>
        <w:tc>
          <w:tcPr>
            <w:tcW w:w="1564" w:type="dxa"/>
            <w:vAlign w:val="center"/>
          </w:tcPr>
          <w:p w14:paraId="6B472418">
            <w:pPr>
              <w:pStyle w:val="260"/>
              <w:jc w:val="center"/>
              <w:rPr>
                <w:rFonts w:hint="eastAsia" w:ascii="Times New Roman"/>
                <w:sz w:val="30"/>
              </w:rPr>
            </w:pPr>
          </w:p>
        </w:tc>
      </w:tr>
      <w:tr w14:paraId="12AE54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2F76E55">
            <w:pPr>
              <w:pStyle w:val="260"/>
              <w:ind w:right="57" w:rightChars="27"/>
              <w:jc w:val="right"/>
              <w:rPr>
                <w:rFonts w:hint="eastAsia"/>
                <w:sz w:val="24"/>
                <w:lang w:eastAsia="zh-CN"/>
              </w:rPr>
            </w:pPr>
            <w:r>
              <w:rPr>
                <w:rFonts w:hint="eastAsia"/>
                <w:sz w:val="24"/>
                <w:lang w:eastAsia="zh-CN"/>
              </w:rPr>
              <w:t>合计：</w:t>
            </w:r>
          </w:p>
        </w:tc>
        <w:tc>
          <w:tcPr>
            <w:tcW w:w="1498" w:type="dxa"/>
            <w:vAlign w:val="center"/>
          </w:tcPr>
          <w:p w14:paraId="69505472">
            <w:pPr>
              <w:pStyle w:val="260"/>
              <w:jc w:val="center"/>
              <w:rPr>
                <w:rFonts w:hint="eastAsia" w:ascii="Times New Roman"/>
                <w:sz w:val="30"/>
              </w:rPr>
            </w:pPr>
          </w:p>
        </w:tc>
        <w:tc>
          <w:tcPr>
            <w:tcW w:w="1564" w:type="dxa"/>
            <w:vAlign w:val="center"/>
          </w:tcPr>
          <w:p w14:paraId="49C481A4">
            <w:pPr>
              <w:pStyle w:val="260"/>
              <w:jc w:val="center"/>
              <w:rPr>
                <w:rFonts w:hint="eastAsia" w:ascii="Times New Roman"/>
                <w:sz w:val="30"/>
              </w:rPr>
            </w:pPr>
          </w:p>
        </w:tc>
      </w:tr>
    </w:tbl>
    <w:p w14:paraId="44EAEB37">
      <w:pPr>
        <w:adjustRightInd w:val="0"/>
        <w:snapToGrid w:val="0"/>
        <w:spacing w:line="360" w:lineRule="auto"/>
        <w:ind w:firstLine="480" w:firstLineChars="200"/>
        <w:jc w:val="left"/>
        <w:rPr>
          <w:sz w:val="24"/>
        </w:rPr>
      </w:pPr>
    </w:p>
    <w:p w14:paraId="034E673D">
      <w:pPr>
        <w:adjustRightInd w:val="0"/>
        <w:snapToGrid w:val="0"/>
        <w:spacing w:line="360" w:lineRule="auto"/>
        <w:jc w:val="left"/>
        <w:rPr>
          <w:sz w:val="24"/>
        </w:rPr>
      </w:pPr>
    </w:p>
    <w:p w14:paraId="71DB42DC">
      <w:pPr>
        <w:autoSpaceDE w:val="0"/>
        <w:autoSpaceDN w:val="0"/>
        <w:adjustRightInd w:val="0"/>
        <w:snapToGrid w:val="0"/>
        <w:spacing w:before="25" w:after="25" w:line="360" w:lineRule="auto"/>
        <w:jc w:val="right"/>
        <w:rPr>
          <w:color w:val="000000"/>
          <w:sz w:val="24"/>
          <w:lang w:val="zh-CN"/>
        </w:rPr>
      </w:pPr>
      <w:r>
        <w:rPr>
          <w:color w:val="000000"/>
          <w:sz w:val="24"/>
        </w:rPr>
        <w:t>投标人名称（加盖公章）</w:t>
      </w:r>
      <w:r>
        <w:rPr>
          <w:color w:val="000000"/>
          <w:sz w:val="24"/>
          <w:lang w:val="zh-CN"/>
        </w:rPr>
        <w:t>：____________</w:t>
      </w:r>
    </w:p>
    <w:p w14:paraId="03A0D881">
      <w:pPr>
        <w:spacing w:line="360" w:lineRule="auto"/>
        <w:ind w:right="-57" w:firstLine="480"/>
        <w:jc w:val="right"/>
        <w:rPr>
          <w:color w:val="000000"/>
          <w:sz w:val="24"/>
        </w:rPr>
      </w:pPr>
      <w:r>
        <w:rPr>
          <w:color w:val="000000"/>
          <w:sz w:val="24"/>
          <w:szCs w:val="20"/>
        </w:rPr>
        <w:t>日期：_____年______月______日</w:t>
      </w:r>
    </w:p>
    <w:p w14:paraId="4C9E8A87">
      <w:pPr>
        <w:adjustRightInd w:val="0"/>
        <w:snapToGrid w:val="0"/>
        <w:spacing w:line="360" w:lineRule="auto"/>
        <w:jc w:val="left"/>
        <w:rPr>
          <w:sz w:val="24"/>
        </w:rPr>
      </w:pPr>
    </w:p>
    <w:p w14:paraId="793549B0">
      <w:pPr>
        <w:adjustRightInd w:val="0"/>
        <w:snapToGrid w:val="0"/>
        <w:spacing w:line="360" w:lineRule="auto"/>
        <w:jc w:val="left"/>
        <w:rPr>
          <w:sz w:val="24"/>
        </w:rPr>
      </w:pPr>
      <w:r>
        <w:rPr>
          <w:sz w:val="24"/>
        </w:rPr>
        <w:t>说明：</w:t>
      </w:r>
    </w:p>
    <w:p w14:paraId="0C58CD51">
      <w:pPr>
        <w:adjustRightInd w:val="0"/>
        <w:snapToGrid w:val="0"/>
        <w:spacing w:line="360" w:lineRule="auto"/>
        <w:jc w:val="left"/>
        <w:rPr>
          <w:sz w:val="24"/>
        </w:rPr>
      </w:pPr>
      <w:r>
        <w:rPr>
          <w:sz w:val="24"/>
        </w:rPr>
        <w:t>（1）本表仅在投标人“为落实政府采购政策”而向中小企业分包时填写，非因“为落实政府采购政策”而进行的分包请按照《</w:t>
      </w:r>
      <w:r>
        <w:rPr>
          <w:color w:val="000000"/>
          <w:sz w:val="24"/>
          <w:szCs w:val="20"/>
        </w:rPr>
        <w:t>拟分包情况说明（类型二）</w:t>
      </w:r>
      <w:r>
        <w:rPr>
          <w:sz w:val="24"/>
        </w:rPr>
        <w:t>》要求填写。</w:t>
      </w:r>
    </w:p>
    <w:p w14:paraId="45C950F3">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w:t>
      </w:r>
      <w:r>
        <w:rPr>
          <w:sz w:val="24"/>
        </w:rPr>
        <w:t>件，否则</w:t>
      </w:r>
      <w:r>
        <w:rPr>
          <w:b/>
          <w:sz w:val="24"/>
        </w:rPr>
        <w:t>投标无效</w:t>
      </w:r>
      <w:r>
        <w:rPr>
          <w:sz w:val="24"/>
        </w:rPr>
        <w:t>。</w:t>
      </w:r>
    </w:p>
    <w:p w14:paraId="573360C7">
      <w:pPr>
        <w:adjustRightInd w:val="0"/>
        <w:snapToGrid w:val="0"/>
        <w:spacing w:line="360" w:lineRule="auto"/>
        <w:jc w:val="left"/>
        <w:rPr>
          <w:color w:val="000000"/>
          <w:sz w:val="30"/>
          <w:szCs w:val="30"/>
        </w:rPr>
      </w:pPr>
      <w:r>
        <w:rPr>
          <w:sz w:val="24"/>
        </w:rPr>
        <w:t>（3）投标人与上述拟分包承担主体签署的《分包意向协议》后附。</w:t>
      </w:r>
    </w:p>
    <w:p w14:paraId="69149EB6">
      <w:pPr>
        <w:autoSpaceDE w:val="0"/>
        <w:autoSpaceDN w:val="0"/>
        <w:adjustRightInd w:val="0"/>
        <w:spacing w:line="360" w:lineRule="auto"/>
        <w:jc w:val="center"/>
        <w:rPr>
          <w:b/>
          <w:color w:val="000000"/>
          <w:sz w:val="36"/>
          <w:szCs w:val="36"/>
        </w:rPr>
      </w:pPr>
      <w:r>
        <w:rPr>
          <w:color w:val="000000"/>
          <w:sz w:val="30"/>
          <w:szCs w:val="30"/>
        </w:rPr>
        <w:br w:type="page"/>
      </w:r>
      <w:r>
        <w:rPr>
          <w:rFonts w:hint="eastAsia"/>
          <w:b/>
          <w:color w:val="000000"/>
          <w:sz w:val="36"/>
          <w:szCs w:val="36"/>
        </w:rPr>
        <w:t>附：分包意向协议（实质性格式）（如有）</w:t>
      </w:r>
    </w:p>
    <w:p w14:paraId="5719A5F3">
      <w:pPr>
        <w:adjustRightInd w:val="0"/>
        <w:snapToGrid w:val="0"/>
        <w:spacing w:line="360" w:lineRule="auto"/>
        <w:ind w:firstLine="480" w:firstLineChars="200"/>
        <w:jc w:val="left"/>
        <w:rPr>
          <w:sz w:val="24"/>
        </w:rPr>
      </w:pPr>
      <w:r>
        <w:rPr>
          <w:sz w:val="24"/>
        </w:rPr>
        <w:t>甲方（投标人）：________</w:t>
      </w:r>
    </w:p>
    <w:p w14:paraId="0E004275">
      <w:pPr>
        <w:adjustRightInd w:val="0"/>
        <w:snapToGrid w:val="0"/>
        <w:spacing w:line="360" w:lineRule="auto"/>
        <w:ind w:firstLine="480" w:firstLineChars="200"/>
        <w:jc w:val="left"/>
        <w:rPr>
          <w:sz w:val="24"/>
        </w:rPr>
      </w:pPr>
      <w:r>
        <w:rPr>
          <w:sz w:val="24"/>
        </w:rPr>
        <w:t>乙方（拟分包单位）：________</w:t>
      </w:r>
    </w:p>
    <w:p w14:paraId="3B023A8D">
      <w:pPr>
        <w:adjustRightInd w:val="0"/>
        <w:snapToGrid w:val="0"/>
        <w:spacing w:line="360" w:lineRule="auto"/>
        <w:ind w:firstLine="480" w:firstLineChars="200"/>
        <w:jc w:val="left"/>
        <w:rPr>
          <w:sz w:val="24"/>
        </w:rPr>
      </w:pPr>
      <w:r>
        <w:rPr>
          <w:sz w:val="24"/>
        </w:rPr>
        <w:t>甲方承诺，一旦在_________（采购项目名称）（项目编号/包号为：_______）招标采购项目中获得采购合同，将按照下述约定将合同项下部分内容分包给乙方：</w:t>
      </w:r>
    </w:p>
    <w:p w14:paraId="5F8D07F7">
      <w:pPr>
        <w:adjustRightInd w:val="0"/>
        <w:snapToGrid w:val="0"/>
        <w:spacing w:line="360" w:lineRule="auto"/>
        <w:ind w:firstLine="480" w:firstLineChars="200"/>
        <w:jc w:val="left"/>
        <w:rPr>
          <w:sz w:val="24"/>
        </w:rPr>
      </w:pPr>
      <w:r>
        <w:rPr>
          <w:sz w:val="24"/>
        </w:rPr>
        <w:t>1.分包内容：_____。</w:t>
      </w:r>
    </w:p>
    <w:p w14:paraId="40777947">
      <w:pPr>
        <w:adjustRightInd w:val="0"/>
        <w:snapToGrid w:val="0"/>
        <w:spacing w:line="360" w:lineRule="auto"/>
        <w:ind w:firstLine="480" w:firstLineChars="200"/>
        <w:jc w:val="left"/>
        <w:rPr>
          <w:sz w:val="24"/>
        </w:rPr>
      </w:pPr>
      <w:r>
        <w:rPr>
          <w:sz w:val="24"/>
        </w:rPr>
        <w:t>2.分包金额：_____，该金额占该采购包预算总金额的比例为___%。</w:t>
      </w:r>
    </w:p>
    <w:p w14:paraId="42747DDF">
      <w:pPr>
        <w:adjustRightInd w:val="0"/>
        <w:snapToGrid w:val="0"/>
        <w:spacing w:line="360" w:lineRule="auto"/>
        <w:ind w:firstLine="480" w:firstLineChars="200"/>
        <w:jc w:val="left"/>
        <w:rPr>
          <w:bCs/>
          <w:color w:val="000000"/>
          <w:sz w:val="24"/>
        </w:rPr>
      </w:pPr>
      <w:r>
        <w:rPr>
          <w:sz w:val="24"/>
        </w:rPr>
        <w:t>乙方承诺将在上述情况下与甲方签订分包合同。</w:t>
      </w:r>
    </w:p>
    <w:p w14:paraId="0A0DAF21">
      <w:pPr>
        <w:adjustRightInd w:val="0"/>
        <w:snapToGrid w:val="0"/>
        <w:spacing w:line="360" w:lineRule="auto"/>
        <w:ind w:firstLine="480" w:firstLineChars="200"/>
        <w:jc w:val="left"/>
        <w:rPr>
          <w:sz w:val="24"/>
        </w:rPr>
      </w:pPr>
      <w:r>
        <w:rPr>
          <w:sz w:val="24"/>
        </w:rPr>
        <w:t>本协议自各方盖章之日起生效，如甲方未在该项目（采购包）中标，本协议自动终止。</w:t>
      </w:r>
    </w:p>
    <w:p w14:paraId="4A0433AB">
      <w:pPr>
        <w:spacing w:line="360" w:lineRule="auto"/>
        <w:ind w:firstLine="471"/>
        <w:rPr>
          <w:b/>
          <w:color w:val="000000"/>
          <w:sz w:val="24"/>
        </w:rPr>
      </w:pPr>
    </w:p>
    <w:p w14:paraId="1E3F072E">
      <w:pPr>
        <w:spacing w:line="360" w:lineRule="auto"/>
        <w:ind w:firstLine="471"/>
        <w:rPr>
          <w:b/>
          <w:color w:val="000000"/>
          <w:sz w:val="24"/>
        </w:rPr>
      </w:pPr>
      <w:r>
        <w:rPr>
          <w:color w:val="000000"/>
          <w:sz w:val="24"/>
        </w:rPr>
        <w:t>甲方（盖章）：_________                 乙方（盖章）：_________</w:t>
      </w:r>
    </w:p>
    <w:p w14:paraId="7303444D">
      <w:pPr>
        <w:spacing w:line="360" w:lineRule="auto"/>
        <w:ind w:left="480"/>
        <w:jc w:val="right"/>
        <w:rPr>
          <w:color w:val="000000"/>
          <w:sz w:val="24"/>
        </w:rPr>
      </w:pPr>
    </w:p>
    <w:p w14:paraId="5F6040F2">
      <w:pPr>
        <w:wordWrap w:val="0"/>
        <w:spacing w:line="360" w:lineRule="auto"/>
        <w:ind w:left="480"/>
        <w:jc w:val="right"/>
        <w:rPr>
          <w:b/>
          <w:color w:val="000000"/>
          <w:sz w:val="24"/>
        </w:rPr>
      </w:pPr>
      <w:r>
        <w:rPr>
          <w:color w:val="000000"/>
          <w:sz w:val="24"/>
          <w:szCs w:val="20"/>
        </w:rPr>
        <w:t xml:space="preserve">日期：_____年______月______日   </w:t>
      </w:r>
    </w:p>
    <w:p w14:paraId="0AA8713D">
      <w:pPr>
        <w:tabs>
          <w:tab w:val="left" w:pos="8280"/>
        </w:tabs>
        <w:spacing w:line="360" w:lineRule="auto"/>
        <w:ind w:firstLine="480"/>
        <w:rPr>
          <w:color w:val="000000"/>
          <w:sz w:val="24"/>
        </w:rPr>
      </w:pPr>
    </w:p>
    <w:p w14:paraId="035B4DC4">
      <w:pPr>
        <w:tabs>
          <w:tab w:val="left" w:pos="8280"/>
        </w:tabs>
        <w:spacing w:line="360" w:lineRule="auto"/>
        <w:rPr>
          <w:color w:val="000000"/>
          <w:sz w:val="24"/>
        </w:rPr>
        <w:sectPr>
          <w:headerReference r:id="rId16" w:type="first"/>
          <w:footerReference r:id="rId18" w:type="first"/>
          <w:headerReference r:id="rId15" w:type="even"/>
          <w:footerReference r:id="rId17" w:type="even"/>
          <w:pgSz w:w="11907" w:h="16840"/>
          <w:pgMar w:top="1418" w:right="1134" w:bottom="1418" w:left="1701" w:header="851" w:footer="851" w:gutter="0"/>
          <w:cols w:space="720" w:num="1"/>
          <w:docGrid w:linePitch="462" w:charSpace="0"/>
        </w:sectPr>
      </w:pPr>
      <w:r>
        <w:rPr>
          <w:color w:val="000000"/>
          <w:sz w:val="24"/>
        </w:rPr>
        <w:t>说明：投标人须与所有拟分包单位分别签订《分包意向协议》，每单位签订一份，并在投标文件中提交全部协议原件的</w:t>
      </w:r>
      <w:r>
        <w:rPr>
          <w:rFonts w:hint="eastAsia"/>
          <w:color w:val="000000"/>
          <w:sz w:val="24"/>
        </w:rPr>
        <w:t>复印</w:t>
      </w:r>
      <w:r>
        <w:rPr>
          <w:color w:val="000000"/>
          <w:sz w:val="24"/>
        </w:rPr>
        <w:t>件，否则</w:t>
      </w:r>
      <w:r>
        <w:rPr>
          <w:b/>
          <w:color w:val="000000"/>
          <w:sz w:val="24"/>
        </w:rPr>
        <w:t>投标无效</w:t>
      </w:r>
      <w:r>
        <w:rPr>
          <w:color w:val="000000"/>
          <w:sz w:val="24"/>
        </w:rPr>
        <w:t>。</w:t>
      </w:r>
    </w:p>
    <w:p w14:paraId="60C2FAF8">
      <w:pPr>
        <w:spacing w:line="360" w:lineRule="auto"/>
        <w:outlineLvl w:val="2"/>
        <w:rPr>
          <w:color w:val="000000"/>
          <w:sz w:val="24"/>
          <w:szCs w:val="20"/>
        </w:rPr>
      </w:pPr>
      <w:r>
        <w:rPr>
          <w:color w:val="000000"/>
          <w:sz w:val="24"/>
          <w:szCs w:val="20"/>
        </w:rPr>
        <w:t xml:space="preserve">2-3 </w:t>
      </w:r>
      <w:r>
        <w:rPr>
          <w:sz w:val="24"/>
        </w:rPr>
        <w:t>其它落实政府采购政策的资格要求</w:t>
      </w:r>
      <w:r>
        <w:rPr>
          <w:color w:val="000000"/>
          <w:sz w:val="24"/>
          <w:szCs w:val="20"/>
        </w:rPr>
        <w:t>（如有）</w:t>
      </w:r>
    </w:p>
    <w:p w14:paraId="3322E0B9">
      <w:pPr>
        <w:widowControl/>
        <w:jc w:val="left"/>
        <w:rPr>
          <w:sz w:val="24"/>
        </w:rPr>
      </w:pPr>
    </w:p>
    <w:p w14:paraId="5C13F0DF">
      <w:pPr>
        <w:widowControl/>
        <w:jc w:val="left"/>
        <w:rPr>
          <w:sz w:val="24"/>
        </w:rPr>
      </w:pPr>
      <w:r>
        <w:rPr>
          <w:sz w:val="24"/>
        </w:rPr>
        <w:br w:type="page"/>
      </w:r>
    </w:p>
    <w:p w14:paraId="040C88C9">
      <w:pPr>
        <w:spacing w:line="360" w:lineRule="auto"/>
        <w:outlineLvl w:val="2"/>
        <w:rPr>
          <w:sz w:val="24"/>
        </w:rPr>
      </w:pPr>
      <w:r>
        <w:rPr>
          <w:color w:val="000000"/>
          <w:sz w:val="24"/>
          <w:szCs w:val="20"/>
        </w:rPr>
        <w:t xml:space="preserve">3 </w:t>
      </w:r>
      <w:r>
        <w:rPr>
          <w:sz w:val="24"/>
        </w:rPr>
        <w:t>本项目的特定资格要求</w:t>
      </w:r>
      <w:r>
        <w:rPr>
          <w:color w:val="000000"/>
          <w:sz w:val="24"/>
          <w:szCs w:val="20"/>
        </w:rPr>
        <w:t>（如有）</w:t>
      </w:r>
    </w:p>
    <w:p w14:paraId="6FE83E77">
      <w:pPr>
        <w:spacing w:line="360" w:lineRule="auto"/>
        <w:outlineLvl w:val="2"/>
        <w:rPr>
          <w:color w:val="000000"/>
          <w:sz w:val="24"/>
          <w:szCs w:val="20"/>
        </w:rPr>
      </w:pPr>
      <w:r>
        <w:rPr>
          <w:color w:val="000000"/>
          <w:sz w:val="24"/>
          <w:szCs w:val="20"/>
        </w:rPr>
        <w:t>3-1联合协议（如有）（实质性格式）</w:t>
      </w:r>
    </w:p>
    <w:p w14:paraId="3BB144F4">
      <w:pPr>
        <w:autoSpaceDE w:val="0"/>
        <w:autoSpaceDN w:val="0"/>
        <w:adjustRightInd w:val="0"/>
        <w:spacing w:line="360" w:lineRule="auto"/>
        <w:jc w:val="center"/>
        <w:rPr>
          <w:b/>
          <w:color w:val="000000"/>
          <w:sz w:val="36"/>
          <w:szCs w:val="36"/>
        </w:rPr>
      </w:pPr>
      <w:r>
        <w:rPr>
          <w:rFonts w:hint="eastAsia"/>
          <w:b/>
          <w:color w:val="000000"/>
          <w:sz w:val="36"/>
          <w:szCs w:val="36"/>
        </w:rPr>
        <w:t>联合协议</w:t>
      </w:r>
    </w:p>
    <w:p w14:paraId="1AAF29DF">
      <w:pPr>
        <w:spacing w:line="360" w:lineRule="auto"/>
        <w:ind w:firstLine="828" w:firstLineChars="345"/>
        <w:rPr>
          <w:bCs/>
          <w:color w:val="000000"/>
        </w:rPr>
      </w:pPr>
      <w:r>
        <w:rPr>
          <w:bCs/>
          <w:color w:val="000000"/>
          <w:sz w:val="24"/>
        </w:rPr>
        <w:t>______ 、 _____ 及 _____就“________（项目名称）</w:t>
      </w:r>
      <w:r>
        <w:rPr>
          <w:color w:val="000000"/>
          <w:sz w:val="24"/>
        </w:rPr>
        <w:t>”____包</w:t>
      </w:r>
      <w:r>
        <w:rPr>
          <w:bCs/>
          <w:color w:val="000000"/>
          <w:sz w:val="24"/>
        </w:rPr>
        <w:t>招标项目的投标事宜，经各方充分协商一致，达成如下协议：</w:t>
      </w:r>
    </w:p>
    <w:p w14:paraId="4CE612B3">
      <w:pPr>
        <w:spacing w:line="360" w:lineRule="auto"/>
        <w:ind w:left="780" w:hanging="600"/>
        <w:rPr>
          <w:bCs/>
          <w:color w:val="000000"/>
          <w:sz w:val="24"/>
        </w:rPr>
      </w:pPr>
      <w:r>
        <w:rPr>
          <w:rFonts w:hint="eastAsia"/>
          <w:bCs/>
          <w:color w:val="000000"/>
          <w:sz w:val="24"/>
        </w:rPr>
        <w:t>一、</w:t>
      </w:r>
      <w:r>
        <w:rPr>
          <w:rFonts w:hint="eastAsia"/>
          <w:bCs/>
          <w:color w:val="000000"/>
          <w:sz w:val="24"/>
        </w:rPr>
        <w:tab/>
      </w:r>
      <w:r>
        <w:rPr>
          <w:bCs/>
          <w:color w:val="000000"/>
          <w:sz w:val="24"/>
        </w:rPr>
        <w:t>由_________牵头，_________、__________参加，组成联合体共同进行招标项目的投标工作。</w:t>
      </w:r>
    </w:p>
    <w:p w14:paraId="316829D4">
      <w:pPr>
        <w:spacing w:line="360" w:lineRule="auto"/>
        <w:ind w:left="780" w:hanging="600"/>
        <w:rPr>
          <w:bCs/>
          <w:color w:val="000000"/>
          <w:sz w:val="24"/>
        </w:rPr>
      </w:pPr>
      <w:r>
        <w:rPr>
          <w:rFonts w:hint="eastAsia"/>
          <w:bCs/>
          <w:color w:val="000000"/>
          <w:sz w:val="24"/>
        </w:rPr>
        <w:t>二、</w:t>
      </w:r>
      <w:r>
        <w:rPr>
          <w:rFonts w:hint="eastAsia"/>
          <w:bCs/>
          <w:color w:val="000000"/>
          <w:sz w:val="24"/>
        </w:rPr>
        <w:tab/>
      </w:r>
      <w:r>
        <w:rPr>
          <w:bCs/>
          <w:color w:val="000000"/>
          <w:sz w:val="24"/>
        </w:rPr>
        <w:t>______为本次投标的牵头人，联合体以牵头人的名义参加投标，联合体中标后，联合体各方共同与采购人签订合同，就</w:t>
      </w:r>
      <w:r>
        <w:rPr>
          <w:rFonts w:hint="eastAsia"/>
          <w:bCs/>
          <w:color w:val="000000"/>
          <w:sz w:val="24"/>
        </w:rPr>
        <w:t>采购合同约定的事项</w:t>
      </w:r>
      <w:r>
        <w:rPr>
          <w:bCs/>
          <w:color w:val="000000"/>
          <w:sz w:val="24"/>
        </w:rPr>
        <w:t>对采购人承担连带责任。</w:t>
      </w:r>
    </w:p>
    <w:p w14:paraId="04198AD4">
      <w:pPr>
        <w:spacing w:line="360" w:lineRule="auto"/>
        <w:ind w:left="780" w:hanging="600"/>
        <w:rPr>
          <w:bCs/>
          <w:color w:val="000000"/>
          <w:sz w:val="24"/>
        </w:rPr>
      </w:pPr>
      <w:r>
        <w:rPr>
          <w:rFonts w:hint="eastAsia"/>
          <w:bCs/>
          <w:color w:val="000000"/>
          <w:sz w:val="24"/>
        </w:rPr>
        <w:t>三、</w:t>
      </w:r>
      <w:r>
        <w:rPr>
          <w:rFonts w:hint="eastAsia"/>
          <w:bCs/>
          <w:color w:val="000000"/>
          <w:sz w:val="24"/>
        </w:rPr>
        <w:tab/>
      </w:r>
      <w:r>
        <w:rPr>
          <w:bCs/>
          <w:color w:val="000000"/>
          <w:sz w:val="24"/>
        </w:rPr>
        <w:t>联合体各方均同意由牵头人代表其他联合体成员单位按招标文件要求出具《授权委托书》。</w:t>
      </w:r>
    </w:p>
    <w:p w14:paraId="62EF8E34">
      <w:pPr>
        <w:spacing w:line="360" w:lineRule="auto"/>
        <w:ind w:left="780" w:hanging="600"/>
        <w:rPr>
          <w:bCs/>
          <w:color w:val="000000"/>
          <w:sz w:val="24"/>
        </w:rPr>
      </w:pPr>
      <w:r>
        <w:rPr>
          <w:rFonts w:hint="eastAsia"/>
          <w:bCs/>
          <w:color w:val="000000"/>
          <w:sz w:val="24"/>
        </w:rPr>
        <w:t>四、</w:t>
      </w:r>
      <w:r>
        <w:rPr>
          <w:rFonts w:hint="eastAsia"/>
          <w:bCs/>
          <w:color w:val="000000"/>
          <w:sz w:val="24"/>
        </w:rPr>
        <w:tab/>
      </w:r>
      <w:r>
        <w:rPr>
          <w:bCs/>
          <w:color w:val="000000"/>
          <w:sz w:val="24"/>
        </w:rPr>
        <w:t>牵头人为项目的总负责单位；组织各参加方进行项目实施工作。</w:t>
      </w:r>
    </w:p>
    <w:p w14:paraId="1B2F3AA8">
      <w:pPr>
        <w:spacing w:line="360" w:lineRule="auto"/>
        <w:ind w:left="780" w:hanging="600"/>
        <w:rPr>
          <w:bCs/>
          <w:color w:val="000000"/>
          <w:sz w:val="24"/>
        </w:rPr>
      </w:pPr>
      <w:r>
        <w:rPr>
          <w:rFonts w:hint="eastAsia"/>
          <w:bCs/>
          <w:color w:val="000000"/>
          <w:sz w:val="24"/>
        </w:rPr>
        <w:t>五、</w:t>
      </w:r>
      <w:r>
        <w:rPr>
          <w:rFonts w:hint="eastAsia"/>
          <w:bCs/>
          <w:color w:val="000000"/>
          <w:sz w:val="24"/>
        </w:rPr>
        <w:tab/>
      </w:r>
      <w:r>
        <w:rPr>
          <w:bCs/>
          <w:color w:val="000000"/>
          <w:sz w:val="24"/>
        </w:rPr>
        <w:t>______负责_____，具体工作范围、内容以投标文件及合同为准。</w:t>
      </w:r>
    </w:p>
    <w:p w14:paraId="7DEA09BB">
      <w:pPr>
        <w:spacing w:line="360" w:lineRule="auto"/>
        <w:ind w:left="780" w:hanging="600"/>
        <w:rPr>
          <w:bCs/>
          <w:color w:val="000000"/>
          <w:sz w:val="24"/>
        </w:rPr>
      </w:pPr>
      <w:r>
        <w:rPr>
          <w:rFonts w:hint="eastAsia"/>
          <w:bCs/>
          <w:color w:val="000000"/>
          <w:sz w:val="24"/>
        </w:rPr>
        <w:t>六、</w:t>
      </w:r>
      <w:r>
        <w:rPr>
          <w:rFonts w:hint="eastAsia"/>
          <w:bCs/>
          <w:color w:val="000000"/>
          <w:sz w:val="24"/>
        </w:rPr>
        <w:tab/>
      </w:r>
      <w:r>
        <w:rPr>
          <w:bCs/>
          <w:color w:val="000000"/>
          <w:sz w:val="24"/>
        </w:rPr>
        <w:t>______负责_____，具体工作范围、内容以投标文件及合同为准。</w:t>
      </w:r>
    </w:p>
    <w:p w14:paraId="16844ECF">
      <w:pPr>
        <w:spacing w:line="360" w:lineRule="auto"/>
        <w:ind w:left="780" w:hanging="600"/>
        <w:rPr>
          <w:bCs/>
          <w:color w:val="000000"/>
          <w:sz w:val="24"/>
        </w:rPr>
      </w:pPr>
      <w:r>
        <w:rPr>
          <w:rFonts w:hint="eastAsia"/>
          <w:bCs/>
          <w:color w:val="000000"/>
          <w:sz w:val="24"/>
        </w:rPr>
        <w:t>七、</w:t>
      </w:r>
      <w:r>
        <w:rPr>
          <w:rFonts w:hint="eastAsia"/>
          <w:bCs/>
          <w:color w:val="000000"/>
          <w:sz w:val="24"/>
        </w:rPr>
        <w:tab/>
      </w:r>
      <w:r>
        <w:rPr>
          <w:bCs/>
          <w:color w:val="000000"/>
          <w:sz w:val="24"/>
        </w:rPr>
        <w:t>______负责_____（如有），具体工作范围、内容以投标文件及合同为准。</w:t>
      </w:r>
    </w:p>
    <w:p w14:paraId="6CD0290C">
      <w:pPr>
        <w:spacing w:line="360" w:lineRule="auto"/>
        <w:ind w:left="780" w:hanging="600"/>
        <w:rPr>
          <w:sz w:val="24"/>
        </w:rPr>
      </w:pPr>
      <w:r>
        <w:rPr>
          <w:rFonts w:hint="eastAsia"/>
          <w:sz w:val="24"/>
        </w:rPr>
        <w:t>八、</w:t>
      </w:r>
      <w:r>
        <w:rPr>
          <w:rFonts w:hint="eastAsia"/>
          <w:sz w:val="24"/>
        </w:rPr>
        <w:tab/>
      </w:r>
      <w:r>
        <w:rPr>
          <w:sz w:val="24"/>
        </w:rPr>
        <w:t>本项目联合协议合同总额为________元，联合体各成员按照如下比例分摊（按联合体成员分别列明）：</w:t>
      </w:r>
    </w:p>
    <w:p w14:paraId="08C3A700">
      <w:pPr>
        <w:tabs>
          <w:tab w:val="left" w:pos="720"/>
          <w:tab w:val="left" w:pos="900"/>
        </w:tabs>
        <w:spacing w:line="360" w:lineRule="auto"/>
        <w:ind w:left="851"/>
        <w:rPr>
          <w:color w:val="000000"/>
          <w:sz w:val="24"/>
          <w:szCs w:val="20"/>
        </w:rPr>
      </w:pPr>
      <w:r>
        <w:rPr>
          <w:color w:val="000000"/>
          <w:sz w:val="24"/>
          <w:szCs w:val="20"/>
        </w:rPr>
        <w:t>（1）</w:t>
      </w:r>
      <w:r>
        <w:rPr>
          <w:bCs/>
          <w:color w:val="000000"/>
          <w:sz w:val="24"/>
          <w:szCs w:val="20"/>
        </w:rPr>
        <w:t>______</w:t>
      </w:r>
      <w:r>
        <w:rPr>
          <w:color w:val="000000"/>
          <w:sz w:val="24"/>
          <w:szCs w:val="20"/>
        </w:rPr>
        <w:t>为□大型企业□中型企业、□小微企业（包含监狱企业、残疾人福利性单位）、□其他，合同金额为_____元；</w:t>
      </w:r>
    </w:p>
    <w:p w14:paraId="54EA655E">
      <w:pPr>
        <w:tabs>
          <w:tab w:val="left" w:pos="720"/>
          <w:tab w:val="left" w:pos="900"/>
        </w:tabs>
        <w:spacing w:line="360" w:lineRule="auto"/>
        <w:ind w:left="851"/>
        <w:rPr>
          <w:color w:val="000000"/>
          <w:sz w:val="24"/>
          <w:szCs w:val="20"/>
        </w:rPr>
      </w:pPr>
      <w:r>
        <w:rPr>
          <w:color w:val="000000"/>
          <w:sz w:val="24"/>
          <w:szCs w:val="20"/>
        </w:rPr>
        <w:t>（2）</w:t>
      </w:r>
      <w:r>
        <w:rPr>
          <w:bCs/>
          <w:color w:val="000000"/>
          <w:sz w:val="24"/>
          <w:szCs w:val="20"/>
        </w:rPr>
        <w:t>______</w:t>
      </w:r>
      <w:r>
        <w:rPr>
          <w:color w:val="000000"/>
          <w:sz w:val="24"/>
          <w:szCs w:val="20"/>
        </w:rPr>
        <w:t>为□大型企业□中型企业、□小微企业（包含监狱企业、残疾人福利性单位）、□其他，合同金额为_____元；</w:t>
      </w:r>
    </w:p>
    <w:p w14:paraId="3F3FB418">
      <w:pPr>
        <w:tabs>
          <w:tab w:val="left" w:pos="720"/>
          <w:tab w:val="left" w:pos="900"/>
        </w:tabs>
        <w:spacing w:line="360" w:lineRule="auto"/>
        <w:ind w:left="851"/>
        <w:rPr>
          <w:color w:val="000000"/>
          <w:sz w:val="24"/>
          <w:szCs w:val="20"/>
        </w:rPr>
      </w:pPr>
      <w:r>
        <w:rPr>
          <w:color w:val="000000"/>
          <w:sz w:val="24"/>
          <w:szCs w:val="20"/>
        </w:rPr>
        <w:t>（…）</w:t>
      </w:r>
      <w:r>
        <w:rPr>
          <w:bCs/>
          <w:color w:val="000000"/>
          <w:sz w:val="24"/>
          <w:szCs w:val="20"/>
        </w:rPr>
        <w:t>______</w:t>
      </w:r>
      <w:r>
        <w:rPr>
          <w:color w:val="000000"/>
          <w:sz w:val="24"/>
          <w:szCs w:val="20"/>
        </w:rPr>
        <w:t>为□大型企业□中型企业、□小微企业（包含监狱企业、残疾人福利性单位）、□其他，合同金额为_____元。</w:t>
      </w:r>
    </w:p>
    <w:p w14:paraId="09ECDA9C">
      <w:pPr>
        <w:tabs>
          <w:tab w:val="left" w:pos="993"/>
        </w:tabs>
        <w:spacing w:line="360" w:lineRule="auto"/>
        <w:ind w:left="780" w:hanging="600"/>
        <w:rPr>
          <w:bCs/>
          <w:color w:val="000000"/>
          <w:sz w:val="24"/>
        </w:rPr>
      </w:pPr>
      <w:r>
        <w:rPr>
          <w:rFonts w:hint="eastAsia"/>
          <w:bCs/>
          <w:color w:val="000000"/>
          <w:sz w:val="24"/>
        </w:rPr>
        <w:t>九、</w:t>
      </w:r>
      <w:r>
        <w:rPr>
          <w:rFonts w:hint="eastAsia"/>
          <w:bCs/>
          <w:color w:val="000000"/>
          <w:sz w:val="24"/>
        </w:rPr>
        <w:tab/>
      </w:r>
      <w:r>
        <w:rPr>
          <w:rFonts w:hint="eastAsia"/>
          <w:bCs/>
          <w:color w:val="000000"/>
          <w:sz w:val="24"/>
        </w:rPr>
        <w:t>以联合体形式参加政府采购活动的，联合体各方不得再单独参加或者与其他供应商另外组成联合体参加同一合同项下的政府采购活动</w:t>
      </w:r>
      <w:r>
        <w:rPr>
          <w:bCs/>
          <w:color w:val="000000"/>
          <w:sz w:val="24"/>
        </w:rPr>
        <w:t>。</w:t>
      </w:r>
    </w:p>
    <w:p w14:paraId="5E8B36A3">
      <w:pPr>
        <w:spacing w:line="360" w:lineRule="auto"/>
        <w:ind w:left="780" w:hanging="600"/>
        <w:rPr>
          <w:bCs/>
          <w:color w:val="000000"/>
          <w:sz w:val="24"/>
        </w:rPr>
      </w:pPr>
      <w:r>
        <w:rPr>
          <w:rFonts w:hint="eastAsia"/>
          <w:bCs/>
          <w:color w:val="000000"/>
          <w:sz w:val="24"/>
        </w:rPr>
        <w:t>十、</w:t>
      </w:r>
      <w:r>
        <w:rPr>
          <w:rFonts w:hint="eastAsia"/>
          <w:bCs/>
          <w:color w:val="000000"/>
          <w:sz w:val="24"/>
        </w:rPr>
        <w:tab/>
      </w:r>
      <w:r>
        <w:rPr>
          <w:bCs/>
          <w:color w:val="000000"/>
          <w:sz w:val="24"/>
        </w:rPr>
        <w:t>其他约定（如有）：_______</w:t>
      </w:r>
      <w:r>
        <w:rPr>
          <w:rFonts w:hint="eastAsia"/>
          <w:bCs/>
          <w:color w:val="000000"/>
          <w:sz w:val="24"/>
        </w:rPr>
        <w:t>。</w:t>
      </w:r>
    </w:p>
    <w:p w14:paraId="1DBBEC40">
      <w:pPr>
        <w:tabs>
          <w:tab w:val="left" w:pos="780"/>
        </w:tabs>
        <w:spacing w:line="360" w:lineRule="auto"/>
        <w:ind w:firstLine="480" w:firstLineChars="200"/>
        <w:rPr>
          <w:color w:val="000000"/>
          <w:sz w:val="24"/>
        </w:rPr>
      </w:pPr>
      <w:r>
        <w:rPr>
          <w:bCs/>
          <w:color w:val="000000"/>
          <w:sz w:val="24"/>
        </w:rPr>
        <w:t>本协议自各方盖章后生效，</w:t>
      </w:r>
      <w:r>
        <w:rPr>
          <w:rFonts w:hint="eastAsia"/>
          <w:bCs/>
          <w:color w:val="000000"/>
          <w:sz w:val="24"/>
        </w:rPr>
        <w:t>采购合同履行完毕后自动失效。</w:t>
      </w:r>
      <w:r>
        <w:rPr>
          <w:bCs/>
          <w:color w:val="000000"/>
          <w:sz w:val="24"/>
        </w:rPr>
        <w:t>如未中标，本协议自动终止。</w:t>
      </w:r>
      <w:r>
        <w:rPr>
          <w:color w:val="000000"/>
          <w:sz w:val="24"/>
        </w:rPr>
        <w:br w:type="page"/>
      </w:r>
    </w:p>
    <w:p w14:paraId="4D630F58">
      <w:pPr>
        <w:spacing w:line="360" w:lineRule="auto"/>
        <w:ind w:firstLine="471"/>
        <w:rPr>
          <w:color w:val="000000"/>
          <w:sz w:val="24"/>
        </w:rPr>
      </w:pPr>
      <w:r>
        <w:rPr>
          <w:rFonts w:hint="eastAsia"/>
          <w:color w:val="000000"/>
          <w:sz w:val="24"/>
        </w:rPr>
        <w:t>联合体</w:t>
      </w:r>
      <w:r>
        <w:rPr>
          <w:color w:val="000000"/>
          <w:sz w:val="24"/>
        </w:rPr>
        <w:t>牵头人</w:t>
      </w:r>
      <w:r>
        <w:rPr>
          <w:rFonts w:hint="eastAsia"/>
          <w:color w:val="000000"/>
          <w:sz w:val="24"/>
        </w:rPr>
        <w:t>名称：</w:t>
      </w:r>
      <w:r>
        <w:rPr>
          <w:color w:val="000000"/>
          <w:sz w:val="24"/>
          <w:szCs w:val="20"/>
        </w:rPr>
        <w:t>______</w:t>
      </w:r>
      <w:r>
        <w:rPr>
          <w:color w:val="000000"/>
          <w:sz w:val="24"/>
        </w:rPr>
        <w:tab/>
      </w:r>
      <w:r>
        <w:rPr>
          <w:color w:val="000000"/>
          <w:sz w:val="24"/>
        </w:rPr>
        <w:tab/>
      </w:r>
      <w:r>
        <w:rPr>
          <w:color w:val="000000"/>
          <w:sz w:val="24"/>
        </w:rPr>
        <w:tab/>
      </w:r>
      <w:r>
        <w:rPr>
          <w:color w:val="000000"/>
          <w:sz w:val="24"/>
        </w:rPr>
        <w:tab/>
      </w:r>
      <w:r>
        <w:rPr>
          <w:color w:val="000000"/>
          <w:sz w:val="24"/>
        </w:rPr>
        <w:tab/>
      </w:r>
      <w:r>
        <w:rPr>
          <w:color w:val="000000"/>
          <w:sz w:val="24"/>
        </w:rPr>
        <w:t xml:space="preserve"> </w:t>
      </w:r>
      <w:r>
        <w:rPr>
          <w:rFonts w:hint="eastAsia"/>
          <w:color w:val="000000"/>
          <w:sz w:val="24"/>
        </w:rPr>
        <w:t>联合体成员名称</w:t>
      </w:r>
      <w:r>
        <w:rPr>
          <w:color w:val="000000"/>
          <w:sz w:val="24"/>
        </w:rPr>
        <w:t>：</w:t>
      </w:r>
      <w:r>
        <w:rPr>
          <w:color w:val="000000"/>
          <w:sz w:val="24"/>
          <w:szCs w:val="20"/>
        </w:rPr>
        <w:t>______</w:t>
      </w:r>
    </w:p>
    <w:p w14:paraId="6C50705E">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盖章：</w:t>
      </w:r>
      <w:r>
        <w:rPr>
          <w:color w:val="000000"/>
          <w:sz w:val="24"/>
          <w:szCs w:val="20"/>
        </w:rPr>
        <w:t>______</w:t>
      </w:r>
    </w:p>
    <w:p w14:paraId="64F3B856">
      <w:pPr>
        <w:spacing w:line="360" w:lineRule="auto"/>
        <w:ind w:firstLine="471"/>
        <w:rPr>
          <w:color w:val="000000"/>
          <w:sz w:val="24"/>
        </w:rPr>
      </w:pPr>
    </w:p>
    <w:p w14:paraId="74F3B48C">
      <w:pPr>
        <w:spacing w:line="360" w:lineRule="auto"/>
        <w:ind w:firstLine="471"/>
        <w:rPr>
          <w:color w:val="000000"/>
          <w:sz w:val="24"/>
        </w:rPr>
      </w:pPr>
    </w:p>
    <w:p w14:paraId="446261FC">
      <w:pPr>
        <w:spacing w:line="360" w:lineRule="auto"/>
        <w:ind w:firstLine="471"/>
        <w:rPr>
          <w:color w:val="000000"/>
          <w:sz w:val="24"/>
        </w:rPr>
      </w:pPr>
      <w:r>
        <w:rPr>
          <w:rFonts w:hint="eastAsia"/>
          <w:color w:val="000000"/>
          <w:sz w:val="24"/>
        </w:rPr>
        <w:t>联合体成员名称</w:t>
      </w:r>
      <w:r>
        <w:rPr>
          <w:color w:val="000000"/>
          <w:sz w:val="24"/>
        </w:rPr>
        <w:t>：</w:t>
      </w:r>
      <w:r>
        <w:rPr>
          <w:color w:val="000000"/>
          <w:sz w:val="24"/>
          <w:szCs w:val="20"/>
        </w:rPr>
        <w:t>______</w:t>
      </w:r>
    </w:p>
    <w:p w14:paraId="0D55D598">
      <w:pPr>
        <w:spacing w:line="360" w:lineRule="auto"/>
        <w:ind w:firstLine="471"/>
        <w:rPr>
          <w:color w:val="000000"/>
          <w:sz w:val="24"/>
        </w:rPr>
      </w:pPr>
      <w:r>
        <w:rPr>
          <w:color w:val="000000"/>
          <w:sz w:val="24"/>
        </w:rPr>
        <w:t>盖章：</w:t>
      </w:r>
      <w:r>
        <w:rPr>
          <w:color w:val="000000"/>
          <w:sz w:val="24"/>
          <w:szCs w:val="20"/>
        </w:rPr>
        <w:t>______</w:t>
      </w:r>
      <w:r>
        <w:rPr>
          <w:color w:val="000000"/>
          <w:sz w:val="24"/>
        </w:rPr>
        <w:t xml:space="preserve">                                </w:t>
      </w:r>
    </w:p>
    <w:p w14:paraId="30EFE1EA">
      <w:pPr>
        <w:spacing w:line="360" w:lineRule="auto"/>
        <w:ind w:firstLine="471"/>
        <w:rPr>
          <w:color w:val="000000"/>
          <w:sz w:val="24"/>
        </w:rPr>
      </w:pPr>
    </w:p>
    <w:p w14:paraId="7DBAA299">
      <w:pPr>
        <w:spacing w:line="360" w:lineRule="auto"/>
        <w:ind w:firstLine="471"/>
        <w:rPr>
          <w:color w:val="000000"/>
          <w:sz w:val="24"/>
        </w:rPr>
      </w:pPr>
    </w:p>
    <w:p w14:paraId="7BFCCA8E">
      <w:pPr>
        <w:spacing w:line="360" w:lineRule="auto"/>
        <w:ind w:left="480"/>
        <w:jc w:val="right"/>
        <w:rPr>
          <w:color w:val="000000"/>
          <w:sz w:val="24"/>
        </w:rPr>
      </w:pPr>
    </w:p>
    <w:p w14:paraId="2BF396E8">
      <w:pPr>
        <w:spacing w:line="360" w:lineRule="auto"/>
        <w:ind w:left="480"/>
        <w:jc w:val="right"/>
        <w:rPr>
          <w:color w:val="000000"/>
          <w:sz w:val="24"/>
        </w:rPr>
      </w:pPr>
      <w:r>
        <w:rPr>
          <w:color w:val="000000"/>
          <w:sz w:val="24"/>
          <w:szCs w:val="20"/>
        </w:rPr>
        <w:t>日期：_____年______月______日</w:t>
      </w:r>
    </w:p>
    <w:p w14:paraId="3AF11CB8">
      <w:pPr>
        <w:spacing w:line="360" w:lineRule="auto"/>
        <w:ind w:left="480"/>
        <w:jc w:val="right"/>
        <w:rPr>
          <w:b/>
          <w:color w:val="000000"/>
          <w:sz w:val="24"/>
        </w:rPr>
      </w:pPr>
    </w:p>
    <w:p w14:paraId="4EE7A1E6">
      <w:pPr>
        <w:tabs>
          <w:tab w:val="left" w:pos="8280"/>
        </w:tabs>
        <w:spacing w:line="360" w:lineRule="auto"/>
        <w:ind w:firstLine="480"/>
        <w:rPr>
          <w:color w:val="000000"/>
          <w:sz w:val="24"/>
        </w:rPr>
      </w:pPr>
    </w:p>
    <w:p w14:paraId="273AD357">
      <w:pPr>
        <w:tabs>
          <w:tab w:val="left" w:pos="8280"/>
        </w:tabs>
        <w:spacing w:line="360" w:lineRule="auto"/>
        <w:ind w:firstLine="480"/>
        <w:rPr>
          <w:color w:val="000000"/>
          <w:sz w:val="24"/>
        </w:rPr>
      </w:pPr>
    </w:p>
    <w:p w14:paraId="16CA81D5">
      <w:pPr>
        <w:spacing w:line="360" w:lineRule="auto"/>
        <w:ind w:left="719" w:leftChars="228" w:hanging="240" w:hangingChars="100"/>
        <w:rPr>
          <w:sz w:val="24"/>
        </w:rPr>
      </w:pPr>
      <w:r>
        <w:rPr>
          <w:color w:val="000000"/>
          <w:sz w:val="24"/>
        </w:rPr>
        <w:t>注：联合体各方成员应在本协议上共同盖章，不得分别签署协议书。</w:t>
      </w:r>
    </w:p>
    <w:p w14:paraId="71E377F5">
      <w:pPr>
        <w:spacing w:line="360" w:lineRule="auto"/>
        <w:ind w:left="719" w:leftChars="228" w:hanging="240" w:hangingChars="100"/>
        <w:rPr>
          <w:sz w:val="24"/>
        </w:rPr>
      </w:pPr>
      <w:r>
        <w:rPr>
          <w:sz w:val="24"/>
        </w:rPr>
        <w:br w:type="page"/>
      </w:r>
    </w:p>
    <w:p w14:paraId="3E7DD8F5">
      <w:pPr>
        <w:spacing w:line="360" w:lineRule="auto"/>
        <w:outlineLvl w:val="2"/>
        <w:rPr>
          <w:sz w:val="24"/>
          <w:szCs w:val="20"/>
        </w:rPr>
      </w:pPr>
      <w:r>
        <w:rPr>
          <w:color w:val="000000"/>
          <w:sz w:val="24"/>
          <w:szCs w:val="20"/>
        </w:rPr>
        <w:t>3-2其他</w:t>
      </w:r>
      <w:r>
        <w:rPr>
          <w:sz w:val="24"/>
          <w:szCs w:val="20"/>
        </w:rPr>
        <w:t>特定资格要求</w:t>
      </w:r>
    </w:p>
    <w:p w14:paraId="7CF8F8A8">
      <w:pPr>
        <w:spacing w:line="360" w:lineRule="auto"/>
        <w:outlineLvl w:val="2"/>
        <w:rPr>
          <w:color w:val="000000"/>
          <w:sz w:val="24"/>
        </w:rPr>
      </w:pPr>
      <w:r>
        <w:rPr>
          <w:rFonts w:hint="eastAsia"/>
          <w:color w:val="000000"/>
          <w:sz w:val="24"/>
        </w:rPr>
        <w:t>详见第一章“</w:t>
      </w:r>
      <w:r>
        <w:rPr>
          <w:sz w:val="24"/>
        </w:rPr>
        <w:t>其他特定资格要求</w:t>
      </w:r>
      <w:r>
        <w:rPr>
          <w:rFonts w:hint="eastAsia"/>
          <w:color w:val="000000"/>
          <w:sz w:val="24"/>
        </w:rPr>
        <w:t>”</w:t>
      </w:r>
    </w:p>
    <w:p w14:paraId="76683412">
      <w:pPr>
        <w:widowControl/>
        <w:jc w:val="left"/>
        <w:rPr>
          <w:sz w:val="24"/>
          <w:szCs w:val="20"/>
        </w:rPr>
      </w:pPr>
      <w:r>
        <w:rPr>
          <w:sz w:val="24"/>
          <w:szCs w:val="20"/>
        </w:rPr>
        <w:br w:type="page"/>
      </w:r>
    </w:p>
    <w:p w14:paraId="16A29E3D">
      <w:pPr>
        <w:spacing w:line="360" w:lineRule="auto"/>
        <w:outlineLvl w:val="2"/>
        <w:rPr>
          <w:sz w:val="24"/>
          <w:szCs w:val="20"/>
        </w:rPr>
      </w:pPr>
      <w:r>
        <w:rPr>
          <w:sz w:val="24"/>
          <w:szCs w:val="20"/>
        </w:rPr>
        <w:t xml:space="preserve">4 </w:t>
      </w:r>
      <w:r>
        <w:rPr>
          <w:color w:val="000000"/>
          <w:sz w:val="24"/>
          <w:szCs w:val="20"/>
        </w:rPr>
        <w:t>投标保证金</w:t>
      </w:r>
      <w:r>
        <w:rPr>
          <w:rFonts w:hint="eastAsia"/>
          <w:color w:val="000000"/>
          <w:sz w:val="24"/>
          <w:szCs w:val="20"/>
        </w:rPr>
        <w:t>凭证/</w:t>
      </w:r>
      <w:r>
        <w:rPr>
          <w:color w:val="000000"/>
          <w:sz w:val="24"/>
          <w:szCs w:val="20"/>
        </w:rPr>
        <w:t>交款单据</w:t>
      </w:r>
      <w:r>
        <w:rPr>
          <w:rFonts w:hint="eastAsia"/>
          <w:color w:val="000000"/>
          <w:sz w:val="24"/>
          <w:szCs w:val="20"/>
        </w:rPr>
        <w:t>复印件并加盖投标人公章（</w:t>
      </w:r>
      <w:r>
        <w:rPr>
          <w:rFonts w:hint="eastAsia"/>
          <w:sz w:val="24"/>
        </w:rPr>
        <w:t>以招标代理公司到账情况为准</w:t>
      </w:r>
      <w:r>
        <w:rPr>
          <w:rFonts w:hint="eastAsia"/>
          <w:color w:val="000000"/>
          <w:sz w:val="24"/>
          <w:szCs w:val="20"/>
        </w:rPr>
        <w:t>）</w:t>
      </w:r>
    </w:p>
    <w:p w14:paraId="779D3BD6">
      <w:pPr>
        <w:spacing w:line="360" w:lineRule="auto"/>
        <w:ind w:firstLine="420" w:firstLineChars="200"/>
      </w:pPr>
      <w:bookmarkStart w:id="778" w:name="_Hlk107059857"/>
      <w:r>
        <w:rPr>
          <w:rFonts w:hint="eastAsia"/>
        </w:rPr>
        <w:t>此投标保证金或其交纳凭据</w:t>
      </w:r>
      <w:r>
        <w:t>/</w:t>
      </w:r>
      <w:r>
        <w:rPr>
          <w:rFonts w:hint="eastAsia"/>
        </w:rPr>
        <w:t>证明的复印件还应密封后在开标时单独递交以供开标时唱标用。</w:t>
      </w:r>
    </w:p>
    <w:bookmarkEnd w:id="778"/>
    <w:p w14:paraId="660D6AFD">
      <w:pPr>
        <w:spacing w:line="360" w:lineRule="auto"/>
        <w:rPr>
          <w:sz w:val="24"/>
          <w:szCs w:val="20"/>
        </w:rPr>
      </w:pPr>
    </w:p>
    <w:p w14:paraId="2BCE5BA1">
      <w:pPr>
        <w:spacing w:line="360" w:lineRule="auto"/>
        <w:rPr>
          <w:sz w:val="24"/>
          <w:szCs w:val="20"/>
        </w:rPr>
      </w:pPr>
    </w:p>
    <w:p w14:paraId="269E02A9">
      <w:pPr>
        <w:spacing w:line="360" w:lineRule="auto"/>
        <w:rPr>
          <w:rFonts w:hint="eastAsia" w:ascii="宋体" w:hAnsi="宋体"/>
          <w:sz w:val="24"/>
        </w:rPr>
      </w:pPr>
      <w:r>
        <w:rPr>
          <w:sz w:val="24"/>
          <w:szCs w:val="20"/>
        </w:rPr>
        <w:br w:type="page"/>
      </w:r>
    </w:p>
    <w:p w14:paraId="16D8D8B3">
      <w:pPr>
        <w:tabs>
          <w:tab w:val="left" w:pos="5580"/>
        </w:tabs>
        <w:spacing w:line="360" w:lineRule="auto"/>
        <w:rPr>
          <w:rFonts w:hint="eastAsia" w:ascii="宋体" w:hAnsi="宋体"/>
          <w:sz w:val="24"/>
        </w:rPr>
        <w:sectPr>
          <w:pgSz w:w="11907" w:h="16840"/>
          <w:pgMar w:top="1418" w:right="1134" w:bottom="1418" w:left="1701" w:header="851" w:footer="851" w:gutter="0"/>
          <w:cols w:space="720" w:num="1"/>
          <w:docGrid w:linePitch="462" w:charSpace="0"/>
        </w:sectPr>
      </w:pPr>
    </w:p>
    <w:p w14:paraId="17FE1390">
      <w:pPr>
        <w:keepNext/>
        <w:keepLines/>
        <w:autoSpaceDE w:val="0"/>
        <w:autoSpaceDN w:val="0"/>
        <w:adjustRightInd w:val="0"/>
        <w:spacing w:before="120" w:line="300" w:lineRule="auto"/>
        <w:jc w:val="left"/>
        <w:outlineLvl w:val="1"/>
        <w:rPr>
          <w:rFonts w:hint="eastAsia" w:ascii="宋体" w:hAnsi="宋体"/>
          <w:b/>
          <w:spacing w:val="20"/>
          <w:sz w:val="24"/>
        </w:rPr>
      </w:pPr>
      <w:r>
        <w:rPr>
          <w:rFonts w:ascii="宋体" w:hAnsi="宋体"/>
          <w:b/>
          <w:spacing w:val="20"/>
          <w:sz w:val="24"/>
        </w:rPr>
        <w:t>二、商务技术文件格式</w:t>
      </w:r>
    </w:p>
    <w:p w14:paraId="09412833">
      <w:pPr>
        <w:rPr>
          <w:rFonts w:hint="eastAsia" w:ascii="宋体" w:hAnsi="宋体"/>
          <w:b/>
          <w:spacing w:val="20"/>
          <w:szCs w:val="21"/>
        </w:rPr>
      </w:pPr>
    </w:p>
    <w:p w14:paraId="23AFD870">
      <w:pPr>
        <w:rPr>
          <w:rFonts w:hint="eastAsia" w:ascii="宋体" w:hAnsi="宋体"/>
          <w:b/>
          <w:sz w:val="24"/>
        </w:rPr>
      </w:pPr>
      <w:r>
        <w:rPr>
          <w:rFonts w:ascii="宋体" w:hAnsi="宋体"/>
          <w:b/>
          <w:spacing w:val="20"/>
          <w:sz w:val="24"/>
        </w:rPr>
        <w:t>投标文件（商务技术文件）</w:t>
      </w:r>
      <w:r>
        <w:rPr>
          <w:rFonts w:ascii="宋体" w:hAnsi="宋体"/>
          <w:b/>
          <w:sz w:val="24"/>
        </w:rPr>
        <w:t>封面（非实质性格式）</w:t>
      </w:r>
    </w:p>
    <w:p w14:paraId="2C0F0519">
      <w:pPr>
        <w:jc w:val="center"/>
        <w:rPr>
          <w:rFonts w:hint="eastAsia" w:ascii="宋体" w:hAnsi="宋体"/>
          <w:szCs w:val="21"/>
        </w:rPr>
      </w:pPr>
    </w:p>
    <w:p w14:paraId="574363B3">
      <w:pPr>
        <w:jc w:val="center"/>
        <w:rPr>
          <w:rFonts w:hint="eastAsia" w:ascii="宋体" w:hAnsi="宋体"/>
          <w:b/>
          <w:spacing w:val="60"/>
          <w:sz w:val="84"/>
          <w:szCs w:val="84"/>
        </w:rPr>
      </w:pPr>
      <w:r>
        <w:rPr>
          <w:rFonts w:ascii="宋体" w:hAnsi="宋体"/>
          <w:b/>
          <w:spacing w:val="60"/>
          <w:sz w:val="84"/>
          <w:szCs w:val="84"/>
        </w:rPr>
        <w:t>投 标 文 件</w:t>
      </w:r>
    </w:p>
    <w:p w14:paraId="4F54BF24">
      <w:pPr>
        <w:jc w:val="center"/>
        <w:rPr>
          <w:rFonts w:hint="eastAsia" w:ascii="宋体" w:hAnsi="宋体"/>
          <w:b/>
          <w:spacing w:val="60"/>
          <w:sz w:val="52"/>
          <w:szCs w:val="52"/>
        </w:rPr>
      </w:pPr>
      <w:r>
        <w:rPr>
          <w:rFonts w:ascii="宋体" w:hAnsi="宋体"/>
          <w:b/>
          <w:spacing w:val="60"/>
          <w:sz w:val="52"/>
          <w:szCs w:val="52"/>
        </w:rPr>
        <w:t>（商务技术文件）</w:t>
      </w:r>
    </w:p>
    <w:p w14:paraId="01359E40">
      <w:pPr>
        <w:ind w:firstLine="542" w:firstLineChars="150"/>
        <w:rPr>
          <w:rFonts w:hint="eastAsia" w:ascii="宋体" w:hAnsi="宋体"/>
          <w:b/>
          <w:spacing w:val="20"/>
          <w:sz w:val="32"/>
          <w:szCs w:val="32"/>
        </w:rPr>
      </w:pPr>
    </w:p>
    <w:p w14:paraId="0104AC62">
      <w:pPr>
        <w:ind w:firstLine="542" w:firstLineChars="150"/>
        <w:rPr>
          <w:rFonts w:hint="eastAsia" w:ascii="宋体" w:hAnsi="宋体"/>
          <w:b/>
          <w:spacing w:val="20"/>
          <w:sz w:val="32"/>
          <w:szCs w:val="32"/>
        </w:rPr>
      </w:pPr>
    </w:p>
    <w:p w14:paraId="2B55E8BF">
      <w:pPr>
        <w:ind w:firstLine="542" w:firstLineChars="150"/>
        <w:rPr>
          <w:rFonts w:hint="eastAsia" w:ascii="宋体" w:hAnsi="宋体"/>
          <w:b/>
          <w:spacing w:val="20"/>
          <w:sz w:val="32"/>
          <w:szCs w:val="32"/>
        </w:rPr>
      </w:pPr>
      <w:r>
        <w:rPr>
          <w:rFonts w:ascii="宋体" w:hAnsi="宋体"/>
          <w:b/>
          <w:spacing w:val="20"/>
          <w:sz w:val="32"/>
          <w:szCs w:val="32"/>
        </w:rPr>
        <w:t>项目名称:</w:t>
      </w:r>
    </w:p>
    <w:p w14:paraId="19CEAEC2">
      <w:pPr>
        <w:ind w:firstLine="542" w:firstLineChars="150"/>
        <w:rPr>
          <w:rFonts w:hint="eastAsia" w:ascii="宋体" w:hAnsi="宋体"/>
          <w:b/>
          <w:spacing w:val="20"/>
          <w:sz w:val="32"/>
          <w:szCs w:val="32"/>
        </w:rPr>
      </w:pPr>
      <w:r>
        <w:rPr>
          <w:rFonts w:ascii="宋体" w:hAnsi="宋体"/>
          <w:b/>
          <w:spacing w:val="20"/>
          <w:sz w:val="32"/>
          <w:szCs w:val="32"/>
        </w:rPr>
        <w:t>项目编号/包号：</w:t>
      </w:r>
    </w:p>
    <w:p w14:paraId="2912F89F">
      <w:pPr>
        <w:ind w:firstLine="542" w:firstLineChars="150"/>
        <w:rPr>
          <w:rFonts w:hint="eastAsia" w:ascii="宋体" w:hAnsi="宋体"/>
          <w:b/>
          <w:spacing w:val="20"/>
          <w:sz w:val="32"/>
          <w:szCs w:val="32"/>
        </w:rPr>
      </w:pPr>
    </w:p>
    <w:p w14:paraId="57D8A711">
      <w:pPr>
        <w:ind w:firstLine="542" w:firstLineChars="150"/>
        <w:rPr>
          <w:rFonts w:hint="eastAsia" w:ascii="宋体" w:hAnsi="宋体"/>
          <w:b/>
          <w:spacing w:val="20"/>
          <w:sz w:val="32"/>
          <w:szCs w:val="32"/>
        </w:rPr>
      </w:pPr>
    </w:p>
    <w:p w14:paraId="2D8E1B52">
      <w:pPr>
        <w:jc w:val="center"/>
        <w:rPr>
          <w:rFonts w:hint="eastAsia" w:ascii="宋体" w:hAnsi="宋体"/>
          <w:b/>
          <w:sz w:val="32"/>
          <w:szCs w:val="32"/>
        </w:rPr>
      </w:pPr>
    </w:p>
    <w:p w14:paraId="3FBAD661">
      <w:pPr>
        <w:jc w:val="center"/>
        <w:rPr>
          <w:rFonts w:hint="eastAsia" w:ascii="宋体" w:hAnsi="宋体"/>
          <w:b/>
          <w:sz w:val="32"/>
          <w:szCs w:val="32"/>
        </w:rPr>
      </w:pPr>
    </w:p>
    <w:p w14:paraId="7DBF2CEA">
      <w:pPr>
        <w:jc w:val="center"/>
        <w:rPr>
          <w:rFonts w:hint="eastAsia" w:ascii="宋体" w:hAnsi="宋体"/>
          <w:b/>
          <w:sz w:val="32"/>
          <w:szCs w:val="32"/>
        </w:rPr>
      </w:pPr>
    </w:p>
    <w:p w14:paraId="2A2AF981">
      <w:pPr>
        <w:jc w:val="center"/>
        <w:rPr>
          <w:rFonts w:hint="eastAsia" w:ascii="宋体" w:hAnsi="宋体"/>
          <w:b/>
          <w:spacing w:val="20"/>
          <w:sz w:val="32"/>
          <w:szCs w:val="32"/>
        </w:rPr>
      </w:pPr>
    </w:p>
    <w:p w14:paraId="4DB2A44D">
      <w:pPr>
        <w:jc w:val="center"/>
        <w:rPr>
          <w:rFonts w:hint="eastAsia" w:ascii="宋体" w:hAnsi="宋体"/>
          <w:b/>
          <w:spacing w:val="20"/>
          <w:sz w:val="32"/>
          <w:szCs w:val="32"/>
        </w:rPr>
      </w:pPr>
    </w:p>
    <w:p w14:paraId="59560107">
      <w:pPr>
        <w:jc w:val="center"/>
        <w:rPr>
          <w:rFonts w:hint="eastAsia" w:ascii="宋体" w:hAnsi="宋体"/>
          <w:b/>
          <w:spacing w:val="20"/>
          <w:sz w:val="32"/>
          <w:szCs w:val="32"/>
        </w:rPr>
      </w:pPr>
    </w:p>
    <w:p w14:paraId="53724854">
      <w:pPr>
        <w:spacing w:line="360" w:lineRule="auto"/>
        <w:ind w:firstLine="1445" w:firstLineChars="400"/>
        <w:jc w:val="left"/>
        <w:rPr>
          <w:rFonts w:hint="eastAsia" w:ascii="宋体" w:hAnsi="宋体"/>
          <w:b/>
          <w:spacing w:val="20"/>
          <w:sz w:val="32"/>
          <w:szCs w:val="32"/>
        </w:rPr>
      </w:pPr>
      <w:r>
        <w:rPr>
          <w:rFonts w:ascii="宋体" w:hAnsi="宋体"/>
          <w:b/>
          <w:spacing w:val="20"/>
          <w:sz w:val="32"/>
          <w:szCs w:val="32"/>
        </w:rPr>
        <w:t>投标人名称：</w:t>
      </w:r>
    </w:p>
    <w:p w14:paraId="624D8FBC">
      <w:pPr>
        <w:jc w:val="center"/>
        <w:rPr>
          <w:rFonts w:hint="eastAsia" w:ascii="宋体" w:hAnsi="宋体"/>
          <w:b/>
          <w:sz w:val="32"/>
          <w:szCs w:val="32"/>
        </w:rPr>
      </w:pPr>
    </w:p>
    <w:p w14:paraId="54901B9A">
      <w:pPr>
        <w:widowControl/>
        <w:jc w:val="left"/>
        <w:rPr>
          <w:rFonts w:hint="eastAsia" w:ascii="宋体" w:hAnsi="宋体"/>
          <w:b/>
          <w:sz w:val="24"/>
        </w:rPr>
      </w:pPr>
      <w:r>
        <w:rPr>
          <w:rFonts w:ascii="宋体" w:hAnsi="宋体"/>
          <w:b/>
          <w:sz w:val="24"/>
        </w:rPr>
        <w:br w:type="page"/>
      </w:r>
    </w:p>
    <w:p w14:paraId="377FC9E6">
      <w:pPr>
        <w:spacing w:line="360" w:lineRule="auto"/>
        <w:outlineLvl w:val="2"/>
        <w:rPr>
          <w:rFonts w:hint="eastAsia" w:ascii="宋体" w:hAnsi="宋体"/>
          <w:color w:val="000000"/>
          <w:sz w:val="24"/>
          <w:szCs w:val="20"/>
        </w:rPr>
      </w:pPr>
      <w:bookmarkStart w:id="779" w:name="_Hlt520350918"/>
      <w:bookmarkEnd w:id="779"/>
      <w:bookmarkStart w:id="780" w:name="_Hlt520274393"/>
      <w:bookmarkEnd w:id="780"/>
      <w:bookmarkStart w:id="781" w:name="_Hlt520274065"/>
      <w:bookmarkEnd w:id="781"/>
      <w:bookmarkStart w:id="782" w:name="_Hlt520343392"/>
      <w:bookmarkEnd w:id="782"/>
      <w:bookmarkStart w:id="783" w:name="_Hlt520273711"/>
      <w:bookmarkEnd w:id="783"/>
      <w:bookmarkStart w:id="784" w:name="_Hlt520274407"/>
      <w:bookmarkEnd w:id="784"/>
      <w:bookmarkStart w:id="785" w:name="_Hlt520274121"/>
      <w:bookmarkEnd w:id="785"/>
      <w:bookmarkStart w:id="786" w:name="_Hlt520355504"/>
      <w:bookmarkEnd w:id="786"/>
      <w:bookmarkStart w:id="787" w:name="_Hlt520271212"/>
      <w:bookmarkEnd w:id="787"/>
      <w:bookmarkStart w:id="788" w:name="_Hlt520343000"/>
      <w:bookmarkEnd w:id="788"/>
      <w:bookmarkStart w:id="789" w:name="_Toc480942349"/>
      <w:bookmarkStart w:id="790" w:name="_Ref467988698"/>
      <w:bookmarkStart w:id="791" w:name="_Toc150480794"/>
      <w:bookmarkStart w:id="792" w:name="_Toc520356217"/>
      <w:bookmarkStart w:id="793" w:name="_Toc150774761"/>
      <w:bookmarkStart w:id="794" w:name="_Toc195842921"/>
      <w:bookmarkStart w:id="795" w:name="_Toc226337252"/>
      <w:bookmarkStart w:id="796" w:name="_Toc226965746"/>
      <w:bookmarkStart w:id="797" w:name="_Toc127151556"/>
      <w:bookmarkStart w:id="798" w:name="_Toc142311058"/>
      <w:bookmarkStart w:id="799" w:name="_Toc226965829"/>
      <w:bookmarkStart w:id="800" w:name="_Toc226309800"/>
      <w:r>
        <w:rPr>
          <w:rFonts w:ascii="宋体" w:hAnsi="宋体"/>
          <w:color w:val="000000"/>
          <w:sz w:val="24"/>
        </w:rPr>
        <w:t>1</w:t>
      </w:r>
      <w:r>
        <w:rPr>
          <w:rFonts w:ascii="宋体" w:hAnsi="宋体"/>
          <w:color w:val="000000"/>
          <w:sz w:val="24"/>
          <w:szCs w:val="20"/>
        </w:rPr>
        <w:t xml:space="preserve">  </w:t>
      </w:r>
      <w:r>
        <w:rPr>
          <w:rFonts w:ascii="宋体" w:hAnsi="宋体"/>
          <w:color w:val="000000"/>
          <w:sz w:val="24"/>
        </w:rPr>
        <w:t>投标</w:t>
      </w:r>
      <w:bookmarkEnd w:id="789"/>
      <w:bookmarkEnd w:id="790"/>
      <w:r>
        <w:rPr>
          <w:rFonts w:ascii="宋体" w:hAnsi="宋体"/>
          <w:color w:val="000000"/>
          <w:sz w:val="24"/>
        </w:rPr>
        <w:t>书</w:t>
      </w:r>
      <w:bookmarkEnd w:id="791"/>
      <w:bookmarkEnd w:id="792"/>
      <w:bookmarkEnd w:id="793"/>
      <w:bookmarkEnd w:id="794"/>
      <w:bookmarkEnd w:id="795"/>
      <w:bookmarkEnd w:id="796"/>
      <w:bookmarkEnd w:id="797"/>
      <w:bookmarkEnd w:id="798"/>
      <w:bookmarkEnd w:id="799"/>
      <w:bookmarkEnd w:id="800"/>
      <w:r>
        <w:rPr>
          <w:rFonts w:ascii="宋体" w:hAnsi="宋体"/>
          <w:color w:val="000000"/>
          <w:sz w:val="24"/>
          <w:szCs w:val="20"/>
        </w:rPr>
        <w:t>（实质性格式）</w:t>
      </w:r>
    </w:p>
    <w:p w14:paraId="3C71460F">
      <w:pPr>
        <w:tabs>
          <w:tab w:val="left" w:pos="5580"/>
        </w:tabs>
        <w:spacing w:line="360" w:lineRule="auto"/>
        <w:rPr>
          <w:rFonts w:hint="eastAsia" w:ascii="宋体" w:hAnsi="宋体"/>
          <w:color w:val="000000"/>
          <w:sz w:val="24"/>
        </w:rPr>
      </w:pPr>
    </w:p>
    <w:p w14:paraId="60998E8E">
      <w:pPr>
        <w:spacing w:line="360" w:lineRule="auto"/>
        <w:jc w:val="center"/>
        <w:rPr>
          <w:rFonts w:hint="eastAsia" w:ascii="宋体" w:hAnsi="宋体"/>
          <w:b/>
          <w:color w:val="000000"/>
          <w:sz w:val="36"/>
          <w:szCs w:val="36"/>
        </w:rPr>
      </w:pPr>
      <w:r>
        <w:rPr>
          <w:rFonts w:hint="eastAsia" w:ascii="宋体" w:hAnsi="宋体"/>
          <w:b/>
          <w:color w:val="000000"/>
          <w:sz w:val="36"/>
          <w:szCs w:val="36"/>
        </w:rPr>
        <w:t>投标书</w:t>
      </w:r>
    </w:p>
    <w:p w14:paraId="7DFEC702">
      <w:pPr>
        <w:tabs>
          <w:tab w:val="left" w:pos="5580"/>
        </w:tabs>
        <w:spacing w:line="360" w:lineRule="auto"/>
        <w:rPr>
          <w:rFonts w:hint="eastAsia" w:ascii="宋体" w:hAnsi="宋体"/>
          <w:color w:val="000000"/>
          <w:sz w:val="24"/>
        </w:rPr>
      </w:pPr>
      <w:r>
        <w:rPr>
          <w:rFonts w:ascii="宋体" w:hAnsi="宋体"/>
          <w:color w:val="000000"/>
          <w:sz w:val="24"/>
        </w:rPr>
        <w:t>致：</w:t>
      </w:r>
      <w:r>
        <w:rPr>
          <w:rFonts w:ascii="宋体" w:hAnsi="宋体"/>
          <w:color w:val="000000"/>
          <w:sz w:val="24"/>
          <w:u w:val="single"/>
        </w:rPr>
        <w:t>（采购人或采购代理机构）</w:t>
      </w:r>
    </w:p>
    <w:p w14:paraId="3225875F">
      <w:pPr>
        <w:tabs>
          <w:tab w:val="left" w:pos="5580"/>
        </w:tabs>
        <w:spacing w:line="360" w:lineRule="auto"/>
        <w:rPr>
          <w:rFonts w:hint="eastAsia" w:ascii="宋体" w:hAnsi="宋体"/>
          <w:color w:val="000000"/>
          <w:sz w:val="24"/>
          <w:szCs w:val="20"/>
        </w:rPr>
      </w:pPr>
    </w:p>
    <w:p w14:paraId="64C713DD">
      <w:pPr>
        <w:tabs>
          <w:tab w:val="left" w:pos="5580"/>
        </w:tabs>
        <w:spacing w:line="360" w:lineRule="auto"/>
        <w:ind w:firstLine="408"/>
        <w:rPr>
          <w:rFonts w:hint="eastAsia" w:ascii="宋体" w:hAnsi="宋体"/>
          <w:color w:val="000000"/>
          <w:sz w:val="24"/>
          <w:szCs w:val="20"/>
        </w:rPr>
      </w:pPr>
      <w:r>
        <w:rPr>
          <w:rFonts w:ascii="宋体" w:hAnsi="宋体"/>
          <w:color w:val="000000"/>
          <w:sz w:val="24"/>
          <w:szCs w:val="20"/>
        </w:rPr>
        <w:t>我方参加你方就___________（项目名称，项目编号/包号）组织的招标活动，并对此项目进行投标。</w:t>
      </w:r>
    </w:p>
    <w:p w14:paraId="4451E2A5">
      <w:pPr>
        <w:tabs>
          <w:tab w:val="left" w:pos="5580"/>
        </w:tabs>
        <w:spacing w:line="360" w:lineRule="auto"/>
        <w:ind w:firstLine="408"/>
        <w:rPr>
          <w:rFonts w:hint="eastAsia" w:ascii="宋体" w:hAnsi="宋体"/>
          <w:color w:val="000000"/>
          <w:sz w:val="24"/>
          <w:szCs w:val="20"/>
        </w:rPr>
      </w:pPr>
      <w:r>
        <w:rPr>
          <w:rFonts w:ascii="宋体" w:hAnsi="宋体"/>
          <w:color w:val="000000"/>
          <w:sz w:val="24"/>
          <w:szCs w:val="20"/>
        </w:rPr>
        <w:t>1. 我方</w:t>
      </w:r>
      <w:r>
        <w:rPr>
          <w:rFonts w:ascii="宋体" w:hAnsi="宋体"/>
          <w:color w:val="000000"/>
          <w:sz w:val="24"/>
        </w:rPr>
        <w:t>已详细审查全部招标文件</w:t>
      </w:r>
      <w:r>
        <w:rPr>
          <w:rFonts w:ascii="宋体" w:hAnsi="宋体"/>
          <w:color w:val="000000"/>
          <w:sz w:val="24"/>
          <w:szCs w:val="20"/>
        </w:rPr>
        <w:t>，自愿参与投标并承诺如下：</w:t>
      </w:r>
    </w:p>
    <w:p w14:paraId="1470BA39">
      <w:pPr>
        <w:tabs>
          <w:tab w:val="left" w:pos="720"/>
          <w:tab w:val="left" w:pos="900"/>
        </w:tabs>
        <w:spacing w:line="360" w:lineRule="auto"/>
        <w:ind w:left="360" w:firstLine="72" w:firstLineChars="30"/>
        <w:rPr>
          <w:rFonts w:hint="eastAsia" w:ascii="宋体" w:hAnsi="宋体"/>
          <w:color w:val="000000"/>
          <w:sz w:val="24"/>
          <w:szCs w:val="20"/>
        </w:rPr>
      </w:pPr>
      <w:r>
        <w:rPr>
          <w:rFonts w:ascii="宋体" w:hAnsi="宋体"/>
          <w:color w:val="000000"/>
          <w:sz w:val="24"/>
          <w:szCs w:val="20"/>
        </w:rPr>
        <w:t>（1）本投标有效期为自提交投标文件的截止之日起</w:t>
      </w:r>
      <w:r>
        <w:rPr>
          <w:rFonts w:ascii="宋体" w:hAnsi="宋体"/>
          <w:sz w:val="24"/>
        </w:rPr>
        <w:t>_____</w:t>
      </w:r>
      <w:r>
        <w:rPr>
          <w:rFonts w:ascii="宋体" w:hAnsi="宋体"/>
          <w:color w:val="000000"/>
          <w:sz w:val="24"/>
          <w:szCs w:val="20"/>
        </w:rPr>
        <w:t>个日历日。</w:t>
      </w:r>
    </w:p>
    <w:p w14:paraId="43A4CDDC">
      <w:pPr>
        <w:tabs>
          <w:tab w:val="left" w:pos="720"/>
          <w:tab w:val="left" w:pos="900"/>
        </w:tabs>
        <w:spacing w:line="360" w:lineRule="auto"/>
        <w:ind w:left="360" w:firstLine="72" w:firstLineChars="30"/>
        <w:rPr>
          <w:rFonts w:hint="eastAsia" w:ascii="宋体" w:hAnsi="宋体"/>
          <w:color w:val="000000"/>
          <w:sz w:val="24"/>
          <w:szCs w:val="20"/>
        </w:rPr>
      </w:pPr>
      <w:r>
        <w:rPr>
          <w:rFonts w:ascii="宋体" w:hAnsi="宋体"/>
          <w:color w:val="000000"/>
          <w:sz w:val="24"/>
          <w:szCs w:val="20"/>
        </w:rPr>
        <w:t>（2）除合同条款及采购需求偏离表列出的偏离外，我方响应招标文件的全部要求。</w:t>
      </w:r>
    </w:p>
    <w:p w14:paraId="247A50C2">
      <w:pPr>
        <w:tabs>
          <w:tab w:val="left" w:pos="5580"/>
        </w:tabs>
        <w:spacing w:line="360" w:lineRule="auto"/>
        <w:ind w:firstLine="420" w:firstLineChars="175"/>
        <w:rPr>
          <w:rFonts w:hint="eastAsia" w:ascii="宋体" w:hAnsi="宋体"/>
          <w:color w:val="000000"/>
          <w:sz w:val="24"/>
          <w:szCs w:val="20"/>
        </w:rPr>
      </w:pPr>
      <w:r>
        <w:rPr>
          <w:rFonts w:ascii="宋体" w:hAnsi="宋体"/>
          <w:color w:val="000000"/>
          <w:sz w:val="24"/>
          <w:szCs w:val="20"/>
        </w:rPr>
        <w:t>（3）我方已提供的全部文件资料是真实、准确的，并对此承担一切法律后果。</w:t>
      </w:r>
    </w:p>
    <w:p w14:paraId="0378E22B">
      <w:pPr>
        <w:tabs>
          <w:tab w:val="left" w:pos="5580"/>
        </w:tabs>
        <w:spacing w:line="360" w:lineRule="auto"/>
        <w:ind w:firstLine="420" w:firstLineChars="175"/>
        <w:rPr>
          <w:rFonts w:hint="eastAsia" w:ascii="宋体" w:hAnsi="宋体"/>
          <w:color w:val="000000"/>
          <w:sz w:val="24"/>
        </w:rPr>
      </w:pPr>
      <w:r>
        <w:rPr>
          <w:rFonts w:ascii="宋体" w:hAnsi="宋体"/>
          <w:color w:val="000000"/>
          <w:sz w:val="24"/>
          <w:szCs w:val="20"/>
        </w:rPr>
        <w:t>（4）如我方中标，我方将在法律规定的期限内与你方签订合同，按照招标文件要求提交履约保证金，并在合同约定的期限内完成合同规定的全部义务。</w:t>
      </w:r>
    </w:p>
    <w:p w14:paraId="4F894E3B">
      <w:pPr>
        <w:spacing w:line="360" w:lineRule="auto"/>
        <w:ind w:left="420"/>
        <w:rPr>
          <w:rFonts w:hint="eastAsia" w:ascii="宋体" w:hAnsi="宋体"/>
          <w:color w:val="000000"/>
          <w:sz w:val="24"/>
        </w:rPr>
      </w:pPr>
      <w:r>
        <w:rPr>
          <w:rFonts w:ascii="宋体" w:hAnsi="宋体"/>
          <w:color w:val="000000"/>
          <w:sz w:val="24"/>
        </w:rPr>
        <w:t>2.其他补充条款：</w:t>
      </w:r>
      <w:r>
        <w:rPr>
          <w:rFonts w:ascii="宋体" w:hAnsi="宋体"/>
          <w:color w:val="000000"/>
          <w:sz w:val="24"/>
          <w:szCs w:val="20"/>
        </w:rPr>
        <w:t>___________</w:t>
      </w:r>
      <w:r>
        <w:rPr>
          <w:rFonts w:ascii="宋体" w:hAnsi="宋体"/>
          <w:color w:val="000000"/>
          <w:sz w:val="24"/>
        </w:rPr>
        <w:t>。</w:t>
      </w:r>
    </w:p>
    <w:p w14:paraId="618B19A1">
      <w:pPr>
        <w:spacing w:line="360" w:lineRule="auto"/>
        <w:ind w:firstLine="480" w:firstLineChars="200"/>
        <w:rPr>
          <w:rFonts w:hint="eastAsia" w:ascii="宋体" w:hAnsi="宋体"/>
          <w:color w:val="000000"/>
          <w:sz w:val="24"/>
        </w:rPr>
      </w:pPr>
      <w:r>
        <w:rPr>
          <w:rFonts w:ascii="宋体" w:hAnsi="宋体"/>
          <w:color w:val="000000"/>
          <w:sz w:val="24"/>
        </w:rPr>
        <w:t>与本投标有关的一切正式往来信函请寄：</w:t>
      </w:r>
    </w:p>
    <w:p w14:paraId="30631A6B">
      <w:pPr>
        <w:tabs>
          <w:tab w:val="left" w:pos="5580"/>
        </w:tabs>
        <w:spacing w:line="360" w:lineRule="auto"/>
        <w:ind w:left="420"/>
        <w:rPr>
          <w:rFonts w:hint="eastAsia" w:ascii="宋体" w:hAnsi="宋体"/>
          <w:color w:val="000000"/>
          <w:sz w:val="24"/>
          <w:szCs w:val="20"/>
        </w:rPr>
      </w:pPr>
    </w:p>
    <w:p w14:paraId="64F9480C">
      <w:pPr>
        <w:tabs>
          <w:tab w:val="left" w:pos="5580"/>
        </w:tabs>
        <w:spacing w:line="360" w:lineRule="auto"/>
        <w:ind w:left="420"/>
        <w:rPr>
          <w:rFonts w:hint="eastAsia" w:ascii="宋体" w:hAnsi="宋体"/>
          <w:color w:val="000000"/>
          <w:sz w:val="24"/>
          <w:szCs w:val="20"/>
        </w:rPr>
      </w:pPr>
      <w:r>
        <w:rPr>
          <w:rFonts w:ascii="宋体" w:hAnsi="宋体"/>
          <w:color w:val="000000"/>
          <w:sz w:val="24"/>
          <w:szCs w:val="20"/>
        </w:rPr>
        <w:t>地址_________________________     传真____________________________</w:t>
      </w:r>
    </w:p>
    <w:p w14:paraId="4A4DD1A5">
      <w:pPr>
        <w:tabs>
          <w:tab w:val="left" w:pos="5580"/>
        </w:tabs>
        <w:spacing w:line="360" w:lineRule="auto"/>
        <w:ind w:left="420"/>
        <w:rPr>
          <w:rFonts w:hint="eastAsia" w:ascii="宋体" w:hAnsi="宋体"/>
          <w:color w:val="000000"/>
          <w:sz w:val="24"/>
          <w:szCs w:val="20"/>
        </w:rPr>
      </w:pPr>
      <w:r>
        <w:rPr>
          <w:rFonts w:ascii="宋体" w:hAnsi="宋体"/>
          <w:color w:val="000000"/>
          <w:sz w:val="24"/>
          <w:szCs w:val="20"/>
        </w:rPr>
        <w:t>电话_________________________     电子函件________________________</w:t>
      </w:r>
    </w:p>
    <w:p w14:paraId="26708641">
      <w:pPr>
        <w:tabs>
          <w:tab w:val="left" w:pos="5580"/>
        </w:tabs>
        <w:spacing w:line="360" w:lineRule="auto"/>
        <w:ind w:left="420"/>
        <w:rPr>
          <w:rFonts w:hint="eastAsia" w:ascii="宋体" w:hAnsi="宋体"/>
          <w:color w:val="000000"/>
          <w:sz w:val="24"/>
          <w:szCs w:val="20"/>
        </w:rPr>
      </w:pPr>
    </w:p>
    <w:p w14:paraId="45DB20E3">
      <w:pPr>
        <w:tabs>
          <w:tab w:val="left" w:pos="5580"/>
        </w:tabs>
        <w:spacing w:line="360" w:lineRule="auto"/>
        <w:ind w:left="420"/>
        <w:rPr>
          <w:rFonts w:hint="eastAsia" w:ascii="宋体" w:hAnsi="宋体"/>
          <w:color w:val="000000"/>
          <w:sz w:val="24"/>
          <w:szCs w:val="20"/>
        </w:rPr>
      </w:pPr>
      <w:r>
        <w:rPr>
          <w:rFonts w:ascii="宋体" w:hAnsi="宋体"/>
          <w:color w:val="000000"/>
          <w:sz w:val="24"/>
          <w:szCs w:val="20"/>
        </w:rPr>
        <w:t>投标人名称（加盖公章） ___________</w:t>
      </w:r>
    </w:p>
    <w:p w14:paraId="028983ED">
      <w:pPr>
        <w:tabs>
          <w:tab w:val="left" w:pos="5580"/>
        </w:tabs>
        <w:spacing w:line="360" w:lineRule="auto"/>
        <w:ind w:left="420"/>
        <w:rPr>
          <w:rFonts w:hint="eastAsia"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7096DE4E">
      <w:pPr>
        <w:tabs>
          <w:tab w:val="left" w:pos="5580"/>
        </w:tabs>
        <w:spacing w:line="360" w:lineRule="auto"/>
        <w:ind w:left="420"/>
        <w:rPr>
          <w:rFonts w:hint="eastAsia" w:ascii="宋体" w:hAnsi="宋体"/>
          <w:color w:val="000000"/>
          <w:sz w:val="24"/>
          <w:szCs w:val="20"/>
        </w:rPr>
      </w:pPr>
      <w:r>
        <w:rPr>
          <w:rFonts w:ascii="宋体" w:hAnsi="宋体"/>
          <w:color w:val="000000"/>
          <w:sz w:val="24"/>
          <w:szCs w:val="20"/>
        </w:rPr>
        <w:t xml:space="preserve">日期：_____年______月______日    </w:t>
      </w:r>
    </w:p>
    <w:p w14:paraId="66DB53EB">
      <w:pPr>
        <w:tabs>
          <w:tab w:val="left" w:pos="5580"/>
        </w:tabs>
        <w:spacing w:line="360" w:lineRule="auto"/>
        <w:ind w:left="420"/>
        <w:rPr>
          <w:rFonts w:hint="eastAsia" w:ascii="宋体" w:hAnsi="宋体"/>
          <w:color w:val="000000"/>
          <w:sz w:val="24"/>
          <w:szCs w:val="20"/>
          <w:u w:val="single"/>
        </w:rPr>
      </w:pPr>
    </w:p>
    <w:p w14:paraId="072F396A">
      <w:pPr>
        <w:widowControl/>
        <w:jc w:val="left"/>
        <w:rPr>
          <w:rFonts w:hint="eastAsia" w:ascii="宋体" w:hAnsi="宋体"/>
          <w:color w:val="000000"/>
          <w:sz w:val="24"/>
        </w:rPr>
      </w:pPr>
      <w:bookmarkStart w:id="801" w:name="_Hlt520355938"/>
      <w:bookmarkEnd w:id="801"/>
      <w:bookmarkStart w:id="802" w:name="_Hlt520356243"/>
      <w:bookmarkEnd w:id="802"/>
      <w:bookmarkStart w:id="803" w:name="_Toc480942350"/>
      <w:bookmarkStart w:id="804" w:name="_Toc264969247"/>
      <w:bookmarkStart w:id="805" w:name="_Toc305158899"/>
      <w:bookmarkStart w:id="806" w:name="_Toc226337253"/>
      <w:bookmarkStart w:id="807" w:name="_Toc127151557"/>
      <w:bookmarkStart w:id="808" w:name="_Toc520356218"/>
      <w:bookmarkStart w:id="809" w:name="_Toc226309801"/>
      <w:bookmarkStart w:id="810" w:name="_Toc226965747"/>
      <w:bookmarkStart w:id="811" w:name="_Toc195842922"/>
      <w:bookmarkStart w:id="812" w:name="_Toc142311059"/>
      <w:bookmarkStart w:id="813" w:name="_Toc305158825"/>
      <w:bookmarkStart w:id="814" w:name="_Toc150774762"/>
      <w:bookmarkStart w:id="815" w:name="_Toc226965830"/>
      <w:bookmarkStart w:id="816" w:name="_Toc150480795"/>
      <w:bookmarkStart w:id="817" w:name="_Ref467988705"/>
      <w:bookmarkStart w:id="818" w:name="_Toc265228395"/>
      <w:r>
        <w:rPr>
          <w:rFonts w:ascii="宋体" w:hAnsi="宋体"/>
          <w:color w:val="000000"/>
          <w:sz w:val="24"/>
        </w:rPr>
        <w:br w:type="page"/>
      </w:r>
    </w:p>
    <w:p w14:paraId="39BA3F38">
      <w:pPr>
        <w:spacing w:line="360" w:lineRule="auto"/>
        <w:outlineLvl w:val="2"/>
        <w:rPr>
          <w:rFonts w:hint="eastAsia" w:ascii="宋体" w:hAnsi="宋体"/>
          <w:color w:val="000000"/>
          <w:sz w:val="24"/>
        </w:rPr>
      </w:pPr>
      <w:r>
        <w:rPr>
          <w:rFonts w:ascii="宋体" w:hAnsi="宋体"/>
          <w:color w:val="000000"/>
          <w:sz w:val="24"/>
        </w:rPr>
        <w:t>2  授权委托书（实质性格式）</w:t>
      </w:r>
    </w:p>
    <w:p w14:paraId="39182B86">
      <w:pPr>
        <w:spacing w:line="360" w:lineRule="exact"/>
        <w:jc w:val="center"/>
        <w:rPr>
          <w:rFonts w:hint="eastAsia" w:ascii="宋体" w:hAnsi="宋体"/>
          <w:b/>
          <w:color w:val="000000"/>
          <w:sz w:val="36"/>
          <w:szCs w:val="36"/>
        </w:rPr>
      </w:pPr>
      <w:r>
        <w:rPr>
          <w:rFonts w:hint="eastAsia" w:ascii="宋体" w:hAnsi="宋体"/>
          <w:b/>
          <w:color w:val="000000"/>
          <w:sz w:val="36"/>
          <w:szCs w:val="36"/>
        </w:rPr>
        <w:t>授权委托书</w:t>
      </w:r>
    </w:p>
    <w:p w14:paraId="6F4A87E6">
      <w:pPr>
        <w:spacing w:line="360" w:lineRule="auto"/>
        <w:ind w:firstLine="420"/>
        <w:rPr>
          <w:rFonts w:hint="eastAsia" w:ascii="宋体" w:hAnsi="宋体"/>
          <w:color w:val="000000"/>
          <w:sz w:val="24"/>
          <w:szCs w:val="20"/>
        </w:rPr>
      </w:pPr>
    </w:p>
    <w:p w14:paraId="194C62B1">
      <w:pPr>
        <w:spacing w:line="360" w:lineRule="auto"/>
        <w:ind w:firstLine="420"/>
        <w:rPr>
          <w:rFonts w:hint="eastAsia" w:ascii="宋体" w:hAnsi="宋体"/>
          <w:color w:val="000000"/>
          <w:sz w:val="24"/>
          <w:szCs w:val="20"/>
        </w:rPr>
      </w:pPr>
      <w:r>
        <w:rPr>
          <w:rFonts w:hint="eastAsia" w:ascii="宋体" w:hAnsi="宋体"/>
          <w:color w:val="000000"/>
          <w:sz w:val="24"/>
          <w:szCs w:val="20"/>
        </w:rPr>
        <w:t>本人</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系</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投标人</w:t>
      </w:r>
      <w:r>
        <w:rPr>
          <w:rFonts w:ascii="宋体" w:hAnsi="宋体"/>
          <w:color w:val="000000"/>
          <w:sz w:val="24"/>
          <w:szCs w:val="20"/>
        </w:rPr>
        <w:t>名称）</w:t>
      </w:r>
      <w:r>
        <w:rPr>
          <w:rFonts w:hint="eastAsia" w:ascii="宋体" w:hAnsi="宋体"/>
          <w:color w:val="000000"/>
          <w:sz w:val="24"/>
          <w:szCs w:val="20"/>
        </w:rPr>
        <w:t>的</w:t>
      </w:r>
      <w:r>
        <w:rPr>
          <w:rFonts w:ascii="宋体" w:hAnsi="宋体"/>
          <w:color w:val="000000"/>
          <w:sz w:val="24"/>
          <w:szCs w:val="20"/>
        </w:rPr>
        <w:t>法定代表人（</w:t>
      </w:r>
      <w:r>
        <w:rPr>
          <w:rFonts w:hint="eastAsia" w:ascii="宋体" w:hAnsi="宋体"/>
          <w:color w:val="000000"/>
          <w:sz w:val="24"/>
          <w:szCs w:val="20"/>
        </w:rPr>
        <w:t>单位</w:t>
      </w:r>
      <w:r>
        <w:rPr>
          <w:rFonts w:ascii="宋体" w:hAnsi="宋体"/>
          <w:color w:val="000000"/>
          <w:sz w:val="24"/>
          <w:szCs w:val="20"/>
        </w:rPr>
        <w:t>负责人）</w:t>
      </w:r>
      <w:r>
        <w:rPr>
          <w:rFonts w:hint="eastAsia" w:ascii="宋体" w:hAnsi="宋体"/>
          <w:color w:val="000000"/>
          <w:sz w:val="24"/>
          <w:szCs w:val="20"/>
        </w:rPr>
        <w:t>，</w:t>
      </w:r>
      <w:r>
        <w:rPr>
          <w:rFonts w:ascii="宋体" w:hAnsi="宋体"/>
          <w:color w:val="000000"/>
          <w:sz w:val="24"/>
          <w:szCs w:val="20"/>
        </w:rPr>
        <w:t>现委托</w:t>
      </w:r>
      <w:r>
        <w:rPr>
          <w:rFonts w:ascii="宋体" w:hAnsi="宋体"/>
          <w:color w:val="000000"/>
          <w:sz w:val="24"/>
          <w:lang w:val="zh-CN"/>
        </w:rPr>
        <w:t>_______</w:t>
      </w:r>
      <w:r>
        <w:rPr>
          <w:rFonts w:ascii="宋体" w:hAnsi="宋体"/>
          <w:color w:val="000000"/>
          <w:sz w:val="24"/>
          <w:szCs w:val="20"/>
        </w:rPr>
        <w:t>（</w:t>
      </w:r>
      <w:r>
        <w:rPr>
          <w:rFonts w:hint="eastAsia" w:ascii="宋体" w:hAnsi="宋体"/>
          <w:color w:val="000000"/>
          <w:sz w:val="24"/>
          <w:szCs w:val="20"/>
        </w:rPr>
        <w:t>姓名</w:t>
      </w:r>
      <w:r>
        <w:rPr>
          <w:rFonts w:ascii="宋体" w:hAnsi="宋体"/>
          <w:color w:val="000000"/>
          <w:sz w:val="24"/>
          <w:szCs w:val="20"/>
        </w:rPr>
        <w:t>）</w:t>
      </w:r>
      <w:r>
        <w:rPr>
          <w:rFonts w:hint="eastAsia" w:ascii="宋体" w:hAnsi="宋体"/>
          <w:color w:val="000000"/>
          <w:sz w:val="24"/>
          <w:szCs w:val="20"/>
        </w:rPr>
        <w:t>为</w:t>
      </w:r>
      <w:r>
        <w:rPr>
          <w:rFonts w:ascii="宋体" w:hAnsi="宋体"/>
          <w:color w:val="000000"/>
          <w:sz w:val="24"/>
          <w:szCs w:val="20"/>
        </w:rPr>
        <w:t>我方代理人。</w:t>
      </w:r>
      <w:r>
        <w:rPr>
          <w:rFonts w:hint="eastAsia" w:ascii="宋体" w:hAnsi="宋体"/>
          <w:color w:val="000000"/>
          <w:sz w:val="24"/>
          <w:szCs w:val="20"/>
        </w:rPr>
        <w:t>代理人根据</w:t>
      </w:r>
      <w:r>
        <w:rPr>
          <w:rFonts w:ascii="宋体" w:hAnsi="宋体"/>
          <w:color w:val="000000"/>
          <w:sz w:val="24"/>
          <w:szCs w:val="20"/>
        </w:rPr>
        <w:t>授权，以我方名义签署、澄清确认、递交、撤回、修改</w:t>
      </w:r>
      <w:r>
        <w:rPr>
          <w:rFonts w:ascii="宋体" w:hAnsi="宋体"/>
          <w:color w:val="000000"/>
          <w:sz w:val="24"/>
          <w:lang w:val="zh-CN"/>
        </w:rPr>
        <w:t>________________</w:t>
      </w:r>
      <w:r>
        <w:rPr>
          <w:rFonts w:ascii="宋体" w:hAnsi="宋体"/>
          <w:color w:val="000000"/>
          <w:sz w:val="24"/>
          <w:szCs w:val="20"/>
        </w:rPr>
        <w:t>（</w:t>
      </w:r>
      <w:r>
        <w:rPr>
          <w:rFonts w:hint="eastAsia" w:ascii="宋体" w:hAnsi="宋体"/>
          <w:color w:val="000000"/>
          <w:sz w:val="24"/>
          <w:szCs w:val="20"/>
        </w:rPr>
        <w:t>项目</w:t>
      </w:r>
      <w:r>
        <w:rPr>
          <w:rFonts w:ascii="宋体" w:hAnsi="宋体"/>
          <w:color w:val="000000"/>
          <w:sz w:val="24"/>
          <w:szCs w:val="20"/>
        </w:rPr>
        <w:t>名称）</w:t>
      </w:r>
      <w:r>
        <w:rPr>
          <w:rFonts w:hint="eastAsia" w:ascii="宋体" w:hAnsi="宋体"/>
          <w:color w:val="000000"/>
          <w:sz w:val="24"/>
          <w:szCs w:val="20"/>
        </w:rPr>
        <w:t>响应</w:t>
      </w:r>
      <w:r>
        <w:rPr>
          <w:rFonts w:ascii="宋体" w:hAnsi="宋体"/>
          <w:color w:val="000000"/>
          <w:sz w:val="24"/>
          <w:szCs w:val="20"/>
        </w:rPr>
        <w:t>文件</w:t>
      </w:r>
      <w:r>
        <w:rPr>
          <w:rFonts w:hint="eastAsia" w:ascii="宋体" w:hAnsi="宋体"/>
          <w:color w:val="000000"/>
          <w:sz w:val="24"/>
          <w:szCs w:val="20"/>
        </w:rPr>
        <w:t>和</w:t>
      </w:r>
      <w:r>
        <w:rPr>
          <w:rFonts w:ascii="宋体" w:hAnsi="宋体"/>
          <w:color w:val="000000"/>
          <w:sz w:val="24"/>
          <w:szCs w:val="20"/>
        </w:rPr>
        <w:t>处理有关事宜，其法律后果由我方承担。</w:t>
      </w:r>
    </w:p>
    <w:p w14:paraId="2272D594">
      <w:pPr>
        <w:spacing w:line="360" w:lineRule="auto"/>
        <w:ind w:firstLine="420"/>
        <w:rPr>
          <w:rFonts w:hint="eastAsia" w:ascii="宋体" w:hAnsi="宋体"/>
          <w:color w:val="000000"/>
          <w:sz w:val="24"/>
          <w:szCs w:val="20"/>
        </w:rPr>
      </w:pPr>
      <w:r>
        <w:rPr>
          <w:rFonts w:hint="eastAsia" w:ascii="宋体" w:hAnsi="宋体"/>
          <w:color w:val="000000"/>
          <w:sz w:val="24"/>
          <w:szCs w:val="20"/>
        </w:rPr>
        <w:t>委托</w:t>
      </w:r>
      <w:r>
        <w:rPr>
          <w:rFonts w:ascii="宋体" w:hAnsi="宋体"/>
          <w:color w:val="000000"/>
          <w:sz w:val="24"/>
          <w:szCs w:val="20"/>
        </w:rPr>
        <w:t>期限：自本</w:t>
      </w:r>
      <w:r>
        <w:rPr>
          <w:rFonts w:hint="eastAsia" w:ascii="宋体" w:hAnsi="宋体"/>
          <w:color w:val="000000"/>
          <w:sz w:val="24"/>
          <w:szCs w:val="20"/>
        </w:rPr>
        <w:t>授权</w:t>
      </w:r>
      <w:r>
        <w:rPr>
          <w:rFonts w:ascii="宋体" w:hAnsi="宋体"/>
          <w:color w:val="000000"/>
          <w:sz w:val="24"/>
          <w:szCs w:val="20"/>
        </w:rPr>
        <w:t>委托书签署之日起至</w:t>
      </w:r>
      <w:r>
        <w:rPr>
          <w:rFonts w:hint="eastAsia" w:ascii="宋体" w:hAnsi="宋体"/>
          <w:color w:val="000000"/>
          <w:sz w:val="24"/>
          <w:szCs w:val="20"/>
        </w:rPr>
        <w:t>响应</w:t>
      </w:r>
      <w:r>
        <w:rPr>
          <w:rFonts w:ascii="宋体" w:hAnsi="宋体"/>
          <w:color w:val="000000"/>
          <w:sz w:val="24"/>
          <w:szCs w:val="20"/>
        </w:rPr>
        <w:t>有效期</w:t>
      </w:r>
      <w:r>
        <w:rPr>
          <w:rFonts w:hint="eastAsia" w:ascii="宋体" w:hAnsi="宋体"/>
          <w:color w:val="000000"/>
          <w:sz w:val="24"/>
          <w:szCs w:val="20"/>
        </w:rPr>
        <w:t>届满</w:t>
      </w:r>
      <w:r>
        <w:rPr>
          <w:rFonts w:ascii="宋体" w:hAnsi="宋体"/>
          <w:color w:val="000000"/>
          <w:sz w:val="24"/>
          <w:szCs w:val="20"/>
        </w:rPr>
        <w:t>之日止。</w:t>
      </w:r>
    </w:p>
    <w:p w14:paraId="2A7847DD">
      <w:pPr>
        <w:spacing w:line="360" w:lineRule="auto"/>
        <w:ind w:firstLine="420"/>
        <w:rPr>
          <w:rFonts w:hint="eastAsia" w:ascii="宋体" w:hAnsi="宋体"/>
          <w:color w:val="000000"/>
          <w:sz w:val="24"/>
          <w:szCs w:val="20"/>
        </w:rPr>
      </w:pPr>
      <w:r>
        <w:rPr>
          <w:rFonts w:hint="eastAsia" w:ascii="宋体" w:hAnsi="宋体"/>
          <w:color w:val="000000"/>
          <w:sz w:val="24"/>
          <w:szCs w:val="20"/>
        </w:rPr>
        <w:t>代理人</w:t>
      </w:r>
      <w:r>
        <w:rPr>
          <w:rFonts w:ascii="宋体" w:hAnsi="宋体"/>
          <w:color w:val="000000"/>
          <w:sz w:val="24"/>
          <w:szCs w:val="20"/>
        </w:rPr>
        <w:t>无转委托权。</w:t>
      </w:r>
      <w:r>
        <w:rPr>
          <w:rFonts w:ascii="宋体" w:hAnsi="宋体"/>
          <w:color w:val="000000"/>
          <w:sz w:val="24"/>
          <w:szCs w:val="20"/>
        </w:rPr>
        <w:cr/>
      </w:r>
    </w:p>
    <w:p w14:paraId="6369AC7E">
      <w:pPr>
        <w:spacing w:line="360" w:lineRule="auto"/>
        <w:rPr>
          <w:rFonts w:hint="eastAsia"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680B5B5A">
      <w:pPr>
        <w:spacing w:line="360" w:lineRule="auto"/>
        <w:rPr>
          <w:rFonts w:hint="eastAsia" w:ascii="宋体" w:hAnsi="宋体"/>
          <w:color w:val="000000"/>
          <w:sz w:val="24"/>
          <w:szCs w:val="20"/>
        </w:rPr>
      </w:pPr>
      <w:r>
        <w:rPr>
          <w:rFonts w:ascii="宋体" w:hAnsi="宋体"/>
          <w:color w:val="000000"/>
          <w:sz w:val="24"/>
          <w:szCs w:val="20"/>
        </w:rPr>
        <w:t>法定代表人（单位负责人</w:t>
      </w:r>
      <w:r>
        <w:rPr>
          <w:rFonts w:hint="eastAsia" w:ascii="宋体" w:hAnsi="宋体"/>
          <w:color w:val="000000"/>
          <w:sz w:val="24"/>
          <w:szCs w:val="20"/>
        </w:rPr>
        <w:t>即授权人</w:t>
      </w:r>
      <w:r>
        <w:rPr>
          <w:rFonts w:ascii="宋体" w:hAnsi="宋体"/>
          <w:color w:val="000000"/>
          <w:sz w:val="24"/>
          <w:szCs w:val="20"/>
        </w:rPr>
        <w:t>）签字：</w:t>
      </w:r>
      <w:r>
        <w:rPr>
          <w:rFonts w:ascii="宋体" w:hAnsi="宋体"/>
          <w:color w:val="000000"/>
          <w:sz w:val="24"/>
          <w:lang w:val="zh-CN"/>
        </w:rPr>
        <w:t>________________</w:t>
      </w:r>
    </w:p>
    <w:p w14:paraId="16BC7605">
      <w:pPr>
        <w:autoSpaceDE w:val="0"/>
        <w:autoSpaceDN w:val="0"/>
        <w:adjustRightInd w:val="0"/>
        <w:snapToGrid w:val="0"/>
        <w:spacing w:line="360" w:lineRule="auto"/>
        <w:rPr>
          <w:rFonts w:hint="eastAsia" w:ascii="宋体" w:hAnsi="宋体"/>
          <w:color w:val="000000"/>
          <w:sz w:val="24"/>
          <w:lang w:val="zh-CN"/>
        </w:rPr>
      </w:pPr>
      <w:r>
        <w:rPr>
          <w:rFonts w:hint="eastAsia" w:ascii="宋体" w:hAnsi="宋体"/>
          <w:color w:val="000000"/>
          <w:sz w:val="24"/>
        </w:rPr>
        <w:t>委托代理</w:t>
      </w:r>
      <w:r>
        <w:rPr>
          <w:rFonts w:ascii="宋体" w:hAnsi="宋体"/>
          <w:color w:val="000000"/>
          <w:sz w:val="24"/>
        </w:rPr>
        <w:t>人</w:t>
      </w:r>
      <w:r>
        <w:rPr>
          <w:rFonts w:hint="eastAsia" w:ascii="宋体" w:hAnsi="宋体"/>
          <w:color w:val="000000"/>
          <w:sz w:val="24"/>
        </w:rPr>
        <w:t>（</w:t>
      </w:r>
      <w:r>
        <w:rPr>
          <w:rFonts w:ascii="宋体" w:hAnsi="宋体"/>
          <w:sz w:val="24"/>
        </w:rPr>
        <w:t>授权代表</w:t>
      </w:r>
      <w:r>
        <w:rPr>
          <w:rFonts w:hint="eastAsia" w:ascii="宋体" w:hAnsi="宋体"/>
          <w:color w:val="000000"/>
          <w:sz w:val="24"/>
        </w:rPr>
        <w:t>）</w:t>
      </w:r>
      <w:r>
        <w:rPr>
          <w:rFonts w:ascii="宋体" w:hAnsi="宋体"/>
          <w:color w:val="000000"/>
          <w:sz w:val="24"/>
        </w:rPr>
        <w:t>签字：</w:t>
      </w:r>
      <w:r>
        <w:rPr>
          <w:rFonts w:ascii="宋体" w:hAnsi="宋体"/>
          <w:color w:val="000000"/>
          <w:sz w:val="24"/>
          <w:lang w:val="zh-CN"/>
        </w:rPr>
        <w:t>________________</w:t>
      </w:r>
      <w:r>
        <w:rPr>
          <w:rFonts w:ascii="宋体" w:hAnsi="宋体"/>
          <w:color w:val="000000"/>
          <w:sz w:val="24"/>
        </w:rPr>
        <w:t xml:space="preserve">    </w:t>
      </w:r>
      <w:r>
        <w:rPr>
          <w:rFonts w:ascii="宋体" w:hAnsi="宋体"/>
          <w:color w:val="000000"/>
          <w:sz w:val="24"/>
          <w:lang w:val="zh-CN"/>
        </w:rPr>
        <w:t xml:space="preserve">                      </w:t>
      </w:r>
    </w:p>
    <w:p w14:paraId="57086DFD">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日期：_____年______月______日</w:t>
      </w:r>
    </w:p>
    <w:p w14:paraId="79706A62">
      <w:pPr>
        <w:tabs>
          <w:tab w:val="left" w:pos="5580"/>
        </w:tabs>
        <w:spacing w:line="360" w:lineRule="auto"/>
        <w:ind w:firstLine="480" w:firstLineChars="200"/>
        <w:rPr>
          <w:rFonts w:hint="eastAsia" w:ascii="宋体" w:hAnsi="宋体"/>
          <w:color w:val="000000"/>
          <w:sz w:val="24"/>
          <w:szCs w:val="20"/>
        </w:rPr>
      </w:pPr>
    </w:p>
    <w:p w14:paraId="68AE2BE2">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法定代表人（单位负责人）有效期内的身份证</w:t>
      </w:r>
      <w:r>
        <w:rPr>
          <w:rFonts w:ascii="宋体" w:hAnsi="宋体"/>
          <w:b/>
          <w:color w:val="000000"/>
          <w:sz w:val="24"/>
          <w:szCs w:val="20"/>
        </w:rPr>
        <w:t>正反面</w:t>
      </w:r>
      <w:r>
        <w:rPr>
          <w:rFonts w:hint="eastAsia" w:ascii="宋体" w:hAnsi="宋体"/>
          <w:color w:val="000000"/>
          <w:sz w:val="24"/>
          <w:szCs w:val="20"/>
        </w:rPr>
        <w:t>复印</w:t>
      </w:r>
      <w:r>
        <w:rPr>
          <w:rFonts w:ascii="宋体" w:hAnsi="宋体"/>
          <w:color w:val="000000"/>
          <w:sz w:val="24"/>
          <w:szCs w:val="20"/>
        </w:rPr>
        <w:t>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7A0427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CD667B9">
            <w:pPr>
              <w:tabs>
                <w:tab w:val="left" w:pos="5580"/>
              </w:tabs>
              <w:spacing w:line="360" w:lineRule="auto"/>
              <w:jc w:val="left"/>
              <w:rPr>
                <w:rFonts w:hint="eastAsia" w:ascii="宋体" w:hAnsi="宋体"/>
                <w:color w:val="000000"/>
                <w:sz w:val="24"/>
                <w:szCs w:val="20"/>
              </w:rPr>
            </w:pPr>
          </w:p>
          <w:p w14:paraId="48561041">
            <w:pPr>
              <w:tabs>
                <w:tab w:val="left" w:pos="5580"/>
              </w:tabs>
              <w:spacing w:line="360" w:lineRule="auto"/>
              <w:jc w:val="left"/>
              <w:rPr>
                <w:rFonts w:hint="eastAsia" w:ascii="宋体" w:hAnsi="宋体"/>
                <w:color w:val="000000"/>
                <w:sz w:val="24"/>
                <w:szCs w:val="20"/>
              </w:rPr>
            </w:pPr>
          </w:p>
          <w:p w14:paraId="28BA64C2">
            <w:pPr>
              <w:tabs>
                <w:tab w:val="left" w:pos="5580"/>
              </w:tabs>
              <w:spacing w:line="360" w:lineRule="auto"/>
              <w:jc w:val="left"/>
              <w:rPr>
                <w:rFonts w:hint="eastAsia" w:ascii="宋体" w:hAnsi="宋体"/>
                <w:color w:val="000000"/>
                <w:sz w:val="24"/>
                <w:szCs w:val="20"/>
              </w:rPr>
            </w:pPr>
          </w:p>
        </w:tc>
        <w:tc>
          <w:tcPr>
            <w:tcW w:w="4536" w:type="dxa"/>
          </w:tcPr>
          <w:p w14:paraId="11B82379">
            <w:pPr>
              <w:tabs>
                <w:tab w:val="left" w:pos="5580"/>
              </w:tabs>
              <w:spacing w:line="360" w:lineRule="auto"/>
              <w:jc w:val="left"/>
              <w:rPr>
                <w:rFonts w:hint="eastAsia" w:ascii="宋体" w:hAnsi="宋体"/>
                <w:color w:val="000000"/>
                <w:sz w:val="24"/>
                <w:szCs w:val="20"/>
              </w:rPr>
            </w:pPr>
          </w:p>
          <w:p w14:paraId="603586E3">
            <w:pPr>
              <w:tabs>
                <w:tab w:val="left" w:pos="5580"/>
              </w:tabs>
              <w:spacing w:line="360" w:lineRule="auto"/>
              <w:jc w:val="left"/>
              <w:rPr>
                <w:rFonts w:hint="eastAsia" w:ascii="宋体" w:hAnsi="宋体"/>
                <w:color w:val="000000"/>
                <w:sz w:val="24"/>
                <w:szCs w:val="20"/>
              </w:rPr>
            </w:pPr>
          </w:p>
          <w:p w14:paraId="00849992">
            <w:pPr>
              <w:tabs>
                <w:tab w:val="left" w:pos="5580"/>
              </w:tabs>
              <w:spacing w:line="360" w:lineRule="auto"/>
              <w:jc w:val="left"/>
              <w:rPr>
                <w:rFonts w:hint="eastAsia" w:ascii="宋体" w:hAnsi="宋体"/>
                <w:color w:val="000000"/>
                <w:sz w:val="24"/>
                <w:szCs w:val="20"/>
              </w:rPr>
            </w:pPr>
          </w:p>
        </w:tc>
      </w:tr>
    </w:tbl>
    <w:p w14:paraId="0C5D82C5">
      <w:pPr>
        <w:tabs>
          <w:tab w:val="left" w:pos="5580"/>
        </w:tabs>
        <w:spacing w:line="360" w:lineRule="auto"/>
        <w:jc w:val="left"/>
        <w:rPr>
          <w:rFonts w:hint="eastAsia" w:ascii="宋体" w:hAnsi="宋体"/>
          <w:color w:val="000000"/>
          <w:sz w:val="24"/>
          <w:szCs w:val="20"/>
        </w:rPr>
      </w:pPr>
      <w:r>
        <w:rPr>
          <w:rFonts w:hint="eastAsia" w:ascii="宋体" w:hAnsi="宋体"/>
          <w:color w:val="000000"/>
          <w:sz w:val="24"/>
          <w:szCs w:val="20"/>
        </w:rPr>
        <w:t>委托代理人</w:t>
      </w:r>
      <w:r>
        <w:rPr>
          <w:rFonts w:ascii="宋体" w:hAnsi="宋体"/>
          <w:color w:val="000000"/>
          <w:sz w:val="24"/>
          <w:szCs w:val="20"/>
        </w:rPr>
        <w:t>有效期内的身份证</w:t>
      </w:r>
      <w:r>
        <w:rPr>
          <w:rFonts w:ascii="宋体" w:hAnsi="宋体"/>
          <w:b/>
          <w:color w:val="000000"/>
          <w:sz w:val="24"/>
          <w:szCs w:val="20"/>
        </w:rPr>
        <w:t>正反面</w:t>
      </w:r>
      <w:r>
        <w:rPr>
          <w:rFonts w:hint="eastAsia" w:ascii="宋体" w:hAnsi="宋体"/>
          <w:color w:val="000000"/>
          <w:sz w:val="24"/>
          <w:szCs w:val="20"/>
        </w:rPr>
        <w:t>复印</w:t>
      </w:r>
      <w:r>
        <w:rPr>
          <w:rFonts w:ascii="宋体" w:hAnsi="宋体"/>
          <w:color w:val="000000"/>
          <w:sz w:val="24"/>
          <w:szCs w:val="20"/>
        </w:rPr>
        <w:t>件：</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28011D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7A6E688D">
            <w:pPr>
              <w:tabs>
                <w:tab w:val="left" w:pos="5580"/>
              </w:tabs>
              <w:spacing w:line="360" w:lineRule="auto"/>
              <w:jc w:val="left"/>
              <w:rPr>
                <w:rFonts w:hint="eastAsia" w:ascii="宋体" w:hAnsi="宋体"/>
                <w:color w:val="000000"/>
                <w:sz w:val="24"/>
                <w:szCs w:val="20"/>
              </w:rPr>
            </w:pPr>
          </w:p>
          <w:p w14:paraId="78ADD0C5">
            <w:pPr>
              <w:tabs>
                <w:tab w:val="left" w:pos="5580"/>
              </w:tabs>
              <w:spacing w:line="360" w:lineRule="auto"/>
              <w:jc w:val="left"/>
              <w:rPr>
                <w:rFonts w:hint="eastAsia" w:ascii="宋体" w:hAnsi="宋体"/>
                <w:color w:val="000000"/>
                <w:sz w:val="24"/>
                <w:szCs w:val="20"/>
              </w:rPr>
            </w:pPr>
          </w:p>
          <w:p w14:paraId="3F2F16F8">
            <w:pPr>
              <w:tabs>
                <w:tab w:val="left" w:pos="5580"/>
              </w:tabs>
              <w:spacing w:line="360" w:lineRule="auto"/>
              <w:jc w:val="left"/>
              <w:rPr>
                <w:rFonts w:hint="eastAsia" w:ascii="宋体" w:hAnsi="宋体"/>
                <w:color w:val="000000"/>
                <w:sz w:val="24"/>
                <w:szCs w:val="20"/>
              </w:rPr>
            </w:pPr>
          </w:p>
        </w:tc>
        <w:tc>
          <w:tcPr>
            <w:tcW w:w="4536" w:type="dxa"/>
          </w:tcPr>
          <w:p w14:paraId="0C90F63F">
            <w:pPr>
              <w:tabs>
                <w:tab w:val="left" w:pos="5580"/>
              </w:tabs>
              <w:spacing w:line="360" w:lineRule="auto"/>
              <w:jc w:val="left"/>
              <w:rPr>
                <w:rFonts w:hint="eastAsia" w:ascii="宋体" w:hAnsi="宋体"/>
                <w:color w:val="000000"/>
                <w:sz w:val="24"/>
                <w:szCs w:val="20"/>
              </w:rPr>
            </w:pPr>
          </w:p>
          <w:p w14:paraId="304393AC">
            <w:pPr>
              <w:tabs>
                <w:tab w:val="left" w:pos="5580"/>
              </w:tabs>
              <w:spacing w:line="360" w:lineRule="auto"/>
              <w:jc w:val="left"/>
              <w:rPr>
                <w:rFonts w:hint="eastAsia" w:ascii="宋体" w:hAnsi="宋体"/>
                <w:color w:val="000000"/>
                <w:sz w:val="24"/>
                <w:szCs w:val="20"/>
              </w:rPr>
            </w:pPr>
          </w:p>
          <w:p w14:paraId="2B84FD96">
            <w:pPr>
              <w:tabs>
                <w:tab w:val="left" w:pos="5580"/>
              </w:tabs>
              <w:spacing w:line="360" w:lineRule="auto"/>
              <w:jc w:val="left"/>
              <w:rPr>
                <w:rFonts w:hint="eastAsia" w:ascii="宋体" w:hAnsi="宋体"/>
                <w:color w:val="000000"/>
                <w:sz w:val="24"/>
                <w:szCs w:val="20"/>
              </w:rPr>
            </w:pPr>
          </w:p>
        </w:tc>
      </w:tr>
    </w:tbl>
    <w:p w14:paraId="4DDACE41">
      <w:pPr>
        <w:tabs>
          <w:tab w:val="left" w:pos="5580"/>
        </w:tabs>
        <w:spacing w:line="360" w:lineRule="auto"/>
        <w:jc w:val="left"/>
        <w:rPr>
          <w:rFonts w:hint="eastAsia" w:ascii="宋体" w:hAnsi="宋体"/>
          <w:color w:val="000000"/>
          <w:sz w:val="24"/>
          <w:szCs w:val="20"/>
        </w:rPr>
      </w:pPr>
      <w:r>
        <w:rPr>
          <w:rFonts w:hint="eastAsia" w:ascii="宋体" w:hAnsi="宋体"/>
          <w:color w:val="000000"/>
          <w:sz w:val="24"/>
          <w:szCs w:val="20"/>
        </w:rPr>
        <w:t>说明</w:t>
      </w:r>
      <w:r>
        <w:rPr>
          <w:rFonts w:ascii="宋体" w:hAnsi="宋体"/>
          <w:color w:val="000000"/>
          <w:sz w:val="24"/>
          <w:szCs w:val="20"/>
        </w:rPr>
        <w:t>：</w:t>
      </w:r>
    </w:p>
    <w:p w14:paraId="5E277DDC">
      <w:pPr>
        <w:tabs>
          <w:tab w:val="left" w:pos="5580"/>
        </w:tabs>
        <w:spacing w:line="360" w:lineRule="auto"/>
        <w:jc w:val="left"/>
        <w:rPr>
          <w:rFonts w:hint="eastAsia" w:ascii="宋体" w:hAnsi="宋体"/>
          <w:color w:val="000000"/>
          <w:sz w:val="24"/>
          <w:szCs w:val="20"/>
        </w:rPr>
      </w:pPr>
      <w:r>
        <w:rPr>
          <w:rFonts w:ascii="宋体" w:hAnsi="宋体"/>
          <w:color w:val="000000"/>
          <w:sz w:val="24"/>
          <w:szCs w:val="20"/>
        </w:rPr>
        <w:t>1.若供应商为事业单位或其他组织或分支机构（仅当</w:t>
      </w:r>
      <w:r>
        <w:rPr>
          <w:rFonts w:hint="eastAsia" w:ascii="宋体" w:hAnsi="宋体"/>
          <w:color w:val="000000"/>
          <w:sz w:val="24"/>
          <w:szCs w:val="20"/>
        </w:rPr>
        <w:t>招标</w:t>
      </w:r>
      <w:r>
        <w:rPr>
          <w:rFonts w:ascii="宋体" w:hAnsi="宋体"/>
          <w:color w:val="000000"/>
          <w:sz w:val="24"/>
          <w:szCs w:val="20"/>
        </w:rPr>
        <w:t>文件注明允许分支机构</w:t>
      </w:r>
      <w:r>
        <w:rPr>
          <w:rFonts w:hint="eastAsia" w:ascii="宋体" w:hAnsi="宋体"/>
          <w:color w:val="000000"/>
          <w:sz w:val="24"/>
          <w:szCs w:val="20"/>
        </w:rPr>
        <w:t>投标</w:t>
      </w:r>
      <w:r>
        <w:rPr>
          <w:rFonts w:ascii="宋体" w:hAnsi="宋体"/>
          <w:color w:val="000000"/>
          <w:sz w:val="24"/>
          <w:szCs w:val="20"/>
        </w:rPr>
        <w:t>的），则法定代表人（单位负责人）</w:t>
      </w:r>
      <w:r>
        <w:rPr>
          <w:rFonts w:hint="eastAsia" w:ascii="宋体" w:hAnsi="宋体"/>
          <w:color w:val="000000"/>
          <w:sz w:val="24"/>
          <w:szCs w:val="20"/>
        </w:rPr>
        <w:t>处</w:t>
      </w:r>
      <w:r>
        <w:rPr>
          <w:rFonts w:ascii="宋体" w:hAnsi="宋体"/>
          <w:color w:val="000000"/>
          <w:sz w:val="24"/>
          <w:szCs w:val="20"/>
        </w:rPr>
        <w:t>的签署人可为单位负责人</w:t>
      </w:r>
      <w:r>
        <w:rPr>
          <w:rFonts w:hint="eastAsia" w:ascii="宋体" w:hAnsi="宋体"/>
          <w:color w:val="000000"/>
          <w:sz w:val="24"/>
          <w:szCs w:val="20"/>
        </w:rPr>
        <w:t>。</w:t>
      </w:r>
    </w:p>
    <w:p w14:paraId="2C14507E">
      <w:pPr>
        <w:tabs>
          <w:tab w:val="left" w:pos="5580"/>
        </w:tabs>
        <w:spacing w:line="360" w:lineRule="auto"/>
        <w:jc w:val="left"/>
        <w:rPr>
          <w:rFonts w:hint="eastAsia" w:ascii="宋体" w:hAnsi="宋体"/>
          <w:color w:val="000000"/>
          <w:sz w:val="24"/>
          <w:szCs w:val="20"/>
        </w:rPr>
      </w:pPr>
      <w:r>
        <w:rPr>
          <w:rFonts w:hint="eastAsia" w:ascii="宋体" w:hAnsi="宋体"/>
          <w:color w:val="000000"/>
          <w:sz w:val="24"/>
          <w:szCs w:val="20"/>
        </w:rPr>
        <w:t>2.</w:t>
      </w:r>
      <w:r>
        <w:rPr>
          <w:rFonts w:ascii="宋体" w:hAnsi="宋体"/>
          <w:color w:val="000000"/>
          <w:sz w:val="24"/>
          <w:szCs w:val="20"/>
        </w:rPr>
        <w:t>若</w:t>
      </w:r>
      <w:r>
        <w:rPr>
          <w:rFonts w:hint="eastAsia" w:ascii="宋体" w:hAnsi="宋体"/>
          <w:color w:val="000000"/>
          <w:sz w:val="24"/>
          <w:szCs w:val="20"/>
        </w:rPr>
        <w:t>投标</w:t>
      </w:r>
      <w:r>
        <w:rPr>
          <w:rFonts w:ascii="宋体" w:hAnsi="宋体"/>
          <w:color w:val="000000"/>
          <w:sz w:val="24"/>
          <w:szCs w:val="20"/>
        </w:rPr>
        <w:t>文件中签字之处均为法定代表人（单位负责人）本人签署，则可不提供本《</w:t>
      </w:r>
      <w:r>
        <w:rPr>
          <w:rFonts w:hint="eastAsia" w:ascii="宋体" w:hAnsi="宋体"/>
          <w:color w:val="000000"/>
          <w:sz w:val="24"/>
          <w:szCs w:val="20"/>
        </w:rPr>
        <w:t>授权委托书</w:t>
      </w:r>
      <w:r>
        <w:rPr>
          <w:rFonts w:ascii="宋体" w:hAnsi="宋体"/>
          <w:color w:val="000000"/>
          <w:sz w:val="24"/>
          <w:szCs w:val="20"/>
        </w:rPr>
        <w:t>》，但须提供</w:t>
      </w:r>
      <w:r>
        <w:rPr>
          <w:rFonts w:hint="eastAsia" w:ascii="宋体" w:hAnsi="宋体"/>
          <w:color w:val="000000"/>
          <w:sz w:val="24"/>
          <w:szCs w:val="20"/>
        </w:rPr>
        <w:t>《</w:t>
      </w:r>
      <w:r>
        <w:rPr>
          <w:rFonts w:ascii="宋体" w:hAnsi="宋体"/>
          <w:color w:val="000000"/>
          <w:sz w:val="24"/>
          <w:szCs w:val="20"/>
        </w:rPr>
        <w:t>法定代表人（单位负责人）身份证</w:t>
      </w:r>
      <w:r>
        <w:rPr>
          <w:rFonts w:hint="eastAsia" w:ascii="宋体" w:hAnsi="宋体"/>
          <w:color w:val="000000"/>
          <w:sz w:val="24"/>
          <w:szCs w:val="20"/>
        </w:rPr>
        <w:t>明》</w:t>
      </w:r>
      <w:r>
        <w:rPr>
          <w:rFonts w:ascii="宋体" w:hAnsi="宋体"/>
          <w:color w:val="000000"/>
          <w:sz w:val="24"/>
          <w:szCs w:val="20"/>
        </w:rPr>
        <w:t>（实质性格式）。</w:t>
      </w:r>
    </w:p>
    <w:p w14:paraId="2260B702">
      <w:pPr>
        <w:tabs>
          <w:tab w:val="left" w:pos="5580"/>
        </w:tabs>
        <w:spacing w:line="360" w:lineRule="auto"/>
        <w:jc w:val="left"/>
        <w:rPr>
          <w:rFonts w:hint="eastAsia" w:ascii="宋体" w:hAnsi="宋体"/>
          <w:color w:val="000000"/>
          <w:sz w:val="30"/>
          <w:szCs w:val="30"/>
        </w:rPr>
      </w:pPr>
      <w:r>
        <w:rPr>
          <w:rFonts w:ascii="宋体" w:hAnsi="宋体"/>
          <w:color w:val="000000"/>
          <w:sz w:val="24"/>
          <w:szCs w:val="20"/>
        </w:rPr>
        <w:t>3.</w:t>
      </w:r>
      <w:r>
        <w:rPr>
          <w:rFonts w:hint="eastAsia" w:ascii="宋体" w:hAnsi="宋体"/>
          <w:color w:val="000000"/>
          <w:sz w:val="24"/>
          <w:szCs w:val="20"/>
        </w:rPr>
        <w:t>供应商为自然人的情形，可不提供本</w:t>
      </w:r>
      <w:r>
        <w:rPr>
          <w:rFonts w:ascii="宋体" w:hAnsi="宋体"/>
          <w:color w:val="000000"/>
          <w:sz w:val="24"/>
          <w:szCs w:val="20"/>
        </w:rPr>
        <w:t>《</w:t>
      </w:r>
      <w:r>
        <w:rPr>
          <w:rFonts w:hint="eastAsia" w:ascii="宋体" w:hAnsi="宋体"/>
          <w:color w:val="000000"/>
          <w:sz w:val="24"/>
          <w:szCs w:val="20"/>
        </w:rPr>
        <w:t>授权委托书</w:t>
      </w:r>
      <w:r>
        <w:rPr>
          <w:rFonts w:ascii="宋体" w:hAnsi="宋体"/>
          <w:color w:val="000000"/>
          <w:sz w:val="24"/>
          <w:szCs w:val="20"/>
        </w:rPr>
        <w:t>》</w:t>
      </w:r>
      <w:r>
        <w:rPr>
          <w:rFonts w:hint="eastAsia" w:ascii="宋体" w:hAnsi="宋体"/>
          <w:color w:val="000000"/>
          <w:sz w:val="24"/>
          <w:szCs w:val="20"/>
        </w:rPr>
        <w:t>。</w:t>
      </w:r>
      <w:r>
        <w:rPr>
          <w:rFonts w:ascii="宋体" w:hAnsi="宋体"/>
          <w:color w:val="000000"/>
          <w:sz w:val="30"/>
          <w:szCs w:val="30"/>
        </w:rPr>
        <w:br w:type="page"/>
      </w:r>
    </w:p>
    <w:p w14:paraId="73599B45">
      <w:pPr>
        <w:spacing w:line="360" w:lineRule="exact"/>
        <w:jc w:val="center"/>
        <w:rPr>
          <w:rFonts w:hint="eastAsia" w:ascii="宋体" w:hAnsi="宋体"/>
          <w:b/>
          <w:color w:val="000000"/>
          <w:sz w:val="36"/>
          <w:szCs w:val="36"/>
        </w:rPr>
      </w:pPr>
      <w:r>
        <w:rPr>
          <w:rFonts w:hint="eastAsia" w:ascii="宋体" w:hAnsi="宋体"/>
          <w:b/>
          <w:color w:val="000000"/>
          <w:sz w:val="36"/>
          <w:szCs w:val="36"/>
        </w:rPr>
        <w:t>附：</w:t>
      </w:r>
      <w:r>
        <w:rPr>
          <w:rFonts w:ascii="宋体" w:hAnsi="宋体"/>
          <w:b/>
          <w:color w:val="000000"/>
          <w:sz w:val="36"/>
          <w:szCs w:val="36"/>
        </w:rPr>
        <w:t>法定代表人（单位负责人）身份证明</w:t>
      </w:r>
    </w:p>
    <w:p w14:paraId="4FA69436">
      <w:pPr>
        <w:kinsoku w:val="0"/>
        <w:overflowPunct w:val="0"/>
        <w:spacing w:line="200" w:lineRule="exact"/>
        <w:rPr>
          <w:rFonts w:hint="eastAsia" w:ascii="宋体" w:hAnsi="宋体"/>
          <w:sz w:val="20"/>
          <w:szCs w:val="20"/>
        </w:rPr>
      </w:pPr>
    </w:p>
    <w:p w14:paraId="7EA51A23">
      <w:pPr>
        <w:tabs>
          <w:tab w:val="left" w:pos="5580"/>
        </w:tabs>
        <w:spacing w:line="360" w:lineRule="auto"/>
        <w:rPr>
          <w:rFonts w:hint="eastAsia" w:ascii="宋体" w:hAnsi="宋体"/>
          <w:color w:val="000000"/>
          <w:sz w:val="24"/>
        </w:rPr>
      </w:pPr>
    </w:p>
    <w:p w14:paraId="1EE8B5DD">
      <w:pPr>
        <w:tabs>
          <w:tab w:val="left" w:pos="5580"/>
        </w:tabs>
        <w:spacing w:line="360" w:lineRule="auto"/>
        <w:rPr>
          <w:rFonts w:hint="eastAsia" w:ascii="宋体" w:hAnsi="宋体"/>
          <w:color w:val="000000"/>
          <w:sz w:val="24"/>
        </w:rPr>
      </w:pPr>
      <w:r>
        <w:rPr>
          <w:rFonts w:ascii="宋体" w:hAnsi="宋体"/>
          <w:color w:val="000000"/>
          <w:sz w:val="24"/>
        </w:rPr>
        <w:t>致：</w:t>
      </w:r>
      <w:r>
        <w:rPr>
          <w:rFonts w:ascii="宋体" w:hAnsi="宋体"/>
          <w:color w:val="000000"/>
          <w:sz w:val="24"/>
          <w:u w:val="single"/>
        </w:rPr>
        <w:t>（</w:t>
      </w:r>
      <w:r>
        <w:rPr>
          <w:rFonts w:hint="eastAsia" w:ascii="宋体" w:hAnsi="宋体"/>
          <w:color w:val="000000"/>
          <w:sz w:val="24"/>
          <w:u w:val="single"/>
        </w:rPr>
        <w:t>采购人或</w:t>
      </w:r>
      <w:r>
        <w:rPr>
          <w:rFonts w:ascii="宋体" w:hAnsi="宋体"/>
          <w:color w:val="000000"/>
          <w:sz w:val="24"/>
          <w:u w:val="single"/>
        </w:rPr>
        <w:t>采购代理机构）</w:t>
      </w:r>
    </w:p>
    <w:p w14:paraId="6095B095">
      <w:pPr>
        <w:pStyle w:val="18"/>
        <w:tabs>
          <w:tab w:val="left" w:pos="2412"/>
          <w:tab w:val="left" w:pos="3883"/>
          <w:tab w:val="left" w:pos="5352"/>
          <w:tab w:val="left" w:pos="6821"/>
        </w:tabs>
        <w:kinsoku w:val="0"/>
        <w:overflowPunct w:val="0"/>
        <w:spacing w:line="335" w:lineRule="exact"/>
        <w:ind w:firstLine="480" w:firstLineChars="200"/>
        <w:rPr>
          <w:rFonts w:hint="eastAsia"/>
        </w:rPr>
      </w:pPr>
      <w:r>
        <w:rPr>
          <w:rFonts w:hint="eastAsia"/>
        </w:rPr>
        <w:t>兹证明，</w:t>
      </w:r>
    </w:p>
    <w:p w14:paraId="69A4210A">
      <w:pPr>
        <w:pStyle w:val="18"/>
        <w:tabs>
          <w:tab w:val="left" w:pos="1690"/>
          <w:tab w:val="left" w:pos="3400"/>
          <w:tab w:val="left" w:pos="5110"/>
          <w:tab w:val="left" w:pos="6821"/>
        </w:tabs>
        <w:kinsoku w:val="0"/>
        <w:overflowPunct w:val="0"/>
        <w:spacing w:line="335" w:lineRule="exact"/>
        <w:rPr>
          <w:rFonts w:hint="eastAsia"/>
        </w:rPr>
      </w:pPr>
      <w:r>
        <w:t>姓名</w:t>
      </w:r>
      <w:r>
        <w:rPr>
          <w:rFonts w:hint="eastAsia"/>
        </w:rPr>
        <w:t>：</w:t>
      </w:r>
      <w:r>
        <w:t>____性别：____年龄：____职务：____</w:t>
      </w:r>
    </w:p>
    <w:p w14:paraId="58945F76">
      <w:pPr>
        <w:pStyle w:val="18"/>
        <w:tabs>
          <w:tab w:val="left" w:pos="2412"/>
          <w:tab w:val="left" w:pos="3883"/>
          <w:tab w:val="left" w:pos="5352"/>
          <w:tab w:val="left" w:pos="6821"/>
        </w:tabs>
        <w:kinsoku w:val="0"/>
        <w:overflowPunct w:val="0"/>
        <w:spacing w:line="335" w:lineRule="exact"/>
        <w:rPr>
          <w:rFonts w:hint="eastAsia"/>
        </w:rPr>
      </w:pPr>
    </w:p>
    <w:p w14:paraId="4F1F221C">
      <w:pPr>
        <w:pStyle w:val="18"/>
        <w:tabs>
          <w:tab w:val="left" w:pos="2250"/>
          <w:tab w:val="left" w:pos="2412"/>
          <w:tab w:val="left" w:pos="3883"/>
          <w:tab w:val="left" w:pos="5352"/>
          <w:tab w:val="left" w:pos="6821"/>
          <w:tab w:val="clear" w:pos="567"/>
        </w:tabs>
        <w:kinsoku w:val="0"/>
        <w:overflowPunct w:val="0"/>
        <w:spacing w:line="335" w:lineRule="exact"/>
        <w:rPr>
          <w:rFonts w:hint="eastAsia"/>
        </w:rPr>
      </w:pPr>
      <w:r>
        <w:t>系</w:t>
      </w:r>
      <w:r>
        <w:rPr>
          <w:u w:val="single"/>
        </w:rPr>
        <w:tab/>
      </w:r>
      <w:r>
        <w:t>（</w:t>
      </w:r>
      <w:r>
        <w:rPr>
          <w:rFonts w:hint="eastAsia"/>
        </w:rPr>
        <w:t>投标人</w:t>
      </w:r>
      <w:r>
        <w:t>名称）的法定代表人（单位负责人）。</w:t>
      </w:r>
    </w:p>
    <w:p w14:paraId="786C69C1">
      <w:pPr>
        <w:pStyle w:val="18"/>
        <w:tabs>
          <w:tab w:val="left" w:pos="2412"/>
          <w:tab w:val="left" w:pos="3883"/>
          <w:tab w:val="left" w:pos="5352"/>
          <w:tab w:val="left" w:pos="6821"/>
        </w:tabs>
        <w:kinsoku w:val="0"/>
        <w:overflowPunct w:val="0"/>
        <w:spacing w:line="335" w:lineRule="exact"/>
        <w:rPr>
          <w:rFonts w:hint="eastAsia"/>
        </w:rPr>
      </w:pPr>
    </w:p>
    <w:p w14:paraId="72220C4B">
      <w:pPr>
        <w:pStyle w:val="18"/>
        <w:tabs>
          <w:tab w:val="left" w:pos="2412"/>
          <w:tab w:val="left" w:pos="3883"/>
          <w:tab w:val="left" w:pos="5352"/>
          <w:tab w:val="left" w:pos="6821"/>
        </w:tabs>
        <w:kinsoku w:val="0"/>
        <w:overflowPunct w:val="0"/>
        <w:spacing w:line="335" w:lineRule="exact"/>
        <w:rPr>
          <w:rFonts w:hint="eastAsia"/>
        </w:rPr>
      </w:pPr>
    </w:p>
    <w:p w14:paraId="1F3E8AC4">
      <w:pPr>
        <w:pStyle w:val="18"/>
        <w:tabs>
          <w:tab w:val="left" w:pos="2412"/>
          <w:tab w:val="left" w:pos="3883"/>
          <w:tab w:val="left" w:pos="5352"/>
          <w:tab w:val="left" w:pos="6821"/>
        </w:tabs>
        <w:kinsoku w:val="0"/>
        <w:overflowPunct w:val="0"/>
        <w:spacing w:line="335" w:lineRule="exact"/>
        <w:rPr>
          <w:rFonts w:hint="eastAsia"/>
        </w:rPr>
      </w:pPr>
    </w:p>
    <w:p w14:paraId="3D5E3BDF">
      <w:pPr>
        <w:pStyle w:val="18"/>
        <w:kinsoku w:val="0"/>
        <w:overflowPunct w:val="0"/>
        <w:spacing w:line="583" w:lineRule="auto"/>
        <w:ind w:right="-46"/>
        <w:rPr>
          <w:rFonts w:hint="eastAsia"/>
          <w:spacing w:val="-3"/>
        </w:rPr>
      </w:pPr>
      <w:r>
        <w:t>附：</w:t>
      </w:r>
      <w:r>
        <w:rPr>
          <w:spacing w:val="-3"/>
        </w:rPr>
        <w:t>法</w:t>
      </w:r>
      <w:r>
        <w:t>定</w:t>
      </w:r>
      <w:r>
        <w:rPr>
          <w:spacing w:val="-3"/>
        </w:rPr>
        <w:t>代</w:t>
      </w:r>
      <w:r>
        <w:t>表</w:t>
      </w:r>
      <w:r>
        <w:rPr>
          <w:spacing w:val="-3"/>
        </w:rPr>
        <w:t>人</w:t>
      </w:r>
      <w:r>
        <w:t>（</w:t>
      </w:r>
      <w:r>
        <w:rPr>
          <w:spacing w:val="-3"/>
        </w:rPr>
        <w:t>单</w:t>
      </w:r>
      <w:r>
        <w:t>位</w:t>
      </w:r>
      <w:r>
        <w:rPr>
          <w:spacing w:val="-3"/>
        </w:rPr>
        <w:t>负</w:t>
      </w:r>
      <w:r>
        <w:t>责人</w:t>
      </w:r>
      <w:r>
        <w:rPr>
          <w:spacing w:val="-3"/>
        </w:rPr>
        <w:t>）有效期内的身</w:t>
      </w:r>
      <w:r>
        <w:rPr>
          <w:rFonts w:hint="eastAsia"/>
          <w:spacing w:val="-3"/>
        </w:rPr>
        <w:t>份</w:t>
      </w:r>
      <w:r>
        <w:rPr>
          <w:spacing w:val="-3"/>
        </w:rPr>
        <w:t>证正反面</w:t>
      </w:r>
      <w:r>
        <w:rPr>
          <w:rFonts w:hint="eastAsia"/>
          <w:spacing w:val="-3"/>
        </w:rPr>
        <w:t>复印</w:t>
      </w:r>
      <w:r>
        <w:rPr>
          <w:spacing w:val="-3"/>
        </w:rPr>
        <w:t>件</w:t>
      </w:r>
      <w:r>
        <w:rPr>
          <w:rFonts w:hint="eastAsia"/>
          <w:spacing w:val="-3"/>
        </w:rPr>
        <w:t>。</w:t>
      </w:r>
    </w:p>
    <w:tbl>
      <w:tblPr>
        <w:tblStyle w:val="45"/>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673"/>
        <w:gridCol w:w="4536"/>
      </w:tblGrid>
      <w:tr w14:paraId="3E13745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4673" w:type="dxa"/>
          </w:tcPr>
          <w:p w14:paraId="632BBC77">
            <w:pPr>
              <w:tabs>
                <w:tab w:val="left" w:pos="5580"/>
              </w:tabs>
              <w:spacing w:line="360" w:lineRule="auto"/>
              <w:jc w:val="left"/>
              <w:rPr>
                <w:rFonts w:hint="eastAsia" w:ascii="宋体" w:hAnsi="宋体"/>
                <w:color w:val="000000"/>
                <w:sz w:val="24"/>
                <w:szCs w:val="20"/>
              </w:rPr>
            </w:pPr>
          </w:p>
          <w:p w14:paraId="1FEA14FF">
            <w:pPr>
              <w:tabs>
                <w:tab w:val="left" w:pos="5580"/>
              </w:tabs>
              <w:spacing w:line="360" w:lineRule="auto"/>
              <w:jc w:val="left"/>
              <w:rPr>
                <w:rFonts w:hint="eastAsia" w:ascii="宋体" w:hAnsi="宋体"/>
                <w:color w:val="000000"/>
                <w:sz w:val="24"/>
                <w:szCs w:val="20"/>
              </w:rPr>
            </w:pPr>
          </w:p>
          <w:p w14:paraId="72344676">
            <w:pPr>
              <w:tabs>
                <w:tab w:val="left" w:pos="5580"/>
              </w:tabs>
              <w:spacing w:line="360" w:lineRule="auto"/>
              <w:jc w:val="left"/>
              <w:rPr>
                <w:rFonts w:hint="eastAsia" w:ascii="宋体" w:hAnsi="宋体"/>
                <w:color w:val="000000"/>
                <w:sz w:val="24"/>
                <w:szCs w:val="20"/>
              </w:rPr>
            </w:pPr>
          </w:p>
        </w:tc>
        <w:tc>
          <w:tcPr>
            <w:tcW w:w="4536" w:type="dxa"/>
          </w:tcPr>
          <w:p w14:paraId="5A80162D">
            <w:pPr>
              <w:tabs>
                <w:tab w:val="left" w:pos="5580"/>
              </w:tabs>
              <w:spacing w:line="360" w:lineRule="auto"/>
              <w:jc w:val="left"/>
              <w:rPr>
                <w:rFonts w:hint="eastAsia" w:ascii="宋体" w:hAnsi="宋体"/>
                <w:color w:val="000000"/>
                <w:sz w:val="24"/>
                <w:szCs w:val="20"/>
              </w:rPr>
            </w:pPr>
          </w:p>
          <w:p w14:paraId="7EDF992E">
            <w:pPr>
              <w:tabs>
                <w:tab w:val="left" w:pos="5580"/>
              </w:tabs>
              <w:spacing w:line="360" w:lineRule="auto"/>
              <w:jc w:val="left"/>
              <w:rPr>
                <w:rFonts w:hint="eastAsia" w:ascii="宋体" w:hAnsi="宋体"/>
                <w:color w:val="000000"/>
                <w:sz w:val="24"/>
                <w:szCs w:val="20"/>
              </w:rPr>
            </w:pPr>
          </w:p>
          <w:p w14:paraId="63047BEF">
            <w:pPr>
              <w:tabs>
                <w:tab w:val="left" w:pos="5580"/>
              </w:tabs>
              <w:spacing w:line="360" w:lineRule="auto"/>
              <w:jc w:val="left"/>
              <w:rPr>
                <w:rFonts w:hint="eastAsia" w:ascii="宋体" w:hAnsi="宋体"/>
                <w:color w:val="000000"/>
                <w:sz w:val="24"/>
                <w:szCs w:val="20"/>
              </w:rPr>
            </w:pPr>
          </w:p>
        </w:tc>
      </w:tr>
    </w:tbl>
    <w:p w14:paraId="0B62F265">
      <w:pPr>
        <w:pStyle w:val="18"/>
        <w:kinsoku w:val="0"/>
        <w:overflowPunct w:val="0"/>
        <w:spacing w:line="583" w:lineRule="auto"/>
        <w:ind w:right="4305"/>
        <w:rPr>
          <w:rFonts w:hint="eastAsia"/>
          <w:spacing w:val="-3"/>
        </w:rPr>
      </w:pPr>
    </w:p>
    <w:p w14:paraId="6DF9B66D">
      <w:pPr>
        <w:pStyle w:val="18"/>
        <w:kinsoku w:val="0"/>
        <w:overflowPunct w:val="0"/>
        <w:spacing w:line="583" w:lineRule="auto"/>
        <w:ind w:right="4305"/>
        <w:rPr>
          <w:rFonts w:hint="eastAsia"/>
          <w:spacing w:val="-3"/>
        </w:rPr>
      </w:pPr>
    </w:p>
    <w:p w14:paraId="1FD8541C">
      <w:pPr>
        <w:autoSpaceDE w:val="0"/>
        <w:autoSpaceDN w:val="0"/>
        <w:adjustRightInd w:val="0"/>
        <w:snapToGrid w:val="0"/>
        <w:spacing w:line="360" w:lineRule="auto"/>
        <w:rPr>
          <w:rFonts w:hint="eastAsia" w:ascii="宋体" w:hAnsi="宋体"/>
          <w:color w:val="000000"/>
          <w:sz w:val="24"/>
          <w:lang w:val="zh-CN"/>
        </w:rPr>
      </w:pPr>
      <w:r>
        <w:rPr>
          <w:rFonts w:hint="eastAsia" w:ascii="宋体" w:hAnsi="宋体"/>
          <w:color w:val="000000"/>
          <w:sz w:val="24"/>
        </w:rPr>
        <w:t>投标人</w:t>
      </w:r>
      <w:r>
        <w:rPr>
          <w:rFonts w:ascii="宋体" w:hAnsi="宋体"/>
          <w:color w:val="000000"/>
          <w:sz w:val="24"/>
        </w:rPr>
        <w:t>名称（加盖公章）</w:t>
      </w:r>
      <w:r>
        <w:rPr>
          <w:rFonts w:ascii="宋体" w:hAnsi="宋体"/>
          <w:color w:val="000000"/>
          <w:sz w:val="24"/>
          <w:lang w:val="zh-CN"/>
        </w:rPr>
        <w:t>：________________</w:t>
      </w:r>
    </w:p>
    <w:p w14:paraId="491F67D9">
      <w:pPr>
        <w:pStyle w:val="18"/>
        <w:kinsoku w:val="0"/>
        <w:overflowPunct w:val="0"/>
        <w:spacing w:line="583" w:lineRule="auto"/>
        <w:ind w:right="95"/>
        <w:rPr>
          <w:rFonts w:hint="eastAsia"/>
          <w:spacing w:val="-3"/>
        </w:rPr>
      </w:pPr>
      <w:r>
        <w:rPr>
          <w:rFonts w:hint="eastAsia"/>
          <w:spacing w:val="-3"/>
        </w:rPr>
        <w:t>法定代表人（</w:t>
      </w:r>
      <w:r>
        <w:t>单位负责人</w:t>
      </w:r>
      <w:r>
        <w:rPr>
          <w:rFonts w:hint="eastAsia"/>
          <w:spacing w:val="-3"/>
        </w:rPr>
        <w:t>）（签字、签章或印鉴）：_</w:t>
      </w:r>
      <w:r>
        <w:rPr>
          <w:spacing w:val="-3"/>
        </w:rPr>
        <w:t>______</w:t>
      </w:r>
    </w:p>
    <w:p w14:paraId="54DFDA14">
      <w:pPr>
        <w:autoSpaceDE w:val="0"/>
        <w:autoSpaceDN w:val="0"/>
        <w:adjustRightInd w:val="0"/>
        <w:snapToGrid w:val="0"/>
        <w:spacing w:line="360" w:lineRule="auto"/>
        <w:rPr>
          <w:rFonts w:hint="eastAsia" w:ascii="宋体" w:hAnsi="宋体"/>
          <w:color w:val="000000"/>
          <w:sz w:val="24"/>
        </w:rPr>
      </w:pPr>
    </w:p>
    <w:p w14:paraId="2ABE20D6">
      <w:pPr>
        <w:autoSpaceDE w:val="0"/>
        <w:autoSpaceDN w:val="0"/>
        <w:adjustRightInd w:val="0"/>
        <w:snapToGrid w:val="0"/>
        <w:spacing w:line="360" w:lineRule="auto"/>
        <w:rPr>
          <w:rFonts w:hint="eastAsia" w:ascii="宋体" w:hAnsi="宋体"/>
          <w:color w:val="000000"/>
          <w:sz w:val="24"/>
          <w:lang w:val="zh-CN"/>
        </w:rPr>
      </w:pPr>
      <w:r>
        <w:rPr>
          <w:rFonts w:ascii="宋体" w:hAnsi="宋体"/>
          <w:color w:val="000000"/>
          <w:sz w:val="24"/>
        </w:rPr>
        <w:t>日期：_____年______月______日</w:t>
      </w:r>
    </w:p>
    <w:p w14:paraId="5AFE76FA">
      <w:pPr>
        <w:widowControl/>
        <w:jc w:val="left"/>
        <w:rPr>
          <w:rFonts w:hint="eastAsia" w:ascii="宋体" w:hAnsi="宋体"/>
          <w:i/>
          <w:color w:val="000000"/>
          <w:sz w:val="24"/>
          <w:szCs w:val="20"/>
          <w:u w:val="single"/>
        </w:rPr>
      </w:pPr>
    </w:p>
    <w:p w14:paraId="6F27285D">
      <w:pPr>
        <w:widowControl/>
        <w:jc w:val="left"/>
        <w:rPr>
          <w:rFonts w:hint="eastAsia" w:ascii="宋体" w:hAnsi="宋体"/>
          <w:color w:val="000000"/>
          <w:sz w:val="24"/>
          <w:szCs w:val="20"/>
        </w:rPr>
      </w:pPr>
      <w:r>
        <w:rPr>
          <w:rFonts w:ascii="宋体" w:hAnsi="宋体"/>
          <w:color w:val="000000"/>
          <w:sz w:val="24"/>
          <w:szCs w:val="20"/>
        </w:rPr>
        <w:br w:type="page"/>
      </w:r>
    </w:p>
    <w:p w14:paraId="4C4465EE">
      <w:pPr>
        <w:spacing w:line="360" w:lineRule="auto"/>
        <w:outlineLvl w:val="2"/>
        <w:rPr>
          <w:rFonts w:hint="eastAsia" w:ascii="宋体" w:hAnsi="宋体"/>
          <w:color w:val="000000"/>
          <w:sz w:val="24"/>
          <w:szCs w:val="20"/>
        </w:rPr>
      </w:pPr>
      <w:r>
        <w:rPr>
          <w:rFonts w:ascii="宋体" w:hAnsi="宋体"/>
          <w:color w:val="000000"/>
          <w:sz w:val="24"/>
          <w:szCs w:val="20"/>
        </w:rPr>
        <w:t>3  开标一览表</w:t>
      </w:r>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p>
    <w:p w14:paraId="770735E5">
      <w:pPr>
        <w:spacing w:line="360" w:lineRule="exact"/>
        <w:jc w:val="center"/>
        <w:rPr>
          <w:rFonts w:hint="eastAsia" w:ascii="宋体" w:hAnsi="宋体"/>
          <w:b/>
          <w:color w:val="000000"/>
          <w:sz w:val="36"/>
          <w:szCs w:val="36"/>
        </w:rPr>
      </w:pPr>
      <w:bookmarkStart w:id="819" w:name="_Toc164608672"/>
      <w:bookmarkStart w:id="820" w:name="_Toc226337254"/>
      <w:bookmarkStart w:id="821" w:name="_Toc226965831"/>
      <w:bookmarkStart w:id="822" w:name="_Toc264969248"/>
      <w:bookmarkStart w:id="823" w:name="_Toc226309802"/>
      <w:bookmarkStart w:id="824" w:name="_Toc265228396"/>
      <w:bookmarkStart w:id="825" w:name="_Toc226965748"/>
      <w:bookmarkStart w:id="826" w:name="_Toc195842923"/>
      <w:bookmarkStart w:id="827" w:name="_Toc305158900"/>
      <w:bookmarkStart w:id="828" w:name="_Toc305158826"/>
      <w:bookmarkStart w:id="829" w:name="_Toc164608827"/>
      <w:r>
        <w:rPr>
          <w:rFonts w:hint="eastAsia" w:ascii="宋体" w:hAnsi="宋体"/>
          <w:b/>
          <w:color w:val="000000"/>
          <w:sz w:val="36"/>
          <w:szCs w:val="36"/>
        </w:rPr>
        <w:t>开标一览表</w:t>
      </w:r>
      <w:bookmarkEnd w:id="819"/>
      <w:bookmarkEnd w:id="820"/>
      <w:bookmarkEnd w:id="821"/>
      <w:bookmarkEnd w:id="822"/>
      <w:bookmarkEnd w:id="823"/>
      <w:bookmarkEnd w:id="824"/>
      <w:bookmarkEnd w:id="825"/>
      <w:bookmarkEnd w:id="826"/>
      <w:bookmarkEnd w:id="827"/>
      <w:bookmarkEnd w:id="828"/>
      <w:bookmarkEnd w:id="829"/>
    </w:p>
    <w:p w14:paraId="6AAB9B9C">
      <w:pPr>
        <w:tabs>
          <w:tab w:val="left" w:pos="1800"/>
          <w:tab w:val="left" w:pos="5580"/>
        </w:tabs>
        <w:spacing w:line="360" w:lineRule="auto"/>
        <w:jc w:val="left"/>
        <w:rPr>
          <w:rFonts w:hint="eastAsia" w:ascii="宋体" w:hAnsi="宋体"/>
          <w:i/>
          <w:color w:val="FF0000"/>
          <w:sz w:val="24"/>
        </w:rPr>
      </w:pPr>
    </w:p>
    <w:p w14:paraId="547D8E9B">
      <w:pPr>
        <w:tabs>
          <w:tab w:val="left" w:pos="1800"/>
          <w:tab w:val="left" w:pos="5580"/>
        </w:tabs>
        <w:spacing w:line="360" w:lineRule="auto"/>
        <w:ind w:firstLine="240" w:firstLineChars="100"/>
        <w:jc w:val="left"/>
        <w:rPr>
          <w:rFonts w:hint="eastAsia" w:ascii="宋体" w:hAnsi="宋体"/>
          <w:color w:val="000000"/>
          <w:sz w:val="24"/>
          <w:u w:val="single"/>
        </w:rPr>
      </w:pPr>
      <w:r>
        <w:rPr>
          <w:rFonts w:ascii="宋体" w:hAnsi="宋体"/>
          <w:color w:val="000000"/>
          <w:sz w:val="24"/>
        </w:rPr>
        <w:t>项目编号/包号：_____________________     项目名称：____________</w:t>
      </w:r>
    </w:p>
    <w:tbl>
      <w:tblPr>
        <w:tblStyle w:val="45"/>
        <w:tblW w:w="540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07"/>
        <w:gridCol w:w="3716"/>
        <w:gridCol w:w="2967"/>
        <w:gridCol w:w="2329"/>
      </w:tblGrid>
      <w:tr w14:paraId="6EDEC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83" w:hRule="atLeast"/>
          <w:jc w:val="center"/>
        </w:trPr>
        <w:tc>
          <w:tcPr>
            <w:tcW w:w="411" w:type="pct"/>
            <w:vMerge w:val="restart"/>
            <w:vAlign w:val="center"/>
          </w:tcPr>
          <w:p w14:paraId="05D40688">
            <w:pPr>
              <w:tabs>
                <w:tab w:val="left" w:pos="5580"/>
              </w:tabs>
              <w:jc w:val="center"/>
              <w:rPr>
                <w:b/>
                <w:color w:val="000000"/>
                <w:sz w:val="24"/>
              </w:rPr>
            </w:pPr>
            <w:r>
              <w:rPr>
                <w:b/>
                <w:color w:val="000000"/>
                <w:sz w:val="24"/>
              </w:rPr>
              <w:t>序号</w:t>
            </w:r>
          </w:p>
        </w:tc>
        <w:tc>
          <w:tcPr>
            <w:tcW w:w="1892" w:type="pct"/>
            <w:vMerge w:val="restart"/>
            <w:vAlign w:val="center"/>
          </w:tcPr>
          <w:p w14:paraId="320B467B">
            <w:pPr>
              <w:tabs>
                <w:tab w:val="left" w:pos="5580"/>
              </w:tabs>
              <w:jc w:val="center"/>
              <w:rPr>
                <w:b/>
                <w:color w:val="000000"/>
                <w:sz w:val="24"/>
              </w:rPr>
            </w:pPr>
            <w:r>
              <w:rPr>
                <w:b/>
                <w:color w:val="000000"/>
                <w:sz w:val="24"/>
              </w:rPr>
              <w:t>投标人名称</w:t>
            </w:r>
          </w:p>
        </w:tc>
        <w:tc>
          <w:tcPr>
            <w:tcW w:w="2697" w:type="pct"/>
            <w:gridSpan w:val="2"/>
            <w:vAlign w:val="center"/>
          </w:tcPr>
          <w:p w14:paraId="759BA390">
            <w:pPr>
              <w:tabs>
                <w:tab w:val="left" w:pos="5580"/>
              </w:tabs>
              <w:jc w:val="center"/>
              <w:rPr>
                <w:b/>
                <w:color w:val="000000"/>
                <w:sz w:val="24"/>
              </w:rPr>
            </w:pPr>
            <w:r>
              <w:rPr>
                <w:b/>
                <w:color w:val="000000"/>
                <w:sz w:val="24"/>
              </w:rPr>
              <w:t>投标报价</w:t>
            </w:r>
            <w:r>
              <w:rPr>
                <w:rFonts w:hint="eastAsia"/>
                <w:b/>
                <w:color w:val="000000"/>
                <w:sz w:val="24"/>
              </w:rPr>
              <w:t>（元）</w:t>
            </w:r>
          </w:p>
        </w:tc>
      </w:tr>
      <w:tr w14:paraId="1CA46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1" w:hRule="atLeast"/>
          <w:jc w:val="center"/>
        </w:trPr>
        <w:tc>
          <w:tcPr>
            <w:tcW w:w="411" w:type="pct"/>
            <w:vMerge w:val="continue"/>
            <w:vAlign w:val="center"/>
          </w:tcPr>
          <w:p w14:paraId="733B23D2">
            <w:pPr>
              <w:tabs>
                <w:tab w:val="left" w:pos="5580"/>
              </w:tabs>
              <w:jc w:val="center"/>
              <w:rPr>
                <w:color w:val="000000"/>
                <w:sz w:val="24"/>
              </w:rPr>
            </w:pPr>
          </w:p>
        </w:tc>
        <w:tc>
          <w:tcPr>
            <w:tcW w:w="1892" w:type="pct"/>
            <w:vMerge w:val="continue"/>
            <w:vAlign w:val="center"/>
          </w:tcPr>
          <w:p w14:paraId="3EDA18DD">
            <w:pPr>
              <w:tabs>
                <w:tab w:val="left" w:pos="5580"/>
              </w:tabs>
              <w:jc w:val="center"/>
              <w:rPr>
                <w:color w:val="000000"/>
                <w:sz w:val="24"/>
              </w:rPr>
            </w:pPr>
          </w:p>
        </w:tc>
        <w:tc>
          <w:tcPr>
            <w:tcW w:w="1511" w:type="pct"/>
            <w:vAlign w:val="center"/>
          </w:tcPr>
          <w:p w14:paraId="4FF8AD93">
            <w:pPr>
              <w:tabs>
                <w:tab w:val="left" w:pos="5580"/>
              </w:tabs>
              <w:jc w:val="center"/>
              <w:rPr>
                <w:b/>
                <w:color w:val="000000"/>
                <w:sz w:val="24"/>
              </w:rPr>
            </w:pPr>
            <w:r>
              <w:rPr>
                <w:b/>
                <w:color w:val="000000"/>
                <w:sz w:val="24"/>
              </w:rPr>
              <w:t>大写</w:t>
            </w:r>
          </w:p>
        </w:tc>
        <w:tc>
          <w:tcPr>
            <w:tcW w:w="1186" w:type="pct"/>
            <w:vAlign w:val="center"/>
          </w:tcPr>
          <w:p w14:paraId="1227D1B2">
            <w:pPr>
              <w:tabs>
                <w:tab w:val="left" w:pos="5580"/>
              </w:tabs>
              <w:jc w:val="center"/>
              <w:rPr>
                <w:b/>
                <w:color w:val="000000"/>
                <w:sz w:val="24"/>
              </w:rPr>
            </w:pPr>
            <w:r>
              <w:rPr>
                <w:b/>
                <w:color w:val="000000"/>
                <w:sz w:val="24"/>
              </w:rPr>
              <w:t>小写</w:t>
            </w:r>
          </w:p>
        </w:tc>
      </w:tr>
      <w:tr w14:paraId="5F9B8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5" w:hRule="atLeast"/>
          <w:jc w:val="center"/>
        </w:trPr>
        <w:tc>
          <w:tcPr>
            <w:tcW w:w="411" w:type="pct"/>
            <w:vAlign w:val="center"/>
          </w:tcPr>
          <w:p w14:paraId="69DF0554">
            <w:pPr>
              <w:tabs>
                <w:tab w:val="left" w:pos="5580"/>
              </w:tabs>
              <w:jc w:val="center"/>
              <w:rPr>
                <w:color w:val="000000"/>
                <w:sz w:val="24"/>
              </w:rPr>
            </w:pPr>
          </w:p>
        </w:tc>
        <w:tc>
          <w:tcPr>
            <w:tcW w:w="1892" w:type="pct"/>
            <w:vAlign w:val="center"/>
          </w:tcPr>
          <w:p w14:paraId="2BDC5E47">
            <w:pPr>
              <w:tabs>
                <w:tab w:val="left" w:pos="5580"/>
              </w:tabs>
              <w:jc w:val="center"/>
              <w:rPr>
                <w:color w:val="000000"/>
                <w:sz w:val="24"/>
              </w:rPr>
            </w:pPr>
          </w:p>
        </w:tc>
        <w:tc>
          <w:tcPr>
            <w:tcW w:w="1511" w:type="pct"/>
            <w:vAlign w:val="center"/>
          </w:tcPr>
          <w:p w14:paraId="40199FD0">
            <w:pPr>
              <w:tabs>
                <w:tab w:val="left" w:pos="5580"/>
              </w:tabs>
              <w:rPr>
                <w:color w:val="000000"/>
                <w:sz w:val="24"/>
              </w:rPr>
            </w:pPr>
          </w:p>
        </w:tc>
        <w:tc>
          <w:tcPr>
            <w:tcW w:w="1186" w:type="pct"/>
            <w:vAlign w:val="center"/>
          </w:tcPr>
          <w:p w14:paraId="3214B61F">
            <w:pPr>
              <w:tabs>
                <w:tab w:val="left" w:pos="5580"/>
              </w:tabs>
              <w:rPr>
                <w:color w:val="000000"/>
                <w:sz w:val="24"/>
              </w:rPr>
            </w:pPr>
          </w:p>
        </w:tc>
      </w:tr>
    </w:tbl>
    <w:p w14:paraId="47945CB2">
      <w:pPr>
        <w:autoSpaceDE w:val="0"/>
        <w:autoSpaceDN w:val="0"/>
        <w:adjustRightInd w:val="0"/>
        <w:jc w:val="left"/>
        <w:rPr>
          <w:rFonts w:hint="eastAsia" w:ascii="宋体" w:hAnsi="宋体"/>
          <w:color w:val="000000"/>
          <w:kern w:val="0"/>
          <w:sz w:val="24"/>
        </w:rPr>
      </w:pPr>
    </w:p>
    <w:p w14:paraId="21B50084">
      <w:pPr>
        <w:autoSpaceDE w:val="0"/>
        <w:autoSpaceDN w:val="0"/>
        <w:adjustRightInd w:val="0"/>
        <w:spacing w:line="360" w:lineRule="auto"/>
        <w:jc w:val="left"/>
        <w:rPr>
          <w:rFonts w:hint="eastAsia" w:ascii="宋体" w:hAnsi="宋体"/>
          <w:color w:val="000000"/>
          <w:sz w:val="24"/>
        </w:rPr>
      </w:pPr>
      <w:r>
        <w:rPr>
          <w:rFonts w:ascii="宋体" w:hAnsi="宋体"/>
          <w:color w:val="000000"/>
          <w:kern w:val="0"/>
          <w:sz w:val="24"/>
        </w:rPr>
        <w:t>注：1</w:t>
      </w:r>
      <w:r>
        <w:rPr>
          <w:rFonts w:ascii="宋体" w:hAnsi="宋体"/>
          <w:color w:val="000000"/>
          <w:sz w:val="24"/>
        </w:rPr>
        <w:t>.此表中，每包的投标报价应和《投标分项报价表》中的总价相一致。</w:t>
      </w:r>
    </w:p>
    <w:p w14:paraId="37E1985A">
      <w:pPr>
        <w:tabs>
          <w:tab w:val="left" w:pos="5580"/>
        </w:tabs>
        <w:spacing w:line="360" w:lineRule="auto"/>
        <w:ind w:firstLine="480" w:firstLineChars="200"/>
        <w:rPr>
          <w:rFonts w:hint="eastAsia" w:ascii="宋体" w:hAnsi="宋体"/>
          <w:color w:val="000000"/>
          <w:sz w:val="24"/>
        </w:rPr>
      </w:pPr>
      <w:r>
        <w:rPr>
          <w:rFonts w:ascii="宋体" w:hAnsi="宋体"/>
          <w:color w:val="000000"/>
          <w:sz w:val="24"/>
        </w:rPr>
        <w:t>2.本表必须按包分别填写。</w:t>
      </w:r>
    </w:p>
    <w:p w14:paraId="649E8AB6">
      <w:pPr>
        <w:tabs>
          <w:tab w:val="left" w:pos="5580"/>
        </w:tabs>
        <w:spacing w:line="360" w:lineRule="auto"/>
        <w:ind w:firstLine="480" w:firstLineChars="200"/>
        <w:rPr>
          <w:rFonts w:hint="eastAsia" w:ascii="宋体" w:hAnsi="宋体"/>
          <w:color w:val="000000"/>
          <w:sz w:val="24"/>
        </w:rPr>
      </w:pPr>
      <w:r>
        <w:rPr>
          <w:rFonts w:hint="eastAsia" w:ascii="宋体" w:hAnsi="宋体"/>
          <w:color w:val="000000"/>
          <w:sz w:val="24"/>
        </w:rPr>
        <w:t>3</w:t>
      </w:r>
      <w:r>
        <w:rPr>
          <w:rFonts w:ascii="宋体" w:hAnsi="宋体"/>
          <w:color w:val="000000"/>
          <w:sz w:val="24"/>
        </w:rPr>
        <w:t>.</w:t>
      </w:r>
      <w:r>
        <w:rPr>
          <w:rFonts w:hint="eastAsia" w:ascii="宋体" w:hAnsi="宋体"/>
          <w:color w:val="000000"/>
          <w:sz w:val="24"/>
        </w:rPr>
        <w:t xml:space="preserve"> </w:t>
      </w:r>
      <w:r>
        <w:rPr>
          <w:rFonts w:hint="eastAsia" w:hAnsi="宋体"/>
          <w:b/>
          <w:bCs/>
          <w:sz w:val="24"/>
        </w:rPr>
        <w:t>此表应另附一份原件，密封后单独提交，如果单独提交的与文件中的不一致，以单独提交的为准</w:t>
      </w:r>
    </w:p>
    <w:p w14:paraId="313C560A">
      <w:pPr>
        <w:autoSpaceDE w:val="0"/>
        <w:autoSpaceDN w:val="0"/>
        <w:adjustRightInd w:val="0"/>
        <w:snapToGrid w:val="0"/>
        <w:spacing w:before="25" w:after="25" w:line="360" w:lineRule="auto"/>
        <w:rPr>
          <w:rFonts w:hint="eastAsia" w:ascii="宋体" w:hAnsi="宋体"/>
          <w:color w:val="000000"/>
          <w:sz w:val="24"/>
          <w:lang w:val="zh-CN"/>
        </w:rPr>
      </w:pPr>
    </w:p>
    <w:p w14:paraId="72BD8303">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lang w:val="zh-CN"/>
        </w:rPr>
        <w:t xml:space="preserve">                         </w:t>
      </w:r>
    </w:p>
    <w:p w14:paraId="6B5811EF">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：____________</w:t>
      </w:r>
    </w:p>
    <w:p w14:paraId="2CB4E3CE">
      <w:pPr>
        <w:tabs>
          <w:tab w:val="left" w:pos="5580"/>
        </w:tabs>
        <w:spacing w:line="360" w:lineRule="auto"/>
        <w:rPr>
          <w:rFonts w:hint="eastAsia"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3294118E">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szCs w:val="20"/>
        </w:rPr>
        <w:t xml:space="preserve">日期：_____年______月______日   </w:t>
      </w:r>
    </w:p>
    <w:p w14:paraId="75724581">
      <w:pPr>
        <w:widowControl/>
        <w:jc w:val="left"/>
        <w:rPr>
          <w:rFonts w:hint="eastAsia" w:ascii="宋体" w:hAnsi="宋体"/>
          <w:color w:val="000000"/>
          <w:sz w:val="24"/>
          <w:szCs w:val="20"/>
        </w:rPr>
      </w:pPr>
      <w:bookmarkStart w:id="830" w:name="_Toc150480796"/>
      <w:bookmarkStart w:id="831" w:name="_Toc226337255"/>
      <w:bookmarkStart w:id="832" w:name="_Toc265228397"/>
      <w:bookmarkStart w:id="833" w:name="_Toc305158827"/>
      <w:bookmarkStart w:id="834" w:name="_Toc226965832"/>
      <w:bookmarkStart w:id="835" w:name="_Toc305158901"/>
      <w:bookmarkStart w:id="836" w:name="_Toc226309803"/>
      <w:bookmarkStart w:id="837" w:name="_Toc127151558"/>
      <w:bookmarkStart w:id="838" w:name="_Toc150774763"/>
      <w:bookmarkStart w:id="839" w:name="_Toc195842924"/>
      <w:bookmarkStart w:id="840" w:name="_Toc226965749"/>
      <w:bookmarkStart w:id="841" w:name="_Toc264969249"/>
      <w:bookmarkStart w:id="842" w:name="_Toc142311060"/>
      <w:r>
        <w:rPr>
          <w:rFonts w:ascii="宋体" w:hAnsi="宋体"/>
          <w:color w:val="000000"/>
          <w:sz w:val="24"/>
          <w:szCs w:val="20"/>
        </w:rPr>
        <w:br w:type="page"/>
      </w:r>
    </w:p>
    <w:p w14:paraId="3BE16CA9">
      <w:pPr>
        <w:spacing w:line="360" w:lineRule="auto"/>
        <w:outlineLvl w:val="2"/>
        <w:rPr>
          <w:rFonts w:hint="eastAsia" w:ascii="宋体" w:hAnsi="宋体"/>
          <w:color w:val="000000"/>
          <w:sz w:val="24"/>
          <w:szCs w:val="20"/>
        </w:rPr>
      </w:pPr>
      <w:r>
        <w:rPr>
          <w:rFonts w:ascii="宋体" w:hAnsi="宋体"/>
          <w:color w:val="000000"/>
          <w:sz w:val="24"/>
          <w:szCs w:val="20"/>
        </w:rPr>
        <w:t>4  投标分项报价表</w:t>
      </w:r>
      <w:bookmarkEnd w:id="830"/>
      <w:bookmarkEnd w:id="831"/>
      <w:bookmarkEnd w:id="832"/>
      <w:bookmarkEnd w:id="833"/>
      <w:bookmarkEnd w:id="834"/>
      <w:bookmarkEnd w:id="835"/>
      <w:bookmarkEnd w:id="836"/>
      <w:bookmarkEnd w:id="837"/>
      <w:bookmarkEnd w:id="838"/>
      <w:bookmarkEnd w:id="839"/>
      <w:bookmarkEnd w:id="840"/>
      <w:bookmarkEnd w:id="841"/>
      <w:bookmarkEnd w:id="842"/>
    </w:p>
    <w:p w14:paraId="5212608B">
      <w:pPr>
        <w:spacing w:line="360" w:lineRule="exact"/>
        <w:jc w:val="center"/>
        <w:rPr>
          <w:rFonts w:hint="eastAsia" w:ascii="宋体" w:hAnsi="宋体"/>
          <w:color w:val="000000"/>
          <w:sz w:val="36"/>
          <w:szCs w:val="36"/>
        </w:rPr>
      </w:pPr>
    </w:p>
    <w:p w14:paraId="260E8379">
      <w:pPr>
        <w:spacing w:line="360" w:lineRule="exact"/>
        <w:jc w:val="center"/>
        <w:rPr>
          <w:rFonts w:hint="eastAsia" w:ascii="宋体" w:hAnsi="宋体"/>
          <w:b/>
          <w:color w:val="000000"/>
          <w:sz w:val="36"/>
          <w:szCs w:val="36"/>
        </w:rPr>
      </w:pPr>
      <w:r>
        <w:rPr>
          <w:rFonts w:hint="eastAsia" w:ascii="宋体" w:hAnsi="宋体"/>
          <w:b/>
          <w:color w:val="000000"/>
          <w:sz w:val="36"/>
          <w:szCs w:val="36"/>
        </w:rPr>
        <w:t>投标分项报价表</w:t>
      </w:r>
    </w:p>
    <w:p w14:paraId="15D67DAB">
      <w:pPr>
        <w:spacing w:line="260" w:lineRule="exact"/>
        <w:jc w:val="center"/>
        <w:rPr>
          <w:rFonts w:hint="eastAsia" w:ascii="宋体" w:hAnsi="宋体"/>
          <w:color w:val="000000"/>
          <w:sz w:val="36"/>
          <w:szCs w:val="36"/>
        </w:rPr>
      </w:pPr>
    </w:p>
    <w:p w14:paraId="53FD85DE">
      <w:pPr>
        <w:adjustRightInd w:val="0"/>
        <w:snapToGrid w:val="0"/>
        <w:spacing w:before="240" w:beforeLines="100" w:after="240" w:afterLines="100"/>
        <w:jc w:val="left"/>
        <w:rPr>
          <w:b/>
          <w:i/>
          <w:color w:val="FF0000"/>
          <w:sz w:val="24"/>
        </w:rPr>
      </w:pPr>
      <w:r>
        <w:rPr>
          <w:rFonts w:hint="eastAsia"/>
          <w:b/>
          <w:i/>
          <w:color w:val="FF0000"/>
          <w:sz w:val="24"/>
        </w:rPr>
        <w:t>（格式示例一</w:t>
      </w:r>
      <w:r>
        <w:rPr>
          <w:b/>
          <w:i/>
          <w:color w:val="FF0000"/>
          <w:sz w:val="24"/>
        </w:rPr>
        <w:t>，适用于设备采购</w:t>
      </w:r>
      <w:r>
        <w:rPr>
          <w:rFonts w:hint="eastAsia"/>
          <w:b/>
          <w:i/>
          <w:color w:val="FF0000"/>
          <w:sz w:val="24"/>
        </w:rPr>
        <w:t>）</w:t>
      </w:r>
    </w:p>
    <w:p w14:paraId="40058538">
      <w:pPr>
        <w:tabs>
          <w:tab w:val="left" w:pos="1800"/>
          <w:tab w:val="left" w:pos="5580"/>
        </w:tabs>
        <w:rPr>
          <w:sz w:val="24"/>
        </w:rPr>
      </w:pPr>
      <w:r>
        <w:rPr>
          <w:rFonts w:hint="eastAsia"/>
          <w:sz w:val="24"/>
        </w:rPr>
        <w:t>招标</w:t>
      </w:r>
      <w:r>
        <w:rPr>
          <w:sz w:val="24"/>
        </w:rPr>
        <w:t>编号/包号：___________ 项目名称：__________报价单位：人民币元</w:t>
      </w:r>
    </w:p>
    <w:p w14:paraId="2ED47A94">
      <w:pPr>
        <w:tabs>
          <w:tab w:val="left" w:pos="1800"/>
          <w:tab w:val="left" w:pos="5580"/>
        </w:tabs>
        <w:rPr>
          <w:sz w:val="24"/>
        </w:rPr>
      </w:pPr>
    </w:p>
    <w:p w14:paraId="286F5350">
      <w:pPr>
        <w:tabs>
          <w:tab w:val="left" w:pos="1800"/>
          <w:tab w:val="left" w:pos="5580"/>
        </w:tabs>
        <w:rPr>
          <w:sz w:val="24"/>
        </w:rPr>
      </w:pPr>
    </w:p>
    <w:tbl>
      <w:tblPr>
        <w:tblStyle w:val="45"/>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7"/>
        <w:gridCol w:w="1260"/>
        <w:gridCol w:w="584"/>
        <w:gridCol w:w="643"/>
        <w:gridCol w:w="806"/>
        <w:gridCol w:w="598"/>
        <w:gridCol w:w="598"/>
        <w:gridCol w:w="598"/>
        <w:gridCol w:w="598"/>
        <w:gridCol w:w="782"/>
        <w:gridCol w:w="939"/>
        <w:gridCol w:w="464"/>
        <w:gridCol w:w="954"/>
      </w:tblGrid>
      <w:tr w14:paraId="012DD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jc w:val="center"/>
        </w:trPr>
        <w:tc>
          <w:tcPr>
            <w:tcW w:w="246" w:type="pct"/>
            <w:vAlign w:val="center"/>
          </w:tcPr>
          <w:p w14:paraId="51DBEBD8">
            <w:pPr>
              <w:adjustRightInd w:val="0"/>
              <w:snapToGrid w:val="0"/>
              <w:jc w:val="left"/>
              <w:rPr>
                <w:b/>
                <w:sz w:val="24"/>
              </w:rPr>
            </w:pPr>
            <w:r>
              <w:rPr>
                <w:b/>
                <w:sz w:val="24"/>
              </w:rPr>
              <w:t>序号</w:t>
            </w:r>
          </w:p>
        </w:tc>
        <w:tc>
          <w:tcPr>
            <w:tcW w:w="679" w:type="pct"/>
            <w:vAlign w:val="center"/>
          </w:tcPr>
          <w:p w14:paraId="7CF397C1">
            <w:pPr>
              <w:adjustRightInd w:val="0"/>
              <w:snapToGrid w:val="0"/>
              <w:jc w:val="left"/>
              <w:rPr>
                <w:b/>
                <w:sz w:val="24"/>
              </w:rPr>
            </w:pPr>
            <w:r>
              <w:rPr>
                <w:b/>
                <w:sz w:val="24"/>
              </w:rPr>
              <w:t>分项名称</w:t>
            </w:r>
          </w:p>
        </w:tc>
        <w:tc>
          <w:tcPr>
            <w:tcW w:w="315" w:type="pct"/>
            <w:vAlign w:val="center"/>
          </w:tcPr>
          <w:p w14:paraId="2811C299">
            <w:pPr>
              <w:adjustRightInd w:val="0"/>
              <w:snapToGrid w:val="0"/>
              <w:jc w:val="left"/>
              <w:rPr>
                <w:b/>
                <w:sz w:val="24"/>
              </w:rPr>
            </w:pPr>
            <w:r>
              <w:rPr>
                <w:b/>
                <w:sz w:val="24"/>
              </w:rPr>
              <w:t>制造商</w:t>
            </w:r>
          </w:p>
        </w:tc>
        <w:tc>
          <w:tcPr>
            <w:tcW w:w="347" w:type="pct"/>
            <w:vAlign w:val="center"/>
          </w:tcPr>
          <w:p w14:paraId="4C63283F">
            <w:pPr>
              <w:adjustRightInd w:val="0"/>
              <w:snapToGrid w:val="0"/>
              <w:jc w:val="left"/>
              <w:rPr>
                <w:b/>
                <w:sz w:val="24"/>
              </w:rPr>
            </w:pPr>
            <w:r>
              <w:rPr>
                <w:b/>
                <w:sz w:val="24"/>
              </w:rPr>
              <w:t>产地</w:t>
            </w:r>
            <w:r>
              <w:rPr>
                <w:rFonts w:hint="eastAsia"/>
                <w:b/>
                <w:sz w:val="24"/>
              </w:rPr>
              <w:t>/国别</w:t>
            </w:r>
          </w:p>
        </w:tc>
        <w:tc>
          <w:tcPr>
            <w:tcW w:w="434" w:type="pct"/>
          </w:tcPr>
          <w:p w14:paraId="130BC95D">
            <w:pPr>
              <w:adjustRightInd w:val="0"/>
              <w:snapToGrid w:val="0"/>
              <w:jc w:val="left"/>
              <w:rPr>
                <w:b/>
                <w:sz w:val="24"/>
              </w:rPr>
            </w:pPr>
            <w:r>
              <w:rPr>
                <w:rFonts w:hint="eastAsia"/>
                <w:b/>
                <w:sz w:val="24"/>
              </w:rPr>
              <w:t>制造商统一信用代码</w:t>
            </w:r>
          </w:p>
        </w:tc>
        <w:tc>
          <w:tcPr>
            <w:tcW w:w="322" w:type="pct"/>
          </w:tcPr>
          <w:p w14:paraId="4638AB68">
            <w:pPr>
              <w:adjustRightInd w:val="0"/>
              <w:snapToGrid w:val="0"/>
              <w:jc w:val="left"/>
              <w:rPr>
                <w:b/>
                <w:sz w:val="24"/>
              </w:rPr>
            </w:pPr>
            <w:r>
              <w:rPr>
                <w:rFonts w:hint="eastAsia"/>
                <w:b/>
                <w:sz w:val="24"/>
              </w:rPr>
              <w:t>制造商规模</w:t>
            </w:r>
          </w:p>
        </w:tc>
        <w:tc>
          <w:tcPr>
            <w:tcW w:w="322" w:type="pct"/>
            <w:vAlign w:val="center"/>
          </w:tcPr>
          <w:p w14:paraId="07149E95">
            <w:pPr>
              <w:adjustRightInd w:val="0"/>
              <w:snapToGrid w:val="0"/>
              <w:jc w:val="left"/>
              <w:rPr>
                <w:b/>
                <w:sz w:val="24"/>
              </w:rPr>
            </w:pPr>
            <w:r>
              <w:rPr>
                <w:rFonts w:hint="eastAsia"/>
                <w:b/>
                <w:sz w:val="24"/>
              </w:rPr>
              <w:t>制造商所属性别</w:t>
            </w:r>
          </w:p>
        </w:tc>
        <w:tc>
          <w:tcPr>
            <w:tcW w:w="322" w:type="pct"/>
            <w:vAlign w:val="center"/>
          </w:tcPr>
          <w:p w14:paraId="3D147FE3">
            <w:pPr>
              <w:adjustRightInd w:val="0"/>
              <w:snapToGrid w:val="0"/>
              <w:jc w:val="left"/>
              <w:rPr>
                <w:b/>
                <w:sz w:val="24"/>
              </w:rPr>
            </w:pPr>
            <w:r>
              <w:rPr>
                <w:rFonts w:hint="eastAsia"/>
                <w:b/>
                <w:sz w:val="24"/>
              </w:rPr>
              <w:t>外商投资类型</w:t>
            </w:r>
          </w:p>
        </w:tc>
        <w:tc>
          <w:tcPr>
            <w:tcW w:w="322" w:type="pct"/>
            <w:vAlign w:val="center"/>
          </w:tcPr>
          <w:p w14:paraId="567B056D">
            <w:pPr>
              <w:adjustRightInd w:val="0"/>
              <w:snapToGrid w:val="0"/>
              <w:jc w:val="left"/>
              <w:rPr>
                <w:b/>
                <w:sz w:val="24"/>
              </w:rPr>
            </w:pPr>
            <w:r>
              <w:rPr>
                <w:b/>
                <w:sz w:val="24"/>
              </w:rPr>
              <w:t>品牌</w:t>
            </w:r>
          </w:p>
        </w:tc>
        <w:tc>
          <w:tcPr>
            <w:tcW w:w="421" w:type="pct"/>
          </w:tcPr>
          <w:p w14:paraId="488BF7E5">
            <w:pPr>
              <w:adjustRightInd w:val="0"/>
              <w:snapToGrid w:val="0"/>
              <w:jc w:val="left"/>
              <w:rPr>
                <w:b/>
                <w:sz w:val="24"/>
              </w:rPr>
            </w:pPr>
            <w:r>
              <w:rPr>
                <w:b/>
                <w:sz w:val="24"/>
              </w:rPr>
              <w:t>规格、型号</w:t>
            </w:r>
          </w:p>
        </w:tc>
        <w:tc>
          <w:tcPr>
            <w:tcW w:w="505" w:type="pct"/>
            <w:vAlign w:val="center"/>
          </w:tcPr>
          <w:p w14:paraId="3CB1E91A">
            <w:pPr>
              <w:adjustRightInd w:val="0"/>
              <w:snapToGrid w:val="0"/>
              <w:jc w:val="left"/>
              <w:rPr>
                <w:b/>
                <w:sz w:val="24"/>
              </w:rPr>
            </w:pPr>
            <w:r>
              <w:rPr>
                <w:b/>
                <w:sz w:val="24"/>
              </w:rPr>
              <w:t>单价（元）</w:t>
            </w:r>
          </w:p>
        </w:tc>
        <w:tc>
          <w:tcPr>
            <w:tcW w:w="246" w:type="pct"/>
            <w:vAlign w:val="center"/>
          </w:tcPr>
          <w:p w14:paraId="10486D47">
            <w:pPr>
              <w:adjustRightInd w:val="0"/>
              <w:snapToGrid w:val="0"/>
              <w:jc w:val="left"/>
              <w:rPr>
                <w:b/>
                <w:sz w:val="24"/>
              </w:rPr>
            </w:pPr>
            <w:r>
              <w:rPr>
                <w:b/>
                <w:sz w:val="24"/>
              </w:rPr>
              <w:t>数量</w:t>
            </w:r>
          </w:p>
        </w:tc>
        <w:tc>
          <w:tcPr>
            <w:tcW w:w="514" w:type="pct"/>
            <w:vAlign w:val="center"/>
          </w:tcPr>
          <w:p w14:paraId="459506AC">
            <w:pPr>
              <w:adjustRightInd w:val="0"/>
              <w:snapToGrid w:val="0"/>
              <w:jc w:val="left"/>
              <w:rPr>
                <w:b/>
                <w:sz w:val="24"/>
              </w:rPr>
            </w:pPr>
            <w:r>
              <w:rPr>
                <w:b/>
                <w:sz w:val="24"/>
              </w:rPr>
              <w:t>合价（元）</w:t>
            </w:r>
          </w:p>
        </w:tc>
      </w:tr>
      <w:tr w14:paraId="6DD69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55E0D15B">
            <w:pPr>
              <w:adjustRightInd w:val="0"/>
              <w:snapToGrid w:val="0"/>
              <w:jc w:val="left"/>
              <w:rPr>
                <w:sz w:val="24"/>
              </w:rPr>
            </w:pPr>
            <w:r>
              <w:rPr>
                <w:rFonts w:hint="eastAsia"/>
                <w:sz w:val="24"/>
              </w:rPr>
              <w:t>1</w:t>
            </w:r>
          </w:p>
        </w:tc>
        <w:tc>
          <w:tcPr>
            <w:tcW w:w="679" w:type="pct"/>
            <w:vAlign w:val="center"/>
          </w:tcPr>
          <w:p w14:paraId="2CCC8194">
            <w:pPr>
              <w:adjustRightInd w:val="0"/>
              <w:snapToGrid w:val="0"/>
              <w:jc w:val="left"/>
              <w:rPr>
                <w:sz w:val="24"/>
              </w:rPr>
            </w:pPr>
          </w:p>
        </w:tc>
        <w:tc>
          <w:tcPr>
            <w:tcW w:w="315" w:type="pct"/>
            <w:vAlign w:val="center"/>
          </w:tcPr>
          <w:p w14:paraId="3C93D0D3">
            <w:pPr>
              <w:adjustRightInd w:val="0"/>
              <w:snapToGrid w:val="0"/>
              <w:jc w:val="left"/>
              <w:rPr>
                <w:sz w:val="24"/>
              </w:rPr>
            </w:pPr>
          </w:p>
        </w:tc>
        <w:tc>
          <w:tcPr>
            <w:tcW w:w="347" w:type="pct"/>
          </w:tcPr>
          <w:p w14:paraId="0DBF0220">
            <w:pPr>
              <w:adjustRightInd w:val="0"/>
              <w:snapToGrid w:val="0"/>
              <w:jc w:val="left"/>
              <w:rPr>
                <w:sz w:val="24"/>
              </w:rPr>
            </w:pPr>
          </w:p>
        </w:tc>
        <w:tc>
          <w:tcPr>
            <w:tcW w:w="434" w:type="pct"/>
          </w:tcPr>
          <w:p w14:paraId="73C1466F">
            <w:pPr>
              <w:adjustRightInd w:val="0"/>
              <w:snapToGrid w:val="0"/>
              <w:jc w:val="left"/>
              <w:rPr>
                <w:sz w:val="24"/>
              </w:rPr>
            </w:pPr>
          </w:p>
        </w:tc>
        <w:tc>
          <w:tcPr>
            <w:tcW w:w="322" w:type="pct"/>
          </w:tcPr>
          <w:p w14:paraId="58B81519">
            <w:pPr>
              <w:adjustRightInd w:val="0"/>
              <w:snapToGrid w:val="0"/>
              <w:jc w:val="left"/>
              <w:rPr>
                <w:sz w:val="24"/>
              </w:rPr>
            </w:pPr>
          </w:p>
        </w:tc>
        <w:tc>
          <w:tcPr>
            <w:tcW w:w="322" w:type="pct"/>
            <w:vAlign w:val="center"/>
          </w:tcPr>
          <w:p w14:paraId="290E34D4">
            <w:pPr>
              <w:adjustRightInd w:val="0"/>
              <w:snapToGrid w:val="0"/>
              <w:jc w:val="left"/>
              <w:rPr>
                <w:sz w:val="24"/>
              </w:rPr>
            </w:pPr>
          </w:p>
        </w:tc>
        <w:tc>
          <w:tcPr>
            <w:tcW w:w="322" w:type="pct"/>
            <w:vAlign w:val="center"/>
          </w:tcPr>
          <w:p w14:paraId="210D6D34">
            <w:pPr>
              <w:adjustRightInd w:val="0"/>
              <w:snapToGrid w:val="0"/>
              <w:jc w:val="left"/>
              <w:rPr>
                <w:sz w:val="24"/>
              </w:rPr>
            </w:pPr>
          </w:p>
        </w:tc>
        <w:tc>
          <w:tcPr>
            <w:tcW w:w="322" w:type="pct"/>
            <w:vAlign w:val="center"/>
          </w:tcPr>
          <w:p w14:paraId="1B23229C">
            <w:pPr>
              <w:adjustRightInd w:val="0"/>
              <w:snapToGrid w:val="0"/>
              <w:jc w:val="left"/>
              <w:rPr>
                <w:sz w:val="24"/>
              </w:rPr>
            </w:pPr>
          </w:p>
        </w:tc>
        <w:tc>
          <w:tcPr>
            <w:tcW w:w="421" w:type="pct"/>
          </w:tcPr>
          <w:p w14:paraId="2DF36F6C">
            <w:pPr>
              <w:adjustRightInd w:val="0"/>
              <w:snapToGrid w:val="0"/>
              <w:jc w:val="left"/>
              <w:rPr>
                <w:sz w:val="24"/>
              </w:rPr>
            </w:pPr>
          </w:p>
        </w:tc>
        <w:tc>
          <w:tcPr>
            <w:tcW w:w="505" w:type="pct"/>
            <w:vAlign w:val="center"/>
          </w:tcPr>
          <w:p w14:paraId="6F065747">
            <w:pPr>
              <w:adjustRightInd w:val="0"/>
              <w:snapToGrid w:val="0"/>
              <w:jc w:val="left"/>
              <w:rPr>
                <w:sz w:val="24"/>
              </w:rPr>
            </w:pPr>
          </w:p>
        </w:tc>
        <w:tc>
          <w:tcPr>
            <w:tcW w:w="246" w:type="pct"/>
            <w:vAlign w:val="center"/>
          </w:tcPr>
          <w:p w14:paraId="614F1ED9">
            <w:pPr>
              <w:adjustRightInd w:val="0"/>
              <w:snapToGrid w:val="0"/>
              <w:jc w:val="left"/>
              <w:rPr>
                <w:sz w:val="24"/>
              </w:rPr>
            </w:pPr>
          </w:p>
        </w:tc>
        <w:tc>
          <w:tcPr>
            <w:tcW w:w="514" w:type="pct"/>
            <w:vAlign w:val="center"/>
          </w:tcPr>
          <w:p w14:paraId="335F65F1">
            <w:pPr>
              <w:adjustRightInd w:val="0"/>
              <w:snapToGrid w:val="0"/>
              <w:jc w:val="left"/>
              <w:rPr>
                <w:sz w:val="24"/>
              </w:rPr>
            </w:pPr>
          </w:p>
        </w:tc>
      </w:tr>
      <w:tr w14:paraId="6D1FF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5BC81B60">
            <w:pPr>
              <w:adjustRightInd w:val="0"/>
              <w:snapToGrid w:val="0"/>
              <w:jc w:val="left"/>
              <w:rPr>
                <w:sz w:val="24"/>
              </w:rPr>
            </w:pPr>
            <w:r>
              <w:rPr>
                <w:rFonts w:hint="eastAsia"/>
                <w:sz w:val="24"/>
              </w:rPr>
              <w:t>2</w:t>
            </w:r>
          </w:p>
        </w:tc>
        <w:tc>
          <w:tcPr>
            <w:tcW w:w="679" w:type="pct"/>
            <w:vAlign w:val="center"/>
          </w:tcPr>
          <w:p w14:paraId="26CF0D11">
            <w:pPr>
              <w:adjustRightInd w:val="0"/>
              <w:snapToGrid w:val="0"/>
              <w:jc w:val="left"/>
              <w:rPr>
                <w:sz w:val="24"/>
              </w:rPr>
            </w:pPr>
          </w:p>
        </w:tc>
        <w:tc>
          <w:tcPr>
            <w:tcW w:w="315" w:type="pct"/>
            <w:vAlign w:val="center"/>
          </w:tcPr>
          <w:p w14:paraId="7034FAD2">
            <w:pPr>
              <w:adjustRightInd w:val="0"/>
              <w:snapToGrid w:val="0"/>
              <w:jc w:val="left"/>
              <w:rPr>
                <w:sz w:val="24"/>
              </w:rPr>
            </w:pPr>
          </w:p>
        </w:tc>
        <w:tc>
          <w:tcPr>
            <w:tcW w:w="347" w:type="pct"/>
          </w:tcPr>
          <w:p w14:paraId="3B874C97">
            <w:pPr>
              <w:adjustRightInd w:val="0"/>
              <w:snapToGrid w:val="0"/>
              <w:jc w:val="left"/>
              <w:rPr>
                <w:sz w:val="24"/>
              </w:rPr>
            </w:pPr>
          </w:p>
        </w:tc>
        <w:tc>
          <w:tcPr>
            <w:tcW w:w="434" w:type="pct"/>
          </w:tcPr>
          <w:p w14:paraId="509211E6">
            <w:pPr>
              <w:adjustRightInd w:val="0"/>
              <w:snapToGrid w:val="0"/>
              <w:jc w:val="left"/>
              <w:rPr>
                <w:sz w:val="24"/>
              </w:rPr>
            </w:pPr>
          </w:p>
        </w:tc>
        <w:tc>
          <w:tcPr>
            <w:tcW w:w="322" w:type="pct"/>
          </w:tcPr>
          <w:p w14:paraId="0EC5849E">
            <w:pPr>
              <w:adjustRightInd w:val="0"/>
              <w:snapToGrid w:val="0"/>
              <w:jc w:val="left"/>
              <w:rPr>
                <w:sz w:val="24"/>
              </w:rPr>
            </w:pPr>
          </w:p>
        </w:tc>
        <w:tc>
          <w:tcPr>
            <w:tcW w:w="322" w:type="pct"/>
            <w:vAlign w:val="center"/>
          </w:tcPr>
          <w:p w14:paraId="4A7D4FA1">
            <w:pPr>
              <w:adjustRightInd w:val="0"/>
              <w:snapToGrid w:val="0"/>
              <w:jc w:val="left"/>
              <w:rPr>
                <w:sz w:val="24"/>
              </w:rPr>
            </w:pPr>
          </w:p>
        </w:tc>
        <w:tc>
          <w:tcPr>
            <w:tcW w:w="322" w:type="pct"/>
            <w:vAlign w:val="center"/>
          </w:tcPr>
          <w:p w14:paraId="4464B01A">
            <w:pPr>
              <w:adjustRightInd w:val="0"/>
              <w:snapToGrid w:val="0"/>
              <w:jc w:val="left"/>
              <w:rPr>
                <w:sz w:val="24"/>
              </w:rPr>
            </w:pPr>
          </w:p>
        </w:tc>
        <w:tc>
          <w:tcPr>
            <w:tcW w:w="322" w:type="pct"/>
            <w:vAlign w:val="center"/>
          </w:tcPr>
          <w:p w14:paraId="65C49C67">
            <w:pPr>
              <w:adjustRightInd w:val="0"/>
              <w:snapToGrid w:val="0"/>
              <w:jc w:val="left"/>
              <w:rPr>
                <w:sz w:val="24"/>
              </w:rPr>
            </w:pPr>
          </w:p>
        </w:tc>
        <w:tc>
          <w:tcPr>
            <w:tcW w:w="421" w:type="pct"/>
          </w:tcPr>
          <w:p w14:paraId="42B0F5C8">
            <w:pPr>
              <w:adjustRightInd w:val="0"/>
              <w:snapToGrid w:val="0"/>
              <w:jc w:val="left"/>
              <w:rPr>
                <w:sz w:val="24"/>
              </w:rPr>
            </w:pPr>
          </w:p>
        </w:tc>
        <w:tc>
          <w:tcPr>
            <w:tcW w:w="505" w:type="pct"/>
            <w:vAlign w:val="center"/>
          </w:tcPr>
          <w:p w14:paraId="19D1D5BF">
            <w:pPr>
              <w:adjustRightInd w:val="0"/>
              <w:snapToGrid w:val="0"/>
              <w:jc w:val="left"/>
              <w:rPr>
                <w:sz w:val="24"/>
              </w:rPr>
            </w:pPr>
          </w:p>
        </w:tc>
        <w:tc>
          <w:tcPr>
            <w:tcW w:w="246" w:type="pct"/>
            <w:vAlign w:val="center"/>
          </w:tcPr>
          <w:p w14:paraId="2201BCEE">
            <w:pPr>
              <w:adjustRightInd w:val="0"/>
              <w:snapToGrid w:val="0"/>
              <w:jc w:val="left"/>
              <w:rPr>
                <w:sz w:val="24"/>
              </w:rPr>
            </w:pPr>
          </w:p>
        </w:tc>
        <w:tc>
          <w:tcPr>
            <w:tcW w:w="514" w:type="pct"/>
            <w:vAlign w:val="center"/>
          </w:tcPr>
          <w:p w14:paraId="37B9C74F">
            <w:pPr>
              <w:adjustRightInd w:val="0"/>
              <w:snapToGrid w:val="0"/>
              <w:jc w:val="left"/>
              <w:rPr>
                <w:sz w:val="24"/>
              </w:rPr>
            </w:pPr>
          </w:p>
        </w:tc>
      </w:tr>
      <w:tr w14:paraId="3F968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7EF34F73">
            <w:pPr>
              <w:adjustRightInd w:val="0"/>
              <w:snapToGrid w:val="0"/>
              <w:jc w:val="left"/>
              <w:rPr>
                <w:sz w:val="24"/>
              </w:rPr>
            </w:pPr>
            <w:r>
              <w:rPr>
                <w:rFonts w:hint="eastAsia"/>
                <w:sz w:val="24"/>
              </w:rPr>
              <w:t>3</w:t>
            </w:r>
          </w:p>
        </w:tc>
        <w:tc>
          <w:tcPr>
            <w:tcW w:w="679" w:type="pct"/>
            <w:vAlign w:val="center"/>
          </w:tcPr>
          <w:p w14:paraId="573BDCD9">
            <w:pPr>
              <w:adjustRightInd w:val="0"/>
              <w:snapToGrid w:val="0"/>
              <w:jc w:val="left"/>
              <w:rPr>
                <w:sz w:val="24"/>
              </w:rPr>
            </w:pPr>
          </w:p>
        </w:tc>
        <w:tc>
          <w:tcPr>
            <w:tcW w:w="315" w:type="pct"/>
            <w:vAlign w:val="center"/>
          </w:tcPr>
          <w:p w14:paraId="2E94443B">
            <w:pPr>
              <w:adjustRightInd w:val="0"/>
              <w:snapToGrid w:val="0"/>
              <w:jc w:val="left"/>
              <w:rPr>
                <w:sz w:val="24"/>
              </w:rPr>
            </w:pPr>
          </w:p>
        </w:tc>
        <w:tc>
          <w:tcPr>
            <w:tcW w:w="347" w:type="pct"/>
          </w:tcPr>
          <w:p w14:paraId="090A4548">
            <w:pPr>
              <w:adjustRightInd w:val="0"/>
              <w:snapToGrid w:val="0"/>
              <w:jc w:val="left"/>
              <w:rPr>
                <w:sz w:val="24"/>
              </w:rPr>
            </w:pPr>
          </w:p>
        </w:tc>
        <w:tc>
          <w:tcPr>
            <w:tcW w:w="434" w:type="pct"/>
          </w:tcPr>
          <w:p w14:paraId="6A109752">
            <w:pPr>
              <w:adjustRightInd w:val="0"/>
              <w:snapToGrid w:val="0"/>
              <w:jc w:val="left"/>
              <w:rPr>
                <w:sz w:val="24"/>
              </w:rPr>
            </w:pPr>
          </w:p>
        </w:tc>
        <w:tc>
          <w:tcPr>
            <w:tcW w:w="322" w:type="pct"/>
          </w:tcPr>
          <w:p w14:paraId="198A1F86">
            <w:pPr>
              <w:adjustRightInd w:val="0"/>
              <w:snapToGrid w:val="0"/>
              <w:jc w:val="left"/>
              <w:rPr>
                <w:sz w:val="24"/>
              </w:rPr>
            </w:pPr>
          </w:p>
        </w:tc>
        <w:tc>
          <w:tcPr>
            <w:tcW w:w="322" w:type="pct"/>
            <w:vAlign w:val="center"/>
          </w:tcPr>
          <w:p w14:paraId="62E81F62">
            <w:pPr>
              <w:adjustRightInd w:val="0"/>
              <w:snapToGrid w:val="0"/>
              <w:jc w:val="left"/>
              <w:rPr>
                <w:sz w:val="24"/>
              </w:rPr>
            </w:pPr>
          </w:p>
        </w:tc>
        <w:tc>
          <w:tcPr>
            <w:tcW w:w="322" w:type="pct"/>
            <w:vAlign w:val="center"/>
          </w:tcPr>
          <w:p w14:paraId="7E08EC48">
            <w:pPr>
              <w:adjustRightInd w:val="0"/>
              <w:snapToGrid w:val="0"/>
              <w:jc w:val="left"/>
              <w:rPr>
                <w:sz w:val="24"/>
              </w:rPr>
            </w:pPr>
          </w:p>
        </w:tc>
        <w:tc>
          <w:tcPr>
            <w:tcW w:w="322" w:type="pct"/>
            <w:vAlign w:val="center"/>
          </w:tcPr>
          <w:p w14:paraId="375D85C3">
            <w:pPr>
              <w:adjustRightInd w:val="0"/>
              <w:snapToGrid w:val="0"/>
              <w:jc w:val="left"/>
              <w:rPr>
                <w:sz w:val="24"/>
              </w:rPr>
            </w:pPr>
          </w:p>
        </w:tc>
        <w:tc>
          <w:tcPr>
            <w:tcW w:w="421" w:type="pct"/>
          </w:tcPr>
          <w:p w14:paraId="19E14A35">
            <w:pPr>
              <w:adjustRightInd w:val="0"/>
              <w:snapToGrid w:val="0"/>
              <w:jc w:val="left"/>
              <w:rPr>
                <w:sz w:val="24"/>
              </w:rPr>
            </w:pPr>
          </w:p>
        </w:tc>
        <w:tc>
          <w:tcPr>
            <w:tcW w:w="505" w:type="pct"/>
            <w:vAlign w:val="center"/>
          </w:tcPr>
          <w:p w14:paraId="72E887DA">
            <w:pPr>
              <w:adjustRightInd w:val="0"/>
              <w:snapToGrid w:val="0"/>
              <w:jc w:val="left"/>
              <w:rPr>
                <w:sz w:val="24"/>
              </w:rPr>
            </w:pPr>
          </w:p>
        </w:tc>
        <w:tc>
          <w:tcPr>
            <w:tcW w:w="246" w:type="pct"/>
            <w:vAlign w:val="center"/>
          </w:tcPr>
          <w:p w14:paraId="5DB0A3AA">
            <w:pPr>
              <w:adjustRightInd w:val="0"/>
              <w:snapToGrid w:val="0"/>
              <w:jc w:val="left"/>
              <w:rPr>
                <w:sz w:val="24"/>
              </w:rPr>
            </w:pPr>
          </w:p>
        </w:tc>
        <w:tc>
          <w:tcPr>
            <w:tcW w:w="514" w:type="pct"/>
            <w:vAlign w:val="center"/>
          </w:tcPr>
          <w:p w14:paraId="5C839922">
            <w:pPr>
              <w:adjustRightInd w:val="0"/>
              <w:snapToGrid w:val="0"/>
              <w:jc w:val="left"/>
              <w:rPr>
                <w:sz w:val="24"/>
              </w:rPr>
            </w:pPr>
          </w:p>
        </w:tc>
      </w:tr>
      <w:tr w14:paraId="381CE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0CF292CB">
            <w:pPr>
              <w:adjustRightInd w:val="0"/>
              <w:snapToGrid w:val="0"/>
              <w:jc w:val="left"/>
              <w:rPr>
                <w:sz w:val="24"/>
              </w:rPr>
            </w:pPr>
            <w:r>
              <w:rPr>
                <w:rFonts w:hint="eastAsia"/>
                <w:sz w:val="24"/>
              </w:rPr>
              <w:t>4</w:t>
            </w:r>
          </w:p>
        </w:tc>
        <w:tc>
          <w:tcPr>
            <w:tcW w:w="679" w:type="pct"/>
            <w:vAlign w:val="center"/>
          </w:tcPr>
          <w:p w14:paraId="50F63FED">
            <w:pPr>
              <w:adjustRightInd w:val="0"/>
              <w:snapToGrid w:val="0"/>
              <w:jc w:val="left"/>
              <w:rPr>
                <w:sz w:val="24"/>
              </w:rPr>
            </w:pPr>
          </w:p>
        </w:tc>
        <w:tc>
          <w:tcPr>
            <w:tcW w:w="315" w:type="pct"/>
            <w:vAlign w:val="center"/>
          </w:tcPr>
          <w:p w14:paraId="11FF3A32">
            <w:pPr>
              <w:adjustRightInd w:val="0"/>
              <w:snapToGrid w:val="0"/>
              <w:jc w:val="left"/>
              <w:rPr>
                <w:sz w:val="24"/>
              </w:rPr>
            </w:pPr>
          </w:p>
        </w:tc>
        <w:tc>
          <w:tcPr>
            <w:tcW w:w="347" w:type="pct"/>
          </w:tcPr>
          <w:p w14:paraId="07685481">
            <w:pPr>
              <w:adjustRightInd w:val="0"/>
              <w:snapToGrid w:val="0"/>
              <w:jc w:val="left"/>
              <w:rPr>
                <w:sz w:val="24"/>
              </w:rPr>
            </w:pPr>
          </w:p>
        </w:tc>
        <w:tc>
          <w:tcPr>
            <w:tcW w:w="434" w:type="pct"/>
          </w:tcPr>
          <w:p w14:paraId="487E7F27">
            <w:pPr>
              <w:adjustRightInd w:val="0"/>
              <w:snapToGrid w:val="0"/>
              <w:jc w:val="left"/>
              <w:rPr>
                <w:sz w:val="24"/>
              </w:rPr>
            </w:pPr>
          </w:p>
        </w:tc>
        <w:tc>
          <w:tcPr>
            <w:tcW w:w="322" w:type="pct"/>
          </w:tcPr>
          <w:p w14:paraId="37E0CE0A">
            <w:pPr>
              <w:adjustRightInd w:val="0"/>
              <w:snapToGrid w:val="0"/>
              <w:jc w:val="left"/>
              <w:rPr>
                <w:sz w:val="24"/>
              </w:rPr>
            </w:pPr>
          </w:p>
        </w:tc>
        <w:tc>
          <w:tcPr>
            <w:tcW w:w="322" w:type="pct"/>
            <w:vAlign w:val="center"/>
          </w:tcPr>
          <w:p w14:paraId="464D2B6D">
            <w:pPr>
              <w:adjustRightInd w:val="0"/>
              <w:snapToGrid w:val="0"/>
              <w:jc w:val="left"/>
              <w:rPr>
                <w:sz w:val="24"/>
              </w:rPr>
            </w:pPr>
          </w:p>
        </w:tc>
        <w:tc>
          <w:tcPr>
            <w:tcW w:w="322" w:type="pct"/>
            <w:vAlign w:val="center"/>
          </w:tcPr>
          <w:p w14:paraId="1987CD9D">
            <w:pPr>
              <w:adjustRightInd w:val="0"/>
              <w:snapToGrid w:val="0"/>
              <w:jc w:val="left"/>
              <w:rPr>
                <w:sz w:val="24"/>
              </w:rPr>
            </w:pPr>
          </w:p>
        </w:tc>
        <w:tc>
          <w:tcPr>
            <w:tcW w:w="322" w:type="pct"/>
            <w:vAlign w:val="center"/>
          </w:tcPr>
          <w:p w14:paraId="09E7D1C9">
            <w:pPr>
              <w:adjustRightInd w:val="0"/>
              <w:snapToGrid w:val="0"/>
              <w:jc w:val="left"/>
              <w:rPr>
                <w:sz w:val="24"/>
              </w:rPr>
            </w:pPr>
          </w:p>
        </w:tc>
        <w:tc>
          <w:tcPr>
            <w:tcW w:w="421" w:type="pct"/>
          </w:tcPr>
          <w:p w14:paraId="1D67C604">
            <w:pPr>
              <w:adjustRightInd w:val="0"/>
              <w:snapToGrid w:val="0"/>
              <w:jc w:val="left"/>
              <w:rPr>
                <w:sz w:val="24"/>
              </w:rPr>
            </w:pPr>
          </w:p>
        </w:tc>
        <w:tc>
          <w:tcPr>
            <w:tcW w:w="505" w:type="pct"/>
            <w:vAlign w:val="center"/>
          </w:tcPr>
          <w:p w14:paraId="3124518F">
            <w:pPr>
              <w:adjustRightInd w:val="0"/>
              <w:snapToGrid w:val="0"/>
              <w:jc w:val="left"/>
              <w:rPr>
                <w:sz w:val="24"/>
              </w:rPr>
            </w:pPr>
          </w:p>
        </w:tc>
        <w:tc>
          <w:tcPr>
            <w:tcW w:w="246" w:type="pct"/>
            <w:vAlign w:val="center"/>
          </w:tcPr>
          <w:p w14:paraId="5959A713">
            <w:pPr>
              <w:adjustRightInd w:val="0"/>
              <w:snapToGrid w:val="0"/>
              <w:jc w:val="left"/>
              <w:rPr>
                <w:sz w:val="24"/>
              </w:rPr>
            </w:pPr>
          </w:p>
        </w:tc>
        <w:tc>
          <w:tcPr>
            <w:tcW w:w="514" w:type="pct"/>
            <w:vAlign w:val="center"/>
          </w:tcPr>
          <w:p w14:paraId="5F6B72B8">
            <w:pPr>
              <w:adjustRightInd w:val="0"/>
              <w:snapToGrid w:val="0"/>
              <w:jc w:val="left"/>
              <w:rPr>
                <w:sz w:val="24"/>
              </w:rPr>
            </w:pPr>
          </w:p>
        </w:tc>
      </w:tr>
      <w:tr w14:paraId="026B9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6" w:type="pct"/>
            <w:vAlign w:val="center"/>
          </w:tcPr>
          <w:p w14:paraId="491C3E70">
            <w:pPr>
              <w:adjustRightInd w:val="0"/>
              <w:snapToGrid w:val="0"/>
              <w:jc w:val="left"/>
              <w:rPr>
                <w:sz w:val="24"/>
              </w:rPr>
            </w:pPr>
            <w:r>
              <w:rPr>
                <w:sz w:val="24"/>
              </w:rPr>
              <w:t>…</w:t>
            </w:r>
          </w:p>
        </w:tc>
        <w:tc>
          <w:tcPr>
            <w:tcW w:w="679" w:type="pct"/>
            <w:vAlign w:val="center"/>
          </w:tcPr>
          <w:p w14:paraId="5B943916">
            <w:pPr>
              <w:adjustRightInd w:val="0"/>
              <w:snapToGrid w:val="0"/>
              <w:jc w:val="left"/>
              <w:rPr>
                <w:sz w:val="24"/>
              </w:rPr>
            </w:pPr>
          </w:p>
        </w:tc>
        <w:tc>
          <w:tcPr>
            <w:tcW w:w="315" w:type="pct"/>
            <w:vAlign w:val="center"/>
          </w:tcPr>
          <w:p w14:paraId="605ED822">
            <w:pPr>
              <w:adjustRightInd w:val="0"/>
              <w:snapToGrid w:val="0"/>
              <w:jc w:val="left"/>
              <w:rPr>
                <w:sz w:val="24"/>
              </w:rPr>
            </w:pPr>
          </w:p>
        </w:tc>
        <w:tc>
          <w:tcPr>
            <w:tcW w:w="347" w:type="pct"/>
          </w:tcPr>
          <w:p w14:paraId="319673B5">
            <w:pPr>
              <w:adjustRightInd w:val="0"/>
              <w:snapToGrid w:val="0"/>
              <w:jc w:val="left"/>
              <w:rPr>
                <w:sz w:val="24"/>
              </w:rPr>
            </w:pPr>
          </w:p>
        </w:tc>
        <w:tc>
          <w:tcPr>
            <w:tcW w:w="434" w:type="pct"/>
          </w:tcPr>
          <w:p w14:paraId="73E1BB0C">
            <w:pPr>
              <w:adjustRightInd w:val="0"/>
              <w:snapToGrid w:val="0"/>
              <w:jc w:val="left"/>
              <w:rPr>
                <w:sz w:val="24"/>
              </w:rPr>
            </w:pPr>
          </w:p>
        </w:tc>
        <w:tc>
          <w:tcPr>
            <w:tcW w:w="322" w:type="pct"/>
          </w:tcPr>
          <w:p w14:paraId="35D1A276">
            <w:pPr>
              <w:adjustRightInd w:val="0"/>
              <w:snapToGrid w:val="0"/>
              <w:jc w:val="left"/>
              <w:rPr>
                <w:sz w:val="24"/>
              </w:rPr>
            </w:pPr>
          </w:p>
        </w:tc>
        <w:tc>
          <w:tcPr>
            <w:tcW w:w="322" w:type="pct"/>
            <w:vAlign w:val="center"/>
          </w:tcPr>
          <w:p w14:paraId="4652604F">
            <w:pPr>
              <w:adjustRightInd w:val="0"/>
              <w:snapToGrid w:val="0"/>
              <w:jc w:val="left"/>
              <w:rPr>
                <w:sz w:val="24"/>
              </w:rPr>
            </w:pPr>
          </w:p>
        </w:tc>
        <w:tc>
          <w:tcPr>
            <w:tcW w:w="322" w:type="pct"/>
            <w:vAlign w:val="center"/>
          </w:tcPr>
          <w:p w14:paraId="61458F90">
            <w:pPr>
              <w:adjustRightInd w:val="0"/>
              <w:snapToGrid w:val="0"/>
              <w:jc w:val="left"/>
              <w:rPr>
                <w:sz w:val="24"/>
              </w:rPr>
            </w:pPr>
          </w:p>
        </w:tc>
        <w:tc>
          <w:tcPr>
            <w:tcW w:w="322" w:type="pct"/>
            <w:vAlign w:val="center"/>
          </w:tcPr>
          <w:p w14:paraId="44A1717C">
            <w:pPr>
              <w:adjustRightInd w:val="0"/>
              <w:snapToGrid w:val="0"/>
              <w:jc w:val="left"/>
              <w:rPr>
                <w:sz w:val="24"/>
              </w:rPr>
            </w:pPr>
          </w:p>
        </w:tc>
        <w:tc>
          <w:tcPr>
            <w:tcW w:w="421" w:type="pct"/>
          </w:tcPr>
          <w:p w14:paraId="008B8AA7">
            <w:pPr>
              <w:adjustRightInd w:val="0"/>
              <w:snapToGrid w:val="0"/>
              <w:jc w:val="left"/>
              <w:rPr>
                <w:sz w:val="24"/>
              </w:rPr>
            </w:pPr>
          </w:p>
        </w:tc>
        <w:tc>
          <w:tcPr>
            <w:tcW w:w="505" w:type="pct"/>
            <w:vAlign w:val="center"/>
          </w:tcPr>
          <w:p w14:paraId="0452CBAA">
            <w:pPr>
              <w:adjustRightInd w:val="0"/>
              <w:snapToGrid w:val="0"/>
              <w:jc w:val="left"/>
              <w:rPr>
                <w:sz w:val="24"/>
              </w:rPr>
            </w:pPr>
          </w:p>
        </w:tc>
        <w:tc>
          <w:tcPr>
            <w:tcW w:w="246" w:type="pct"/>
            <w:vAlign w:val="center"/>
          </w:tcPr>
          <w:p w14:paraId="775BE590">
            <w:pPr>
              <w:adjustRightInd w:val="0"/>
              <w:snapToGrid w:val="0"/>
              <w:jc w:val="left"/>
              <w:rPr>
                <w:sz w:val="24"/>
              </w:rPr>
            </w:pPr>
          </w:p>
        </w:tc>
        <w:tc>
          <w:tcPr>
            <w:tcW w:w="514" w:type="pct"/>
            <w:vAlign w:val="center"/>
          </w:tcPr>
          <w:p w14:paraId="1B82C27A">
            <w:pPr>
              <w:adjustRightInd w:val="0"/>
              <w:snapToGrid w:val="0"/>
              <w:jc w:val="left"/>
              <w:rPr>
                <w:sz w:val="24"/>
              </w:rPr>
            </w:pPr>
          </w:p>
        </w:tc>
      </w:tr>
      <w:tr w14:paraId="5587CB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485" w:type="pct"/>
            <w:gridSpan w:val="12"/>
          </w:tcPr>
          <w:p w14:paraId="73CBB427">
            <w:pPr>
              <w:jc w:val="right"/>
              <w:rPr>
                <w:b/>
                <w:sz w:val="24"/>
              </w:rPr>
            </w:pPr>
            <w:r>
              <w:rPr>
                <w:b/>
                <w:sz w:val="24"/>
              </w:rPr>
              <w:t>总价（元）</w:t>
            </w:r>
          </w:p>
        </w:tc>
        <w:tc>
          <w:tcPr>
            <w:tcW w:w="514" w:type="pct"/>
            <w:vAlign w:val="center"/>
          </w:tcPr>
          <w:p w14:paraId="68CB2CEF">
            <w:pPr>
              <w:adjustRightInd w:val="0"/>
              <w:snapToGrid w:val="0"/>
              <w:jc w:val="left"/>
              <w:rPr>
                <w:sz w:val="24"/>
              </w:rPr>
            </w:pPr>
          </w:p>
        </w:tc>
      </w:tr>
    </w:tbl>
    <w:p w14:paraId="55A35948">
      <w:pPr>
        <w:tabs>
          <w:tab w:val="left" w:pos="1800"/>
          <w:tab w:val="left" w:pos="5580"/>
        </w:tabs>
        <w:jc w:val="left"/>
        <w:rPr>
          <w:sz w:val="24"/>
        </w:rPr>
      </w:pPr>
    </w:p>
    <w:p w14:paraId="76A5141E">
      <w:pPr>
        <w:tabs>
          <w:tab w:val="left" w:pos="1800"/>
          <w:tab w:val="left" w:pos="5580"/>
        </w:tabs>
        <w:jc w:val="left"/>
        <w:rPr>
          <w:sz w:val="24"/>
        </w:rPr>
      </w:pPr>
    </w:p>
    <w:p w14:paraId="3601B17E">
      <w:pPr>
        <w:adjustRightInd w:val="0"/>
        <w:snapToGrid w:val="0"/>
        <w:spacing w:before="240" w:beforeLines="100" w:after="240" w:afterLines="100"/>
        <w:jc w:val="left"/>
        <w:rPr>
          <w:b/>
          <w:i/>
          <w:color w:val="FF0000"/>
          <w:sz w:val="24"/>
        </w:rPr>
      </w:pPr>
      <w:r>
        <w:rPr>
          <w:rFonts w:hint="eastAsia"/>
          <w:b/>
          <w:i/>
          <w:color w:val="FF0000"/>
          <w:sz w:val="24"/>
        </w:rPr>
        <w:t>（格式示例二</w:t>
      </w:r>
      <w:r>
        <w:rPr>
          <w:b/>
          <w:i/>
          <w:color w:val="FF0000"/>
          <w:sz w:val="24"/>
        </w:rPr>
        <w:t>，适用于</w:t>
      </w:r>
      <w:r>
        <w:rPr>
          <w:rFonts w:hint="eastAsia"/>
          <w:b/>
          <w:i/>
          <w:color w:val="FF0000"/>
          <w:sz w:val="24"/>
        </w:rPr>
        <w:t>服务类项目）</w:t>
      </w:r>
    </w:p>
    <w:p w14:paraId="7A030C81">
      <w:pPr>
        <w:tabs>
          <w:tab w:val="left" w:pos="1800"/>
          <w:tab w:val="left" w:pos="5580"/>
        </w:tabs>
        <w:rPr>
          <w:color w:val="000000"/>
          <w:sz w:val="24"/>
        </w:rPr>
      </w:pPr>
      <w:r>
        <w:rPr>
          <w:color w:val="000000"/>
          <w:sz w:val="24"/>
        </w:rPr>
        <w:t>项目编号/包号：___________ 项目名称：__________报价单位：人民币元</w:t>
      </w:r>
    </w:p>
    <w:tbl>
      <w:tblPr>
        <w:tblStyle w:val="45"/>
        <w:tblW w:w="49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3"/>
        <w:gridCol w:w="3401"/>
        <w:gridCol w:w="1562"/>
        <w:gridCol w:w="1560"/>
        <w:gridCol w:w="1982"/>
      </w:tblGrid>
      <w:tr w14:paraId="30282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82" w:type="pct"/>
            <w:vAlign w:val="center"/>
          </w:tcPr>
          <w:p w14:paraId="6203B9FB">
            <w:pPr>
              <w:adjustRightInd w:val="0"/>
              <w:snapToGrid w:val="0"/>
              <w:jc w:val="left"/>
              <w:rPr>
                <w:b/>
                <w:color w:val="000000"/>
                <w:sz w:val="24"/>
              </w:rPr>
            </w:pPr>
            <w:r>
              <w:rPr>
                <w:b/>
                <w:color w:val="000000"/>
                <w:sz w:val="24"/>
              </w:rPr>
              <w:t>序号</w:t>
            </w:r>
          </w:p>
        </w:tc>
        <w:tc>
          <w:tcPr>
            <w:tcW w:w="1847" w:type="pct"/>
            <w:vAlign w:val="center"/>
          </w:tcPr>
          <w:p w14:paraId="4402BB9C">
            <w:pPr>
              <w:adjustRightInd w:val="0"/>
              <w:snapToGrid w:val="0"/>
              <w:jc w:val="left"/>
              <w:rPr>
                <w:b/>
                <w:color w:val="000000"/>
                <w:sz w:val="24"/>
              </w:rPr>
            </w:pPr>
            <w:r>
              <w:rPr>
                <w:b/>
                <w:color w:val="000000"/>
                <w:sz w:val="24"/>
              </w:rPr>
              <w:t>分项名称</w:t>
            </w:r>
          </w:p>
        </w:tc>
        <w:tc>
          <w:tcPr>
            <w:tcW w:w="848" w:type="pct"/>
            <w:vAlign w:val="center"/>
          </w:tcPr>
          <w:p w14:paraId="37E418F4">
            <w:pPr>
              <w:adjustRightInd w:val="0"/>
              <w:snapToGrid w:val="0"/>
              <w:jc w:val="left"/>
              <w:rPr>
                <w:b/>
                <w:color w:val="000000"/>
                <w:sz w:val="24"/>
              </w:rPr>
            </w:pPr>
            <w:r>
              <w:rPr>
                <w:b/>
                <w:color w:val="000000"/>
                <w:sz w:val="24"/>
              </w:rPr>
              <w:t>单价（元）</w:t>
            </w:r>
          </w:p>
        </w:tc>
        <w:tc>
          <w:tcPr>
            <w:tcW w:w="847" w:type="pct"/>
            <w:vAlign w:val="center"/>
          </w:tcPr>
          <w:p w14:paraId="449E14D8">
            <w:pPr>
              <w:adjustRightInd w:val="0"/>
              <w:snapToGrid w:val="0"/>
              <w:jc w:val="left"/>
              <w:rPr>
                <w:b/>
                <w:color w:val="000000"/>
                <w:sz w:val="24"/>
              </w:rPr>
            </w:pPr>
            <w:r>
              <w:rPr>
                <w:b/>
                <w:color w:val="000000"/>
                <w:sz w:val="24"/>
              </w:rPr>
              <w:t>合价（元）</w:t>
            </w:r>
          </w:p>
        </w:tc>
        <w:tc>
          <w:tcPr>
            <w:tcW w:w="1076" w:type="pct"/>
            <w:vAlign w:val="center"/>
          </w:tcPr>
          <w:p w14:paraId="7F9271E4">
            <w:pPr>
              <w:adjustRightInd w:val="0"/>
              <w:snapToGrid w:val="0"/>
              <w:jc w:val="left"/>
              <w:rPr>
                <w:b/>
                <w:color w:val="000000"/>
                <w:sz w:val="24"/>
              </w:rPr>
            </w:pPr>
            <w:r>
              <w:rPr>
                <w:b/>
                <w:color w:val="000000"/>
                <w:sz w:val="24"/>
              </w:rPr>
              <w:t>备注/说明</w:t>
            </w:r>
          </w:p>
        </w:tc>
      </w:tr>
      <w:tr w14:paraId="5AB41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382" w:type="pct"/>
            <w:vAlign w:val="center"/>
          </w:tcPr>
          <w:p w14:paraId="0F53FB2D">
            <w:pPr>
              <w:adjustRightInd w:val="0"/>
              <w:snapToGrid w:val="0"/>
              <w:jc w:val="center"/>
              <w:rPr>
                <w:color w:val="000000"/>
                <w:sz w:val="24"/>
              </w:rPr>
            </w:pPr>
            <w:r>
              <w:rPr>
                <w:color w:val="000000"/>
                <w:sz w:val="24"/>
              </w:rPr>
              <w:t>1</w:t>
            </w:r>
          </w:p>
        </w:tc>
        <w:tc>
          <w:tcPr>
            <w:tcW w:w="1847" w:type="pct"/>
            <w:vAlign w:val="center"/>
          </w:tcPr>
          <w:p w14:paraId="23D7B4D5">
            <w:pPr>
              <w:adjustRightInd w:val="0"/>
              <w:snapToGrid w:val="0"/>
              <w:jc w:val="left"/>
              <w:rPr>
                <w:color w:val="000000"/>
                <w:sz w:val="24"/>
              </w:rPr>
            </w:pPr>
          </w:p>
        </w:tc>
        <w:tc>
          <w:tcPr>
            <w:tcW w:w="848" w:type="pct"/>
            <w:vAlign w:val="center"/>
          </w:tcPr>
          <w:p w14:paraId="25410DCC">
            <w:pPr>
              <w:adjustRightInd w:val="0"/>
              <w:snapToGrid w:val="0"/>
              <w:jc w:val="left"/>
              <w:rPr>
                <w:color w:val="000000"/>
                <w:sz w:val="24"/>
              </w:rPr>
            </w:pPr>
          </w:p>
        </w:tc>
        <w:tc>
          <w:tcPr>
            <w:tcW w:w="847" w:type="pct"/>
            <w:vAlign w:val="center"/>
          </w:tcPr>
          <w:p w14:paraId="4BBB0A59">
            <w:pPr>
              <w:adjustRightInd w:val="0"/>
              <w:snapToGrid w:val="0"/>
              <w:jc w:val="left"/>
              <w:rPr>
                <w:color w:val="000000"/>
                <w:sz w:val="24"/>
              </w:rPr>
            </w:pPr>
          </w:p>
        </w:tc>
        <w:tc>
          <w:tcPr>
            <w:tcW w:w="1076" w:type="pct"/>
            <w:vAlign w:val="center"/>
          </w:tcPr>
          <w:p w14:paraId="6188DDDC">
            <w:pPr>
              <w:adjustRightInd w:val="0"/>
              <w:snapToGrid w:val="0"/>
              <w:jc w:val="left"/>
              <w:rPr>
                <w:color w:val="000000"/>
                <w:sz w:val="24"/>
              </w:rPr>
            </w:pPr>
          </w:p>
        </w:tc>
      </w:tr>
      <w:tr w14:paraId="60D8C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382" w:type="pct"/>
            <w:vAlign w:val="center"/>
          </w:tcPr>
          <w:p w14:paraId="4B28945D">
            <w:pPr>
              <w:adjustRightInd w:val="0"/>
              <w:snapToGrid w:val="0"/>
              <w:jc w:val="center"/>
              <w:rPr>
                <w:color w:val="000000"/>
                <w:sz w:val="24"/>
              </w:rPr>
            </w:pPr>
            <w:r>
              <w:rPr>
                <w:color w:val="000000"/>
                <w:sz w:val="24"/>
              </w:rPr>
              <w:t>2</w:t>
            </w:r>
          </w:p>
        </w:tc>
        <w:tc>
          <w:tcPr>
            <w:tcW w:w="1847" w:type="pct"/>
            <w:vAlign w:val="center"/>
          </w:tcPr>
          <w:p w14:paraId="6ED09617">
            <w:pPr>
              <w:adjustRightInd w:val="0"/>
              <w:snapToGrid w:val="0"/>
              <w:jc w:val="left"/>
              <w:rPr>
                <w:color w:val="000000"/>
                <w:sz w:val="24"/>
              </w:rPr>
            </w:pPr>
          </w:p>
        </w:tc>
        <w:tc>
          <w:tcPr>
            <w:tcW w:w="848" w:type="pct"/>
            <w:vAlign w:val="center"/>
          </w:tcPr>
          <w:p w14:paraId="531AD62F">
            <w:pPr>
              <w:adjustRightInd w:val="0"/>
              <w:snapToGrid w:val="0"/>
              <w:jc w:val="left"/>
              <w:rPr>
                <w:color w:val="000000"/>
                <w:sz w:val="24"/>
              </w:rPr>
            </w:pPr>
          </w:p>
        </w:tc>
        <w:tc>
          <w:tcPr>
            <w:tcW w:w="847" w:type="pct"/>
            <w:vAlign w:val="center"/>
          </w:tcPr>
          <w:p w14:paraId="47979D38">
            <w:pPr>
              <w:adjustRightInd w:val="0"/>
              <w:snapToGrid w:val="0"/>
              <w:jc w:val="left"/>
              <w:rPr>
                <w:color w:val="000000"/>
                <w:sz w:val="24"/>
              </w:rPr>
            </w:pPr>
          </w:p>
        </w:tc>
        <w:tc>
          <w:tcPr>
            <w:tcW w:w="1076" w:type="pct"/>
            <w:vAlign w:val="center"/>
          </w:tcPr>
          <w:p w14:paraId="1E774683">
            <w:pPr>
              <w:adjustRightInd w:val="0"/>
              <w:snapToGrid w:val="0"/>
              <w:jc w:val="left"/>
              <w:rPr>
                <w:color w:val="000000"/>
                <w:sz w:val="24"/>
              </w:rPr>
            </w:pPr>
          </w:p>
        </w:tc>
      </w:tr>
      <w:tr w14:paraId="26EFC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82" w:type="pct"/>
            <w:vAlign w:val="center"/>
          </w:tcPr>
          <w:p w14:paraId="77A06AC2">
            <w:pPr>
              <w:adjustRightInd w:val="0"/>
              <w:snapToGrid w:val="0"/>
              <w:jc w:val="center"/>
              <w:rPr>
                <w:color w:val="000000"/>
                <w:sz w:val="24"/>
              </w:rPr>
            </w:pPr>
            <w:r>
              <w:rPr>
                <w:color w:val="000000"/>
                <w:sz w:val="24"/>
              </w:rPr>
              <w:t>3</w:t>
            </w:r>
          </w:p>
        </w:tc>
        <w:tc>
          <w:tcPr>
            <w:tcW w:w="1847" w:type="pct"/>
            <w:vAlign w:val="center"/>
          </w:tcPr>
          <w:p w14:paraId="602C85B1">
            <w:pPr>
              <w:adjustRightInd w:val="0"/>
              <w:snapToGrid w:val="0"/>
              <w:jc w:val="left"/>
              <w:rPr>
                <w:color w:val="000000"/>
                <w:sz w:val="24"/>
              </w:rPr>
            </w:pPr>
            <w:r>
              <w:rPr>
                <w:color w:val="000000"/>
                <w:sz w:val="24"/>
              </w:rPr>
              <w:t>…</w:t>
            </w:r>
          </w:p>
        </w:tc>
        <w:tc>
          <w:tcPr>
            <w:tcW w:w="848" w:type="pct"/>
            <w:vAlign w:val="center"/>
          </w:tcPr>
          <w:p w14:paraId="2711C2D3">
            <w:pPr>
              <w:adjustRightInd w:val="0"/>
              <w:snapToGrid w:val="0"/>
              <w:jc w:val="left"/>
              <w:rPr>
                <w:color w:val="000000"/>
                <w:sz w:val="24"/>
              </w:rPr>
            </w:pPr>
          </w:p>
        </w:tc>
        <w:tc>
          <w:tcPr>
            <w:tcW w:w="847" w:type="pct"/>
            <w:vAlign w:val="center"/>
          </w:tcPr>
          <w:p w14:paraId="6F6BE53A">
            <w:pPr>
              <w:adjustRightInd w:val="0"/>
              <w:snapToGrid w:val="0"/>
              <w:jc w:val="left"/>
              <w:rPr>
                <w:color w:val="000000"/>
                <w:sz w:val="24"/>
              </w:rPr>
            </w:pPr>
          </w:p>
        </w:tc>
        <w:tc>
          <w:tcPr>
            <w:tcW w:w="1076" w:type="pct"/>
            <w:vAlign w:val="center"/>
          </w:tcPr>
          <w:p w14:paraId="1945D457">
            <w:pPr>
              <w:adjustRightInd w:val="0"/>
              <w:snapToGrid w:val="0"/>
              <w:jc w:val="left"/>
              <w:rPr>
                <w:color w:val="000000"/>
                <w:sz w:val="24"/>
              </w:rPr>
            </w:pPr>
          </w:p>
        </w:tc>
      </w:tr>
      <w:tr w14:paraId="13221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3077" w:type="pct"/>
            <w:gridSpan w:val="3"/>
            <w:vAlign w:val="center"/>
          </w:tcPr>
          <w:p w14:paraId="56D4D40B">
            <w:pPr>
              <w:adjustRightInd w:val="0"/>
              <w:snapToGrid w:val="0"/>
              <w:jc w:val="right"/>
              <w:rPr>
                <w:b/>
                <w:color w:val="000000"/>
                <w:sz w:val="24"/>
              </w:rPr>
            </w:pPr>
            <w:r>
              <w:rPr>
                <w:b/>
                <w:color w:val="000000"/>
                <w:sz w:val="24"/>
              </w:rPr>
              <w:t>总价（元）</w:t>
            </w:r>
          </w:p>
        </w:tc>
        <w:tc>
          <w:tcPr>
            <w:tcW w:w="847" w:type="pct"/>
            <w:vAlign w:val="center"/>
          </w:tcPr>
          <w:p w14:paraId="3DD77B25">
            <w:pPr>
              <w:adjustRightInd w:val="0"/>
              <w:snapToGrid w:val="0"/>
              <w:jc w:val="left"/>
              <w:rPr>
                <w:color w:val="000000"/>
                <w:sz w:val="24"/>
              </w:rPr>
            </w:pPr>
          </w:p>
        </w:tc>
        <w:tc>
          <w:tcPr>
            <w:tcW w:w="1076" w:type="pct"/>
            <w:vAlign w:val="center"/>
          </w:tcPr>
          <w:p w14:paraId="0E9C096B">
            <w:pPr>
              <w:adjustRightInd w:val="0"/>
              <w:snapToGrid w:val="0"/>
              <w:jc w:val="left"/>
              <w:rPr>
                <w:color w:val="000000"/>
                <w:sz w:val="24"/>
              </w:rPr>
            </w:pPr>
          </w:p>
        </w:tc>
      </w:tr>
    </w:tbl>
    <w:p w14:paraId="1D2FA743">
      <w:pPr>
        <w:pStyle w:val="104"/>
      </w:pPr>
    </w:p>
    <w:p w14:paraId="4830739B">
      <w:pPr>
        <w:tabs>
          <w:tab w:val="left" w:pos="1800"/>
          <w:tab w:val="left" w:pos="5580"/>
        </w:tabs>
        <w:jc w:val="left"/>
        <w:rPr>
          <w:sz w:val="24"/>
        </w:rPr>
      </w:pPr>
      <w:r>
        <w:rPr>
          <w:sz w:val="24"/>
        </w:rPr>
        <w:t>注：1.本表应按包分别填写。</w:t>
      </w:r>
    </w:p>
    <w:p w14:paraId="05CFD8FB">
      <w:pPr>
        <w:tabs>
          <w:tab w:val="left" w:pos="1800"/>
          <w:tab w:val="left" w:pos="5580"/>
        </w:tabs>
        <w:ind w:firstLine="480" w:firstLineChars="200"/>
        <w:jc w:val="left"/>
        <w:rPr>
          <w:sz w:val="24"/>
        </w:rPr>
      </w:pPr>
      <w:r>
        <w:rPr>
          <w:sz w:val="24"/>
        </w:rPr>
        <w:t>2.如果不提供分项报价将视为没有实质性响应招标文件。</w:t>
      </w:r>
    </w:p>
    <w:p w14:paraId="11C3B63B">
      <w:pPr>
        <w:tabs>
          <w:tab w:val="left" w:pos="1800"/>
          <w:tab w:val="left" w:pos="5580"/>
        </w:tabs>
        <w:ind w:firstLine="480" w:firstLineChars="200"/>
        <w:jc w:val="left"/>
        <w:rPr>
          <w:sz w:val="24"/>
        </w:rPr>
      </w:pPr>
      <w:r>
        <w:rPr>
          <w:sz w:val="24"/>
        </w:rPr>
        <w:t>3.上述各项的详细规格（如有），可另页描述。</w:t>
      </w:r>
    </w:p>
    <w:p w14:paraId="1C32ACE2">
      <w:pPr>
        <w:tabs>
          <w:tab w:val="left" w:pos="1800"/>
          <w:tab w:val="left" w:pos="5580"/>
        </w:tabs>
        <w:ind w:firstLine="480" w:firstLineChars="200"/>
        <w:jc w:val="left"/>
        <w:rPr>
          <w:sz w:val="24"/>
        </w:rPr>
      </w:pPr>
      <w:bookmarkStart w:id="843" w:name="_Hlk149652800"/>
      <w:r>
        <w:rPr>
          <w:rFonts w:hint="eastAsia"/>
          <w:sz w:val="24"/>
        </w:rPr>
        <w:t>4.制造商规模列应填写“大型”、“中型”、“小型”、“微型”或“其他”，且不应与《中小企业声明函》或《拟分包情况说明》中内容矛盾。制造商所属性别请填写“男”或“女”，指拥有制造商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5F1F1D76">
      <w:pPr>
        <w:autoSpaceDE w:val="0"/>
        <w:autoSpaceDN w:val="0"/>
        <w:adjustRightInd w:val="0"/>
        <w:snapToGrid w:val="0"/>
        <w:spacing w:before="25" w:after="25" w:line="360" w:lineRule="auto"/>
        <w:rPr>
          <w:sz w:val="24"/>
          <w:lang w:val="zh-CN"/>
        </w:rPr>
      </w:pPr>
      <w:r>
        <w:rPr>
          <w:sz w:val="24"/>
          <w:lang w:val="zh-CN"/>
        </w:rPr>
        <w:t xml:space="preserve">                  </w:t>
      </w:r>
    </w:p>
    <w:bookmarkEnd w:id="843"/>
    <w:p w14:paraId="47BA1D05">
      <w:pPr>
        <w:autoSpaceDE w:val="0"/>
        <w:autoSpaceDN w:val="0"/>
        <w:adjustRightInd w:val="0"/>
        <w:snapToGrid w:val="0"/>
        <w:spacing w:before="25" w:after="25" w:line="360" w:lineRule="auto"/>
        <w:rPr>
          <w:sz w:val="24"/>
          <w:lang w:val="zh-CN"/>
        </w:rPr>
      </w:pPr>
      <w:r>
        <w:rPr>
          <w:sz w:val="24"/>
        </w:rPr>
        <w:t>投标人名称（加盖公章）</w:t>
      </w:r>
      <w:r>
        <w:rPr>
          <w:sz w:val="24"/>
          <w:lang w:val="zh-CN"/>
        </w:rPr>
        <w:t>：____________</w:t>
      </w:r>
    </w:p>
    <w:p w14:paraId="49F82AE6">
      <w:pPr>
        <w:autoSpaceDE w:val="0"/>
        <w:autoSpaceDN w:val="0"/>
        <w:adjustRightInd w:val="0"/>
        <w:snapToGrid w:val="0"/>
        <w:spacing w:before="25" w:after="25" w:line="360" w:lineRule="auto"/>
        <w:rPr>
          <w:b/>
          <w:i/>
          <w:sz w:val="24"/>
        </w:rPr>
      </w:pPr>
      <w:r>
        <w:rPr>
          <w:sz w:val="24"/>
          <w:szCs w:val="20"/>
        </w:rPr>
        <w:t xml:space="preserve">日期：_____年______月______日   </w:t>
      </w:r>
    </w:p>
    <w:p w14:paraId="659A5251">
      <w:pPr>
        <w:spacing w:line="360" w:lineRule="auto"/>
        <w:outlineLvl w:val="2"/>
        <w:rPr>
          <w:rFonts w:hint="eastAsia" w:ascii="宋体" w:hAnsi="宋体"/>
          <w:color w:val="000000"/>
          <w:sz w:val="24"/>
          <w:szCs w:val="20"/>
        </w:rPr>
        <w:sectPr>
          <w:headerReference r:id="rId20" w:type="first"/>
          <w:footerReference r:id="rId22" w:type="first"/>
          <w:headerReference r:id="rId19" w:type="even"/>
          <w:footerReference r:id="rId21" w:type="even"/>
          <w:pgSz w:w="11907" w:h="16840"/>
          <w:pgMar w:top="1418" w:right="1134" w:bottom="1418" w:left="1701" w:header="851" w:footer="851" w:gutter="0"/>
          <w:cols w:space="720" w:num="1"/>
          <w:docGrid w:linePitch="462" w:charSpace="0"/>
        </w:sectPr>
      </w:pPr>
    </w:p>
    <w:p w14:paraId="6233508C">
      <w:pPr>
        <w:spacing w:line="360" w:lineRule="auto"/>
        <w:outlineLvl w:val="2"/>
        <w:rPr>
          <w:rFonts w:hint="eastAsia" w:ascii="宋体" w:hAnsi="宋体"/>
          <w:color w:val="000000"/>
          <w:sz w:val="24"/>
          <w:szCs w:val="20"/>
        </w:rPr>
      </w:pPr>
      <w:r>
        <w:rPr>
          <w:rFonts w:ascii="宋体" w:hAnsi="宋体"/>
          <w:color w:val="000000"/>
          <w:sz w:val="24"/>
          <w:szCs w:val="20"/>
        </w:rPr>
        <w:t>5</w:t>
      </w:r>
      <w:r>
        <w:rPr>
          <w:rFonts w:hint="eastAsia" w:ascii="宋体" w:hAnsi="宋体"/>
          <w:color w:val="000000"/>
          <w:sz w:val="24"/>
          <w:szCs w:val="20"/>
        </w:rPr>
        <w:t xml:space="preserve">  投标情况明细表</w:t>
      </w:r>
    </w:p>
    <w:p w14:paraId="3B76F8CE">
      <w:pPr>
        <w:spacing w:line="360" w:lineRule="auto"/>
        <w:jc w:val="center"/>
        <w:rPr>
          <w:b/>
          <w:bCs/>
          <w:sz w:val="36"/>
          <w:szCs w:val="36"/>
        </w:rPr>
      </w:pPr>
      <w:r>
        <w:rPr>
          <w:rFonts w:hint="eastAsia"/>
          <w:b/>
          <w:bCs/>
          <w:sz w:val="36"/>
          <w:szCs w:val="36"/>
        </w:rPr>
        <w:t>投标情况明细表</w:t>
      </w:r>
    </w:p>
    <w:p w14:paraId="5E33D266">
      <w:pPr>
        <w:pStyle w:val="24"/>
        <w:rPr>
          <w:rFonts w:hAnsi="宋体"/>
          <w:sz w:val="24"/>
        </w:rPr>
      </w:pPr>
      <w:r>
        <w:rPr>
          <w:rFonts w:hAnsi="宋体"/>
          <w:sz w:val="24"/>
        </w:rPr>
        <w:t>项目名称:______招标编号:__________包号:_____报价单位：人民币/元</w:t>
      </w:r>
    </w:p>
    <w:tbl>
      <w:tblPr>
        <w:tblStyle w:val="45"/>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1"/>
        <w:gridCol w:w="540"/>
        <w:gridCol w:w="621"/>
        <w:gridCol w:w="864"/>
        <w:gridCol w:w="540"/>
        <w:gridCol w:w="541"/>
        <w:gridCol w:w="541"/>
        <w:gridCol w:w="622"/>
        <w:gridCol w:w="703"/>
        <w:gridCol w:w="622"/>
        <w:gridCol w:w="622"/>
        <w:gridCol w:w="784"/>
        <w:gridCol w:w="703"/>
        <w:gridCol w:w="541"/>
        <w:gridCol w:w="541"/>
        <w:gridCol w:w="541"/>
        <w:gridCol w:w="541"/>
        <w:gridCol w:w="784"/>
        <w:gridCol w:w="784"/>
        <w:gridCol w:w="541"/>
        <w:gridCol w:w="541"/>
        <w:gridCol w:w="541"/>
        <w:gridCol w:w="541"/>
      </w:tblGrid>
      <w:tr w14:paraId="2FAA7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236" w:type="pct"/>
            <w:noWrap/>
            <w:vAlign w:val="center"/>
          </w:tcPr>
          <w:p w14:paraId="051B6B8D">
            <w:pPr>
              <w:widowControl/>
              <w:jc w:val="center"/>
              <w:rPr>
                <w:rFonts w:hint="eastAsia" w:ascii="宋体" w:hAnsi="宋体" w:cs="宋体"/>
                <w:kern w:val="0"/>
                <w:szCs w:val="21"/>
              </w:rPr>
            </w:pPr>
            <w:r>
              <w:rPr>
                <w:rFonts w:hint="eastAsia" w:ascii="宋体" w:hAnsi="宋体" w:cs="宋体"/>
                <w:kern w:val="0"/>
                <w:szCs w:val="21"/>
              </w:rPr>
              <w:t>投标人名称</w:t>
            </w:r>
          </w:p>
        </w:tc>
        <w:tc>
          <w:tcPr>
            <w:tcW w:w="204" w:type="pct"/>
            <w:noWrap/>
            <w:vAlign w:val="center"/>
          </w:tcPr>
          <w:p w14:paraId="07F9A132">
            <w:pPr>
              <w:widowControl/>
              <w:jc w:val="center"/>
              <w:rPr>
                <w:rFonts w:hint="eastAsia" w:ascii="宋体" w:hAnsi="宋体" w:cs="宋体"/>
                <w:kern w:val="0"/>
                <w:szCs w:val="21"/>
              </w:rPr>
            </w:pPr>
            <w:r>
              <w:rPr>
                <w:rFonts w:hint="eastAsia" w:ascii="宋体" w:hAnsi="宋体" w:cs="宋体"/>
                <w:kern w:val="0"/>
                <w:szCs w:val="21"/>
              </w:rPr>
              <w:t>企业类型</w:t>
            </w:r>
          </w:p>
        </w:tc>
        <w:tc>
          <w:tcPr>
            <w:tcW w:w="236" w:type="pct"/>
            <w:noWrap/>
            <w:vAlign w:val="center"/>
          </w:tcPr>
          <w:p w14:paraId="0EA9ABA5">
            <w:pPr>
              <w:widowControl/>
              <w:jc w:val="center"/>
              <w:rPr>
                <w:rFonts w:hint="eastAsia" w:ascii="宋体" w:hAnsi="宋体" w:cs="宋体"/>
                <w:kern w:val="0"/>
                <w:szCs w:val="21"/>
              </w:rPr>
            </w:pPr>
            <w:r>
              <w:rPr>
                <w:rFonts w:hint="eastAsia" w:ascii="宋体" w:hAnsi="宋体" w:cs="宋体"/>
                <w:kern w:val="0"/>
                <w:szCs w:val="21"/>
              </w:rPr>
              <w:t>投标人地址</w:t>
            </w:r>
          </w:p>
        </w:tc>
        <w:tc>
          <w:tcPr>
            <w:tcW w:w="334" w:type="pct"/>
            <w:noWrap/>
            <w:vAlign w:val="center"/>
          </w:tcPr>
          <w:p w14:paraId="1E2AA06D">
            <w:pPr>
              <w:widowControl/>
              <w:jc w:val="center"/>
              <w:rPr>
                <w:rFonts w:hint="eastAsia" w:ascii="宋体" w:hAnsi="宋体" w:cs="宋体"/>
                <w:kern w:val="0"/>
                <w:szCs w:val="21"/>
              </w:rPr>
            </w:pPr>
            <w:r>
              <w:rPr>
                <w:rFonts w:hint="eastAsia" w:ascii="宋体" w:hAnsi="宋体" w:cs="宋体"/>
                <w:kern w:val="0"/>
                <w:szCs w:val="21"/>
              </w:rPr>
              <w:t>统一社会信用代码</w:t>
            </w:r>
          </w:p>
        </w:tc>
        <w:tc>
          <w:tcPr>
            <w:tcW w:w="204" w:type="pct"/>
            <w:noWrap/>
            <w:vAlign w:val="center"/>
          </w:tcPr>
          <w:p w14:paraId="64593403">
            <w:pPr>
              <w:widowControl/>
              <w:jc w:val="center"/>
              <w:rPr>
                <w:rFonts w:hint="eastAsia" w:ascii="宋体" w:hAnsi="宋体" w:cs="宋体"/>
                <w:kern w:val="0"/>
                <w:szCs w:val="21"/>
              </w:rPr>
            </w:pPr>
            <w:r>
              <w:rPr>
                <w:rFonts w:hint="eastAsia" w:ascii="宋体" w:hAnsi="宋体" w:cs="宋体"/>
                <w:kern w:val="0"/>
                <w:szCs w:val="21"/>
              </w:rPr>
              <w:t>商品名称</w:t>
            </w:r>
          </w:p>
        </w:tc>
        <w:tc>
          <w:tcPr>
            <w:tcW w:w="204" w:type="pct"/>
            <w:noWrap/>
            <w:vAlign w:val="center"/>
          </w:tcPr>
          <w:p w14:paraId="4D2D3CB1">
            <w:pPr>
              <w:widowControl/>
              <w:jc w:val="center"/>
              <w:rPr>
                <w:rFonts w:hint="eastAsia" w:ascii="宋体" w:hAnsi="宋体" w:cs="宋体"/>
                <w:kern w:val="0"/>
                <w:szCs w:val="21"/>
              </w:rPr>
            </w:pPr>
            <w:r>
              <w:rPr>
                <w:rFonts w:hint="eastAsia" w:ascii="宋体" w:hAnsi="宋体" w:cs="宋体"/>
                <w:kern w:val="0"/>
                <w:szCs w:val="21"/>
              </w:rPr>
              <w:t>商品型号</w:t>
            </w:r>
          </w:p>
        </w:tc>
        <w:tc>
          <w:tcPr>
            <w:tcW w:w="204" w:type="pct"/>
            <w:noWrap/>
            <w:vAlign w:val="center"/>
          </w:tcPr>
          <w:p w14:paraId="5B7E37D4">
            <w:pPr>
              <w:widowControl/>
              <w:jc w:val="center"/>
              <w:rPr>
                <w:rFonts w:hint="eastAsia" w:ascii="宋体" w:hAnsi="宋体" w:cs="宋体"/>
                <w:kern w:val="0"/>
                <w:szCs w:val="21"/>
              </w:rPr>
            </w:pPr>
            <w:r>
              <w:rPr>
                <w:rFonts w:hint="eastAsia" w:ascii="宋体" w:hAnsi="宋体" w:cs="宋体"/>
                <w:kern w:val="0"/>
                <w:szCs w:val="21"/>
              </w:rPr>
              <w:t>商品品牌</w:t>
            </w:r>
          </w:p>
        </w:tc>
        <w:tc>
          <w:tcPr>
            <w:tcW w:w="236" w:type="pct"/>
            <w:noWrap/>
            <w:vAlign w:val="center"/>
          </w:tcPr>
          <w:p w14:paraId="14309E94">
            <w:pPr>
              <w:widowControl/>
              <w:jc w:val="center"/>
              <w:rPr>
                <w:rFonts w:hint="eastAsia" w:ascii="宋体" w:hAnsi="宋体" w:cs="宋体"/>
                <w:kern w:val="0"/>
                <w:szCs w:val="21"/>
              </w:rPr>
            </w:pPr>
            <w:r>
              <w:rPr>
                <w:rFonts w:hint="eastAsia" w:ascii="宋体" w:hAnsi="宋体" w:cs="宋体"/>
                <w:kern w:val="0"/>
                <w:szCs w:val="21"/>
              </w:rPr>
              <w:t>制造商名称</w:t>
            </w:r>
          </w:p>
        </w:tc>
        <w:tc>
          <w:tcPr>
            <w:tcW w:w="269" w:type="pct"/>
            <w:noWrap/>
            <w:vAlign w:val="center"/>
          </w:tcPr>
          <w:p w14:paraId="28405016">
            <w:pPr>
              <w:widowControl/>
              <w:jc w:val="center"/>
              <w:rPr>
                <w:rFonts w:hint="eastAsia" w:ascii="宋体" w:hAnsi="宋体" w:cs="宋体"/>
                <w:kern w:val="0"/>
                <w:szCs w:val="21"/>
              </w:rPr>
            </w:pPr>
            <w:r>
              <w:rPr>
                <w:rFonts w:hint="eastAsia" w:ascii="宋体" w:hAnsi="宋体" w:cs="宋体"/>
                <w:kern w:val="0"/>
                <w:szCs w:val="21"/>
              </w:rPr>
              <w:t>制造商信用码</w:t>
            </w:r>
          </w:p>
        </w:tc>
        <w:tc>
          <w:tcPr>
            <w:tcW w:w="236" w:type="pct"/>
            <w:noWrap/>
            <w:vAlign w:val="center"/>
          </w:tcPr>
          <w:p w14:paraId="464D17EF">
            <w:pPr>
              <w:widowControl/>
              <w:jc w:val="center"/>
              <w:rPr>
                <w:rFonts w:hint="eastAsia" w:ascii="宋体" w:hAnsi="宋体" w:cs="宋体"/>
                <w:kern w:val="0"/>
                <w:szCs w:val="21"/>
              </w:rPr>
            </w:pPr>
            <w:bookmarkStart w:id="844" w:name="_Hlk149650836"/>
            <w:r>
              <w:rPr>
                <w:rFonts w:hint="eastAsia" w:ascii="宋体" w:hAnsi="宋体" w:cs="宋体"/>
                <w:kern w:val="0"/>
                <w:szCs w:val="21"/>
              </w:rPr>
              <w:t>制造商规模</w:t>
            </w:r>
            <w:bookmarkEnd w:id="844"/>
          </w:p>
        </w:tc>
        <w:tc>
          <w:tcPr>
            <w:tcW w:w="236" w:type="pct"/>
            <w:noWrap/>
            <w:vAlign w:val="center"/>
          </w:tcPr>
          <w:p w14:paraId="169C11A8">
            <w:pPr>
              <w:widowControl/>
              <w:jc w:val="center"/>
              <w:rPr>
                <w:rFonts w:hint="eastAsia" w:ascii="宋体" w:hAnsi="宋体" w:cs="宋体"/>
                <w:kern w:val="0"/>
                <w:szCs w:val="21"/>
              </w:rPr>
            </w:pPr>
            <w:r>
              <w:rPr>
                <w:rFonts w:hint="eastAsia" w:ascii="宋体" w:hAnsi="宋体" w:cs="宋体"/>
                <w:kern w:val="0"/>
                <w:szCs w:val="21"/>
              </w:rPr>
              <w:t>制造商地区</w:t>
            </w:r>
          </w:p>
        </w:tc>
        <w:tc>
          <w:tcPr>
            <w:tcW w:w="78" w:type="pct"/>
            <w:noWrap/>
            <w:vAlign w:val="center"/>
          </w:tcPr>
          <w:p w14:paraId="7C5E07BC">
            <w:pPr>
              <w:widowControl/>
              <w:jc w:val="center"/>
              <w:rPr>
                <w:rFonts w:hint="eastAsia" w:ascii="宋体" w:hAnsi="宋体" w:cs="宋体"/>
                <w:kern w:val="0"/>
                <w:szCs w:val="21"/>
              </w:rPr>
            </w:pPr>
            <w:r>
              <w:rPr>
                <w:rFonts w:hint="eastAsia" w:ascii="宋体" w:hAnsi="宋体" w:cs="宋体"/>
                <w:kern w:val="0"/>
                <w:szCs w:val="21"/>
              </w:rPr>
              <w:t>制造商所属性别</w:t>
            </w:r>
          </w:p>
        </w:tc>
        <w:tc>
          <w:tcPr>
            <w:tcW w:w="78" w:type="pct"/>
            <w:noWrap/>
            <w:vAlign w:val="center"/>
          </w:tcPr>
          <w:p w14:paraId="3E5BAFDB">
            <w:pPr>
              <w:widowControl/>
              <w:jc w:val="center"/>
              <w:rPr>
                <w:rFonts w:hint="eastAsia" w:ascii="宋体" w:hAnsi="宋体" w:cs="宋体"/>
                <w:kern w:val="0"/>
                <w:szCs w:val="21"/>
              </w:rPr>
            </w:pPr>
            <w:r>
              <w:rPr>
                <w:rFonts w:hint="eastAsia" w:ascii="宋体" w:hAnsi="宋体" w:cs="宋体"/>
                <w:kern w:val="0"/>
                <w:szCs w:val="21"/>
              </w:rPr>
              <w:t>外商投资类型</w:t>
            </w:r>
          </w:p>
        </w:tc>
        <w:tc>
          <w:tcPr>
            <w:tcW w:w="204" w:type="pct"/>
            <w:noWrap/>
            <w:vAlign w:val="center"/>
          </w:tcPr>
          <w:p w14:paraId="5E764870">
            <w:pPr>
              <w:widowControl/>
              <w:jc w:val="center"/>
              <w:rPr>
                <w:rFonts w:hint="eastAsia" w:ascii="宋体" w:hAnsi="宋体" w:cs="宋体"/>
                <w:kern w:val="0"/>
                <w:szCs w:val="21"/>
              </w:rPr>
            </w:pPr>
            <w:r>
              <w:rPr>
                <w:rFonts w:hint="eastAsia" w:ascii="宋体" w:hAnsi="宋体" w:cs="宋体"/>
                <w:kern w:val="0"/>
                <w:szCs w:val="21"/>
              </w:rPr>
              <w:t>产品类型</w:t>
            </w:r>
          </w:p>
        </w:tc>
        <w:tc>
          <w:tcPr>
            <w:tcW w:w="204" w:type="pct"/>
            <w:noWrap/>
            <w:vAlign w:val="center"/>
          </w:tcPr>
          <w:p w14:paraId="7AC5CF65">
            <w:pPr>
              <w:widowControl/>
              <w:jc w:val="center"/>
              <w:rPr>
                <w:rFonts w:hint="eastAsia" w:ascii="宋体" w:hAnsi="宋体" w:cs="宋体"/>
                <w:kern w:val="0"/>
                <w:szCs w:val="21"/>
              </w:rPr>
            </w:pPr>
            <w:r>
              <w:rPr>
                <w:rFonts w:hint="eastAsia" w:ascii="宋体" w:hAnsi="宋体" w:cs="宋体"/>
                <w:kern w:val="0"/>
                <w:szCs w:val="21"/>
              </w:rPr>
              <w:t>产品国别</w:t>
            </w:r>
          </w:p>
        </w:tc>
        <w:tc>
          <w:tcPr>
            <w:tcW w:w="204" w:type="pct"/>
            <w:noWrap/>
            <w:vAlign w:val="center"/>
          </w:tcPr>
          <w:p w14:paraId="11B24650">
            <w:pPr>
              <w:widowControl/>
              <w:jc w:val="center"/>
              <w:rPr>
                <w:rFonts w:hint="eastAsia" w:ascii="宋体" w:hAnsi="宋体" w:cs="宋体"/>
                <w:kern w:val="0"/>
                <w:szCs w:val="21"/>
              </w:rPr>
            </w:pPr>
            <w:r>
              <w:rPr>
                <w:rFonts w:hint="eastAsia" w:ascii="宋体" w:hAnsi="宋体" w:cs="宋体"/>
                <w:kern w:val="0"/>
                <w:szCs w:val="21"/>
              </w:rPr>
              <w:t>采购数量</w:t>
            </w:r>
          </w:p>
        </w:tc>
        <w:tc>
          <w:tcPr>
            <w:tcW w:w="204" w:type="pct"/>
            <w:noWrap/>
            <w:vAlign w:val="center"/>
          </w:tcPr>
          <w:p w14:paraId="7F401ED6">
            <w:pPr>
              <w:widowControl/>
              <w:jc w:val="center"/>
              <w:rPr>
                <w:rFonts w:hint="eastAsia" w:ascii="宋体" w:hAnsi="宋体" w:cs="宋体"/>
                <w:kern w:val="0"/>
                <w:szCs w:val="21"/>
              </w:rPr>
            </w:pPr>
            <w:r>
              <w:rPr>
                <w:rFonts w:hint="eastAsia" w:ascii="宋体" w:hAnsi="宋体" w:cs="宋体"/>
                <w:kern w:val="0"/>
                <w:szCs w:val="21"/>
              </w:rPr>
              <w:t>计量单位</w:t>
            </w:r>
          </w:p>
        </w:tc>
        <w:tc>
          <w:tcPr>
            <w:tcW w:w="301" w:type="pct"/>
            <w:noWrap/>
            <w:vAlign w:val="center"/>
          </w:tcPr>
          <w:p w14:paraId="59EBE549">
            <w:pPr>
              <w:widowControl/>
              <w:jc w:val="center"/>
              <w:rPr>
                <w:rFonts w:hint="eastAsia" w:ascii="宋体" w:hAnsi="宋体" w:cs="宋体"/>
                <w:kern w:val="0"/>
                <w:szCs w:val="21"/>
              </w:rPr>
            </w:pPr>
            <w:r>
              <w:rPr>
                <w:rFonts w:hint="eastAsia" w:ascii="宋体" w:hAnsi="宋体" w:cs="宋体"/>
                <w:kern w:val="0"/>
                <w:szCs w:val="21"/>
              </w:rPr>
              <w:t>分项单价（元）</w:t>
            </w:r>
          </w:p>
        </w:tc>
        <w:tc>
          <w:tcPr>
            <w:tcW w:w="301" w:type="pct"/>
            <w:noWrap/>
            <w:vAlign w:val="center"/>
          </w:tcPr>
          <w:p w14:paraId="49C810F0">
            <w:pPr>
              <w:widowControl/>
              <w:jc w:val="center"/>
              <w:rPr>
                <w:rFonts w:hint="eastAsia" w:ascii="宋体" w:hAnsi="宋体" w:cs="宋体"/>
                <w:kern w:val="0"/>
                <w:szCs w:val="21"/>
              </w:rPr>
            </w:pPr>
            <w:r>
              <w:rPr>
                <w:rFonts w:hint="eastAsia" w:ascii="宋体" w:hAnsi="宋体" w:cs="宋体"/>
                <w:kern w:val="0"/>
                <w:szCs w:val="21"/>
              </w:rPr>
              <w:t>分项总价（元）</w:t>
            </w:r>
          </w:p>
        </w:tc>
        <w:tc>
          <w:tcPr>
            <w:tcW w:w="204" w:type="pct"/>
            <w:noWrap/>
            <w:vAlign w:val="center"/>
          </w:tcPr>
          <w:p w14:paraId="1B3EA4DA">
            <w:pPr>
              <w:widowControl/>
              <w:jc w:val="center"/>
              <w:rPr>
                <w:rFonts w:hint="eastAsia" w:ascii="宋体" w:hAnsi="宋体" w:cs="宋体"/>
                <w:kern w:val="0"/>
                <w:szCs w:val="21"/>
              </w:rPr>
            </w:pPr>
            <w:r>
              <w:rPr>
                <w:rFonts w:hint="eastAsia" w:ascii="宋体" w:hAnsi="宋体" w:cs="宋体"/>
                <w:kern w:val="0"/>
                <w:szCs w:val="21"/>
              </w:rPr>
              <w:t>产品属性</w:t>
            </w:r>
          </w:p>
        </w:tc>
        <w:tc>
          <w:tcPr>
            <w:tcW w:w="204" w:type="pct"/>
            <w:noWrap/>
            <w:vAlign w:val="center"/>
          </w:tcPr>
          <w:p w14:paraId="4D46F49E">
            <w:pPr>
              <w:widowControl/>
              <w:jc w:val="center"/>
              <w:rPr>
                <w:rFonts w:hint="eastAsia" w:ascii="宋体" w:hAnsi="宋体" w:cs="宋体"/>
                <w:kern w:val="0"/>
                <w:szCs w:val="21"/>
              </w:rPr>
            </w:pPr>
            <w:r>
              <w:rPr>
                <w:rFonts w:hint="eastAsia" w:ascii="宋体" w:hAnsi="宋体" w:cs="宋体"/>
                <w:kern w:val="0"/>
                <w:szCs w:val="21"/>
              </w:rPr>
              <w:t>特殊性质</w:t>
            </w:r>
          </w:p>
        </w:tc>
        <w:tc>
          <w:tcPr>
            <w:tcW w:w="204" w:type="pct"/>
            <w:noWrap/>
            <w:vAlign w:val="center"/>
          </w:tcPr>
          <w:p w14:paraId="36233ECB">
            <w:pPr>
              <w:widowControl/>
              <w:jc w:val="center"/>
              <w:rPr>
                <w:rFonts w:hint="eastAsia" w:ascii="宋体" w:hAnsi="宋体" w:cs="宋体"/>
                <w:kern w:val="0"/>
                <w:szCs w:val="21"/>
              </w:rPr>
            </w:pPr>
            <w:r>
              <w:rPr>
                <w:rFonts w:hint="eastAsia" w:ascii="宋体" w:hAnsi="宋体" w:cs="宋体"/>
                <w:kern w:val="0"/>
                <w:szCs w:val="21"/>
              </w:rPr>
              <w:t>商品要求</w:t>
            </w:r>
          </w:p>
        </w:tc>
        <w:tc>
          <w:tcPr>
            <w:tcW w:w="204" w:type="pct"/>
            <w:noWrap/>
            <w:vAlign w:val="center"/>
          </w:tcPr>
          <w:p w14:paraId="012CD315">
            <w:pPr>
              <w:widowControl/>
              <w:jc w:val="center"/>
              <w:rPr>
                <w:rFonts w:hint="eastAsia" w:ascii="宋体" w:hAnsi="宋体" w:cs="宋体"/>
                <w:kern w:val="0"/>
                <w:szCs w:val="21"/>
              </w:rPr>
            </w:pPr>
            <w:r>
              <w:rPr>
                <w:rFonts w:hint="eastAsia" w:ascii="宋体" w:hAnsi="宋体" w:cs="宋体"/>
                <w:kern w:val="0"/>
                <w:szCs w:val="21"/>
              </w:rPr>
              <w:t>基本情况</w:t>
            </w:r>
          </w:p>
        </w:tc>
      </w:tr>
      <w:tr w14:paraId="0E06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36" w:type="pct"/>
            <w:vAlign w:val="center"/>
          </w:tcPr>
          <w:p w14:paraId="3AB980B7">
            <w:pPr>
              <w:widowControl/>
              <w:jc w:val="center"/>
              <w:rPr>
                <w:rFonts w:hint="eastAsia" w:ascii="宋体" w:hAnsi="宋体" w:cs="宋体"/>
                <w:kern w:val="0"/>
                <w:szCs w:val="21"/>
              </w:rPr>
            </w:pPr>
          </w:p>
        </w:tc>
        <w:tc>
          <w:tcPr>
            <w:tcW w:w="204" w:type="pct"/>
            <w:vAlign w:val="center"/>
          </w:tcPr>
          <w:p w14:paraId="798BC54E">
            <w:pPr>
              <w:widowControl/>
              <w:rPr>
                <w:rFonts w:hint="eastAsia" w:ascii="宋体" w:hAnsi="宋体"/>
                <w:kern w:val="0"/>
                <w:szCs w:val="21"/>
              </w:rPr>
            </w:pPr>
          </w:p>
        </w:tc>
        <w:tc>
          <w:tcPr>
            <w:tcW w:w="236" w:type="pct"/>
            <w:vAlign w:val="center"/>
          </w:tcPr>
          <w:p w14:paraId="021D3B2C">
            <w:pPr>
              <w:widowControl/>
              <w:jc w:val="center"/>
              <w:rPr>
                <w:rFonts w:hint="eastAsia" w:ascii="宋体" w:hAnsi="宋体"/>
                <w:kern w:val="0"/>
                <w:szCs w:val="21"/>
              </w:rPr>
            </w:pPr>
          </w:p>
        </w:tc>
        <w:tc>
          <w:tcPr>
            <w:tcW w:w="334" w:type="pct"/>
            <w:vAlign w:val="center"/>
          </w:tcPr>
          <w:p w14:paraId="3673C7F3">
            <w:pPr>
              <w:widowControl/>
              <w:jc w:val="center"/>
              <w:rPr>
                <w:rFonts w:hint="eastAsia" w:ascii="宋体" w:hAnsi="宋体"/>
                <w:kern w:val="0"/>
                <w:szCs w:val="21"/>
              </w:rPr>
            </w:pPr>
          </w:p>
        </w:tc>
        <w:tc>
          <w:tcPr>
            <w:tcW w:w="204" w:type="pct"/>
            <w:vAlign w:val="center"/>
          </w:tcPr>
          <w:p w14:paraId="12CA7B44">
            <w:pPr>
              <w:widowControl/>
              <w:jc w:val="center"/>
              <w:rPr>
                <w:rFonts w:hint="eastAsia" w:ascii="宋体" w:hAnsi="宋体"/>
                <w:kern w:val="0"/>
                <w:szCs w:val="21"/>
              </w:rPr>
            </w:pPr>
          </w:p>
        </w:tc>
        <w:tc>
          <w:tcPr>
            <w:tcW w:w="204" w:type="pct"/>
            <w:vAlign w:val="center"/>
          </w:tcPr>
          <w:p w14:paraId="7CE79CD7">
            <w:pPr>
              <w:widowControl/>
              <w:jc w:val="center"/>
              <w:rPr>
                <w:rFonts w:hint="eastAsia" w:ascii="宋体" w:hAnsi="宋体"/>
                <w:kern w:val="0"/>
                <w:szCs w:val="21"/>
              </w:rPr>
            </w:pPr>
          </w:p>
        </w:tc>
        <w:tc>
          <w:tcPr>
            <w:tcW w:w="204" w:type="pct"/>
            <w:vAlign w:val="center"/>
          </w:tcPr>
          <w:p w14:paraId="5C78ECB3">
            <w:pPr>
              <w:widowControl/>
              <w:jc w:val="center"/>
              <w:rPr>
                <w:rFonts w:hint="eastAsia" w:ascii="宋体" w:hAnsi="宋体"/>
                <w:kern w:val="0"/>
                <w:szCs w:val="21"/>
              </w:rPr>
            </w:pPr>
          </w:p>
        </w:tc>
        <w:tc>
          <w:tcPr>
            <w:tcW w:w="236" w:type="pct"/>
            <w:vAlign w:val="center"/>
          </w:tcPr>
          <w:p w14:paraId="261D6DF7">
            <w:pPr>
              <w:widowControl/>
              <w:jc w:val="center"/>
              <w:rPr>
                <w:rFonts w:hint="eastAsia" w:ascii="宋体" w:hAnsi="宋体"/>
                <w:kern w:val="0"/>
                <w:szCs w:val="21"/>
              </w:rPr>
            </w:pPr>
          </w:p>
        </w:tc>
        <w:tc>
          <w:tcPr>
            <w:tcW w:w="269" w:type="pct"/>
            <w:vAlign w:val="center"/>
          </w:tcPr>
          <w:p w14:paraId="52105586">
            <w:pPr>
              <w:widowControl/>
              <w:jc w:val="center"/>
              <w:rPr>
                <w:rFonts w:hint="eastAsia" w:ascii="宋体" w:hAnsi="宋体"/>
                <w:kern w:val="0"/>
                <w:szCs w:val="21"/>
              </w:rPr>
            </w:pPr>
          </w:p>
        </w:tc>
        <w:tc>
          <w:tcPr>
            <w:tcW w:w="236" w:type="pct"/>
            <w:vAlign w:val="center"/>
          </w:tcPr>
          <w:p w14:paraId="57ADE9BE">
            <w:pPr>
              <w:widowControl/>
              <w:jc w:val="center"/>
              <w:rPr>
                <w:rFonts w:hint="eastAsia" w:ascii="宋体" w:hAnsi="宋体"/>
                <w:kern w:val="0"/>
                <w:szCs w:val="21"/>
              </w:rPr>
            </w:pPr>
          </w:p>
        </w:tc>
        <w:tc>
          <w:tcPr>
            <w:tcW w:w="236" w:type="pct"/>
            <w:vAlign w:val="center"/>
          </w:tcPr>
          <w:p w14:paraId="45ED05B9">
            <w:pPr>
              <w:widowControl/>
              <w:jc w:val="center"/>
              <w:rPr>
                <w:rFonts w:hint="eastAsia" w:ascii="宋体" w:hAnsi="宋体"/>
                <w:kern w:val="0"/>
                <w:szCs w:val="21"/>
              </w:rPr>
            </w:pPr>
          </w:p>
        </w:tc>
        <w:tc>
          <w:tcPr>
            <w:tcW w:w="78" w:type="pct"/>
            <w:vAlign w:val="center"/>
          </w:tcPr>
          <w:p w14:paraId="31017308">
            <w:pPr>
              <w:widowControl/>
              <w:jc w:val="center"/>
              <w:rPr>
                <w:rFonts w:hint="eastAsia" w:ascii="宋体" w:hAnsi="宋体"/>
                <w:kern w:val="0"/>
                <w:szCs w:val="21"/>
              </w:rPr>
            </w:pPr>
          </w:p>
        </w:tc>
        <w:tc>
          <w:tcPr>
            <w:tcW w:w="78" w:type="pct"/>
            <w:vAlign w:val="center"/>
          </w:tcPr>
          <w:p w14:paraId="1FA6D82B">
            <w:pPr>
              <w:widowControl/>
              <w:jc w:val="center"/>
              <w:rPr>
                <w:rFonts w:hint="eastAsia" w:ascii="宋体" w:hAnsi="宋体"/>
                <w:kern w:val="0"/>
                <w:szCs w:val="21"/>
              </w:rPr>
            </w:pPr>
          </w:p>
        </w:tc>
        <w:tc>
          <w:tcPr>
            <w:tcW w:w="204" w:type="pct"/>
            <w:vAlign w:val="center"/>
          </w:tcPr>
          <w:p w14:paraId="5EBFB06D">
            <w:pPr>
              <w:widowControl/>
              <w:jc w:val="center"/>
              <w:rPr>
                <w:rFonts w:hint="eastAsia" w:ascii="宋体" w:hAnsi="宋体"/>
                <w:kern w:val="0"/>
                <w:szCs w:val="21"/>
              </w:rPr>
            </w:pPr>
          </w:p>
        </w:tc>
        <w:tc>
          <w:tcPr>
            <w:tcW w:w="204" w:type="pct"/>
            <w:vAlign w:val="center"/>
          </w:tcPr>
          <w:p w14:paraId="7AE03862">
            <w:pPr>
              <w:widowControl/>
              <w:jc w:val="center"/>
              <w:rPr>
                <w:rFonts w:hint="eastAsia" w:ascii="宋体" w:hAnsi="宋体"/>
                <w:kern w:val="0"/>
                <w:szCs w:val="21"/>
              </w:rPr>
            </w:pPr>
          </w:p>
        </w:tc>
        <w:tc>
          <w:tcPr>
            <w:tcW w:w="204" w:type="pct"/>
            <w:vAlign w:val="center"/>
          </w:tcPr>
          <w:p w14:paraId="06E0124C">
            <w:pPr>
              <w:widowControl/>
              <w:jc w:val="center"/>
              <w:rPr>
                <w:rFonts w:hint="eastAsia" w:ascii="宋体" w:hAnsi="宋体"/>
                <w:kern w:val="0"/>
                <w:szCs w:val="21"/>
              </w:rPr>
            </w:pPr>
          </w:p>
        </w:tc>
        <w:tc>
          <w:tcPr>
            <w:tcW w:w="204" w:type="pct"/>
            <w:vAlign w:val="center"/>
          </w:tcPr>
          <w:p w14:paraId="5D2AA97A">
            <w:pPr>
              <w:widowControl/>
              <w:jc w:val="center"/>
              <w:rPr>
                <w:rFonts w:hint="eastAsia" w:ascii="宋体" w:hAnsi="宋体"/>
                <w:kern w:val="0"/>
                <w:szCs w:val="21"/>
              </w:rPr>
            </w:pPr>
          </w:p>
        </w:tc>
        <w:tc>
          <w:tcPr>
            <w:tcW w:w="301" w:type="pct"/>
            <w:vAlign w:val="center"/>
          </w:tcPr>
          <w:p w14:paraId="48B48C2E">
            <w:pPr>
              <w:widowControl/>
              <w:jc w:val="center"/>
              <w:rPr>
                <w:rFonts w:hint="eastAsia" w:ascii="宋体" w:hAnsi="宋体"/>
                <w:kern w:val="0"/>
                <w:szCs w:val="21"/>
              </w:rPr>
            </w:pPr>
          </w:p>
        </w:tc>
        <w:tc>
          <w:tcPr>
            <w:tcW w:w="301" w:type="pct"/>
            <w:vAlign w:val="center"/>
          </w:tcPr>
          <w:p w14:paraId="517298E7">
            <w:pPr>
              <w:widowControl/>
              <w:jc w:val="center"/>
              <w:rPr>
                <w:rFonts w:hint="eastAsia" w:ascii="宋体" w:hAnsi="宋体"/>
                <w:kern w:val="0"/>
                <w:szCs w:val="21"/>
              </w:rPr>
            </w:pPr>
          </w:p>
        </w:tc>
        <w:tc>
          <w:tcPr>
            <w:tcW w:w="204" w:type="pct"/>
            <w:vAlign w:val="center"/>
          </w:tcPr>
          <w:p w14:paraId="3460A7BE">
            <w:pPr>
              <w:widowControl/>
              <w:jc w:val="center"/>
              <w:rPr>
                <w:rFonts w:hint="eastAsia" w:ascii="宋体" w:hAnsi="宋体"/>
                <w:kern w:val="0"/>
                <w:szCs w:val="21"/>
              </w:rPr>
            </w:pPr>
          </w:p>
        </w:tc>
        <w:tc>
          <w:tcPr>
            <w:tcW w:w="204" w:type="pct"/>
            <w:vAlign w:val="center"/>
          </w:tcPr>
          <w:p w14:paraId="7B0FE4FC">
            <w:pPr>
              <w:widowControl/>
              <w:jc w:val="center"/>
              <w:rPr>
                <w:rFonts w:hint="eastAsia" w:ascii="宋体" w:hAnsi="宋体"/>
                <w:kern w:val="0"/>
                <w:szCs w:val="21"/>
              </w:rPr>
            </w:pPr>
          </w:p>
        </w:tc>
        <w:tc>
          <w:tcPr>
            <w:tcW w:w="204" w:type="pct"/>
            <w:vAlign w:val="center"/>
          </w:tcPr>
          <w:p w14:paraId="2BD083E5">
            <w:pPr>
              <w:widowControl/>
              <w:jc w:val="center"/>
              <w:rPr>
                <w:rFonts w:hint="eastAsia" w:ascii="宋体" w:hAnsi="宋体"/>
                <w:kern w:val="0"/>
                <w:szCs w:val="21"/>
              </w:rPr>
            </w:pPr>
          </w:p>
        </w:tc>
        <w:tc>
          <w:tcPr>
            <w:tcW w:w="204" w:type="pct"/>
            <w:vAlign w:val="center"/>
          </w:tcPr>
          <w:p w14:paraId="7960B4D7">
            <w:pPr>
              <w:widowControl/>
              <w:jc w:val="center"/>
              <w:rPr>
                <w:rFonts w:hint="eastAsia" w:ascii="宋体" w:hAnsi="宋体"/>
                <w:kern w:val="0"/>
                <w:szCs w:val="21"/>
              </w:rPr>
            </w:pPr>
          </w:p>
        </w:tc>
      </w:tr>
      <w:tr w14:paraId="2A7F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8" w:hRule="atLeast"/>
        </w:trPr>
        <w:tc>
          <w:tcPr>
            <w:tcW w:w="236" w:type="pct"/>
            <w:noWrap/>
            <w:vAlign w:val="center"/>
          </w:tcPr>
          <w:p w14:paraId="2D9C008D">
            <w:pPr>
              <w:widowControl/>
              <w:jc w:val="center"/>
              <w:rPr>
                <w:rFonts w:hint="eastAsia" w:ascii="宋体" w:hAnsi="宋体"/>
                <w:kern w:val="0"/>
                <w:szCs w:val="21"/>
              </w:rPr>
            </w:pPr>
          </w:p>
        </w:tc>
        <w:tc>
          <w:tcPr>
            <w:tcW w:w="204" w:type="pct"/>
            <w:noWrap/>
            <w:vAlign w:val="center"/>
          </w:tcPr>
          <w:p w14:paraId="54CDE1CF">
            <w:pPr>
              <w:widowControl/>
              <w:jc w:val="center"/>
              <w:rPr>
                <w:rFonts w:hint="eastAsia" w:ascii="宋体" w:hAnsi="宋体"/>
                <w:kern w:val="0"/>
                <w:szCs w:val="21"/>
              </w:rPr>
            </w:pPr>
          </w:p>
        </w:tc>
        <w:tc>
          <w:tcPr>
            <w:tcW w:w="236" w:type="pct"/>
            <w:noWrap/>
            <w:vAlign w:val="center"/>
          </w:tcPr>
          <w:p w14:paraId="795CB210">
            <w:pPr>
              <w:widowControl/>
              <w:jc w:val="center"/>
              <w:rPr>
                <w:rFonts w:hint="eastAsia" w:ascii="宋体" w:hAnsi="宋体"/>
                <w:kern w:val="0"/>
                <w:szCs w:val="21"/>
              </w:rPr>
            </w:pPr>
          </w:p>
        </w:tc>
        <w:tc>
          <w:tcPr>
            <w:tcW w:w="334" w:type="pct"/>
            <w:noWrap/>
            <w:vAlign w:val="center"/>
          </w:tcPr>
          <w:p w14:paraId="74281748">
            <w:pPr>
              <w:widowControl/>
              <w:jc w:val="center"/>
              <w:rPr>
                <w:rFonts w:hint="eastAsia" w:ascii="宋体" w:hAnsi="宋体"/>
                <w:kern w:val="0"/>
                <w:szCs w:val="21"/>
              </w:rPr>
            </w:pPr>
          </w:p>
        </w:tc>
        <w:tc>
          <w:tcPr>
            <w:tcW w:w="204" w:type="pct"/>
            <w:noWrap/>
            <w:vAlign w:val="center"/>
          </w:tcPr>
          <w:p w14:paraId="41120E95">
            <w:pPr>
              <w:widowControl/>
              <w:jc w:val="center"/>
              <w:rPr>
                <w:rFonts w:hint="eastAsia" w:ascii="宋体" w:hAnsi="宋体"/>
                <w:kern w:val="0"/>
                <w:szCs w:val="21"/>
              </w:rPr>
            </w:pPr>
          </w:p>
        </w:tc>
        <w:tc>
          <w:tcPr>
            <w:tcW w:w="204" w:type="pct"/>
            <w:noWrap/>
            <w:vAlign w:val="center"/>
          </w:tcPr>
          <w:p w14:paraId="6CC6337B">
            <w:pPr>
              <w:widowControl/>
              <w:jc w:val="center"/>
              <w:rPr>
                <w:rFonts w:hint="eastAsia" w:ascii="宋体" w:hAnsi="宋体"/>
                <w:kern w:val="0"/>
                <w:szCs w:val="21"/>
              </w:rPr>
            </w:pPr>
          </w:p>
        </w:tc>
        <w:tc>
          <w:tcPr>
            <w:tcW w:w="204" w:type="pct"/>
            <w:noWrap/>
            <w:vAlign w:val="center"/>
          </w:tcPr>
          <w:p w14:paraId="0AB1EF39">
            <w:pPr>
              <w:widowControl/>
              <w:jc w:val="center"/>
              <w:rPr>
                <w:rFonts w:hint="eastAsia" w:ascii="宋体" w:hAnsi="宋体"/>
                <w:kern w:val="0"/>
                <w:szCs w:val="21"/>
              </w:rPr>
            </w:pPr>
          </w:p>
        </w:tc>
        <w:tc>
          <w:tcPr>
            <w:tcW w:w="236" w:type="pct"/>
            <w:noWrap/>
            <w:vAlign w:val="center"/>
          </w:tcPr>
          <w:p w14:paraId="673302CB">
            <w:pPr>
              <w:widowControl/>
              <w:jc w:val="center"/>
              <w:rPr>
                <w:rFonts w:hint="eastAsia" w:ascii="宋体" w:hAnsi="宋体"/>
                <w:kern w:val="0"/>
                <w:szCs w:val="21"/>
              </w:rPr>
            </w:pPr>
          </w:p>
        </w:tc>
        <w:tc>
          <w:tcPr>
            <w:tcW w:w="269" w:type="pct"/>
            <w:noWrap/>
            <w:vAlign w:val="center"/>
          </w:tcPr>
          <w:p w14:paraId="2AFF2294">
            <w:pPr>
              <w:widowControl/>
              <w:jc w:val="center"/>
              <w:rPr>
                <w:rFonts w:hint="eastAsia" w:ascii="宋体" w:hAnsi="宋体"/>
                <w:kern w:val="0"/>
                <w:szCs w:val="21"/>
              </w:rPr>
            </w:pPr>
          </w:p>
        </w:tc>
        <w:tc>
          <w:tcPr>
            <w:tcW w:w="236" w:type="pct"/>
            <w:noWrap/>
            <w:vAlign w:val="center"/>
          </w:tcPr>
          <w:p w14:paraId="18DE52C6">
            <w:pPr>
              <w:widowControl/>
              <w:jc w:val="center"/>
              <w:rPr>
                <w:rFonts w:hint="eastAsia" w:ascii="宋体" w:hAnsi="宋体"/>
                <w:kern w:val="0"/>
                <w:szCs w:val="21"/>
              </w:rPr>
            </w:pPr>
          </w:p>
        </w:tc>
        <w:tc>
          <w:tcPr>
            <w:tcW w:w="236" w:type="pct"/>
            <w:noWrap/>
            <w:vAlign w:val="center"/>
          </w:tcPr>
          <w:p w14:paraId="241A2297">
            <w:pPr>
              <w:widowControl/>
              <w:jc w:val="center"/>
              <w:rPr>
                <w:rFonts w:hint="eastAsia" w:ascii="宋体" w:hAnsi="宋体"/>
                <w:kern w:val="0"/>
                <w:szCs w:val="21"/>
              </w:rPr>
            </w:pPr>
          </w:p>
        </w:tc>
        <w:tc>
          <w:tcPr>
            <w:tcW w:w="78" w:type="pct"/>
            <w:noWrap/>
            <w:vAlign w:val="center"/>
          </w:tcPr>
          <w:p w14:paraId="19ADB839">
            <w:pPr>
              <w:widowControl/>
              <w:jc w:val="center"/>
              <w:rPr>
                <w:rFonts w:hint="eastAsia" w:ascii="宋体" w:hAnsi="宋体"/>
                <w:kern w:val="0"/>
                <w:szCs w:val="21"/>
              </w:rPr>
            </w:pPr>
          </w:p>
        </w:tc>
        <w:tc>
          <w:tcPr>
            <w:tcW w:w="78" w:type="pct"/>
            <w:noWrap/>
            <w:vAlign w:val="center"/>
          </w:tcPr>
          <w:p w14:paraId="3881337B">
            <w:pPr>
              <w:widowControl/>
              <w:jc w:val="center"/>
              <w:rPr>
                <w:rFonts w:hint="eastAsia" w:ascii="宋体" w:hAnsi="宋体"/>
                <w:kern w:val="0"/>
                <w:szCs w:val="21"/>
              </w:rPr>
            </w:pPr>
          </w:p>
        </w:tc>
        <w:tc>
          <w:tcPr>
            <w:tcW w:w="204" w:type="pct"/>
            <w:noWrap/>
            <w:vAlign w:val="center"/>
          </w:tcPr>
          <w:p w14:paraId="4FA0C82E">
            <w:pPr>
              <w:widowControl/>
              <w:jc w:val="center"/>
              <w:rPr>
                <w:rFonts w:hint="eastAsia" w:ascii="宋体" w:hAnsi="宋体"/>
                <w:kern w:val="0"/>
                <w:szCs w:val="21"/>
              </w:rPr>
            </w:pPr>
          </w:p>
        </w:tc>
        <w:tc>
          <w:tcPr>
            <w:tcW w:w="204" w:type="pct"/>
            <w:noWrap/>
            <w:vAlign w:val="center"/>
          </w:tcPr>
          <w:p w14:paraId="662C6606">
            <w:pPr>
              <w:widowControl/>
              <w:jc w:val="center"/>
              <w:rPr>
                <w:rFonts w:hint="eastAsia" w:ascii="宋体" w:hAnsi="宋体"/>
                <w:kern w:val="0"/>
                <w:szCs w:val="21"/>
              </w:rPr>
            </w:pPr>
          </w:p>
        </w:tc>
        <w:tc>
          <w:tcPr>
            <w:tcW w:w="204" w:type="pct"/>
            <w:noWrap/>
            <w:vAlign w:val="center"/>
          </w:tcPr>
          <w:p w14:paraId="5052E1CD">
            <w:pPr>
              <w:widowControl/>
              <w:jc w:val="center"/>
              <w:rPr>
                <w:rFonts w:hint="eastAsia" w:ascii="宋体" w:hAnsi="宋体"/>
                <w:kern w:val="0"/>
                <w:szCs w:val="21"/>
              </w:rPr>
            </w:pPr>
          </w:p>
        </w:tc>
        <w:tc>
          <w:tcPr>
            <w:tcW w:w="204" w:type="pct"/>
            <w:noWrap/>
            <w:vAlign w:val="center"/>
          </w:tcPr>
          <w:p w14:paraId="16AD4559">
            <w:pPr>
              <w:widowControl/>
              <w:jc w:val="center"/>
              <w:rPr>
                <w:rFonts w:hint="eastAsia" w:ascii="宋体" w:hAnsi="宋体"/>
                <w:kern w:val="0"/>
                <w:szCs w:val="21"/>
              </w:rPr>
            </w:pPr>
          </w:p>
        </w:tc>
        <w:tc>
          <w:tcPr>
            <w:tcW w:w="301" w:type="pct"/>
            <w:noWrap/>
            <w:vAlign w:val="center"/>
          </w:tcPr>
          <w:p w14:paraId="104A32F0">
            <w:pPr>
              <w:widowControl/>
              <w:jc w:val="center"/>
              <w:rPr>
                <w:rFonts w:hint="eastAsia" w:ascii="宋体" w:hAnsi="宋体"/>
                <w:kern w:val="0"/>
                <w:szCs w:val="21"/>
              </w:rPr>
            </w:pPr>
          </w:p>
        </w:tc>
        <w:tc>
          <w:tcPr>
            <w:tcW w:w="301" w:type="pct"/>
            <w:noWrap/>
            <w:vAlign w:val="center"/>
          </w:tcPr>
          <w:p w14:paraId="0990DF3B">
            <w:pPr>
              <w:widowControl/>
              <w:jc w:val="center"/>
              <w:rPr>
                <w:rFonts w:hint="eastAsia" w:ascii="宋体" w:hAnsi="宋体"/>
                <w:kern w:val="0"/>
                <w:szCs w:val="21"/>
              </w:rPr>
            </w:pPr>
          </w:p>
        </w:tc>
        <w:tc>
          <w:tcPr>
            <w:tcW w:w="204" w:type="pct"/>
            <w:noWrap/>
            <w:vAlign w:val="center"/>
          </w:tcPr>
          <w:p w14:paraId="15D09D33">
            <w:pPr>
              <w:widowControl/>
              <w:jc w:val="center"/>
              <w:rPr>
                <w:rFonts w:hint="eastAsia" w:ascii="宋体" w:hAnsi="宋体"/>
                <w:kern w:val="0"/>
                <w:szCs w:val="21"/>
              </w:rPr>
            </w:pPr>
          </w:p>
        </w:tc>
        <w:tc>
          <w:tcPr>
            <w:tcW w:w="204" w:type="pct"/>
            <w:noWrap/>
            <w:vAlign w:val="center"/>
          </w:tcPr>
          <w:p w14:paraId="7F2B5AEE">
            <w:pPr>
              <w:widowControl/>
              <w:jc w:val="center"/>
              <w:rPr>
                <w:rFonts w:hint="eastAsia" w:ascii="宋体" w:hAnsi="宋体"/>
                <w:kern w:val="0"/>
                <w:szCs w:val="21"/>
              </w:rPr>
            </w:pPr>
          </w:p>
        </w:tc>
        <w:tc>
          <w:tcPr>
            <w:tcW w:w="204" w:type="pct"/>
            <w:noWrap/>
            <w:vAlign w:val="center"/>
          </w:tcPr>
          <w:p w14:paraId="3D4C5F83">
            <w:pPr>
              <w:widowControl/>
              <w:jc w:val="center"/>
              <w:rPr>
                <w:rFonts w:hint="eastAsia" w:ascii="宋体" w:hAnsi="宋体"/>
                <w:kern w:val="0"/>
                <w:szCs w:val="21"/>
              </w:rPr>
            </w:pPr>
          </w:p>
        </w:tc>
        <w:tc>
          <w:tcPr>
            <w:tcW w:w="204" w:type="pct"/>
            <w:noWrap/>
            <w:vAlign w:val="center"/>
          </w:tcPr>
          <w:p w14:paraId="35F8F297">
            <w:pPr>
              <w:widowControl/>
              <w:jc w:val="center"/>
              <w:rPr>
                <w:rFonts w:hint="eastAsia" w:ascii="宋体" w:hAnsi="宋体"/>
                <w:kern w:val="0"/>
                <w:szCs w:val="21"/>
              </w:rPr>
            </w:pPr>
          </w:p>
        </w:tc>
      </w:tr>
    </w:tbl>
    <w:p w14:paraId="3E60A3B6">
      <w:pPr>
        <w:autoSpaceDE w:val="0"/>
        <w:autoSpaceDN w:val="0"/>
        <w:adjustRightInd w:val="0"/>
        <w:snapToGrid w:val="0"/>
        <w:spacing w:before="25" w:after="25" w:line="360" w:lineRule="auto"/>
        <w:rPr>
          <w:rFonts w:hint="eastAsia" w:ascii="宋体" w:hAnsi="宋体"/>
          <w:sz w:val="24"/>
          <w:lang w:val="zh-CN"/>
        </w:rPr>
      </w:pPr>
      <w:r>
        <w:rPr>
          <w:rFonts w:ascii="宋体" w:hAnsi="宋体"/>
          <w:sz w:val="24"/>
        </w:rPr>
        <w:t>投标人名称（加盖公章）</w:t>
      </w:r>
      <w:r>
        <w:rPr>
          <w:rFonts w:ascii="宋体" w:hAnsi="宋体"/>
          <w:sz w:val="24"/>
          <w:lang w:val="zh-CN"/>
        </w:rPr>
        <w:t>：____________</w:t>
      </w:r>
    </w:p>
    <w:p w14:paraId="1C755C5B">
      <w:pPr>
        <w:autoSpaceDE w:val="0"/>
        <w:autoSpaceDN w:val="0"/>
        <w:adjustRightInd w:val="0"/>
        <w:snapToGrid w:val="0"/>
        <w:spacing w:before="25" w:after="25" w:line="360" w:lineRule="auto"/>
        <w:rPr>
          <w:rFonts w:hint="eastAsia" w:ascii="宋体" w:hAnsi="宋体"/>
          <w:sz w:val="24"/>
        </w:rPr>
      </w:pPr>
      <w:r>
        <w:rPr>
          <w:rFonts w:ascii="宋体" w:hAnsi="宋体"/>
          <w:sz w:val="24"/>
        </w:rPr>
        <w:t xml:space="preserve">日期：_____年______月______日 </w:t>
      </w:r>
    </w:p>
    <w:p w14:paraId="5D64BD5D">
      <w:pPr>
        <w:pStyle w:val="24"/>
        <w:spacing w:line="360" w:lineRule="auto"/>
        <w:ind w:firstLine="482"/>
        <w:rPr>
          <w:rFonts w:hAnsi="宋体"/>
          <w:b/>
          <w:szCs w:val="21"/>
        </w:rPr>
      </w:pPr>
      <w:r>
        <w:rPr>
          <w:rFonts w:hAnsi="宋体"/>
          <w:b/>
          <w:szCs w:val="21"/>
        </w:rPr>
        <w:t>注:</w:t>
      </w:r>
      <w:r>
        <w:rPr>
          <w:rFonts w:hint="default" w:hAnsi="宋体"/>
          <w:b/>
          <w:szCs w:val="21"/>
        </w:rPr>
        <w:t>1</w:t>
      </w:r>
      <w:r>
        <w:rPr>
          <w:rFonts w:hAnsi="宋体"/>
          <w:b/>
          <w:szCs w:val="21"/>
        </w:rPr>
        <w:t>.表中“产品类型”是指所投产品为进口产品还是国内产品，需填写“国内”或“进口”</w:t>
      </w:r>
    </w:p>
    <w:p w14:paraId="7CC17C5D">
      <w:pPr>
        <w:pStyle w:val="24"/>
        <w:spacing w:line="360" w:lineRule="auto"/>
        <w:ind w:firstLine="567"/>
        <w:rPr>
          <w:rFonts w:hAnsi="宋体"/>
          <w:b/>
          <w:szCs w:val="21"/>
        </w:rPr>
      </w:pPr>
      <w:r>
        <w:rPr>
          <w:rFonts w:hAnsi="宋体"/>
          <w:b/>
          <w:szCs w:val="21"/>
        </w:rPr>
        <w:t xml:space="preserve">  </w:t>
      </w:r>
      <w:r>
        <w:rPr>
          <w:rFonts w:hint="default" w:hAnsi="宋体"/>
          <w:b/>
          <w:szCs w:val="21"/>
        </w:rPr>
        <w:t>2.</w:t>
      </w:r>
      <w:r>
        <w:rPr>
          <w:rFonts w:hAnsi="宋体"/>
          <w:b/>
          <w:szCs w:val="21"/>
        </w:rPr>
        <w:t>表中制造商规模列应填写“大型”、“中型”、“小型”、“微型”或“其他”，且不应与《中小企业声明函》或《拟分包情况说明》中内容矛盾。制造商所属性别请填写“男”或“女”，指拥有制造商 51%以上绝对所有权的性别；绝对所有权拥有者可以是一个人，也可以是多人合计计算。外商投资类型请填写“外商单独投资”、“外商部分投资”或“内资”。</w:t>
      </w:r>
    </w:p>
    <w:p w14:paraId="25CCE4FD">
      <w:pPr>
        <w:pStyle w:val="24"/>
        <w:spacing w:line="360" w:lineRule="auto"/>
        <w:ind w:firstLine="567"/>
        <w:rPr>
          <w:rFonts w:hAnsi="宋体"/>
          <w:b/>
          <w:szCs w:val="21"/>
        </w:rPr>
      </w:pPr>
      <w:r>
        <w:rPr>
          <w:rFonts w:hAnsi="宋体"/>
          <w:b/>
          <w:szCs w:val="21"/>
        </w:rPr>
        <w:t xml:space="preserve"> </w:t>
      </w:r>
      <w:r>
        <w:rPr>
          <w:rFonts w:hint="default" w:hAnsi="宋体"/>
          <w:b/>
          <w:szCs w:val="21"/>
        </w:rPr>
        <w:t xml:space="preserve"> 3</w:t>
      </w:r>
      <w:r>
        <w:rPr>
          <w:rFonts w:hAnsi="宋体"/>
          <w:b/>
          <w:szCs w:val="21"/>
        </w:rPr>
        <w:t>.表中“产品属性”是指所投产品是否节能产品、节水产品或环保标志产品，请填写“节能”、“节水”或“环保”，都不涉及的请填“/”。</w:t>
      </w:r>
    </w:p>
    <w:p w14:paraId="40797249">
      <w:pPr>
        <w:pStyle w:val="24"/>
        <w:spacing w:line="360" w:lineRule="auto"/>
        <w:ind w:firstLine="632" w:firstLineChars="300"/>
        <w:rPr>
          <w:rFonts w:hAnsi="宋体"/>
          <w:b/>
          <w:szCs w:val="21"/>
        </w:rPr>
      </w:pPr>
      <w:r>
        <w:rPr>
          <w:rFonts w:hint="default" w:hAnsi="宋体"/>
          <w:b/>
          <w:szCs w:val="21"/>
        </w:rPr>
        <w:t>4.</w:t>
      </w:r>
      <w:r>
        <w:rPr>
          <w:rFonts w:hAnsi="宋体"/>
          <w:b/>
          <w:szCs w:val="21"/>
        </w:rPr>
        <w:t xml:space="preserve"> 表中“特殊性质”请填写“监狱企业”、“福利企业”（是指残疾人福利单位）或“其他”</w:t>
      </w:r>
    </w:p>
    <w:p w14:paraId="0E223317">
      <w:pPr>
        <w:pStyle w:val="24"/>
        <w:spacing w:line="360" w:lineRule="auto"/>
        <w:ind w:firstLine="567"/>
        <w:rPr>
          <w:rFonts w:hAnsi="宋体"/>
          <w:b/>
          <w:szCs w:val="21"/>
        </w:rPr>
      </w:pPr>
      <w:r>
        <w:rPr>
          <w:rFonts w:hAnsi="宋体"/>
          <w:b/>
          <w:szCs w:val="21"/>
        </w:rPr>
        <w:t xml:space="preserve"> 5.本表应单独提供excel形式的电子版，随招标文件电子版一同递交。</w:t>
      </w:r>
    </w:p>
    <w:p w14:paraId="1002189D">
      <w:pPr>
        <w:adjustRightInd w:val="0"/>
        <w:snapToGrid w:val="0"/>
        <w:spacing w:before="240" w:beforeLines="100" w:after="240" w:afterLines="100"/>
        <w:jc w:val="left"/>
        <w:rPr>
          <w:rFonts w:hint="eastAsia" w:ascii="宋体" w:hAnsi="宋体"/>
          <w:color w:val="000000"/>
          <w:sz w:val="24"/>
        </w:rPr>
        <w:sectPr>
          <w:pgSz w:w="16840" w:h="11907" w:orient="landscape"/>
          <w:pgMar w:top="1134" w:right="1418" w:bottom="1701" w:left="1418" w:header="851" w:footer="851" w:gutter="0"/>
          <w:cols w:space="720" w:num="1"/>
          <w:docGrid w:linePitch="462" w:charSpace="0"/>
        </w:sectPr>
      </w:pPr>
    </w:p>
    <w:p w14:paraId="4AB52B99">
      <w:pPr>
        <w:adjustRightInd w:val="0"/>
        <w:snapToGrid w:val="0"/>
        <w:spacing w:before="240" w:beforeLines="100" w:after="240" w:afterLines="100"/>
        <w:jc w:val="left"/>
        <w:rPr>
          <w:rFonts w:hint="eastAsia" w:ascii="宋体" w:hAnsi="宋体"/>
          <w:color w:val="000000"/>
          <w:sz w:val="24"/>
        </w:rPr>
      </w:pPr>
    </w:p>
    <w:p w14:paraId="23567350">
      <w:pPr>
        <w:spacing w:line="360" w:lineRule="auto"/>
        <w:outlineLvl w:val="2"/>
        <w:rPr>
          <w:rFonts w:hint="eastAsia" w:ascii="宋体" w:hAnsi="宋体"/>
          <w:color w:val="000000"/>
          <w:sz w:val="24"/>
          <w:szCs w:val="20"/>
        </w:rPr>
      </w:pPr>
      <w:bookmarkStart w:id="845" w:name="_Toc305158904"/>
      <w:bookmarkStart w:id="846" w:name="_Toc142311062"/>
      <w:bookmarkStart w:id="847" w:name="_Toc226965752"/>
      <w:bookmarkStart w:id="848" w:name="_Toc264969252"/>
      <w:bookmarkStart w:id="849" w:name="_Toc305158830"/>
      <w:bookmarkStart w:id="850" w:name="_Toc226309806"/>
      <w:bookmarkStart w:id="851" w:name="_Toc195842927"/>
      <w:bookmarkStart w:id="852" w:name="_Toc265228400"/>
      <w:bookmarkStart w:id="853" w:name="_Toc127151562"/>
      <w:bookmarkStart w:id="854" w:name="_Toc150480798"/>
      <w:bookmarkStart w:id="855" w:name="_Toc226337258"/>
      <w:bookmarkStart w:id="856" w:name="_Toc150774765"/>
      <w:bookmarkStart w:id="857" w:name="_Toc226965835"/>
      <w:bookmarkStart w:id="858" w:name="_Toc195842926"/>
      <w:bookmarkStart w:id="859" w:name="_Toc305158829"/>
      <w:bookmarkStart w:id="860" w:name="_Toc226309805"/>
      <w:bookmarkStart w:id="861" w:name="_Toc150774764"/>
      <w:bookmarkStart w:id="862" w:name="_Toc127151561"/>
      <w:bookmarkStart w:id="863" w:name="_Toc226337257"/>
      <w:bookmarkStart w:id="864" w:name="_Toc150480797"/>
      <w:bookmarkStart w:id="865" w:name="_Toc264969251"/>
      <w:bookmarkStart w:id="866" w:name="_Toc265228399"/>
      <w:bookmarkStart w:id="867" w:name="_Toc305158903"/>
      <w:bookmarkStart w:id="868" w:name="_Toc226965834"/>
      <w:bookmarkStart w:id="869" w:name="_Toc142311061"/>
      <w:bookmarkStart w:id="870" w:name="_Toc226965751"/>
      <w:r>
        <w:rPr>
          <w:rFonts w:ascii="宋体" w:hAnsi="宋体"/>
          <w:color w:val="000000"/>
          <w:sz w:val="24"/>
          <w:szCs w:val="20"/>
        </w:rPr>
        <w:t>6  合同条款偏离表</w:t>
      </w:r>
      <w:bookmarkEnd w:id="845"/>
      <w:bookmarkEnd w:id="846"/>
      <w:bookmarkEnd w:id="847"/>
      <w:bookmarkEnd w:id="848"/>
      <w:bookmarkEnd w:id="849"/>
      <w:bookmarkEnd w:id="850"/>
      <w:bookmarkEnd w:id="851"/>
      <w:bookmarkEnd w:id="852"/>
      <w:bookmarkEnd w:id="853"/>
      <w:bookmarkEnd w:id="854"/>
      <w:bookmarkEnd w:id="855"/>
      <w:bookmarkEnd w:id="856"/>
      <w:bookmarkEnd w:id="857"/>
      <w:r>
        <w:rPr>
          <w:rFonts w:ascii="宋体" w:hAnsi="宋体"/>
          <w:color w:val="000000"/>
          <w:sz w:val="24"/>
          <w:szCs w:val="20"/>
        </w:rPr>
        <w:t>（实质性格式）</w:t>
      </w:r>
    </w:p>
    <w:p w14:paraId="469278A9">
      <w:pPr>
        <w:spacing w:line="360" w:lineRule="auto"/>
        <w:rPr>
          <w:rFonts w:hint="eastAsia" w:ascii="宋体" w:hAnsi="宋体"/>
          <w:color w:val="000000"/>
          <w:sz w:val="24"/>
          <w:szCs w:val="20"/>
        </w:rPr>
      </w:pPr>
    </w:p>
    <w:p w14:paraId="7C2BD8DD">
      <w:pPr>
        <w:tabs>
          <w:tab w:val="left" w:pos="2775"/>
          <w:tab w:val="center" w:pos="4153"/>
        </w:tabs>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合同条款偏离表</w:t>
      </w:r>
    </w:p>
    <w:p w14:paraId="392B7E96">
      <w:pPr>
        <w:spacing w:line="360" w:lineRule="auto"/>
        <w:rPr>
          <w:rFonts w:hint="eastAsia" w:ascii="宋体" w:hAnsi="宋体"/>
          <w:color w:val="000000"/>
          <w:sz w:val="24"/>
          <w:szCs w:val="20"/>
        </w:rPr>
      </w:pPr>
    </w:p>
    <w:p w14:paraId="54A41456">
      <w:pPr>
        <w:tabs>
          <w:tab w:val="left" w:pos="1800"/>
          <w:tab w:val="left" w:pos="5580"/>
        </w:tabs>
        <w:spacing w:line="360" w:lineRule="auto"/>
        <w:ind w:firstLine="360" w:firstLineChars="150"/>
        <w:jc w:val="left"/>
        <w:rPr>
          <w:rFonts w:hint="eastAsia" w:ascii="宋体" w:hAnsi="宋体"/>
          <w:color w:val="000000"/>
          <w:sz w:val="24"/>
        </w:rPr>
      </w:pPr>
      <w:r>
        <w:rPr>
          <w:rFonts w:ascii="宋体" w:hAnsi="宋体"/>
          <w:color w:val="000000"/>
          <w:sz w:val="24"/>
        </w:rPr>
        <w:t>项目编号/包号：_____________________     项目名称：_____________</w:t>
      </w:r>
    </w:p>
    <w:tbl>
      <w:tblPr>
        <w:tblStyle w:val="45"/>
        <w:tblW w:w="90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4"/>
        <w:gridCol w:w="1270"/>
        <w:gridCol w:w="1926"/>
        <w:gridCol w:w="1927"/>
        <w:gridCol w:w="2354"/>
        <w:gridCol w:w="771"/>
      </w:tblGrid>
      <w:tr w14:paraId="1BC2B3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062" w:type="dxa"/>
            <w:gridSpan w:val="6"/>
            <w:vAlign w:val="center"/>
          </w:tcPr>
          <w:p w14:paraId="35AD0AE6">
            <w:pPr>
              <w:adjustRightInd w:val="0"/>
              <w:snapToGrid w:val="0"/>
              <w:jc w:val="left"/>
              <w:rPr>
                <w:rFonts w:hint="eastAsia" w:ascii="宋体" w:hAnsi="宋体"/>
                <w:b/>
                <w:color w:val="000000"/>
                <w:sz w:val="24"/>
              </w:rPr>
            </w:pPr>
            <w:r>
              <w:rPr>
                <w:rFonts w:ascii="宋体" w:hAnsi="宋体"/>
                <w:b/>
                <w:color w:val="000000"/>
                <w:sz w:val="24"/>
              </w:rPr>
              <w:t>对本</w:t>
            </w:r>
            <w:r>
              <w:rPr>
                <w:rFonts w:hint="eastAsia" w:ascii="宋体" w:hAnsi="宋体"/>
                <w:b/>
                <w:color w:val="000000"/>
                <w:sz w:val="24"/>
              </w:rPr>
              <w:t>项目</w:t>
            </w:r>
            <w:r>
              <w:rPr>
                <w:rFonts w:ascii="宋体" w:hAnsi="宋体"/>
                <w:b/>
                <w:color w:val="000000"/>
                <w:sz w:val="24"/>
              </w:rPr>
              <w:t>合同条款的偏离情况（请进行勾选）：</w:t>
            </w:r>
          </w:p>
          <w:p w14:paraId="4A87E35C">
            <w:pPr>
              <w:adjustRightInd w:val="0"/>
              <w:snapToGrid w:val="0"/>
              <w:jc w:val="left"/>
              <w:rPr>
                <w:rFonts w:hint="eastAsia" w:ascii="宋体" w:hAnsi="宋体"/>
                <w:b/>
                <w:color w:val="000000"/>
                <w:sz w:val="24"/>
              </w:rPr>
            </w:pPr>
            <w:r>
              <w:rPr>
                <w:rFonts w:ascii="宋体" w:hAnsi="宋体"/>
                <w:b/>
                <w:color w:val="000000"/>
                <w:sz w:val="24"/>
              </w:rPr>
              <w:t>□无偏离</w:t>
            </w:r>
            <w:r>
              <w:rPr>
                <w:rFonts w:ascii="宋体" w:hAnsi="宋体"/>
                <w:color w:val="000000"/>
                <w:sz w:val="24"/>
              </w:rPr>
              <w:t>（</w:t>
            </w:r>
            <w:r>
              <w:rPr>
                <w:rFonts w:ascii="宋体" w:hAnsi="宋体"/>
                <w:color w:val="000000"/>
                <w:sz w:val="24"/>
                <w:szCs w:val="21"/>
              </w:rPr>
              <w:t>如无偏离，仅勾选无偏离即可</w:t>
            </w:r>
            <w:r>
              <w:rPr>
                <w:rFonts w:ascii="宋体" w:hAnsi="宋体"/>
                <w:color w:val="000000"/>
                <w:sz w:val="24"/>
              </w:rPr>
              <w:t>）</w:t>
            </w:r>
          </w:p>
          <w:p w14:paraId="5A2A170A">
            <w:pPr>
              <w:adjustRightInd w:val="0"/>
              <w:snapToGrid w:val="0"/>
              <w:jc w:val="left"/>
              <w:rPr>
                <w:rFonts w:hint="eastAsia" w:ascii="宋体" w:hAnsi="宋体"/>
                <w:color w:val="000000"/>
                <w:sz w:val="24"/>
              </w:rPr>
            </w:pPr>
            <w:r>
              <w:rPr>
                <w:rFonts w:ascii="宋体" w:hAnsi="宋体"/>
                <w:b/>
                <w:color w:val="000000"/>
                <w:sz w:val="24"/>
              </w:rPr>
              <w:t>□有偏离</w:t>
            </w:r>
            <w:r>
              <w:rPr>
                <w:rFonts w:ascii="宋体" w:hAnsi="宋体"/>
                <w:color w:val="000000"/>
                <w:sz w:val="24"/>
              </w:rPr>
              <w:t>（</w:t>
            </w:r>
            <w:r>
              <w:rPr>
                <w:rFonts w:ascii="宋体" w:hAnsi="宋体"/>
                <w:color w:val="000000"/>
                <w:sz w:val="24"/>
                <w:szCs w:val="21"/>
              </w:rPr>
              <w:t>如有偏离，</w:t>
            </w:r>
            <w:r>
              <w:rPr>
                <w:rFonts w:ascii="宋体" w:hAnsi="宋体"/>
                <w:color w:val="000000"/>
                <w:sz w:val="24"/>
              </w:rPr>
              <w:t>则</w:t>
            </w:r>
            <w:r>
              <w:rPr>
                <w:rFonts w:hint="eastAsia" w:ascii="宋体" w:hAnsi="宋体"/>
                <w:color w:val="000000"/>
                <w:sz w:val="24"/>
              </w:rPr>
              <w:t>应</w:t>
            </w:r>
            <w:r>
              <w:rPr>
                <w:rFonts w:ascii="宋体" w:hAnsi="宋体"/>
                <w:color w:val="000000"/>
                <w:sz w:val="24"/>
              </w:rPr>
              <w:t>在本表中对偏离项逐一列明）</w:t>
            </w:r>
          </w:p>
        </w:tc>
      </w:tr>
      <w:tr w14:paraId="4F63F6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176FD92F">
            <w:pPr>
              <w:adjustRightInd w:val="0"/>
              <w:snapToGrid w:val="0"/>
              <w:jc w:val="center"/>
              <w:rPr>
                <w:rFonts w:hint="eastAsia" w:ascii="宋体" w:hAnsi="宋体"/>
                <w:color w:val="000000"/>
                <w:sz w:val="24"/>
              </w:rPr>
            </w:pPr>
            <w:r>
              <w:rPr>
                <w:rFonts w:ascii="宋体" w:hAnsi="宋体"/>
                <w:color w:val="000000"/>
                <w:sz w:val="24"/>
              </w:rPr>
              <w:t>序号</w:t>
            </w:r>
          </w:p>
        </w:tc>
        <w:tc>
          <w:tcPr>
            <w:tcW w:w="1270" w:type="dxa"/>
            <w:vAlign w:val="center"/>
          </w:tcPr>
          <w:p w14:paraId="38EB9E31">
            <w:pPr>
              <w:adjustRightInd w:val="0"/>
              <w:snapToGrid w:val="0"/>
              <w:jc w:val="center"/>
              <w:rPr>
                <w:rFonts w:hint="eastAsia" w:ascii="宋体" w:hAnsi="宋体"/>
                <w:color w:val="000000"/>
                <w:sz w:val="24"/>
              </w:rPr>
            </w:pPr>
            <w:r>
              <w:rPr>
                <w:rFonts w:ascii="宋体" w:hAnsi="宋体"/>
                <w:color w:val="000000"/>
                <w:sz w:val="24"/>
                <w:szCs w:val="21"/>
              </w:rPr>
              <w:t>招标文件</w:t>
            </w:r>
            <w:r>
              <w:rPr>
                <w:rFonts w:ascii="宋体" w:hAnsi="宋体"/>
                <w:color w:val="000000"/>
                <w:sz w:val="24"/>
              </w:rPr>
              <w:t>条目号（页码）</w:t>
            </w:r>
          </w:p>
        </w:tc>
        <w:tc>
          <w:tcPr>
            <w:tcW w:w="1926" w:type="dxa"/>
            <w:vAlign w:val="center"/>
          </w:tcPr>
          <w:p w14:paraId="42208788">
            <w:pPr>
              <w:adjustRightInd w:val="0"/>
              <w:snapToGrid w:val="0"/>
              <w:jc w:val="center"/>
              <w:rPr>
                <w:rFonts w:hint="eastAsia" w:ascii="宋体" w:hAnsi="宋体"/>
                <w:color w:val="000000"/>
                <w:sz w:val="24"/>
              </w:rPr>
            </w:pPr>
            <w:r>
              <w:rPr>
                <w:rFonts w:ascii="宋体" w:hAnsi="宋体"/>
                <w:color w:val="000000"/>
                <w:sz w:val="24"/>
                <w:szCs w:val="21"/>
              </w:rPr>
              <w:t>招标文件</w:t>
            </w:r>
            <w:r>
              <w:rPr>
                <w:rFonts w:ascii="宋体" w:hAnsi="宋体"/>
                <w:color w:val="000000"/>
                <w:sz w:val="24"/>
              </w:rPr>
              <w:t>要求</w:t>
            </w:r>
          </w:p>
        </w:tc>
        <w:tc>
          <w:tcPr>
            <w:tcW w:w="1927" w:type="dxa"/>
            <w:vAlign w:val="center"/>
          </w:tcPr>
          <w:p w14:paraId="74FC3C0D">
            <w:pPr>
              <w:adjustRightInd w:val="0"/>
              <w:snapToGrid w:val="0"/>
              <w:jc w:val="center"/>
              <w:rPr>
                <w:rFonts w:hint="eastAsia" w:ascii="宋体" w:hAnsi="宋体"/>
                <w:color w:val="000000"/>
                <w:sz w:val="24"/>
              </w:rPr>
            </w:pPr>
            <w:r>
              <w:rPr>
                <w:rFonts w:ascii="宋体" w:hAnsi="宋体"/>
                <w:color w:val="000000"/>
                <w:sz w:val="24"/>
              </w:rPr>
              <w:t>投标文件内容</w:t>
            </w:r>
          </w:p>
        </w:tc>
        <w:tc>
          <w:tcPr>
            <w:tcW w:w="2354" w:type="dxa"/>
            <w:vAlign w:val="center"/>
          </w:tcPr>
          <w:p w14:paraId="0B98C227">
            <w:pPr>
              <w:adjustRightInd w:val="0"/>
              <w:snapToGrid w:val="0"/>
              <w:jc w:val="center"/>
              <w:rPr>
                <w:rFonts w:hint="eastAsia" w:ascii="宋体" w:hAnsi="宋体"/>
                <w:color w:val="000000"/>
                <w:sz w:val="24"/>
              </w:rPr>
            </w:pPr>
            <w:r>
              <w:rPr>
                <w:rFonts w:ascii="宋体" w:hAnsi="宋体"/>
                <w:color w:val="000000"/>
                <w:sz w:val="24"/>
              </w:rPr>
              <w:t>偏离情况</w:t>
            </w:r>
          </w:p>
        </w:tc>
        <w:tc>
          <w:tcPr>
            <w:tcW w:w="771" w:type="dxa"/>
            <w:vAlign w:val="center"/>
          </w:tcPr>
          <w:p w14:paraId="7E5CF65B">
            <w:pPr>
              <w:adjustRightInd w:val="0"/>
              <w:snapToGrid w:val="0"/>
              <w:jc w:val="center"/>
              <w:rPr>
                <w:rFonts w:hint="eastAsia" w:ascii="宋体" w:hAnsi="宋体"/>
                <w:color w:val="000000"/>
                <w:sz w:val="24"/>
              </w:rPr>
            </w:pPr>
            <w:r>
              <w:rPr>
                <w:rFonts w:ascii="宋体" w:hAnsi="宋体"/>
                <w:color w:val="000000"/>
                <w:sz w:val="24"/>
              </w:rPr>
              <w:t>说明</w:t>
            </w:r>
          </w:p>
        </w:tc>
      </w:tr>
      <w:tr w14:paraId="60CDEA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49076AE1">
            <w:pPr>
              <w:adjustRightInd w:val="0"/>
              <w:snapToGrid w:val="0"/>
              <w:jc w:val="center"/>
              <w:rPr>
                <w:rFonts w:hint="eastAsia" w:ascii="宋体" w:hAnsi="宋体"/>
                <w:color w:val="000000"/>
                <w:sz w:val="24"/>
              </w:rPr>
            </w:pPr>
          </w:p>
        </w:tc>
        <w:tc>
          <w:tcPr>
            <w:tcW w:w="1270" w:type="dxa"/>
            <w:vAlign w:val="center"/>
          </w:tcPr>
          <w:p w14:paraId="3C9C1633">
            <w:pPr>
              <w:adjustRightInd w:val="0"/>
              <w:snapToGrid w:val="0"/>
              <w:jc w:val="center"/>
              <w:rPr>
                <w:rFonts w:hint="eastAsia" w:ascii="宋体" w:hAnsi="宋体"/>
                <w:color w:val="000000"/>
                <w:sz w:val="24"/>
              </w:rPr>
            </w:pPr>
          </w:p>
        </w:tc>
        <w:tc>
          <w:tcPr>
            <w:tcW w:w="1926" w:type="dxa"/>
            <w:vAlign w:val="center"/>
          </w:tcPr>
          <w:p w14:paraId="4B0C81E9">
            <w:pPr>
              <w:adjustRightInd w:val="0"/>
              <w:snapToGrid w:val="0"/>
              <w:jc w:val="center"/>
              <w:rPr>
                <w:rFonts w:hint="eastAsia" w:ascii="宋体" w:hAnsi="宋体"/>
                <w:color w:val="000000"/>
                <w:sz w:val="24"/>
              </w:rPr>
            </w:pPr>
          </w:p>
        </w:tc>
        <w:tc>
          <w:tcPr>
            <w:tcW w:w="1927" w:type="dxa"/>
            <w:vAlign w:val="center"/>
          </w:tcPr>
          <w:p w14:paraId="39E0AA40">
            <w:pPr>
              <w:adjustRightInd w:val="0"/>
              <w:snapToGrid w:val="0"/>
              <w:jc w:val="center"/>
              <w:rPr>
                <w:rFonts w:hint="eastAsia" w:ascii="宋体" w:hAnsi="宋体"/>
                <w:color w:val="000000"/>
                <w:sz w:val="24"/>
              </w:rPr>
            </w:pPr>
          </w:p>
        </w:tc>
        <w:tc>
          <w:tcPr>
            <w:tcW w:w="2354" w:type="dxa"/>
            <w:vAlign w:val="center"/>
          </w:tcPr>
          <w:p w14:paraId="7AF03496">
            <w:pPr>
              <w:adjustRightInd w:val="0"/>
              <w:snapToGrid w:val="0"/>
              <w:jc w:val="center"/>
              <w:rPr>
                <w:rFonts w:hint="eastAsia" w:ascii="宋体" w:hAnsi="宋体"/>
                <w:color w:val="000000"/>
                <w:sz w:val="24"/>
              </w:rPr>
            </w:pPr>
          </w:p>
        </w:tc>
        <w:tc>
          <w:tcPr>
            <w:tcW w:w="771" w:type="dxa"/>
            <w:vAlign w:val="center"/>
          </w:tcPr>
          <w:p w14:paraId="6C1E4870">
            <w:pPr>
              <w:adjustRightInd w:val="0"/>
              <w:snapToGrid w:val="0"/>
              <w:jc w:val="center"/>
              <w:rPr>
                <w:rFonts w:hint="eastAsia" w:ascii="宋体" w:hAnsi="宋体"/>
                <w:color w:val="000000"/>
                <w:sz w:val="24"/>
              </w:rPr>
            </w:pPr>
          </w:p>
        </w:tc>
      </w:tr>
      <w:tr w14:paraId="545A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56B936EB">
            <w:pPr>
              <w:adjustRightInd w:val="0"/>
              <w:snapToGrid w:val="0"/>
              <w:jc w:val="center"/>
              <w:rPr>
                <w:rFonts w:hint="eastAsia" w:ascii="宋体" w:hAnsi="宋体"/>
                <w:color w:val="000000"/>
                <w:sz w:val="24"/>
              </w:rPr>
            </w:pPr>
          </w:p>
        </w:tc>
        <w:tc>
          <w:tcPr>
            <w:tcW w:w="1270" w:type="dxa"/>
            <w:vAlign w:val="center"/>
          </w:tcPr>
          <w:p w14:paraId="1A7CCC82">
            <w:pPr>
              <w:adjustRightInd w:val="0"/>
              <w:snapToGrid w:val="0"/>
              <w:jc w:val="center"/>
              <w:rPr>
                <w:rFonts w:hint="eastAsia" w:ascii="宋体" w:hAnsi="宋体"/>
                <w:color w:val="000000"/>
                <w:sz w:val="24"/>
              </w:rPr>
            </w:pPr>
          </w:p>
        </w:tc>
        <w:tc>
          <w:tcPr>
            <w:tcW w:w="1926" w:type="dxa"/>
            <w:vAlign w:val="center"/>
          </w:tcPr>
          <w:p w14:paraId="40BE69B9">
            <w:pPr>
              <w:adjustRightInd w:val="0"/>
              <w:snapToGrid w:val="0"/>
              <w:jc w:val="center"/>
              <w:rPr>
                <w:rFonts w:hint="eastAsia" w:ascii="宋体" w:hAnsi="宋体"/>
                <w:color w:val="000000"/>
                <w:sz w:val="24"/>
              </w:rPr>
            </w:pPr>
          </w:p>
        </w:tc>
        <w:tc>
          <w:tcPr>
            <w:tcW w:w="1927" w:type="dxa"/>
            <w:vAlign w:val="center"/>
          </w:tcPr>
          <w:p w14:paraId="63EAB785">
            <w:pPr>
              <w:adjustRightInd w:val="0"/>
              <w:snapToGrid w:val="0"/>
              <w:jc w:val="center"/>
              <w:rPr>
                <w:rFonts w:hint="eastAsia" w:ascii="宋体" w:hAnsi="宋体"/>
                <w:color w:val="000000"/>
                <w:sz w:val="24"/>
              </w:rPr>
            </w:pPr>
          </w:p>
        </w:tc>
        <w:tc>
          <w:tcPr>
            <w:tcW w:w="2354" w:type="dxa"/>
            <w:vAlign w:val="center"/>
          </w:tcPr>
          <w:p w14:paraId="3E8F56F0">
            <w:pPr>
              <w:adjustRightInd w:val="0"/>
              <w:snapToGrid w:val="0"/>
              <w:jc w:val="center"/>
              <w:rPr>
                <w:rFonts w:hint="eastAsia" w:ascii="宋体" w:hAnsi="宋体"/>
                <w:color w:val="000000"/>
                <w:sz w:val="24"/>
              </w:rPr>
            </w:pPr>
          </w:p>
        </w:tc>
        <w:tc>
          <w:tcPr>
            <w:tcW w:w="771" w:type="dxa"/>
            <w:vAlign w:val="center"/>
          </w:tcPr>
          <w:p w14:paraId="1C070510">
            <w:pPr>
              <w:adjustRightInd w:val="0"/>
              <w:snapToGrid w:val="0"/>
              <w:jc w:val="center"/>
              <w:rPr>
                <w:rFonts w:hint="eastAsia" w:ascii="宋体" w:hAnsi="宋体"/>
                <w:color w:val="000000"/>
                <w:sz w:val="24"/>
              </w:rPr>
            </w:pPr>
          </w:p>
        </w:tc>
      </w:tr>
      <w:tr w14:paraId="5B9B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1C1B80EA">
            <w:pPr>
              <w:adjustRightInd w:val="0"/>
              <w:snapToGrid w:val="0"/>
              <w:jc w:val="center"/>
              <w:rPr>
                <w:rFonts w:hint="eastAsia" w:ascii="宋体" w:hAnsi="宋体"/>
                <w:color w:val="000000"/>
                <w:sz w:val="24"/>
              </w:rPr>
            </w:pPr>
          </w:p>
        </w:tc>
        <w:tc>
          <w:tcPr>
            <w:tcW w:w="1270" w:type="dxa"/>
            <w:vAlign w:val="center"/>
          </w:tcPr>
          <w:p w14:paraId="662D53C4">
            <w:pPr>
              <w:adjustRightInd w:val="0"/>
              <w:snapToGrid w:val="0"/>
              <w:jc w:val="center"/>
              <w:rPr>
                <w:rFonts w:hint="eastAsia" w:ascii="宋体" w:hAnsi="宋体"/>
                <w:color w:val="000000"/>
                <w:sz w:val="24"/>
              </w:rPr>
            </w:pPr>
          </w:p>
        </w:tc>
        <w:tc>
          <w:tcPr>
            <w:tcW w:w="1926" w:type="dxa"/>
            <w:vAlign w:val="center"/>
          </w:tcPr>
          <w:p w14:paraId="73F38055">
            <w:pPr>
              <w:adjustRightInd w:val="0"/>
              <w:snapToGrid w:val="0"/>
              <w:jc w:val="center"/>
              <w:rPr>
                <w:rFonts w:hint="eastAsia" w:ascii="宋体" w:hAnsi="宋体"/>
                <w:color w:val="000000"/>
                <w:sz w:val="24"/>
              </w:rPr>
            </w:pPr>
          </w:p>
        </w:tc>
        <w:tc>
          <w:tcPr>
            <w:tcW w:w="1927" w:type="dxa"/>
            <w:vAlign w:val="center"/>
          </w:tcPr>
          <w:p w14:paraId="5F8F3FED">
            <w:pPr>
              <w:adjustRightInd w:val="0"/>
              <w:snapToGrid w:val="0"/>
              <w:jc w:val="center"/>
              <w:rPr>
                <w:rFonts w:hint="eastAsia" w:ascii="宋体" w:hAnsi="宋体"/>
                <w:color w:val="000000"/>
                <w:sz w:val="24"/>
              </w:rPr>
            </w:pPr>
          </w:p>
        </w:tc>
        <w:tc>
          <w:tcPr>
            <w:tcW w:w="2354" w:type="dxa"/>
            <w:vAlign w:val="center"/>
          </w:tcPr>
          <w:p w14:paraId="15945B77">
            <w:pPr>
              <w:adjustRightInd w:val="0"/>
              <w:snapToGrid w:val="0"/>
              <w:jc w:val="center"/>
              <w:rPr>
                <w:rFonts w:hint="eastAsia" w:ascii="宋体" w:hAnsi="宋体"/>
                <w:color w:val="000000"/>
                <w:sz w:val="24"/>
              </w:rPr>
            </w:pPr>
          </w:p>
        </w:tc>
        <w:tc>
          <w:tcPr>
            <w:tcW w:w="771" w:type="dxa"/>
            <w:vAlign w:val="center"/>
          </w:tcPr>
          <w:p w14:paraId="77859B13">
            <w:pPr>
              <w:adjustRightInd w:val="0"/>
              <w:snapToGrid w:val="0"/>
              <w:jc w:val="center"/>
              <w:rPr>
                <w:rFonts w:hint="eastAsia" w:ascii="宋体" w:hAnsi="宋体"/>
                <w:color w:val="000000"/>
                <w:sz w:val="24"/>
              </w:rPr>
            </w:pPr>
          </w:p>
        </w:tc>
      </w:tr>
      <w:tr w14:paraId="3D68E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14" w:type="dxa"/>
            <w:vAlign w:val="center"/>
          </w:tcPr>
          <w:p w14:paraId="6A24E824">
            <w:pPr>
              <w:adjustRightInd w:val="0"/>
              <w:snapToGrid w:val="0"/>
              <w:jc w:val="center"/>
              <w:rPr>
                <w:rFonts w:hint="eastAsia" w:ascii="宋体" w:hAnsi="宋体"/>
                <w:color w:val="000000"/>
                <w:sz w:val="24"/>
              </w:rPr>
            </w:pPr>
          </w:p>
        </w:tc>
        <w:tc>
          <w:tcPr>
            <w:tcW w:w="1270" w:type="dxa"/>
            <w:vAlign w:val="center"/>
          </w:tcPr>
          <w:p w14:paraId="24EA9322">
            <w:pPr>
              <w:adjustRightInd w:val="0"/>
              <w:snapToGrid w:val="0"/>
              <w:jc w:val="center"/>
              <w:rPr>
                <w:rFonts w:hint="eastAsia" w:ascii="宋体" w:hAnsi="宋体"/>
                <w:color w:val="000000"/>
                <w:sz w:val="24"/>
              </w:rPr>
            </w:pPr>
          </w:p>
        </w:tc>
        <w:tc>
          <w:tcPr>
            <w:tcW w:w="1926" w:type="dxa"/>
            <w:vAlign w:val="center"/>
          </w:tcPr>
          <w:p w14:paraId="561B41F6">
            <w:pPr>
              <w:adjustRightInd w:val="0"/>
              <w:snapToGrid w:val="0"/>
              <w:jc w:val="center"/>
              <w:rPr>
                <w:rFonts w:hint="eastAsia" w:ascii="宋体" w:hAnsi="宋体"/>
                <w:color w:val="000000"/>
                <w:sz w:val="24"/>
              </w:rPr>
            </w:pPr>
          </w:p>
        </w:tc>
        <w:tc>
          <w:tcPr>
            <w:tcW w:w="1927" w:type="dxa"/>
            <w:vAlign w:val="center"/>
          </w:tcPr>
          <w:p w14:paraId="6EBE6690">
            <w:pPr>
              <w:adjustRightInd w:val="0"/>
              <w:snapToGrid w:val="0"/>
              <w:jc w:val="center"/>
              <w:rPr>
                <w:rFonts w:hint="eastAsia" w:ascii="宋体" w:hAnsi="宋体"/>
                <w:color w:val="000000"/>
                <w:sz w:val="24"/>
              </w:rPr>
            </w:pPr>
          </w:p>
        </w:tc>
        <w:tc>
          <w:tcPr>
            <w:tcW w:w="2354" w:type="dxa"/>
            <w:vAlign w:val="center"/>
          </w:tcPr>
          <w:p w14:paraId="1971873E">
            <w:pPr>
              <w:adjustRightInd w:val="0"/>
              <w:snapToGrid w:val="0"/>
              <w:jc w:val="center"/>
              <w:rPr>
                <w:rFonts w:hint="eastAsia" w:ascii="宋体" w:hAnsi="宋体"/>
                <w:color w:val="000000"/>
                <w:sz w:val="24"/>
              </w:rPr>
            </w:pPr>
          </w:p>
        </w:tc>
        <w:tc>
          <w:tcPr>
            <w:tcW w:w="771" w:type="dxa"/>
            <w:vAlign w:val="center"/>
          </w:tcPr>
          <w:p w14:paraId="335E22C7">
            <w:pPr>
              <w:adjustRightInd w:val="0"/>
              <w:snapToGrid w:val="0"/>
              <w:jc w:val="center"/>
              <w:rPr>
                <w:rFonts w:hint="eastAsia" w:ascii="宋体" w:hAnsi="宋体"/>
                <w:color w:val="000000"/>
                <w:sz w:val="24"/>
              </w:rPr>
            </w:pPr>
          </w:p>
        </w:tc>
      </w:tr>
    </w:tbl>
    <w:p w14:paraId="7CECE842">
      <w:pPr>
        <w:tabs>
          <w:tab w:val="left" w:pos="1800"/>
          <w:tab w:val="left" w:pos="5580"/>
        </w:tabs>
        <w:jc w:val="left"/>
        <w:rPr>
          <w:rFonts w:hint="eastAsia" w:ascii="宋体" w:hAnsi="宋体"/>
          <w:color w:val="000000"/>
          <w:sz w:val="24"/>
        </w:rPr>
      </w:pPr>
    </w:p>
    <w:p w14:paraId="27972E5B">
      <w:pPr>
        <w:tabs>
          <w:tab w:val="left" w:pos="1800"/>
          <w:tab w:val="left" w:pos="5580"/>
        </w:tabs>
        <w:jc w:val="left"/>
        <w:rPr>
          <w:rFonts w:hint="eastAsia" w:ascii="宋体" w:hAnsi="宋体"/>
          <w:color w:val="000000"/>
          <w:sz w:val="24"/>
        </w:rPr>
      </w:pPr>
      <w:r>
        <w:rPr>
          <w:rFonts w:ascii="宋体" w:hAnsi="宋体"/>
          <w:color w:val="000000"/>
          <w:sz w:val="24"/>
        </w:rPr>
        <w:t>注：</w:t>
      </w:r>
    </w:p>
    <w:p w14:paraId="6DDA0EA1">
      <w:pPr>
        <w:tabs>
          <w:tab w:val="left" w:pos="1800"/>
          <w:tab w:val="left" w:pos="5580"/>
        </w:tabs>
        <w:jc w:val="left"/>
        <w:rPr>
          <w:rFonts w:hint="eastAsia" w:ascii="宋体" w:hAnsi="宋体"/>
          <w:sz w:val="24"/>
        </w:rPr>
      </w:pPr>
      <w:r>
        <w:rPr>
          <w:rFonts w:hint="eastAsia" w:ascii="宋体" w:hAnsi="宋体"/>
          <w:color w:val="000000"/>
          <w:sz w:val="24"/>
        </w:rPr>
        <w:t>1</w:t>
      </w:r>
      <w:r>
        <w:rPr>
          <w:rFonts w:ascii="宋体" w:hAnsi="宋体"/>
          <w:color w:val="000000"/>
          <w:sz w:val="24"/>
        </w:rPr>
        <w:t xml:space="preserve">. </w:t>
      </w:r>
      <w:r>
        <w:rPr>
          <w:rFonts w:ascii="宋体" w:hAnsi="宋体"/>
          <w:sz w:val="24"/>
        </w:rPr>
        <w:t>对合同条款中的所有要求，除本表所列明的所有偏离外，均视作供应商已对之理解和</w:t>
      </w:r>
      <w:r>
        <w:rPr>
          <w:rFonts w:hint="eastAsia" w:ascii="宋体" w:hAnsi="宋体"/>
          <w:sz w:val="24"/>
        </w:rPr>
        <w:t>响应</w:t>
      </w:r>
      <w:r>
        <w:rPr>
          <w:rFonts w:ascii="宋体" w:hAnsi="宋体"/>
          <w:sz w:val="24"/>
        </w:rPr>
        <w:t>。</w:t>
      </w:r>
    </w:p>
    <w:p w14:paraId="617031D2">
      <w:pPr>
        <w:tabs>
          <w:tab w:val="left" w:pos="1800"/>
          <w:tab w:val="left" w:pos="5580"/>
        </w:tabs>
        <w:jc w:val="left"/>
        <w:rPr>
          <w:rFonts w:hint="eastAsia" w:ascii="宋体" w:hAnsi="宋体"/>
          <w:color w:val="000000"/>
          <w:sz w:val="24"/>
        </w:rPr>
      </w:pPr>
      <w:r>
        <w:rPr>
          <w:rFonts w:hint="eastAsia" w:ascii="宋体" w:hAnsi="宋体"/>
          <w:sz w:val="24"/>
        </w:rPr>
        <w:t>2</w:t>
      </w:r>
      <w:r>
        <w:rPr>
          <w:rFonts w:ascii="宋体" w:hAnsi="宋体"/>
          <w:sz w:val="24"/>
        </w:rPr>
        <w:t xml:space="preserve">. </w:t>
      </w:r>
      <w:r>
        <w:rPr>
          <w:rFonts w:hint="eastAsia" w:ascii="宋体" w:hAnsi="宋体"/>
          <w:sz w:val="24"/>
        </w:rPr>
        <w:t>“偏离情况”列应</w:t>
      </w:r>
      <w:r>
        <w:rPr>
          <w:rFonts w:ascii="宋体" w:hAnsi="宋体"/>
          <w:color w:val="000000"/>
          <w:sz w:val="24"/>
        </w:rPr>
        <w:t>据实</w:t>
      </w:r>
      <w:r>
        <w:rPr>
          <w:rFonts w:hint="eastAsia" w:ascii="宋体" w:hAnsi="宋体"/>
          <w:sz w:val="24"/>
        </w:rPr>
        <w:t>填写“正偏离”或“负偏离”。</w:t>
      </w:r>
    </w:p>
    <w:p w14:paraId="28341E88">
      <w:pPr>
        <w:spacing w:line="360" w:lineRule="auto"/>
        <w:rPr>
          <w:rFonts w:hint="eastAsia" w:ascii="宋体" w:hAnsi="宋体"/>
          <w:color w:val="000000"/>
          <w:sz w:val="24"/>
          <w:szCs w:val="20"/>
        </w:rPr>
      </w:pPr>
      <w:r>
        <w:rPr>
          <w:rFonts w:hint="eastAsia" w:ascii="宋体" w:hAnsi="宋体"/>
          <w:color w:val="000000"/>
          <w:sz w:val="24"/>
          <w:szCs w:val="20"/>
        </w:rPr>
        <w:t>3</w:t>
      </w:r>
      <w:r>
        <w:rPr>
          <w:rFonts w:ascii="宋体" w:hAnsi="宋体"/>
          <w:color w:val="000000"/>
          <w:sz w:val="24"/>
          <w:szCs w:val="20"/>
        </w:rPr>
        <w:t xml:space="preserve">. </w:t>
      </w:r>
      <w:r>
        <w:rPr>
          <w:rFonts w:hint="eastAsia" w:ascii="宋体" w:hAnsi="宋体"/>
          <w:color w:val="000000"/>
          <w:sz w:val="24"/>
          <w:szCs w:val="20"/>
        </w:rPr>
        <w:t>本项目的付款方式属于实质性条款，不满足的响应文件将被拒绝</w:t>
      </w:r>
    </w:p>
    <w:p w14:paraId="728407B1">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lang w:val="zh-CN"/>
        </w:rPr>
        <w:t xml:space="preserve">                      </w:t>
      </w:r>
    </w:p>
    <w:p w14:paraId="4E280BA8">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71541DB2">
      <w:pPr>
        <w:tabs>
          <w:tab w:val="left" w:pos="5580"/>
        </w:tabs>
        <w:spacing w:line="360" w:lineRule="auto"/>
        <w:rPr>
          <w:rFonts w:hint="eastAsia"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4304248F">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szCs w:val="20"/>
        </w:rPr>
        <w:t xml:space="preserve">日期：_____年______月______日   </w:t>
      </w:r>
    </w:p>
    <w:p w14:paraId="10FB5533">
      <w:pPr>
        <w:spacing w:line="360" w:lineRule="auto"/>
        <w:outlineLvl w:val="2"/>
        <w:rPr>
          <w:rFonts w:hint="eastAsia" w:ascii="宋体" w:hAnsi="宋体"/>
          <w:color w:val="000000"/>
          <w:sz w:val="24"/>
          <w:szCs w:val="20"/>
        </w:rPr>
      </w:pPr>
      <w:r>
        <w:rPr>
          <w:rFonts w:ascii="宋体" w:hAnsi="宋体"/>
          <w:color w:val="000000"/>
          <w:sz w:val="24"/>
          <w:szCs w:val="20"/>
        </w:rPr>
        <w:br w:type="page"/>
      </w:r>
      <w:r>
        <w:rPr>
          <w:rFonts w:ascii="宋体" w:hAnsi="宋体"/>
          <w:color w:val="000000"/>
          <w:sz w:val="24"/>
          <w:szCs w:val="20"/>
        </w:rPr>
        <w:t xml:space="preserve">7  </w:t>
      </w:r>
      <w:bookmarkEnd w:id="858"/>
      <w:bookmarkEnd w:id="859"/>
      <w:bookmarkEnd w:id="860"/>
      <w:bookmarkEnd w:id="861"/>
      <w:bookmarkEnd w:id="862"/>
      <w:bookmarkEnd w:id="863"/>
      <w:bookmarkEnd w:id="864"/>
      <w:bookmarkEnd w:id="865"/>
      <w:bookmarkEnd w:id="866"/>
      <w:bookmarkEnd w:id="867"/>
      <w:bookmarkEnd w:id="868"/>
      <w:bookmarkEnd w:id="869"/>
      <w:bookmarkEnd w:id="870"/>
      <w:r>
        <w:rPr>
          <w:rFonts w:ascii="宋体" w:hAnsi="宋体"/>
          <w:color w:val="000000"/>
          <w:sz w:val="24"/>
          <w:szCs w:val="20"/>
        </w:rPr>
        <w:t>采购需求偏离表（实质性格式）</w:t>
      </w:r>
    </w:p>
    <w:p w14:paraId="15003170">
      <w:pPr>
        <w:autoSpaceDE w:val="0"/>
        <w:autoSpaceDN w:val="0"/>
        <w:adjustRightInd w:val="0"/>
        <w:spacing w:line="360" w:lineRule="auto"/>
        <w:jc w:val="center"/>
        <w:rPr>
          <w:rFonts w:hint="eastAsia" w:ascii="宋体" w:hAnsi="宋体"/>
          <w:b/>
          <w:color w:val="000000"/>
          <w:sz w:val="36"/>
          <w:szCs w:val="36"/>
        </w:rPr>
      </w:pPr>
      <w:r>
        <w:rPr>
          <w:rFonts w:hint="eastAsia" w:ascii="宋体" w:hAnsi="宋体"/>
          <w:b/>
          <w:color w:val="000000"/>
          <w:sz w:val="36"/>
          <w:szCs w:val="36"/>
        </w:rPr>
        <w:t>采购需求偏离表</w:t>
      </w:r>
    </w:p>
    <w:p w14:paraId="43755A19">
      <w:pPr>
        <w:tabs>
          <w:tab w:val="left" w:pos="1800"/>
          <w:tab w:val="left" w:pos="5580"/>
        </w:tabs>
        <w:spacing w:line="360" w:lineRule="auto"/>
        <w:ind w:firstLine="360" w:firstLineChars="150"/>
        <w:jc w:val="left"/>
        <w:rPr>
          <w:rFonts w:hint="eastAsia" w:ascii="宋体" w:hAnsi="宋体"/>
          <w:color w:val="000000"/>
          <w:sz w:val="24"/>
          <w:u w:val="single"/>
        </w:rPr>
      </w:pPr>
      <w:r>
        <w:rPr>
          <w:rFonts w:ascii="宋体" w:hAnsi="宋体"/>
          <w:color w:val="000000"/>
          <w:sz w:val="24"/>
        </w:rPr>
        <w:t>项目编号/包号：_____________________     项目名称：____________</w:t>
      </w:r>
    </w:p>
    <w:tbl>
      <w:tblPr>
        <w:tblStyle w:val="45"/>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15403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jc w:val="center"/>
        </w:trPr>
        <w:tc>
          <w:tcPr>
            <w:tcW w:w="775" w:type="dxa"/>
            <w:vAlign w:val="center"/>
          </w:tcPr>
          <w:p w14:paraId="080E44B5">
            <w:pPr>
              <w:adjustRightInd w:val="0"/>
              <w:snapToGrid w:val="0"/>
              <w:jc w:val="center"/>
              <w:rPr>
                <w:rFonts w:hint="eastAsia" w:ascii="宋体" w:hAnsi="宋体"/>
                <w:color w:val="000000"/>
                <w:sz w:val="24"/>
              </w:rPr>
            </w:pPr>
            <w:r>
              <w:rPr>
                <w:rFonts w:ascii="宋体" w:hAnsi="宋体"/>
                <w:color w:val="000000"/>
                <w:sz w:val="24"/>
              </w:rPr>
              <w:t>序号</w:t>
            </w:r>
          </w:p>
        </w:tc>
        <w:tc>
          <w:tcPr>
            <w:tcW w:w="1482" w:type="dxa"/>
            <w:vAlign w:val="center"/>
          </w:tcPr>
          <w:p w14:paraId="266E7C24">
            <w:pPr>
              <w:adjustRightInd w:val="0"/>
              <w:snapToGrid w:val="0"/>
              <w:jc w:val="center"/>
              <w:rPr>
                <w:rFonts w:hint="eastAsia" w:ascii="宋体" w:hAnsi="宋体"/>
                <w:color w:val="000000"/>
                <w:sz w:val="24"/>
              </w:rPr>
            </w:pPr>
            <w:r>
              <w:rPr>
                <w:rFonts w:ascii="宋体" w:hAnsi="宋体"/>
                <w:color w:val="000000"/>
                <w:sz w:val="24"/>
              </w:rPr>
              <w:t>招标文件条目号(页码)</w:t>
            </w:r>
          </w:p>
        </w:tc>
        <w:tc>
          <w:tcPr>
            <w:tcW w:w="2384" w:type="dxa"/>
            <w:vAlign w:val="center"/>
          </w:tcPr>
          <w:p w14:paraId="779D473E">
            <w:pPr>
              <w:adjustRightInd w:val="0"/>
              <w:snapToGrid w:val="0"/>
              <w:jc w:val="center"/>
              <w:rPr>
                <w:rFonts w:hint="eastAsia" w:ascii="宋体" w:hAnsi="宋体"/>
                <w:color w:val="000000"/>
                <w:sz w:val="24"/>
              </w:rPr>
            </w:pPr>
            <w:r>
              <w:rPr>
                <w:rFonts w:ascii="宋体" w:hAnsi="宋体"/>
                <w:color w:val="000000"/>
                <w:sz w:val="24"/>
              </w:rPr>
              <w:t>招标文件要求</w:t>
            </w:r>
          </w:p>
        </w:tc>
        <w:tc>
          <w:tcPr>
            <w:tcW w:w="2126" w:type="dxa"/>
            <w:vAlign w:val="center"/>
          </w:tcPr>
          <w:p w14:paraId="67C31161">
            <w:pPr>
              <w:adjustRightInd w:val="0"/>
              <w:snapToGrid w:val="0"/>
              <w:jc w:val="center"/>
              <w:rPr>
                <w:rFonts w:hint="eastAsia" w:ascii="宋体" w:hAnsi="宋体"/>
                <w:color w:val="000000"/>
                <w:sz w:val="24"/>
              </w:rPr>
            </w:pPr>
            <w:r>
              <w:rPr>
                <w:rFonts w:ascii="宋体" w:hAnsi="宋体"/>
                <w:color w:val="000000"/>
                <w:sz w:val="24"/>
              </w:rPr>
              <w:t>投标响应内容</w:t>
            </w:r>
          </w:p>
        </w:tc>
        <w:tc>
          <w:tcPr>
            <w:tcW w:w="1875" w:type="dxa"/>
            <w:vAlign w:val="center"/>
          </w:tcPr>
          <w:p w14:paraId="417E99D1">
            <w:pPr>
              <w:adjustRightInd w:val="0"/>
              <w:snapToGrid w:val="0"/>
              <w:jc w:val="center"/>
              <w:rPr>
                <w:rFonts w:hint="eastAsia" w:ascii="宋体" w:hAnsi="宋体"/>
                <w:color w:val="000000"/>
                <w:sz w:val="24"/>
              </w:rPr>
            </w:pPr>
            <w:r>
              <w:rPr>
                <w:rFonts w:ascii="宋体" w:hAnsi="宋体"/>
                <w:color w:val="000000"/>
                <w:sz w:val="24"/>
              </w:rPr>
              <w:t>偏离情况</w:t>
            </w:r>
          </w:p>
        </w:tc>
        <w:tc>
          <w:tcPr>
            <w:tcW w:w="1009" w:type="dxa"/>
            <w:vAlign w:val="center"/>
          </w:tcPr>
          <w:p w14:paraId="30DFD020">
            <w:pPr>
              <w:adjustRightInd w:val="0"/>
              <w:snapToGrid w:val="0"/>
              <w:jc w:val="center"/>
              <w:rPr>
                <w:rFonts w:hint="eastAsia" w:ascii="宋体" w:hAnsi="宋体"/>
                <w:color w:val="000000"/>
                <w:sz w:val="24"/>
              </w:rPr>
            </w:pPr>
            <w:r>
              <w:rPr>
                <w:rFonts w:ascii="宋体" w:hAnsi="宋体"/>
                <w:color w:val="000000"/>
                <w:sz w:val="24"/>
              </w:rPr>
              <w:t>说明</w:t>
            </w:r>
          </w:p>
        </w:tc>
      </w:tr>
      <w:tr w14:paraId="37F064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B726659">
            <w:pPr>
              <w:adjustRightInd w:val="0"/>
              <w:snapToGrid w:val="0"/>
              <w:jc w:val="center"/>
              <w:rPr>
                <w:rFonts w:hint="eastAsia" w:ascii="宋体" w:hAnsi="宋体"/>
                <w:color w:val="000000"/>
                <w:sz w:val="24"/>
              </w:rPr>
            </w:pPr>
          </w:p>
        </w:tc>
        <w:tc>
          <w:tcPr>
            <w:tcW w:w="1482" w:type="dxa"/>
            <w:vAlign w:val="center"/>
          </w:tcPr>
          <w:p w14:paraId="4ECD58FF">
            <w:pPr>
              <w:adjustRightInd w:val="0"/>
              <w:snapToGrid w:val="0"/>
              <w:jc w:val="center"/>
              <w:rPr>
                <w:rFonts w:hint="eastAsia" w:ascii="宋体" w:hAnsi="宋体"/>
                <w:color w:val="000000"/>
                <w:sz w:val="24"/>
              </w:rPr>
            </w:pPr>
          </w:p>
        </w:tc>
        <w:tc>
          <w:tcPr>
            <w:tcW w:w="2384" w:type="dxa"/>
            <w:vAlign w:val="center"/>
          </w:tcPr>
          <w:p w14:paraId="36DC015C">
            <w:pPr>
              <w:adjustRightInd w:val="0"/>
              <w:snapToGrid w:val="0"/>
              <w:jc w:val="center"/>
              <w:rPr>
                <w:rFonts w:hint="eastAsia" w:ascii="宋体" w:hAnsi="宋体"/>
                <w:color w:val="000000"/>
                <w:sz w:val="24"/>
              </w:rPr>
            </w:pPr>
          </w:p>
        </w:tc>
        <w:tc>
          <w:tcPr>
            <w:tcW w:w="2126" w:type="dxa"/>
            <w:vAlign w:val="center"/>
          </w:tcPr>
          <w:p w14:paraId="312CEE48">
            <w:pPr>
              <w:adjustRightInd w:val="0"/>
              <w:snapToGrid w:val="0"/>
              <w:jc w:val="center"/>
              <w:rPr>
                <w:rFonts w:hint="eastAsia" w:ascii="宋体" w:hAnsi="宋体"/>
                <w:color w:val="000000"/>
                <w:sz w:val="24"/>
              </w:rPr>
            </w:pPr>
          </w:p>
        </w:tc>
        <w:tc>
          <w:tcPr>
            <w:tcW w:w="1875" w:type="dxa"/>
            <w:vAlign w:val="center"/>
          </w:tcPr>
          <w:p w14:paraId="23BDFB0D">
            <w:pPr>
              <w:adjustRightInd w:val="0"/>
              <w:snapToGrid w:val="0"/>
              <w:jc w:val="center"/>
              <w:rPr>
                <w:rFonts w:hint="eastAsia" w:ascii="宋体" w:hAnsi="宋体"/>
                <w:color w:val="000000"/>
                <w:sz w:val="24"/>
              </w:rPr>
            </w:pPr>
          </w:p>
        </w:tc>
        <w:tc>
          <w:tcPr>
            <w:tcW w:w="1009" w:type="dxa"/>
            <w:vAlign w:val="center"/>
          </w:tcPr>
          <w:p w14:paraId="4A54F2B8">
            <w:pPr>
              <w:adjustRightInd w:val="0"/>
              <w:snapToGrid w:val="0"/>
              <w:jc w:val="center"/>
              <w:rPr>
                <w:rFonts w:hint="eastAsia" w:ascii="宋体" w:hAnsi="宋体"/>
                <w:color w:val="000000"/>
                <w:sz w:val="24"/>
              </w:rPr>
            </w:pPr>
          </w:p>
        </w:tc>
      </w:tr>
      <w:tr w14:paraId="0BFC8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C4291D7">
            <w:pPr>
              <w:adjustRightInd w:val="0"/>
              <w:snapToGrid w:val="0"/>
              <w:jc w:val="center"/>
              <w:rPr>
                <w:rFonts w:hint="eastAsia" w:ascii="宋体" w:hAnsi="宋体"/>
                <w:color w:val="000000"/>
                <w:sz w:val="24"/>
              </w:rPr>
            </w:pPr>
          </w:p>
        </w:tc>
        <w:tc>
          <w:tcPr>
            <w:tcW w:w="1482" w:type="dxa"/>
            <w:vAlign w:val="center"/>
          </w:tcPr>
          <w:p w14:paraId="40E1AD7D">
            <w:pPr>
              <w:adjustRightInd w:val="0"/>
              <w:snapToGrid w:val="0"/>
              <w:jc w:val="center"/>
              <w:rPr>
                <w:rFonts w:hint="eastAsia" w:ascii="宋体" w:hAnsi="宋体"/>
                <w:color w:val="000000"/>
                <w:sz w:val="24"/>
              </w:rPr>
            </w:pPr>
          </w:p>
        </w:tc>
        <w:tc>
          <w:tcPr>
            <w:tcW w:w="2384" w:type="dxa"/>
            <w:vAlign w:val="center"/>
          </w:tcPr>
          <w:p w14:paraId="2CC959B8">
            <w:pPr>
              <w:adjustRightInd w:val="0"/>
              <w:snapToGrid w:val="0"/>
              <w:jc w:val="center"/>
              <w:rPr>
                <w:rFonts w:hint="eastAsia" w:ascii="宋体" w:hAnsi="宋体"/>
                <w:color w:val="000000"/>
                <w:sz w:val="24"/>
              </w:rPr>
            </w:pPr>
          </w:p>
        </w:tc>
        <w:tc>
          <w:tcPr>
            <w:tcW w:w="2126" w:type="dxa"/>
            <w:vAlign w:val="center"/>
          </w:tcPr>
          <w:p w14:paraId="4383C25B">
            <w:pPr>
              <w:adjustRightInd w:val="0"/>
              <w:snapToGrid w:val="0"/>
              <w:jc w:val="center"/>
              <w:rPr>
                <w:rFonts w:hint="eastAsia" w:ascii="宋体" w:hAnsi="宋体"/>
                <w:color w:val="000000"/>
                <w:sz w:val="24"/>
              </w:rPr>
            </w:pPr>
          </w:p>
        </w:tc>
        <w:tc>
          <w:tcPr>
            <w:tcW w:w="1875" w:type="dxa"/>
            <w:vAlign w:val="center"/>
          </w:tcPr>
          <w:p w14:paraId="30C40715">
            <w:pPr>
              <w:adjustRightInd w:val="0"/>
              <w:snapToGrid w:val="0"/>
              <w:jc w:val="center"/>
              <w:rPr>
                <w:rFonts w:hint="eastAsia" w:ascii="宋体" w:hAnsi="宋体"/>
                <w:color w:val="000000"/>
                <w:sz w:val="24"/>
              </w:rPr>
            </w:pPr>
          </w:p>
        </w:tc>
        <w:tc>
          <w:tcPr>
            <w:tcW w:w="1009" w:type="dxa"/>
            <w:vAlign w:val="center"/>
          </w:tcPr>
          <w:p w14:paraId="6B508B4A">
            <w:pPr>
              <w:adjustRightInd w:val="0"/>
              <w:snapToGrid w:val="0"/>
              <w:jc w:val="center"/>
              <w:rPr>
                <w:rFonts w:hint="eastAsia" w:ascii="宋体" w:hAnsi="宋体"/>
                <w:color w:val="000000"/>
                <w:sz w:val="24"/>
              </w:rPr>
            </w:pPr>
          </w:p>
        </w:tc>
      </w:tr>
      <w:tr w14:paraId="1351B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72DA69F6">
            <w:pPr>
              <w:adjustRightInd w:val="0"/>
              <w:snapToGrid w:val="0"/>
              <w:jc w:val="center"/>
              <w:rPr>
                <w:rFonts w:hint="eastAsia" w:ascii="宋体" w:hAnsi="宋体"/>
                <w:color w:val="000000"/>
                <w:sz w:val="24"/>
              </w:rPr>
            </w:pPr>
          </w:p>
        </w:tc>
        <w:tc>
          <w:tcPr>
            <w:tcW w:w="1482" w:type="dxa"/>
            <w:vAlign w:val="center"/>
          </w:tcPr>
          <w:p w14:paraId="4020020C">
            <w:pPr>
              <w:adjustRightInd w:val="0"/>
              <w:snapToGrid w:val="0"/>
              <w:jc w:val="center"/>
              <w:rPr>
                <w:rFonts w:hint="eastAsia" w:ascii="宋体" w:hAnsi="宋体"/>
                <w:color w:val="000000"/>
                <w:sz w:val="24"/>
              </w:rPr>
            </w:pPr>
          </w:p>
        </w:tc>
        <w:tc>
          <w:tcPr>
            <w:tcW w:w="2384" w:type="dxa"/>
            <w:vAlign w:val="center"/>
          </w:tcPr>
          <w:p w14:paraId="26FB4D9E">
            <w:pPr>
              <w:adjustRightInd w:val="0"/>
              <w:snapToGrid w:val="0"/>
              <w:jc w:val="center"/>
              <w:rPr>
                <w:rFonts w:hint="eastAsia" w:ascii="宋体" w:hAnsi="宋体"/>
                <w:color w:val="000000"/>
                <w:sz w:val="24"/>
              </w:rPr>
            </w:pPr>
          </w:p>
        </w:tc>
        <w:tc>
          <w:tcPr>
            <w:tcW w:w="2126" w:type="dxa"/>
            <w:vAlign w:val="center"/>
          </w:tcPr>
          <w:p w14:paraId="11DD7646">
            <w:pPr>
              <w:adjustRightInd w:val="0"/>
              <w:snapToGrid w:val="0"/>
              <w:jc w:val="center"/>
              <w:rPr>
                <w:rFonts w:hint="eastAsia" w:ascii="宋体" w:hAnsi="宋体"/>
                <w:color w:val="000000"/>
                <w:sz w:val="24"/>
              </w:rPr>
            </w:pPr>
          </w:p>
        </w:tc>
        <w:tc>
          <w:tcPr>
            <w:tcW w:w="1875" w:type="dxa"/>
            <w:vAlign w:val="center"/>
          </w:tcPr>
          <w:p w14:paraId="780F2707">
            <w:pPr>
              <w:adjustRightInd w:val="0"/>
              <w:snapToGrid w:val="0"/>
              <w:jc w:val="center"/>
              <w:rPr>
                <w:rFonts w:hint="eastAsia" w:ascii="宋体" w:hAnsi="宋体"/>
                <w:color w:val="000000"/>
                <w:sz w:val="24"/>
              </w:rPr>
            </w:pPr>
          </w:p>
        </w:tc>
        <w:tc>
          <w:tcPr>
            <w:tcW w:w="1009" w:type="dxa"/>
            <w:vAlign w:val="center"/>
          </w:tcPr>
          <w:p w14:paraId="7859424F">
            <w:pPr>
              <w:adjustRightInd w:val="0"/>
              <w:snapToGrid w:val="0"/>
              <w:jc w:val="center"/>
              <w:rPr>
                <w:rFonts w:hint="eastAsia" w:ascii="宋体" w:hAnsi="宋体"/>
                <w:color w:val="000000"/>
                <w:sz w:val="24"/>
              </w:rPr>
            </w:pPr>
          </w:p>
        </w:tc>
      </w:tr>
      <w:tr w14:paraId="4DD64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4152A77F">
            <w:pPr>
              <w:adjustRightInd w:val="0"/>
              <w:snapToGrid w:val="0"/>
              <w:jc w:val="center"/>
              <w:rPr>
                <w:rFonts w:hint="eastAsia" w:ascii="宋体" w:hAnsi="宋体"/>
                <w:color w:val="000000"/>
                <w:sz w:val="24"/>
              </w:rPr>
            </w:pPr>
          </w:p>
        </w:tc>
        <w:tc>
          <w:tcPr>
            <w:tcW w:w="1482" w:type="dxa"/>
            <w:vAlign w:val="center"/>
          </w:tcPr>
          <w:p w14:paraId="1AF096CB">
            <w:pPr>
              <w:adjustRightInd w:val="0"/>
              <w:snapToGrid w:val="0"/>
              <w:jc w:val="center"/>
              <w:rPr>
                <w:rFonts w:hint="eastAsia" w:ascii="宋体" w:hAnsi="宋体"/>
                <w:color w:val="000000"/>
                <w:sz w:val="24"/>
              </w:rPr>
            </w:pPr>
          </w:p>
        </w:tc>
        <w:tc>
          <w:tcPr>
            <w:tcW w:w="2384" w:type="dxa"/>
            <w:vAlign w:val="center"/>
          </w:tcPr>
          <w:p w14:paraId="1AD5B38E">
            <w:pPr>
              <w:adjustRightInd w:val="0"/>
              <w:snapToGrid w:val="0"/>
              <w:jc w:val="center"/>
              <w:rPr>
                <w:rFonts w:hint="eastAsia" w:ascii="宋体" w:hAnsi="宋体"/>
                <w:color w:val="000000"/>
                <w:sz w:val="24"/>
              </w:rPr>
            </w:pPr>
          </w:p>
        </w:tc>
        <w:tc>
          <w:tcPr>
            <w:tcW w:w="2126" w:type="dxa"/>
            <w:vAlign w:val="center"/>
          </w:tcPr>
          <w:p w14:paraId="1355FED8">
            <w:pPr>
              <w:adjustRightInd w:val="0"/>
              <w:snapToGrid w:val="0"/>
              <w:jc w:val="center"/>
              <w:rPr>
                <w:rFonts w:hint="eastAsia" w:ascii="宋体" w:hAnsi="宋体"/>
                <w:color w:val="000000"/>
                <w:sz w:val="24"/>
              </w:rPr>
            </w:pPr>
          </w:p>
        </w:tc>
        <w:tc>
          <w:tcPr>
            <w:tcW w:w="1875" w:type="dxa"/>
            <w:vAlign w:val="center"/>
          </w:tcPr>
          <w:p w14:paraId="651E570B">
            <w:pPr>
              <w:adjustRightInd w:val="0"/>
              <w:snapToGrid w:val="0"/>
              <w:jc w:val="center"/>
              <w:rPr>
                <w:rFonts w:hint="eastAsia" w:ascii="宋体" w:hAnsi="宋体"/>
                <w:color w:val="000000"/>
                <w:sz w:val="24"/>
              </w:rPr>
            </w:pPr>
          </w:p>
        </w:tc>
        <w:tc>
          <w:tcPr>
            <w:tcW w:w="1009" w:type="dxa"/>
            <w:vAlign w:val="center"/>
          </w:tcPr>
          <w:p w14:paraId="57FE3223">
            <w:pPr>
              <w:adjustRightInd w:val="0"/>
              <w:snapToGrid w:val="0"/>
              <w:jc w:val="center"/>
              <w:rPr>
                <w:rFonts w:hint="eastAsia" w:ascii="宋体" w:hAnsi="宋体"/>
                <w:color w:val="000000"/>
                <w:sz w:val="24"/>
              </w:rPr>
            </w:pPr>
          </w:p>
        </w:tc>
      </w:tr>
      <w:tr w14:paraId="02BF6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15C40E5">
            <w:pPr>
              <w:adjustRightInd w:val="0"/>
              <w:snapToGrid w:val="0"/>
              <w:jc w:val="center"/>
              <w:rPr>
                <w:rFonts w:hint="eastAsia" w:ascii="宋体" w:hAnsi="宋体"/>
                <w:color w:val="000000"/>
                <w:sz w:val="24"/>
              </w:rPr>
            </w:pPr>
          </w:p>
        </w:tc>
        <w:tc>
          <w:tcPr>
            <w:tcW w:w="1482" w:type="dxa"/>
            <w:vAlign w:val="center"/>
          </w:tcPr>
          <w:p w14:paraId="3B3260D7">
            <w:pPr>
              <w:adjustRightInd w:val="0"/>
              <w:snapToGrid w:val="0"/>
              <w:jc w:val="center"/>
              <w:rPr>
                <w:rFonts w:hint="eastAsia" w:ascii="宋体" w:hAnsi="宋体"/>
                <w:color w:val="000000"/>
                <w:sz w:val="24"/>
              </w:rPr>
            </w:pPr>
          </w:p>
        </w:tc>
        <w:tc>
          <w:tcPr>
            <w:tcW w:w="2384" w:type="dxa"/>
            <w:vAlign w:val="center"/>
          </w:tcPr>
          <w:p w14:paraId="16B9F52B">
            <w:pPr>
              <w:adjustRightInd w:val="0"/>
              <w:snapToGrid w:val="0"/>
              <w:jc w:val="center"/>
              <w:rPr>
                <w:rFonts w:hint="eastAsia" w:ascii="宋体" w:hAnsi="宋体"/>
                <w:color w:val="000000"/>
                <w:sz w:val="24"/>
              </w:rPr>
            </w:pPr>
          </w:p>
        </w:tc>
        <w:tc>
          <w:tcPr>
            <w:tcW w:w="2126" w:type="dxa"/>
            <w:vAlign w:val="center"/>
          </w:tcPr>
          <w:p w14:paraId="76FF3D06">
            <w:pPr>
              <w:adjustRightInd w:val="0"/>
              <w:snapToGrid w:val="0"/>
              <w:jc w:val="center"/>
              <w:rPr>
                <w:rFonts w:hint="eastAsia" w:ascii="宋体" w:hAnsi="宋体"/>
                <w:color w:val="000000"/>
                <w:sz w:val="24"/>
              </w:rPr>
            </w:pPr>
          </w:p>
        </w:tc>
        <w:tc>
          <w:tcPr>
            <w:tcW w:w="1875" w:type="dxa"/>
            <w:vAlign w:val="center"/>
          </w:tcPr>
          <w:p w14:paraId="38D4F72E">
            <w:pPr>
              <w:adjustRightInd w:val="0"/>
              <w:snapToGrid w:val="0"/>
              <w:jc w:val="center"/>
              <w:rPr>
                <w:rFonts w:hint="eastAsia" w:ascii="宋体" w:hAnsi="宋体"/>
                <w:color w:val="000000"/>
                <w:sz w:val="24"/>
              </w:rPr>
            </w:pPr>
          </w:p>
        </w:tc>
        <w:tc>
          <w:tcPr>
            <w:tcW w:w="1009" w:type="dxa"/>
            <w:vAlign w:val="center"/>
          </w:tcPr>
          <w:p w14:paraId="5D1B7E0B">
            <w:pPr>
              <w:adjustRightInd w:val="0"/>
              <w:snapToGrid w:val="0"/>
              <w:jc w:val="center"/>
              <w:rPr>
                <w:rFonts w:hint="eastAsia" w:ascii="宋体" w:hAnsi="宋体"/>
                <w:color w:val="000000"/>
                <w:sz w:val="24"/>
              </w:rPr>
            </w:pPr>
          </w:p>
        </w:tc>
      </w:tr>
      <w:tr w14:paraId="2DCC5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2D7E706">
            <w:pPr>
              <w:adjustRightInd w:val="0"/>
              <w:snapToGrid w:val="0"/>
              <w:jc w:val="center"/>
              <w:rPr>
                <w:rFonts w:hint="eastAsia" w:ascii="宋体" w:hAnsi="宋体"/>
                <w:color w:val="000000"/>
                <w:sz w:val="24"/>
              </w:rPr>
            </w:pPr>
          </w:p>
        </w:tc>
        <w:tc>
          <w:tcPr>
            <w:tcW w:w="1482" w:type="dxa"/>
            <w:vAlign w:val="center"/>
          </w:tcPr>
          <w:p w14:paraId="2FC68F86">
            <w:pPr>
              <w:adjustRightInd w:val="0"/>
              <w:snapToGrid w:val="0"/>
              <w:jc w:val="center"/>
              <w:rPr>
                <w:rFonts w:hint="eastAsia" w:ascii="宋体" w:hAnsi="宋体"/>
                <w:color w:val="000000"/>
                <w:sz w:val="24"/>
              </w:rPr>
            </w:pPr>
          </w:p>
        </w:tc>
        <w:tc>
          <w:tcPr>
            <w:tcW w:w="2384" w:type="dxa"/>
            <w:vAlign w:val="center"/>
          </w:tcPr>
          <w:p w14:paraId="6F7CD6F2">
            <w:pPr>
              <w:adjustRightInd w:val="0"/>
              <w:snapToGrid w:val="0"/>
              <w:jc w:val="center"/>
              <w:rPr>
                <w:rFonts w:hint="eastAsia" w:ascii="宋体" w:hAnsi="宋体"/>
                <w:color w:val="000000"/>
                <w:sz w:val="24"/>
              </w:rPr>
            </w:pPr>
          </w:p>
        </w:tc>
        <w:tc>
          <w:tcPr>
            <w:tcW w:w="2126" w:type="dxa"/>
            <w:vAlign w:val="center"/>
          </w:tcPr>
          <w:p w14:paraId="234F0138">
            <w:pPr>
              <w:adjustRightInd w:val="0"/>
              <w:snapToGrid w:val="0"/>
              <w:jc w:val="center"/>
              <w:rPr>
                <w:rFonts w:hint="eastAsia" w:ascii="宋体" w:hAnsi="宋体"/>
                <w:color w:val="000000"/>
                <w:sz w:val="24"/>
              </w:rPr>
            </w:pPr>
          </w:p>
        </w:tc>
        <w:tc>
          <w:tcPr>
            <w:tcW w:w="1875" w:type="dxa"/>
            <w:vAlign w:val="center"/>
          </w:tcPr>
          <w:p w14:paraId="28EE8C33">
            <w:pPr>
              <w:adjustRightInd w:val="0"/>
              <w:snapToGrid w:val="0"/>
              <w:jc w:val="center"/>
              <w:rPr>
                <w:rFonts w:hint="eastAsia" w:ascii="宋体" w:hAnsi="宋体"/>
                <w:color w:val="000000"/>
                <w:sz w:val="24"/>
              </w:rPr>
            </w:pPr>
          </w:p>
        </w:tc>
        <w:tc>
          <w:tcPr>
            <w:tcW w:w="1009" w:type="dxa"/>
            <w:vAlign w:val="center"/>
          </w:tcPr>
          <w:p w14:paraId="6285459C">
            <w:pPr>
              <w:adjustRightInd w:val="0"/>
              <w:snapToGrid w:val="0"/>
              <w:jc w:val="center"/>
              <w:rPr>
                <w:rFonts w:hint="eastAsia" w:ascii="宋体" w:hAnsi="宋体"/>
                <w:color w:val="000000"/>
                <w:sz w:val="24"/>
              </w:rPr>
            </w:pPr>
          </w:p>
        </w:tc>
      </w:tr>
    </w:tbl>
    <w:p w14:paraId="143152F8">
      <w:pPr>
        <w:tabs>
          <w:tab w:val="left" w:pos="1800"/>
          <w:tab w:val="left" w:pos="5580"/>
        </w:tabs>
        <w:jc w:val="left"/>
        <w:rPr>
          <w:rFonts w:hint="eastAsia" w:ascii="宋体" w:hAnsi="宋体"/>
          <w:color w:val="000000"/>
          <w:sz w:val="24"/>
        </w:rPr>
      </w:pPr>
      <w:r>
        <w:rPr>
          <w:rFonts w:ascii="宋体" w:hAnsi="宋体"/>
          <w:color w:val="000000"/>
          <w:sz w:val="24"/>
        </w:rPr>
        <w:t>注：</w:t>
      </w:r>
    </w:p>
    <w:p w14:paraId="4348A745">
      <w:pPr>
        <w:tabs>
          <w:tab w:val="left" w:pos="1800"/>
          <w:tab w:val="left" w:pos="5580"/>
        </w:tabs>
        <w:spacing w:line="360" w:lineRule="auto"/>
        <w:jc w:val="left"/>
        <w:rPr>
          <w:rFonts w:hint="eastAsia" w:ascii="宋体" w:hAnsi="宋体"/>
          <w:sz w:val="24"/>
        </w:rPr>
      </w:pPr>
      <w:r>
        <w:rPr>
          <w:rFonts w:hint="eastAsia" w:ascii="宋体" w:hAnsi="宋体"/>
          <w:color w:val="000000"/>
          <w:sz w:val="24"/>
        </w:rPr>
        <w:t>1</w:t>
      </w:r>
      <w:r>
        <w:rPr>
          <w:rFonts w:ascii="宋体" w:hAnsi="宋体"/>
          <w:color w:val="000000"/>
          <w:sz w:val="24"/>
        </w:rPr>
        <w:t>.</w:t>
      </w:r>
      <w:r>
        <w:rPr>
          <w:rFonts w:ascii="宋体" w:hAnsi="宋体"/>
          <w:sz w:val="24"/>
        </w:rPr>
        <w:t>对招标文件中的所有商务、技术要求，除本表所列明的所有偏离外，均视作供应商已对之理解和</w:t>
      </w:r>
      <w:r>
        <w:rPr>
          <w:rFonts w:hint="eastAsia" w:ascii="宋体" w:hAnsi="宋体"/>
          <w:sz w:val="24"/>
        </w:rPr>
        <w:t>响应</w:t>
      </w:r>
      <w:r>
        <w:rPr>
          <w:rFonts w:ascii="宋体" w:hAnsi="宋体"/>
          <w:sz w:val="24"/>
        </w:rPr>
        <w:t>。</w:t>
      </w:r>
      <w:r>
        <w:rPr>
          <w:rFonts w:hint="eastAsia" w:ascii="宋体" w:hAnsi="宋体"/>
          <w:sz w:val="24"/>
        </w:rPr>
        <w:t>此表中若无任何文字说明，内容为空白，</w:t>
      </w:r>
      <w:r>
        <w:rPr>
          <w:rFonts w:hint="eastAsia" w:ascii="宋体" w:hAnsi="宋体"/>
          <w:b/>
          <w:sz w:val="24"/>
        </w:rPr>
        <w:t>投标无效。</w:t>
      </w:r>
    </w:p>
    <w:p w14:paraId="5545DE3A">
      <w:pPr>
        <w:tabs>
          <w:tab w:val="left" w:pos="1800"/>
          <w:tab w:val="left" w:pos="5580"/>
        </w:tabs>
        <w:spacing w:line="360" w:lineRule="auto"/>
        <w:jc w:val="left"/>
        <w:rPr>
          <w:rFonts w:hint="eastAsia" w:ascii="宋体" w:hAnsi="宋体"/>
          <w:sz w:val="24"/>
        </w:rPr>
      </w:pPr>
      <w:r>
        <w:rPr>
          <w:rFonts w:ascii="宋体" w:hAnsi="宋体"/>
          <w:sz w:val="24"/>
        </w:rPr>
        <w:t>2.</w:t>
      </w:r>
      <w:r>
        <w:rPr>
          <w:rFonts w:hint="eastAsia"/>
        </w:rPr>
        <w:t xml:space="preserve"> </w:t>
      </w:r>
      <w:r>
        <w:rPr>
          <w:rFonts w:hint="eastAsia" w:ascii="宋体" w:hAnsi="宋体"/>
          <w:sz w:val="24"/>
        </w:rPr>
        <w:t>投标人的技术偏差必须如实填写，并应对偏差情况做出必要说明。投标人应对故意隐瞒技术偏差的行为承担责任。对招标文件有任何偏离应在“偏离情况”列明“正偏离”或“负偏离”， 对招标文件无偏离应标明“响应”。</w:t>
      </w:r>
    </w:p>
    <w:p w14:paraId="746B40F1">
      <w:pPr>
        <w:tabs>
          <w:tab w:val="left" w:pos="1800"/>
          <w:tab w:val="left" w:pos="5580"/>
        </w:tabs>
        <w:spacing w:line="360" w:lineRule="auto"/>
        <w:jc w:val="left"/>
        <w:rPr>
          <w:rFonts w:hint="eastAsia" w:ascii="宋体" w:hAnsi="宋体"/>
          <w:color w:val="000000"/>
          <w:sz w:val="24"/>
        </w:rPr>
      </w:pPr>
      <w:r>
        <w:rPr>
          <w:rFonts w:hint="eastAsia" w:ascii="宋体" w:hAnsi="宋体"/>
          <w:sz w:val="24"/>
        </w:rPr>
        <w:t>3</w:t>
      </w:r>
      <w:r>
        <w:rPr>
          <w:rFonts w:ascii="宋体" w:hAnsi="宋体"/>
          <w:sz w:val="24"/>
        </w:rPr>
        <w:t>.</w:t>
      </w:r>
      <w:r>
        <w:rPr>
          <w:rFonts w:hint="eastAsia"/>
        </w:rPr>
        <w:t xml:space="preserve"> </w:t>
      </w:r>
      <w:r>
        <w:rPr>
          <w:rFonts w:hint="eastAsia" w:ascii="宋体" w:hAnsi="宋体"/>
          <w:sz w:val="24"/>
        </w:rPr>
        <w:t>投标人应在本表中对招标文件第五章采购需求的内容进行逐项应答，需在引用招标文件要求的基础上,进行逐条逐项答复、说明或解释。</w:t>
      </w:r>
    </w:p>
    <w:p w14:paraId="51A750A4">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lang w:val="zh-CN"/>
        </w:rPr>
        <w:t xml:space="preserve">                  </w:t>
      </w:r>
    </w:p>
    <w:p w14:paraId="1ACD7D6B">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rPr>
        <w:t>投标人名称（加盖公章）</w:t>
      </w:r>
      <w:r>
        <w:rPr>
          <w:rFonts w:ascii="宋体" w:hAnsi="宋体"/>
          <w:color w:val="000000"/>
          <w:sz w:val="24"/>
          <w:lang w:val="zh-CN"/>
        </w:rPr>
        <w:t>：    ____________</w:t>
      </w:r>
    </w:p>
    <w:p w14:paraId="5851438B">
      <w:pPr>
        <w:tabs>
          <w:tab w:val="left" w:pos="5580"/>
        </w:tabs>
        <w:spacing w:line="360" w:lineRule="auto"/>
        <w:rPr>
          <w:rFonts w:hint="eastAsia" w:ascii="宋体" w:hAnsi="宋体"/>
          <w:color w:val="000000"/>
          <w:sz w:val="24"/>
          <w:szCs w:val="20"/>
        </w:rPr>
      </w:pPr>
      <w:r>
        <w:rPr>
          <w:rFonts w:hint="eastAsia" w:ascii="宋体" w:hAnsi="宋体"/>
          <w:color w:val="000000"/>
          <w:sz w:val="24"/>
          <w:szCs w:val="20"/>
        </w:rPr>
        <w:t>授权代表签字：</w:t>
      </w:r>
      <w:r>
        <w:rPr>
          <w:rFonts w:ascii="宋体" w:hAnsi="宋体"/>
          <w:color w:val="000000"/>
          <w:sz w:val="24"/>
          <w:szCs w:val="20"/>
        </w:rPr>
        <w:t>___________</w:t>
      </w:r>
    </w:p>
    <w:p w14:paraId="409904E3">
      <w:pPr>
        <w:autoSpaceDE w:val="0"/>
        <w:autoSpaceDN w:val="0"/>
        <w:adjustRightInd w:val="0"/>
        <w:snapToGrid w:val="0"/>
        <w:spacing w:before="25" w:after="25" w:line="360" w:lineRule="auto"/>
        <w:rPr>
          <w:rFonts w:hint="eastAsia" w:ascii="宋体" w:hAnsi="宋体"/>
          <w:color w:val="000000"/>
          <w:sz w:val="24"/>
          <w:lang w:val="zh-CN"/>
        </w:rPr>
      </w:pPr>
      <w:r>
        <w:rPr>
          <w:rFonts w:ascii="宋体" w:hAnsi="宋体"/>
          <w:color w:val="000000"/>
          <w:sz w:val="24"/>
          <w:szCs w:val="20"/>
        </w:rPr>
        <w:t xml:space="preserve">日期：_____年______月______日   </w:t>
      </w:r>
    </w:p>
    <w:p w14:paraId="495D46B1">
      <w:pPr>
        <w:spacing w:line="360" w:lineRule="auto"/>
        <w:outlineLvl w:val="2"/>
        <w:rPr>
          <w:rFonts w:hint="eastAsia" w:ascii="宋体" w:hAnsi="宋体"/>
          <w:color w:val="000000"/>
          <w:sz w:val="24"/>
          <w:szCs w:val="20"/>
        </w:rPr>
      </w:pPr>
      <w:r>
        <w:rPr>
          <w:rFonts w:ascii="宋体" w:hAnsi="宋体"/>
          <w:color w:val="000000"/>
          <w:sz w:val="24"/>
          <w:szCs w:val="20"/>
        </w:rPr>
        <w:br w:type="page"/>
      </w:r>
      <w:r>
        <w:rPr>
          <w:rFonts w:ascii="宋体" w:hAnsi="宋体"/>
          <w:color w:val="000000"/>
          <w:sz w:val="24"/>
          <w:szCs w:val="20"/>
        </w:rPr>
        <w:t>8  中小企业声明函</w:t>
      </w:r>
    </w:p>
    <w:p w14:paraId="036EB753">
      <w:pPr>
        <w:tabs>
          <w:tab w:val="left" w:pos="5580"/>
        </w:tabs>
        <w:spacing w:line="360" w:lineRule="auto"/>
        <w:rPr>
          <w:sz w:val="24"/>
        </w:rPr>
      </w:pPr>
    </w:p>
    <w:p w14:paraId="497BA66C">
      <w:pPr>
        <w:tabs>
          <w:tab w:val="left" w:pos="5580"/>
        </w:tabs>
        <w:spacing w:line="360" w:lineRule="auto"/>
        <w:rPr>
          <w:sz w:val="24"/>
        </w:rPr>
      </w:pPr>
      <w:r>
        <w:rPr>
          <w:sz w:val="24"/>
        </w:rPr>
        <w:t>说明：</w:t>
      </w:r>
    </w:p>
    <w:p w14:paraId="27AC4AB6">
      <w:pPr>
        <w:tabs>
          <w:tab w:val="left" w:pos="5580"/>
        </w:tabs>
        <w:spacing w:line="360" w:lineRule="auto"/>
        <w:rPr>
          <w:sz w:val="24"/>
        </w:rPr>
      </w:pPr>
      <w:r>
        <w:rPr>
          <w:sz w:val="24"/>
        </w:rPr>
        <w:t>（1）如本项目（包）不专门面向中小企业预留采购份额，</w:t>
      </w:r>
      <w:r>
        <w:rPr>
          <w:rFonts w:hint="eastAsia"/>
          <w:sz w:val="24"/>
        </w:rPr>
        <w:t>资格证明文件部分</w:t>
      </w:r>
      <w:r>
        <w:rPr>
          <w:sz w:val="24"/>
        </w:rPr>
        <w:t>无需提供《中小企业声明函》</w:t>
      </w:r>
      <w:r>
        <w:rPr>
          <w:rFonts w:hint="eastAsia"/>
          <w:sz w:val="24"/>
        </w:rPr>
        <w:t>或《残疾人福利性单位声明函》或由省级以上监狱管理局、戒毒管理局（含新疆生产建设兵团）出具的属于监狱企业的证明文件；供应商如具有上述证明文件，建议在商务技术文件中提供</w:t>
      </w:r>
      <w:r>
        <w:rPr>
          <w:sz w:val="24"/>
        </w:rPr>
        <w:t>。</w:t>
      </w:r>
    </w:p>
    <w:p w14:paraId="17BAFAEA">
      <w:pPr>
        <w:tabs>
          <w:tab w:val="left" w:pos="5580"/>
        </w:tabs>
        <w:spacing w:line="360" w:lineRule="auto"/>
        <w:rPr>
          <w:sz w:val="24"/>
        </w:rPr>
      </w:pPr>
      <w:r>
        <w:rPr>
          <w:sz w:val="24"/>
        </w:rPr>
        <w:t>（2）如本项目（包）专门面向中小企业采购，</w:t>
      </w:r>
      <w:r>
        <w:rPr>
          <w:rFonts w:hint="eastAsia"/>
          <w:sz w:val="24"/>
        </w:rPr>
        <w:t>投标文件</w:t>
      </w:r>
      <w:r>
        <w:rPr>
          <w:sz w:val="24"/>
        </w:rPr>
        <w:t>须提供《中小企业声明函》</w:t>
      </w:r>
      <w:r>
        <w:rPr>
          <w:rFonts w:hint="eastAsia"/>
          <w:sz w:val="24"/>
        </w:rPr>
        <w:t>或《残疾人福利性单位声明函》或由省级以上监狱管理局、戒毒管理局（含新疆生产建设兵团）出具的属于监狱企业的证明文件，且建议在资格证明文件部分提供</w:t>
      </w:r>
      <w:r>
        <w:rPr>
          <w:sz w:val="24"/>
        </w:rPr>
        <w:t>。</w:t>
      </w:r>
    </w:p>
    <w:p w14:paraId="7B38B1D4">
      <w:pPr>
        <w:tabs>
          <w:tab w:val="left" w:pos="5580"/>
        </w:tabs>
        <w:spacing w:line="360" w:lineRule="auto"/>
        <w:rPr>
          <w:sz w:val="24"/>
        </w:rPr>
      </w:pPr>
      <w:r>
        <w:rPr>
          <w:sz w:val="24"/>
        </w:rPr>
        <w:t>（3）如本项目（包）预留部分采购项目预算专门面向中小企业采购，</w:t>
      </w:r>
      <w:r>
        <w:rPr>
          <w:rFonts w:hint="eastAsia"/>
          <w:sz w:val="24"/>
        </w:rPr>
        <w:t>且</w:t>
      </w:r>
      <w:r>
        <w:rPr>
          <w:sz w:val="24"/>
        </w:rPr>
        <w:t>要求</w:t>
      </w:r>
      <w:r>
        <w:rPr>
          <w:rFonts w:hint="eastAsia"/>
          <w:sz w:val="24"/>
        </w:rPr>
        <w:t>获得采购合同的</w:t>
      </w:r>
      <w:r>
        <w:rPr>
          <w:sz w:val="24"/>
        </w:rPr>
        <w:t>供应商</w:t>
      </w:r>
      <w:r>
        <w:rPr>
          <w:rFonts w:hint="eastAsia"/>
          <w:sz w:val="24"/>
        </w:rPr>
        <w:t>将采购项目中的一定比例分包给一家或者多家中小企业的，投标文件中除须提供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提供《拟分包情况说明</w:t>
      </w:r>
      <w:r>
        <w:rPr>
          <w:rFonts w:hint="eastAsia"/>
          <w:sz w:val="24"/>
        </w:rPr>
        <w:t>》</w:t>
      </w:r>
      <w:r>
        <w:rPr>
          <w:sz w:val="24"/>
        </w:rPr>
        <w:t>及</w:t>
      </w:r>
      <w:r>
        <w:rPr>
          <w:rFonts w:hint="eastAsia"/>
          <w:sz w:val="24"/>
        </w:rPr>
        <w:t>《</w:t>
      </w:r>
      <w:r>
        <w:rPr>
          <w:sz w:val="24"/>
        </w:rPr>
        <w:t>分包意向协议》</w:t>
      </w:r>
      <w:r>
        <w:rPr>
          <w:rFonts w:hint="eastAsia"/>
          <w:sz w:val="24"/>
        </w:rPr>
        <w:t>，且建议在资格证明文件部分提供</w:t>
      </w:r>
      <w:r>
        <w:rPr>
          <w:sz w:val="24"/>
        </w:rPr>
        <w:t>。</w:t>
      </w:r>
    </w:p>
    <w:p w14:paraId="490B1584">
      <w:pPr>
        <w:tabs>
          <w:tab w:val="left" w:pos="5580"/>
        </w:tabs>
        <w:spacing w:line="360" w:lineRule="auto"/>
        <w:rPr>
          <w:sz w:val="24"/>
        </w:rPr>
      </w:pPr>
      <w:r>
        <w:rPr>
          <w:sz w:val="24"/>
        </w:rPr>
        <w:t>（4）如本项目（包）预留部分采购项目预算专门面向中小企业采购，</w:t>
      </w:r>
      <w:r>
        <w:rPr>
          <w:rFonts w:hint="eastAsia"/>
          <w:sz w:val="24"/>
        </w:rPr>
        <w:t>且</w:t>
      </w:r>
      <w:r>
        <w:rPr>
          <w:sz w:val="24"/>
        </w:rPr>
        <w:t>要求供应商以联合体形式参加采购活动，</w:t>
      </w:r>
      <w:r>
        <w:rPr>
          <w:rFonts w:hint="eastAsia"/>
          <w:sz w:val="24"/>
        </w:rPr>
        <w:t>投标文件中除须提供</w:t>
      </w:r>
      <w:r>
        <w:rPr>
          <w:sz w:val="24"/>
        </w:rPr>
        <w:t>中小企业声明函》</w:t>
      </w:r>
      <w:r>
        <w:rPr>
          <w:rFonts w:hint="eastAsia"/>
          <w:sz w:val="24"/>
        </w:rPr>
        <w:t>或《残疾人福利性单位声明函》或由省级以上监狱管理局、戒毒管理局（含新疆生产建设兵团）出具的属于监狱企业的证明文件，还</w:t>
      </w:r>
      <w:r>
        <w:rPr>
          <w:sz w:val="24"/>
        </w:rPr>
        <w:t>须</w:t>
      </w:r>
      <w:r>
        <w:rPr>
          <w:rFonts w:hint="eastAsia"/>
          <w:sz w:val="24"/>
        </w:rPr>
        <w:t>同时</w:t>
      </w:r>
      <w:r>
        <w:rPr>
          <w:sz w:val="24"/>
        </w:rPr>
        <w:t>提供</w:t>
      </w:r>
      <w:r>
        <w:rPr>
          <w:rFonts w:hint="eastAsia"/>
          <w:sz w:val="24"/>
        </w:rPr>
        <w:t>《联合协议》；上述文件建议在资格证明文件部分提供</w:t>
      </w:r>
      <w:r>
        <w:rPr>
          <w:sz w:val="24"/>
        </w:rPr>
        <w:t>。</w:t>
      </w:r>
    </w:p>
    <w:p w14:paraId="49453A66">
      <w:pPr>
        <w:tabs>
          <w:tab w:val="left" w:pos="5580"/>
        </w:tabs>
        <w:spacing w:line="360" w:lineRule="auto"/>
        <w:rPr>
          <w:sz w:val="24"/>
        </w:rPr>
      </w:pPr>
      <w:r>
        <w:rPr>
          <w:rFonts w:hint="eastAsia"/>
          <w:sz w:val="24"/>
        </w:rPr>
        <w:t>（</w:t>
      </w:r>
      <w:r>
        <w:rPr>
          <w:sz w:val="24"/>
        </w:rPr>
        <w:t>5</w:t>
      </w:r>
      <w:r>
        <w:rPr>
          <w:rFonts w:hint="eastAsia"/>
          <w:sz w:val="24"/>
        </w:rPr>
        <w:t>）中小企业声明函填写注意事项</w:t>
      </w:r>
    </w:p>
    <w:p w14:paraId="7FDE45E6">
      <w:pPr>
        <w:tabs>
          <w:tab w:val="left" w:pos="5580"/>
        </w:tabs>
        <w:spacing w:line="360" w:lineRule="auto"/>
        <w:rPr>
          <w:sz w:val="24"/>
        </w:rPr>
      </w:pPr>
      <w:r>
        <w:rPr>
          <w:rFonts w:hint="eastAsia"/>
          <w:sz w:val="24"/>
        </w:rPr>
        <w:t>1）《中小企业声明函》由参加政府采购活动的投标人出具。联合体投标的，《中小企业声明函》由牵头人出具。</w:t>
      </w:r>
    </w:p>
    <w:p w14:paraId="0D2C8982">
      <w:pPr>
        <w:tabs>
          <w:tab w:val="left" w:pos="5580"/>
        </w:tabs>
        <w:spacing w:line="360" w:lineRule="auto"/>
        <w:rPr>
          <w:sz w:val="24"/>
        </w:rPr>
      </w:pPr>
      <w:r>
        <w:rPr>
          <w:rFonts w:hint="eastAsia"/>
          <w:sz w:val="24"/>
        </w:rPr>
        <w:t>2）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0A40AEF">
      <w:pPr>
        <w:tabs>
          <w:tab w:val="left" w:pos="5580"/>
        </w:tabs>
        <w:spacing w:line="360" w:lineRule="auto"/>
        <w:rPr>
          <w:sz w:val="24"/>
        </w:rPr>
      </w:pPr>
      <w:r>
        <w:rPr>
          <w:rFonts w:hint="eastAsia"/>
          <w:sz w:val="24"/>
        </w:rPr>
        <w:t>3）对于多标的的采购项目，投标人应充分、准确地了解所投产品制造企业信息。对相关情况了解不清楚的，不建议填报本声明函。</w:t>
      </w:r>
    </w:p>
    <w:p w14:paraId="304429F9">
      <w:pPr>
        <w:tabs>
          <w:tab w:val="left" w:pos="5580"/>
        </w:tabs>
        <w:spacing w:line="360" w:lineRule="auto"/>
        <w:rPr>
          <w:sz w:val="24"/>
        </w:rPr>
      </w:pPr>
      <w:r>
        <w:rPr>
          <w:rFonts w:hint="eastAsia"/>
          <w:sz w:val="24"/>
        </w:rPr>
        <w:t>（6）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 2011 )300号)》及本项目文件规定的中小企业划分标准所属行业执行。</w:t>
      </w:r>
    </w:p>
    <w:p w14:paraId="7C8D1BB0">
      <w:pPr>
        <w:pStyle w:val="4"/>
        <w:spacing w:line="360" w:lineRule="auto"/>
        <w:ind w:firstLine="0"/>
        <w:rPr>
          <w:rFonts w:hint="eastAsia" w:hAnsi="宋体" w:cs="宋体"/>
          <w:color w:val="FF0000"/>
        </w:rPr>
      </w:pPr>
      <w:r>
        <w:rPr>
          <w:rFonts w:hint="eastAsia"/>
          <w:color w:val="FF0000"/>
        </w:rPr>
        <w:t>（7</w:t>
      </w:r>
      <w:r>
        <w:rPr>
          <w:rFonts w:hint="eastAsia" w:hAnsi="宋体" w:cs="宋体"/>
          <w:color w:val="FF0000"/>
        </w:rPr>
        <w:t>）项目属性为货物的项目里如涉及相关服务，在中小企业声明函中无需体现服务内容，项目属性为服务的项目里面如涉及相关货物，在中小企业声明函中无需体现货物内容</w:t>
      </w:r>
    </w:p>
    <w:p w14:paraId="4C6C2D0B">
      <w:pPr>
        <w:pStyle w:val="4"/>
        <w:spacing w:line="360" w:lineRule="auto"/>
        <w:ind w:firstLine="0"/>
        <w:rPr>
          <w:rFonts w:hint="eastAsia" w:hAnsi="宋体" w:cs="宋体"/>
          <w:color w:val="FF0000"/>
        </w:rPr>
      </w:pPr>
      <w:r>
        <w:rPr>
          <w:rFonts w:hint="eastAsia" w:hAnsi="宋体"/>
          <w:color w:val="FF0000"/>
        </w:rPr>
        <w:t>项目属性：报价分值≥30分为货物，报价分值＜30分为服务</w:t>
      </w:r>
    </w:p>
    <w:p w14:paraId="71239161">
      <w:pPr>
        <w:tabs>
          <w:tab w:val="left" w:pos="5580"/>
        </w:tabs>
        <w:spacing w:line="360" w:lineRule="auto"/>
        <w:rPr>
          <w:rFonts w:hint="eastAsia" w:ascii="宋体" w:hAnsi="宋体"/>
          <w:sz w:val="24"/>
        </w:rPr>
      </w:pPr>
    </w:p>
    <w:p w14:paraId="60CC9CED">
      <w:pPr>
        <w:widowControl/>
        <w:jc w:val="left"/>
        <w:rPr>
          <w:rFonts w:hint="eastAsia" w:ascii="宋体" w:hAnsi="宋体"/>
          <w:b/>
          <w:bCs/>
          <w:color w:val="000000"/>
          <w:sz w:val="24"/>
        </w:rPr>
      </w:pPr>
      <w:r>
        <w:rPr>
          <w:rFonts w:ascii="宋体" w:hAnsi="宋体"/>
          <w:b/>
          <w:bCs/>
          <w:color w:val="000000"/>
          <w:sz w:val="24"/>
        </w:rPr>
        <w:br w:type="page"/>
      </w:r>
    </w:p>
    <w:p w14:paraId="24AD0C56">
      <w:pPr>
        <w:spacing w:before="240" w:beforeLines="100" w:after="240" w:afterLines="100" w:line="360" w:lineRule="auto"/>
        <w:jc w:val="center"/>
        <w:rPr>
          <w:rFonts w:hint="eastAsia" w:ascii="宋体" w:hAnsi="宋体"/>
          <w:b/>
          <w:color w:val="000000"/>
          <w:sz w:val="36"/>
          <w:szCs w:val="36"/>
        </w:rPr>
      </w:pPr>
      <w:r>
        <w:rPr>
          <w:rFonts w:ascii="宋体" w:hAnsi="宋体"/>
          <w:b/>
          <w:bCs/>
          <w:color w:val="000000"/>
          <w:sz w:val="36"/>
          <w:szCs w:val="36"/>
        </w:rPr>
        <w:t>中小企业声明函（货物）格式</w:t>
      </w:r>
    </w:p>
    <w:p w14:paraId="1DBF09B9">
      <w:pPr>
        <w:autoSpaceDE w:val="0"/>
        <w:autoSpaceDN w:val="0"/>
        <w:spacing w:line="360" w:lineRule="auto"/>
        <w:ind w:left="220" w:right="415" w:firstLine="640"/>
        <w:jc w:val="left"/>
        <w:rPr>
          <w:rFonts w:hint="eastAsia"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采购活动，提供的货物全部由符合政策要求的中小企业制造。相关企业（含联合体中的中小企业、签订分包意向协议的中小企业）的具体情况如下：</w:t>
      </w:r>
    </w:p>
    <w:p w14:paraId="44E4C6D0">
      <w:pPr>
        <w:tabs>
          <w:tab w:val="left" w:pos="1183"/>
          <w:tab w:val="left" w:pos="1484"/>
          <w:tab w:val="left" w:pos="4662"/>
          <w:tab w:val="left" w:pos="6903"/>
        </w:tabs>
        <w:autoSpaceDE w:val="0"/>
        <w:autoSpaceDN w:val="0"/>
        <w:spacing w:line="360" w:lineRule="auto"/>
        <w:ind w:left="205" w:right="169" w:firstLine="646"/>
        <w:jc w:val="left"/>
        <w:rPr>
          <w:rFonts w:hint="eastAsia" w:ascii="宋体" w:hAnsi="宋体"/>
          <w:kern w:val="0"/>
          <w:sz w:val="24"/>
        </w:rPr>
      </w:pPr>
      <w:r>
        <w:rPr>
          <w:rFonts w:ascii="仿宋" w:hAnsi="仿宋" w:eastAsia="仿宋" w:cs="仿宋"/>
          <w:spacing w:val="-46"/>
          <w:w w:val="99"/>
          <w:kern w:val="0"/>
          <w:sz w:val="30"/>
          <w:szCs w:val="30"/>
        </w:rPr>
        <w:t>1.</w:t>
      </w:r>
      <w:r>
        <w:rPr>
          <w:rFonts w:ascii="仿宋" w:hAnsi="仿宋" w:eastAsia="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w:t>
      </w:r>
      <w:r>
        <w:fldChar w:fldCharType="begin"/>
      </w:r>
      <w:r>
        <w:instrText xml:space="preserve">HYPERLINK \l "_bookmark0"</w:instrText>
      </w:r>
      <w:r>
        <w:fldChar w:fldCharType="separate"/>
      </w:r>
      <w:r>
        <w:rPr>
          <w:rFonts w:ascii="宋体" w:hAnsi="宋体"/>
          <w:kern w:val="0"/>
          <w:position w:val="16"/>
          <w:sz w:val="24"/>
        </w:rPr>
        <w:t>1</w:t>
      </w:r>
      <w:r>
        <w:fldChar w:fldCharType="end"/>
      </w:r>
      <w:r>
        <w:rPr>
          <w:rFonts w:ascii="宋体" w:hAnsi="宋体"/>
          <w:kern w:val="0"/>
          <w:sz w:val="24"/>
        </w:rPr>
        <w:t>，属于</w:t>
      </w:r>
      <w:r>
        <w:rPr>
          <w:rFonts w:ascii="宋体" w:hAnsi="宋体"/>
          <w:i/>
          <w:kern w:val="0"/>
          <w:sz w:val="24"/>
          <w:u w:val="single" w:color="000000"/>
        </w:rPr>
        <w:t>（中型企业、小型企业、微型企业）</w:t>
      </w:r>
      <w:r>
        <w:rPr>
          <w:rFonts w:ascii="宋体" w:hAnsi="宋体"/>
          <w:kern w:val="0"/>
          <w:sz w:val="24"/>
        </w:rPr>
        <w:t>；</w:t>
      </w:r>
    </w:p>
    <w:p w14:paraId="17ABF3C7">
      <w:pPr>
        <w:tabs>
          <w:tab w:val="left" w:pos="1165"/>
          <w:tab w:val="left" w:pos="1183"/>
          <w:tab w:val="left" w:pos="4362"/>
          <w:tab w:val="left" w:pos="6577"/>
        </w:tabs>
        <w:autoSpaceDE w:val="0"/>
        <w:autoSpaceDN w:val="0"/>
        <w:spacing w:line="360" w:lineRule="auto"/>
        <w:ind w:left="205" w:right="169" w:firstLine="646"/>
        <w:jc w:val="left"/>
        <w:rPr>
          <w:rFonts w:hint="eastAsia" w:ascii="宋体" w:hAnsi="宋体"/>
          <w:kern w:val="0"/>
          <w:sz w:val="24"/>
        </w:rPr>
      </w:pPr>
      <w:r>
        <w:rPr>
          <w:rFonts w:ascii="仿宋" w:hAnsi="仿宋" w:eastAsia="仿宋" w:cs="仿宋"/>
          <w:spacing w:val="-46"/>
          <w:w w:val="99"/>
          <w:kern w:val="0"/>
          <w:sz w:val="30"/>
          <w:szCs w:val="30"/>
        </w:rPr>
        <w:t>2.</w:t>
      </w:r>
      <w:r>
        <w:rPr>
          <w:rFonts w:ascii="仿宋" w:hAnsi="仿宋" w:eastAsia="仿宋" w:cs="仿宋"/>
          <w:spacing w:val="-46"/>
          <w:w w:val="99"/>
          <w:kern w:val="0"/>
          <w:sz w:val="30"/>
          <w:szCs w:val="30"/>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hint="eastAsia" w:ascii="宋体" w:hAnsi="宋体"/>
          <w:kern w:val="0"/>
          <w:sz w:val="24"/>
        </w:rPr>
        <w:t xml:space="preserve"> </w:t>
      </w:r>
      <w:r>
        <w:rPr>
          <w:rFonts w:ascii="宋体" w:hAnsi="宋体"/>
          <w:kern w:val="0"/>
          <w:sz w:val="24"/>
        </w:rPr>
        <w:t xml:space="preserve">   </w:t>
      </w:r>
      <w:r>
        <w:rPr>
          <w:rFonts w:ascii="宋体" w:hAnsi="宋体"/>
          <w:i/>
          <w:kern w:val="0"/>
          <w:sz w:val="24"/>
          <w:u w:val="single" w:color="000000"/>
        </w:rPr>
        <w:t>）行业</w:t>
      </w:r>
      <w:r>
        <w:rPr>
          <w:rFonts w:ascii="宋体" w:hAnsi="宋体"/>
          <w:kern w:val="0"/>
          <w:sz w:val="24"/>
        </w:rPr>
        <w:t>；制造商为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3AB3E772">
      <w:pPr>
        <w:autoSpaceDE w:val="0"/>
        <w:autoSpaceDN w:val="0"/>
        <w:spacing w:line="360" w:lineRule="auto"/>
        <w:ind w:left="860"/>
        <w:jc w:val="left"/>
        <w:rPr>
          <w:rFonts w:hint="eastAsia" w:ascii="宋体" w:hAnsi="宋体"/>
          <w:kern w:val="0"/>
          <w:sz w:val="24"/>
        </w:rPr>
      </w:pPr>
      <w:r>
        <w:rPr>
          <w:rFonts w:ascii="宋体" w:hAnsi="宋体"/>
          <w:kern w:val="0"/>
          <w:sz w:val="24"/>
        </w:rPr>
        <w:t>……</w:t>
      </w:r>
    </w:p>
    <w:p w14:paraId="22C2C533">
      <w:pPr>
        <w:autoSpaceDE w:val="0"/>
        <w:autoSpaceDN w:val="0"/>
        <w:spacing w:line="360" w:lineRule="auto"/>
        <w:ind w:left="220" w:right="417" w:firstLine="645"/>
        <w:rPr>
          <w:rFonts w:hint="eastAsia"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251405A1">
      <w:pPr>
        <w:autoSpaceDE w:val="0"/>
        <w:autoSpaceDN w:val="0"/>
        <w:spacing w:line="360" w:lineRule="auto"/>
        <w:ind w:left="220" w:right="372" w:firstLine="645"/>
        <w:jc w:val="left"/>
        <w:rPr>
          <w:rFonts w:hint="eastAsia" w:ascii="宋体" w:hAnsi="宋体"/>
          <w:kern w:val="0"/>
          <w:sz w:val="24"/>
        </w:rPr>
      </w:pPr>
      <w:r>
        <w:rPr>
          <w:rFonts w:ascii="宋体" w:hAnsi="宋体"/>
          <w:kern w:val="0"/>
          <w:sz w:val="24"/>
        </w:rPr>
        <w:t>本企业对上述声明内容的真实性负责。如有虚假，将依法承担相应责任。</w:t>
      </w:r>
    </w:p>
    <w:p w14:paraId="0C28ABA3">
      <w:pPr>
        <w:spacing w:line="360" w:lineRule="auto"/>
        <w:ind w:firstLine="504"/>
        <w:rPr>
          <w:rFonts w:hint="eastAsia" w:ascii="宋体" w:hAnsi="宋体"/>
          <w:spacing w:val="6"/>
          <w:sz w:val="24"/>
        </w:rPr>
      </w:pPr>
    </w:p>
    <w:p w14:paraId="0F4D3DE5">
      <w:pPr>
        <w:spacing w:line="360" w:lineRule="auto"/>
        <w:ind w:firstLine="504"/>
        <w:rPr>
          <w:rFonts w:hint="eastAsia" w:ascii="宋体" w:hAnsi="宋体"/>
          <w:spacing w:val="6"/>
          <w:sz w:val="24"/>
        </w:rPr>
      </w:pPr>
    </w:p>
    <w:p w14:paraId="214C3E14">
      <w:pPr>
        <w:spacing w:line="360" w:lineRule="auto"/>
        <w:ind w:right="360" w:firstLine="480"/>
        <w:jc w:val="right"/>
        <w:rPr>
          <w:rFonts w:hint="eastAsia" w:ascii="宋体" w:hAnsi="宋体"/>
          <w:color w:val="000000"/>
          <w:sz w:val="24"/>
        </w:rPr>
      </w:pPr>
      <w:r>
        <w:rPr>
          <w:rFonts w:ascii="宋体" w:hAnsi="宋体"/>
          <w:color w:val="000000"/>
          <w:sz w:val="24"/>
        </w:rPr>
        <w:t>企业名称（盖章）：________</w:t>
      </w:r>
    </w:p>
    <w:p w14:paraId="04F64E79">
      <w:pPr>
        <w:spacing w:line="360" w:lineRule="auto"/>
        <w:ind w:right="360" w:firstLine="480"/>
        <w:jc w:val="right"/>
        <w:rPr>
          <w:rFonts w:hint="eastAsia" w:ascii="宋体" w:hAnsi="宋体"/>
          <w:color w:val="000000"/>
          <w:sz w:val="24"/>
        </w:rPr>
      </w:pPr>
      <w:r>
        <w:rPr>
          <w:rFonts w:ascii="宋体" w:hAnsi="宋体"/>
          <w:color w:val="000000"/>
          <w:sz w:val="24"/>
        </w:rPr>
        <w:t>日 期：________</w:t>
      </w:r>
    </w:p>
    <w:p w14:paraId="782D3D30">
      <w:pPr>
        <w:spacing w:line="360" w:lineRule="auto"/>
        <w:ind w:right="360" w:firstLine="480"/>
        <w:jc w:val="right"/>
        <w:rPr>
          <w:rFonts w:hint="eastAsia" w:ascii="宋体" w:hAnsi="宋体"/>
          <w:color w:val="000000"/>
          <w:sz w:val="24"/>
        </w:rPr>
      </w:pPr>
    </w:p>
    <w:p w14:paraId="7A915458">
      <w:pPr>
        <w:spacing w:line="360" w:lineRule="auto"/>
        <w:ind w:right="360" w:firstLine="480"/>
        <w:jc w:val="right"/>
        <w:rPr>
          <w:rFonts w:hint="eastAsia" w:ascii="宋体" w:hAnsi="宋体"/>
          <w:color w:val="000000"/>
          <w:sz w:val="24"/>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0723ECC6">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345DA230">
            <w:pPr>
              <w:adjustRightInd w:val="0"/>
              <w:snapToGrid w:val="0"/>
              <w:jc w:val="left"/>
              <w:rPr>
                <w:rFonts w:hint="eastAsia"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083F1989">
      <w:pPr>
        <w:autoSpaceDE w:val="0"/>
        <w:autoSpaceDN w:val="0"/>
        <w:adjustRightInd w:val="0"/>
        <w:ind w:firstLine="420"/>
        <w:jc w:val="left"/>
        <w:rPr>
          <w:rFonts w:hint="eastAsia" w:ascii="宋体" w:hAnsi="宋体"/>
          <w:sz w:val="24"/>
        </w:rPr>
      </w:pPr>
    </w:p>
    <w:p w14:paraId="77C359AF">
      <w:pPr>
        <w:spacing w:line="360" w:lineRule="auto"/>
        <w:rPr>
          <w:rFonts w:hint="eastAsia" w:ascii="宋体" w:hAnsi="宋体"/>
          <w:color w:val="000000"/>
          <w:sz w:val="24"/>
        </w:rPr>
      </w:pPr>
    </w:p>
    <w:p w14:paraId="1C548244">
      <w:pPr>
        <w:spacing w:before="240" w:beforeLines="100" w:after="240" w:afterLines="100" w:line="360" w:lineRule="auto"/>
        <w:jc w:val="center"/>
        <w:rPr>
          <w:rFonts w:hint="eastAsia" w:ascii="宋体" w:hAnsi="宋体"/>
          <w:b/>
          <w:bCs/>
          <w:color w:val="000000"/>
          <w:sz w:val="36"/>
          <w:szCs w:val="36"/>
        </w:rPr>
      </w:pPr>
      <w:r>
        <w:rPr>
          <w:rFonts w:ascii="宋体" w:hAnsi="宋体"/>
          <w:color w:val="000000"/>
          <w:sz w:val="24"/>
        </w:rPr>
        <w:br w:type="page"/>
      </w:r>
      <w:r>
        <w:rPr>
          <w:rFonts w:ascii="宋体" w:hAnsi="宋体"/>
          <w:b/>
          <w:bCs/>
          <w:color w:val="000000"/>
          <w:sz w:val="36"/>
          <w:szCs w:val="36"/>
        </w:rPr>
        <w:t>中小企业声明函（工程、服务）格式</w:t>
      </w:r>
    </w:p>
    <w:p w14:paraId="71162F8F">
      <w:pPr>
        <w:autoSpaceDE w:val="0"/>
        <w:autoSpaceDN w:val="0"/>
        <w:spacing w:line="360" w:lineRule="auto"/>
        <w:ind w:left="220" w:right="415" w:firstLine="640"/>
        <w:jc w:val="left"/>
        <w:rPr>
          <w:rFonts w:hint="eastAsia" w:ascii="宋体" w:hAnsi="宋体"/>
          <w:kern w:val="0"/>
          <w:sz w:val="24"/>
        </w:rPr>
      </w:pPr>
      <w:r>
        <w:rPr>
          <w:rFonts w:ascii="宋体" w:hAnsi="宋体"/>
          <w:kern w:val="0"/>
          <w:sz w:val="24"/>
        </w:rPr>
        <w:t>本公司（联合体）郑重声明，根据《政府采购促进中小企业发展管理办法》（财库﹝2020﹞46号）的规定，本公司（联合体）参加</w:t>
      </w:r>
      <w:r>
        <w:rPr>
          <w:rFonts w:ascii="宋体" w:hAnsi="宋体"/>
          <w:i/>
          <w:kern w:val="0"/>
          <w:sz w:val="24"/>
          <w:u w:val="single"/>
        </w:rPr>
        <w:t>（单位名称）</w:t>
      </w:r>
      <w:r>
        <w:rPr>
          <w:rFonts w:ascii="宋体" w:hAnsi="宋体"/>
          <w:kern w:val="0"/>
          <w:sz w:val="24"/>
        </w:rPr>
        <w:t>的</w:t>
      </w:r>
      <w:r>
        <w:rPr>
          <w:rFonts w:ascii="宋体" w:hAnsi="宋体"/>
          <w:i/>
          <w:kern w:val="0"/>
          <w:sz w:val="24"/>
          <w:u w:val="single"/>
        </w:rPr>
        <w:t>（项目名称）</w:t>
      </w:r>
      <w:r>
        <w:rPr>
          <w:rFonts w:ascii="宋体" w:hAnsi="宋体"/>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7B2B7E60">
      <w:pPr>
        <w:tabs>
          <w:tab w:val="left" w:pos="1276"/>
          <w:tab w:val="left" w:pos="5005"/>
          <w:tab w:val="left" w:pos="7227"/>
        </w:tabs>
        <w:autoSpaceDE w:val="0"/>
        <w:autoSpaceDN w:val="0"/>
        <w:spacing w:line="360" w:lineRule="auto"/>
        <w:ind w:left="284" w:right="236" w:firstLine="576"/>
        <w:jc w:val="left"/>
        <w:rPr>
          <w:rFonts w:hint="eastAsia" w:ascii="宋体" w:hAnsi="宋体"/>
          <w:kern w:val="0"/>
          <w:sz w:val="24"/>
        </w:rPr>
      </w:pPr>
      <w:r>
        <w:rPr>
          <w:rFonts w:ascii="仿宋" w:hAnsi="仿宋" w:eastAsia="仿宋" w:cs="仿宋"/>
          <w:w w:val="99"/>
          <w:kern w:val="0"/>
          <w:sz w:val="32"/>
          <w:szCs w:val="32"/>
        </w:rPr>
        <w:t>1.</w:t>
      </w:r>
      <w:r>
        <w:rPr>
          <w:rFonts w:ascii="仿宋" w:hAnsi="仿宋" w:eastAsia="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rPr>
        <w:t>（企业名称）</w:t>
      </w:r>
      <w:r>
        <w:rPr>
          <w:rFonts w:ascii="宋体" w:hAnsi="宋体"/>
          <w:kern w:val="0"/>
          <w:sz w:val="24"/>
        </w:rPr>
        <w:t>，从业人员</w:t>
      </w:r>
      <w:r>
        <w:rPr>
          <w:rFonts w:ascii="宋体" w:hAnsi="宋体"/>
          <w:kern w:val="0"/>
          <w:sz w:val="24"/>
          <w:u w:val="single"/>
        </w:rPr>
        <w:tab/>
      </w:r>
      <w:r>
        <w:rPr>
          <w:rFonts w:ascii="宋体" w:hAnsi="宋体"/>
          <w:kern w:val="0"/>
          <w:sz w:val="24"/>
        </w:rPr>
        <w:t>人，营业收入为</w:t>
      </w:r>
      <w:r>
        <w:rPr>
          <w:rFonts w:ascii="宋体" w:hAnsi="宋体"/>
          <w:kern w:val="0"/>
          <w:sz w:val="24"/>
          <w:u w:val="single"/>
        </w:rPr>
        <w:tab/>
      </w:r>
      <w:r>
        <w:rPr>
          <w:rFonts w:ascii="宋体" w:hAnsi="宋体"/>
          <w:kern w:val="0"/>
          <w:sz w:val="24"/>
        </w:rPr>
        <w:t>万元，资产总额为</w:t>
      </w:r>
      <w:r>
        <w:rPr>
          <w:rFonts w:ascii="宋体" w:hAnsi="宋体"/>
          <w:kern w:val="0"/>
          <w:sz w:val="24"/>
          <w:u w:val="single"/>
        </w:rPr>
        <w:tab/>
      </w:r>
      <w:r>
        <w:rPr>
          <w:rFonts w:ascii="宋体" w:hAnsi="宋体"/>
          <w:kern w:val="0"/>
          <w:sz w:val="24"/>
        </w:rPr>
        <w:t>万元</w:t>
      </w:r>
      <w:r>
        <w:fldChar w:fldCharType="begin"/>
      </w:r>
      <w:r>
        <w:instrText xml:space="preserve"> HYPERLINK \l "_bookmark1" </w:instrText>
      </w:r>
      <w:r>
        <w:fldChar w:fldCharType="separate"/>
      </w:r>
      <w:r>
        <w:rPr>
          <w:rFonts w:ascii="宋体" w:hAnsi="宋体"/>
          <w:kern w:val="0"/>
          <w:position w:val="16"/>
          <w:sz w:val="24"/>
        </w:rPr>
        <w:t>1</w:t>
      </w:r>
      <w:r>
        <w:rPr>
          <w:rFonts w:ascii="宋体" w:hAnsi="宋体"/>
          <w:kern w:val="0"/>
          <w:position w:val="16"/>
          <w:sz w:val="24"/>
        </w:rPr>
        <w:fldChar w:fldCharType="end"/>
      </w:r>
      <w:r>
        <w:rPr>
          <w:rFonts w:ascii="宋体" w:hAnsi="宋体"/>
          <w:kern w:val="0"/>
          <w:sz w:val="24"/>
        </w:rPr>
        <w:t>，属于</w:t>
      </w:r>
      <w:r>
        <w:rPr>
          <w:rFonts w:ascii="宋体" w:hAnsi="宋体"/>
          <w:i/>
          <w:kern w:val="0"/>
          <w:sz w:val="24"/>
          <w:u w:val="single"/>
        </w:rPr>
        <w:t>（中型企业、小型企业、微型企业）</w:t>
      </w:r>
      <w:r>
        <w:rPr>
          <w:rFonts w:ascii="宋体" w:hAnsi="宋体"/>
          <w:kern w:val="0"/>
          <w:sz w:val="24"/>
        </w:rPr>
        <w:t>；</w:t>
      </w:r>
    </w:p>
    <w:p w14:paraId="4E9C2BC6">
      <w:pPr>
        <w:tabs>
          <w:tab w:val="left" w:pos="1243"/>
          <w:tab w:val="left" w:pos="1806"/>
          <w:tab w:val="left" w:pos="5005"/>
          <w:tab w:val="left" w:pos="7213"/>
        </w:tabs>
        <w:autoSpaceDE w:val="0"/>
        <w:autoSpaceDN w:val="0"/>
        <w:spacing w:line="360" w:lineRule="auto"/>
        <w:ind w:left="205" w:right="258" w:firstLine="655"/>
        <w:jc w:val="left"/>
        <w:rPr>
          <w:rFonts w:hint="eastAsia" w:ascii="宋体" w:hAnsi="宋体"/>
          <w:kern w:val="0"/>
          <w:sz w:val="24"/>
        </w:rPr>
      </w:pPr>
      <w:r>
        <w:rPr>
          <w:rFonts w:ascii="仿宋" w:hAnsi="仿宋" w:eastAsia="仿宋" w:cs="仿宋"/>
          <w:w w:val="99"/>
          <w:kern w:val="0"/>
          <w:sz w:val="32"/>
          <w:szCs w:val="32"/>
        </w:rPr>
        <w:t>2.</w:t>
      </w:r>
      <w:r>
        <w:rPr>
          <w:rFonts w:ascii="仿宋" w:hAnsi="仿宋" w:eastAsia="仿宋" w:cs="仿宋"/>
          <w:w w:val="99"/>
          <w:kern w:val="0"/>
          <w:sz w:val="32"/>
          <w:szCs w:val="32"/>
        </w:rPr>
        <w:tab/>
      </w:r>
      <w:r>
        <w:rPr>
          <w:rFonts w:ascii="宋体" w:hAnsi="宋体"/>
          <w:i/>
          <w:kern w:val="0"/>
          <w:sz w:val="24"/>
          <w:u w:val="single" w:color="000000"/>
        </w:rPr>
        <w:t>（标的名称）</w:t>
      </w:r>
      <w:r>
        <w:rPr>
          <w:rFonts w:ascii="宋体" w:hAnsi="宋体"/>
          <w:kern w:val="0"/>
          <w:sz w:val="24"/>
        </w:rPr>
        <w:t>，属于</w:t>
      </w:r>
      <w:r>
        <w:rPr>
          <w:rFonts w:ascii="宋体" w:hAnsi="宋体"/>
          <w:i/>
          <w:kern w:val="0"/>
          <w:sz w:val="24"/>
        </w:rPr>
        <w:t>（</w:t>
      </w:r>
      <w:r>
        <w:rPr>
          <w:rFonts w:ascii="宋体" w:hAnsi="宋体"/>
          <w:i/>
          <w:kern w:val="0"/>
          <w:sz w:val="24"/>
          <w:u w:val="single" w:color="000000"/>
        </w:rPr>
        <w:t>采购文件中明确的所属行业）</w:t>
      </w:r>
      <w:r>
        <w:rPr>
          <w:rFonts w:ascii="宋体" w:hAnsi="宋体"/>
          <w:kern w:val="0"/>
          <w:sz w:val="24"/>
        </w:rPr>
        <w:t>；承建（承接）企业为</w:t>
      </w:r>
      <w:r>
        <w:rPr>
          <w:rFonts w:ascii="宋体" w:hAnsi="宋体"/>
          <w:i/>
          <w:kern w:val="0"/>
          <w:sz w:val="24"/>
          <w:u w:val="single" w:color="000000"/>
        </w:rPr>
        <w:t>（企业名称）</w:t>
      </w:r>
      <w:r>
        <w:rPr>
          <w:rFonts w:ascii="宋体" w:hAnsi="宋体"/>
          <w:kern w:val="0"/>
          <w:sz w:val="24"/>
        </w:rPr>
        <w:t>，从业人员</w:t>
      </w:r>
      <w:r>
        <w:rPr>
          <w:rFonts w:ascii="宋体" w:hAnsi="宋体"/>
          <w:kern w:val="0"/>
          <w:sz w:val="24"/>
          <w:u w:val="single" w:color="000000"/>
        </w:rPr>
        <w:tab/>
      </w:r>
      <w:r>
        <w:rPr>
          <w:rFonts w:ascii="宋体" w:hAnsi="宋体"/>
          <w:kern w:val="0"/>
          <w:sz w:val="24"/>
        </w:rPr>
        <w:t>人，营业收入为</w:t>
      </w:r>
      <w:r>
        <w:rPr>
          <w:rFonts w:ascii="宋体" w:hAnsi="宋体"/>
          <w:kern w:val="0"/>
          <w:sz w:val="24"/>
          <w:u w:val="single" w:color="000000"/>
        </w:rPr>
        <w:tab/>
      </w:r>
      <w:r>
        <w:rPr>
          <w:rFonts w:ascii="宋体" w:hAnsi="宋体"/>
          <w:kern w:val="0"/>
          <w:sz w:val="24"/>
        </w:rPr>
        <w:t>万元，资产总额为</w:t>
      </w:r>
      <w:r>
        <w:rPr>
          <w:rFonts w:ascii="宋体" w:hAnsi="宋体"/>
          <w:kern w:val="0"/>
          <w:sz w:val="24"/>
          <w:u w:val="single" w:color="000000"/>
        </w:rPr>
        <w:tab/>
      </w:r>
      <w:r>
        <w:rPr>
          <w:rFonts w:ascii="宋体" w:hAnsi="宋体"/>
          <w:kern w:val="0"/>
          <w:sz w:val="24"/>
        </w:rPr>
        <w:t>万元，属于</w:t>
      </w:r>
      <w:r>
        <w:rPr>
          <w:rFonts w:ascii="宋体" w:hAnsi="宋体"/>
          <w:i/>
          <w:kern w:val="0"/>
          <w:sz w:val="24"/>
          <w:u w:val="single" w:color="000000"/>
        </w:rPr>
        <w:t>（中型企业、小型企业、微型企业）</w:t>
      </w:r>
      <w:r>
        <w:rPr>
          <w:rFonts w:ascii="宋体" w:hAnsi="宋体"/>
          <w:kern w:val="0"/>
          <w:sz w:val="24"/>
        </w:rPr>
        <w:t>；</w:t>
      </w:r>
    </w:p>
    <w:p w14:paraId="5848315B">
      <w:pPr>
        <w:autoSpaceDE w:val="0"/>
        <w:autoSpaceDN w:val="0"/>
        <w:spacing w:line="360" w:lineRule="auto"/>
        <w:ind w:left="860"/>
        <w:jc w:val="left"/>
        <w:rPr>
          <w:rFonts w:hint="eastAsia" w:ascii="宋体" w:hAnsi="宋体"/>
          <w:kern w:val="0"/>
          <w:sz w:val="24"/>
        </w:rPr>
      </w:pPr>
      <w:r>
        <w:rPr>
          <w:rFonts w:ascii="宋体" w:hAnsi="宋体"/>
          <w:kern w:val="0"/>
          <w:sz w:val="24"/>
        </w:rPr>
        <w:t>……</w:t>
      </w:r>
    </w:p>
    <w:p w14:paraId="649A5582">
      <w:pPr>
        <w:autoSpaceDE w:val="0"/>
        <w:autoSpaceDN w:val="0"/>
        <w:spacing w:line="360" w:lineRule="auto"/>
        <w:ind w:left="220" w:right="417" w:firstLine="645"/>
        <w:rPr>
          <w:rFonts w:hint="eastAsia" w:ascii="宋体" w:hAnsi="宋体"/>
          <w:kern w:val="0"/>
          <w:sz w:val="24"/>
        </w:rPr>
      </w:pPr>
      <w:r>
        <w:rPr>
          <w:rFonts w:ascii="宋体" w:hAnsi="宋体"/>
          <w:kern w:val="0"/>
          <w:sz w:val="24"/>
        </w:rPr>
        <w:t>以上企业，不属于大企业的分支机构，不存在控股股东为大企业的情形，也不存在与大企业的负责人为同一人的情形。</w:t>
      </w:r>
    </w:p>
    <w:p w14:paraId="0FCF5A2F">
      <w:pPr>
        <w:spacing w:line="360" w:lineRule="auto"/>
        <w:ind w:firstLine="504"/>
        <w:rPr>
          <w:rFonts w:hint="eastAsia" w:ascii="宋体" w:hAnsi="宋体"/>
          <w:spacing w:val="6"/>
          <w:sz w:val="24"/>
        </w:rPr>
      </w:pPr>
      <w:r>
        <w:rPr>
          <w:rFonts w:ascii="宋体" w:hAnsi="宋体"/>
          <w:kern w:val="0"/>
          <w:sz w:val="24"/>
        </w:rPr>
        <w:t>本企业对上述声明内容的真实性负责。如有虚假，将依法承担相应责任。</w:t>
      </w:r>
    </w:p>
    <w:p w14:paraId="20C37D84">
      <w:pPr>
        <w:spacing w:line="360" w:lineRule="auto"/>
        <w:ind w:firstLine="504"/>
        <w:rPr>
          <w:rFonts w:hint="eastAsia" w:ascii="宋体" w:hAnsi="宋体"/>
          <w:spacing w:val="6"/>
          <w:sz w:val="24"/>
        </w:rPr>
      </w:pPr>
    </w:p>
    <w:p w14:paraId="06B2EC86">
      <w:pPr>
        <w:spacing w:line="360" w:lineRule="auto"/>
        <w:ind w:right="360" w:firstLine="480"/>
        <w:jc w:val="right"/>
        <w:rPr>
          <w:rFonts w:hint="eastAsia" w:ascii="宋体" w:hAnsi="宋体"/>
          <w:color w:val="000000"/>
          <w:sz w:val="24"/>
        </w:rPr>
      </w:pPr>
    </w:p>
    <w:p w14:paraId="192893AB">
      <w:pPr>
        <w:spacing w:line="360" w:lineRule="auto"/>
        <w:ind w:right="360" w:firstLine="480"/>
        <w:jc w:val="right"/>
        <w:rPr>
          <w:rFonts w:hint="eastAsia" w:ascii="宋体" w:hAnsi="宋体"/>
          <w:color w:val="000000"/>
          <w:sz w:val="24"/>
        </w:rPr>
      </w:pPr>
      <w:r>
        <w:rPr>
          <w:rFonts w:ascii="宋体" w:hAnsi="宋体"/>
          <w:color w:val="000000"/>
          <w:sz w:val="24"/>
        </w:rPr>
        <w:t>企业名称（盖章）：________</w:t>
      </w:r>
    </w:p>
    <w:p w14:paraId="44B5C96F">
      <w:pPr>
        <w:spacing w:line="360" w:lineRule="auto"/>
        <w:ind w:right="360" w:firstLine="480"/>
        <w:jc w:val="right"/>
        <w:rPr>
          <w:rFonts w:hint="eastAsia" w:ascii="宋体" w:hAnsi="宋体"/>
          <w:color w:val="000000"/>
          <w:sz w:val="24"/>
        </w:rPr>
      </w:pPr>
      <w:r>
        <w:rPr>
          <w:rFonts w:ascii="宋体" w:hAnsi="宋体"/>
          <w:color w:val="000000"/>
          <w:sz w:val="24"/>
        </w:rPr>
        <w:t>日 期：________</w:t>
      </w:r>
    </w:p>
    <w:p w14:paraId="0CFD77A7">
      <w:pPr>
        <w:spacing w:line="360" w:lineRule="auto"/>
        <w:ind w:right="360" w:firstLine="480"/>
        <w:jc w:val="right"/>
        <w:rPr>
          <w:rFonts w:hint="eastAsia" w:ascii="宋体" w:hAnsi="宋体"/>
          <w:color w:val="000000"/>
          <w:sz w:val="24"/>
        </w:rPr>
      </w:pPr>
    </w:p>
    <w:p w14:paraId="72E3EA5A">
      <w:pPr>
        <w:adjustRightInd w:val="0"/>
        <w:snapToGrid w:val="0"/>
        <w:jc w:val="left"/>
        <w:rPr>
          <w:rFonts w:hint="eastAsia" w:ascii="宋体" w:hAnsi="宋体"/>
          <w:color w:val="000000"/>
          <w:sz w:val="24"/>
          <w:szCs w:val="21"/>
        </w:rPr>
      </w:pPr>
    </w:p>
    <w:tbl>
      <w:tblPr>
        <w:tblStyle w:val="45"/>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6ECBC7D1">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2CA270BD">
            <w:pPr>
              <w:adjustRightInd w:val="0"/>
              <w:snapToGrid w:val="0"/>
              <w:jc w:val="left"/>
              <w:rPr>
                <w:rFonts w:hint="eastAsia" w:ascii="宋体" w:hAnsi="宋体"/>
                <w:color w:val="000000"/>
                <w:szCs w:val="21"/>
              </w:rPr>
            </w:pPr>
            <w:r>
              <w:rPr>
                <w:rFonts w:ascii="宋体" w:hAnsi="宋体"/>
                <w:color w:val="000000"/>
                <w:szCs w:val="21"/>
                <w:vertAlign w:val="superscript"/>
              </w:rPr>
              <w:t>1</w:t>
            </w:r>
            <w:r>
              <w:rPr>
                <w:rFonts w:ascii="宋体" w:hAnsi="宋体"/>
                <w:color w:val="000000"/>
                <w:szCs w:val="21"/>
              </w:rPr>
              <w:t>从业人员、营业收入、资产总额填报上一年度数据，无上一年度数据的新成立企业可不填报。</w:t>
            </w:r>
          </w:p>
        </w:tc>
      </w:tr>
    </w:tbl>
    <w:p w14:paraId="1ABD8FDE">
      <w:pPr>
        <w:adjustRightInd w:val="0"/>
        <w:snapToGrid w:val="0"/>
        <w:jc w:val="left"/>
        <w:rPr>
          <w:rFonts w:hint="eastAsia" w:ascii="宋体" w:hAnsi="宋体"/>
          <w:color w:val="000000"/>
          <w:szCs w:val="21"/>
          <w:vertAlign w:val="superscript"/>
        </w:rPr>
      </w:pPr>
    </w:p>
    <w:p w14:paraId="754503B3">
      <w:pPr>
        <w:spacing w:line="360" w:lineRule="auto"/>
        <w:ind w:right="360" w:firstLine="480"/>
        <w:jc w:val="right"/>
        <w:rPr>
          <w:rFonts w:hint="eastAsia" w:ascii="宋体" w:hAnsi="宋体"/>
          <w:color w:val="000000"/>
          <w:sz w:val="24"/>
        </w:rPr>
      </w:pPr>
    </w:p>
    <w:p w14:paraId="73ABD1E0">
      <w:pPr>
        <w:spacing w:line="360" w:lineRule="auto"/>
        <w:ind w:right="360" w:firstLine="480"/>
        <w:jc w:val="right"/>
        <w:rPr>
          <w:rFonts w:hint="eastAsia" w:ascii="宋体" w:hAnsi="宋体"/>
          <w:color w:val="000000"/>
          <w:sz w:val="24"/>
        </w:rPr>
      </w:pPr>
    </w:p>
    <w:p w14:paraId="219F754A">
      <w:pPr>
        <w:spacing w:line="360" w:lineRule="auto"/>
        <w:outlineLvl w:val="2"/>
        <w:rPr>
          <w:rFonts w:hint="eastAsia" w:ascii="宋体" w:hAnsi="宋体"/>
          <w:color w:val="000000"/>
          <w:sz w:val="24"/>
          <w:szCs w:val="20"/>
        </w:rPr>
      </w:pPr>
      <w:r>
        <w:rPr>
          <w:rFonts w:ascii="宋体" w:hAnsi="宋体"/>
          <w:color w:val="000000"/>
          <w:sz w:val="24"/>
          <w:szCs w:val="20"/>
        </w:rPr>
        <w:br w:type="page"/>
      </w:r>
    </w:p>
    <w:p w14:paraId="7D63558C">
      <w:pPr>
        <w:spacing w:before="240" w:beforeLines="100" w:after="240" w:afterLines="100" w:line="360" w:lineRule="auto"/>
        <w:jc w:val="center"/>
        <w:rPr>
          <w:rFonts w:hint="eastAsia" w:ascii="宋体" w:hAnsi="宋体"/>
          <w:color w:val="000000"/>
          <w:sz w:val="36"/>
          <w:szCs w:val="36"/>
        </w:rPr>
      </w:pPr>
      <w:r>
        <w:rPr>
          <w:rFonts w:ascii="宋体" w:hAnsi="宋体"/>
          <w:b/>
          <w:bCs/>
          <w:color w:val="000000"/>
          <w:sz w:val="36"/>
          <w:szCs w:val="36"/>
        </w:rPr>
        <w:t>残疾人福利性单位声明函格式</w:t>
      </w:r>
      <w:r>
        <w:rPr>
          <w:rFonts w:ascii="宋体" w:hAnsi="宋体"/>
          <w:color w:val="000000"/>
          <w:sz w:val="36"/>
          <w:szCs w:val="36"/>
        </w:rPr>
        <w:t xml:space="preserve"> </w:t>
      </w:r>
    </w:p>
    <w:p w14:paraId="66D5C881">
      <w:pPr>
        <w:spacing w:line="588" w:lineRule="exact"/>
        <w:ind w:firstLine="504"/>
        <w:rPr>
          <w:rFonts w:hint="eastAsia" w:ascii="宋体" w:hAnsi="宋体"/>
          <w:spacing w:val="6"/>
          <w:sz w:val="24"/>
        </w:rPr>
      </w:pPr>
      <w:r>
        <w:rPr>
          <w:rFonts w:ascii="宋体" w:hAnsi="宋体"/>
          <w:spacing w:val="6"/>
          <w:sz w:val="24"/>
        </w:rPr>
        <w:t>本单位郑重声明，根据《财政部 民政部 中国残疾人联合会关于促进残疾人就业政府采购政策的通知》（财库</w:t>
      </w:r>
      <w:r>
        <w:rPr>
          <w:rFonts w:ascii="宋体" w:hAnsi="宋体"/>
          <w:sz w:val="24"/>
        </w:rPr>
        <w:t>〔2017〕141</w:t>
      </w:r>
      <w:r>
        <w:rPr>
          <w:rFonts w:ascii="宋体" w:hAnsi="宋体"/>
          <w:spacing w:val="6"/>
          <w:sz w:val="24"/>
        </w:rPr>
        <w:t>号）的规定，本单位</w:t>
      </w:r>
      <w:r>
        <w:rPr>
          <w:rFonts w:ascii="宋体" w:hAnsi="宋体"/>
          <w:b/>
          <w:sz w:val="24"/>
        </w:rPr>
        <w:t>（请进行勾选）</w:t>
      </w:r>
      <w:r>
        <w:rPr>
          <w:rFonts w:ascii="宋体" w:hAnsi="宋体"/>
          <w:spacing w:val="6"/>
          <w:sz w:val="24"/>
        </w:rPr>
        <w:t>：</w:t>
      </w:r>
    </w:p>
    <w:p w14:paraId="3279E564">
      <w:pPr>
        <w:spacing w:line="588" w:lineRule="exact"/>
        <w:ind w:firstLine="482"/>
        <w:rPr>
          <w:rFonts w:hint="eastAsia" w:ascii="宋体" w:hAnsi="宋体"/>
          <w:b/>
          <w:spacing w:val="6"/>
          <w:sz w:val="24"/>
        </w:rPr>
      </w:pPr>
      <w:r>
        <w:rPr>
          <w:rFonts w:ascii="宋体" w:hAnsi="宋体"/>
          <w:b/>
          <w:sz w:val="24"/>
        </w:rPr>
        <w:t>□</w:t>
      </w:r>
      <w:r>
        <w:rPr>
          <w:rFonts w:ascii="宋体" w:hAnsi="宋体"/>
          <w:b/>
          <w:spacing w:val="6"/>
          <w:sz w:val="24"/>
        </w:rPr>
        <w:t>不属于符合条件的残疾人福利性单位。</w:t>
      </w:r>
    </w:p>
    <w:p w14:paraId="0961EFB8">
      <w:pPr>
        <w:spacing w:line="588" w:lineRule="exact"/>
        <w:ind w:firstLine="482"/>
        <w:rPr>
          <w:rFonts w:hint="eastAsia" w:ascii="宋体" w:hAnsi="宋体"/>
          <w:spacing w:val="6"/>
          <w:sz w:val="24"/>
        </w:rPr>
      </w:pPr>
      <w:r>
        <w:rPr>
          <w:rFonts w:ascii="宋体" w:hAnsi="宋体"/>
          <w:b/>
          <w:sz w:val="24"/>
        </w:rPr>
        <w:t>□</w:t>
      </w:r>
      <w:r>
        <w:rPr>
          <w:rFonts w:ascii="宋体" w:hAnsi="宋体"/>
          <w:b/>
          <w:spacing w:val="6"/>
          <w:sz w:val="24"/>
        </w:rPr>
        <w:t>属于符合条件的残疾人福利性单位，</w:t>
      </w:r>
      <w:r>
        <w:rPr>
          <w:rFonts w:ascii="宋体" w:hAnsi="宋体"/>
          <w:spacing w:val="6"/>
          <w:sz w:val="24"/>
        </w:rPr>
        <w:t>且本单位参加______单位的______项目采购活动提供本单位制造的货物（由本单位承担工程/提供服务），或者提供其他残疾人福利性单位制造的货物（不包括使用非残疾人福利性单位注册商标的货物）。</w:t>
      </w:r>
    </w:p>
    <w:p w14:paraId="0D3616C6">
      <w:pPr>
        <w:spacing w:line="588" w:lineRule="exact"/>
        <w:ind w:firstLine="506" w:firstLineChars="200"/>
        <w:rPr>
          <w:rFonts w:hint="eastAsia" w:ascii="宋体" w:hAnsi="宋体"/>
          <w:spacing w:val="6"/>
          <w:sz w:val="24"/>
        </w:rPr>
      </w:pPr>
      <w:r>
        <w:rPr>
          <w:rFonts w:ascii="宋体" w:hAnsi="宋体"/>
          <w:b/>
          <w:spacing w:val="6"/>
          <w:sz w:val="24"/>
        </w:rPr>
        <w:t>本单位对上述声明的真实性负责。如有虚假，将依法承担相应责任。</w:t>
      </w:r>
    </w:p>
    <w:p w14:paraId="6F1474DB">
      <w:pPr>
        <w:spacing w:line="588" w:lineRule="exact"/>
        <w:ind w:firstLine="504" w:firstLineChars="200"/>
        <w:rPr>
          <w:rFonts w:hint="eastAsia" w:ascii="宋体" w:hAnsi="宋体"/>
          <w:spacing w:val="6"/>
          <w:sz w:val="24"/>
        </w:rPr>
      </w:pPr>
    </w:p>
    <w:p w14:paraId="7ED3E7F8">
      <w:pPr>
        <w:spacing w:line="588" w:lineRule="exact"/>
        <w:ind w:firstLine="504" w:firstLineChars="200"/>
        <w:rPr>
          <w:rFonts w:hint="eastAsia" w:ascii="宋体" w:hAnsi="宋体"/>
          <w:spacing w:val="6"/>
          <w:sz w:val="24"/>
        </w:rPr>
      </w:pPr>
    </w:p>
    <w:p w14:paraId="22772362">
      <w:pPr>
        <w:tabs>
          <w:tab w:val="left" w:pos="4860"/>
        </w:tabs>
        <w:spacing w:line="588" w:lineRule="exact"/>
        <w:ind w:right="1560" w:firstLine="504" w:firstLineChars="200"/>
        <w:jc w:val="center"/>
        <w:rPr>
          <w:rFonts w:hint="eastAsia" w:ascii="宋体" w:hAnsi="宋体"/>
          <w:spacing w:val="6"/>
          <w:sz w:val="24"/>
        </w:rPr>
      </w:pPr>
      <w:r>
        <w:rPr>
          <w:rFonts w:ascii="宋体" w:hAnsi="宋体"/>
          <w:spacing w:val="6"/>
          <w:sz w:val="24"/>
        </w:rPr>
        <w:t xml:space="preserve">               单位名称（盖章）：</w:t>
      </w:r>
    </w:p>
    <w:p w14:paraId="4F953E0B">
      <w:pPr>
        <w:tabs>
          <w:tab w:val="left" w:pos="4860"/>
        </w:tabs>
        <w:spacing w:line="588" w:lineRule="exact"/>
        <w:ind w:right="1560" w:firstLine="504" w:firstLineChars="200"/>
        <w:jc w:val="center"/>
        <w:rPr>
          <w:rFonts w:hint="eastAsia" w:ascii="宋体" w:hAnsi="宋体"/>
          <w:spacing w:val="6"/>
          <w:sz w:val="24"/>
        </w:rPr>
      </w:pPr>
      <w:r>
        <w:rPr>
          <w:rFonts w:ascii="宋体" w:hAnsi="宋体"/>
          <w:spacing w:val="6"/>
          <w:sz w:val="24"/>
        </w:rPr>
        <w:t xml:space="preserve">       日  期：</w:t>
      </w:r>
    </w:p>
    <w:p w14:paraId="2B7A04DD">
      <w:pPr>
        <w:spacing w:line="360" w:lineRule="auto"/>
        <w:outlineLvl w:val="2"/>
        <w:rPr>
          <w:rFonts w:hint="eastAsia" w:ascii="宋体" w:hAnsi="宋体"/>
          <w:color w:val="000000"/>
          <w:sz w:val="24"/>
          <w:szCs w:val="20"/>
        </w:rPr>
      </w:pPr>
      <w:r>
        <w:rPr>
          <w:rFonts w:ascii="宋体" w:hAnsi="宋体"/>
          <w:spacing w:val="6"/>
          <w:sz w:val="24"/>
        </w:rPr>
        <w:br w:type="page"/>
      </w:r>
    </w:p>
    <w:p w14:paraId="03195619">
      <w:pPr>
        <w:spacing w:before="240" w:beforeLines="100" w:after="240" w:afterLines="100" w:line="360" w:lineRule="auto"/>
        <w:jc w:val="center"/>
        <w:rPr>
          <w:rFonts w:hint="eastAsia" w:ascii="宋体" w:hAnsi="宋体"/>
          <w:b/>
          <w:bCs/>
          <w:color w:val="000000"/>
          <w:sz w:val="36"/>
          <w:szCs w:val="36"/>
        </w:rPr>
      </w:pPr>
      <w:r>
        <w:rPr>
          <w:b/>
          <w:bCs/>
          <w:color w:val="000000"/>
          <w:sz w:val="36"/>
          <w:szCs w:val="36"/>
        </w:rPr>
        <w:t>中小企业划型标准规定</w:t>
      </w:r>
    </w:p>
    <w:p w14:paraId="7E08BF51">
      <w:pPr>
        <w:pStyle w:val="24"/>
        <w:spacing w:line="360" w:lineRule="auto"/>
        <w:rPr>
          <w:rFonts w:hAnsi="宋体"/>
          <w:sz w:val="24"/>
          <w:szCs w:val="24"/>
        </w:rPr>
      </w:pPr>
      <w:r>
        <w:rPr>
          <w:rFonts w:hAnsi="宋体"/>
          <w:sz w:val="24"/>
          <w:szCs w:val="24"/>
        </w:rPr>
        <w:t>　　一、根据《中华人民共和国中小企业促进法》和《国务院关于进一步促进中小企业发展的若干意见》(国发〔2009〕36号)，制定本规定。</w:t>
      </w:r>
      <w:r>
        <w:rPr>
          <w:rFonts w:hAnsi="宋体"/>
          <w:sz w:val="24"/>
          <w:szCs w:val="24"/>
        </w:rPr>
        <w:br w:type="textWrapping"/>
      </w:r>
      <w:r>
        <w:rPr>
          <w:rFonts w:hAnsi="宋体"/>
          <w:sz w:val="24"/>
          <w:szCs w:val="24"/>
        </w:rPr>
        <w:t>　　二、中小企业划分为中型、小型、微型三种类型，具体标准根据企业从业人员、营业收入、资产总额等指标，结合行业特点制定。</w:t>
      </w:r>
      <w:r>
        <w:rPr>
          <w:rFonts w:hAnsi="宋体"/>
          <w:sz w:val="24"/>
          <w:szCs w:val="24"/>
        </w:rPr>
        <w:br w:type="textWrapping"/>
      </w:r>
      <w:r>
        <w:rPr>
          <w:rFonts w:hAnsi="宋体"/>
          <w:sz w:val="24"/>
          <w:szCs w:val="24"/>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Ansi="宋体"/>
          <w:sz w:val="24"/>
          <w:szCs w:val="24"/>
        </w:rPr>
        <w:br w:type="textWrapping"/>
      </w:r>
      <w:r>
        <w:rPr>
          <w:rFonts w:hAnsi="宋体"/>
          <w:sz w:val="24"/>
          <w:szCs w:val="24"/>
        </w:rPr>
        <w:t>　　四、各行业划型标准为：</w:t>
      </w:r>
      <w:r>
        <w:rPr>
          <w:rFonts w:hAnsi="宋体"/>
          <w:sz w:val="24"/>
          <w:szCs w:val="24"/>
        </w:rPr>
        <w:br w:type="textWrapping"/>
      </w:r>
      <w:r>
        <w:rPr>
          <w:rFonts w:hAnsi="宋体"/>
          <w:sz w:val="24"/>
          <w:szCs w:val="24"/>
        </w:rPr>
        <w:t>　　（一）农、林、牧、渔业。营业收入20000万元以下的为中小微型企业。其中，营业收入500万元及以上的为中型企业，营业收入50万元及以上的为小型企业，营业收入50万元以下的为微型企业。</w:t>
      </w:r>
      <w:r>
        <w:rPr>
          <w:rFonts w:hAnsi="宋体"/>
          <w:sz w:val="24"/>
          <w:szCs w:val="24"/>
        </w:rPr>
        <w:br w:type="textWrapping"/>
      </w:r>
      <w:r>
        <w:rPr>
          <w:rFonts w:hAnsi="宋体"/>
          <w:sz w:val="24"/>
          <w:szCs w:val="24"/>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Ansi="宋体"/>
          <w:sz w:val="24"/>
          <w:szCs w:val="24"/>
        </w:rPr>
        <w:br w:type="textWrapping"/>
      </w:r>
      <w:r>
        <w:rPr>
          <w:rFonts w:hAnsi="宋体"/>
          <w:sz w:val="24"/>
          <w:szCs w:val="24"/>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Ansi="宋体"/>
          <w:sz w:val="24"/>
          <w:szCs w:val="24"/>
        </w:rPr>
        <w:br w:type="textWrapping"/>
      </w:r>
      <w:r>
        <w:rPr>
          <w:rFonts w:hAnsi="宋体"/>
          <w:sz w:val="24"/>
          <w:szCs w:val="24"/>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Ansi="宋体"/>
          <w:sz w:val="24"/>
          <w:szCs w:val="24"/>
        </w:rPr>
        <w:br w:type="textWrapping"/>
      </w:r>
      <w:r>
        <w:rPr>
          <w:rFonts w:hAnsi="宋体"/>
          <w:sz w:val="24"/>
          <w:szCs w:val="24"/>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Ansi="宋体"/>
          <w:sz w:val="24"/>
          <w:szCs w:val="24"/>
        </w:rPr>
        <w:br w:type="textWrapping"/>
      </w:r>
      <w:r>
        <w:rPr>
          <w:rFonts w:hAnsi="宋体"/>
          <w:sz w:val="24"/>
          <w:szCs w:val="24"/>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Ansi="宋体"/>
          <w:sz w:val="24"/>
          <w:szCs w:val="24"/>
        </w:rPr>
        <w:br w:type="textWrapping"/>
      </w:r>
      <w:r>
        <w:rPr>
          <w:rFonts w:hAnsi="宋体"/>
          <w:sz w:val="24"/>
          <w:szCs w:val="24"/>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Ansi="宋体"/>
          <w:sz w:val="24"/>
          <w:szCs w:val="24"/>
        </w:rPr>
        <w:br w:type="textWrapping"/>
      </w:r>
      <w:r>
        <w:rPr>
          <w:rFonts w:hAnsi="宋体"/>
          <w:sz w:val="24"/>
          <w:szCs w:val="24"/>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Ansi="宋体"/>
          <w:sz w:val="24"/>
          <w:szCs w:val="24"/>
        </w:rPr>
        <w:br w:type="textWrapping"/>
      </w:r>
      <w:r>
        <w:rPr>
          <w:rFonts w:hAnsi="宋体"/>
          <w:sz w:val="24"/>
          <w:szCs w:val="24"/>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Ansi="宋体"/>
          <w:sz w:val="24"/>
          <w:szCs w:val="24"/>
        </w:rPr>
        <w:br w:type="textWrapping"/>
      </w:r>
      <w:r>
        <w:rPr>
          <w:rFonts w:hAnsi="宋体"/>
          <w:sz w:val="24"/>
          <w:szCs w:val="24"/>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Ansi="宋体"/>
          <w:sz w:val="24"/>
          <w:szCs w:val="24"/>
        </w:rPr>
        <w:br w:type="textWrapping"/>
      </w:r>
      <w:r>
        <w:rPr>
          <w:rFonts w:hAnsi="宋体"/>
          <w:sz w:val="24"/>
          <w:szCs w:val="24"/>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Ansi="宋体"/>
          <w:sz w:val="24"/>
          <w:szCs w:val="24"/>
        </w:rPr>
        <w:br w:type="textWrapping"/>
      </w:r>
      <w:r>
        <w:rPr>
          <w:rFonts w:hAnsi="宋体"/>
          <w:sz w:val="24"/>
          <w:szCs w:val="24"/>
        </w:rPr>
        <w:t>　　（十六）其他未列明行业。从业人员300人以下的为中小微型企业。其中，从业人员100人及以上的为中型企业；从业人员10人及以上的为小型企业；从业人员10人以下的为微型企业。</w:t>
      </w:r>
      <w:r>
        <w:rPr>
          <w:rFonts w:hAnsi="宋体"/>
          <w:sz w:val="24"/>
          <w:szCs w:val="24"/>
        </w:rPr>
        <w:br w:type="textWrapping"/>
      </w:r>
      <w:r>
        <w:rPr>
          <w:rFonts w:hAnsi="宋体"/>
          <w:sz w:val="24"/>
          <w:szCs w:val="24"/>
        </w:rPr>
        <w:t>　　五、企业类型的划分以统计部门的统计数据为依据。</w:t>
      </w:r>
      <w:r>
        <w:rPr>
          <w:rFonts w:hAnsi="宋体"/>
          <w:sz w:val="24"/>
          <w:szCs w:val="24"/>
        </w:rPr>
        <w:br w:type="textWrapping"/>
      </w:r>
      <w:r>
        <w:rPr>
          <w:rFonts w:hAnsi="宋体"/>
          <w:sz w:val="24"/>
          <w:szCs w:val="24"/>
        </w:rPr>
        <w:t>　　六、本规定适用于在中华人民共和国境内依法设立的各类所有制和各种组织形式的企业。个体工商户和本规定以外的行业，参照本规定进行划型。</w:t>
      </w:r>
      <w:r>
        <w:rPr>
          <w:rFonts w:hAnsi="宋体"/>
          <w:sz w:val="24"/>
          <w:szCs w:val="24"/>
        </w:rPr>
        <w:br w:type="textWrapping"/>
      </w:r>
      <w:r>
        <w:rPr>
          <w:rFonts w:hAnsi="宋体"/>
          <w:sz w:val="24"/>
          <w:szCs w:val="24"/>
        </w:rPr>
        <w:t>　　七、本规定的中型企业标准上限即为大型企业标准的下限，国家统计部门据此制定大中小微型企业的统计分类。国务院有关部门据此进行相关数据分析，不得制定与本规定不一致的企业划型标准。</w:t>
      </w:r>
      <w:r>
        <w:rPr>
          <w:rFonts w:hAnsi="宋体"/>
          <w:sz w:val="24"/>
          <w:szCs w:val="24"/>
        </w:rPr>
        <w:br w:type="textWrapping"/>
      </w:r>
      <w:r>
        <w:rPr>
          <w:rFonts w:hAnsi="宋体"/>
          <w:sz w:val="24"/>
          <w:szCs w:val="24"/>
        </w:rPr>
        <w:t>　　八、本规定由工业和信息化部、国家统计局会同有关部门根据《国民经济行业分类》修订情况和企业发展变化情况适时修订。</w:t>
      </w:r>
      <w:r>
        <w:rPr>
          <w:rFonts w:hAnsi="宋体"/>
          <w:sz w:val="24"/>
          <w:szCs w:val="24"/>
        </w:rPr>
        <w:br w:type="textWrapping"/>
      </w:r>
      <w:r>
        <w:rPr>
          <w:rFonts w:hAnsi="宋体"/>
          <w:sz w:val="24"/>
          <w:szCs w:val="24"/>
        </w:rPr>
        <w:t>　　九、本规定由工业和信息化部、国家统计局会同有关部门负责解释。</w:t>
      </w:r>
      <w:r>
        <w:rPr>
          <w:rFonts w:hAnsi="宋体"/>
          <w:sz w:val="24"/>
          <w:szCs w:val="24"/>
        </w:rPr>
        <w:br w:type="textWrapping"/>
      </w:r>
      <w:r>
        <w:rPr>
          <w:rFonts w:hAnsi="宋体"/>
          <w:sz w:val="24"/>
          <w:szCs w:val="24"/>
        </w:rPr>
        <w:t>　　十、本规定自发布之日起执行，原国家经贸委、原国家计委、财政部和国家统计局2003年颁布的《中小企业标准暂行规定》同时废止。</w:t>
      </w:r>
    </w:p>
    <w:p w14:paraId="30A07626"/>
    <w:p w14:paraId="16E1539E">
      <w:pPr>
        <w:tabs>
          <w:tab w:val="left" w:pos="4860"/>
        </w:tabs>
        <w:spacing w:line="588" w:lineRule="exact"/>
        <w:ind w:right="1560" w:firstLine="504" w:firstLineChars="200"/>
        <w:jc w:val="center"/>
        <w:rPr>
          <w:rFonts w:hint="eastAsia" w:ascii="宋体" w:hAnsi="宋体"/>
          <w:spacing w:val="6"/>
          <w:sz w:val="24"/>
        </w:rPr>
      </w:pPr>
    </w:p>
    <w:p w14:paraId="5D5196A2">
      <w:pPr>
        <w:spacing w:line="360" w:lineRule="auto"/>
        <w:outlineLvl w:val="2"/>
        <w:rPr>
          <w:rFonts w:hint="eastAsia" w:ascii="宋体" w:hAnsi="宋体"/>
          <w:color w:val="000000"/>
          <w:sz w:val="24"/>
          <w:szCs w:val="20"/>
        </w:rPr>
      </w:pPr>
      <w:r>
        <w:rPr>
          <w:rFonts w:ascii="宋体" w:hAnsi="宋体"/>
          <w:color w:val="000000"/>
          <w:szCs w:val="20"/>
        </w:rPr>
        <w:br w:type="page"/>
      </w:r>
    </w:p>
    <w:p w14:paraId="1E0CB492">
      <w:pPr>
        <w:spacing w:line="360" w:lineRule="auto"/>
        <w:outlineLvl w:val="2"/>
        <w:rPr>
          <w:color w:val="000000"/>
          <w:sz w:val="24"/>
          <w:szCs w:val="20"/>
        </w:rPr>
      </w:pPr>
      <w:r>
        <w:rPr>
          <w:color w:val="000000"/>
          <w:sz w:val="24"/>
          <w:szCs w:val="20"/>
        </w:rPr>
        <w:t>9  拟分包情况说明（类型二）</w:t>
      </w:r>
      <w:r>
        <w:rPr>
          <w:color w:val="000000"/>
          <w:sz w:val="24"/>
        </w:rPr>
        <w:t>（实质性格式）</w:t>
      </w:r>
      <w:r>
        <w:rPr>
          <w:rFonts w:hint="eastAsia"/>
          <w:color w:val="000000"/>
          <w:sz w:val="24"/>
        </w:rPr>
        <w:t>（本项目不涉及）</w:t>
      </w:r>
    </w:p>
    <w:p w14:paraId="68781835">
      <w:pPr>
        <w:autoSpaceDE w:val="0"/>
        <w:autoSpaceDN w:val="0"/>
        <w:adjustRightInd w:val="0"/>
        <w:jc w:val="center"/>
        <w:rPr>
          <w:color w:val="000000"/>
          <w:sz w:val="30"/>
          <w:szCs w:val="30"/>
        </w:rPr>
      </w:pPr>
    </w:p>
    <w:p w14:paraId="62459AEB">
      <w:pPr>
        <w:autoSpaceDE w:val="0"/>
        <w:autoSpaceDN w:val="0"/>
        <w:adjustRightInd w:val="0"/>
        <w:spacing w:line="360" w:lineRule="auto"/>
        <w:jc w:val="center"/>
        <w:rPr>
          <w:b/>
          <w:color w:val="000000"/>
          <w:sz w:val="36"/>
          <w:szCs w:val="36"/>
        </w:rPr>
      </w:pPr>
      <w:r>
        <w:rPr>
          <w:rFonts w:hint="eastAsia"/>
          <w:b/>
          <w:color w:val="000000"/>
          <w:sz w:val="36"/>
          <w:szCs w:val="36"/>
        </w:rPr>
        <w:t>拟分包情况说明</w:t>
      </w:r>
    </w:p>
    <w:p w14:paraId="23551844">
      <w:pPr>
        <w:tabs>
          <w:tab w:val="left" w:pos="5580"/>
        </w:tabs>
        <w:spacing w:line="360" w:lineRule="auto"/>
        <w:rPr>
          <w:color w:val="000000"/>
          <w:sz w:val="24"/>
        </w:rPr>
      </w:pPr>
      <w:r>
        <w:rPr>
          <w:color w:val="000000"/>
          <w:sz w:val="24"/>
        </w:rPr>
        <w:t>致：</w:t>
      </w:r>
      <w:r>
        <w:rPr>
          <w:color w:val="000000"/>
          <w:sz w:val="24"/>
          <w:u w:val="single"/>
        </w:rPr>
        <w:t>（采购人或采购代理机构）</w:t>
      </w:r>
    </w:p>
    <w:p w14:paraId="1290BBF4">
      <w:pPr>
        <w:adjustRightInd w:val="0"/>
        <w:snapToGrid w:val="0"/>
        <w:spacing w:line="360" w:lineRule="auto"/>
        <w:ind w:firstLine="480" w:firstLineChars="200"/>
        <w:jc w:val="left"/>
        <w:rPr>
          <w:sz w:val="24"/>
        </w:rPr>
      </w:pPr>
      <w:r>
        <w:rPr>
          <w:sz w:val="24"/>
        </w:rPr>
        <w:t>我单位参加贵单位组织采购的项目编号为_______的_________项目（填写采购项目名称）中___包（填写包号）的投标。拟签订分包合同的单位情况如下表所示，我单位承诺一旦在该项目中获得采购合同将按下表所列情况进行分包，同时承诺分包承担主体不再次分包。</w:t>
      </w:r>
    </w:p>
    <w:tbl>
      <w:tblPr>
        <w:tblStyle w:val="45"/>
        <w:tblW w:w="900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6"/>
        <w:gridCol w:w="1287"/>
        <w:gridCol w:w="1513"/>
        <w:gridCol w:w="1125"/>
        <w:gridCol w:w="1561"/>
        <w:gridCol w:w="1498"/>
        <w:gridCol w:w="1564"/>
      </w:tblGrid>
      <w:tr w14:paraId="508AAC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6" w:type="dxa"/>
            <w:vAlign w:val="center"/>
          </w:tcPr>
          <w:p w14:paraId="55872B8C">
            <w:pPr>
              <w:pStyle w:val="260"/>
              <w:jc w:val="center"/>
              <w:rPr>
                <w:rFonts w:hint="eastAsia"/>
                <w:sz w:val="24"/>
              </w:rPr>
            </w:pPr>
            <w:r>
              <w:rPr>
                <w:sz w:val="24"/>
              </w:rPr>
              <w:t>序号</w:t>
            </w:r>
          </w:p>
        </w:tc>
        <w:tc>
          <w:tcPr>
            <w:tcW w:w="1287" w:type="dxa"/>
            <w:vAlign w:val="center"/>
          </w:tcPr>
          <w:p w14:paraId="3D9E84A2">
            <w:pPr>
              <w:pStyle w:val="260"/>
              <w:jc w:val="center"/>
              <w:rPr>
                <w:rFonts w:hint="eastAsia"/>
                <w:sz w:val="24"/>
              </w:rPr>
            </w:pPr>
            <w:r>
              <w:rPr>
                <w:sz w:val="24"/>
              </w:rPr>
              <w:t>分包承担</w:t>
            </w:r>
          </w:p>
          <w:p w14:paraId="05530E7A">
            <w:pPr>
              <w:pStyle w:val="260"/>
              <w:jc w:val="center"/>
              <w:rPr>
                <w:rFonts w:hint="eastAsia"/>
                <w:sz w:val="24"/>
              </w:rPr>
            </w:pPr>
            <w:r>
              <w:rPr>
                <w:sz w:val="24"/>
              </w:rPr>
              <w:t>主体名称</w:t>
            </w:r>
          </w:p>
        </w:tc>
        <w:tc>
          <w:tcPr>
            <w:tcW w:w="1513" w:type="dxa"/>
            <w:vAlign w:val="center"/>
          </w:tcPr>
          <w:p w14:paraId="5E5F06B5">
            <w:pPr>
              <w:pStyle w:val="260"/>
              <w:jc w:val="center"/>
              <w:rPr>
                <w:rFonts w:hint="eastAsia"/>
                <w:sz w:val="24"/>
                <w:lang w:eastAsia="zh-CN"/>
              </w:rPr>
            </w:pPr>
            <w:r>
              <w:rPr>
                <w:sz w:val="24"/>
                <w:lang w:eastAsia="zh-CN"/>
              </w:rPr>
              <w:t>分包承担</w:t>
            </w:r>
          </w:p>
          <w:p w14:paraId="7E9123EB">
            <w:pPr>
              <w:pStyle w:val="260"/>
              <w:jc w:val="center"/>
              <w:rPr>
                <w:rFonts w:hint="eastAsia"/>
                <w:sz w:val="24"/>
                <w:lang w:eastAsia="zh-CN"/>
              </w:rPr>
            </w:pPr>
            <w:r>
              <w:rPr>
                <w:sz w:val="24"/>
                <w:lang w:eastAsia="zh-CN"/>
              </w:rPr>
              <w:t>主体类型</w:t>
            </w:r>
          </w:p>
          <w:p w14:paraId="211BEA3B">
            <w:pPr>
              <w:pStyle w:val="260"/>
              <w:jc w:val="center"/>
              <w:rPr>
                <w:rFonts w:hint="eastAsia"/>
                <w:sz w:val="24"/>
                <w:lang w:eastAsia="zh-CN"/>
              </w:rPr>
            </w:pPr>
            <w:r>
              <w:rPr>
                <w:rFonts w:hint="eastAsia"/>
                <w:sz w:val="24"/>
                <w:lang w:eastAsia="zh-CN"/>
              </w:rPr>
              <w:t>（勾选）</w:t>
            </w:r>
          </w:p>
        </w:tc>
        <w:tc>
          <w:tcPr>
            <w:tcW w:w="1125" w:type="dxa"/>
            <w:vAlign w:val="center"/>
          </w:tcPr>
          <w:p w14:paraId="46F596A6">
            <w:pPr>
              <w:pStyle w:val="260"/>
              <w:jc w:val="center"/>
              <w:rPr>
                <w:rFonts w:hint="eastAsia"/>
                <w:sz w:val="24"/>
              </w:rPr>
            </w:pPr>
            <w:r>
              <w:rPr>
                <w:sz w:val="24"/>
              </w:rPr>
              <w:t>资质等级</w:t>
            </w:r>
          </w:p>
        </w:tc>
        <w:tc>
          <w:tcPr>
            <w:tcW w:w="1561" w:type="dxa"/>
            <w:vAlign w:val="center"/>
          </w:tcPr>
          <w:p w14:paraId="56A14781">
            <w:pPr>
              <w:pStyle w:val="260"/>
              <w:jc w:val="center"/>
              <w:rPr>
                <w:rFonts w:hint="eastAsia"/>
                <w:sz w:val="24"/>
              </w:rPr>
            </w:pPr>
            <w:r>
              <w:rPr>
                <w:sz w:val="24"/>
              </w:rPr>
              <w:t>拟分包</w:t>
            </w:r>
          </w:p>
          <w:p w14:paraId="0440FA9B">
            <w:pPr>
              <w:pStyle w:val="260"/>
              <w:jc w:val="center"/>
              <w:rPr>
                <w:rFonts w:hint="eastAsia"/>
                <w:sz w:val="24"/>
              </w:rPr>
            </w:pPr>
            <w:r>
              <w:rPr>
                <w:sz w:val="24"/>
              </w:rPr>
              <w:t>合同内容</w:t>
            </w:r>
          </w:p>
        </w:tc>
        <w:tc>
          <w:tcPr>
            <w:tcW w:w="1498" w:type="dxa"/>
            <w:vAlign w:val="center"/>
          </w:tcPr>
          <w:p w14:paraId="4BDABE83">
            <w:pPr>
              <w:pStyle w:val="260"/>
              <w:jc w:val="center"/>
              <w:rPr>
                <w:rFonts w:hint="eastAsia"/>
                <w:sz w:val="24"/>
                <w:lang w:eastAsia="zh-CN"/>
              </w:rPr>
            </w:pPr>
            <w:r>
              <w:rPr>
                <w:sz w:val="24"/>
                <w:lang w:eastAsia="zh-CN"/>
              </w:rPr>
              <w:t>拟分包</w:t>
            </w:r>
          </w:p>
          <w:p w14:paraId="21CB75E4">
            <w:pPr>
              <w:pStyle w:val="260"/>
              <w:jc w:val="center"/>
              <w:rPr>
                <w:rFonts w:hint="eastAsia"/>
                <w:sz w:val="24"/>
                <w:lang w:eastAsia="zh-CN"/>
              </w:rPr>
            </w:pPr>
            <w:r>
              <w:rPr>
                <w:sz w:val="24"/>
                <w:lang w:eastAsia="zh-CN"/>
              </w:rPr>
              <w:t>合同金额</w:t>
            </w:r>
          </w:p>
          <w:p w14:paraId="15767E8D">
            <w:pPr>
              <w:pStyle w:val="260"/>
              <w:jc w:val="center"/>
              <w:rPr>
                <w:rFonts w:hint="eastAsia"/>
                <w:sz w:val="24"/>
                <w:lang w:eastAsia="zh-CN"/>
              </w:rPr>
            </w:pPr>
            <w:r>
              <w:rPr>
                <w:sz w:val="24"/>
                <w:lang w:eastAsia="zh-CN"/>
              </w:rPr>
              <w:t>（人民币元）</w:t>
            </w:r>
          </w:p>
        </w:tc>
        <w:tc>
          <w:tcPr>
            <w:tcW w:w="1564" w:type="dxa"/>
            <w:vAlign w:val="center"/>
          </w:tcPr>
          <w:p w14:paraId="3A2B23B4">
            <w:pPr>
              <w:pStyle w:val="260"/>
              <w:jc w:val="center"/>
              <w:rPr>
                <w:rFonts w:hint="eastAsia"/>
                <w:sz w:val="24"/>
                <w:lang w:eastAsia="zh-CN"/>
              </w:rPr>
            </w:pPr>
            <w:r>
              <w:rPr>
                <w:sz w:val="24"/>
                <w:lang w:eastAsia="zh-CN"/>
              </w:rPr>
              <w:t>占</w:t>
            </w:r>
            <w:r>
              <w:rPr>
                <w:rFonts w:hint="eastAsia"/>
                <w:sz w:val="24"/>
                <w:lang w:eastAsia="zh-CN"/>
              </w:rPr>
              <w:t>该采购包合同</w:t>
            </w:r>
            <w:r>
              <w:rPr>
                <w:sz w:val="24"/>
                <w:lang w:eastAsia="zh-CN"/>
              </w:rPr>
              <w:t>金额的</w:t>
            </w:r>
          </w:p>
          <w:p w14:paraId="56067386">
            <w:pPr>
              <w:pStyle w:val="260"/>
              <w:jc w:val="center"/>
              <w:rPr>
                <w:rFonts w:hint="eastAsia"/>
                <w:sz w:val="24"/>
                <w:lang w:eastAsia="zh-CN"/>
              </w:rPr>
            </w:pPr>
            <w:r>
              <w:rPr>
                <w:sz w:val="24"/>
                <w:lang w:eastAsia="zh-CN"/>
              </w:rPr>
              <w:t>比例</w:t>
            </w:r>
            <w:r>
              <w:rPr>
                <w:rFonts w:hint="eastAsia"/>
                <w:sz w:val="24"/>
                <w:lang w:eastAsia="zh-CN"/>
              </w:rPr>
              <w:t>（</w:t>
            </w:r>
          </w:p>
        </w:tc>
      </w:tr>
      <w:tr w14:paraId="269307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3150FFD">
            <w:pPr>
              <w:pStyle w:val="260"/>
              <w:jc w:val="center"/>
              <w:rPr>
                <w:rFonts w:hint="eastAsia" w:ascii="Times New Roman"/>
                <w:sz w:val="24"/>
              </w:rPr>
            </w:pPr>
            <w:r>
              <w:rPr>
                <w:rFonts w:ascii="Times New Roman"/>
                <w:sz w:val="24"/>
              </w:rPr>
              <w:t>1</w:t>
            </w:r>
          </w:p>
        </w:tc>
        <w:tc>
          <w:tcPr>
            <w:tcW w:w="1287" w:type="dxa"/>
            <w:vAlign w:val="center"/>
          </w:tcPr>
          <w:p w14:paraId="0A1347FC">
            <w:pPr>
              <w:pStyle w:val="260"/>
              <w:jc w:val="center"/>
              <w:rPr>
                <w:rFonts w:ascii="Times New Roman" w:hAnsi="Times New Roman" w:cs="Times New Roman"/>
                <w:sz w:val="30"/>
              </w:rPr>
            </w:pPr>
          </w:p>
        </w:tc>
        <w:tc>
          <w:tcPr>
            <w:tcW w:w="1513" w:type="dxa"/>
            <w:vAlign w:val="center"/>
          </w:tcPr>
          <w:p w14:paraId="20BD57C1">
            <w:pPr>
              <w:pStyle w:val="26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1ADC4C5A">
            <w:pPr>
              <w:pStyle w:val="26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1069C5E1">
            <w:pPr>
              <w:pStyle w:val="260"/>
              <w:jc w:val="center"/>
              <w:rPr>
                <w:rFonts w:hint="eastAsia" w:ascii="Times New Roman"/>
                <w:sz w:val="30"/>
                <w:lang w:eastAsia="zh-CN"/>
              </w:rPr>
            </w:pPr>
          </w:p>
        </w:tc>
        <w:tc>
          <w:tcPr>
            <w:tcW w:w="1561" w:type="dxa"/>
            <w:vAlign w:val="center"/>
          </w:tcPr>
          <w:p w14:paraId="44D91085">
            <w:pPr>
              <w:pStyle w:val="260"/>
              <w:jc w:val="center"/>
              <w:rPr>
                <w:rFonts w:hint="eastAsia" w:ascii="Times New Roman"/>
                <w:sz w:val="30"/>
                <w:lang w:eastAsia="zh-CN"/>
              </w:rPr>
            </w:pPr>
          </w:p>
        </w:tc>
        <w:tc>
          <w:tcPr>
            <w:tcW w:w="1498" w:type="dxa"/>
            <w:vAlign w:val="center"/>
          </w:tcPr>
          <w:p w14:paraId="565B989B">
            <w:pPr>
              <w:pStyle w:val="260"/>
              <w:jc w:val="center"/>
              <w:rPr>
                <w:rFonts w:hint="eastAsia" w:ascii="Times New Roman"/>
                <w:sz w:val="30"/>
                <w:lang w:eastAsia="zh-CN"/>
              </w:rPr>
            </w:pPr>
          </w:p>
        </w:tc>
        <w:tc>
          <w:tcPr>
            <w:tcW w:w="1564" w:type="dxa"/>
            <w:vAlign w:val="center"/>
          </w:tcPr>
          <w:p w14:paraId="12FA476E">
            <w:pPr>
              <w:pStyle w:val="260"/>
              <w:jc w:val="center"/>
              <w:rPr>
                <w:rFonts w:hint="eastAsia" w:ascii="Times New Roman"/>
                <w:sz w:val="30"/>
                <w:lang w:eastAsia="zh-CN"/>
              </w:rPr>
            </w:pPr>
          </w:p>
        </w:tc>
      </w:tr>
      <w:tr w14:paraId="39FCB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71985598">
            <w:pPr>
              <w:pStyle w:val="260"/>
              <w:jc w:val="center"/>
              <w:rPr>
                <w:rFonts w:hint="eastAsia" w:ascii="Times New Roman"/>
                <w:sz w:val="24"/>
                <w:lang w:eastAsia="zh-CN"/>
              </w:rPr>
            </w:pPr>
            <w:r>
              <w:rPr>
                <w:rFonts w:hint="eastAsia" w:ascii="Times New Roman"/>
                <w:sz w:val="24"/>
                <w:lang w:eastAsia="zh-CN"/>
              </w:rPr>
              <w:t>2</w:t>
            </w:r>
          </w:p>
        </w:tc>
        <w:tc>
          <w:tcPr>
            <w:tcW w:w="1287" w:type="dxa"/>
            <w:vAlign w:val="center"/>
          </w:tcPr>
          <w:p w14:paraId="7C18AB91">
            <w:pPr>
              <w:pStyle w:val="260"/>
              <w:jc w:val="center"/>
              <w:rPr>
                <w:rFonts w:hint="eastAsia" w:ascii="Times New Roman"/>
                <w:sz w:val="30"/>
              </w:rPr>
            </w:pPr>
          </w:p>
        </w:tc>
        <w:tc>
          <w:tcPr>
            <w:tcW w:w="1513" w:type="dxa"/>
            <w:vAlign w:val="center"/>
          </w:tcPr>
          <w:p w14:paraId="597AC38C">
            <w:pPr>
              <w:pStyle w:val="26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□小微企业</w:t>
            </w:r>
          </w:p>
          <w:p w14:paraId="55ACC506">
            <w:pPr>
              <w:pStyle w:val="260"/>
              <w:tabs>
                <w:tab w:val="left" w:pos="235"/>
              </w:tabs>
              <w:ind w:left="1" w:leftChars="-43" w:hanging="91" w:hangingChars="38"/>
              <w:jc w:val="center"/>
              <w:rPr>
                <w:rFonts w:ascii="Times New Roman" w:hAnsi="Times New Roman" w:cs="Times New Roman"/>
                <w:sz w:val="24"/>
                <w:lang w:eastAsia="zh-CN"/>
              </w:rPr>
            </w:pPr>
            <w:r>
              <w:rPr>
                <w:rFonts w:ascii="Times New Roman" w:hAnsi="Times New Roman" w:cs="Times New Roman"/>
                <w:sz w:val="24"/>
                <w:lang w:eastAsia="zh-CN"/>
              </w:rPr>
              <w:t>□</w:t>
            </w:r>
            <w:r>
              <w:rPr>
                <w:rFonts w:hint="eastAsia" w:ascii="Times New Roman" w:hAnsi="Times New Roman" w:cs="Times New Roman"/>
                <w:sz w:val="24"/>
                <w:lang w:eastAsia="zh-CN"/>
              </w:rPr>
              <w:t>其他类型</w:t>
            </w:r>
          </w:p>
        </w:tc>
        <w:tc>
          <w:tcPr>
            <w:tcW w:w="1125" w:type="dxa"/>
            <w:vAlign w:val="center"/>
          </w:tcPr>
          <w:p w14:paraId="600F57FC">
            <w:pPr>
              <w:pStyle w:val="260"/>
              <w:jc w:val="center"/>
              <w:rPr>
                <w:rFonts w:hint="eastAsia" w:ascii="Times New Roman"/>
                <w:sz w:val="30"/>
                <w:lang w:eastAsia="zh-CN"/>
              </w:rPr>
            </w:pPr>
          </w:p>
        </w:tc>
        <w:tc>
          <w:tcPr>
            <w:tcW w:w="1561" w:type="dxa"/>
            <w:vAlign w:val="center"/>
          </w:tcPr>
          <w:p w14:paraId="47AF5276">
            <w:pPr>
              <w:pStyle w:val="260"/>
              <w:jc w:val="center"/>
              <w:rPr>
                <w:rFonts w:hint="eastAsia" w:ascii="Times New Roman"/>
                <w:sz w:val="30"/>
                <w:lang w:eastAsia="zh-CN"/>
              </w:rPr>
            </w:pPr>
          </w:p>
        </w:tc>
        <w:tc>
          <w:tcPr>
            <w:tcW w:w="1498" w:type="dxa"/>
            <w:vAlign w:val="center"/>
          </w:tcPr>
          <w:p w14:paraId="2BFB52A2">
            <w:pPr>
              <w:pStyle w:val="260"/>
              <w:jc w:val="center"/>
              <w:rPr>
                <w:rFonts w:hint="eastAsia" w:ascii="Times New Roman"/>
                <w:sz w:val="30"/>
                <w:lang w:eastAsia="zh-CN"/>
              </w:rPr>
            </w:pPr>
          </w:p>
        </w:tc>
        <w:tc>
          <w:tcPr>
            <w:tcW w:w="1564" w:type="dxa"/>
            <w:vAlign w:val="center"/>
          </w:tcPr>
          <w:p w14:paraId="639DDB8E">
            <w:pPr>
              <w:pStyle w:val="260"/>
              <w:jc w:val="center"/>
              <w:rPr>
                <w:rFonts w:hint="eastAsia" w:ascii="Times New Roman"/>
                <w:sz w:val="30"/>
                <w:lang w:eastAsia="zh-CN"/>
              </w:rPr>
            </w:pPr>
          </w:p>
        </w:tc>
      </w:tr>
      <w:tr w14:paraId="4D7EAD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6" w:type="dxa"/>
            <w:vAlign w:val="center"/>
          </w:tcPr>
          <w:p w14:paraId="2E95F0EF">
            <w:pPr>
              <w:pStyle w:val="260"/>
              <w:jc w:val="center"/>
              <w:rPr>
                <w:rFonts w:hint="eastAsia" w:ascii="Times New Roman"/>
                <w:sz w:val="24"/>
                <w:lang w:eastAsia="zh-CN"/>
              </w:rPr>
            </w:pPr>
            <w:r>
              <w:rPr>
                <w:rFonts w:ascii="Times New Roman"/>
                <w:sz w:val="24"/>
                <w:lang w:eastAsia="zh-CN"/>
              </w:rPr>
              <w:t>…</w:t>
            </w:r>
          </w:p>
        </w:tc>
        <w:tc>
          <w:tcPr>
            <w:tcW w:w="1287" w:type="dxa"/>
            <w:vAlign w:val="center"/>
          </w:tcPr>
          <w:p w14:paraId="4948D019">
            <w:pPr>
              <w:pStyle w:val="260"/>
              <w:jc w:val="center"/>
              <w:rPr>
                <w:rFonts w:hint="eastAsia" w:ascii="Times New Roman"/>
                <w:sz w:val="30"/>
              </w:rPr>
            </w:pPr>
          </w:p>
        </w:tc>
        <w:tc>
          <w:tcPr>
            <w:tcW w:w="1513" w:type="dxa"/>
            <w:vAlign w:val="center"/>
          </w:tcPr>
          <w:p w14:paraId="09642FAB">
            <w:pPr>
              <w:pStyle w:val="260"/>
              <w:tabs>
                <w:tab w:val="left" w:pos="235"/>
              </w:tabs>
              <w:jc w:val="center"/>
              <w:rPr>
                <w:rFonts w:hint="eastAsia"/>
                <w:sz w:val="24"/>
              </w:rPr>
            </w:pPr>
          </w:p>
        </w:tc>
        <w:tc>
          <w:tcPr>
            <w:tcW w:w="1125" w:type="dxa"/>
            <w:vAlign w:val="center"/>
          </w:tcPr>
          <w:p w14:paraId="63856BC4">
            <w:pPr>
              <w:pStyle w:val="260"/>
              <w:jc w:val="center"/>
              <w:rPr>
                <w:rFonts w:hint="eastAsia" w:ascii="Times New Roman"/>
                <w:sz w:val="30"/>
              </w:rPr>
            </w:pPr>
          </w:p>
        </w:tc>
        <w:tc>
          <w:tcPr>
            <w:tcW w:w="1561" w:type="dxa"/>
            <w:vAlign w:val="center"/>
          </w:tcPr>
          <w:p w14:paraId="10842455">
            <w:pPr>
              <w:pStyle w:val="260"/>
              <w:jc w:val="center"/>
              <w:rPr>
                <w:rFonts w:hint="eastAsia" w:ascii="Times New Roman"/>
                <w:sz w:val="30"/>
              </w:rPr>
            </w:pPr>
          </w:p>
        </w:tc>
        <w:tc>
          <w:tcPr>
            <w:tcW w:w="1498" w:type="dxa"/>
            <w:vAlign w:val="center"/>
          </w:tcPr>
          <w:p w14:paraId="38729A76">
            <w:pPr>
              <w:pStyle w:val="260"/>
              <w:jc w:val="center"/>
              <w:rPr>
                <w:rFonts w:hint="eastAsia" w:ascii="Times New Roman"/>
                <w:sz w:val="30"/>
              </w:rPr>
            </w:pPr>
          </w:p>
        </w:tc>
        <w:tc>
          <w:tcPr>
            <w:tcW w:w="1564" w:type="dxa"/>
            <w:vAlign w:val="center"/>
          </w:tcPr>
          <w:p w14:paraId="1F9C6295">
            <w:pPr>
              <w:pStyle w:val="260"/>
              <w:jc w:val="center"/>
              <w:rPr>
                <w:rFonts w:hint="eastAsia" w:ascii="Times New Roman"/>
                <w:sz w:val="30"/>
              </w:rPr>
            </w:pPr>
          </w:p>
        </w:tc>
      </w:tr>
      <w:tr w14:paraId="56BC52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2" w:type="dxa"/>
            <w:gridSpan w:val="5"/>
            <w:vAlign w:val="center"/>
          </w:tcPr>
          <w:p w14:paraId="0FC25532">
            <w:pPr>
              <w:pStyle w:val="260"/>
              <w:ind w:right="57" w:rightChars="27"/>
              <w:jc w:val="right"/>
              <w:rPr>
                <w:rFonts w:hint="eastAsia"/>
                <w:sz w:val="24"/>
                <w:lang w:eastAsia="zh-CN"/>
              </w:rPr>
            </w:pPr>
            <w:r>
              <w:rPr>
                <w:rFonts w:hint="eastAsia"/>
                <w:sz w:val="24"/>
                <w:lang w:eastAsia="zh-CN"/>
              </w:rPr>
              <w:t>合计：</w:t>
            </w:r>
          </w:p>
        </w:tc>
        <w:tc>
          <w:tcPr>
            <w:tcW w:w="1498" w:type="dxa"/>
            <w:vAlign w:val="center"/>
          </w:tcPr>
          <w:p w14:paraId="2D4B27D9">
            <w:pPr>
              <w:pStyle w:val="260"/>
              <w:jc w:val="center"/>
              <w:rPr>
                <w:rFonts w:hint="eastAsia" w:ascii="Times New Roman"/>
                <w:sz w:val="30"/>
              </w:rPr>
            </w:pPr>
          </w:p>
        </w:tc>
        <w:tc>
          <w:tcPr>
            <w:tcW w:w="1564" w:type="dxa"/>
            <w:vAlign w:val="center"/>
          </w:tcPr>
          <w:p w14:paraId="37446AA7">
            <w:pPr>
              <w:pStyle w:val="260"/>
              <w:jc w:val="center"/>
              <w:rPr>
                <w:rFonts w:hint="eastAsia" w:ascii="Times New Roman"/>
                <w:sz w:val="30"/>
              </w:rPr>
            </w:pPr>
          </w:p>
        </w:tc>
      </w:tr>
    </w:tbl>
    <w:p w14:paraId="11BD6230">
      <w:pPr>
        <w:adjustRightInd w:val="0"/>
        <w:snapToGrid w:val="0"/>
        <w:spacing w:line="360" w:lineRule="auto"/>
        <w:ind w:firstLine="480" w:firstLineChars="200"/>
        <w:jc w:val="left"/>
        <w:rPr>
          <w:sz w:val="24"/>
        </w:rPr>
      </w:pPr>
    </w:p>
    <w:p w14:paraId="296C9804">
      <w:pPr>
        <w:adjustRightInd w:val="0"/>
        <w:snapToGrid w:val="0"/>
        <w:spacing w:line="360" w:lineRule="auto"/>
        <w:jc w:val="left"/>
        <w:rPr>
          <w:sz w:val="24"/>
        </w:rPr>
      </w:pPr>
      <w:r>
        <w:rPr>
          <w:sz w:val="24"/>
        </w:rPr>
        <w:t>注：</w:t>
      </w:r>
      <w:r>
        <w:rPr>
          <w:color w:val="FF0000"/>
          <w:sz w:val="24"/>
        </w:rPr>
        <w:t xml:space="preserve"> </w:t>
      </w:r>
    </w:p>
    <w:p w14:paraId="46109D5B">
      <w:pPr>
        <w:adjustRightInd w:val="0"/>
        <w:snapToGrid w:val="0"/>
        <w:spacing w:line="360" w:lineRule="auto"/>
        <w:jc w:val="left"/>
        <w:rPr>
          <w:sz w:val="24"/>
        </w:rPr>
      </w:pPr>
      <w:r>
        <w:rPr>
          <w:sz w:val="24"/>
        </w:rPr>
        <w:t>1.本表仅在投标人非因“为落实政府采购政策”而分包时填写；投标人“为落实政府采购政策”而向中小企业分包时请按照《</w:t>
      </w:r>
      <w:r>
        <w:rPr>
          <w:color w:val="000000"/>
          <w:sz w:val="24"/>
          <w:szCs w:val="20"/>
        </w:rPr>
        <w:t>拟分包情况说明及分包意向协议</w:t>
      </w:r>
      <w:r>
        <w:rPr>
          <w:sz w:val="24"/>
        </w:rPr>
        <w:t>》（类型一）要求填写。</w:t>
      </w:r>
    </w:p>
    <w:p w14:paraId="067185FA">
      <w:pPr>
        <w:adjustRightInd w:val="0"/>
        <w:snapToGrid w:val="0"/>
        <w:spacing w:line="360" w:lineRule="auto"/>
        <w:jc w:val="left"/>
        <w:rPr>
          <w:sz w:val="24"/>
        </w:rPr>
      </w:pPr>
      <w:r>
        <w:rPr>
          <w:sz w:val="24"/>
        </w:rPr>
        <w:t>2.如本招标文件《投标人须知资料表》载明本项目分包承担主体应具备的相应资质条件，则投标人须在本表中列明分包承担主体的资质等级，并后附资质证书</w:t>
      </w:r>
      <w:r>
        <w:rPr>
          <w:rFonts w:hint="eastAsia"/>
          <w:sz w:val="24"/>
        </w:rPr>
        <w:t>复印件，</w:t>
      </w:r>
      <w:r>
        <w:rPr>
          <w:sz w:val="24"/>
        </w:rPr>
        <w:t>否则</w:t>
      </w:r>
      <w:r>
        <w:rPr>
          <w:b/>
          <w:sz w:val="24"/>
        </w:rPr>
        <w:t>投标无效</w:t>
      </w:r>
      <w:r>
        <w:rPr>
          <w:sz w:val="24"/>
        </w:rPr>
        <w:t>。</w:t>
      </w:r>
    </w:p>
    <w:p w14:paraId="4C2D7A19">
      <w:pPr>
        <w:adjustRightInd w:val="0"/>
        <w:snapToGrid w:val="0"/>
        <w:spacing w:line="360" w:lineRule="auto"/>
        <w:jc w:val="left"/>
        <w:rPr>
          <w:sz w:val="24"/>
        </w:rPr>
      </w:pPr>
    </w:p>
    <w:p w14:paraId="07B1E65B">
      <w:pPr>
        <w:adjustRightInd w:val="0"/>
        <w:snapToGrid w:val="0"/>
        <w:spacing w:line="360" w:lineRule="auto"/>
        <w:jc w:val="left"/>
        <w:rPr>
          <w:sz w:val="24"/>
        </w:rPr>
      </w:pPr>
    </w:p>
    <w:p w14:paraId="4EDED94B">
      <w:pPr>
        <w:adjustRightInd w:val="0"/>
        <w:snapToGrid w:val="0"/>
        <w:spacing w:line="360" w:lineRule="auto"/>
        <w:ind w:firstLine="480" w:firstLineChars="200"/>
        <w:jc w:val="right"/>
        <w:rPr>
          <w:sz w:val="24"/>
        </w:rPr>
      </w:pPr>
      <w:r>
        <w:rPr>
          <w:sz w:val="24"/>
        </w:rPr>
        <w:t>投标人名称（盖章）：______</w:t>
      </w:r>
    </w:p>
    <w:p w14:paraId="564300D7">
      <w:pPr>
        <w:adjustRightInd w:val="0"/>
        <w:snapToGrid w:val="0"/>
        <w:spacing w:line="360" w:lineRule="auto"/>
        <w:ind w:firstLine="480" w:firstLineChars="200"/>
        <w:jc w:val="right"/>
        <w:rPr>
          <w:sz w:val="24"/>
        </w:rPr>
      </w:pPr>
      <w:r>
        <w:rPr>
          <w:color w:val="000000"/>
          <w:sz w:val="24"/>
        </w:rPr>
        <w:t>日期：_____年______月______日</w:t>
      </w:r>
    </w:p>
    <w:p w14:paraId="638415D7">
      <w:pPr>
        <w:spacing w:line="360" w:lineRule="auto"/>
        <w:rPr>
          <w:b/>
          <w:color w:val="000000"/>
          <w:sz w:val="24"/>
        </w:rPr>
      </w:pPr>
    </w:p>
    <w:p w14:paraId="5D46BBDC">
      <w:pPr>
        <w:spacing w:line="360" w:lineRule="auto"/>
        <w:outlineLvl w:val="2"/>
        <w:rPr>
          <w:rFonts w:hint="eastAsia" w:ascii="宋体" w:hAnsi="宋体"/>
          <w:color w:val="000000"/>
          <w:sz w:val="24"/>
          <w:szCs w:val="20"/>
        </w:rPr>
      </w:pPr>
      <w:r>
        <w:rPr>
          <w:color w:val="000000"/>
          <w:sz w:val="24"/>
          <w:szCs w:val="20"/>
        </w:rPr>
        <w:br w:type="page"/>
      </w:r>
    </w:p>
    <w:p w14:paraId="36F86687">
      <w:pPr>
        <w:spacing w:line="360" w:lineRule="auto"/>
        <w:outlineLvl w:val="2"/>
        <w:rPr>
          <w:rFonts w:hint="eastAsia" w:ascii="宋体" w:hAnsi="宋体"/>
          <w:color w:val="000000"/>
          <w:sz w:val="24"/>
          <w:szCs w:val="20"/>
        </w:rPr>
      </w:pPr>
      <w:r>
        <w:rPr>
          <w:rFonts w:ascii="宋体" w:hAnsi="宋体"/>
          <w:color w:val="000000"/>
          <w:sz w:val="24"/>
          <w:szCs w:val="20"/>
        </w:rPr>
        <w:t>10  招标文件要求提供或投标人认为应附的其他材料</w:t>
      </w:r>
    </w:p>
    <w:p w14:paraId="096C7067">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 xml:space="preserve">10-1 供应商信息采集表 </w:t>
      </w:r>
    </w:p>
    <w:tbl>
      <w:tblPr>
        <w:tblStyle w:val="4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340CF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020E1A8">
            <w:pPr>
              <w:pStyle w:val="104"/>
              <w:rPr>
                <w:sz w:val="24"/>
                <w:szCs w:val="24"/>
              </w:rPr>
            </w:pPr>
            <w:r>
              <w:rPr>
                <w:rFonts w:hint="eastAsia"/>
                <w:sz w:val="24"/>
                <w:szCs w:val="24"/>
              </w:rPr>
              <w:t>供应商名称</w:t>
            </w:r>
          </w:p>
        </w:tc>
        <w:tc>
          <w:tcPr>
            <w:tcW w:w="3096" w:type="dxa"/>
          </w:tcPr>
          <w:p w14:paraId="287DB363">
            <w:pPr>
              <w:pStyle w:val="104"/>
              <w:rPr>
                <w:sz w:val="24"/>
                <w:szCs w:val="24"/>
              </w:rPr>
            </w:pPr>
            <w:r>
              <w:rPr>
                <w:rFonts w:hint="eastAsia"/>
                <w:sz w:val="24"/>
                <w:szCs w:val="24"/>
              </w:rPr>
              <w:t>供应商所属性别</w:t>
            </w:r>
          </w:p>
        </w:tc>
        <w:tc>
          <w:tcPr>
            <w:tcW w:w="3096" w:type="dxa"/>
          </w:tcPr>
          <w:p w14:paraId="7957B022">
            <w:pPr>
              <w:pStyle w:val="104"/>
              <w:rPr>
                <w:sz w:val="24"/>
                <w:szCs w:val="24"/>
              </w:rPr>
            </w:pPr>
            <w:r>
              <w:rPr>
                <w:rFonts w:hint="eastAsia"/>
                <w:sz w:val="24"/>
                <w:szCs w:val="24"/>
              </w:rPr>
              <w:t>外商投资类型</w:t>
            </w:r>
          </w:p>
        </w:tc>
      </w:tr>
      <w:tr w14:paraId="03928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0E05A6B">
            <w:pPr>
              <w:pStyle w:val="104"/>
              <w:rPr>
                <w:sz w:val="24"/>
                <w:szCs w:val="24"/>
              </w:rPr>
            </w:pPr>
          </w:p>
        </w:tc>
        <w:tc>
          <w:tcPr>
            <w:tcW w:w="3096" w:type="dxa"/>
          </w:tcPr>
          <w:p w14:paraId="69F9BB72">
            <w:pPr>
              <w:pStyle w:val="104"/>
              <w:rPr>
                <w:sz w:val="24"/>
                <w:szCs w:val="24"/>
              </w:rPr>
            </w:pPr>
          </w:p>
        </w:tc>
        <w:tc>
          <w:tcPr>
            <w:tcW w:w="3096" w:type="dxa"/>
          </w:tcPr>
          <w:p w14:paraId="2C98F8EE">
            <w:pPr>
              <w:pStyle w:val="104"/>
              <w:rPr>
                <w:sz w:val="24"/>
                <w:szCs w:val="24"/>
              </w:rPr>
            </w:pPr>
          </w:p>
        </w:tc>
      </w:tr>
      <w:tr w14:paraId="297C7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75B4BFD">
            <w:pPr>
              <w:pStyle w:val="104"/>
              <w:rPr>
                <w:sz w:val="24"/>
                <w:szCs w:val="24"/>
              </w:rPr>
            </w:pPr>
          </w:p>
        </w:tc>
        <w:tc>
          <w:tcPr>
            <w:tcW w:w="3096" w:type="dxa"/>
          </w:tcPr>
          <w:p w14:paraId="747EE30D">
            <w:pPr>
              <w:pStyle w:val="104"/>
              <w:rPr>
                <w:sz w:val="24"/>
                <w:szCs w:val="24"/>
              </w:rPr>
            </w:pPr>
          </w:p>
        </w:tc>
        <w:tc>
          <w:tcPr>
            <w:tcW w:w="3096" w:type="dxa"/>
          </w:tcPr>
          <w:p w14:paraId="42D96820">
            <w:pPr>
              <w:pStyle w:val="104"/>
              <w:rPr>
                <w:sz w:val="24"/>
                <w:szCs w:val="24"/>
              </w:rPr>
            </w:pPr>
          </w:p>
        </w:tc>
      </w:tr>
      <w:tr w14:paraId="538DA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7F8A374">
            <w:pPr>
              <w:pStyle w:val="104"/>
              <w:rPr>
                <w:sz w:val="24"/>
                <w:szCs w:val="24"/>
              </w:rPr>
            </w:pPr>
          </w:p>
        </w:tc>
        <w:tc>
          <w:tcPr>
            <w:tcW w:w="3096" w:type="dxa"/>
          </w:tcPr>
          <w:p w14:paraId="08A35A42">
            <w:pPr>
              <w:pStyle w:val="104"/>
              <w:rPr>
                <w:sz w:val="24"/>
                <w:szCs w:val="24"/>
              </w:rPr>
            </w:pPr>
          </w:p>
        </w:tc>
        <w:tc>
          <w:tcPr>
            <w:tcW w:w="3096" w:type="dxa"/>
          </w:tcPr>
          <w:p w14:paraId="7DCA4388">
            <w:pPr>
              <w:pStyle w:val="104"/>
              <w:rPr>
                <w:sz w:val="24"/>
                <w:szCs w:val="24"/>
              </w:rPr>
            </w:pPr>
          </w:p>
        </w:tc>
      </w:tr>
    </w:tbl>
    <w:p w14:paraId="7BB42FA9">
      <w:pPr>
        <w:pStyle w:val="104"/>
        <w:ind w:firstLine="0"/>
      </w:pPr>
    </w:p>
    <w:p w14:paraId="4A956AB8">
      <w:pPr>
        <w:widowControl/>
        <w:jc w:val="left"/>
        <w:rPr>
          <w:rFonts w:hint="eastAsia" w:ascii="宋体" w:hAnsi="宋体" w:cs="宋体"/>
          <w:color w:val="000000"/>
          <w:kern w:val="0"/>
          <w:sz w:val="24"/>
          <w:lang w:bidi="ar"/>
        </w:rPr>
      </w:pPr>
      <w:r>
        <w:rPr>
          <w:rFonts w:hint="eastAsia" w:ascii="宋体" w:hAnsi="宋体" w:cs="宋体"/>
          <w:color w:val="000000"/>
          <w:kern w:val="0"/>
          <w:sz w:val="24"/>
          <w:lang w:bidi="ar"/>
        </w:rPr>
        <w:t>注：</w:t>
      </w:r>
    </w:p>
    <w:p w14:paraId="612BE64A">
      <w:pPr>
        <w:widowControl/>
        <w:jc w:val="left"/>
        <w:rPr>
          <w:rFonts w:hint="eastAsia" w:ascii="宋体" w:hAnsi="宋体" w:cs="宋体"/>
        </w:rPr>
      </w:pPr>
      <w:r>
        <w:rPr>
          <w:rFonts w:hint="eastAsia" w:ascii="宋体" w:hAnsi="宋体" w:cs="宋体"/>
          <w:color w:val="000000"/>
          <w:kern w:val="0"/>
          <w:sz w:val="24"/>
          <w:lang w:bidi="ar"/>
        </w:rPr>
        <w:t xml:space="preserve">1.供应商如为联合体，则应填写联合体各成员信息。 </w:t>
      </w:r>
    </w:p>
    <w:p w14:paraId="6C2E8FBA">
      <w:pPr>
        <w:widowControl/>
        <w:jc w:val="left"/>
        <w:rPr>
          <w:rFonts w:hint="eastAsia" w:ascii="宋体" w:hAnsi="宋体" w:cs="宋体"/>
        </w:rPr>
      </w:pPr>
      <w:r>
        <w:rPr>
          <w:rFonts w:hint="eastAsia" w:ascii="宋体" w:hAnsi="宋体" w:cs="宋体"/>
          <w:color w:val="000000"/>
          <w:kern w:val="0"/>
          <w:sz w:val="24"/>
          <w:lang w:bidi="ar"/>
        </w:rPr>
        <w:t xml:space="preserve">2.供应商所属性别请填写“男”或“女”，指拥有供应商 51%以上绝对所有权的性别； </w:t>
      </w:r>
    </w:p>
    <w:p w14:paraId="514CD385">
      <w:pPr>
        <w:widowControl/>
        <w:jc w:val="left"/>
        <w:rPr>
          <w:rFonts w:hint="eastAsia" w:ascii="宋体" w:hAnsi="宋体" w:cs="宋体"/>
        </w:rPr>
      </w:pPr>
      <w:r>
        <w:rPr>
          <w:rFonts w:hint="eastAsia" w:ascii="宋体" w:hAnsi="宋体" w:cs="宋体"/>
          <w:color w:val="000000"/>
          <w:kern w:val="0"/>
          <w:sz w:val="24"/>
          <w:lang w:bidi="ar"/>
        </w:rPr>
        <w:t xml:space="preserve">绝对所有权拥有者可以是一个人，也可以是多人合计计算。 </w:t>
      </w:r>
    </w:p>
    <w:p w14:paraId="0B5B8663">
      <w:pPr>
        <w:widowControl/>
        <w:jc w:val="left"/>
        <w:rPr>
          <w:rFonts w:hint="eastAsia" w:ascii="宋体" w:hAnsi="宋体" w:cs="宋体"/>
        </w:rPr>
      </w:pPr>
      <w:r>
        <w:rPr>
          <w:rFonts w:hint="eastAsia" w:ascii="宋体" w:hAnsi="宋体" w:cs="宋体"/>
          <w:color w:val="000000"/>
          <w:kern w:val="0"/>
          <w:sz w:val="24"/>
          <w:lang w:bidi="ar"/>
        </w:rPr>
        <w:t>3.外商投资类型请填写“外商单独投资”、“外商部分投资”或“内资”。</w:t>
      </w:r>
    </w:p>
    <w:p w14:paraId="0D6DD0ED">
      <w:pPr>
        <w:widowControl/>
        <w:spacing w:line="360" w:lineRule="auto"/>
        <w:jc w:val="left"/>
        <w:rPr>
          <w:rFonts w:hint="eastAsia" w:ascii="宋体" w:hAnsi="宋体"/>
          <w:b/>
          <w:sz w:val="36"/>
          <w:szCs w:val="36"/>
        </w:rPr>
      </w:pPr>
    </w:p>
    <w:sectPr>
      <w:pgSz w:w="11907" w:h="16840"/>
      <w:pgMar w:top="1418" w:right="1134" w:bottom="1418" w:left="1701" w:header="851" w:footer="851" w:gutter="0"/>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ˎ̥">
    <w:altName w:val="微软雅黑"/>
    <w:panose1 w:val="00000000000000000000"/>
    <w:charset w:val="00"/>
    <w:family w:val="roman"/>
    <w:pitch w:val="default"/>
    <w:sig w:usb0="00000000" w:usb1="00000000" w:usb2="00000000" w:usb3="00000000" w:csb0="00000000" w:csb1="00000000"/>
  </w:font>
  <w:font w:name="微软雅黑">
    <w:panose1 w:val="020B0503020204020204"/>
    <w:charset w:val="86"/>
    <w:family w:val="auto"/>
    <w:pitch w:val="default"/>
    <w:sig w:usb0="80000287" w:usb1="2ACF3C50" w:usb2="00000016" w:usb3="00000000" w:csb0="0004001F" w:csb1="00000000"/>
  </w:font>
  <w:font w:name="Arial Unicode MS">
    <w:panose1 w:val="020B0604020202020204"/>
    <w:charset w:val="86"/>
    <w:family w:val="swiss"/>
    <w:pitch w:val="default"/>
    <w:sig w:usb0="FFFFFFFF" w:usb1="E9FFFFFF"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panose1 w:val="020B0502020202020204"/>
    <w:charset w:val="00"/>
    <w:family w:val="swiss"/>
    <w:pitch w:val="default"/>
    <w:sig w:usb0="00000287" w:usb1="00000000" w:usb2="00000000" w:usb3="00000000" w:csb0="2000009F" w:csb1="DFD70000"/>
  </w:font>
  <w:font w:name="华文楷体">
    <w:panose1 w:val="02010600040101010101"/>
    <w:charset w:val="86"/>
    <w:family w:val="auto"/>
    <w:pitch w:val="default"/>
    <w:sig w:usb0="00000287" w:usb1="080F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F801C2">
    <w:pPr>
      <w:pStyle w:val="29"/>
      <w:framePr w:wrap="around" w:vAnchor="text" w:hAnchor="margin" w:y="1"/>
      <w:ind w:right="360"/>
      <w:rPr>
        <w:rStyle w:val="50"/>
      </w:rPr>
    </w:pPr>
  </w:p>
  <w:p w14:paraId="61683ADA">
    <w:pPr>
      <w:pStyle w:val="29"/>
      <w:ind w:right="360" w:firstLine="360"/>
      <w:jc w:val="right"/>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9DE628">
    <w:pPr>
      <w:pStyle w:val="2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301592">
    <w:pPr>
      <w:pStyle w:val="29"/>
      <w:framePr w:wrap="around" w:vAnchor="text" w:hAnchor="margin" w:xAlign="center" w:y="1"/>
      <w:rPr>
        <w:rStyle w:val="50"/>
      </w:rPr>
    </w:pPr>
    <w:r>
      <w:fldChar w:fldCharType="begin"/>
    </w:r>
    <w:r>
      <w:rPr>
        <w:rStyle w:val="50"/>
      </w:rPr>
      <w:instrText xml:space="preserve">PAGE  </w:instrText>
    </w:r>
    <w:r>
      <w:fldChar w:fldCharType="end"/>
    </w:r>
  </w:p>
  <w:p w14:paraId="73B87B0C">
    <w:pPr>
      <w:pStyle w:val="29"/>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98A99C">
    <w:pPr>
      <w:pStyle w:val="29"/>
      <w:framePr w:wrap="around" w:vAnchor="text" w:hAnchor="margin" w:xAlign="right" w:y="1"/>
      <w:rPr>
        <w:rStyle w:val="50"/>
      </w:rPr>
    </w:pPr>
  </w:p>
  <w:p w14:paraId="6DAF9744">
    <w:pPr>
      <w:pStyle w:val="29"/>
      <w:ind w:right="360"/>
      <w:jc w:val="righ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A1281E">
    <w:pPr>
      <w:pStyle w:val="29"/>
      <w:jc w:val="center"/>
    </w:pPr>
    <w:r>
      <w:rPr>
        <w:rFonts w:ascii="Times New Roman"/>
      </w:rPr>
      <w:fldChar w:fldCharType="begin"/>
    </w:r>
    <w:r>
      <w:rPr>
        <w:rFonts w:ascii="Times New Roman"/>
      </w:rPr>
      <w:instrText xml:space="preserve">PAGE   \* MERGEFORMAT</w:instrText>
    </w:r>
    <w:r>
      <w:rPr>
        <w:rFonts w:ascii="Times New Roman"/>
      </w:rPr>
      <w:fldChar w:fldCharType="separate"/>
    </w:r>
    <w:r>
      <w:rPr>
        <w:rFonts w:ascii="Times New Roman"/>
        <w:lang w:val="zh-CN"/>
      </w:rPr>
      <w:t>39</w:t>
    </w:r>
    <w:r>
      <w:rPr>
        <w:rFonts w:ascii="Times New Roman"/>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7567A8">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1F166FD9">
    <w:pPr>
      <w:pStyle w:val="29"/>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878AD">
    <w:pPr>
      <w:pStyle w:val="29"/>
      <w:jc w:val="center"/>
    </w:pPr>
    <w:r>
      <w:fldChar w:fldCharType="begin"/>
    </w:r>
    <w:r>
      <w:instrText xml:space="preserve">PAGE   \* MERGEFORMAT</w:instrText>
    </w:r>
    <w:r>
      <w:fldChar w:fldCharType="separate"/>
    </w:r>
    <w:r>
      <w:rPr>
        <w:lang w:val="zh-CN"/>
      </w:rPr>
      <w:t>2</w:t>
    </w:r>
    <w:r>
      <w:fldChar w:fldCharType="end"/>
    </w:r>
  </w:p>
  <w:p w14:paraId="326A51F3">
    <w:pPr>
      <w:pStyle w:val="29"/>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A66FE2">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501EDBE3">
    <w:pPr>
      <w:pStyle w:val="29"/>
      <w:ind w:right="360"/>
    </w:pPr>
  </w:p>
  <w:p w14:paraId="4AE66270"/>
  <w:p w14:paraId="27288022"/>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F1C12">
    <w:pPr>
      <w:pStyle w:val="29"/>
    </w:pPr>
  </w:p>
  <w:p w14:paraId="23FC588A"/>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0E4D">
    <w:pPr>
      <w:pStyle w:val="29"/>
      <w:framePr w:wrap="around" w:vAnchor="text" w:hAnchor="margin" w:xAlign="right" w:y="1"/>
      <w:rPr>
        <w:rStyle w:val="50"/>
      </w:rPr>
    </w:pPr>
    <w:r>
      <w:rPr>
        <w:rStyle w:val="50"/>
      </w:rPr>
      <w:fldChar w:fldCharType="begin"/>
    </w:r>
    <w:r>
      <w:rPr>
        <w:rStyle w:val="50"/>
      </w:rPr>
      <w:instrText xml:space="preserve">PAGE  </w:instrText>
    </w:r>
    <w:r>
      <w:rPr>
        <w:rStyle w:val="50"/>
      </w:rPr>
      <w:fldChar w:fldCharType="end"/>
    </w:r>
  </w:p>
  <w:p w14:paraId="6CAC8832">
    <w:pPr>
      <w:pStyle w:val="29"/>
      <w:ind w:right="360"/>
    </w:pPr>
  </w:p>
  <w:p w14:paraId="31F1D968"/>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A51BB8">
    <w:pPr>
      <w:pStyle w:val="30"/>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11879F">
    <w:pPr>
      <w:pStyle w:val="3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4FC1B6">
    <w:pPr>
      <w:pStyle w:val="3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C6C2A5">
    <w:pPr>
      <w:pStyle w:val="30"/>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746FA1">
    <w:pPr>
      <w:pStyle w:val="30"/>
      <w:jc w:val="right"/>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E83A6">
    <w:pPr>
      <w:pStyle w:val="30"/>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C825F8">
    <w:pPr>
      <w:pStyle w:val="30"/>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157889">
    <w:pPr>
      <w:pStyle w:val="30"/>
    </w:pPr>
  </w:p>
  <w:p w14:paraId="3ABDC47C"/>
  <w:p w14:paraId="43201AD5"/>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C031FB">
    <w:pPr>
      <w:pStyle w:val="30"/>
    </w:pPr>
  </w:p>
  <w:p w14:paraId="4EC31E1E"/>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9A9567">
    <w:pPr>
      <w:pStyle w:val="30"/>
    </w:pPr>
  </w:p>
  <w:p w14:paraId="4A6267C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6BC116"/>
    <w:multiLevelType w:val="singleLevel"/>
    <w:tmpl w:val="BF6BC116"/>
    <w:lvl w:ilvl="0" w:tentative="0">
      <w:start w:val="16"/>
      <w:numFmt w:val="decimal"/>
      <w:suff w:val="space"/>
      <w:lvlText w:val="%1."/>
      <w:lvlJc w:val="left"/>
    </w:lvl>
  </w:abstractNum>
  <w:abstractNum w:abstractNumId="1">
    <w:nsid w:val="DDECD3BC"/>
    <w:multiLevelType w:val="singleLevel"/>
    <w:tmpl w:val="DDECD3BC"/>
    <w:lvl w:ilvl="0" w:tentative="0">
      <w:start w:val="6"/>
      <w:numFmt w:val="decimal"/>
      <w:suff w:val="space"/>
      <w:lvlText w:val="%1."/>
      <w:lvlJc w:val="left"/>
    </w:lvl>
  </w:abstractNum>
  <w:abstractNum w:abstractNumId="2">
    <w:nsid w:val="DE759F4B"/>
    <w:multiLevelType w:val="singleLevel"/>
    <w:tmpl w:val="DE759F4B"/>
    <w:lvl w:ilvl="0" w:tentative="0">
      <w:start w:val="2"/>
      <w:numFmt w:val="decimal"/>
      <w:suff w:val="space"/>
      <w:lvlText w:val="%1."/>
      <w:lvlJc w:val="left"/>
    </w:lvl>
  </w:abstractNum>
  <w:abstractNum w:abstractNumId="3">
    <w:nsid w:val="DEABE1DB"/>
    <w:multiLevelType w:val="singleLevel"/>
    <w:tmpl w:val="DEABE1DB"/>
    <w:lvl w:ilvl="0" w:tentative="0">
      <w:start w:val="23"/>
      <w:numFmt w:val="decimal"/>
      <w:suff w:val="space"/>
      <w:lvlText w:val="%1."/>
      <w:lvlJc w:val="left"/>
    </w:lvl>
  </w:abstractNum>
  <w:abstractNum w:abstractNumId="4">
    <w:nsid w:val="FFEFC674"/>
    <w:multiLevelType w:val="singleLevel"/>
    <w:tmpl w:val="FFEFC674"/>
    <w:lvl w:ilvl="0" w:tentative="0">
      <w:start w:val="1"/>
      <w:numFmt w:val="decimal"/>
      <w:suff w:val="nothing"/>
      <w:lvlText w:val="（%1）"/>
      <w:lvlJc w:val="left"/>
    </w:lvl>
  </w:abstractNum>
  <w:abstractNum w:abstractNumId="5">
    <w:nsid w:val="0000000A"/>
    <w:multiLevelType w:val="multilevel"/>
    <w:tmpl w:val="0000000A"/>
    <w:lvl w:ilvl="0" w:tentative="0">
      <w:start w:val="1"/>
      <w:numFmt w:val="decimal"/>
      <w:pStyle w:val="122"/>
      <w:lvlText w:val="%1."/>
      <w:lvlJc w:val="left"/>
      <w:pPr>
        <w:ind w:left="420" w:hanging="420"/>
      </w:pPr>
    </w:lvl>
    <w:lvl w:ilvl="1" w:tentative="0">
      <w:start w:val="1"/>
      <w:numFmt w:val="decimal"/>
      <w:lvlText w:val="（%2）"/>
      <w:lvlJc w:val="left"/>
      <w:pPr>
        <w:tabs>
          <w:tab w:val="left" w:pos="1140"/>
        </w:tabs>
        <w:ind w:left="1140" w:hanging="7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000000D"/>
    <w:multiLevelType w:val="multilevel"/>
    <w:tmpl w:val="0000000D"/>
    <w:lvl w:ilvl="0" w:tentative="0">
      <w:start w:val="1"/>
      <w:numFmt w:val="lowerLetter"/>
      <w:pStyle w:val="197"/>
      <w:lvlText w:val="%1)"/>
      <w:lvlJc w:val="left"/>
      <w:pPr>
        <w:ind w:left="902" w:hanging="420"/>
      </w:pPr>
      <w:rPr>
        <w:color w:val="auto"/>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7">
    <w:nsid w:val="00000013"/>
    <w:multiLevelType w:val="singleLevel"/>
    <w:tmpl w:val="00000013"/>
    <w:lvl w:ilvl="0" w:tentative="0">
      <w:start w:val="1"/>
      <w:numFmt w:val="decimal"/>
      <w:pStyle w:val="167"/>
      <w:lvlText w:val="%1."/>
      <w:lvlJc w:val="left"/>
      <w:pPr>
        <w:tabs>
          <w:tab w:val="left" w:pos="360"/>
        </w:tabs>
        <w:ind w:left="360" w:hanging="360"/>
      </w:pPr>
      <w:rPr>
        <w:rFonts w:hint="default"/>
      </w:rPr>
    </w:lvl>
  </w:abstractNum>
  <w:abstractNum w:abstractNumId="8">
    <w:nsid w:val="00000026"/>
    <w:multiLevelType w:val="multilevel"/>
    <w:tmpl w:val="00000026"/>
    <w:lvl w:ilvl="0" w:tentative="0">
      <w:start w:val="1"/>
      <w:numFmt w:val="decimal"/>
      <w:pStyle w:val="116"/>
      <w:isLgl/>
      <w:suff w:val="nothing"/>
      <w:lvlText w:val="%1　"/>
      <w:lvlJc w:val="left"/>
      <w:pPr>
        <w:ind w:left="-25" w:firstLine="0"/>
      </w:pPr>
      <w:rPr>
        <w:rFonts w:hint="default" w:ascii="Times New Roman" w:hAnsi="Times New Roman" w:eastAsia="宋体"/>
        <w:b/>
        <w:i w:val="0"/>
        <w:color w:val="auto"/>
        <w:sz w:val="28"/>
        <w:u w:val="none"/>
      </w:rPr>
    </w:lvl>
    <w:lvl w:ilvl="1" w:tentative="0">
      <w:start w:val="1"/>
      <w:numFmt w:val="decimal"/>
      <w:pStyle w:val="115"/>
      <w:isLgl/>
      <w:suff w:val="nothing"/>
      <w:lvlText w:val="%1.%2　"/>
      <w:lvlJc w:val="left"/>
      <w:pPr>
        <w:ind w:left="-25" w:firstLine="0"/>
      </w:pPr>
      <w:rPr>
        <w:rFonts w:hint="default" w:ascii="Times New Roman" w:hAnsi="Times New Roman" w:eastAsia="宋体"/>
        <w:b/>
        <w:i w:val="0"/>
        <w:snapToGrid/>
        <w:color w:val="auto"/>
        <w:spacing w:val="0"/>
        <w:w w:val="100"/>
        <w:kern w:val="21"/>
        <w:sz w:val="28"/>
        <w:u w:val="none"/>
      </w:rPr>
    </w:lvl>
    <w:lvl w:ilvl="2" w:tentative="0">
      <w:start w:val="1"/>
      <w:numFmt w:val="decimal"/>
      <w:isLgl/>
      <w:suff w:val="nothing"/>
      <w:lvlText w:val="%1.%2.%3　"/>
      <w:lvlJc w:val="left"/>
      <w:pPr>
        <w:ind w:left="-25" w:firstLine="0"/>
      </w:pPr>
      <w:rPr>
        <w:rFonts w:hint="default" w:ascii="Times New Roman" w:hAnsi="Times New Roman" w:eastAsia="黑体"/>
        <w:b/>
        <w:i w:val="0"/>
        <w:sz w:val="28"/>
      </w:rPr>
    </w:lvl>
    <w:lvl w:ilvl="3" w:tentative="0">
      <w:start w:val="1"/>
      <w:numFmt w:val="decimal"/>
      <w:pStyle w:val="152"/>
      <w:isLgl/>
      <w:suff w:val="nothing"/>
      <w:lvlText w:val="%1.%2.%3.%4　"/>
      <w:lvlJc w:val="left"/>
      <w:pPr>
        <w:ind w:left="-25" w:firstLine="0"/>
      </w:pPr>
      <w:rPr>
        <w:rFonts w:hint="default" w:ascii="Times New Roman" w:hAnsi="Times New Roman" w:eastAsia="宋体"/>
        <w:b/>
        <w:i w:val="0"/>
        <w:color w:val="auto"/>
        <w:sz w:val="28"/>
        <w:u w:val="none"/>
      </w:rPr>
    </w:lvl>
    <w:lvl w:ilvl="4" w:tentative="0">
      <w:start w:val="1"/>
      <w:numFmt w:val="decimal"/>
      <w:pStyle w:val="151"/>
      <w:isLgl/>
      <w:suff w:val="nothing"/>
      <w:lvlText w:val="%1.%2.%3.%4.%5　"/>
      <w:lvlJc w:val="left"/>
      <w:pPr>
        <w:ind w:left="-25" w:firstLine="0"/>
      </w:pPr>
      <w:rPr>
        <w:rFonts w:hint="default" w:ascii="Times New Roman" w:hAnsi="Times New Roman" w:eastAsia="宋体"/>
        <w:b/>
        <w:i w:val="0"/>
        <w:color w:val="auto"/>
        <w:sz w:val="28"/>
        <w:u w:val="none"/>
      </w:rPr>
    </w:lvl>
    <w:lvl w:ilvl="5" w:tentative="0">
      <w:start w:val="1"/>
      <w:numFmt w:val="decimal"/>
      <w:pStyle w:val="160"/>
      <w:isLgl/>
      <w:suff w:val="nothing"/>
      <w:lvlText w:val="%1.%2.%3.%4.%5.%6　"/>
      <w:lvlJc w:val="left"/>
      <w:pPr>
        <w:ind w:left="-25" w:firstLine="0"/>
      </w:pPr>
      <w:rPr>
        <w:rFonts w:hint="default" w:ascii="Times New Roman" w:hAnsi="Times New Roman" w:eastAsia="宋体"/>
        <w:b/>
        <w:i w:val="0"/>
        <w:sz w:val="28"/>
      </w:rPr>
    </w:lvl>
    <w:lvl w:ilvl="6" w:tentative="0">
      <w:start w:val="1"/>
      <w:numFmt w:val="lowerLetter"/>
      <w:pStyle w:val="173"/>
      <w:lvlText w:val="%7) "/>
      <w:lvlJc w:val="left"/>
      <w:pPr>
        <w:tabs>
          <w:tab w:val="left" w:pos="635"/>
        </w:tabs>
        <w:ind w:left="-125" w:firstLine="400"/>
      </w:pPr>
      <w:rPr>
        <w:rFonts w:hint="default" w:ascii="Times New Roman" w:hAnsi="Times New Roman" w:eastAsia="宋体"/>
        <w:b/>
        <w:i w:val="0"/>
        <w:color w:val="auto"/>
        <w:sz w:val="28"/>
        <w:u w:val="none"/>
      </w:rPr>
    </w:lvl>
    <w:lvl w:ilvl="7" w:tentative="0">
      <w:start w:val="1"/>
      <w:numFmt w:val="decimal"/>
      <w:pStyle w:val="136"/>
      <w:lvlText w:val="%8) "/>
      <w:lvlJc w:val="left"/>
      <w:pPr>
        <w:tabs>
          <w:tab w:val="left" w:pos="860"/>
        </w:tabs>
        <w:ind w:left="500" w:firstLine="0"/>
      </w:pPr>
      <w:rPr>
        <w:rFonts w:hint="default" w:ascii="Times New Roman" w:hAnsi="Times New Roman" w:eastAsia="宋体"/>
        <w:b/>
        <w:i w:val="0"/>
        <w:color w:val="auto"/>
        <w:sz w:val="28"/>
        <w:u w:val="none"/>
      </w:rPr>
    </w:lvl>
    <w:lvl w:ilvl="8" w:tentative="0">
      <w:start w:val="1"/>
      <w:numFmt w:val="none"/>
      <w:lvlText w:val="%9"/>
      <w:lvlJc w:val="left"/>
      <w:pPr>
        <w:tabs>
          <w:tab w:val="left" w:pos="860"/>
        </w:tabs>
        <w:ind w:left="500" w:firstLine="0"/>
      </w:pPr>
      <w:rPr>
        <w:rFonts w:hint="eastAsia" w:ascii="宋体" w:eastAsia="宋体"/>
        <w:b w:val="0"/>
        <w:i w:val="0"/>
        <w:color w:val="auto"/>
        <w:sz w:val="28"/>
        <w:u w:val="none"/>
      </w:rPr>
    </w:lvl>
  </w:abstractNum>
  <w:abstractNum w:abstractNumId="9">
    <w:nsid w:val="00000028"/>
    <w:multiLevelType w:val="multilevel"/>
    <w:tmpl w:val="00000028"/>
    <w:lvl w:ilvl="0" w:tentative="0">
      <w:start w:val="1"/>
      <w:numFmt w:val="decimal"/>
      <w:lvlText w:val="%1．"/>
      <w:lvlJc w:val="left"/>
      <w:pPr>
        <w:tabs>
          <w:tab w:val="left" w:pos="768"/>
        </w:tabs>
        <w:ind w:left="768" w:hanging="360"/>
      </w:pPr>
      <w:rPr>
        <w:rFonts w:hint="eastAsia"/>
      </w:rPr>
    </w:lvl>
    <w:lvl w:ilvl="1" w:tentative="0">
      <w:start w:val="1"/>
      <w:numFmt w:val="decimal"/>
      <w:pStyle w:val="154"/>
      <w:lvlText w:val="%2、"/>
      <w:lvlJc w:val="left"/>
      <w:pPr>
        <w:tabs>
          <w:tab w:val="left" w:pos="1188"/>
        </w:tabs>
        <w:ind w:left="1188" w:hanging="360"/>
      </w:pPr>
      <w:rPr>
        <w:rFonts w:hint="eastAsia"/>
      </w:rPr>
    </w:lvl>
    <w:lvl w:ilvl="2" w:tentative="0">
      <w:start w:val="1"/>
      <w:numFmt w:val="decimal"/>
      <w:lvlText w:val="（%3）"/>
      <w:lvlJc w:val="left"/>
      <w:pPr>
        <w:tabs>
          <w:tab w:val="left" w:pos="1968"/>
        </w:tabs>
        <w:ind w:left="1968" w:hanging="720"/>
      </w:pPr>
      <w:rPr>
        <w:rFonts w:hint="eastAsia"/>
        <w:u w:val="none"/>
      </w:rPr>
    </w:lvl>
    <w:lvl w:ilvl="3" w:tentative="0">
      <w:start w:val="1"/>
      <w:numFmt w:val="decimal"/>
      <w:lvlText w:val="%4."/>
      <w:lvlJc w:val="left"/>
      <w:pPr>
        <w:tabs>
          <w:tab w:val="left" w:pos="2088"/>
        </w:tabs>
        <w:ind w:left="2088" w:hanging="420"/>
      </w:pPr>
    </w:lvl>
    <w:lvl w:ilvl="4" w:tentative="0">
      <w:start w:val="1"/>
      <w:numFmt w:val="lowerLetter"/>
      <w:lvlText w:val="%5)"/>
      <w:lvlJc w:val="left"/>
      <w:pPr>
        <w:tabs>
          <w:tab w:val="left" w:pos="2508"/>
        </w:tabs>
        <w:ind w:left="2508" w:hanging="420"/>
      </w:pPr>
    </w:lvl>
    <w:lvl w:ilvl="5" w:tentative="0">
      <w:start w:val="1"/>
      <w:numFmt w:val="lowerRoman"/>
      <w:lvlText w:val="%6."/>
      <w:lvlJc w:val="right"/>
      <w:pPr>
        <w:tabs>
          <w:tab w:val="left" w:pos="2928"/>
        </w:tabs>
        <w:ind w:left="2928" w:hanging="420"/>
      </w:pPr>
    </w:lvl>
    <w:lvl w:ilvl="6" w:tentative="0">
      <w:start w:val="1"/>
      <w:numFmt w:val="decimal"/>
      <w:lvlText w:val="%7."/>
      <w:lvlJc w:val="left"/>
      <w:pPr>
        <w:tabs>
          <w:tab w:val="left" w:pos="3348"/>
        </w:tabs>
        <w:ind w:left="3348" w:hanging="420"/>
      </w:pPr>
    </w:lvl>
    <w:lvl w:ilvl="7" w:tentative="0">
      <w:start w:val="1"/>
      <w:numFmt w:val="lowerLetter"/>
      <w:lvlText w:val="%8)"/>
      <w:lvlJc w:val="left"/>
      <w:pPr>
        <w:tabs>
          <w:tab w:val="left" w:pos="3768"/>
        </w:tabs>
        <w:ind w:left="3768" w:hanging="420"/>
      </w:pPr>
    </w:lvl>
    <w:lvl w:ilvl="8" w:tentative="0">
      <w:start w:val="1"/>
      <w:numFmt w:val="lowerRoman"/>
      <w:lvlText w:val="%9."/>
      <w:lvlJc w:val="right"/>
      <w:pPr>
        <w:tabs>
          <w:tab w:val="left" w:pos="4188"/>
        </w:tabs>
        <w:ind w:left="4188" w:hanging="420"/>
      </w:pPr>
    </w:lvl>
  </w:abstractNum>
  <w:abstractNum w:abstractNumId="10">
    <w:nsid w:val="0000002F"/>
    <w:multiLevelType w:val="multilevel"/>
    <w:tmpl w:val="0000002F"/>
    <w:lvl w:ilvl="0" w:tentative="0">
      <w:start w:val="1"/>
      <w:numFmt w:val="decimal"/>
      <w:pStyle w:val="121"/>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0E230849"/>
    <w:multiLevelType w:val="multilevel"/>
    <w:tmpl w:val="0E230849"/>
    <w:lvl w:ilvl="0" w:tentative="0">
      <w:start w:val="1"/>
      <w:numFmt w:val="decimal"/>
      <w:pStyle w:val="222"/>
      <w:lvlText w:val="%1"/>
      <w:lvlJc w:val="left"/>
      <w:pPr>
        <w:ind w:left="680" w:hanging="680"/>
      </w:pPr>
      <w:rPr>
        <w:rFonts w:hint="eastAsia" w:ascii="宋体" w:hAnsi="宋体" w:eastAsia="宋体"/>
      </w:rPr>
    </w:lvl>
    <w:lvl w:ilvl="1" w:tentative="0">
      <w:start w:val="1"/>
      <w:numFmt w:val="decimal"/>
      <w:pStyle w:val="223"/>
      <w:lvlText w:val="%1.%2"/>
      <w:lvlJc w:val="left"/>
      <w:pPr>
        <w:ind w:left="851" w:hanging="851"/>
      </w:pPr>
      <w:rPr>
        <w:rFonts w:hint="eastAsia" w:ascii="宋体" w:hAnsi="宋体" w:eastAsia="宋体"/>
        <w:color w:val="auto"/>
      </w:rPr>
    </w:lvl>
    <w:lvl w:ilvl="2" w:tentative="0">
      <w:start w:val="1"/>
      <w:numFmt w:val="decimal"/>
      <w:pStyle w:val="224"/>
      <w:lvlText w:val="%1.%2.%3"/>
      <w:lvlJc w:val="left"/>
      <w:pPr>
        <w:ind w:left="851" w:hanging="851"/>
      </w:pPr>
      <w:rPr>
        <w:rFonts w:hint="eastAsia"/>
      </w:rPr>
    </w:lvl>
    <w:lvl w:ilvl="3" w:tentative="0">
      <w:start w:val="1"/>
      <w:numFmt w:val="decimal"/>
      <w:lvlText w:val="%1.%2.%3.%4"/>
      <w:lvlJc w:val="left"/>
      <w:pPr>
        <w:ind w:left="680" w:hanging="680"/>
      </w:pPr>
      <w:rPr>
        <w:rFonts w:hint="eastAsia"/>
      </w:rPr>
    </w:lvl>
    <w:lvl w:ilvl="4" w:tentative="0">
      <w:start w:val="1"/>
      <w:numFmt w:val="decimal"/>
      <w:lvlText w:val="%1.%2.%3.%4.%5"/>
      <w:lvlJc w:val="left"/>
      <w:pPr>
        <w:ind w:left="680" w:hanging="680"/>
      </w:pPr>
      <w:rPr>
        <w:rFonts w:hint="eastAsia"/>
      </w:rPr>
    </w:lvl>
    <w:lvl w:ilvl="5" w:tentative="0">
      <w:start w:val="1"/>
      <w:numFmt w:val="decimal"/>
      <w:lvlText w:val="%1.%2.%3.%4.%5.%6"/>
      <w:lvlJc w:val="left"/>
      <w:pPr>
        <w:ind w:left="680" w:hanging="680"/>
      </w:pPr>
      <w:rPr>
        <w:rFonts w:hint="eastAsia"/>
      </w:rPr>
    </w:lvl>
    <w:lvl w:ilvl="6" w:tentative="0">
      <w:start w:val="1"/>
      <w:numFmt w:val="decimal"/>
      <w:lvlText w:val="%1.%2.%3.%4.%5.%6.%7"/>
      <w:lvlJc w:val="left"/>
      <w:pPr>
        <w:ind w:left="680" w:hanging="680"/>
      </w:pPr>
      <w:rPr>
        <w:rFonts w:hint="eastAsia"/>
      </w:rPr>
    </w:lvl>
    <w:lvl w:ilvl="7" w:tentative="0">
      <w:start w:val="1"/>
      <w:numFmt w:val="decimal"/>
      <w:lvlText w:val="%1.%2.%3.%4.%5.%6.%7.%8"/>
      <w:lvlJc w:val="left"/>
      <w:pPr>
        <w:ind w:left="680" w:hanging="680"/>
      </w:pPr>
      <w:rPr>
        <w:rFonts w:hint="eastAsia"/>
      </w:rPr>
    </w:lvl>
    <w:lvl w:ilvl="8" w:tentative="0">
      <w:start w:val="1"/>
      <w:numFmt w:val="decimal"/>
      <w:lvlText w:val="%1.%2.%3.%4.%5.%6.%7.%8.%9"/>
      <w:lvlJc w:val="left"/>
      <w:pPr>
        <w:ind w:left="680" w:hanging="680"/>
      </w:pPr>
      <w:rPr>
        <w:rFonts w:hint="eastAsia"/>
      </w:rPr>
    </w:lvl>
  </w:abstractNum>
  <w:abstractNum w:abstractNumId="12">
    <w:nsid w:val="7A0F6431"/>
    <w:multiLevelType w:val="singleLevel"/>
    <w:tmpl w:val="7A0F6431"/>
    <w:lvl w:ilvl="0" w:tentative="0">
      <w:start w:val="1"/>
      <w:numFmt w:val="decimal"/>
      <w:suff w:val="space"/>
      <w:lvlText w:val="%1."/>
      <w:lvlJc w:val="left"/>
    </w:lvl>
  </w:abstractNum>
  <w:num w:numId="1">
    <w:abstractNumId w:val="8"/>
  </w:num>
  <w:num w:numId="2">
    <w:abstractNumId w:val="10"/>
  </w:num>
  <w:num w:numId="3">
    <w:abstractNumId w:val="5"/>
  </w:num>
  <w:num w:numId="4">
    <w:abstractNumId w:val="9"/>
  </w:num>
  <w:num w:numId="5">
    <w:abstractNumId w:val="7"/>
  </w:num>
  <w:num w:numId="6">
    <w:abstractNumId w:val="6"/>
  </w:num>
  <w:num w:numId="7">
    <w:abstractNumId w:val="11"/>
  </w:num>
  <w:num w:numId="8">
    <w:abstractNumId w:val="12"/>
  </w:num>
  <w:num w:numId="9">
    <w:abstractNumId w:val="4"/>
  </w:num>
  <w:num w:numId="10">
    <w:abstractNumId w:val="2"/>
  </w:num>
  <w:num w:numId="11">
    <w:abstractNumId w:val="1"/>
  </w:num>
  <w:num w:numId="12">
    <w:abstractNumId w:val="0"/>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IVE" w:val="03年范本稿123.doc"/>
    <w:docVar w:name="VTCASE" w:val="4"/>
    <w:docVar w:name="VTCommandPending" w:val="NONE"/>
  </w:docVars>
  <w:rsids>
    <w:rsidRoot w:val="00172A27"/>
    <w:rsid w:val="00000277"/>
    <w:rsid w:val="000002C4"/>
    <w:rsid w:val="00000368"/>
    <w:rsid w:val="00000432"/>
    <w:rsid w:val="00000448"/>
    <w:rsid w:val="00000905"/>
    <w:rsid w:val="00000CCE"/>
    <w:rsid w:val="00000DF5"/>
    <w:rsid w:val="00000E1A"/>
    <w:rsid w:val="00000F3F"/>
    <w:rsid w:val="00001711"/>
    <w:rsid w:val="00001895"/>
    <w:rsid w:val="00001948"/>
    <w:rsid w:val="00001B32"/>
    <w:rsid w:val="00001F9C"/>
    <w:rsid w:val="000020BD"/>
    <w:rsid w:val="0000218D"/>
    <w:rsid w:val="00002208"/>
    <w:rsid w:val="0000240B"/>
    <w:rsid w:val="000026F7"/>
    <w:rsid w:val="0000279B"/>
    <w:rsid w:val="000027EB"/>
    <w:rsid w:val="00002944"/>
    <w:rsid w:val="00002F3D"/>
    <w:rsid w:val="00002FE1"/>
    <w:rsid w:val="00003279"/>
    <w:rsid w:val="0000334E"/>
    <w:rsid w:val="00003626"/>
    <w:rsid w:val="00003711"/>
    <w:rsid w:val="00003804"/>
    <w:rsid w:val="000039FD"/>
    <w:rsid w:val="00003A41"/>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F1"/>
    <w:rsid w:val="00005DF0"/>
    <w:rsid w:val="00005EC8"/>
    <w:rsid w:val="000060A7"/>
    <w:rsid w:val="000064B2"/>
    <w:rsid w:val="00006923"/>
    <w:rsid w:val="00006BD5"/>
    <w:rsid w:val="00006CD1"/>
    <w:rsid w:val="00006CD3"/>
    <w:rsid w:val="000073B1"/>
    <w:rsid w:val="000073E8"/>
    <w:rsid w:val="00007598"/>
    <w:rsid w:val="0000781A"/>
    <w:rsid w:val="00007A5A"/>
    <w:rsid w:val="00007AC6"/>
    <w:rsid w:val="00007DA4"/>
    <w:rsid w:val="00010010"/>
    <w:rsid w:val="000100A2"/>
    <w:rsid w:val="000100B6"/>
    <w:rsid w:val="000104BA"/>
    <w:rsid w:val="000106FC"/>
    <w:rsid w:val="00010763"/>
    <w:rsid w:val="000109FC"/>
    <w:rsid w:val="00010BAC"/>
    <w:rsid w:val="00010DA9"/>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DAB"/>
    <w:rsid w:val="00013FB5"/>
    <w:rsid w:val="00014156"/>
    <w:rsid w:val="0001416B"/>
    <w:rsid w:val="000141D5"/>
    <w:rsid w:val="00014444"/>
    <w:rsid w:val="00014851"/>
    <w:rsid w:val="000149E0"/>
    <w:rsid w:val="00014B0E"/>
    <w:rsid w:val="00014D98"/>
    <w:rsid w:val="00014F83"/>
    <w:rsid w:val="00015030"/>
    <w:rsid w:val="00015094"/>
    <w:rsid w:val="000151D7"/>
    <w:rsid w:val="00015316"/>
    <w:rsid w:val="000154B9"/>
    <w:rsid w:val="00015645"/>
    <w:rsid w:val="000157C2"/>
    <w:rsid w:val="00015D38"/>
    <w:rsid w:val="0001606B"/>
    <w:rsid w:val="000160FB"/>
    <w:rsid w:val="000163AA"/>
    <w:rsid w:val="00016644"/>
    <w:rsid w:val="00016776"/>
    <w:rsid w:val="000168D9"/>
    <w:rsid w:val="000169A7"/>
    <w:rsid w:val="00016E72"/>
    <w:rsid w:val="000173B8"/>
    <w:rsid w:val="0001745D"/>
    <w:rsid w:val="00017521"/>
    <w:rsid w:val="00017666"/>
    <w:rsid w:val="00017674"/>
    <w:rsid w:val="00017736"/>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66"/>
    <w:rsid w:val="0002210E"/>
    <w:rsid w:val="0002216A"/>
    <w:rsid w:val="0002217C"/>
    <w:rsid w:val="000221D5"/>
    <w:rsid w:val="000222D0"/>
    <w:rsid w:val="00022354"/>
    <w:rsid w:val="000223C3"/>
    <w:rsid w:val="00022526"/>
    <w:rsid w:val="00022562"/>
    <w:rsid w:val="000227F5"/>
    <w:rsid w:val="00022BE1"/>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543"/>
    <w:rsid w:val="00025BF3"/>
    <w:rsid w:val="00025DA9"/>
    <w:rsid w:val="00026353"/>
    <w:rsid w:val="00026693"/>
    <w:rsid w:val="000267C8"/>
    <w:rsid w:val="00026845"/>
    <w:rsid w:val="00026AAC"/>
    <w:rsid w:val="00026D3D"/>
    <w:rsid w:val="00026F4A"/>
    <w:rsid w:val="00027028"/>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665"/>
    <w:rsid w:val="00033692"/>
    <w:rsid w:val="000336C3"/>
    <w:rsid w:val="000337D2"/>
    <w:rsid w:val="00033A69"/>
    <w:rsid w:val="0003416B"/>
    <w:rsid w:val="000342A7"/>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018"/>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066"/>
    <w:rsid w:val="0004221A"/>
    <w:rsid w:val="000422C8"/>
    <w:rsid w:val="00042453"/>
    <w:rsid w:val="000424A2"/>
    <w:rsid w:val="00042558"/>
    <w:rsid w:val="000426DE"/>
    <w:rsid w:val="0004276D"/>
    <w:rsid w:val="0004277A"/>
    <w:rsid w:val="00042934"/>
    <w:rsid w:val="00042AC7"/>
    <w:rsid w:val="00042BAD"/>
    <w:rsid w:val="00042C3E"/>
    <w:rsid w:val="00042FD2"/>
    <w:rsid w:val="000430EE"/>
    <w:rsid w:val="0004311D"/>
    <w:rsid w:val="000431B4"/>
    <w:rsid w:val="0004336D"/>
    <w:rsid w:val="000436E2"/>
    <w:rsid w:val="00043A61"/>
    <w:rsid w:val="00043B1C"/>
    <w:rsid w:val="00043C68"/>
    <w:rsid w:val="00043D59"/>
    <w:rsid w:val="00043DD6"/>
    <w:rsid w:val="00043FF1"/>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70D5"/>
    <w:rsid w:val="00047207"/>
    <w:rsid w:val="00047479"/>
    <w:rsid w:val="000476F9"/>
    <w:rsid w:val="00047889"/>
    <w:rsid w:val="0004790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61F"/>
    <w:rsid w:val="00051756"/>
    <w:rsid w:val="000517DD"/>
    <w:rsid w:val="0005182E"/>
    <w:rsid w:val="0005191F"/>
    <w:rsid w:val="0005192B"/>
    <w:rsid w:val="00051C52"/>
    <w:rsid w:val="00052978"/>
    <w:rsid w:val="00052D2A"/>
    <w:rsid w:val="00052FD2"/>
    <w:rsid w:val="00053251"/>
    <w:rsid w:val="000535E6"/>
    <w:rsid w:val="00053635"/>
    <w:rsid w:val="00053890"/>
    <w:rsid w:val="00053AC5"/>
    <w:rsid w:val="00053B80"/>
    <w:rsid w:val="0005434F"/>
    <w:rsid w:val="00054540"/>
    <w:rsid w:val="000547CF"/>
    <w:rsid w:val="000548B1"/>
    <w:rsid w:val="00054A1D"/>
    <w:rsid w:val="00054B62"/>
    <w:rsid w:val="00054CED"/>
    <w:rsid w:val="00054DCB"/>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7AB"/>
    <w:rsid w:val="0005682F"/>
    <w:rsid w:val="000568DE"/>
    <w:rsid w:val="00056B27"/>
    <w:rsid w:val="00056E70"/>
    <w:rsid w:val="0005707E"/>
    <w:rsid w:val="000570D7"/>
    <w:rsid w:val="0005717B"/>
    <w:rsid w:val="000571B5"/>
    <w:rsid w:val="00057274"/>
    <w:rsid w:val="00057373"/>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224"/>
    <w:rsid w:val="0006142A"/>
    <w:rsid w:val="00061819"/>
    <w:rsid w:val="00061DD1"/>
    <w:rsid w:val="00061EF5"/>
    <w:rsid w:val="00061F68"/>
    <w:rsid w:val="000620CE"/>
    <w:rsid w:val="0006234D"/>
    <w:rsid w:val="00062474"/>
    <w:rsid w:val="0006280B"/>
    <w:rsid w:val="00062854"/>
    <w:rsid w:val="00062E2E"/>
    <w:rsid w:val="000630BA"/>
    <w:rsid w:val="0006314D"/>
    <w:rsid w:val="0006336F"/>
    <w:rsid w:val="000633D6"/>
    <w:rsid w:val="000634A5"/>
    <w:rsid w:val="00063AB9"/>
    <w:rsid w:val="00063B74"/>
    <w:rsid w:val="000640A5"/>
    <w:rsid w:val="00064564"/>
    <w:rsid w:val="000645FE"/>
    <w:rsid w:val="000649EC"/>
    <w:rsid w:val="00064E03"/>
    <w:rsid w:val="00064E78"/>
    <w:rsid w:val="00065020"/>
    <w:rsid w:val="00065240"/>
    <w:rsid w:val="00065259"/>
    <w:rsid w:val="0006579F"/>
    <w:rsid w:val="000659A7"/>
    <w:rsid w:val="00065B6B"/>
    <w:rsid w:val="00065C44"/>
    <w:rsid w:val="00065C5F"/>
    <w:rsid w:val="00065FDC"/>
    <w:rsid w:val="00066242"/>
    <w:rsid w:val="00066347"/>
    <w:rsid w:val="00066568"/>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90B"/>
    <w:rsid w:val="00070998"/>
    <w:rsid w:val="00070ADD"/>
    <w:rsid w:val="00070BB9"/>
    <w:rsid w:val="0007103D"/>
    <w:rsid w:val="00071223"/>
    <w:rsid w:val="00071356"/>
    <w:rsid w:val="00071D3C"/>
    <w:rsid w:val="00071DF6"/>
    <w:rsid w:val="00071FFA"/>
    <w:rsid w:val="0007206F"/>
    <w:rsid w:val="000720B4"/>
    <w:rsid w:val="00072449"/>
    <w:rsid w:val="000725F4"/>
    <w:rsid w:val="000726DA"/>
    <w:rsid w:val="000729EE"/>
    <w:rsid w:val="00072B28"/>
    <w:rsid w:val="00072BC1"/>
    <w:rsid w:val="00072CC1"/>
    <w:rsid w:val="00072E30"/>
    <w:rsid w:val="00072F0B"/>
    <w:rsid w:val="000730C3"/>
    <w:rsid w:val="0007344E"/>
    <w:rsid w:val="00073590"/>
    <w:rsid w:val="0007376E"/>
    <w:rsid w:val="0007378B"/>
    <w:rsid w:val="00073C70"/>
    <w:rsid w:val="00073DE7"/>
    <w:rsid w:val="00073F86"/>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02E"/>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31C"/>
    <w:rsid w:val="00081713"/>
    <w:rsid w:val="000817A1"/>
    <w:rsid w:val="00081948"/>
    <w:rsid w:val="00081952"/>
    <w:rsid w:val="00081A21"/>
    <w:rsid w:val="00081F82"/>
    <w:rsid w:val="00082322"/>
    <w:rsid w:val="0008234E"/>
    <w:rsid w:val="00082377"/>
    <w:rsid w:val="00082994"/>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ACC"/>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4EAA"/>
    <w:rsid w:val="000950F5"/>
    <w:rsid w:val="00095435"/>
    <w:rsid w:val="000956AB"/>
    <w:rsid w:val="000956BA"/>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236"/>
    <w:rsid w:val="000A06D5"/>
    <w:rsid w:val="000A08FB"/>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DE6"/>
    <w:rsid w:val="000A1F58"/>
    <w:rsid w:val="000A2051"/>
    <w:rsid w:val="000A2497"/>
    <w:rsid w:val="000A2DA2"/>
    <w:rsid w:val="000A2DAE"/>
    <w:rsid w:val="000A2E01"/>
    <w:rsid w:val="000A34BA"/>
    <w:rsid w:val="000A34F3"/>
    <w:rsid w:val="000A38B4"/>
    <w:rsid w:val="000A3D00"/>
    <w:rsid w:val="000A3FFB"/>
    <w:rsid w:val="000A414A"/>
    <w:rsid w:val="000A41F4"/>
    <w:rsid w:val="000A4570"/>
    <w:rsid w:val="000A4578"/>
    <w:rsid w:val="000A4A3B"/>
    <w:rsid w:val="000A4DA3"/>
    <w:rsid w:val="000A4F98"/>
    <w:rsid w:val="000A539A"/>
    <w:rsid w:val="000A54ED"/>
    <w:rsid w:val="000A5506"/>
    <w:rsid w:val="000A5577"/>
    <w:rsid w:val="000A5754"/>
    <w:rsid w:val="000A5860"/>
    <w:rsid w:val="000A5902"/>
    <w:rsid w:val="000A5978"/>
    <w:rsid w:val="000A5D65"/>
    <w:rsid w:val="000A5E91"/>
    <w:rsid w:val="000A5EAC"/>
    <w:rsid w:val="000A60F3"/>
    <w:rsid w:val="000A6A43"/>
    <w:rsid w:val="000A6D69"/>
    <w:rsid w:val="000A6F72"/>
    <w:rsid w:val="000A6F99"/>
    <w:rsid w:val="000A6FE6"/>
    <w:rsid w:val="000A721F"/>
    <w:rsid w:val="000A77E9"/>
    <w:rsid w:val="000A79A7"/>
    <w:rsid w:val="000A7ACC"/>
    <w:rsid w:val="000A7D7F"/>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2097"/>
    <w:rsid w:val="000B21DC"/>
    <w:rsid w:val="000B224F"/>
    <w:rsid w:val="000B2362"/>
    <w:rsid w:val="000B2473"/>
    <w:rsid w:val="000B2535"/>
    <w:rsid w:val="000B2E06"/>
    <w:rsid w:val="000B2E78"/>
    <w:rsid w:val="000B2F43"/>
    <w:rsid w:val="000B330A"/>
    <w:rsid w:val="000B394D"/>
    <w:rsid w:val="000B3B3B"/>
    <w:rsid w:val="000B3FFC"/>
    <w:rsid w:val="000B3FFE"/>
    <w:rsid w:val="000B43F5"/>
    <w:rsid w:val="000B43FB"/>
    <w:rsid w:val="000B4569"/>
    <w:rsid w:val="000B45D7"/>
    <w:rsid w:val="000B4721"/>
    <w:rsid w:val="000B4993"/>
    <w:rsid w:val="000B4A43"/>
    <w:rsid w:val="000B4EA9"/>
    <w:rsid w:val="000B4FDF"/>
    <w:rsid w:val="000B5054"/>
    <w:rsid w:val="000B5182"/>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578"/>
    <w:rsid w:val="000C463D"/>
    <w:rsid w:val="000C4681"/>
    <w:rsid w:val="000C48A6"/>
    <w:rsid w:val="000C4985"/>
    <w:rsid w:val="000C4C98"/>
    <w:rsid w:val="000C4E0C"/>
    <w:rsid w:val="000C4E9E"/>
    <w:rsid w:val="000C4F33"/>
    <w:rsid w:val="000C4F74"/>
    <w:rsid w:val="000C4FA4"/>
    <w:rsid w:val="000C5166"/>
    <w:rsid w:val="000C516C"/>
    <w:rsid w:val="000C5319"/>
    <w:rsid w:val="000C537F"/>
    <w:rsid w:val="000C53CE"/>
    <w:rsid w:val="000C54E9"/>
    <w:rsid w:val="000C555D"/>
    <w:rsid w:val="000C5B28"/>
    <w:rsid w:val="000C5ED7"/>
    <w:rsid w:val="000C5F12"/>
    <w:rsid w:val="000C6043"/>
    <w:rsid w:val="000C6211"/>
    <w:rsid w:val="000C655D"/>
    <w:rsid w:val="000C692E"/>
    <w:rsid w:val="000C69D5"/>
    <w:rsid w:val="000C6D78"/>
    <w:rsid w:val="000C6EBF"/>
    <w:rsid w:val="000C6F06"/>
    <w:rsid w:val="000C70D6"/>
    <w:rsid w:val="000C76DD"/>
    <w:rsid w:val="000C7E46"/>
    <w:rsid w:val="000D02EB"/>
    <w:rsid w:val="000D0723"/>
    <w:rsid w:val="000D07F4"/>
    <w:rsid w:val="000D0D09"/>
    <w:rsid w:val="000D0E8B"/>
    <w:rsid w:val="000D0F36"/>
    <w:rsid w:val="000D0F46"/>
    <w:rsid w:val="000D11FA"/>
    <w:rsid w:val="000D144A"/>
    <w:rsid w:val="000D16DF"/>
    <w:rsid w:val="000D1A8A"/>
    <w:rsid w:val="000D1AC6"/>
    <w:rsid w:val="000D1B84"/>
    <w:rsid w:val="000D1D24"/>
    <w:rsid w:val="000D1FED"/>
    <w:rsid w:val="000D21FE"/>
    <w:rsid w:val="000D248C"/>
    <w:rsid w:val="000D25C5"/>
    <w:rsid w:val="000D25DD"/>
    <w:rsid w:val="000D26A3"/>
    <w:rsid w:val="000D26C9"/>
    <w:rsid w:val="000D279E"/>
    <w:rsid w:val="000D281B"/>
    <w:rsid w:val="000D2828"/>
    <w:rsid w:val="000D2C0F"/>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249"/>
    <w:rsid w:val="000E0865"/>
    <w:rsid w:val="000E0994"/>
    <w:rsid w:val="000E09FF"/>
    <w:rsid w:val="000E10BC"/>
    <w:rsid w:val="000E11BF"/>
    <w:rsid w:val="000E1232"/>
    <w:rsid w:val="000E1253"/>
    <w:rsid w:val="000E12D6"/>
    <w:rsid w:val="000E131A"/>
    <w:rsid w:val="000E1590"/>
    <w:rsid w:val="000E1859"/>
    <w:rsid w:val="000E1C30"/>
    <w:rsid w:val="000E1CCF"/>
    <w:rsid w:val="000E208B"/>
    <w:rsid w:val="000E2137"/>
    <w:rsid w:val="000E2595"/>
    <w:rsid w:val="000E2961"/>
    <w:rsid w:val="000E2A71"/>
    <w:rsid w:val="000E2C27"/>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E9"/>
    <w:rsid w:val="000E5525"/>
    <w:rsid w:val="000E554E"/>
    <w:rsid w:val="000E57D3"/>
    <w:rsid w:val="000E5E9B"/>
    <w:rsid w:val="000E60DC"/>
    <w:rsid w:val="000E62CE"/>
    <w:rsid w:val="000E62D4"/>
    <w:rsid w:val="000E62F5"/>
    <w:rsid w:val="000E6382"/>
    <w:rsid w:val="000E678B"/>
    <w:rsid w:val="000E6A44"/>
    <w:rsid w:val="000E700A"/>
    <w:rsid w:val="000E7231"/>
    <w:rsid w:val="000E7316"/>
    <w:rsid w:val="000E74CA"/>
    <w:rsid w:val="000E753B"/>
    <w:rsid w:val="000E77B6"/>
    <w:rsid w:val="000E7838"/>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7AF"/>
    <w:rsid w:val="000F181A"/>
    <w:rsid w:val="000F1D4D"/>
    <w:rsid w:val="000F2136"/>
    <w:rsid w:val="000F229F"/>
    <w:rsid w:val="000F2348"/>
    <w:rsid w:val="000F2381"/>
    <w:rsid w:val="000F240D"/>
    <w:rsid w:val="000F2592"/>
    <w:rsid w:val="000F2EF2"/>
    <w:rsid w:val="000F2F92"/>
    <w:rsid w:val="000F3518"/>
    <w:rsid w:val="000F37A3"/>
    <w:rsid w:val="000F3843"/>
    <w:rsid w:val="000F385E"/>
    <w:rsid w:val="000F3C18"/>
    <w:rsid w:val="000F3C91"/>
    <w:rsid w:val="000F3D72"/>
    <w:rsid w:val="000F42A6"/>
    <w:rsid w:val="000F4378"/>
    <w:rsid w:val="000F43EF"/>
    <w:rsid w:val="000F4413"/>
    <w:rsid w:val="000F44ED"/>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2CF"/>
    <w:rsid w:val="000F636C"/>
    <w:rsid w:val="000F64E1"/>
    <w:rsid w:val="000F66A1"/>
    <w:rsid w:val="000F67F0"/>
    <w:rsid w:val="000F6CE4"/>
    <w:rsid w:val="000F6FB2"/>
    <w:rsid w:val="000F72E1"/>
    <w:rsid w:val="000F736E"/>
    <w:rsid w:val="000F738E"/>
    <w:rsid w:val="000F74AB"/>
    <w:rsid w:val="000F74D5"/>
    <w:rsid w:val="000F7671"/>
    <w:rsid w:val="000F775A"/>
    <w:rsid w:val="000F7A59"/>
    <w:rsid w:val="000F7C70"/>
    <w:rsid w:val="000F7E2B"/>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137"/>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1C1"/>
    <w:rsid w:val="00106284"/>
    <w:rsid w:val="0010635B"/>
    <w:rsid w:val="00106636"/>
    <w:rsid w:val="00106A5A"/>
    <w:rsid w:val="00106D64"/>
    <w:rsid w:val="00106E02"/>
    <w:rsid w:val="00107187"/>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39D"/>
    <w:rsid w:val="0011199A"/>
    <w:rsid w:val="00111AB0"/>
    <w:rsid w:val="00111B72"/>
    <w:rsid w:val="00111BB5"/>
    <w:rsid w:val="00111D5C"/>
    <w:rsid w:val="00111DD5"/>
    <w:rsid w:val="0011204B"/>
    <w:rsid w:val="00112212"/>
    <w:rsid w:val="0011261B"/>
    <w:rsid w:val="00112659"/>
    <w:rsid w:val="00112A73"/>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D97"/>
    <w:rsid w:val="001151F2"/>
    <w:rsid w:val="00115763"/>
    <w:rsid w:val="00115942"/>
    <w:rsid w:val="00115943"/>
    <w:rsid w:val="00115979"/>
    <w:rsid w:val="00115A3B"/>
    <w:rsid w:val="00115A7A"/>
    <w:rsid w:val="00115BEF"/>
    <w:rsid w:val="00115CAE"/>
    <w:rsid w:val="001160B0"/>
    <w:rsid w:val="001160FB"/>
    <w:rsid w:val="0011665B"/>
    <w:rsid w:val="001167AC"/>
    <w:rsid w:val="00116B52"/>
    <w:rsid w:val="00116C62"/>
    <w:rsid w:val="00116D7F"/>
    <w:rsid w:val="00117108"/>
    <w:rsid w:val="00117175"/>
    <w:rsid w:val="00117253"/>
    <w:rsid w:val="00117358"/>
    <w:rsid w:val="001174DD"/>
    <w:rsid w:val="00117635"/>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5C9"/>
    <w:rsid w:val="0012165E"/>
    <w:rsid w:val="001216C8"/>
    <w:rsid w:val="001218AD"/>
    <w:rsid w:val="00121CCD"/>
    <w:rsid w:val="00121D83"/>
    <w:rsid w:val="001220DD"/>
    <w:rsid w:val="001226E3"/>
    <w:rsid w:val="0012282D"/>
    <w:rsid w:val="001229F8"/>
    <w:rsid w:val="00122A53"/>
    <w:rsid w:val="00122A5B"/>
    <w:rsid w:val="00122DB8"/>
    <w:rsid w:val="00122EC6"/>
    <w:rsid w:val="00122EF1"/>
    <w:rsid w:val="00122F50"/>
    <w:rsid w:val="0012309F"/>
    <w:rsid w:val="001230C5"/>
    <w:rsid w:val="001233F3"/>
    <w:rsid w:val="0012341B"/>
    <w:rsid w:val="00123451"/>
    <w:rsid w:val="0012354D"/>
    <w:rsid w:val="0012358D"/>
    <w:rsid w:val="0012386D"/>
    <w:rsid w:val="00123C6B"/>
    <w:rsid w:val="00123C87"/>
    <w:rsid w:val="00123CD1"/>
    <w:rsid w:val="00123FDC"/>
    <w:rsid w:val="00124151"/>
    <w:rsid w:val="00124210"/>
    <w:rsid w:val="00124248"/>
    <w:rsid w:val="00124732"/>
    <w:rsid w:val="001248A3"/>
    <w:rsid w:val="001248FD"/>
    <w:rsid w:val="00124C8B"/>
    <w:rsid w:val="00124D00"/>
    <w:rsid w:val="00124E36"/>
    <w:rsid w:val="00124EAB"/>
    <w:rsid w:val="00125286"/>
    <w:rsid w:val="00125301"/>
    <w:rsid w:val="0012535E"/>
    <w:rsid w:val="00125402"/>
    <w:rsid w:val="0012550F"/>
    <w:rsid w:val="00125659"/>
    <w:rsid w:val="00125686"/>
    <w:rsid w:val="001257EB"/>
    <w:rsid w:val="0012582F"/>
    <w:rsid w:val="00125B2E"/>
    <w:rsid w:val="00126237"/>
    <w:rsid w:val="00126824"/>
    <w:rsid w:val="001268BB"/>
    <w:rsid w:val="00126915"/>
    <w:rsid w:val="00126958"/>
    <w:rsid w:val="001269B8"/>
    <w:rsid w:val="00126B14"/>
    <w:rsid w:val="00126BFE"/>
    <w:rsid w:val="00126D60"/>
    <w:rsid w:val="001271FC"/>
    <w:rsid w:val="0012727A"/>
    <w:rsid w:val="001273F8"/>
    <w:rsid w:val="0012745B"/>
    <w:rsid w:val="001274A9"/>
    <w:rsid w:val="001275B2"/>
    <w:rsid w:val="001278ED"/>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5F"/>
    <w:rsid w:val="00131ED2"/>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2FD"/>
    <w:rsid w:val="00134320"/>
    <w:rsid w:val="00134437"/>
    <w:rsid w:val="001344F5"/>
    <w:rsid w:val="0013450B"/>
    <w:rsid w:val="001346A0"/>
    <w:rsid w:val="001348C4"/>
    <w:rsid w:val="00134B36"/>
    <w:rsid w:val="00134DBA"/>
    <w:rsid w:val="00134EFC"/>
    <w:rsid w:val="00134F72"/>
    <w:rsid w:val="001352D6"/>
    <w:rsid w:val="0013565E"/>
    <w:rsid w:val="00135760"/>
    <w:rsid w:val="001359D7"/>
    <w:rsid w:val="00135DD4"/>
    <w:rsid w:val="00135E38"/>
    <w:rsid w:val="00135E44"/>
    <w:rsid w:val="0013606C"/>
    <w:rsid w:val="001361CD"/>
    <w:rsid w:val="001361D6"/>
    <w:rsid w:val="0013624E"/>
    <w:rsid w:val="001363BC"/>
    <w:rsid w:val="0013654A"/>
    <w:rsid w:val="001371D4"/>
    <w:rsid w:val="001371DC"/>
    <w:rsid w:val="00137865"/>
    <w:rsid w:val="001379B7"/>
    <w:rsid w:val="00137A98"/>
    <w:rsid w:val="00137DD9"/>
    <w:rsid w:val="00137F03"/>
    <w:rsid w:val="001400A0"/>
    <w:rsid w:val="001404E9"/>
    <w:rsid w:val="00140656"/>
    <w:rsid w:val="00140C98"/>
    <w:rsid w:val="00140CC4"/>
    <w:rsid w:val="00140E02"/>
    <w:rsid w:val="00141657"/>
    <w:rsid w:val="001416C8"/>
    <w:rsid w:val="00141A27"/>
    <w:rsid w:val="00141C91"/>
    <w:rsid w:val="00141DF4"/>
    <w:rsid w:val="00142005"/>
    <w:rsid w:val="0014257F"/>
    <w:rsid w:val="001426BC"/>
    <w:rsid w:val="00142714"/>
    <w:rsid w:val="00142776"/>
    <w:rsid w:val="00142876"/>
    <w:rsid w:val="00142945"/>
    <w:rsid w:val="001429A8"/>
    <w:rsid w:val="00142EA5"/>
    <w:rsid w:val="00142F2B"/>
    <w:rsid w:val="00143045"/>
    <w:rsid w:val="001436C2"/>
    <w:rsid w:val="001436DC"/>
    <w:rsid w:val="00143844"/>
    <w:rsid w:val="00143A90"/>
    <w:rsid w:val="00143E6D"/>
    <w:rsid w:val="00144073"/>
    <w:rsid w:val="00144744"/>
    <w:rsid w:val="00144904"/>
    <w:rsid w:val="00144D7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34"/>
    <w:rsid w:val="001532A4"/>
    <w:rsid w:val="001537A4"/>
    <w:rsid w:val="001537D0"/>
    <w:rsid w:val="00153B7D"/>
    <w:rsid w:val="00153BC8"/>
    <w:rsid w:val="00153F15"/>
    <w:rsid w:val="0015407C"/>
    <w:rsid w:val="00154401"/>
    <w:rsid w:val="001545AD"/>
    <w:rsid w:val="00154682"/>
    <w:rsid w:val="001547F6"/>
    <w:rsid w:val="00154E2A"/>
    <w:rsid w:val="00154E60"/>
    <w:rsid w:val="00155202"/>
    <w:rsid w:val="0015538F"/>
    <w:rsid w:val="00155434"/>
    <w:rsid w:val="00155943"/>
    <w:rsid w:val="001564FC"/>
    <w:rsid w:val="00156D28"/>
    <w:rsid w:val="00156D64"/>
    <w:rsid w:val="00156EF9"/>
    <w:rsid w:val="00157375"/>
    <w:rsid w:val="00157500"/>
    <w:rsid w:val="00157721"/>
    <w:rsid w:val="00157952"/>
    <w:rsid w:val="00157A47"/>
    <w:rsid w:val="00157A7F"/>
    <w:rsid w:val="001602B3"/>
    <w:rsid w:val="0016040C"/>
    <w:rsid w:val="001604C3"/>
    <w:rsid w:val="0016050D"/>
    <w:rsid w:val="00160540"/>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E8B"/>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34"/>
    <w:rsid w:val="00171E69"/>
    <w:rsid w:val="00171EBA"/>
    <w:rsid w:val="0017203E"/>
    <w:rsid w:val="001721B3"/>
    <w:rsid w:val="001722BA"/>
    <w:rsid w:val="0017234F"/>
    <w:rsid w:val="00172602"/>
    <w:rsid w:val="0017273A"/>
    <w:rsid w:val="00172877"/>
    <w:rsid w:val="00172A27"/>
    <w:rsid w:val="00173062"/>
    <w:rsid w:val="00173087"/>
    <w:rsid w:val="001730AA"/>
    <w:rsid w:val="001733BD"/>
    <w:rsid w:val="0017344E"/>
    <w:rsid w:val="0017345B"/>
    <w:rsid w:val="0017345C"/>
    <w:rsid w:val="001734C6"/>
    <w:rsid w:val="001734F4"/>
    <w:rsid w:val="00174052"/>
    <w:rsid w:val="00174088"/>
    <w:rsid w:val="00174325"/>
    <w:rsid w:val="00174359"/>
    <w:rsid w:val="001743FA"/>
    <w:rsid w:val="001744DA"/>
    <w:rsid w:val="00174694"/>
    <w:rsid w:val="00174952"/>
    <w:rsid w:val="001749EC"/>
    <w:rsid w:val="00174B65"/>
    <w:rsid w:val="00174B82"/>
    <w:rsid w:val="00174D35"/>
    <w:rsid w:val="001757CB"/>
    <w:rsid w:val="00175843"/>
    <w:rsid w:val="001759C5"/>
    <w:rsid w:val="00175A31"/>
    <w:rsid w:val="00175AFE"/>
    <w:rsid w:val="00175BBF"/>
    <w:rsid w:val="0017603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29"/>
    <w:rsid w:val="00180172"/>
    <w:rsid w:val="001801F4"/>
    <w:rsid w:val="001802CA"/>
    <w:rsid w:val="00180775"/>
    <w:rsid w:val="00180829"/>
    <w:rsid w:val="0018083E"/>
    <w:rsid w:val="0018085E"/>
    <w:rsid w:val="00180954"/>
    <w:rsid w:val="00180975"/>
    <w:rsid w:val="001809C7"/>
    <w:rsid w:val="0018115A"/>
    <w:rsid w:val="001813A3"/>
    <w:rsid w:val="001813BA"/>
    <w:rsid w:val="001813BE"/>
    <w:rsid w:val="001813C3"/>
    <w:rsid w:val="00181581"/>
    <w:rsid w:val="00181919"/>
    <w:rsid w:val="00181A20"/>
    <w:rsid w:val="00181C43"/>
    <w:rsid w:val="00181C75"/>
    <w:rsid w:val="00181D48"/>
    <w:rsid w:val="00181D80"/>
    <w:rsid w:val="001821B5"/>
    <w:rsid w:val="00182348"/>
    <w:rsid w:val="00182464"/>
    <w:rsid w:val="001824BE"/>
    <w:rsid w:val="001826C3"/>
    <w:rsid w:val="001829EB"/>
    <w:rsid w:val="00182B9F"/>
    <w:rsid w:val="00182C70"/>
    <w:rsid w:val="00182D02"/>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03"/>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1E3"/>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87A"/>
    <w:rsid w:val="001A0A32"/>
    <w:rsid w:val="001A0D06"/>
    <w:rsid w:val="001A0FE8"/>
    <w:rsid w:val="001A106A"/>
    <w:rsid w:val="001A1224"/>
    <w:rsid w:val="001A13A8"/>
    <w:rsid w:val="001A168B"/>
    <w:rsid w:val="001A1760"/>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5BF"/>
    <w:rsid w:val="001A4877"/>
    <w:rsid w:val="001A4A0B"/>
    <w:rsid w:val="001A4D94"/>
    <w:rsid w:val="001A52A6"/>
    <w:rsid w:val="001A5496"/>
    <w:rsid w:val="001A54BA"/>
    <w:rsid w:val="001A5595"/>
    <w:rsid w:val="001A55F7"/>
    <w:rsid w:val="001A570C"/>
    <w:rsid w:val="001A57B9"/>
    <w:rsid w:val="001A5FC1"/>
    <w:rsid w:val="001A5FF0"/>
    <w:rsid w:val="001A62AF"/>
    <w:rsid w:val="001A63B1"/>
    <w:rsid w:val="001A6701"/>
    <w:rsid w:val="001A6762"/>
    <w:rsid w:val="001A6862"/>
    <w:rsid w:val="001A68CC"/>
    <w:rsid w:val="001A68E6"/>
    <w:rsid w:val="001A6996"/>
    <w:rsid w:val="001A6BD3"/>
    <w:rsid w:val="001A6CF0"/>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1D5"/>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C8"/>
    <w:rsid w:val="001B40F1"/>
    <w:rsid w:val="001B43B1"/>
    <w:rsid w:val="001B4499"/>
    <w:rsid w:val="001B49F0"/>
    <w:rsid w:val="001B504D"/>
    <w:rsid w:val="001B52F1"/>
    <w:rsid w:val="001B5307"/>
    <w:rsid w:val="001B53EE"/>
    <w:rsid w:val="001B56F4"/>
    <w:rsid w:val="001B5918"/>
    <w:rsid w:val="001B5BA3"/>
    <w:rsid w:val="001B5BD5"/>
    <w:rsid w:val="001B5CD4"/>
    <w:rsid w:val="001B60EC"/>
    <w:rsid w:val="001B64C1"/>
    <w:rsid w:val="001B6C13"/>
    <w:rsid w:val="001B6F07"/>
    <w:rsid w:val="001B7015"/>
    <w:rsid w:val="001B702C"/>
    <w:rsid w:val="001B741C"/>
    <w:rsid w:val="001B76E6"/>
    <w:rsid w:val="001B7D86"/>
    <w:rsid w:val="001B7DF0"/>
    <w:rsid w:val="001B7DFD"/>
    <w:rsid w:val="001B7E75"/>
    <w:rsid w:val="001B7E7E"/>
    <w:rsid w:val="001C00DF"/>
    <w:rsid w:val="001C010E"/>
    <w:rsid w:val="001C0191"/>
    <w:rsid w:val="001C029F"/>
    <w:rsid w:val="001C0850"/>
    <w:rsid w:val="001C0AB3"/>
    <w:rsid w:val="001C0B36"/>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512"/>
    <w:rsid w:val="001C3701"/>
    <w:rsid w:val="001C3853"/>
    <w:rsid w:val="001C38DF"/>
    <w:rsid w:val="001C3982"/>
    <w:rsid w:val="001C4429"/>
    <w:rsid w:val="001C47A0"/>
    <w:rsid w:val="001C47E6"/>
    <w:rsid w:val="001C4CE7"/>
    <w:rsid w:val="001C4E97"/>
    <w:rsid w:val="001C4F2E"/>
    <w:rsid w:val="001C4F87"/>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9DD"/>
    <w:rsid w:val="001C7A23"/>
    <w:rsid w:val="001C7A82"/>
    <w:rsid w:val="001C7AE7"/>
    <w:rsid w:val="001C7C91"/>
    <w:rsid w:val="001C7E5E"/>
    <w:rsid w:val="001C7F13"/>
    <w:rsid w:val="001D0140"/>
    <w:rsid w:val="001D021A"/>
    <w:rsid w:val="001D03AD"/>
    <w:rsid w:val="001D046C"/>
    <w:rsid w:val="001D0778"/>
    <w:rsid w:val="001D07CF"/>
    <w:rsid w:val="001D0985"/>
    <w:rsid w:val="001D0BCE"/>
    <w:rsid w:val="001D0BEB"/>
    <w:rsid w:val="001D0C91"/>
    <w:rsid w:val="001D112C"/>
    <w:rsid w:val="001D165E"/>
    <w:rsid w:val="001D1689"/>
    <w:rsid w:val="001D1980"/>
    <w:rsid w:val="001D27F7"/>
    <w:rsid w:val="001D2889"/>
    <w:rsid w:val="001D28C9"/>
    <w:rsid w:val="001D2936"/>
    <w:rsid w:val="001D2BF6"/>
    <w:rsid w:val="001D2D30"/>
    <w:rsid w:val="001D3766"/>
    <w:rsid w:val="001D3B44"/>
    <w:rsid w:val="001D3BFA"/>
    <w:rsid w:val="001D3F50"/>
    <w:rsid w:val="001D4067"/>
    <w:rsid w:val="001D4254"/>
    <w:rsid w:val="001D42B2"/>
    <w:rsid w:val="001D4345"/>
    <w:rsid w:val="001D47C2"/>
    <w:rsid w:val="001D4904"/>
    <w:rsid w:val="001D4A3F"/>
    <w:rsid w:val="001D4C30"/>
    <w:rsid w:val="001D4FC1"/>
    <w:rsid w:val="001D52B8"/>
    <w:rsid w:val="001D5355"/>
    <w:rsid w:val="001D55D6"/>
    <w:rsid w:val="001D58A8"/>
    <w:rsid w:val="001D5E02"/>
    <w:rsid w:val="001D6001"/>
    <w:rsid w:val="001D606E"/>
    <w:rsid w:val="001D614E"/>
    <w:rsid w:val="001D6399"/>
    <w:rsid w:val="001D66FE"/>
    <w:rsid w:val="001D6988"/>
    <w:rsid w:val="001D7003"/>
    <w:rsid w:val="001D709A"/>
    <w:rsid w:val="001D73D2"/>
    <w:rsid w:val="001D7969"/>
    <w:rsid w:val="001D797E"/>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350"/>
    <w:rsid w:val="001E280C"/>
    <w:rsid w:val="001E2D70"/>
    <w:rsid w:val="001E306C"/>
    <w:rsid w:val="001E3228"/>
    <w:rsid w:val="001E3286"/>
    <w:rsid w:val="001E3354"/>
    <w:rsid w:val="001E34AA"/>
    <w:rsid w:val="001E34EF"/>
    <w:rsid w:val="001E3638"/>
    <w:rsid w:val="001E3764"/>
    <w:rsid w:val="001E381D"/>
    <w:rsid w:val="001E3875"/>
    <w:rsid w:val="001E38AB"/>
    <w:rsid w:val="001E3AE0"/>
    <w:rsid w:val="001E3B66"/>
    <w:rsid w:val="001E3C02"/>
    <w:rsid w:val="001E3D80"/>
    <w:rsid w:val="001E3D8C"/>
    <w:rsid w:val="001E3DFC"/>
    <w:rsid w:val="001E4118"/>
    <w:rsid w:val="001E437E"/>
    <w:rsid w:val="001E43E2"/>
    <w:rsid w:val="001E447D"/>
    <w:rsid w:val="001E4ED1"/>
    <w:rsid w:val="001E5295"/>
    <w:rsid w:val="001E54DC"/>
    <w:rsid w:val="001E5DDD"/>
    <w:rsid w:val="001E5E61"/>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615"/>
    <w:rsid w:val="001F07D6"/>
    <w:rsid w:val="001F07F7"/>
    <w:rsid w:val="001F08D7"/>
    <w:rsid w:val="001F0A75"/>
    <w:rsid w:val="001F0C50"/>
    <w:rsid w:val="001F0E86"/>
    <w:rsid w:val="001F116E"/>
    <w:rsid w:val="001F126A"/>
    <w:rsid w:val="001F137C"/>
    <w:rsid w:val="001F17AB"/>
    <w:rsid w:val="001F1B18"/>
    <w:rsid w:val="001F1D26"/>
    <w:rsid w:val="001F1E70"/>
    <w:rsid w:val="001F2402"/>
    <w:rsid w:val="001F2413"/>
    <w:rsid w:val="001F25CD"/>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77D"/>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4C0"/>
    <w:rsid w:val="0020059F"/>
    <w:rsid w:val="002005BB"/>
    <w:rsid w:val="00200896"/>
    <w:rsid w:val="002008C8"/>
    <w:rsid w:val="00200DCA"/>
    <w:rsid w:val="00200FFD"/>
    <w:rsid w:val="00201098"/>
    <w:rsid w:val="00201195"/>
    <w:rsid w:val="002013FB"/>
    <w:rsid w:val="0020150D"/>
    <w:rsid w:val="00201870"/>
    <w:rsid w:val="002018F3"/>
    <w:rsid w:val="002019EA"/>
    <w:rsid w:val="00201F6F"/>
    <w:rsid w:val="002021B4"/>
    <w:rsid w:val="00202316"/>
    <w:rsid w:val="002023D4"/>
    <w:rsid w:val="00202B06"/>
    <w:rsid w:val="00202B44"/>
    <w:rsid w:val="00203009"/>
    <w:rsid w:val="00203118"/>
    <w:rsid w:val="00203153"/>
    <w:rsid w:val="002033CB"/>
    <w:rsid w:val="002034C2"/>
    <w:rsid w:val="00203726"/>
    <w:rsid w:val="002039F4"/>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AAA"/>
    <w:rsid w:val="00206BE4"/>
    <w:rsid w:val="00206D3E"/>
    <w:rsid w:val="00206D5B"/>
    <w:rsid w:val="00206FBF"/>
    <w:rsid w:val="002074D2"/>
    <w:rsid w:val="0020761E"/>
    <w:rsid w:val="002077D3"/>
    <w:rsid w:val="002078ED"/>
    <w:rsid w:val="002078F4"/>
    <w:rsid w:val="00207913"/>
    <w:rsid w:val="002079D2"/>
    <w:rsid w:val="00207CF8"/>
    <w:rsid w:val="00207E99"/>
    <w:rsid w:val="002105B2"/>
    <w:rsid w:val="002105C3"/>
    <w:rsid w:val="0021063C"/>
    <w:rsid w:val="0021085B"/>
    <w:rsid w:val="00210A3A"/>
    <w:rsid w:val="00210C07"/>
    <w:rsid w:val="00210C63"/>
    <w:rsid w:val="00210E93"/>
    <w:rsid w:val="002112BB"/>
    <w:rsid w:val="00211392"/>
    <w:rsid w:val="00211BE3"/>
    <w:rsid w:val="00211CF4"/>
    <w:rsid w:val="00211DA3"/>
    <w:rsid w:val="00211E81"/>
    <w:rsid w:val="00212379"/>
    <w:rsid w:val="002124C1"/>
    <w:rsid w:val="002125D6"/>
    <w:rsid w:val="00212B72"/>
    <w:rsid w:val="00212BA8"/>
    <w:rsid w:val="00212CA0"/>
    <w:rsid w:val="002130DE"/>
    <w:rsid w:val="002131C5"/>
    <w:rsid w:val="00213701"/>
    <w:rsid w:val="002139C6"/>
    <w:rsid w:val="00213B0D"/>
    <w:rsid w:val="00213B31"/>
    <w:rsid w:val="00213EC0"/>
    <w:rsid w:val="00213EE5"/>
    <w:rsid w:val="00214137"/>
    <w:rsid w:val="002141E2"/>
    <w:rsid w:val="00214368"/>
    <w:rsid w:val="00214B2B"/>
    <w:rsid w:val="00214F86"/>
    <w:rsid w:val="00214FA6"/>
    <w:rsid w:val="0021509C"/>
    <w:rsid w:val="002152AD"/>
    <w:rsid w:val="00215476"/>
    <w:rsid w:val="0021554A"/>
    <w:rsid w:val="0021565E"/>
    <w:rsid w:val="00215797"/>
    <w:rsid w:val="0021618E"/>
    <w:rsid w:val="002161B4"/>
    <w:rsid w:val="00216642"/>
    <w:rsid w:val="002166AF"/>
    <w:rsid w:val="002167D9"/>
    <w:rsid w:val="00216A22"/>
    <w:rsid w:val="00216EEC"/>
    <w:rsid w:val="0021703E"/>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869"/>
    <w:rsid w:val="00221D2A"/>
    <w:rsid w:val="00221E68"/>
    <w:rsid w:val="00221E82"/>
    <w:rsid w:val="00221EA7"/>
    <w:rsid w:val="00222202"/>
    <w:rsid w:val="00222706"/>
    <w:rsid w:val="00222A23"/>
    <w:rsid w:val="00222B6A"/>
    <w:rsid w:val="00222B97"/>
    <w:rsid w:val="00222CE5"/>
    <w:rsid w:val="00223224"/>
    <w:rsid w:val="0022334D"/>
    <w:rsid w:val="002239ED"/>
    <w:rsid w:val="00223B55"/>
    <w:rsid w:val="00223C8D"/>
    <w:rsid w:val="0022418F"/>
    <w:rsid w:val="0022432D"/>
    <w:rsid w:val="002243F5"/>
    <w:rsid w:val="0022472F"/>
    <w:rsid w:val="002247A9"/>
    <w:rsid w:val="002248DA"/>
    <w:rsid w:val="0022490C"/>
    <w:rsid w:val="00224943"/>
    <w:rsid w:val="002249DA"/>
    <w:rsid w:val="002249DD"/>
    <w:rsid w:val="00224B15"/>
    <w:rsid w:val="00224D6D"/>
    <w:rsid w:val="00224F03"/>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B21"/>
    <w:rsid w:val="00227BC9"/>
    <w:rsid w:val="00227BE8"/>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AF"/>
    <w:rsid w:val="0023385B"/>
    <w:rsid w:val="002339B5"/>
    <w:rsid w:val="00233BE4"/>
    <w:rsid w:val="00233CFD"/>
    <w:rsid w:val="00233DA6"/>
    <w:rsid w:val="00234295"/>
    <w:rsid w:val="00234AA6"/>
    <w:rsid w:val="00234AED"/>
    <w:rsid w:val="00234B77"/>
    <w:rsid w:val="00234BF1"/>
    <w:rsid w:val="00235450"/>
    <w:rsid w:val="002355E5"/>
    <w:rsid w:val="00235640"/>
    <w:rsid w:val="00235876"/>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06"/>
    <w:rsid w:val="00240F8A"/>
    <w:rsid w:val="0024101A"/>
    <w:rsid w:val="002412CB"/>
    <w:rsid w:val="002412F8"/>
    <w:rsid w:val="00241447"/>
    <w:rsid w:val="0024168E"/>
    <w:rsid w:val="00241690"/>
    <w:rsid w:val="00241803"/>
    <w:rsid w:val="00241A6C"/>
    <w:rsid w:val="00241B38"/>
    <w:rsid w:val="00241C11"/>
    <w:rsid w:val="00241EB1"/>
    <w:rsid w:val="00241FBF"/>
    <w:rsid w:val="002421DA"/>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FE"/>
    <w:rsid w:val="00246133"/>
    <w:rsid w:val="0024623F"/>
    <w:rsid w:val="00246812"/>
    <w:rsid w:val="002469F5"/>
    <w:rsid w:val="00246BC6"/>
    <w:rsid w:val="00246D51"/>
    <w:rsid w:val="00246E3E"/>
    <w:rsid w:val="00246FBC"/>
    <w:rsid w:val="0024701C"/>
    <w:rsid w:val="0024706D"/>
    <w:rsid w:val="00247A52"/>
    <w:rsid w:val="00247ED7"/>
    <w:rsid w:val="00250042"/>
    <w:rsid w:val="00250065"/>
    <w:rsid w:val="00250104"/>
    <w:rsid w:val="00250150"/>
    <w:rsid w:val="00250499"/>
    <w:rsid w:val="002504BF"/>
    <w:rsid w:val="00250604"/>
    <w:rsid w:val="0025066C"/>
    <w:rsid w:val="00250861"/>
    <w:rsid w:val="002509A9"/>
    <w:rsid w:val="00250A04"/>
    <w:rsid w:val="0025111A"/>
    <w:rsid w:val="0025129E"/>
    <w:rsid w:val="00251429"/>
    <w:rsid w:val="002515FE"/>
    <w:rsid w:val="002516E7"/>
    <w:rsid w:val="00251844"/>
    <w:rsid w:val="002518B2"/>
    <w:rsid w:val="00251A07"/>
    <w:rsid w:val="00251B30"/>
    <w:rsid w:val="00251C79"/>
    <w:rsid w:val="00251D5A"/>
    <w:rsid w:val="00251FDC"/>
    <w:rsid w:val="002522D3"/>
    <w:rsid w:val="0025234D"/>
    <w:rsid w:val="002525FE"/>
    <w:rsid w:val="002527A2"/>
    <w:rsid w:val="002527B3"/>
    <w:rsid w:val="0025298E"/>
    <w:rsid w:val="00252DF4"/>
    <w:rsid w:val="00252E4C"/>
    <w:rsid w:val="00252F1D"/>
    <w:rsid w:val="002531AA"/>
    <w:rsid w:val="0025374F"/>
    <w:rsid w:val="00253AA7"/>
    <w:rsid w:val="00253B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0F"/>
    <w:rsid w:val="0025784D"/>
    <w:rsid w:val="0025796D"/>
    <w:rsid w:val="00257BBD"/>
    <w:rsid w:val="00257E67"/>
    <w:rsid w:val="00257EAF"/>
    <w:rsid w:val="00257EC6"/>
    <w:rsid w:val="00257ED6"/>
    <w:rsid w:val="00260201"/>
    <w:rsid w:val="00260264"/>
    <w:rsid w:val="0026037B"/>
    <w:rsid w:val="002604FD"/>
    <w:rsid w:val="002605E4"/>
    <w:rsid w:val="002609E7"/>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3E41"/>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72A"/>
    <w:rsid w:val="0027386E"/>
    <w:rsid w:val="002739ED"/>
    <w:rsid w:val="00273A94"/>
    <w:rsid w:val="00273E7D"/>
    <w:rsid w:val="00274416"/>
    <w:rsid w:val="002746C7"/>
    <w:rsid w:val="00274816"/>
    <w:rsid w:val="002748DF"/>
    <w:rsid w:val="0027490A"/>
    <w:rsid w:val="00274969"/>
    <w:rsid w:val="00274991"/>
    <w:rsid w:val="00274B8B"/>
    <w:rsid w:val="00274C67"/>
    <w:rsid w:val="00274FAE"/>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FB"/>
    <w:rsid w:val="00276AEA"/>
    <w:rsid w:val="00276B43"/>
    <w:rsid w:val="00276B8D"/>
    <w:rsid w:val="00276DA3"/>
    <w:rsid w:val="00276E70"/>
    <w:rsid w:val="0027711C"/>
    <w:rsid w:val="00277147"/>
    <w:rsid w:val="002771C6"/>
    <w:rsid w:val="00277226"/>
    <w:rsid w:val="00277401"/>
    <w:rsid w:val="0027742A"/>
    <w:rsid w:val="002775CA"/>
    <w:rsid w:val="002776D8"/>
    <w:rsid w:val="002777C0"/>
    <w:rsid w:val="002777D6"/>
    <w:rsid w:val="00277856"/>
    <w:rsid w:val="00277AC2"/>
    <w:rsid w:val="00277E50"/>
    <w:rsid w:val="00277E9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F4A"/>
    <w:rsid w:val="00283031"/>
    <w:rsid w:val="002832A6"/>
    <w:rsid w:val="002834E4"/>
    <w:rsid w:val="002837B1"/>
    <w:rsid w:val="00283AA1"/>
    <w:rsid w:val="00283C48"/>
    <w:rsid w:val="00283D5E"/>
    <w:rsid w:val="00283E2E"/>
    <w:rsid w:val="00283ED2"/>
    <w:rsid w:val="00283FC0"/>
    <w:rsid w:val="00284113"/>
    <w:rsid w:val="00284364"/>
    <w:rsid w:val="00284572"/>
    <w:rsid w:val="002846A1"/>
    <w:rsid w:val="00284859"/>
    <w:rsid w:val="00284905"/>
    <w:rsid w:val="00284C10"/>
    <w:rsid w:val="00284F69"/>
    <w:rsid w:val="00285306"/>
    <w:rsid w:val="00285314"/>
    <w:rsid w:val="002856BE"/>
    <w:rsid w:val="00285712"/>
    <w:rsid w:val="0028577F"/>
    <w:rsid w:val="0028579A"/>
    <w:rsid w:val="0028584C"/>
    <w:rsid w:val="0028596A"/>
    <w:rsid w:val="00285A13"/>
    <w:rsid w:val="00285B9C"/>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71"/>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CC0"/>
    <w:rsid w:val="002911AB"/>
    <w:rsid w:val="00291249"/>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857"/>
    <w:rsid w:val="00292ACA"/>
    <w:rsid w:val="00292D49"/>
    <w:rsid w:val="00292E74"/>
    <w:rsid w:val="00293497"/>
    <w:rsid w:val="00293919"/>
    <w:rsid w:val="002939AF"/>
    <w:rsid w:val="00293BA4"/>
    <w:rsid w:val="00293D57"/>
    <w:rsid w:val="00293DDC"/>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D9A"/>
    <w:rsid w:val="00296DCD"/>
    <w:rsid w:val="0029723A"/>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0D8"/>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0B4"/>
    <w:rsid w:val="002A41F4"/>
    <w:rsid w:val="002A42CF"/>
    <w:rsid w:val="002A4349"/>
    <w:rsid w:val="002A43C2"/>
    <w:rsid w:val="002A43C6"/>
    <w:rsid w:val="002A4847"/>
    <w:rsid w:val="002A4DA4"/>
    <w:rsid w:val="002A524C"/>
    <w:rsid w:val="002A55F9"/>
    <w:rsid w:val="002A5749"/>
    <w:rsid w:val="002A5B18"/>
    <w:rsid w:val="002A5D23"/>
    <w:rsid w:val="002A5D36"/>
    <w:rsid w:val="002A5ECF"/>
    <w:rsid w:val="002A6008"/>
    <w:rsid w:val="002A60AE"/>
    <w:rsid w:val="002A6390"/>
    <w:rsid w:val="002A6767"/>
    <w:rsid w:val="002A6B4C"/>
    <w:rsid w:val="002A6C81"/>
    <w:rsid w:val="002A6CB1"/>
    <w:rsid w:val="002A6CBC"/>
    <w:rsid w:val="002A6CFE"/>
    <w:rsid w:val="002A71C9"/>
    <w:rsid w:val="002A7544"/>
    <w:rsid w:val="002A77B7"/>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700"/>
    <w:rsid w:val="002B19DE"/>
    <w:rsid w:val="002B1EAA"/>
    <w:rsid w:val="002B1EF8"/>
    <w:rsid w:val="002B20CC"/>
    <w:rsid w:val="002B21C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953"/>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E5"/>
    <w:rsid w:val="002C067A"/>
    <w:rsid w:val="002C068E"/>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B9"/>
    <w:rsid w:val="002C30C3"/>
    <w:rsid w:val="002C3113"/>
    <w:rsid w:val="002C3127"/>
    <w:rsid w:val="002C34FA"/>
    <w:rsid w:val="002C354D"/>
    <w:rsid w:val="002C36A2"/>
    <w:rsid w:val="002C38AA"/>
    <w:rsid w:val="002C3A0B"/>
    <w:rsid w:val="002C3B26"/>
    <w:rsid w:val="002C3CFE"/>
    <w:rsid w:val="002C407B"/>
    <w:rsid w:val="002C407E"/>
    <w:rsid w:val="002C4310"/>
    <w:rsid w:val="002C43B0"/>
    <w:rsid w:val="002C4B7F"/>
    <w:rsid w:val="002C4ECA"/>
    <w:rsid w:val="002C50AE"/>
    <w:rsid w:val="002C5115"/>
    <w:rsid w:val="002C5272"/>
    <w:rsid w:val="002C52BB"/>
    <w:rsid w:val="002C5322"/>
    <w:rsid w:val="002C53C5"/>
    <w:rsid w:val="002C5696"/>
    <w:rsid w:val="002C56DB"/>
    <w:rsid w:val="002C580F"/>
    <w:rsid w:val="002C5832"/>
    <w:rsid w:val="002C59F1"/>
    <w:rsid w:val="002C5A40"/>
    <w:rsid w:val="002C5A4C"/>
    <w:rsid w:val="002C5D7C"/>
    <w:rsid w:val="002C5DAD"/>
    <w:rsid w:val="002C5F25"/>
    <w:rsid w:val="002C5F4A"/>
    <w:rsid w:val="002C62F5"/>
    <w:rsid w:val="002C6396"/>
    <w:rsid w:val="002C6639"/>
    <w:rsid w:val="002C6BF1"/>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CF8"/>
    <w:rsid w:val="002D3D98"/>
    <w:rsid w:val="002D3EC4"/>
    <w:rsid w:val="002D4101"/>
    <w:rsid w:val="002D42B7"/>
    <w:rsid w:val="002D4461"/>
    <w:rsid w:val="002D451D"/>
    <w:rsid w:val="002D480F"/>
    <w:rsid w:val="002D4A67"/>
    <w:rsid w:val="002D4A89"/>
    <w:rsid w:val="002D5467"/>
    <w:rsid w:val="002D556A"/>
    <w:rsid w:val="002D5656"/>
    <w:rsid w:val="002D59E3"/>
    <w:rsid w:val="002D5B33"/>
    <w:rsid w:val="002D6234"/>
    <w:rsid w:val="002D6392"/>
    <w:rsid w:val="002D6402"/>
    <w:rsid w:val="002D6554"/>
    <w:rsid w:val="002D66E1"/>
    <w:rsid w:val="002D6B40"/>
    <w:rsid w:val="002D6EFF"/>
    <w:rsid w:val="002D7011"/>
    <w:rsid w:val="002D7194"/>
    <w:rsid w:val="002D7213"/>
    <w:rsid w:val="002D726A"/>
    <w:rsid w:val="002D72BB"/>
    <w:rsid w:val="002D76A5"/>
    <w:rsid w:val="002D7965"/>
    <w:rsid w:val="002D7ED4"/>
    <w:rsid w:val="002E0044"/>
    <w:rsid w:val="002E00FB"/>
    <w:rsid w:val="002E0993"/>
    <w:rsid w:val="002E0A10"/>
    <w:rsid w:val="002E0B22"/>
    <w:rsid w:val="002E0C91"/>
    <w:rsid w:val="002E0D1D"/>
    <w:rsid w:val="002E0FE5"/>
    <w:rsid w:val="002E13CE"/>
    <w:rsid w:val="002E1429"/>
    <w:rsid w:val="002E1645"/>
    <w:rsid w:val="002E1797"/>
    <w:rsid w:val="002E1A4D"/>
    <w:rsid w:val="002E1AC7"/>
    <w:rsid w:val="002E1AE9"/>
    <w:rsid w:val="002E1BAB"/>
    <w:rsid w:val="002E1BEB"/>
    <w:rsid w:val="002E1C66"/>
    <w:rsid w:val="002E1F4A"/>
    <w:rsid w:val="002E229A"/>
    <w:rsid w:val="002E2303"/>
    <w:rsid w:val="002E2659"/>
    <w:rsid w:val="002E2666"/>
    <w:rsid w:val="002E297F"/>
    <w:rsid w:val="002E2B06"/>
    <w:rsid w:val="002E2C52"/>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D98"/>
    <w:rsid w:val="002F1F42"/>
    <w:rsid w:val="002F20E5"/>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A13"/>
    <w:rsid w:val="002F4A17"/>
    <w:rsid w:val="002F4E0A"/>
    <w:rsid w:val="002F53B9"/>
    <w:rsid w:val="002F548C"/>
    <w:rsid w:val="002F5568"/>
    <w:rsid w:val="002F5704"/>
    <w:rsid w:val="002F571E"/>
    <w:rsid w:val="002F5C02"/>
    <w:rsid w:val="002F5C35"/>
    <w:rsid w:val="002F5CD4"/>
    <w:rsid w:val="002F5CDB"/>
    <w:rsid w:val="002F5E41"/>
    <w:rsid w:val="002F5E52"/>
    <w:rsid w:val="002F5F34"/>
    <w:rsid w:val="002F5FDE"/>
    <w:rsid w:val="002F608B"/>
    <w:rsid w:val="002F621F"/>
    <w:rsid w:val="002F633C"/>
    <w:rsid w:val="002F6691"/>
    <w:rsid w:val="002F6802"/>
    <w:rsid w:val="002F68F5"/>
    <w:rsid w:val="002F6BB2"/>
    <w:rsid w:val="002F6D58"/>
    <w:rsid w:val="002F6DD1"/>
    <w:rsid w:val="002F707C"/>
    <w:rsid w:val="002F736A"/>
    <w:rsid w:val="002F736E"/>
    <w:rsid w:val="002F75A3"/>
    <w:rsid w:val="002F7639"/>
    <w:rsid w:val="002F764A"/>
    <w:rsid w:val="002F7664"/>
    <w:rsid w:val="002F77EC"/>
    <w:rsid w:val="002F7B45"/>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ED"/>
    <w:rsid w:val="003018F5"/>
    <w:rsid w:val="00301EE9"/>
    <w:rsid w:val="00301FB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0D0"/>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6F7"/>
    <w:rsid w:val="00313D9D"/>
    <w:rsid w:val="003140A8"/>
    <w:rsid w:val="003141FD"/>
    <w:rsid w:val="00314235"/>
    <w:rsid w:val="00314291"/>
    <w:rsid w:val="0031481D"/>
    <w:rsid w:val="0031494D"/>
    <w:rsid w:val="0031495F"/>
    <w:rsid w:val="00314AAF"/>
    <w:rsid w:val="00314D15"/>
    <w:rsid w:val="00314D31"/>
    <w:rsid w:val="0031503A"/>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101"/>
    <w:rsid w:val="00317263"/>
    <w:rsid w:val="00317339"/>
    <w:rsid w:val="00317343"/>
    <w:rsid w:val="0031737A"/>
    <w:rsid w:val="00317642"/>
    <w:rsid w:val="00317C3A"/>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9F8"/>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F3"/>
    <w:rsid w:val="0032669D"/>
    <w:rsid w:val="00326813"/>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F7B"/>
    <w:rsid w:val="00332228"/>
    <w:rsid w:val="003322B4"/>
    <w:rsid w:val="003322E8"/>
    <w:rsid w:val="003325BF"/>
    <w:rsid w:val="003325EB"/>
    <w:rsid w:val="003325F4"/>
    <w:rsid w:val="003327DF"/>
    <w:rsid w:val="00332908"/>
    <w:rsid w:val="00332A0B"/>
    <w:rsid w:val="00332B3E"/>
    <w:rsid w:val="00332B90"/>
    <w:rsid w:val="00333157"/>
    <w:rsid w:val="00333502"/>
    <w:rsid w:val="00333541"/>
    <w:rsid w:val="00333553"/>
    <w:rsid w:val="00333681"/>
    <w:rsid w:val="003336C3"/>
    <w:rsid w:val="0033386E"/>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9B9"/>
    <w:rsid w:val="00335C2F"/>
    <w:rsid w:val="00335C95"/>
    <w:rsid w:val="003361C6"/>
    <w:rsid w:val="003361E6"/>
    <w:rsid w:val="00336526"/>
    <w:rsid w:val="003367F5"/>
    <w:rsid w:val="0033685F"/>
    <w:rsid w:val="003368F6"/>
    <w:rsid w:val="00336993"/>
    <w:rsid w:val="003369F4"/>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4E4"/>
    <w:rsid w:val="0034179B"/>
    <w:rsid w:val="00341A17"/>
    <w:rsid w:val="00341A8B"/>
    <w:rsid w:val="00341CFB"/>
    <w:rsid w:val="00341E81"/>
    <w:rsid w:val="00341F65"/>
    <w:rsid w:val="003421D1"/>
    <w:rsid w:val="0034225D"/>
    <w:rsid w:val="003426DD"/>
    <w:rsid w:val="00342785"/>
    <w:rsid w:val="003428E8"/>
    <w:rsid w:val="00342B67"/>
    <w:rsid w:val="00342C1D"/>
    <w:rsid w:val="00343098"/>
    <w:rsid w:val="00343567"/>
    <w:rsid w:val="003435AD"/>
    <w:rsid w:val="0034386E"/>
    <w:rsid w:val="00343CCD"/>
    <w:rsid w:val="00343EB4"/>
    <w:rsid w:val="00343F1C"/>
    <w:rsid w:val="00344001"/>
    <w:rsid w:val="0034434F"/>
    <w:rsid w:val="003445C2"/>
    <w:rsid w:val="003445D6"/>
    <w:rsid w:val="00344893"/>
    <w:rsid w:val="00344CA2"/>
    <w:rsid w:val="00344E50"/>
    <w:rsid w:val="00345469"/>
    <w:rsid w:val="0034581F"/>
    <w:rsid w:val="00345A10"/>
    <w:rsid w:val="00345F57"/>
    <w:rsid w:val="003460FF"/>
    <w:rsid w:val="00346218"/>
    <w:rsid w:val="00346850"/>
    <w:rsid w:val="003469F1"/>
    <w:rsid w:val="00346ABF"/>
    <w:rsid w:val="00346B32"/>
    <w:rsid w:val="00346C45"/>
    <w:rsid w:val="00346CDC"/>
    <w:rsid w:val="00346D1A"/>
    <w:rsid w:val="00346FDB"/>
    <w:rsid w:val="00347095"/>
    <w:rsid w:val="0034761D"/>
    <w:rsid w:val="00347954"/>
    <w:rsid w:val="00347ACA"/>
    <w:rsid w:val="00347BB1"/>
    <w:rsid w:val="00347D36"/>
    <w:rsid w:val="00347D5F"/>
    <w:rsid w:val="00347EE9"/>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F38"/>
    <w:rsid w:val="003520C4"/>
    <w:rsid w:val="00352375"/>
    <w:rsid w:val="003523C1"/>
    <w:rsid w:val="003524DD"/>
    <w:rsid w:val="003527E0"/>
    <w:rsid w:val="003527F0"/>
    <w:rsid w:val="0035280A"/>
    <w:rsid w:val="003528AC"/>
    <w:rsid w:val="00352999"/>
    <w:rsid w:val="003529AB"/>
    <w:rsid w:val="00352A4C"/>
    <w:rsid w:val="00352C22"/>
    <w:rsid w:val="00352DC3"/>
    <w:rsid w:val="00352DF4"/>
    <w:rsid w:val="00352E5C"/>
    <w:rsid w:val="00352F1A"/>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50CA"/>
    <w:rsid w:val="00355184"/>
    <w:rsid w:val="003552A4"/>
    <w:rsid w:val="003555A7"/>
    <w:rsid w:val="003557A6"/>
    <w:rsid w:val="003557E3"/>
    <w:rsid w:val="003558D7"/>
    <w:rsid w:val="00355968"/>
    <w:rsid w:val="003561DF"/>
    <w:rsid w:val="00356734"/>
    <w:rsid w:val="00356900"/>
    <w:rsid w:val="00356C97"/>
    <w:rsid w:val="00357229"/>
    <w:rsid w:val="00357A03"/>
    <w:rsid w:val="00357B76"/>
    <w:rsid w:val="00357C60"/>
    <w:rsid w:val="00357CAC"/>
    <w:rsid w:val="00357D2E"/>
    <w:rsid w:val="00357EBC"/>
    <w:rsid w:val="00360066"/>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BD"/>
    <w:rsid w:val="00362F4E"/>
    <w:rsid w:val="00362F81"/>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5FB5"/>
    <w:rsid w:val="00366029"/>
    <w:rsid w:val="00366271"/>
    <w:rsid w:val="003663DA"/>
    <w:rsid w:val="0036658D"/>
    <w:rsid w:val="00366A6D"/>
    <w:rsid w:val="00366CB0"/>
    <w:rsid w:val="00366DAA"/>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C3"/>
    <w:rsid w:val="00371B5B"/>
    <w:rsid w:val="00371BB8"/>
    <w:rsid w:val="00371DE5"/>
    <w:rsid w:val="00371E3E"/>
    <w:rsid w:val="00371EF8"/>
    <w:rsid w:val="003720D2"/>
    <w:rsid w:val="00372165"/>
    <w:rsid w:val="003723CB"/>
    <w:rsid w:val="0037249A"/>
    <w:rsid w:val="003725BC"/>
    <w:rsid w:val="003729BC"/>
    <w:rsid w:val="00372A01"/>
    <w:rsid w:val="003732B2"/>
    <w:rsid w:val="00373340"/>
    <w:rsid w:val="00373643"/>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7EF"/>
    <w:rsid w:val="00377AA4"/>
    <w:rsid w:val="00377AC7"/>
    <w:rsid w:val="00377B57"/>
    <w:rsid w:val="00377DE5"/>
    <w:rsid w:val="00377E36"/>
    <w:rsid w:val="00377F4C"/>
    <w:rsid w:val="00377F7E"/>
    <w:rsid w:val="00380133"/>
    <w:rsid w:val="00380483"/>
    <w:rsid w:val="00380501"/>
    <w:rsid w:val="0038054E"/>
    <w:rsid w:val="00380689"/>
    <w:rsid w:val="00380837"/>
    <w:rsid w:val="00380873"/>
    <w:rsid w:val="003808E4"/>
    <w:rsid w:val="00380CB6"/>
    <w:rsid w:val="00380D14"/>
    <w:rsid w:val="00380D52"/>
    <w:rsid w:val="003812D5"/>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1E0"/>
    <w:rsid w:val="0038369C"/>
    <w:rsid w:val="00383D65"/>
    <w:rsid w:val="00383D69"/>
    <w:rsid w:val="00383E08"/>
    <w:rsid w:val="00384368"/>
    <w:rsid w:val="00384595"/>
    <w:rsid w:val="00384959"/>
    <w:rsid w:val="00384B20"/>
    <w:rsid w:val="00384BD4"/>
    <w:rsid w:val="00384EB1"/>
    <w:rsid w:val="00384F33"/>
    <w:rsid w:val="0038520A"/>
    <w:rsid w:val="00385227"/>
    <w:rsid w:val="00385392"/>
    <w:rsid w:val="003854C6"/>
    <w:rsid w:val="0038556B"/>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2A8"/>
    <w:rsid w:val="0039043F"/>
    <w:rsid w:val="00390A07"/>
    <w:rsid w:val="00390AB5"/>
    <w:rsid w:val="00390C2B"/>
    <w:rsid w:val="00390E48"/>
    <w:rsid w:val="00390FD1"/>
    <w:rsid w:val="00391086"/>
    <w:rsid w:val="0039118A"/>
    <w:rsid w:val="0039132D"/>
    <w:rsid w:val="00391638"/>
    <w:rsid w:val="00391779"/>
    <w:rsid w:val="003917E3"/>
    <w:rsid w:val="00391CA6"/>
    <w:rsid w:val="003920CB"/>
    <w:rsid w:val="0039213A"/>
    <w:rsid w:val="003921D2"/>
    <w:rsid w:val="0039230A"/>
    <w:rsid w:val="00392327"/>
    <w:rsid w:val="00392353"/>
    <w:rsid w:val="0039239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EA"/>
    <w:rsid w:val="00393BF7"/>
    <w:rsid w:val="00393E41"/>
    <w:rsid w:val="00394101"/>
    <w:rsid w:val="003941C0"/>
    <w:rsid w:val="00394314"/>
    <w:rsid w:val="0039447E"/>
    <w:rsid w:val="0039456E"/>
    <w:rsid w:val="00394702"/>
    <w:rsid w:val="0039477B"/>
    <w:rsid w:val="00394823"/>
    <w:rsid w:val="003948C0"/>
    <w:rsid w:val="00395373"/>
    <w:rsid w:val="003954B1"/>
    <w:rsid w:val="003957B7"/>
    <w:rsid w:val="00395876"/>
    <w:rsid w:val="00395967"/>
    <w:rsid w:val="00395B6B"/>
    <w:rsid w:val="00395C2B"/>
    <w:rsid w:val="00395E4B"/>
    <w:rsid w:val="00395FF5"/>
    <w:rsid w:val="00396080"/>
    <w:rsid w:val="0039612B"/>
    <w:rsid w:val="0039619B"/>
    <w:rsid w:val="0039653A"/>
    <w:rsid w:val="00396ADA"/>
    <w:rsid w:val="00396DFD"/>
    <w:rsid w:val="00396EB5"/>
    <w:rsid w:val="003970A7"/>
    <w:rsid w:val="0039735D"/>
    <w:rsid w:val="00397394"/>
    <w:rsid w:val="00397502"/>
    <w:rsid w:val="00397515"/>
    <w:rsid w:val="00397608"/>
    <w:rsid w:val="00397999"/>
    <w:rsid w:val="00397BFE"/>
    <w:rsid w:val="003A03C1"/>
    <w:rsid w:val="003A0486"/>
    <w:rsid w:val="003A057E"/>
    <w:rsid w:val="003A0AB9"/>
    <w:rsid w:val="003A0AD7"/>
    <w:rsid w:val="003A0C99"/>
    <w:rsid w:val="003A0D5B"/>
    <w:rsid w:val="003A0FFF"/>
    <w:rsid w:val="003A10D5"/>
    <w:rsid w:val="003A1113"/>
    <w:rsid w:val="003A13C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693"/>
    <w:rsid w:val="003A3799"/>
    <w:rsid w:val="003A38FB"/>
    <w:rsid w:val="003A3CC8"/>
    <w:rsid w:val="003A3E85"/>
    <w:rsid w:val="003A40D2"/>
    <w:rsid w:val="003A431B"/>
    <w:rsid w:val="003A4534"/>
    <w:rsid w:val="003A455D"/>
    <w:rsid w:val="003A4C0C"/>
    <w:rsid w:val="003A4E85"/>
    <w:rsid w:val="003A5178"/>
    <w:rsid w:val="003A51BE"/>
    <w:rsid w:val="003A533A"/>
    <w:rsid w:val="003A55F8"/>
    <w:rsid w:val="003A562F"/>
    <w:rsid w:val="003A5788"/>
    <w:rsid w:val="003A5964"/>
    <w:rsid w:val="003A5BCD"/>
    <w:rsid w:val="003A5E83"/>
    <w:rsid w:val="003A5FBB"/>
    <w:rsid w:val="003A61A6"/>
    <w:rsid w:val="003A6294"/>
    <w:rsid w:val="003A63A6"/>
    <w:rsid w:val="003A6719"/>
    <w:rsid w:val="003A68AE"/>
    <w:rsid w:val="003A698E"/>
    <w:rsid w:val="003A6C3E"/>
    <w:rsid w:val="003A6FA2"/>
    <w:rsid w:val="003A719D"/>
    <w:rsid w:val="003A73EB"/>
    <w:rsid w:val="003A745D"/>
    <w:rsid w:val="003A753E"/>
    <w:rsid w:val="003A78C5"/>
    <w:rsid w:val="003A7AA7"/>
    <w:rsid w:val="003A7C53"/>
    <w:rsid w:val="003A7C60"/>
    <w:rsid w:val="003A7D05"/>
    <w:rsid w:val="003A7D64"/>
    <w:rsid w:val="003B00AE"/>
    <w:rsid w:val="003B0306"/>
    <w:rsid w:val="003B07AC"/>
    <w:rsid w:val="003B08E8"/>
    <w:rsid w:val="003B09EC"/>
    <w:rsid w:val="003B0B19"/>
    <w:rsid w:val="003B0CA6"/>
    <w:rsid w:val="003B0D96"/>
    <w:rsid w:val="003B0D9A"/>
    <w:rsid w:val="003B0E65"/>
    <w:rsid w:val="003B0FFF"/>
    <w:rsid w:val="003B121F"/>
    <w:rsid w:val="003B122B"/>
    <w:rsid w:val="003B126E"/>
    <w:rsid w:val="003B1511"/>
    <w:rsid w:val="003B1A0F"/>
    <w:rsid w:val="003B1AC0"/>
    <w:rsid w:val="003B1D6F"/>
    <w:rsid w:val="003B1E78"/>
    <w:rsid w:val="003B1FE6"/>
    <w:rsid w:val="003B2035"/>
    <w:rsid w:val="003B21DA"/>
    <w:rsid w:val="003B223B"/>
    <w:rsid w:val="003B2502"/>
    <w:rsid w:val="003B264E"/>
    <w:rsid w:val="003B2664"/>
    <w:rsid w:val="003B27CC"/>
    <w:rsid w:val="003B2CF2"/>
    <w:rsid w:val="003B2ED1"/>
    <w:rsid w:val="003B2F25"/>
    <w:rsid w:val="003B3002"/>
    <w:rsid w:val="003B30AB"/>
    <w:rsid w:val="003B3249"/>
    <w:rsid w:val="003B3E4A"/>
    <w:rsid w:val="003B480C"/>
    <w:rsid w:val="003B486E"/>
    <w:rsid w:val="003B48F2"/>
    <w:rsid w:val="003B4956"/>
    <w:rsid w:val="003B497D"/>
    <w:rsid w:val="003B4AA6"/>
    <w:rsid w:val="003B4C86"/>
    <w:rsid w:val="003B4E1F"/>
    <w:rsid w:val="003B4E60"/>
    <w:rsid w:val="003B504D"/>
    <w:rsid w:val="003B5128"/>
    <w:rsid w:val="003B5268"/>
    <w:rsid w:val="003B5445"/>
    <w:rsid w:val="003B5675"/>
    <w:rsid w:val="003B58A1"/>
    <w:rsid w:val="003B5B4D"/>
    <w:rsid w:val="003B60FB"/>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3CC"/>
    <w:rsid w:val="003C04AB"/>
    <w:rsid w:val="003C04B8"/>
    <w:rsid w:val="003C052A"/>
    <w:rsid w:val="003C0915"/>
    <w:rsid w:val="003C0D7F"/>
    <w:rsid w:val="003C0E4E"/>
    <w:rsid w:val="003C12A0"/>
    <w:rsid w:val="003C1550"/>
    <w:rsid w:val="003C159E"/>
    <w:rsid w:val="003C169B"/>
    <w:rsid w:val="003C19B8"/>
    <w:rsid w:val="003C19E0"/>
    <w:rsid w:val="003C1A9A"/>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C36"/>
    <w:rsid w:val="003C7D93"/>
    <w:rsid w:val="003D0071"/>
    <w:rsid w:val="003D0106"/>
    <w:rsid w:val="003D03B4"/>
    <w:rsid w:val="003D0D10"/>
    <w:rsid w:val="003D11E9"/>
    <w:rsid w:val="003D1254"/>
    <w:rsid w:val="003D1397"/>
    <w:rsid w:val="003D13BC"/>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C7"/>
    <w:rsid w:val="003D3981"/>
    <w:rsid w:val="003D3CD3"/>
    <w:rsid w:val="003D3CF9"/>
    <w:rsid w:val="003D40F5"/>
    <w:rsid w:val="003D414E"/>
    <w:rsid w:val="003D423A"/>
    <w:rsid w:val="003D42C0"/>
    <w:rsid w:val="003D43D3"/>
    <w:rsid w:val="003D488D"/>
    <w:rsid w:val="003D4906"/>
    <w:rsid w:val="003D4A42"/>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6C85"/>
    <w:rsid w:val="003D7368"/>
    <w:rsid w:val="003D7589"/>
    <w:rsid w:val="003D775F"/>
    <w:rsid w:val="003D7A34"/>
    <w:rsid w:val="003D7A93"/>
    <w:rsid w:val="003D7AB7"/>
    <w:rsid w:val="003D7BA7"/>
    <w:rsid w:val="003E0153"/>
    <w:rsid w:val="003E0495"/>
    <w:rsid w:val="003E051D"/>
    <w:rsid w:val="003E05FE"/>
    <w:rsid w:val="003E063B"/>
    <w:rsid w:val="003E0645"/>
    <w:rsid w:val="003E06E1"/>
    <w:rsid w:val="003E0902"/>
    <w:rsid w:val="003E119D"/>
    <w:rsid w:val="003E1223"/>
    <w:rsid w:val="003E12C2"/>
    <w:rsid w:val="003E135D"/>
    <w:rsid w:val="003E1520"/>
    <w:rsid w:val="003E17E4"/>
    <w:rsid w:val="003E1DC8"/>
    <w:rsid w:val="003E21A8"/>
    <w:rsid w:val="003E22EF"/>
    <w:rsid w:val="003E281C"/>
    <w:rsid w:val="003E292E"/>
    <w:rsid w:val="003E2A2E"/>
    <w:rsid w:val="003E2B3B"/>
    <w:rsid w:val="003E2B91"/>
    <w:rsid w:val="003E2D06"/>
    <w:rsid w:val="003E2F5F"/>
    <w:rsid w:val="003E2F7A"/>
    <w:rsid w:val="003E30A6"/>
    <w:rsid w:val="003E3327"/>
    <w:rsid w:val="003E3356"/>
    <w:rsid w:val="003E3366"/>
    <w:rsid w:val="003E36B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C4"/>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E7CCF"/>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8C"/>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2436"/>
    <w:rsid w:val="004029DB"/>
    <w:rsid w:val="004029DF"/>
    <w:rsid w:val="004029EC"/>
    <w:rsid w:val="00402ABC"/>
    <w:rsid w:val="00402B36"/>
    <w:rsid w:val="00402FE5"/>
    <w:rsid w:val="0040303D"/>
    <w:rsid w:val="004031A5"/>
    <w:rsid w:val="0040321A"/>
    <w:rsid w:val="004032E4"/>
    <w:rsid w:val="00403574"/>
    <w:rsid w:val="004037EE"/>
    <w:rsid w:val="00403820"/>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3F1"/>
    <w:rsid w:val="0040567F"/>
    <w:rsid w:val="004056C1"/>
    <w:rsid w:val="00405789"/>
    <w:rsid w:val="00405940"/>
    <w:rsid w:val="00405BB1"/>
    <w:rsid w:val="00405C17"/>
    <w:rsid w:val="00405C81"/>
    <w:rsid w:val="00405CFC"/>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07EF9"/>
    <w:rsid w:val="004100CC"/>
    <w:rsid w:val="004100F9"/>
    <w:rsid w:val="00410544"/>
    <w:rsid w:val="0041090A"/>
    <w:rsid w:val="004109BA"/>
    <w:rsid w:val="00410B05"/>
    <w:rsid w:val="00410C20"/>
    <w:rsid w:val="00410E28"/>
    <w:rsid w:val="0041102E"/>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6F17"/>
    <w:rsid w:val="0041700F"/>
    <w:rsid w:val="00417323"/>
    <w:rsid w:val="0041744C"/>
    <w:rsid w:val="0041748D"/>
    <w:rsid w:val="00417A97"/>
    <w:rsid w:val="00417CB1"/>
    <w:rsid w:val="00417E6C"/>
    <w:rsid w:val="004201A9"/>
    <w:rsid w:val="00420342"/>
    <w:rsid w:val="0042035E"/>
    <w:rsid w:val="0042059F"/>
    <w:rsid w:val="0042075F"/>
    <w:rsid w:val="00420950"/>
    <w:rsid w:val="00420A3C"/>
    <w:rsid w:val="00420A7F"/>
    <w:rsid w:val="00420C49"/>
    <w:rsid w:val="00420DA9"/>
    <w:rsid w:val="00420DB7"/>
    <w:rsid w:val="00420DC6"/>
    <w:rsid w:val="00420F35"/>
    <w:rsid w:val="00420FE6"/>
    <w:rsid w:val="0042128D"/>
    <w:rsid w:val="00421484"/>
    <w:rsid w:val="004214DB"/>
    <w:rsid w:val="004215B8"/>
    <w:rsid w:val="00421BFB"/>
    <w:rsid w:val="00421D59"/>
    <w:rsid w:val="00421EB3"/>
    <w:rsid w:val="00422424"/>
    <w:rsid w:val="004226C2"/>
    <w:rsid w:val="004226E7"/>
    <w:rsid w:val="00422C04"/>
    <w:rsid w:val="0042301A"/>
    <w:rsid w:val="00423170"/>
    <w:rsid w:val="004232CD"/>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0DE"/>
    <w:rsid w:val="0042512C"/>
    <w:rsid w:val="00425318"/>
    <w:rsid w:val="00425693"/>
    <w:rsid w:val="004257F4"/>
    <w:rsid w:val="00425A07"/>
    <w:rsid w:val="00425A93"/>
    <w:rsid w:val="00425AF3"/>
    <w:rsid w:val="00425C32"/>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86E"/>
    <w:rsid w:val="004279F1"/>
    <w:rsid w:val="00427BC9"/>
    <w:rsid w:val="00427EB3"/>
    <w:rsid w:val="00430090"/>
    <w:rsid w:val="004300DC"/>
    <w:rsid w:val="004302BA"/>
    <w:rsid w:val="004304C5"/>
    <w:rsid w:val="004305CC"/>
    <w:rsid w:val="004306C8"/>
    <w:rsid w:val="004306F8"/>
    <w:rsid w:val="00430815"/>
    <w:rsid w:val="00430BC1"/>
    <w:rsid w:val="00430BDB"/>
    <w:rsid w:val="0043101F"/>
    <w:rsid w:val="004310ED"/>
    <w:rsid w:val="00431249"/>
    <w:rsid w:val="004313E7"/>
    <w:rsid w:val="0043176C"/>
    <w:rsid w:val="00431A06"/>
    <w:rsid w:val="00431EB8"/>
    <w:rsid w:val="00431FE3"/>
    <w:rsid w:val="00432295"/>
    <w:rsid w:val="004322D9"/>
    <w:rsid w:val="004323E2"/>
    <w:rsid w:val="0043266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F99"/>
    <w:rsid w:val="00436013"/>
    <w:rsid w:val="004364B0"/>
    <w:rsid w:val="004364CA"/>
    <w:rsid w:val="0043666B"/>
    <w:rsid w:val="004369BA"/>
    <w:rsid w:val="00436B53"/>
    <w:rsid w:val="00436BE3"/>
    <w:rsid w:val="00436BFB"/>
    <w:rsid w:val="00437070"/>
    <w:rsid w:val="00437083"/>
    <w:rsid w:val="004370F8"/>
    <w:rsid w:val="004371A5"/>
    <w:rsid w:val="004376DC"/>
    <w:rsid w:val="0043770F"/>
    <w:rsid w:val="0043793E"/>
    <w:rsid w:val="00437AB3"/>
    <w:rsid w:val="00437ABC"/>
    <w:rsid w:val="00437CDD"/>
    <w:rsid w:val="00437D0E"/>
    <w:rsid w:val="00437E2E"/>
    <w:rsid w:val="00440015"/>
    <w:rsid w:val="004406C1"/>
    <w:rsid w:val="004408D1"/>
    <w:rsid w:val="00440C6C"/>
    <w:rsid w:val="00440DD7"/>
    <w:rsid w:val="00440DED"/>
    <w:rsid w:val="00440EC0"/>
    <w:rsid w:val="00440ECF"/>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117"/>
    <w:rsid w:val="0044440B"/>
    <w:rsid w:val="0044472F"/>
    <w:rsid w:val="00444783"/>
    <w:rsid w:val="00444C59"/>
    <w:rsid w:val="00444ED1"/>
    <w:rsid w:val="00444FC6"/>
    <w:rsid w:val="0044506C"/>
    <w:rsid w:val="00445422"/>
    <w:rsid w:val="00445540"/>
    <w:rsid w:val="0044563B"/>
    <w:rsid w:val="004457C8"/>
    <w:rsid w:val="004457EE"/>
    <w:rsid w:val="00445971"/>
    <w:rsid w:val="00445A46"/>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2DB"/>
    <w:rsid w:val="004504F0"/>
    <w:rsid w:val="004504FE"/>
    <w:rsid w:val="00450D1F"/>
    <w:rsid w:val="00450D50"/>
    <w:rsid w:val="00451076"/>
    <w:rsid w:val="004510BF"/>
    <w:rsid w:val="004511CD"/>
    <w:rsid w:val="0045139D"/>
    <w:rsid w:val="004513B1"/>
    <w:rsid w:val="004514CB"/>
    <w:rsid w:val="00451A83"/>
    <w:rsid w:val="00451DAF"/>
    <w:rsid w:val="0045212E"/>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330"/>
    <w:rsid w:val="00454349"/>
    <w:rsid w:val="0045438B"/>
    <w:rsid w:val="0045446D"/>
    <w:rsid w:val="004546D5"/>
    <w:rsid w:val="004546E5"/>
    <w:rsid w:val="004546EB"/>
    <w:rsid w:val="0045475C"/>
    <w:rsid w:val="004548F0"/>
    <w:rsid w:val="00454DA3"/>
    <w:rsid w:val="004550A0"/>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57FC3"/>
    <w:rsid w:val="00460043"/>
    <w:rsid w:val="00460089"/>
    <w:rsid w:val="00460158"/>
    <w:rsid w:val="00460601"/>
    <w:rsid w:val="00460657"/>
    <w:rsid w:val="00460ECA"/>
    <w:rsid w:val="00460EEC"/>
    <w:rsid w:val="0046118C"/>
    <w:rsid w:val="0046118E"/>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C7D"/>
    <w:rsid w:val="00464CE2"/>
    <w:rsid w:val="00464FA8"/>
    <w:rsid w:val="00465122"/>
    <w:rsid w:val="00465359"/>
    <w:rsid w:val="0046546D"/>
    <w:rsid w:val="0046551D"/>
    <w:rsid w:val="00465551"/>
    <w:rsid w:val="004655AA"/>
    <w:rsid w:val="004657B2"/>
    <w:rsid w:val="004658C5"/>
    <w:rsid w:val="00465A5B"/>
    <w:rsid w:val="00465C3D"/>
    <w:rsid w:val="004660F6"/>
    <w:rsid w:val="00466269"/>
    <w:rsid w:val="004664F0"/>
    <w:rsid w:val="00466608"/>
    <w:rsid w:val="0046667A"/>
    <w:rsid w:val="00466735"/>
    <w:rsid w:val="0046698F"/>
    <w:rsid w:val="00466A2B"/>
    <w:rsid w:val="00466FCB"/>
    <w:rsid w:val="004671AE"/>
    <w:rsid w:val="004672B1"/>
    <w:rsid w:val="004672EF"/>
    <w:rsid w:val="0046732E"/>
    <w:rsid w:val="004673CB"/>
    <w:rsid w:val="00467859"/>
    <w:rsid w:val="00467B4A"/>
    <w:rsid w:val="00467B78"/>
    <w:rsid w:val="00467D61"/>
    <w:rsid w:val="00467E22"/>
    <w:rsid w:val="00467F23"/>
    <w:rsid w:val="00467F80"/>
    <w:rsid w:val="00470485"/>
    <w:rsid w:val="00470488"/>
    <w:rsid w:val="004708AC"/>
    <w:rsid w:val="004708D7"/>
    <w:rsid w:val="004709C6"/>
    <w:rsid w:val="00470C3E"/>
    <w:rsid w:val="00470F91"/>
    <w:rsid w:val="00470FBD"/>
    <w:rsid w:val="00471045"/>
    <w:rsid w:val="0047120E"/>
    <w:rsid w:val="0047127F"/>
    <w:rsid w:val="00471331"/>
    <w:rsid w:val="00471345"/>
    <w:rsid w:val="004713D5"/>
    <w:rsid w:val="0047162A"/>
    <w:rsid w:val="00471738"/>
    <w:rsid w:val="0047187B"/>
    <w:rsid w:val="00471B19"/>
    <w:rsid w:val="00471BD6"/>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A10"/>
    <w:rsid w:val="00472C48"/>
    <w:rsid w:val="00472EB7"/>
    <w:rsid w:val="004730D6"/>
    <w:rsid w:val="004733C3"/>
    <w:rsid w:val="0047351A"/>
    <w:rsid w:val="004736AF"/>
    <w:rsid w:val="00473983"/>
    <w:rsid w:val="00473B52"/>
    <w:rsid w:val="00473BCA"/>
    <w:rsid w:val="00473E75"/>
    <w:rsid w:val="00473F03"/>
    <w:rsid w:val="00473F20"/>
    <w:rsid w:val="00473F99"/>
    <w:rsid w:val="00474059"/>
    <w:rsid w:val="004740DE"/>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80B"/>
    <w:rsid w:val="004759D6"/>
    <w:rsid w:val="00475DDF"/>
    <w:rsid w:val="00475EF9"/>
    <w:rsid w:val="004760A4"/>
    <w:rsid w:val="0047611A"/>
    <w:rsid w:val="00476129"/>
    <w:rsid w:val="0047639C"/>
    <w:rsid w:val="0047645E"/>
    <w:rsid w:val="0047647F"/>
    <w:rsid w:val="00476816"/>
    <w:rsid w:val="00476822"/>
    <w:rsid w:val="004768A1"/>
    <w:rsid w:val="004769D3"/>
    <w:rsid w:val="00477B54"/>
    <w:rsid w:val="00477B57"/>
    <w:rsid w:val="00477F43"/>
    <w:rsid w:val="00480096"/>
    <w:rsid w:val="004802F4"/>
    <w:rsid w:val="004807A8"/>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88C"/>
    <w:rsid w:val="00484A1F"/>
    <w:rsid w:val="00484B12"/>
    <w:rsid w:val="00484B2D"/>
    <w:rsid w:val="00484B3E"/>
    <w:rsid w:val="00484EE4"/>
    <w:rsid w:val="004850FD"/>
    <w:rsid w:val="004852EE"/>
    <w:rsid w:val="00485404"/>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79"/>
    <w:rsid w:val="004928AB"/>
    <w:rsid w:val="00492C7F"/>
    <w:rsid w:val="00492CBA"/>
    <w:rsid w:val="00492D8E"/>
    <w:rsid w:val="00492E55"/>
    <w:rsid w:val="00493259"/>
    <w:rsid w:val="00493278"/>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EF5"/>
    <w:rsid w:val="00495188"/>
    <w:rsid w:val="0049534C"/>
    <w:rsid w:val="004958F4"/>
    <w:rsid w:val="00495930"/>
    <w:rsid w:val="00495A40"/>
    <w:rsid w:val="00495A52"/>
    <w:rsid w:val="00495B6C"/>
    <w:rsid w:val="00495DC4"/>
    <w:rsid w:val="00495E2B"/>
    <w:rsid w:val="00495F6D"/>
    <w:rsid w:val="00495FA6"/>
    <w:rsid w:val="0049656B"/>
    <w:rsid w:val="0049674B"/>
    <w:rsid w:val="00496C69"/>
    <w:rsid w:val="00496D74"/>
    <w:rsid w:val="00496E65"/>
    <w:rsid w:val="004972F2"/>
    <w:rsid w:val="00497318"/>
    <w:rsid w:val="004976CB"/>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321"/>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0F6"/>
    <w:rsid w:val="004A5161"/>
    <w:rsid w:val="004A54A9"/>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1FFA"/>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133"/>
    <w:rsid w:val="004B5240"/>
    <w:rsid w:val="004B5274"/>
    <w:rsid w:val="004B5524"/>
    <w:rsid w:val="004B5553"/>
    <w:rsid w:val="004B5658"/>
    <w:rsid w:val="004B5761"/>
    <w:rsid w:val="004B578D"/>
    <w:rsid w:val="004B5AA5"/>
    <w:rsid w:val="004B5B4D"/>
    <w:rsid w:val="004B5B6A"/>
    <w:rsid w:val="004B5C1D"/>
    <w:rsid w:val="004B5E15"/>
    <w:rsid w:val="004B5E50"/>
    <w:rsid w:val="004B6079"/>
    <w:rsid w:val="004B6107"/>
    <w:rsid w:val="004B6132"/>
    <w:rsid w:val="004B6150"/>
    <w:rsid w:val="004B6486"/>
    <w:rsid w:val="004B65C1"/>
    <w:rsid w:val="004B662A"/>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3D"/>
    <w:rsid w:val="004C0490"/>
    <w:rsid w:val="004C0721"/>
    <w:rsid w:val="004C100B"/>
    <w:rsid w:val="004C130F"/>
    <w:rsid w:val="004C1409"/>
    <w:rsid w:val="004C147D"/>
    <w:rsid w:val="004C153A"/>
    <w:rsid w:val="004C16AA"/>
    <w:rsid w:val="004C19F0"/>
    <w:rsid w:val="004C1D42"/>
    <w:rsid w:val="004C2112"/>
    <w:rsid w:val="004C2120"/>
    <w:rsid w:val="004C228C"/>
    <w:rsid w:val="004C22D4"/>
    <w:rsid w:val="004C22FC"/>
    <w:rsid w:val="004C2590"/>
    <w:rsid w:val="004C2840"/>
    <w:rsid w:val="004C288A"/>
    <w:rsid w:val="004C2F53"/>
    <w:rsid w:val="004C2F6C"/>
    <w:rsid w:val="004C306D"/>
    <w:rsid w:val="004C325D"/>
    <w:rsid w:val="004C32FF"/>
    <w:rsid w:val="004C3317"/>
    <w:rsid w:val="004C36AD"/>
    <w:rsid w:val="004C36B4"/>
    <w:rsid w:val="004C3976"/>
    <w:rsid w:val="004C39EC"/>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C7EEE"/>
    <w:rsid w:val="004D036F"/>
    <w:rsid w:val="004D03CC"/>
    <w:rsid w:val="004D053C"/>
    <w:rsid w:val="004D05FF"/>
    <w:rsid w:val="004D074C"/>
    <w:rsid w:val="004D0872"/>
    <w:rsid w:val="004D0CF5"/>
    <w:rsid w:val="004D0E23"/>
    <w:rsid w:val="004D0E72"/>
    <w:rsid w:val="004D0FEC"/>
    <w:rsid w:val="004D10AC"/>
    <w:rsid w:val="004D10FD"/>
    <w:rsid w:val="004D1154"/>
    <w:rsid w:val="004D1757"/>
    <w:rsid w:val="004D1811"/>
    <w:rsid w:val="004D1A6D"/>
    <w:rsid w:val="004D1B15"/>
    <w:rsid w:val="004D2246"/>
    <w:rsid w:val="004D22EF"/>
    <w:rsid w:val="004D2476"/>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D1C"/>
    <w:rsid w:val="004D4F45"/>
    <w:rsid w:val="004D4FA6"/>
    <w:rsid w:val="004D5082"/>
    <w:rsid w:val="004D526C"/>
    <w:rsid w:val="004D52F3"/>
    <w:rsid w:val="004D543A"/>
    <w:rsid w:val="004D5590"/>
    <w:rsid w:val="004D55D0"/>
    <w:rsid w:val="004D57ED"/>
    <w:rsid w:val="004D58C0"/>
    <w:rsid w:val="004D598D"/>
    <w:rsid w:val="004D5BE8"/>
    <w:rsid w:val="004D5E46"/>
    <w:rsid w:val="004D64B2"/>
    <w:rsid w:val="004D66D9"/>
    <w:rsid w:val="004D6765"/>
    <w:rsid w:val="004D679C"/>
    <w:rsid w:val="004D6B60"/>
    <w:rsid w:val="004D6FC1"/>
    <w:rsid w:val="004D7442"/>
    <w:rsid w:val="004D7568"/>
    <w:rsid w:val="004D78AA"/>
    <w:rsid w:val="004D79C6"/>
    <w:rsid w:val="004D7EDE"/>
    <w:rsid w:val="004D7FA6"/>
    <w:rsid w:val="004E00B0"/>
    <w:rsid w:val="004E0375"/>
    <w:rsid w:val="004E053E"/>
    <w:rsid w:val="004E081B"/>
    <w:rsid w:val="004E0A30"/>
    <w:rsid w:val="004E0A50"/>
    <w:rsid w:val="004E0D8B"/>
    <w:rsid w:val="004E1045"/>
    <w:rsid w:val="004E10CE"/>
    <w:rsid w:val="004E11DD"/>
    <w:rsid w:val="004E1201"/>
    <w:rsid w:val="004E16E4"/>
    <w:rsid w:val="004E19C3"/>
    <w:rsid w:val="004E1D7B"/>
    <w:rsid w:val="004E1FF2"/>
    <w:rsid w:val="004E2740"/>
    <w:rsid w:val="004E2772"/>
    <w:rsid w:val="004E2A8E"/>
    <w:rsid w:val="004E2DF0"/>
    <w:rsid w:val="004E2EAE"/>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34"/>
    <w:rsid w:val="004F0F71"/>
    <w:rsid w:val="004F0FB3"/>
    <w:rsid w:val="004F0FD2"/>
    <w:rsid w:val="004F104B"/>
    <w:rsid w:val="004F1073"/>
    <w:rsid w:val="004F128F"/>
    <w:rsid w:val="004F1420"/>
    <w:rsid w:val="004F15DE"/>
    <w:rsid w:val="004F1A6A"/>
    <w:rsid w:val="004F1DDB"/>
    <w:rsid w:val="004F1F4D"/>
    <w:rsid w:val="004F1FD7"/>
    <w:rsid w:val="004F2217"/>
    <w:rsid w:val="004F22E1"/>
    <w:rsid w:val="004F2607"/>
    <w:rsid w:val="004F26DA"/>
    <w:rsid w:val="004F292C"/>
    <w:rsid w:val="004F2A6D"/>
    <w:rsid w:val="004F2BAB"/>
    <w:rsid w:val="004F2BDE"/>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FDD"/>
    <w:rsid w:val="004F50AD"/>
    <w:rsid w:val="004F535D"/>
    <w:rsid w:val="004F54BD"/>
    <w:rsid w:val="004F599C"/>
    <w:rsid w:val="004F6066"/>
    <w:rsid w:val="004F6349"/>
    <w:rsid w:val="004F639C"/>
    <w:rsid w:val="004F6435"/>
    <w:rsid w:val="004F66C8"/>
    <w:rsid w:val="004F670B"/>
    <w:rsid w:val="004F68E3"/>
    <w:rsid w:val="004F6B36"/>
    <w:rsid w:val="004F6DC6"/>
    <w:rsid w:val="004F6E67"/>
    <w:rsid w:val="004F70B5"/>
    <w:rsid w:val="004F746A"/>
    <w:rsid w:val="004F75F7"/>
    <w:rsid w:val="004F7691"/>
    <w:rsid w:val="004F78C8"/>
    <w:rsid w:val="004F79A5"/>
    <w:rsid w:val="004F7A5D"/>
    <w:rsid w:val="004F7B83"/>
    <w:rsid w:val="004F7D30"/>
    <w:rsid w:val="004F7DAE"/>
    <w:rsid w:val="0050023C"/>
    <w:rsid w:val="0050058B"/>
    <w:rsid w:val="00500AC9"/>
    <w:rsid w:val="00500DA9"/>
    <w:rsid w:val="00500FA8"/>
    <w:rsid w:val="005013E9"/>
    <w:rsid w:val="00501649"/>
    <w:rsid w:val="00501682"/>
    <w:rsid w:val="005016C9"/>
    <w:rsid w:val="005017FC"/>
    <w:rsid w:val="00501942"/>
    <w:rsid w:val="00501BD4"/>
    <w:rsid w:val="00501E75"/>
    <w:rsid w:val="005021DA"/>
    <w:rsid w:val="005024F5"/>
    <w:rsid w:val="00502573"/>
    <w:rsid w:val="0050271D"/>
    <w:rsid w:val="00502728"/>
    <w:rsid w:val="00502DA6"/>
    <w:rsid w:val="0050319D"/>
    <w:rsid w:val="005031B4"/>
    <w:rsid w:val="00503228"/>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DE1"/>
    <w:rsid w:val="00506E0A"/>
    <w:rsid w:val="00506F88"/>
    <w:rsid w:val="00506FF0"/>
    <w:rsid w:val="0050706E"/>
    <w:rsid w:val="0050711A"/>
    <w:rsid w:val="00507275"/>
    <w:rsid w:val="00507290"/>
    <w:rsid w:val="00507397"/>
    <w:rsid w:val="0050741D"/>
    <w:rsid w:val="00507698"/>
    <w:rsid w:val="00507A8B"/>
    <w:rsid w:val="00507CF5"/>
    <w:rsid w:val="00507DD1"/>
    <w:rsid w:val="00507EC6"/>
    <w:rsid w:val="005100D9"/>
    <w:rsid w:val="0051058D"/>
    <w:rsid w:val="0051066B"/>
    <w:rsid w:val="00510766"/>
    <w:rsid w:val="0051082E"/>
    <w:rsid w:val="00510C64"/>
    <w:rsid w:val="005110C6"/>
    <w:rsid w:val="00511373"/>
    <w:rsid w:val="0051152D"/>
    <w:rsid w:val="0051158C"/>
    <w:rsid w:val="00511773"/>
    <w:rsid w:val="00511991"/>
    <w:rsid w:val="00511B2D"/>
    <w:rsid w:val="00511BAD"/>
    <w:rsid w:val="00511C30"/>
    <w:rsid w:val="00511F0E"/>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753"/>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A3B"/>
    <w:rsid w:val="00516B04"/>
    <w:rsid w:val="00517139"/>
    <w:rsid w:val="0051713F"/>
    <w:rsid w:val="00517299"/>
    <w:rsid w:val="005176F7"/>
    <w:rsid w:val="005177DB"/>
    <w:rsid w:val="00517871"/>
    <w:rsid w:val="005178F0"/>
    <w:rsid w:val="00517A3D"/>
    <w:rsid w:val="00517A74"/>
    <w:rsid w:val="00517EE4"/>
    <w:rsid w:val="0052052D"/>
    <w:rsid w:val="005205B6"/>
    <w:rsid w:val="00520A8B"/>
    <w:rsid w:val="00521016"/>
    <w:rsid w:val="005210E0"/>
    <w:rsid w:val="0052125C"/>
    <w:rsid w:val="005215D4"/>
    <w:rsid w:val="00521663"/>
    <w:rsid w:val="005217E8"/>
    <w:rsid w:val="00521851"/>
    <w:rsid w:val="005218CE"/>
    <w:rsid w:val="0052192E"/>
    <w:rsid w:val="005224FF"/>
    <w:rsid w:val="005226C2"/>
    <w:rsid w:val="0052276E"/>
    <w:rsid w:val="005227C6"/>
    <w:rsid w:val="00522C96"/>
    <w:rsid w:val="00523026"/>
    <w:rsid w:val="0052311F"/>
    <w:rsid w:val="00523423"/>
    <w:rsid w:val="00523489"/>
    <w:rsid w:val="005236A9"/>
    <w:rsid w:val="00523A6C"/>
    <w:rsid w:val="00523AFF"/>
    <w:rsid w:val="00523B93"/>
    <w:rsid w:val="00523CE4"/>
    <w:rsid w:val="00523E4B"/>
    <w:rsid w:val="0052411F"/>
    <w:rsid w:val="0052419E"/>
    <w:rsid w:val="005242D1"/>
    <w:rsid w:val="005242D2"/>
    <w:rsid w:val="00524475"/>
    <w:rsid w:val="005244CF"/>
    <w:rsid w:val="005245EB"/>
    <w:rsid w:val="0052471D"/>
    <w:rsid w:val="00524A19"/>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14"/>
    <w:rsid w:val="00530578"/>
    <w:rsid w:val="00530842"/>
    <w:rsid w:val="005309FA"/>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A7"/>
    <w:rsid w:val="005327D2"/>
    <w:rsid w:val="005327E8"/>
    <w:rsid w:val="005328F9"/>
    <w:rsid w:val="00532BE3"/>
    <w:rsid w:val="00532E4F"/>
    <w:rsid w:val="00532E86"/>
    <w:rsid w:val="00533568"/>
    <w:rsid w:val="005335C9"/>
    <w:rsid w:val="005338EA"/>
    <w:rsid w:val="00533912"/>
    <w:rsid w:val="00533C0A"/>
    <w:rsid w:val="00533C2D"/>
    <w:rsid w:val="00533C64"/>
    <w:rsid w:val="00533F25"/>
    <w:rsid w:val="00533FD9"/>
    <w:rsid w:val="005341C6"/>
    <w:rsid w:val="00534376"/>
    <w:rsid w:val="0053484F"/>
    <w:rsid w:val="00534959"/>
    <w:rsid w:val="00534BBD"/>
    <w:rsid w:val="00534CDA"/>
    <w:rsid w:val="00534E54"/>
    <w:rsid w:val="00534FA7"/>
    <w:rsid w:val="005350A7"/>
    <w:rsid w:val="005354FC"/>
    <w:rsid w:val="005355D8"/>
    <w:rsid w:val="00535804"/>
    <w:rsid w:val="0053592A"/>
    <w:rsid w:val="00535C12"/>
    <w:rsid w:val="00535D55"/>
    <w:rsid w:val="00535DC6"/>
    <w:rsid w:val="00535DC8"/>
    <w:rsid w:val="00535F8D"/>
    <w:rsid w:val="005361BB"/>
    <w:rsid w:val="005362B0"/>
    <w:rsid w:val="005363D2"/>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983"/>
    <w:rsid w:val="005439C6"/>
    <w:rsid w:val="00543AC9"/>
    <w:rsid w:val="00543AE6"/>
    <w:rsid w:val="00543B25"/>
    <w:rsid w:val="00543BCD"/>
    <w:rsid w:val="00543DE6"/>
    <w:rsid w:val="00543F80"/>
    <w:rsid w:val="0054402D"/>
    <w:rsid w:val="00544071"/>
    <w:rsid w:val="005441A7"/>
    <w:rsid w:val="005446DB"/>
    <w:rsid w:val="0054492F"/>
    <w:rsid w:val="00544BD5"/>
    <w:rsid w:val="00545039"/>
    <w:rsid w:val="0054510E"/>
    <w:rsid w:val="00545139"/>
    <w:rsid w:val="00545171"/>
    <w:rsid w:val="00545239"/>
    <w:rsid w:val="00545306"/>
    <w:rsid w:val="0054552D"/>
    <w:rsid w:val="00545B6F"/>
    <w:rsid w:val="00545B72"/>
    <w:rsid w:val="00545D40"/>
    <w:rsid w:val="00545DCC"/>
    <w:rsid w:val="00545EE0"/>
    <w:rsid w:val="00545EE7"/>
    <w:rsid w:val="00546087"/>
    <w:rsid w:val="0054637F"/>
    <w:rsid w:val="00546442"/>
    <w:rsid w:val="005465AC"/>
    <w:rsid w:val="00546609"/>
    <w:rsid w:val="005466B5"/>
    <w:rsid w:val="005467F8"/>
    <w:rsid w:val="0054685F"/>
    <w:rsid w:val="00546860"/>
    <w:rsid w:val="00546C93"/>
    <w:rsid w:val="00547183"/>
    <w:rsid w:val="005471CF"/>
    <w:rsid w:val="005473EF"/>
    <w:rsid w:val="00547524"/>
    <w:rsid w:val="005475CC"/>
    <w:rsid w:val="005476CA"/>
    <w:rsid w:val="005478D7"/>
    <w:rsid w:val="00547F9C"/>
    <w:rsid w:val="005501FB"/>
    <w:rsid w:val="005503D2"/>
    <w:rsid w:val="005505D4"/>
    <w:rsid w:val="005506ED"/>
    <w:rsid w:val="00550771"/>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A67"/>
    <w:rsid w:val="00556E9E"/>
    <w:rsid w:val="00557648"/>
    <w:rsid w:val="00557649"/>
    <w:rsid w:val="005577C4"/>
    <w:rsid w:val="00557D30"/>
    <w:rsid w:val="00560344"/>
    <w:rsid w:val="005603D9"/>
    <w:rsid w:val="00560420"/>
    <w:rsid w:val="0056044E"/>
    <w:rsid w:val="0056055F"/>
    <w:rsid w:val="005607CA"/>
    <w:rsid w:val="005608DB"/>
    <w:rsid w:val="00560CA5"/>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B4A"/>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5F1"/>
    <w:rsid w:val="0056585F"/>
    <w:rsid w:val="005658E6"/>
    <w:rsid w:val="00565904"/>
    <w:rsid w:val="00565AB3"/>
    <w:rsid w:val="00566005"/>
    <w:rsid w:val="0056601C"/>
    <w:rsid w:val="00566244"/>
    <w:rsid w:val="00566418"/>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04"/>
    <w:rsid w:val="00570154"/>
    <w:rsid w:val="00570896"/>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78"/>
    <w:rsid w:val="00573AC3"/>
    <w:rsid w:val="00573E28"/>
    <w:rsid w:val="005740C0"/>
    <w:rsid w:val="00574280"/>
    <w:rsid w:val="005742E1"/>
    <w:rsid w:val="00574424"/>
    <w:rsid w:val="005744BF"/>
    <w:rsid w:val="0057456B"/>
    <w:rsid w:val="00574C88"/>
    <w:rsid w:val="00574F21"/>
    <w:rsid w:val="00575315"/>
    <w:rsid w:val="00575506"/>
    <w:rsid w:val="00575E57"/>
    <w:rsid w:val="0057601E"/>
    <w:rsid w:val="005760AC"/>
    <w:rsid w:val="0057618A"/>
    <w:rsid w:val="00576235"/>
    <w:rsid w:val="0057636D"/>
    <w:rsid w:val="005763AD"/>
    <w:rsid w:val="005763B8"/>
    <w:rsid w:val="00576504"/>
    <w:rsid w:val="005765DC"/>
    <w:rsid w:val="00576638"/>
    <w:rsid w:val="00576715"/>
    <w:rsid w:val="00576BA6"/>
    <w:rsid w:val="00576CBE"/>
    <w:rsid w:val="00576F8C"/>
    <w:rsid w:val="00576F91"/>
    <w:rsid w:val="005770B2"/>
    <w:rsid w:val="0057717F"/>
    <w:rsid w:val="00577375"/>
    <w:rsid w:val="00577379"/>
    <w:rsid w:val="0057777F"/>
    <w:rsid w:val="005779CF"/>
    <w:rsid w:val="00577BEE"/>
    <w:rsid w:val="00577DDD"/>
    <w:rsid w:val="00577F3D"/>
    <w:rsid w:val="00577FA5"/>
    <w:rsid w:val="00580073"/>
    <w:rsid w:val="00580669"/>
    <w:rsid w:val="00580B04"/>
    <w:rsid w:val="00580B68"/>
    <w:rsid w:val="00580D5A"/>
    <w:rsid w:val="00580EEE"/>
    <w:rsid w:val="00580F2F"/>
    <w:rsid w:val="00581066"/>
    <w:rsid w:val="005811FF"/>
    <w:rsid w:val="00581413"/>
    <w:rsid w:val="00581442"/>
    <w:rsid w:val="00581498"/>
    <w:rsid w:val="0058159F"/>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73A"/>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208"/>
    <w:rsid w:val="00594506"/>
    <w:rsid w:val="00594523"/>
    <w:rsid w:val="005947B9"/>
    <w:rsid w:val="005947D3"/>
    <w:rsid w:val="00594B0A"/>
    <w:rsid w:val="00594D02"/>
    <w:rsid w:val="00594DAE"/>
    <w:rsid w:val="00594F05"/>
    <w:rsid w:val="005951F0"/>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872"/>
    <w:rsid w:val="00596926"/>
    <w:rsid w:val="00596BB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E54"/>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66D"/>
    <w:rsid w:val="005A5855"/>
    <w:rsid w:val="005A594D"/>
    <w:rsid w:val="005A5953"/>
    <w:rsid w:val="005A5AB5"/>
    <w:rsid w:val="005A5B16"/>
    <w:rsid w:val="005A6109"/>
    <w:rsid w:val="005A624A"/>
    <w:rsid w:val="005A6269"/>
    <w:rsid w:val="005A6302"/>
    <w:rsid w:val="005A639A"/>
    <w:rsid w:val="005A63DA"/>
    <w:rsid w:val="005A6824"/>
    <w:rsid w:val="005A6AD0"/>
    <w:rsid w:val="005A6D88"/>
    <w:rsid w:val="005A6DC0"/>
    <w:rsid w:val="005A6EC5"/>
    <w:rsid w:val="005A6FAD"/>
    <w:rsid w:val="005A6FAE"/>
    <w:rsid w:val="005A7050"/>
    <w:rsid w:val="005A727B"/>
    <w:rsid w:val="005A7369"/>
    <w:rsid w:val="005A7536"/>
    <w:rsid w:val="005A7D06"/>
    <w:rsid w:val="005A7E7E"/>
    <w:rsid w:val="005A7F16"/>
    <w:rsid w:val="005B0002"/>
    <w:rsid w:val="005B007D"/>
    <w:rsid w:val="005B02E6"/>
    <w:rsid w:val="005B030D"/>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52E"/>
    <w:rsid w:val="005B7BBC"/>
    <w:rsid w:val="005C0061"/>
    <w:rsid w:val="005C0398"/>
    <w:rsid w:val="005C0495"/>
    <w:rsid w:val="005C04CD"/>
    <w:rsid w:val="005C0C8D"/>
    <w:rsid w:val="005C0D6F"/>
    <w:rsid w:val="005C0E2C"/>
    <w:rsid w:val="005C11B0"/>
    <w:rsid w:val="005C129A"/>
    <w:rsid w:val="005C1633"/>
    <w:rsid w:val="005C17B9"/>
    <w:rsid w:val="005C1913"/>
    <w:rsid w:val="005C1AAA"/>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719"/>
    <w:rsid w:val="005C4A16"/>
    <w:rsid w:val="005C4A1A"/>
    <w:rsid w:val="005C4A32"/>
    <w:rsid w:val="005C4BC1"/>
    <w:rsid w:val="005C4D3D"/>
    <w:rsid w:val="005C54D3"/>
    <w:rsid w:val="005C54EC"/>
    <w:rsid w:val="005C5540"/>
    <w:rsid w:val="005C5719"/>
    <w:rsid w:val="005C5911"/>
    <w:rsid w:val="005C5944"/>
    <w:rsid w:val="005C5A89"/>
    <w:rsid w:val="005C5B2A"/>
    <w:rsid w:val="005C5E5C"/>
    <w:rsid w:val="005C63CC"/>
    <w:rsid w:val="005C65F6"/>
    <w:rsid w:val="005C668A"/>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09FE"/>
    <w:rsid w:val="005D10FC"/>
    <w:rsid w:val="005D15F9"/>
    <w:rsid w:val="005D1BD8"/>
    <w:rsid w:val="005D1CE6"/>
    <w:rsid w:val="005D23E7"/>
    <w:rsid w:val="005D24D1"/>
    <w:rsid w:val="005D2975"/>
    <w:rsid w:val="005D2AB7"/>
    <w:rsid w:val="005D2CCA"/>
    <w:rsid w:val="005D2DE0"/>
    <w:rsid w:val="005D2FFC"/>
    <w:rsid w:val="005D32AC"/>
    <w:rsid w:val="005D336D"/>
    <w:rsid w:val="005D35FD"/>
    <w:rsid w:val="005D36A2"/>
    <w:rsid w:val="005D3772"/>
    <w:rsid w:val="005D3842"/>
    <w:rsid w:val="005D396D"/>
    <w:rsid w:val="005D3A16"/>
    <w:rsid w:val="005D3B0D"/>
    <w:rsid w:val="005D3BC1"/>
    <w:rsid w:val="005D3D2C"/>
    <w:rsid w:val="005D3D30"/>
    <w:rsid w:val="005D3F21"/>
    <w:rsid w:val="005D44B3"/>
    <w:rsid w:val="005D4550"/>
    <w:rsid w:val="005D4579"/>
    <w:rsid w:val="005D45F8"/>
    <w:rsid w:val="005D483C"/>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261"/>
    <w:rsid w:val="005D72C9"/>
    <w:rsid w:val="005D72D8"/>
    <w:rsid w:val="005D770B"/>
    <w:rsid w:val="005D7A07"/>
    <w:rsid w:val="005D7CC7"/>
    <w:rsid w:val="005D7DA9"/>
    <w:rsid w:val="005E00A6"/>
    <w:rsid w:val="005E019B"/>
    <w:rsid w:val="005E0B26"/>
    <w:rsid w:val="005E1749"/>
    <w:rsid w:val="005E1C8A"/>
    <w:rsid w:val="005E1DA5"/>
    <w:rsid w:val="005E1FF8"/>
    <w:rsid w:val="005E222A"/>
    <w:rsid w:val="005E23E1"/>
    <w:rsid w:val="005E291A"/>
    <w:rsid w:val="005E2B37"/>
    <w:rsid w:val="005E33C3"/>
    <w:rsid w:val="005E3679"/>
    <w:rsid w:val="005E3A8C"/>
    <w:rsid w:val="005E3DB2"/>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6164"/>
    <w:rsid w:val="005E6402"/>
    <w:rsid w:val="005E6430"/>
    <w:rsid w:val="005E6457"/>
    <w:rsid w:val="005E64C2"/>
    <w:rsid w:val="005E6E35"/>
    <w:rsid w:val="005E6EB7"/>
    <w:rsid w:val="005E70C9"/>
    <w:rsid w:val="005E72AA"/>
    <w:rsid w:val="005E73CA"/>
    <w:rsid w:val="005E74F8"/>
    <w:rsid w:val="005E76B5"/>
    <w:rsid w:val="005E792F"/>
    <w:rsid w:val="005E7E29"/>
    <w:rsid w:val="005F035F"/>
    <w:rsid w:val="005F0396"/>
    <w:rsid w:val="005F03BF"/>
    <w:rsid w:val="005F048D"/>
    <w:rsid w:val="005F049F"/>
    <w:rsid w:val="005F0553"/>
    <w:rsid w:val="005F0580"/>
    <w:rsid w:val="005F0639"/>
    <w:rsid w:val="005F0801"/>
    <w:rsid w:val="005F0B64"/>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0B6"/>
    <w:rsid w:val="005F51F0"/>
    <w:rsid w:val="005F532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BF"/>
    <w:rsid w:val="005F7E87"/>
    <w:rsid w:val="005F7E9E"/>
    <w:rsid w:val="005F7ED5"/>
    <w:rsid w:val="005F7FB9"/>
    <w:rsid w:val="00600076"/>
    <w:rsid w:val="00600132"/>
    <w:rsid w:val="006002C0"/>
    <w:rsid w:val="00600305"/>
    <w:rsid w:val="00600574"/>
    <w:rsid w:val="00600AC3"/>
    <w:rsid w:val="00600BA5"/>
    <w:rsid w:val="00600BE4"/>
    <w:rsid w:val="00600D25"/>
    <w:rsid w:val="00600F2F"/>
    <w:rsid w:val="006011AF"/>
    <w:rsid w:val="006011C4"/>
    <w:rsid w:val="00601496"/>
    <w:rsid w:val="00601527"/>
    <w:rsid w:val="006016F4"/>
    <w:rsid w:val="0060178F"/>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B2D"/>
    <w:rsid w:val="00610CCC"/>
    <w:rsid w:val="006114E4"/>
    <w:rsid w:val="00611605"/>
    <w:rsid w:val="006119C5"/>
    <w:rsid w:val="00611A40"/>
    <w:rsid w:val="00611FCD"/>
    <w:rsid w:val="0061202C"/>
    <w:rsid w:val="006122B0"/>
    <w:rsid w:val="00612417"/>
    <w:rsid w:val="006124AA"/>
    <w:rsid w:val="0061269E"/>
    <w:rsid w:val="006127AE"/>
    <w:rsid w:val="006127EA"/>
    <w:rsid w:val="006129A2"/>
    <w:rsid w:val="00612A29"/>
    <w:rsid w:val="00612D5C"/>
    <w:rsid w:val="00612F5F"/>
    <w:rsid w:val="006130A8"/>
    <w:rsid w:val="006131F6"/>
    <w:rsid w:val="00613258"/>
    <w:rsid w:val="00613310"/>
    <w:rsid w:val="006133E4"/>
    <w:rsid w:val="0061362E"/>
    <w:rsid w:val="00613A1D"/>
    <w:rsid w:val="00613AEA"/>
    <w:rsid w:val="00613EB1"/>
    <w:rsid w:val="00613ED8"/>
    <w:rsid w:val="006140D2"/>
    <w:rsid w:val="0061413F"/>
    <w:rsid w:val="00614486"/>
    <w:rsid w:val="00614664"/>
    <w:rsid w:val="0061466C"/>
    <w:rsid w:val="0061495C"/>
    <w:rsid w:val="00614BB6"/>
    <w:rsid w:val="00614C1A"/>
    <w:rsid w:val="00614C57"/>
    <w:rsid w:val="00615B17"/>
    <w:rsid w:val="00615E7C"/>
    <w:rsid w:val="00615FA2"/>
    <w:rsid w:val="00616057"/>
    <w:rsid w:val="0061636D"/>
    <w:rsid w:val="006168DF"/>
    <w:rsid w:val="0061698F"/>
    <w:rsid w:val="00616A4C"/>
    <w:rsid w:val="00616CB2"/>
    <w:rsid w:val="006174C4"/>
    <w:rsid w:val="00617613"/>
    <w:rsid w:val="00617B36"/>
    <w:rsid w:val="00620093"/>
    <w:rsid w:val="006200CF"/>
    <w:rsid w:val="006202D7"/>
    <w:rsid w:val="006203E2"/>
    <w:rsid w:val="00620414"/>
    <w:rsid w:val="0062047E"/>
    <w:rsid w:val="006206D0"/>
    <w:rsid w:val="006207AE"/>
    <w:rsid w:val="00620976"/>
    <w:rsid w:val="00620D10"/>
    <w:rsid w:val="00620E82"/>
    <w:rsid w:val="00620EC4"/>
    <w:rsid w:val="0062105C"/>
    <w:rsid w:val="00621625"/>
    <w:rsid w:val="0062174B"/>
    <w:rsid w:val="006217B5"/>
    <w:rsid w:val="00621899"/>
    <w:rsid w:val="00621B0B"/>
    <w:rsid w:val="00621E23"/>
    <w:rsid w:val="00621F7F"/>
    <w:rsid w:val="0062200A"/>
    <w:rsid w:val="00622120"/>
    <w:rsid w:val="00622343"/>
    <w:rsid w:val="0062264A"/>
    <w:rsid w:val="006229EB"/>
    <w:rsid w:val="00622B52"/>
    <w:rsid w:val="00622BC5"/>
    <w:rsid w:val="00622E4C"/>
    <w:rsid w:val="00622F60"/>
    <w:rsid w:val="00623071"/>
    <w:rsid w:val="00623114"/>
    <w:rsid w:val="00623180"/>
    <w:rsid w:val="0062330E"/>
    <w:rsid w:val="00623327"/>
    <w:rsid w:val="0062335C"/>
    <w:rsid w:val="006236F1"/>
    <w:rsid w:val="00623900"/>
    <w:rsid w:val="00623B86"/>
    <w:rsid w:val="00623E9D"/>
    <w:rsid w:val="00624010"/>
    <w:rsid w:val="006242E3"/>
    <w:rsid w:val="006247DF"/>
    <w:rsid w:val="00624804"/>
    <w:rsid w:val="00624919"/>
    <w:rsid w:val="006249AF"/>
    <w:rsid w:val="00624A21"/>
    <w:rsid w:val="00624AAA"/>
    <w:rsid w:val="00624BC5"/>
    <w:rsid w:val="0062528A"/>
    <w:rsid w:val="006252D0"/>
    <w:rsid w:val="00625701"/>
    <w:rsid w:val="006259FA"/>
    <w:rsid w:val="00625AFD"/>
    <w:rsid w:val="00625C94"/>
    <w:rsid w:val="00625E11"/>
    <w:rsid w:val="00626043"/>
    <w:rsid w:val="0062606A"/>
    <w:rsid w:val="006261EB"/>
    <w:rsid w:val="00626513"/>
    <w:rsid w:val="00626622"/>
    <w:rsid w:val="00626664"/>
    <w:rsid w:val="00626959"/>
    <w:rsid w:val="006269EF"/>
    <w:rsid w:val="006269F6"/>
    <w:rsid w:val="00626F59"/>
    <w:rsid w:val="0062711B"/>
    <w:rsid w:val="0062747C"/>
    <w:rsid w:val="006274B7"/>
    <w:rsid w:val="0062759C"/>
    <w:rsid w:val="00627A77"/>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8E6"/>
    <w:rsid w:val="00632A99"/>
    <w:rsid w:val="00632DC9"/>
    <w:rsid w:val="00632FB8"/>
    <w:rsid w:val="006330FD"/>
    <w:rsid w:val="0063330C"/>
    <w:rsid w:val="006333DF"/>
    <w:rsid w:val="006334E6"/>
    <w:rsid w:val="00633542"/>
    <w:rsid w:val="00633BAA"/>
    <w:rsid w:val="00633C1F"/>
    <w:rsid w:val="00633D22"/>
    <w:rsid w:val="00633D4B"/>
    <w:rsid w:val="0063440B"/>
    <w:rsid w:val="00634693"/>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207"/>
    <w:rsid w:val="00637514"/>
    <w:rsid w:val="00637555"/>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6D"/>
    <w:rsid w:val="00641D8F"/>
    <w:rsid w:val="00641E0C"/>
    <w:rsid w:val="00641FC0"/>
    <w:rsid w:val="0064202D"/>
    <w:rsid w:val="00642245"/>
    <w:rsid w:val="0064224A"/>
    <w:rsid w:val="00642328"/>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6A"/>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70"/>
    <w:rsid w:val="00646D57"/>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707"/>
    <w:rsid w:val="00651918"/>
    <w:rsid w:val="00651A5C"/>
    <w:rsid w:val="00651A71"/>
    <w:rsid w:val="00651D5F"/>
    <w:rsid w:val="00651D6E"/>
    <w:rsid w:val="00651E7E"/>
    <w:rsid w:val="00652258"/>
    <w:rsid w:val="006522E6"/>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F6E"/>
    <w:rsid w:val="00655003"/>
    <w:rsid w:val="00655022"/>
    <w:rsid w:val="00655198"/>
    <w:rsid w:val="0065577D"/>
    <w:rsid w:val="006559E7"/>
    <w:rsid w:val="00655F67"/>
    <w:rsid w:val="00656011"/>
    <w:rsid w:val="006563B4"/>
    <w:rsid w:val="006567CE"/>
    <w:rsid w:val="00656ACD"/>
    <w:rsid w:val="006574DF"/>
    <w:rsid w:val="006575D0"/>
    <w:rsid w:val="006575F0"/>
    <w:rsid w:val="006579FD"/>
    <w:rsid w:val="00657D7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3024"/>
    <w:rsid w:val="006733C6"/>
    <w:rsid w:val="00673687"/>
    <w:rsid w:val="00673BA1"/>
    <w:rsid w:val="00673BE3"/>
    <w:rsid w:val="00673E19"/>
    <w:rsid w:val="00674596"/>
    <w:rsid w:val="00674BD5"/>
    <w:rsid w:val="00674DAE"/>
    <w:rsid w:val="00674F95"/>
    <w:rsid w:val="00675379"/>
    <w:rsid w:val="0067561D"/>
    <w:rsid w:val="00675628"/>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88"/>
    <w:rsid w:val="0067759C"/>
    <w:rsid w:val="00677761"/>
    <w:rsid w:val="00677785"/>
    <w:rsid w:val="00677CCA"/>
    <w:rsid w:val="00677DE9"/>
    <w:rsid w:val="00677F5C"/>
    <w:rsid w:val="00677FA9"/>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4D1D"/>
    <w:rsid w:val="006853DA"/>
    <w:rsid w:val="00685632"/>
    <w:rsid w:val="00685A09"/>
    <w:rsid w:val="00685A4E"/>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30C"/>
    <w:rsid w:val="0069032C"/>
    <w:rsid w:val="00690509"/>
    <w:rsid w:val="00690722"/>
    <w:rsid w:val="00690740"/>
    <w:rsid w:val="0069081B"/>
    <w:rsid w:val="00690D91"/>
    <w:rsid w:val="0069132D"/>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568"/>
    <w:rsid w:val="00694572"/>
    <w:rsid w:val="0069467E"/>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CEB"/>
    <w:rsid w:val="00696822"/>
    <w:rsid w:val="00696AAE"/>
    <w:rsid w:val="00696C09"/>
    <w:rsid w:val="00696C0D"/>
    <w:rsid w:val="00696CF7"/>
    <w:rsid w:val="0069714B"/>
    <w:rsid w:val="0069729C"/>
    <w:rsid w:val="00697517"/>
    <w:rsid w:val="0069769A"/>
    <w:rsid w:val="006977F0"/>
    <w:rsid w:val="0069790A"/>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D19"/>
    <w:rsid w:val="006A1FA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40E"/>
    <w:rsid w:val="006A4510"/>
    <w:rsid w:val="006A4732"/>
    <w:rsid w:val="006A4743"/>
    <w:rsid w:val="006A492C"/>
    <w:rsid w:val="006A4ECD"/>
    <w:rsid w:val="006A50D4"/>
    <w:rsid w:val="006A50FD"/>
    <w:rsid w:val="006A560E"/>
    <w:rsid w:val="006A56AF"/>
    <w:rsid w:val="006A572F"/>
    <w:rsid w:val="006A59DB"/>
    <w:rsid w:val="006A5B57"/>
    <w:rsid w:val="006A603C"/>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131"/>
    <w:rsid w:val="006B1449"/>
    <w:rsid w:val="006B179D"/>
    <w:rsid w:val="006B1815"/>
    <w:rsid w:val="006B1ACC"/>
    <w:rsid w:val="006B1C2B"/>
    <w:rsid w:val="006B1C4E"/>
    <w:rsid w:val="006B1E1A"/>
    <w:rsid w:val="006B1E6E"/>
    <w:rsid w:val="006B1FAF"/>
    <w:rsid w:val="006B24F7"/>
    <w:rsid w:val="006B261E"/>
    <w:rsid w:val="006B28DF"/>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A6A"/>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4F4"/>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171"/>
    <w:rsid w:val="006C23A8"/>
    <w:rsid w:val="006C24B5"/>
    <w:rsid w:val="006C267A"/>
    <w:rsid w:val="006C280A"/>
    <w:rsid w:val="006C2986"/>
    <w:rsid w:val="006C29E4"/>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0AB"/>
    <w:rsid w:val="006C724E"/>
    <w:rsid w:val="006C7340"/>
    <w:rsid w:val="006C74E6"/>
    <w:rsid w:val="006C79CE"/>
    <w:rsid w:val="006C7DF9"/>
    <w:rsid w:val="006D0352"/>
    <w:rsid w:val="006D0A56"/>
    <w:rsid w:val="006D0C43"/>
    <w:rsid w:val="006D0E75"/>
    <w:rsid w:val="006D0F17"/>
    <w:rsid w:val="006D0F2A"/>
    <w:rsid w:val="006D1130"/>
    <w:rsid w:val="006D15BE"/>
    <w:rsid w:val="006D1725"/>
    <w:rsid w:val="006D191A"/>
    <w:rsid w:val="006D1935"/>
    <w:rsid w:val="006D19C7"/>
    <w:rsid w:val="006D19FF"/>
    <w:rsid w:val="006D1B3B"/>
    <w:rsid w:val="006D1D65"/>
    <w:rsid w:val="006D20DB"/>
    <w:rsid w:val="006D21DA"/>
    <w:rsid w:val="006D2631"/>
    <w:rsid w:val="006D29B4"/>
    <w:rsid w:val="006D2B4E"/>
    <w:rsid w:val="006D2EF2"/>
    <w:rsid w:val="006D3042"/>
    <w:rsid w:val="006D30DF"/>
    <w:rsid w:val="006D342A"/>
    <w:rsid w:val="006D34DF"/>
    <w:rsid w:val="006D38A7"/>
    <w:rsid w:val="006D3A97"/>
    <w:rsid w:val="006D3B23"/>
    <w:rsid w:val="006D3BF5"/>
    <w:rsid w:val="006D3CA6"/>
    <w:rsid w:val="006D418B"/>
    <w:rsid w:val="006D42C5"/>
    <w:rsid w:val="006D447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6EE"/>
    <w:rsid w:val="006D68CD"/>
    <w:rsid w:val="006D697D"/>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D81"/>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0A"/>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392"/>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1E1"/>
    <w:rsid w:val="006F3826"/>
    <w:rsid w:val="006F38DB"/>
    <w:rsid w:val="006F3AAE"/>
    <w:rsid w:val="006F3CB4"/>
    <w:rsid w:val="006F3FE5"/>
    <w:rsid w:val="006F417F"/>
    <w:rsid w:val="006F431D"/>
    <w:rsid w:val="006F436F"/>
    <w:rsid w:val="006F449A"/>
    <w:rsid w:val="006F4576"/>
    <w:rsid w:val="006F464B"/>
    <w:rsid w:val="006F4A1B"/>
    <w:rsid w:val="006F4AA0"/>
    <w:rsid w:val="006F4BBD"/>
    <w:rsid w:val="006F4D37"/>
    <w:rsid w:val="006F4EA8"/>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E2A"/>
    <w:rsid w:val="00700F49"/>
    <w:rsid w:val="00701108"/>
    <w:rsid w:val="007012FE"/>
    <w:rsid w:val="007013AD"/>
    <w:rsid w:val="00701675"/>
    <w:rsid w:val="0070179D"/>
    <w:rsid w:val="00701852"/>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181"/>
    <w:rsid w:val="007074C8"/>
    <w:rsid w:val="00707507"/>
    <w:rsid w:val="00707731"/>
    <w:rsid w:val="007077E2"/>
    <w:rsid w:val="00707962"/>
    <w:rsid w:val="00707A6D"/>
    <w:rsid w:val="00707AA6"/>
    <w:rsid w:val="00707B6A"/>
    <w:rsid w:val="00707CFC"/>
    <w:rsid w:val="00707D64"/>
    <w:rsid w:val="0071004F"/>
    <w:rsid w:val="0071039F"/>
    <w:rsid w:val="0071053D"/>
    <w:rsid w:val="00710731"/>
    <w:rsid w:val="00710DF6"/>
    <w:rsid w:val="00710E55"/>
    <w:rsid w:val="00711167"/>
    <w:rsid w:val="0071144C"/>
    <w:rsid w:val="0071164F"/>
    <w:rsid w:val="00711682"/>
    <w:rsid w:val="007117E0"/>
    <w:rsid w:val="0071185C"/>
    <w:rsid w:val="00711AFD"/>
    <w:rsid w:val="00711B50"/>
    <w:rsid w:val="00711DE3"/>
    <w:rsid w:val="007123E6"/>
    <w:rsid w:val="00712646"/>
    <w:rsid w:val="00712958"/>
    <w:rsid w:val="00712D21"/>
    <w:rsid w:val="00712ECA"/>
    <w:rsid w:val="00712EDE"/>
    <w:rsid w:val="0071336F"/>
    <w:rsid w:val="0071356C"/>
    <w:rsid w:val="007136D6"/>
    <w:rsid w:val="00713704"/>
    <w:rsid w:val="007137A2"/>
    <w:rsid w:val="00713962"/>
    <w:rsid w:val="0071398F"/>
    <w:rsid w:val="00713D24"/>
    <w:rsid w:val="00713DC1"/>
    <w:rsid w:val="00713DEE"/>
    <w:rsid w:val="0071410D"/>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DCE"/>
    <w:rsid w:val="00717FD4"/>
    <w:rsid w:val="00720033"/>
    <w:rsid w:val="0072003A"/>
    <w:rsid w:val="0072008E"/>
    <w:rsid w:val="007200B6"/>
    <w:rsid w:val="007203CC"/>
    <w:rsid w:val="0072048E"/>
    <w:rsid w:val="0072076D"/>
    <w:rsid w:val="007207C8"/>
    <w:rsid w:val="007207E9"/>
    <w:rsid w:val="00720C4C"/>
    <w:rsid w:val="00720DA4"/>
    <w:rsid w:val="00720E64"/>
    <w:rsid w:val="00720EED"/>
    <w:rsid w:val="0072110E"/>
    <w:rsid w:val="0072118B"/>
    <w:rsid w:val="007212AB"/>
    <w:rsid w:val="007212F3"/>
    <w:rsid w:val="00721725"/>
    <w:rsid w:val="00721779"/>
    <w:rsid w:val="00721C43"/>
    <w:rsid w:val="00721C65"/>
    <w:rsid w:val="00721F15"/>
    <w:rsid w:val="0072231C"/>
    <w:rsid w:val="0072236A"/>
    <w:rsid w:val="00722709"/>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4E9"/>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A0"/>
    <w:rsid w:val="00731D9B"/>
    <w:rsid w:val="00731EF3"/>
    <w:rsid w:val="00732333"/>
    <w:rsid w:val="00732414"/>
    <w:rsid w:val="007325A8"/>
    <w:rsid w:val="007327A2"/>
    <w:rsid w:val="007327B9"/>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69"/>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1B"/>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BEA"/>
    <w:rsid w:val="00740F28"/>
    <w:rsid w:val="00741013"/>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0"/>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15"/>
    <w:rsid w:val="00746FCE"/>
    <w:rsid w:val="00747030"/>
    <w:rsid w:val="007473E7"/>
    <w:rsid w:val="00747411"/>
    <w:rsid w:val="007479EB"/>
    <w:rsid w:val="00747F2A"/>
    <w:rsid w:val="00750376"/>
    <w:rsid w:val="00750408"/>
    <w:rsid w:val="00750915"/>
    <w:rsid w:val="00750B42"/>
    <w:rsid w:val="00750DB3"/>
    <w:rsid w:val="00750E44"/>
    <w:rsid w:val="00751054"/>
    <w:rsid w:val="00751311"/>
    <w:rsid w:val="007515BE"/>
    <w:rsid w:val="0075161A"/>
    <w:rsid w:val="00751695"/>
    <w:rsid w:val="00751BEF"/>
    <w:rsid w:val="00751F9F"/>
    <w:rsid w:val="00752031"/>
    <w:rsid w:val="007521BC"/>
    <w:rsid w:val="007522FD"/>
    <w:rsid w:val="0075237B"/>
    <w:rsid w:val="00752532"/>
    <w:rsid w:val="00752C38"/>
    <w:rsid w:val="00752E6D"/>
    <w:rsid w:val="00752EC9"/>
    <w:rsid w:val="00752FEA"/>
    <w:rsid w:val="007530B3"/>
    <w:rsid w:val="007532EF"/>
    <w:rsid w:val="00753453"/>
    <w:rsid w:val="007535E0"/>
    <w:rsid w:val="00753646"/>
    <w:rsid w:val="007539A9"/>
    <w:rsid w:val="00753A77"/>
    <w:rsid w:val="00753AC1"/>
    <w:rsid w:val="00753BBC"/>
    <w:rsid w:val="007542CA"/>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352"/>
    <w:rsid w:val="00756493"/>
    <w:rsid w:val="007566F3"/>
    <w:rsid w:val="0075672C"/>
    <w:rsid w:val="00756774"/>
    <w:rsid w:val="00756828"/>
    <w:rsid w:val="00756C43"/>
    <w:rsid w:val="00756C78"/>
    <w:rsid w:val="00756DD9"/>
    <w:rsid w:val="00756DEC"/>
    <w:rsid w:val="0075719C"/>
    <w:rsid w:val="007571DF"/>
    <w:rsid w:val="00757564"/>
    <w:rsid w:val="00757659"/>
    <w:rsid w:val="007577CB"/>
    <w:rsid w:val="00757824"/>
    <w:rsid w:val="007600FB"/>
    <w:rsid w:val="00760258"/>
    <w:rsid w:val="007602C9"/>
    <w:rsid w:val="00760816"/>
    <w:rsid w:val="00760C0D"/>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8C5"/>
    <w:rsid w:val="00764BAB"/>
    <w:rsid w:val="00764BF4"/>
    <w:rsid w:val="00764CD3"/>
    <w:rsid w:val="00764D59"/>
    <w:rsid w:val="00764DA1"/>
    <w:rsid w:val="00764E09"/>
    <w:rsid w:val="007651ED"/>
    <w:rsid w:val="007651FA"/>
    <w:rsid w:val="0076543B"/>
    <w:rsid w:val="00765567"/>
    <w:rsid w:val="007657B2"/>
    <w:rsid w:val="00765A17"/>
    <w:rsid w:val="00765C2F"/>
    <w:rsid w:val="00765C6A"/>
    <w:rsid w:val="00765E51"/>
    <w:rsid w:val="007660A3"/>
    <w:rsid w:val="00766142"/>
    <w:rsid w:val="007661D1"/>
    <w:rsid w:val="007662BE"/>
    <w:rsid w:val="00766480"/>
    <w:rsid w:val="007664C0"/>
    <w:rsid w:val="00766703"/>
    <w:rsid w:val="00766AD4"/>
    <w:rsid w:val="00766D9F"/>
    <w:rsid w:val="00766F8B"/>
    <w:rsid w:val="00767563"/>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A53"/>
    <w:rsid w:val="00771AAB"/>
    <w:rsid w:val="00771CDE"/>
    <w:rsid w:val="00772046"/>
    <w:rsid w:val="007722E4"/>
    <w:rsid w:val="007723D6"/>
    <w:rsid w:val="00772462"/>
    <w:rsid w:val="0077248E"/>
    <w:rsid w:val="007728B1"/>
    <w:rsid w:val="007729F5"/>
    <w:rsid w:val="00772A24"/>
    <w:rsid w:val="00772A52"/>
    <w:rsid w:val="00772B3E"/>
    <w:rsid w:val="00772E32"/>
    <w:rsid w:val="00772F8D"/>
    <w:rsid w:val="007730B5"/>
    <w:rsid w:val="007733C7"/>
    <w:rsid w:val="007736AB"/>
    <w:rsid w:val="007738C3"/>
    <w:rsid w:val="00773A62"/>
    <w:rsid w:val="00773C34"/>
    <w:rsid w:val="00773C5D"/>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1FB"/>
    <w:rsid w:val="00777313"/>
    <w:rsid w:val="00777521"/>
    <w:rsid w:val="00777532"/>
    <w:rsid w:val="007777BD"/>
    <w:rsid w:val="0077780E"/>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139"/>
    <w:rsid w:val="007824B9"/>
    <w:rsid w:val="007826EC"/>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94A"/>
    <w:rsid w:val="00785B54"/>
    <w:rsid w:val="007860AA"/>
    <w:rsid w:val="007867C5"/>
    <w:rsid w:val="00786805"/>
    <w:rsid w:val="007869C7"/>
    <w:rsid w:val="00786D45"/>
    <w:rsid w:val="00786F79"/>
    <w:rsid w:val="00787357"/>
    <w:rsid w:val="007873C1"/>
    <w:rsid w:val="007873C3"/>
    <w:rsid w:val="007873E3"/>
    <w:rsid w:val="0078751C"/>
    <w:rsid w:val="007877A9"/>
    <w:rsid w:val="0078784C"/>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9CB"/>
    <w:rsid w:val="00791B18"/>
    <w:rsid w:val="00791C41"/>
    <w:rsid w:val="00791CCB"/>
    <w:rsid w:val="00791D1D"/>
    <w:rsid w:val="00791D9E"/>
    <w:rsid w:val="00791E00"/>
    <w:rsid w:val="007922FF"/>
    <w:rsid w:val="0079278D"/>
    <w:rsid w:val="00792923"/>
    <w:rsid w:val="00793436"/>
    <w:rsid w:val="00793493"/>
    <w:rsid w:val="0079367E"/>
    <w:rsid w:val="0079376A"/>
    <w:rsid w:val="0079392B"/>
    <w:rsid w:val="007939D8"/>
    <w:rsid w:val="00793CAB"/>
    <w:rsid w:val="00793CD1"/>
    <w:rsid w:val="00793CE3"/>
    <w:rsid w:val="00794010"/>
    <w:rsid w:val="007943E0"/>
    <w:rsid w:val="00794785"/>
    <w:rsid w:val="007948BF"/>
    <w:rsid w:val="00794928"/>
    <w:rsid w:val="00794A1C"/>
    <w:rsid w:val="00794AB9"/>
    <w:rsid w:val="00794B55"/>
    <w:rsid w:val="00794CC0"/>
    <w:rsid w:val="00794E05"/>
    <w:rsid w:val="00795104"/>
    <w:rsid w:val="00795232"/>
    <w:rsid w:val="007955F7"/>
    <w:rsid w:val="0079571B"/>
    <w:rsid w:val="007957DE"/>
    <w:rsid w:val="007958CE"/>
    <w:rsid w:val="00795905"/>
    <w:rsid w:val="007959D6"/>
    <w:rsid w:val="00795EE5"/>
    <w:rsid w:val="00795F4E"/>
    <w:rsid w:val="00795F87"/>
    <w:rsid w:val="007961C9"/>
    <w:rsid w:val="00796337"/>
    <w:rsid w:val="0079638A"/>
    <w:rsid w:val="007964B2"/>
    <w:rsid w:val="007964DB"/>
    <w:rsid w:val="007967B9"/>
    <w:rsid w:val="007967D0"/>
    <w:rsid w:val="00796858"/>
    <w:rsid w:val="00796AB3"/>
    <w:rsid w:val="00796B09"/>
    <w:rsid w:val="00796BEB"/>
    <w:rsid w:val="00796E3D"/>
    <w:rsid w:val="0079766C"/>
    <w:rsid w:val="007976C5"/>
    <w:rsid w:val="00797773"/>
    <w:rsid w:val="00797B13"/>
    <w:rsid w:val="00797C4B"/>
    <w:rsid w:val="00797DF7"/>
    <w:rsid w:val="007A019B"/>
    <w:rsid w:val="007A0367"/>
    <w:rsid w:val="007A04BC"/>
    <w:rsid w:val="007A0599"/>
    <w:rsid w:val="007A0806"/>
    <w:rsid w:val="007A082D"/>
    <w:rsid w:val="007A08DE"/>
    <w:rsid w:val="007A0B61"/>
    <w:rsid w:val="007A0C8F"/>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0B2"/>
    <w:rsid w:val="007A5387"/>
    <w:rsid w:val="007A53D1"/>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AF3"/>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92A"/>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149"/>
    <w:rsid w:val="007B523E"/>
    <w:rsid w:val="007B53B6"/>
    <w:rsid w:val="007B54EC"/>
    <w:rsid w:val="007B585B"/>
    <w:rsid w:val="007B58F1"/>
    <w:rsid w:val="007B590C"/>
    <w:rsid w:val="007B598C"/>
    <w:rsid w:val="007B5C1F"/>
    <w:rsid w:val="007B5DBD"/>
    <w:rsid w:val="007B623F"/>
    <w:rsid w:val="007B627A"/>
    <w:rsid w:val="007B6302"/>
    <w:rsid w:val="007B635D"/>
    <w:rsid w:val="007B6428"/>
    <w:rsid w:val="007B6476"/>
    <w:rsid w:val="007B6601"/>
    <w:rsid w:val="007B6623"/>
    <w:rsid w:val="007B6739"/>
    <w:rsid w:val="007B6853"/>
    <w:rsid w:val="007B68D6"/>
    <w:rsid w:val="007B6B07"/>
    <w:rsid w:val="007B6BEF"/>
    <w:rsid w:val="007B6C2A"/>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FEA"/>
    <w:rsid w:val="007C2024"/>
    <w:rsid w:val="007C212C"/>
    <w:rsid w:val="007C235B"/>
    <w:rsid w:val="007C2A17"/>
    <w:rsid w:val="007C2DC6"/>
    <w:rsid w:val="007C2E5B"/>
    <w:rsid w:val="007C30DA"/>
    <w:rsid w:val="007C3636"/>
    <w:rsid w:val="007C3C52"/>
    <w:rsid w:val="007C3C9E"/>
    <w:rsid w:val="007C3CF7"/>
    <w:rsid w:val="007C3E4E"/>
    <w:rsid w:val="007C3E51"/>
    <w:rsid w:val="007C3F32"/>
    <w:rsid w:val="007C3FBD"/>
    <w:rsid w:val="007C4052"/>
    <w:rsid w:val="007C40FE"/>
    <w:rsid w:val="007C41F3"/>
    <w:rsid w:val="007C4266"/>
    <w:rsid w:val="007C435D"/>
    <w:rsid w:val="007C4628"/>
    <w:rsid w:val="007C4864"/>
    <w:rsid w:val="007C49D2"/>
    <w:rsid w:val="007C4DFD"/>
    <w:rsid w:val="007C50A8"/>
    <w:rsid w:val="007C51A4"/>
    <w:rsid w:val="007C54CC"/>
    <w:rsid w:val="007C5514"/>
    <w:rsid w:val="007C55C2"/>
    <w:rsid w:val="007C577B"/>
    <w:rsid w:val="007C59E7"/>
    <w:rsid w:val="007C5B04"/>
    <w:rsid w:val="007C5DE1"/>
    <w:rsid w:val="007C5F5F"/>
    <w:rsid w:val="007C6407"/>
    <w:rsid w:val="007C6835"/>
    <w:rsid w:val="007C688F"/>
    <w:rsid w:val="007C6D2A"/>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532"/>
    <w:rsid w:val="007D18E0"/>
    <w:rsid w:val="007D1947"/>
    <w:rsid w:val="007D1A2C"/>
    <w:rsid w:val="007D1E0D"/>
    <w:rsid w:val="007D2029"/>
    <w:rsid w:val="007D209A"/>
    <w:rsid w:val="007D240B"/>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C76"/>
    <w:rsid w:val="007D3D3F"/>
    <w:rsid w:val="007D3D62"/>
    <w:rsid w:val="007D3E3D"/>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2D4"/>
    <w:rsid w:val="007E0381"/>
    <w:rsid w:val="007E048F"/>
    <w:rsid w:val="007E0603"/>
    <w:rsid w:val="007E0645"/>
    <w:rsid w:val="007E08A1"/>
    <w:rsid w:val="007E0939"/>
    <w:rsid w:val="007E0DB8"/>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1AB"/>
    <w:rsid w:val="007E22C9"/>
    <w:rsid w:val="007E23F1"/>
    <w:rsid w:val="007E26C8"/>
    <w:rsid w:val="007E29B6"/>
    <w:rsid w:val="007E2B75"/>
    <w:rsid w:val="007E2B9B"/>
    <w:rsid w:val="007E2D5C"/>
    <w:rsid w:val="007E2E03"/>
    <w:rsid w:val="007E2F04"/>
    <w:rsid w:val="007E2F42"/>
    <w:rsid w:val="007E332A"/>
    <w:rsid w:val="007E35AB"/>
    <w:rsid w:val="007E3767"/>
    <w:rsid w:val="007E3D0C"/>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7B"/>
    <w:rsid w:val="007F08B3"/>
    <w:rsid w:val="007F09FA"/>
    <w:rsid w:val="007F0C35"/>
    <w:rsid w:val="007F0C42"/>
    <w:rsid w:val="007F0C6A"/>
    <w:rsid w:val="007F0FD6"/>
    <w:rsid w:val="007F109E"/>
    <w:rsid w:val="007F1320"/>
    <w:rsid w:val="007F16CB"/>
    <w:rsid w:val="007F1709"/>
    <w:rsid w:val="007F1864"/>
    <w:rsid w:val="007F1AF1"/>
    <w:rsid w:val="007F1B3D"/>
    <w:rsid w:val="007F1B44"/>
    <w:rsid w:val="007F1BB4"/>
    <w:rsid w:val="007F1F90"/>
    <w:rsid w:val="007F22F9"/>
    <w:rsid w:val="007F2509"/>
    <w:rsid w:val="007F255E"/>
    <w:rsid w:val="007F2637"/>
    <w:rsid w:val="007F26A3"/>
    <w:rsid w:val="007F2B0C"/>
    <w:rsid w:val="007F2EDF"/>
    <w:rsid w:val="007F31AB"/>
    <w:rsid w:val="007F32AE"/>
    <w:rsid w:val="007F33C2"/>
    <w:rsid w:val="007F34BD"/>
    <w:rsid w:val="007F3AD1"/>
    <w:rsid w:val="007F3C5D"/>
    <w:rsid w:val="007F3D8E"/>
    <w:rsid w:val="007F3EB7"/>
    <w:rsid w:val="007F3F48"/>
    <w:rsid w:val="007F4162"/>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4F"/>
    <w:rsid w:val="007F7080"/>
    <w:rsid w:val="007F70A1"/>
    <w:rsid w:val="007F72CE"/>
    <w:rsid w:val="007F74F9"/>
    <w:rsid w:val="0080016C"/>
    <w:rsid w:val="008001CE"/>
    <w:rsid w:val="00800249"/>
    <w:rsid w:val="00800280"/>
    <w:rsid w:val="0080063E"/>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386"/>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674"/>
    <w:rsid w:val="008077D5"/>
    <w:rsid w:val="00807869"/>
    <w:rsid w:val="008078BF"/>
    <w:rsid w:val="00807AD1"/>
    <w:rsid w:val="00807C9A"/>
    <w:rsid w:val="00807CCE"/>
    <w:rsid w:val="00807CF5"/>
    <w:rsid w:val="00807DFC"/>
    <w:rsid w:val="0081011F"/>
    <w:rsid w:val="00810315"/>
    <w:rsid w:val="008104D7"/>
    <w:rsid w:val="008105FC"/>
    <w:rsid w:val="0081080D"/>
    <w:rsid w:val="00810866"/>
    <w:rsid w:val="008108B4"/>
    <w:rsid w:val="00810B04"/>
    <w:rsid w:val="00810C1E"/>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5FE"/>
    <w:rsid w:val="00813756"/>
    <w:rsid w:val="00813BE7"/>
    <w:rsid w:val="00813C24"/>
    <w:rsid w:val="00813F08"/>
    <w:rsid w:val="008142FD"/>
    <w:rsid w:val="00814506"/>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66"/>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456"/>
    <w:rsid w:val="00826907"/>
    <w:rsid w:val="00826C10"/>
    <w:rsid w:val="00826CB3"/>
    <w:rsid w:val="00826EB9"/>
    <w:rsid w:val="0082700E"/>
    <w:rsid w:val="008270A9"/>
    <w:rsid w:val="00827320"/>
    <w:rsid w:val="00827366"/>
    <w:rsid w:val="008274CC"/>
    <w:rsid w:val="00827C52"/>
    <w:rsid w:val="00827F5D"/>
    <w:rsid w:val="008300DC"/>
    <w:rsid w:val="00830300"/>
    <w:rsid w:val="0083090B"/>
    <w:rsid w:val="00830980"/>
    <w:rsid w:val="00830C2B"/>
    <w:rsid w:val="00830D57"/>
    <w:rsid w:val="008311B5"/>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57"/>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041"/>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AC9"/>
    <w:rsid w:val="00842EB4"/>
    <w:rsid w:val="00843072"/>
    <w:rsid w:val="00843248"/>
    <w:rsid w:val="008433FD"/>
    <w:rsid w:val="008434E0"/>
    <w:rsid w:val="00843564"/>
    <w:rsid w:val="008436DB"/>
    <w:rsid w:val="00843FB9"/>
    <w:rsid w:val="0084415C"/>
    <w:rsid w:val="00844428"/>
    <w:rsid w:val="0084476C"/>
    <w:rsid w:val="00844A39"/>
    <w:rsid w:val="0084509D"/>
    <w:rsid w:val="0084534E"/>
    <w:rsid w:val="00845604"/>
    <w:rsid w:val="00845C18"/>
    <w:rsid w:val="00845D51"/>
    <w:rsid w:val="00845D5A"/>
    <w:rsid w:val="008462D7"/>
    <w:rsid w:val="00846938"/>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3E"/>
    <w:rsid w:val="00850077"/>
    <w:rsid w:val="008502F7"/>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47D"/>
    <w:rsid w:val="008527C5"/>
    <w:rsid w:val="00852842"/>
    <w:rsid w:val="008528F2"/>
    <w:rsid w:val="0085291D"/>
    <w:rsid w:val="00852EA6"/>
    <w:rsid w:val="00852F47"/>
    <w:rsid w:val="0085329A"/>
    <w:rsid w:val="00853515"/>
    <w:rsid w:val="008536A0"/>
    <w:rsid w:val="0085385B"/>
    <w:rsid w:val="008539BA"/>
    <w:rsid w:val="00853A25"/>
    <w:rsid w:val="00853A4A"/>
    <w:rsid w:val="00853C8C"/>
    <w:rsid w:val="00853D1D"/>
    <w:rsid w:val="00853D2C"/>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E5"/>
    <w:rsid w:val="00856A89"/>
    <w:rsid w:val="0085703F"/>
    <w:rsid w:val="0085742E"/>
    <w:rsid w:val="00857749"/>
    <w:rsid w:val="00857889"/>
    <w:rsid w:val="0085793E"/>
    <w:rsid w:val="0085794F"/>
    <w:rsid w:val="00857AF5"/>
    <w:rsid w:val="008600D4"/>
    <w:rsid w:val="00860211"/>
    <w:rsid w:val="00860614"/>
    <w:rsid w:val="0086081D"/>
    <w:rsid w:val="00860AE9"/>
    <w:rsid w:val="00860BD7"/>
    <w:rsid w:val="008611C9"/>
    <w:rsid w:val="008613B8"/>
    <w:rsid w:val="008618B4"/>
    <w:rsid w:val="008618FA"/>
    <w:rsid w:val="00861A4D"/>
    <w:rsid w:val="00861B50"/>
    <w:rsid w:val="00861B6C"/>
    <w:rsid w:val="00861C42"/>
    <w:rsid w:val="00861C46"/>
    <w:rsid w:val="00861C4F"/>
    <w:rsid w:val="00861D04"/>
    <w:rsid w:val="00861D84"/>
    <w:rsid w:val="00862479"/>
    <w:rsid w:val="008625A1"/>
    <w:rsid w:val="008626CC"/>
    <w:rsid w:val="008626D6"/>
    <w:rsid w:val="008627F4"/>
    <w:rsid w:val="008628E9"/>
    <w:rsid w:val="00862AC5"/>
    <w:rsid w:val="00862B03"/>
    <w:rsid w:val="00862B0F"/>
    <w:rsid w:val="00862B1B"/>
    <w:rsid w:val="00862C8A"/>
    <w:rsid w:val="00862CB3"/>
    <w:rsid w:val="00862F19"/>
    <w:rsid w:val="008633A2"/>
    <w:rsid w:val="008634F7"/>
    <w:rsid w:val="00863BBD"/>
    <w:rsid w:val="00863C9D"/>
    <w:rsid w:val="008644D0"/>
    <w:rsid w:val="008645B9"/>
    <w:rsid w:val="00864762"/>
    <w:rsid w:val="008647B1"/>
    <w:rsid w:val="00864C3E"/>
    <w:rsid w:val="00864D1E"/>
    <w:rsid w:val="00864E70"/>
    <w:rsid w:val="00865414"/>
    <w:rsid w:val="00865B0D"/>
    <w:rsid w:val="00865D9C"/>
    <w:rsid w:val="00865DF5"/>
    <w:rsid w:val="00865F05"/>
    <w:rsid w:val="00865F0C"/>
    <w:rsid w:val="008661B5"/>
    <w:rsid w:val="008664E2"/>
    <w:rsid w:val="00866591"/>
    <w:rsid w:val="008665B6"/>
    <w:rsid w:val="00866736"/>
    <w:rsid w:val="008668DC"/>
    <w:rsid w:val="008669AD"/>
    <w:rsid w:val="00866A19"/>
    <w:rsid w:val="00866B7A"/>
    <w:rsid w:val="00866BFD"/>
    <w:rsid w:val="00866DC7"/>
    <w:rsid w:val="008674D3"/>
    <w:rsid w:val="00867712"/>
    <w:rsid w:val="00867D83"/>
    <w:rsid w:val="00867E81"/>
    <w:rsid w:val="00870274"/>
    <w:rsid w:val="0087029B"/>
    <w:rsid w:val="008703F6"/>
    <w:rsid w:val="00870639"/>
    <w:rsid w:val="008707D3"/>
    <w:rsid w:val="00870A44"/>
    <w:rsid w:val="00870A5B"/>
    <w:rsid w:val="00870AAE"/>
    <w:rsid w:val="00870C9E"/>
    <w:rsid w:val="00870DD2"/>
    <w:rsid w:val="00870F5D"/>
    <w:rsid w:val="0087125E"/>
    <w:rsid w:val="0087146D"/>
    <w:rsid w:val="00871528"/>
    <w:rsid w:val="0087189E"/>
    <w:rsid w:val="00871A32"/>
    <w:rsid w:val="00871D4E"/>
    <w:rsid w:val="00871D7D"/>
    <w:rsid w:val="00871F01"/>
    <w:rsid w:val="00871FF7"/>
    <w:rsid w:val="008720C0"/>
    <w:rsid w:val="008727CF"/>
    <w:rsid w:val="008727D4"/>
    <w:rsid w:val="00872B33"/>
    <w:rsid w:val="00872CD4"/>
    <w:rsid w:val="00872CD5"/>
    <w:rsid w:val="00872F5A"/>
    <w:rsid w:val="00872FD8"/>
    <w:rsid w:val="0087306A"/>
    <w:rsid w:val="008734CA"/>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9E"/>
    <w:rsid w:val="00875E63"/>
    <w:rsid w:val="00875ED9"/>
    <w:rsid w:val="00875EEA"/>
    <w:rsid w:val="00875F15"/>
    <w:rsid w:val="00875F21"/>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2C"/>
    <w:rsid w:val="00880D8B"/>
    <w:rsid w:val="00881036"/>
    <w:rsid w:val="0088111C"/>
    <w:rsid w:val="00881261"/>
    <w:rsid w:val="00881275"/>
    <w:rsid w:val="008814B9"/>
    <w:rsid w:val="00881536"/>
    <w:rsid w:val="00881C0F"/>
    <w:rsid w:val="00881E08"/>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D46"/>
    <w:rsid w:val="00885D73"/>
    <w:rsid w:val="00885EB7"/>
    <w:rsid w:val="00885F02"/>
    <w:rsid w:val="008861C6"/>
    <w:rsid w:val="0088631A"/>
    <w:rsid w:val="00886748"/>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E69"/>
    <w:rsid w:val="00887EE0"/>
    <w:rsid w:val="00887F78"/>
    <w:rsid w:val="008900A7"/>
    <w:rsid w:val="008900C0"/>
    <w:rsid w:val="008900F3"/>
    <w:rsid w:val="00890728"/>
    <w:rsid w:val="00890780"/>
    <w:rsid w:val="00890812"/>
    <w:rsid w:val="00890A87"/>
    <w:rsid w:val="00890AA3"/>
    <w:rsid w:val="00890FAB"/>
    <w:rsid w:val="00891061"/>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DF2"/>
    <w:rsid w:val="00895004"/>
    <w:rsid w:val="00895094"/>
    <w:rsid w:val="00895161"/>
    <w:rsid w:val="008952ED"/>
    <w:rsid w:val="008955B1"/>
    <w:rsid w:val="00895B87"/>
    <w:rsid w:val="008960ED"/>
    <w:rsid w:val="00896127"/>
    <w:rsid w:val="00896206"/>
    <w:rsid w:val="008968C2"/>
    <w:rsid w:val="00896BFE"/>
    <w:rsid w:val="00896C9E"/>
    <w:rsid w:val="00896D12"/>
    <w:rsid w:val="00896E74"/>
    <w:rsid w:val="008972B0"/>
    <w:rsid w:val="0089762D"/>
    <w:rsid w:val="00897779"/>
    <w:rsid w:val="008978F0"/>
    <w:rsid w:val="008979A2"/>
    <w:rsid w:val="00897CD7"/>
    <w:rsid w:val="008A0463"/>
    <w:rsid w:val="008A069D"/>
    <w:rsid w:val="008A0767"/>
    <w:rsid w:val="008A0A98"/>
    <w:rsid w:val="008A0B3C"/>
    <w:rsid w:val="008A0F40"/>
    <w:rsid w:val="008A198E"/>
    <w:rsid w:val="008A1BAB"/>
    <w:rsid w:val="008A1E23"/>
    <w:rsid w:val="008A237E"/>
    <w:rsid w:val="008A2407"/>
    <w:rsid w:val="008A242B"/>
    <w:rsid w:val="008A2730"/>
    <w:rsid w:val="008A282E"/>
    <w:rsid w:val="008A2867"/>
    <w:rsid w:val="008A29FD"/>
    <w:rsid w:val="008A2C8C"/>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883"/>
    <w:rsid w:val="008A5A2E"/>
    <w:rsid w:val="008A5A78"/>
    <w:rsid w:val="008A5EC5"/>
    <w:rsid w:val="008A5ED2"/>
    <w:rsid w:val="008A5F93"/>
    <w:rsid w:val="008A60B6"/>
    <w:rsid w:val="008A613D"/>
    <w:rsid w:val="008A632B"/>
    <w:rsid w:val="008A6361"/>
    <w:rsid w:val="008A6693"/>
    <w:rsid w:val="008A66CE"/>
    <w:rsid w:val="008A6703"/>
    <w:rsid w:val="008A678E"/>
    <w:rsid w:val="008A6B15"/>
    <w:rsid w:val="008A6DC9"/>
    <w:rsid w:val="008A6E91"/>
    <w:rsid w:val="008A7036"/>
    <w:rsid w:val="008A7082"/>
    <w:rsid w:val="008A7407"/>
    <w:rsid w:val="008A7567"/>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785"/>
    <w:rsid w:val="008B59C0"/>
    <w:rsid w:val="008B5AB2"/>
    <w:rsid w:val="008B5FFB"/>
    <w:rsid w:val="008B63E5"/>
    <w:rsid w:val="008B645E"/>
    <w:rsid w:val="008B66AE"/>
    <w:rsid w:val="008B675D"/>
    <w:rsid w:val="008B6A03"/>
    <w:rsid w:val="008B6A3E"/>
    <w:rsid w:val="008B6AAE"/>
    <w:rsid w:val="008B6B85"/>
    <w:rsid w:val="008B7090"/>
    <w:rsid w:val="008B71F9"/>
    <w:rsid w:val="008B7214"/>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93"/>
    <w:rsid w:val="008C0FA4"/>
    <w:rsid w:val="008C10B0"/>
    <w:rsid w:val="008C12BF"/>
    <w:rsid w:val="008C12C1"/>
    <w:rsid w:val="008C1352"/>
    <w:rsid w:val="008C13FF"/>
    <w:rsid w:val="008C160F"/>
    <w:rsid w:val="008C18B0"/>
    <w:rsid w:val="008C1B14"/>
    <w:rsid w:val="008C1E23"/>
    <w:rsid w:val="008C20AA"/>
    <w:rsid w:val="008C21C9"/>
    <w:rsid w:val="008C226E"/>
    <w:rsid w:val="008C228E"/>
    <w:rsid w:val="008C2431"/>
    <w:rsid w:val="008C245A"/>
    <w:rsid w:val="008C25BB"/>
    <w:rsid w:val="008C2847"/>
    <w:rsid w:val="008C29A0"/>
    <w:rsid w:val="008C2C38"/>
    <w:rsid w:val="008C2D87"/>
    <w:rsid w:val="008C2E0B"/>
    <w:rsid w:val="008C30E5"/>
    <w:rsid w:val="008C3214"/>
    <w:rsid w:val="008C35B3"/>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C43"/>
    <w:rsid w:val="008C5FC0"/>
    <w:rsid w:val="008C6104"/>
    <w:rsid w:val="008C6220"/>
    <w:rsid w:val="008C6423"/>
    <w:rsid w:val="008C6473"/>
    <w:rsid w:val="008C65A7"/>
    <w:rsid w:val="008C6918"/>
    <w:rsid w:val="008C6947"/>
    <w:rsid w:val="008C6953"/>
    <w:rsid w:val="008C7170"/>
    <w:rsid w:val="008C7190"/>
    <w:rsid w:val="008C7259"/>
    <w:rsid w:val="008C72F9"/>
    <w:rsid w:val="008C7302"/>
    <w:rsid w:val="008C76FD"/>
    <w:rsid w:val="008C7767"/>
    <w:rsid w:val="008C7B20"/>
    <w:rsid w:val="008C7C1A"/>
    <w:rsid w:val="008C7D23"/>
    <w:rsid w:val="008C7DA6"/>
    <w:rsid w:val="008D00D3"/>
    <w:rsid w:val="008D026A"/>
    <w:rsid w:val="008D07E6"/>
    <w:rsid w:val="008D0C7A"/>
    <w:rsid w:val="008D0DEB"/>
    <w:rsid w:val="008D0E49"/>
    <w:rsid w:val="008D0F99"/>
    <w:rsid w:val="008D10C1"/>
    <w:rsid w:val="008D1172"/>
    <w:rsid w:val="008D11C8"/>
    <w:rsid w:val="008D11DF"/>
    <w:rsid w:val="008D1358"/>
    <w:rsid w:val="008D1B24"/>
    <w:rsid w:val="008D1B57"/>
    <w:rsid w:val="008D1B8D"/>
    <w:rsid w:val="008D1BF7"/>
    <w:rsid w:val="008D1C7B"/>
    <w:rsid w:val="008D1DAE"/>
    <w:rsid w:val="008D208D"/>
    <w:rsid w:val="008D216F"/>
    <w:rsid w:val="008D242A"/>
    <w:rsid w:val="008D2845"/>
    <w:rsid w:val="008D2CC8"/>
    <w:rsid w:val="008D2E4C"/>
    <w:rsid w:val="008D2F10"/>
    <w:rsid w:val="008D33F2"/>
    <w:rsid w:val="008D3421"/>
    <w:rsid w:val="008D365B"/>
    <w:rsid w:val="008D373D"/>
    <w:rsid w:val="008D3761"/>
    <w:rsid w:val="008D37EB"/>
    <w:rsid w:val="008D3907"/>
    <w:rsid w:val="008D3C99"/>
    <w:rsid w:val="008D3E2A"/>
    <w:rsid w:val="008D4019"/>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B6C"/>
    <w:rsid w:val="008D5D7C"/>
    <w:rsid w:val="008D5D9C"/>
    <w:rsid w:val="008D5E11"/>
    <w:rsid w:val="008D5F81"/>
    <w:rsid w:val="008D6146"/>
    <w:rsid w:val="008D621A"/>
    <w:rsid w:val="008D6760"/>
    <w:rsid w:val="008D68F4"/>
    <w:rsid w:val="008D694B"/>
    <w:rsid w:val="008D6A14"/>
    <w:rsid w:val="008D6C3E"/>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DFE"/>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764"/>
    <w:rsid w:val="008E5841"/>
    <w:rsid w:val="008E5ACF"/>
    <w:rsid w:val="008E5C0B"/>
    <w:rsid w:val="008E5E4B"/>
    <w:rsid w:val="008E5EE3"/>
    <w:rsid w:val="008E5EFF"/>
    <w:rsid w:val="008E63F7"/>
    <w:rsid w:val="008E6638"/>
    <w:rsid w:val="008E6698"/>
    <w:rsid w:val="008E66F0"/>
    <w:rsid w:val="008E69A1"/>
    <w:rsid w:val="008E6A88"/>
    <w:rsid w:val="008E6ACE"/>
    <w:rsid w:val="008E6AF8"/>
    <w:rsid w:val="008E6DA9"/>
    <w:rsid w:val="008E7545"/>
    <w:rsid w:val="008E7967"/>
    <w:rsid w:val="008F0102"/>
    <w:rsid w:val="008F01F5"/>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50E"/>
    <w:rsid w:val="008F5678"/>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0F3"/>
    <w:rsid w:val="0090717F"/>
    <w:rsid w:val="009075C0"/>
    <w:rsid w:val="00907B53"/>
    <w:rsid w:val="00907DC8"/>
    <w:rsid w:val="00910070"/>
    <w:rsid w:val="00910091"/>
    <w:rsid w:val="0091013C"/>
    <w:rsid w:val="00910647"/>
    <w:rsid w:val="00910933"/>
    <w:rsid w:val="00910B75"/>
    <w:rsid w:val="00910C6F"/>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160"/>
    <w:rsid w:val="00915CA8"/>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17D47"/>
    <w:rsid w:val="009200D9"/>
    <w:rsid w:val="00920250"/>
    <w:rsid w:val="009202D0"/>
    <w:rsid w:val="00920345"/>
    <w:rsid w:val="00920483"/>
    <w:rsid w:val="009204DB"/>
    <w:rsid w:val="00920650"/>
    <w:rsid w:val="009206E2"/>
    <w:rsid w:val="00920777"/>
    <w:rsid w:val="009209EF"/>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C75"/>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EC"/>
    <w:rsid w:val="00923C11"/>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589"/>
    <w:rsid w:val="00925646"/>
    <w:rsid w:val="00925803"/>
    <w:rsid w:val="00925897"/>
    <w:rsid w:val="00925A28"/>
    <w:rsid w:val="00925ABA"/>
    <w:rsid w:val="00925AFA"/>
    <w:rsid w:val="00925C79"/>
    <w:rsid w:val="0092642B"/>
    <w:rsid w:val="00926670"/>
    <w:rsid w:val="00926964"/>
    <w:rsid w:val="0092697A"/>
    <w:rsid w:val="00926BB4"/>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1EF"/>
    <w:rsid w:val="0093136E"/>
    <w:rsid w:val="009313BB"/>
    <w:rsid w:val="00931419"/>
    <w:rsid w:val="0093179A"/>
    <w:rsid w:val="00931974"/>
    <w:rsid w:val="0093198C"/>
    <w:rsid w:val="0093253B"/>
    <w:rsid w:val="009328E3"/>
    <w:rsid w:val="00932926"/>
    <w:rsid w:val="00932B6D"/>
    <w:rsid w:val="00932D38"/>
    <w:rsid w:val="00932D76"/>
    <w:rsid w:val="00932F41"/>
    <w:rsid w:val="00933004"/>
    <w:rsid w:val="009335E9"/>
    <w:rsid w:val="009336BB"/>
    <w:rsid w:val="0093377F"/>
    <w:rsid w:val="0093395D"/>
    <w:rsid w:val="00933B9E"/>
    <w:rsid w:val="00933C22"/>
    <w:rsid w:val="00933E42"/>
    <w:rsid w:val="00933EB4"/>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E13"/>
    <w:rsid w:val="00936F91"/>
    <w:rsid w:val="00937052"/>
    <w:rsid w:val="009373B9"/>
    <w:rsid w:val="0093746C"/>
    <w:rsid w:val="00937ACF"/>
    <w:rsid w:val="00937B39"/>
    <w:rsid w:val="009401D0"/>
    <w:rsid w:val="009403C7"/>
    <w:rsid w:val="009404F9"/>
    <w:rsid w:val="009408EC"/>
    <w:rsid w:val="00940AEC"/>
    <w:rsid w:val="00940B23"/>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89F"/>
    <w:rsid w:val="00942A0D"/>
    <w:rsid w:val="00943170"/>
    <w:rsid w:val="00943325"/>
    <w:rsid w:val="009436D4"/>
    <w:rsid w:val="0094371D"/>
    <w:rsid w:val="009438B3"/>
    <w:rsid w:val="00944482"/>
    <w:rsid w:val="0094449E"/>
    <w:rsid w:val="00944710"/>
    <w:rsid w:val="009447AE"/>
    <w:rsid w:val="00944A5E"/>
    <w:rsid w:val="00944AC7"/>
    <w:rsid w:val="00944B82"/>
    <w:rsid w:val="00944C19"/>
    <w:rsid w:val="00944CDC"/>
    <w:rsid w:val="00944FBB"/>
    <w:rsid w:val="00945102"/>
    <w:rsid w:val="00945400"/>
    <w:rsid w:val="0094548A"/>
    <w:rsid w:val="009454E9"/>
    <w:rsid w:val="009456A6"/>
    <w:rsid w:val="00945790"/>
    <w:rsid w:val="00945824"/>
    <w:rsid w:val="00945E6A"/>
    <w:rsid w:val="00945F83"/>
    <w:rsid w:val="00946254"/>
    <w:rsid w:val="009463F8"/>
    <w:rsid w:val="009465FF"/>
    <w:rsid w:val="00946666"/>
    <w:rsid w:val="009468A6"/>
    <w:rsid w:val="009469D8"/>
    <w:rsid w:val="00946AA1"/>
    <w:rsid w:val="00946BDB"/>
    <w:rsid w:val="00946CCD"/>
    <w:rsid w:val="00946DF8"/>
    <w:rsid w:val="00947531"/>
    <w:rsid w:val="0094774C"/>
    <w:rsid w:val="00950054"/>
    <w:rsid w:val="009500EF"/>
    <w:rsid w:val="0095068D"/>
    <w:rsid w:val="00950706"/>
    <w:rsid w:val="009508D2"/>
    <w:rsid w:val="00950AAC"/>
    <w:rsid w:val="00950AB4"/>
    <w:rsid w:val="00950F78"/>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3F0"/>
    <w:rsid w:val="0095370F"/>
    <w:rsid w:val="00953740"/>
    <w:rsid w:val="009538E8"/>
    <w:rsid w:val="00953904"/>
    <w:rsid w:val="00953A28"/>
    <w:rsid w:val="00953C20"/>
    <w:rsid w:val="00953E4D"/>
    <w:rsid w:val="00953EB0"/>
    <w:rsid w:val="00954128"/>
    <w:rsid w:val="009547A7"/>
    <w:rsid w:val="00954DB9"/>
    <w:rsid w:val="00954F12"/>
    <w:rsid w:val="00954FFE"/>
    <w:rsid w:val="0095502C"/>
    <w:rsid w:val="00955C13"/>
    <w:rsid w:val="00955DA2"/>
    <w:rsid w:val="00956060"/>
    <w:rsid w:val="009561D9"/>
    <w:rsid w:val="0095632F"/>
    <w:rsid w:val="0095634D"/>
    <w:rsid w:val="00956636"/>
    <w:rsid w:val="00956DAB"/>
    <w:rsid w:val="009576B3"/>
    <w:rsid w:val="00957747"/>
    <w:rsid w:val="009578F0"/>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4DD"/>
    <w:rsid w:val="009636E9"/>
    <w:rsid w:val="00963710"/>
    <w:rsid w:val="009637A9"/>
    <w:rsid w:val="00963872"/>
    <w:rsid w:val="00963978"/>
    <w:rsid w:val="00963C5A"/>
    <w:rsid w:val="00963DF5"/>
    <w:rsid w:val="00963F36"/>
    <w:rsid w:val="00964293"/>
    <w:rsid w:val="0096469E"/>
    <w:rsid w:val="00964A43"/>
    <w:rsid w:val="00964C01"/>
    <w:rsid w:val="00964C79"/>
    <w:rsid w:val="00964CEF"/>
    <w:rsid w:val="00964D54"/>
    <w:rsid w:val="00964DC8"/>
    <w:rsid w:val="00964F8C"/>
    <w:rsid w:val="00965536"/>
    <w:rsid w:val="0096555E"/>
    <w:rsid w:val="0096572F"/>
    <w:rsid w:val="00965818"/>
    <w:rsid w:val="00965B06"/>
    <w:rsid w:val="00965F96"/>
    <w:rsid w:val="00966189"/>
    <w:rsid w:val="00966A2D"/>
    <w:rsid w:val="00966D41"/>
    <w:rsid w:val="0096713B"/>
    <w:rsid w:val="0096720F"/>
    <w:rsid w:val="00967210"/>
    <w:rsid w:val="009672D3"/>
    <w:rsid w:val="00967513"/>
    <w:rsid w:val="00967A58"/>
    <w:rsid w:val="00967D01"/>
    <w:rsid w:val="00967E67"/>
    <w:rsid w:val="00967ECC"/>
    <w:rsid w:val="009706BF"/>
    <w:rsid w:val="0097078E"/>
    <w:rsid w:val="00970862"/>
    <w:rsid w:val="0097086F"/>
    <w:rsid w:val="00970B5D"/>
    <w:rsid w:val="00970C01"/>
    <w:rsid w:val="00970E59"/>
    <w:rsid w:val="00971237"/>
    <w:rsid w:val="00971511"/>
    <w:rsid w:val="0097185C"/>
    <w:rsid w:val="0097190C"/>
    <w:rsid w:val="00971BF5"/>
    <w:rsid w:val="00971D15"/>
    <w:rsid w:val="00971E50"/>
    <w:rsid w:val="00971E6D"/>
    <w:rsid w:val="00971F85"/>
    <w:rsid w:val="0097201A"/>
    <w:rsid w:val="0097201E"/>
    <w:rsid w:val="0097202F"/>
    <w:rsid w:val="00972063"/>
    <w:rsid w:val="009723F2"/>
    <w:rsid w:val="009725D1"/>
    <w:rsid w:val="0097285B"/>
    <w:rsid w:val="00972AB4"/>
    <w:rsid w:val="00972D36"/>
    <w:rsid w:val="00973416"/>
    <w:rsid w:val="009736C3"/>
    <w:rsid w:val="0097397D"/>
    <w:rsid w:val="00973C21"/>
    <w:rsid w:val="00973C4C"/>
    <w:rsid w:val="00973C88"/>
    <w:rsid w:val="0097476F"/>
    <w:rsid w:val="0097481B"/>
    <w:rsid w:val="00974CA4"/>
    <w:rsid w:val="00974EC9"/>
    <w:rsid w:val="00975051"/>
    <w:rsid w:val="00975186"/>
    <w:rsid w:val="00975348"/>
    <w:rsid w:val="00975395"/>
    <w:rsid w:val="00975409"/>
    <w:rsid w:val="00975423"/>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074"/>
    <w:rsid w:val="00980202"/>
    <w:rsid w:val="00980522"/>
    <w:rsid w:val="0098057B"/>
    <w:rsid w:val="00980580"/>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28C"/>
    <w:rsid w:val="009836AB"/>
    <w:rsid w:val="009836F3"/>
    <w:rsid w:val="009839ED"/>
    <w:rsid w:val="00983DF4"/>
    <w:rsid w:val="009840B2"/>
    <w:rsid w:val="009841EB"/>
    <w:rsid w:val="0098446D"/>
    <w:rsid w:val="00984B72"/>
    <w:rsid w:val="00984D78"/>
    <w:rsid w:val="00984DB4"/>
    <w:rsid w:val="009854D4"/>
    <w:rsid w:val="0098566D"/>
    <w:rsid w:val="00985747"/>
    <w:rsid w:val="00985935"/>
    <w:rsid w:val="009859F8"/>
    <w:rsid w:val="00985CDA"/>
    <w:rsid w:val="00985D83"/>
    <w:rsid w:val="00986336"/>
    <w:rsid w:val="009864E8"/>
    <w:rsid w:val="00986759"/>
    <w:rsid w:val="009869B0"/>
    <w:rsid w:val="00986A20"/>
    <w:rsid w:val="00986AF5"/>
    <w:rsid w:val="00986B15"/>
    <w:rsid w:val="00986B23"/>
    <w:rsid w:val="00986CFA"/>
    <w:rsid w:val="00986EA5"/>
    <w:rsid w:val="00986F75"/>
    <w:rsid w:val="009870C1"/>
    <w:rsid w:val="00987256"/>
    <w:rsid w:val="00987603"/>
    <w:rsid w:val="009878FE"/>
    <w:rsid w:val="00987A7F"/>
    <w:rsid w:val="00987A95"/>
    <w:rsid w:val="00987CBD"/>
    <w:rsid w:val="00987D10"/>
    <w:rsid w:val="00987F74"/>
    <w:rsid w:val="0099036B"/>
    <w:rsid w:val="009906E2"/>
    <w:rsid w:val="009907F8"/>
    <w:rsid w:val="00990878"/>
    <w:rsid w:val="00990C0D"/>
    <w:rsid w:val="00990C70"/>
    <w:rsid w:val="00990CE0"/>
    <w:rsid w:val="00990D73"/>
    <w:rsid w:val="00990E71"/>
    <w:rsid w:val="00990E8F"/>
    <w:rsid w:val="00990F66"/>
    <w:rsid w:val="00990FCD"/>
    <w:rsid w:val="0099113C"/>
    <w:rsid w:val="00991658"/>
    <w:rsid w:val="00991789"/>
    <w:rsid w:val="009917E4"/>
    <w:rsid w:val="00991E1D"/>
    <w:rsid w:val="00991FB8"/>
    <w:rsid w:val="0099238B"/>
    <w:rsid w:val="009923B8"/>
    <w:rsid w:val="009923EF"/>
    <w:rsid w:val="009923FA"/>
    <w:rsid w:val="00992428"/>
    <w:rsid w:val="00992735"/>
    <w:rsid w:val="0099276B"/>
    <w:rsid w:val="009927D4"/>
    <w:rsid w:val="00992A60"/>
    <w:rsid w:val="00992B07"/>
    <w:rsid w:val="00992C91"/>
    <w:rsid w:val="00992F0E"/>
    <w:rsid w:val="00992F7A"/>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45"/>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E9F"/>
    <w:rsid w:val="00995F58"/>
    <w:rsid w:val="0099605A"/>
    <w:rsid w:val="009962BB"/>
    <w:rsid w:val="009963B2"/>
    <w:rsid w:val="0099643D"/>
    <w:rsid w:val="009969CA"/>
    <w:rsid w:val="00996B98"/>
    <w:rsid w:val="0099735C"/>
    <w:rsid w:val="00997395"/>
    <w:rsid w:val="00997495"/>
    <w:rsid w:val="0099762E"/>
    <w:rsid w:val="0099780B"/>
    <w:rsid w:val="0099785E"/>
    <w:rsid w:val="00997B3B"/>
    <w:rsid w:val="00997E5D"/>
    <w:rsid w:val="009A021D"/>
    <w:rsid w:val="009A0512"/>
    <w:rsid w:val="009A0917"/>
    <w:rsid w:val="009A0D3B"/>
    <w:rsid w:val="009A0F97"/>
    <w:rsid w:val="009A133D"/>
    <w:rsid w:val="009A139E"/>
    <w:rsid w:val="009A151C"/>
    <w:rsid w:val="009A1532"/>
    <w:rsid w:val="009A1919"/>
    <w:rsid w:val="009A1ADC"/>
    <w:rsid w:val="009A1BF5"/>
    <w:rsid w:val="009A1E5C"/>
    <w:rsid w:val="009A1F26"/>
    <w:rsid w:val="009A2147"/>
    <w:rsid w:val="009A234B"/>
    <w:rsid w:val="009A251B"/>
    <w:rsid w:val="009A2618"/>
    <w:rsid w:val="009A2740"/>
    <w:rsid w:val="009A2765"/>
    <w:rsid w:val="009A2841"/>
    <w:rsid w:val="009A288A"/>
    <w:rsid w:val="009A2894"/>
    <w:rsid w:val="009A2AEF"/>
    <w:rsid w:val="009A2B0E"/>
    <w:rsid w:val="009A2BB8"/>
    <w:rsid w:val="009A2C2D"/>
    <w:rsid w:val="009A2D40"/>
    <w:rsid w:val="009A2DBD"/>
    <w:rsid w:val="009A2DC9"/>
    <w:rsid w:val="009A3154"/>
    <w:rsid w:val="009A3288"/>
    <w:rsid w:val="009A3307"/>
    <w:rsid w:val="009A348B"/>
    <w:rsid w:val="009A373A"/>
    <w:rsid w:val="009A3F6E"/>
    <w:rsid w:val="009A4086"/>
    <w:rsid w:val="009A496E"/>
    <w:rsid w:val="009A4B9A"/>
    <w:rsid w:val="009A4BFB"/>
    <w:rsid w:val="009A4C5A"/>
    <w:rsid w:val="009A4D1D"/>
    <w:rsid w:val="009A5244"/>
    <w:rsid w:val="009A534F"/>
    <w:rsid w:val="009A536E"/>
    <w:rsid w:val="009A5429"/>
    <w:rsid w:val="009A5515"/>
    <w:rsid w:val="009A5677"/>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D7"/>
    <w:rsid w:val="009B0C7C"/>
    <w:rsid w:val="009B0D21"/>
    <w:rsid w:val="009B1488"/>
    <w:rsid w:val="009B1695"/>
    <w:rsid w:val="009B1905"/>
    <w:rsid w:val="009B1A2E"/>
    <w:rsid w:val="009B1D9F"/>
    <w:rsid w:val="009B2084"/>
    <w:rsid w:val="009B21D9"/>
    <w:rsid w:val="009B24F6"/>
    <w:rsid w:val="009B264A"/>
    <w:rsid w:val="009B2773"/>
    <w:rsid w:val="009B27D5"/>
    <w:rsid w:val="009B27DC"/>
    <w:rsid w:val="009B2981"/>
    <w:rsid w:val="009B2A33"/>
    <w:rsid w:val="009B2F2A"/>
    <w:rsid w:val="009B2F2F"/>
    <w:rsid w:val="009B3056"/>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85A"/>
    <w:rsid w:val="009B4D64"/>
    <w:rsid w:val="009B4DD2"/>
    <w:rsid w:val="009B4E95"/>
    <w:rsid w:val="009B50D4"/>
    <w:rsid w:val="009B511C"/>
    <w:rsid w:val="009B51FB"/>
    <w:rsid w:val="009B53FA"/>
    <w:rsid w:val="009B55F9"/>
    <w:rsid w:val="009B573E"/>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C004B"/>
    <w:rsid w:val="009C02F4"/>
    <w:rsid w:val="009C0529"/>
    <w:rsid w:val="009C0537"/>
    <w:rsid w:val="009C08FE"/>
    <w:rsid w:val="009C0B37"/>
    <w:rsid w:val="009C0E08"/>
    <w:rsid w:val="009C113D"/>
    <w:rsid w:val="009C11C0"/>
    <w:rsid w:val="009C15F0"/>
    <w:rsid w:val="009C16A5"/>
    <w:rsid w:val="009C1993"/>
    <w:rsid w:val="009C199B"/>
    <w:rsid w:val="009C19F8"/>
    <w:rsid w:val="009C1A20"/>
    <w:rsid w:val="009C1D81"/>
    <w:rsid w:val="009C1D8C"/>
    <w:rsid w:val="009C1FBB"/>
    <w:rsid w:val="009C1FCE"/>
    <w:rsid w:val="009C2579"/>
    <w:rsid w:val="009C2819"/>
    <w:rsid w:val="009C2AD3"/>
    <w:rsid w:val="009C2AE1"/>
    <w:rsid w:val="009C2E42"/>
    <w:rsid w:val="009C32A3"/>
    <w:rsid w:val="009C3477"/>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2B7"/>
    <w:rsid w:val="009C5545"/>
    <w:rsid w:val="009C55F3"/>
    <w:rsid w:val="009C56FA"/>
    <w:rsid w:val="009C5A5E"/>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10"/>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C7"/>
    <w:rsid w:val="009E1ACA"/>
    <w:rsid w:val="009E1B56"/>
    <w:rsid w:val="009E1DFD"/>
    <w:rsid w:val="009E1E0B"/>
    <w:rsid w:val="009E25AA"/>
    <w:rsid w:val="009E267A"/>
    <w:rsid w:val="009E2709"/>
    <w:rsid w:val="009E271E"/>
    <w:rsid w:val="009E28FB"/>
    <w:rsid w:val="009E302B"/>
    <w:rsid w:val="009E32C6"/>
    <w:rsid w:val="009E3533"/>
    <w:rsid w:val="009E398D"/>
    <w:rsid w:val="009E39AA"/>
    <w:rsid w:val="009E4210"/>
    <w:rsid w:val="009E4A63"/>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87D"/>
    <w:rsid w:val="009E7A72"/>
    <w:rsid w:val="009E7DBB"/>
    <w:rsid w:val="009E7EC0"/>
    <w:rsid w:val="009F0011"/>
    <w:rsid w:val="009F062E"/>
    <w:rsid w:val="009F066D"/>
    <w:rsid w:val="009F06A9"/>
    <w:rsid w:val="009F071B"/>
    <w:rsid w:val="009F0D6F"/>
    <w:rsid w:val="009F0FFD"/>
    <w:rsid w:val="009F1428"/>
    <w:rsid w:val="009F152C"/>
    <w:rsid w:val="009F178C"/>
    <w:rsid w:val="009F1A94"/>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F7A"/>
    <w:rsid w:val="009F3FE7"/>
    <w:rsid w:val="009F4049"/>
    <w:rsid w:val="009F423F"/>
    <w:rsid w:val="009F4244"/>
    <w:rsid w:val="009F4260"/>
    <w:rsid w:val="009F42DA"/>
    <w:rsid w:val="009F4304"/>
    <w:rsid w:val="009F44B2"/>
    <w:rsid w:val="009F494F"/>
    <w:rsid w:val="009F4A1C"/>
    <w:rsid w:val="009F4ED4"/>
    <w:rsid w:val="009F4F96"/>
    <w:rsid w:val="009F503C"/>
    <w:rsid w:val="009F50B1"/>
    <w:rsid w:val="009F5151"/>
    <w:rsid w:val="009F515D"/>
    <w:rsid w:val="009F51C0"/>
    <w:rsid w:val="009F5330"/>
    <w:rsid w:val="009F5335"/>
    <w:rsid w:val="009F5469"/>
    <w:rsid w:val="009F587E"/>
    <w:rsid w:val="009F58AE"/>
    <w:rsid w:val="009F5C26"/>
    <w:rsid w:val="009F60B3"/>
    <w:rsid w:val="009F6157"/>
    <w:rsid w:val="009F62E7"/>
    <w:rsid w:val="009F676F"/>
    <w:rsid w:val="009F6825"/>
    <w:rsid w:val="009F6847"/>
    <w:rsid w:val="009F6B7C"/>
    <w:rsid w:val="009F6DF8"/>
    <w:rsid w:val="009F6E76"/>
    <w:rsid w:val="009F703F"/>
    <w:rsid w:val="009F7088"/>
    <w:rsid w:val="009F727D"/>
    <w:rsid w:val="009F736A"/>
    <w:rsid w:val="009F73F6"/>
    <w:rsid w:val="009F7866"/>
    <w:rsid w:val="009F7902"/>
    <w:rsid w:val="00A00029"/>
    <w:rsid w:val="00A000E8"/>
    <w:rsid w:val="00A00524"/>
    <w:rsid w:val="00A00581"/>
    <w:rsid w:val="00A0083F"/>
    <w:rsid w:val="00A008A5"/>
    <w:rsid w:val="00A00AFF"/>
    <w:rsid w:val="00A00E80"/>
    <w:rsid w:val="00A00E99"/>
    <w:rsid w:val="00A00F3E"/>
    <w:rsid w:val="00A01053"/>
    <w:rsid w:val="00A01165"/>
    <w:rsid w:val="00A011A7"/>
    <w:rsid w:val="00A011FF"/>
    <w:rsid w:val="00A014CA"/>
    <w:rsid w:val="00A01659"/>
    <w:rsid w:val="00A01677"/>
    <w:rsid w:val="00A01809"/>
    <w:rsid w:val="00A01964"/>
    <w:rsid w:val="00A01AA4"/>
    <w:rsid w:val="00A01AD0"/>
    <w:rsid w:val="00A01B59"/>
    <w:rsid w:val="00A01C10"/>
    <w:rsid w:val="00A01C8C"/>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511E"/>
    <w:rsid w:val="00A052ED"/>
    <w:rsid w:val="00A05371"/>
    <w:rsid w:val="00A054C9"/>
    <w:rsid w:val="00A05AC6"/>
    <w:rsid w:val="00A060B4"/>
    <w:rsid w:val="00A060EB"/>
    <w:rsid w:val="00A0636B"/>
    <w:rsid w:val="00A06CF7"/>
    <w:rsid w:val="00A06D47"/>
    <w:rsid w:val="00A06E6F"/>
    <w:rsid w:val="00A070DD"/>
    <w:rsid w:val="00A07365"/>
    <w:rsid w:val="00A07394"/>
    <w:rsid w:val="00A07514"/>
    <w:rsid w:val="00A07558"/>
    <w:rsid w:val="00A078AB"/>
    <w:rsid w:val="00A07BE6"/>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C97"/>
    <w:rsid w:val="00A11F12"/>
    <w:rsid w:val="00A11FD6"/>
    <w:rsid w:val="00A12425"/>
    <w:rsid w:val="00A12641"/>
    <w:rsid w:val="00A126A9"/>
    <w:rsid w:val="00A1279B"/>
    <w:rsid w:val="00A12815"/>
    <w:rsid w:val="00A128F8"/>
    <w:rsid w:val="00A12AB9"/>
    <w:rsid w:val="00A12F49"/>
    <w:rsid w:val="00A12FA4"/>
    <w:rsid w:val="00A131A5"/>
    <w:rsid w:val="00A132A9"/>
    <w:rsid w:val="00A132EA"/>
    <w:rsid w:val="00A132F6"/>
    <w:rsid w:val="00A1361A"/>
    <w:rsid w:val="00A137F2"/>
    <w:rsid w:val="00A1383F"/>
    <w:rsid w:val="00A138A7"/>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236B"/>
    <w:rsid w:val="00A22866"/>
    <w:rsid w:val="00A22DDE"/>
    <w:rsid w:val="00A23076"/>
    <w:rsid w:val="00A238DC"/>
    <w:rsid w:val="00A239B8"/>
    <w:rsid w:val="00A23CA3"/>
    <w:rsid w:val="00A23CDC"/>
    <w:rsid w:val="00A23E58"/>
    <w:rsid w:val="00A23E66"/>
    <w:rsid w:val="00A2415C"/>
    <w:rsid w:val="00A2429F"/>
    <w:rsid w:val="00A2433D"/>
    <w:rsid w:val="00A2433E"/>
    <w:rsid w:val="00A243F3"/>
    <w:rsid w:val="00A24445"/>
    <w:rsid w:val="00A24549"/>
    <w:rsid w:val="00A2467C"/>
    <w:rsid w:val="00A24820"/>
    <w:rsid w:val="00A2491F"/>
    <w:rsid w:val="00A24A41"/>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8A8"/>
    <w:rsid w:val="00A27C55"/>
    <w:rsid w:val="00A27D07"/>
    <w:rsid w:val="00A27E3F"/>
    <w:rsid w:val="00A27EE4"/>
    <w:rsid w:val="00A300BA"/>
    <w:rsid w:val="00A30141"/>
    <w:rsid w:val="00A30292"/>
    <w:rsid w:val="00A302D6"/>
    <w:rsid w:val="00A30493"/>
    <w:rsid w:val="00A305DD"/>
    <w:rsid w:val="00A307E5"/>
    <w:rsid w:val="00A30B0B"/>
    <w:rsid w:val="00A30C76"/>
    <w:rsid w:val="00A30CDF"/>
    <w:rsid w:val="00A31059"/>
    <w:rsid w:val="00A313B8"/>
    <w:rsid w:val="00A31572"/>
    <w:rsid w:val="00A317A5"/>
    <w:rsid w:val="00A3190D"/>
    <w:rsid w:val="00A319E6"/>
    <w:rsid w:val="00A31B12"/>
    <w:rsid w:val="00A31BBD"/>
    <w:rsid w:val="00A31D41"/>
    <w:rsid w:val="00A3208A"/>
    <w:rsid w:val="00A3231E"/>
    <w:rsid w:val="00A325BC"/>
    <w:rsid w:val="00A3267E"/>
    <w:rsid w:val="00A3268D"/>
    <w:rsid w:val="00A3288C"/>
    <w:rsid w:val="00A3291E"/>
    <w:rsid w:val="00A32A41"/>
    <w:rsid w:val="00A32B85"/>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53E5"/>
    <w:rsid w:val="00A35417"/>
    <w:rsid w:val="00A358FF"/>
    <w:rsid w:val="00A35B60"/>
    <w:rsid w:val="00A35B78"/>
    <w:rsid w:val="00A35FA3"/>
    <w:rsid w:val="00A36296"/>
    <w:rsid w:val="00A3642D"/>
    <w:rsid w:val="00A36486"/>
    <w:rsid w:val="00A364E1"/>
    <w:rsid w:val="00A36633"/>
    <w:rsid w:val="00A368FC"/>
    <w:rsid w:val="00A369BB"/>
    <w:rsid w:val="00A36CFA"/>
    <w:rsid w:val="00A36D4D"/>
    <w:rsid w:val="00A36E5C"/>
    <w:rsid w:val="00A373C2"/>
    <w:rsid w:val="00A374F7"/>
    <w:rsid w:val="00A3758E"/>
    <w:rsid w:val="00A375F3"/>
    <w:rsid w:val="00A37608"/>
    <w:rsid w:val="00A37636"/>
    <w:rsid w:val="00A37707"/>
    <w:rsid w:val="00A37A89"/>
    <w:rsid w:val="00A37E45"/>
    <w:rsid w:val="00A40071"/>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091"/>
    <w:rsid w:val="00A4243C"/>
    <w:rsid w:val="00A42485"/>
    <w:rsid w:val="00A42623"/>
    <w:rsid w:val="00A429E7"/>
    <w:rsid w:val="00A42A55"/>
    <w:rsid w:val="00A42C3B"/>
    <w:rsid w:val="00A42D08"/>
    <w:rsid w:val="00A42D2D"/>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2A"/>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47D62"/>
    <w:rsid w:val="00A5018B"/>
    <w:rsid w:val="00A50442"/>
    <w:rsid w:val="00A5083B"/>
    <w:rsid w:val="00A50851"/>
    <w:rsid w:val="00A50BEE"/>
    <w:rsid w:val="00A50C46"/>
    <w:rsid w:val="00A50F5C"/>
    <w:rsid w:val="00A50FC2"/>
    <w:rsid w:val="00A514E9"/>
    <w:rsid w:val="00A5162C"/>
    <w:rsid w:val="00A51DA9"/>
    <w:rsid w:val="00A5215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414"/>
    <w:rsid w:val="00A545D5"/>
    <w:rsid w:val="00A546C5"/>
    <w:rsid w:val="00A54B2F"/>
    <w:rsid w:val="00A54C74"/>
    <w:rsid w:val="00A54D26"/>
    <w:rsid w:val="00A54D4F"/>
    <w:rsid w:val="00A54E86"/>
    <w:rsid w:val="00A54FE2"/>
    <w:rsid w:val="00A551E5"/>
    <w:rsid w:val="00A555C5"/>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991"/>
    <w:rsid w:val="00A61ACE"/>
    <w:rsid w:val="00A61D2A"/>
    <w:rsid w:val="00A61E85"/>
    <w:rsid w:val="00A6211A"/>
    <w:rsid w:val="00A621A1"/>
    <w:rsid w:val="00A6223A"/>
    <w:rsid w:val="00A6238E"/>
    <w:rsid w:val="00A623EF"/>
    <w:rsid w:val="00A62684"/>
    <w:rsid w:val="00A62695"/>
    <w:rsid w:val="00A627CD"/>
    <w:rsid w:val="00A6281D"/>
    <w:rsid w:val="00A628D9"/>
    <w:rsid w:val="00A62ACB"/>
    <w:rsid w:val="00A62C33"/>
    <w:rsid w:val="00A62EF0"/>
    <w:rsid w:val="00A633A4"/>
    <w:rsid w:val="00A6374D"/>
    <w:rsid w:val="00A637DE"/>
    <w:rsid w:val="00A638C5"/>
    <w:rsid w:val="00A638FA"/>
    <w:rsid w:val="00A63900"/>
    <w:rsid w:val="00A63A44"/>
    <w:rsid w:val="00A63CEF"/>
    <w:rsid w:val="00A64055"/>
    <w:rsid w:val="00A64171"/>
    <w:rsid w:val="00A6455B"/>
    <w:rsid w:val="00A64582"/>
    <w:rsid w:val="00A6468D"/>
    <w:rsid w:val="00A64805"/>
    <w:rsid w:val="00A648EF"/>
    <w:rsid w:val="00A64924"/>
    <w:rsid w:val="00A6493F"/>
    <w:rsid w:val="00A6499E"/>
    <w:rsid w:val="00A64A40"/>
    <w:rsid w:val="00A64CA7"/>
    <w:rsid w:val="00A65011"/>
    <w:rsid w:val="00A65026"/>
    <w:rsid w:val="00A65065"/>
    <w:rsid w:val="00A6508E"/>
    <w:rsid w:val="00A651C2"/>
    <w:rsid w:val="00A65237"/>
    <w:rsid w:val="00A65329"/>
    <w:rsid w:val="00A6550C"/>
    <w:rsid w:val="00A6556A"/>
    <w:rsid w:val="00A6590E"/>
    <w:rsid w:val="00A65CCC"/>
    <w:rsid w:val="00A660E4"/>
    <w:rsid w:val="00A66596"/>
    <w:rsid w:val="00A666C2"/>
    <w:rsid w:val="00A666FC"/>
    <w:rsid w:val="00A66B88"/>
    <w:rsid w:val="00A66CB2"/>
    <w:rsid w:val="00A66DDD"/>
    <w:rsid w:val="00A670FD"/>
    <w:rsid w:val="00A67120"/>
    <w:rsid w:val="00A6739E"/>
    <w:rsid w:val="00A676A8"/>
    <w:rsid w:val="00A67883"/>
    <w:rsid w:val="00A67886"/>
    <w:rsid w:val="00A678A4"/>
    <w:rsid w:val="00A67C35"/>
    <w:rsid w:val="00A70367"/>
    <w:rsid w:val="00A7040A"/>
    <w:rsid w:val="00A704A9"/>
    <w:rsid w:val="00A704FC"/>
    <w:rsid w:val="00A70505"/>
    <w:rsid w:val="00A70812"/>
    <w:rsid w:val="00A7096A"/>
    <w:rsid w:val="00A7098E"/>
    <w:rsid w:val="00A709FA"/>
    <w:rsid w:val="00A70CD7"/>
    <w:rsid w:val="00A71159"/>
    <w:rsid w:val="00A711B4"/>
    <w:rsid w:val="00A712E1"/>
    <w:rsid w:val="00A7132A"/>
    <w:rsid w:val="00A71A1F"/>
    <w:rsid w:val="00A71C5E"/>
    <w:rsid w:val="00A71D29"/>
    <w:rsid w:val="00A71E77"/>
    <w:rsid w:val="00A71ECA"/>
    <w:rsid w:val="00A71F32"/>
    <w:rsid w:val="00A72194"/>
    <w:rsid w:val="00A72306"/>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17F"/>
    <w:rsid w:val="00A744AA"/>
    <w:rsid w:val="00A7452B"/>
    <w:rsid w:val="00A74567"/>
    <w:rsid w:val="00A746CD"/>
    <w:rsid w:val="00A746E1"/>
    <w:rsid w:val="00A7563F"/>
    <w:rsid w:val="00A757BF"/>
    <w:rsid w:val="00A7596E"/>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7799B"/>
    <w:rsid w:val="00A80272"/>
    <w:rsid w:val="00A804D4"/>
    <w:rsid w:val="00A805DE"/>
    <w:rsid w:val="00A80976"/>
    <w:rsid w:val="00A809FD"/>
    <w:rsid w:val="00A80D5E"/>
    <w:rsid w:val="00A80D6F"/>
    <w:rsid w:val="00A8111B"/>
    <w:rsid w:val="00A81355"/>
    <w:rsid w:val="00A81590"/>
    <w:rsid w:val="00A81693"/>
    <w:rsid w:val="00A81825"/>
    <w:rsid w:val="00A819B1"/>
    <w:rsid w:val="00A81C5F"/>
    <w:rsid w:val="00A81CA7"/>
    <w:rsid w:val="00A821D9"/>
    <w:rsid w:val="00A822DB"/>
    <w:rsid w:val="00A8269C"/>
    <w:rsid w:val="00A82719"/>
    <w:rsid w:val="00A82A0F"/>
    <w:rsid w:val="00A82A57"/>
    <w:rsid w:val="00A82AB3"/>
    <w:rsid w:val="00A82B11"/>
    <w:rsid w:val="00A82B66"/>
    <w:rsid w:val="00A82C21"/>
    <w:rsid w:val="00A82F1D"/>
    <w:rsid w:val="00A83679"/>
    <w:rsid w:val="00A83CF5"/>
    <w:rsid w:val="00A83EC4"/>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6E1"/>
    <w:rsid w:val="00A90794"/>
    <w:rsid w:val="00A90795"/>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B"/>
    <w:rsid w:val="00A93F4F"/>
    <w:rsid w:val="00A940DF"/>
    <w:rsid w:val="00A9420B"/>
    <w:rsid w:val="00A9421F"/>
    <w:rsid w:val="00A94354"/>
    <w:rsid w:val="00A94737"/>
    <w:rsid w:val="00A94843"/>
    <w:rsid w:val="00A94BD7"/>
    <w:rsid w:val="00A94DED"/>
    <w:rsid w:val="00A94EA5"/>
    <w:rsid w:val="00A94F39"/>
    <w:rsid w:val="00A950FC"/>
    <w:rsid w:val="00A95198"/>
    <w:rsid w:val="00A95962"/>
    <w:rsid w:val="00A95A29"/>
    <w:rsid w:val="00A95C7A"/>
    <w:rsid w:val="00A95CA5"/>
    <w:rsid w:val="00A95E7D"/>
    <w:rsid w:val="00A96104"/>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F07"/>
    <w:rsid w:val="00AA3FE7"/>
    <w:rsid w:val="00AA4003"/>
    <w:rsid w:val="00AA44DF"/>
    <w:rsid w:val="00AA47D6"/>
    <w:rsid w:val="00AA480C"/>
    <w:rsid w:val="00AA4D54"/>
    <w:rsid w:val="00AA4E39"/>
    <w:rsid w:val="00AA54CD"/>
    <w:rsid w:val="00AA5555"/>
    <w:rsid w:val="00AA56E4"/>
    <w:rsid w:val="00AA5760"/>
    <w:rsid w:val="00AA57EF"/>
    <w:rsid w:val="00AA5B08"/>
    <w:rsid w:val="00AA5C8A"/>
    <w:rsid w:val="00AA5CD0"/>
    <w:rsid w:val="00AA60C0"/>
    <w:rsid w:val="00AA6193"/>
    <w:rsid w:val="00AA6619"/>
    <w:rsid w:val="00AA6802"/>
    <w:rsid w:val="00AA6883"/>
    <w:rsid w:val="00AA6A4A"/>
    <w:rsid w:val="00AA6ADF"/>
    <w:rsid w:val="00AA6BDE"/>
    <w:rsid w:val="00AA6F9F"/>
    <w:rsid w:val="00AA7001"/>
    <w:rsid w:val="00AA7011"/>
    <w:rsid w:val="00AA72DA"/>
    <w:rsid w:val="00AA7944"/>
    <w:rsid w:val="00AA7B1B"/>
    <w:rsid w:val="00AA7BC6"/>
    <w:rsid w:val="00AB00C7"/>
    <w:rsid w:val="00AB01F4"/>
    <w:rsid w:val="00AB02E6"/>
    <w:rsid w:val="00AB05B1"/>
    <w:rsid w:val="00AB0645"/>
    <w:rsid w:val="00AB0869"/>
    <w:rsid w:val="00AB0990"/>
    <w:rsid w:val="00AB0A9D"/>
    <w:rsid w:val="00AB0B8A"/>
    <w:rsid w:val="00AB1678"/>
    <w:rsid w:val="00AB16D4"/>
    <w:rsid w:val="00AB1FCB"/>
    <w:rsid w:val="00AB26B5"/>
    <w:rsid w:val="00AB2E6E"/>
    <w:rsid w:val="00AB2EC7"/>
    <w:rsid w:val="00AB2FA7"/>
    <w:rsid w:val="00AB303F"/>
    <w:rsid w:val="00AB3097"/>
    <w:rsid w:val="00AB3197"/>
    <w:rsid w:val="00AB3215"/>
    <w:rsid w:val="00AB32D3"/>
    <w:rsid w:val="00AB338F"/>
    <w:rsid w:val="00AB348C"/>
    <w:rsid w:val="00AB34BD"/>
    <w:rsid w:val="00AB3566"/>
    <w:rsid w:val="00AB38F7"/>
    <w:rsid w:val="00AB3957"/>
    <w:rsid w:val="00AB3A06"/>
    <w:rsid w:val="00AB3AAE"/>
    <w:rsid w:val="00AB3B39"/>
    <w:rsid w:val="00AB3B93"/>
    <w:rsid w:val="00AB3C97"/>
    <w:rsid w:val="00AB3D53"/>
    <w:rsid w:val="00AB3E6E"/>
    <w:rsid w:val="00AB4283"/>
    <w:rsid w:val="00AB462E"/>
    <w:rsid w:val="00AB4A81"/>
    <w:rsid w:val="00AB4B02"/>
    <w:rsid w:val="00AB4DB8"/>
    <w:rsid w:val="00AB4DE0"/>
    <w:rsid w:val="00AB4F5F"/>
    <w:rsid w:val="00AB514D"/>
    <w:rsid w:val="00AB5462"/>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0B"/>
    <w:rsid w:val="00AB72AD"/>
    <w:rsid w:val="00AB7706"/>
    <w:rsid w:val="00AB7D2E"/>
    <w:rsid w:val="00AB7EDD"/>
    <w:rsid w:val="00AB7FE5"/>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CC1"/>
    <w:rsid w:val="00AC2D3F"/>
    <w:rsid w:val="00AC2DD6"/>
    <w:rsid w:val="00AC2E0C"/>
    <w:rsid w:val="00AC2E89"/>
    <w:rsid w:val="00AC2F2D"/>
    <w:rsid w:val="00AC31D1"/>
    <w:rsid w:val="00AC33F1"/>
    <w:rsid w:val="00AC3717"/>
    <w:rsid w:val="00AC39D0"/>
    <w:rsid w:val="00AC3A68"/>
    <w:rsid w:val="00AC3FBF"/>
    <w:rsid w:val="00AC4C08"/>
    <w:rsid w:val="00AC511C"/>
    <w:rsid w:val="00AC5357"/>
    <w:rsid w:val="00AC566A"/>
    <w:rsid w:val="00AC5708"/>
    <w:rsid w:val="00AC5D9D"/>
    <w:rsid w:val="00AC5DDE"/>
    <w:rsid w:val="00AC5EEF"/>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8E"/>
    <w:rsid w:val="00AD06E3"/>
    <w:rsid w:val="00AD0AF2"/>
    <w:rsid w:val="00AD0D6E"/>
    <w:rsid w:val="00AD1124"/>
    <w:rsid w:val="00AD1174"/>
    <w:rsid w:val="00AD176A"/>
    <w:rsid w:val="00AD1808"/>
    <w:rsid w:val="00AD19BD"/>
    <w:rsid w:val="00AD1AFF"/>
    <w:rsid w:val="00AD209C"/>
    <w:rsid w:val="00AD235D"/>
    <w:rsid w:val="00AD2668"/>
    <w:rsid w:val="00AD293E"/>
    <w:rsid w:val="00AD2AF8"/>
    <w:rsid w:val="00AD2D43"/>
    <w:rsid w:val="00AD3383"/>
    <w:rsid w:val="00AD34AA"/>
    <w:rsid w:val="00AD351F"/>
    <w:rsid w:val="00AD36DC"/>
    <w:rsid w:val="00AD3904"/>
    <w:rsid w:val="00AD3B62"/>
    <w:rsid w:val="00AD3BD1"/>
    <w:rsid w:val="00AD3D64"/>
    <w:rsid w:val="00AD3DDE"/>
    <w:rsid w:val="00AD3E2E"/>
    <w:rsid w:val="00AD3F83"/>
    <w:rsid w:val="00AD3FF3"/>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7D1"/>
    <w:rsid w:val="00AE085A"/>
    <w:rsid w:val="00AE08B3"/>
    <w:rsid w:val="00AE0B6E"/>
    <w:rsid w:val="00AE0C70"/>
    <w:rsid w:val="00AE0D0A"/>
    <w:rsid w:val="00AE0F81"/>
    <w:rsid w:val="00AE1330"/>
    <w:rsid w:val="00AE1634"/>
    <w:rsid w:val="00AE16FE"/>
    <w:rsid w:val="00AE1733"/>
    <w:rsid w:val="00AE17FC"/>
    <w:rsid w:val="00AE1975"/>
    <w:rsid w:val="00AE1A0B"/>
    <w:rsid w:val="00AE1FE4"/>
    <w:rsid w:val="00AE227D"/>
    <w:rsid w:val="00AE262B"/>
    <w:rsid w:val="00AE27F4"/>
    <w:rsid w:val="00AE27F9"/>
    <w:rsid w:val="00AE2ACC"/>
    <w:rsid w:val="00AE2C2B"/>
    <w:rsid w:val="00AE3058"/>
    <w:rsid w:val="00AE3310"/>
    <w:rsid w:val="00AE354F"/>
    <w:rsid w:val="00AE37A1"/>
    <w:rsid w:val="00AE3956"/>
    <w:rsid w:val="00AE3A4F"/>
    <w:rsid w:val="00AE3CF3"/>
    <w:rsid w:val="00AE3D5E"/>
    <w:rsid w:val="00AE3D85"/>
    <w:rsid w:val="00AE41EF"/>
    <w:rsid w:val="00AE4703"/>
    <w:rsid w:val="00AE4796"/>
    <w:rsid w:val="00AE4BF3"/>
    <w:rsid w:val="00AE516D"/>
    <w:rsid w:val="00AE517E"/>
    <w:rsid w:val="00AE5246"/>
    <w:rsid w:val="00AE5292"/>
    <w:rsid w:val="00AE52B4"/>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924"/>
    <w:rsid w:val="00AF0B8F"/>
    <w:rsid w:val="00AF0C0E"/>
    <w:rsid w:val="00AF0F53"/>
    <w:rsid w:val="00AF15AF"/>
    <w:rsid w:val="00AF1672"/>
    <w:rsid w:val="00AF1CF7"/>
    <w:rsid w:val="00AF1EB2"/>
    <w:rsid w:val="00AF2164"/>
    <w:rsid w:val="00AF2325"/>
    <w:rsid w:val="00AF23C9"/>
    <w:rsid w:val="00AF2572"/>
    <w:rsid w:val="00AF25E7"/>
    <w:rsid w:val="00AF276D"/>
    <w:rsid w:val="00AF284F"/>
    <w:rsid w:val="00AF2F95"/>
    <w:rsid w:val="00AF32EB"/>
    <w:rsid w:val="00AF333E"/>
    <w:rsid w:val="00AF37FA"/>
    <w:rsid w:val="00AF38BE"/>
    <w:rsid w:val="00AF3928"/>
    <w:rsid w:val="00AF3B06"/>
    <w:rsid w:val="00AF3D18"/>
    <w:rsid w:val="00AF40A0"/>
    <w:rsid w:val="00AF44F8"/>
    <w:rsid w:val="00AF4514"/>
    <w:rsid w:val="00AF46C4"/>
    <w:rsid w:val="00AF46C7"/>
    <w:rsid w:val="00AF4717"/>
    <w:rsid w:val="00AF4956"/>
    <w:rsid w:val="00AF53A4"/>
    <w:rsid w:val="00AF547B"/>
    <w:rsid w:val="00AF5798"/>
    <w:rsid w:val="00AF5815"/>
    <w:rsid w:val="00AF5959"/>
    <w:rsid w:val="00AF5C7C"/>
    <w:rsid w:val="00AF5CC9"/>
    <w:rsid w:val="00AF5EC5"/>
    <w:rsid w:val="00AF606D"/>
    <w:rsid w:val="00AF66DE"/>
    <w:rsid w:val="00AF6A8A"/>
    <w:rsid w:val="00AF6B26"/>
    <w:rsid w:val="00AF6BDB"/>
    <w:rsid w:val="00AF6DB3"/>
    <w:rsid w:val="00AF6DD6"/>
    <w:rsid w:val="00AF6F80"/>
    <w:rsid w:val="00AF70CB"/>
    <w:rsid w:val="00AF7535"/>
    <w:rsid w:val="00AF799C"/>
    <w:rsid w:val="00B00000"/>
    <w:rsid w:val="00B00B19"/>
    <w:rsid w:val="00B00D51"/>
    <w:rsid w:val="00B00D80"/>
    <w:rsid w:val="00B00EC9"/>
    <w:rsid w:val="00B00F03"/>
    <w:rsid w:val="00B012CC"/>
    <w:rsid w:val="00B0177D"/>
    <w:rsid w:val="00B01887"/>
    <w:rsid w:val="00B01E07"/>
    <w:rsid w:val="00B0237B"/>
    <w:rsid w:val="00B02BFB"/>
    <w:rsid w:val="00B030F8"/>
    <w:rsid w:val="00B03106"/>
    <w:rsid w:val="00B03253"/>
    <w:rsid w:val="00B03895"/>
    <w:rsid w:val="00B03904"/>
    <w:rsid w:val="00B03A5D"/>
    <w:rsid w:val="00B03AC9"/>
    <w:rsid w:val="00B03B4C"/>
    <w:rsid w:val="00B03B56"/>
    <w:rsid w:val="00B03B9A"/>
    <w:rsid w:val="00B03FF9"/>
    <w:rsid w:val="00B04158"/>
    <w:rsid w:val="00B04301"/>
    <w:rsid w:val="00B0432B"/>
    <w:rsid w:val="00B0432D"/>
    <w:rsid w:val="00B043CA"/>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13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702"/>
    <w:rsid w:val="00B12729"/>
    <w:rsid w:val="00B12B30"/>
    <w:rsid w:val="00B12B47"/>
    <w:rsid w:val="00B13222"/>
    <w:rsid w:val="00B1388B"/>
    <w:rsid w:val="00B138BE"/>
    <w:rsid w:val="00B13AB7"/>
    <w:rsid w:val="00B13BCC"/>
    <w:rsid w:val="00B13D36"/>
    <w:rsid w:val="00B13DDF"/>
    <w:rsid w:val="00B14018"/>
    <w:rsid w:val="00B1410B"/>
    <w:rsid w:val="00B143D6"/>
    <w:rsid w:val="00B14457"/>
    <w:rsid w:val="00B1488C"/>
    <w:rsid w:val="00B14EA4"/>
    <w:rsid w:val="00B1504B"/>
    <w:rsid w:val="00B154E4"/>
    <w:rsid w:val="00B1571F"/>
    <w:rsid w:val="00B15897"/>
    <w:rsid w:val="00B159C1"/>
    <w:rsid w:val="00B15A26"/>
    <w:rsid w:val="00B15B78"/>
    <w:rsid w:val="00B15D1D"/>
    <w:rsid w:val="00B15D31"/>
    <w:rsid w:val="00B162EC"/>
    <w:rsid w:val="00B164F7"/>
    <w:rsid w:val="00B1659A"/>
    <w:rsid w:val="00B16620"/>
    <w:rsid w:val="00B167B4"/>
    <w:rsid w:val="00B16888"/>
    <w:rsid w:val="00B16893"/>
    <w:rsid w:val="00B169BE"/>
    <w:rsid w:val="00B16B67"/>
    <w:rsid w:val="00B16CF9"/>
    <w:rsid w:val="00B16F3F"/>
    <w:rsid w:val="00B1709B"/>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1AB"/>
    <w:rsid w:val="00B203E8"/>
    <w:rsid w:val="00B203F9"/>
    <w:rsid w:val="00B2087F"/>
    <w:rsid w:val="00B20B60"/>
    <w:rsid w:val="00B20D55"/>
    <w:rsid w:val="00B21494"/>
    <w:rsid w:val="00B21D08"/>
    <w:rsid w:val="00B21D2C"/>
    <w:rsid w:val="00B22269"/>
    <w:rsid w:val="00B222C8"/>
    <w:rsid w:val="00B2243C"/>
    <w:rsid w:val="00B225FE"/>
    <w:rsid w:val="00B226F2"/>
    <w:rsid w:val="00B2270A"/>
    <w:rsid w:val="00B2274E"/>
    <w:rsid w:val="00B227C5"/>
    <w:rsid w:val="00B22801"/>
    <w:rsid w:val="00B22829"/>
    <w:rsid w:val="00B22AC3"/>
    <w:rsid w:val="00B22C26"/>
    <w:rsid w:val="00B22FC1"/>
    <w:rsid w:val="00B230D5"/>
    <w:rsid w:val="00B231F7"/>
    <w:rsid w:val="00B237D0"/>
    <w:rsid w:val="00B23827"/>
    <w:rsid w:val="00B23932"/>
    <w:rsid w:val="00B23B32"/>
    <w:rsid w:val="00B23D98"/>
    <w:rsid w:val="00B23DCC"/>
    <w:rsid w:val="00B23F89"/>
    <w:rsid w:val="00B2413F"/>
    <w:rsid w:val="00B242F8"/>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7011"/>
    <w:rsid w:val="00B27180"/>
    <w:rsid w:val="00B27219"/>
    <w:rsid w:val="00B27349"/>
    <w:rsid w:val="00B27586"/>
    <w:rsid w:val="00B279A8"/>
    <w:rsid w:val="00B27C74"/>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257"/>
    <w:rsid w:val="00B3449D"/>
    <w:rsid w:val="00B34511"/>
    <w:rsid w:val="00B34768"/>
    <w:rsid w:val="00B34B78"/>
    <w:rsid w:val="00B34BD6"/>
    <w:rsid w:val="00B34D6A"/>
    <w:rsid w:val="00B34F23"/>
    <w:rsid w:val="00B34F3A"/>
    <w:rsid w:val="00B35083"/>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37CF7"/>
    <w:rsid w:val="00B4009E"/>
    <w:rsid w:val="00B40116"/>
    <w:rsid w:val="00B4013A"/>
    <w:rsid w:val="00B403E5"/>
    <w:rsid w:val="00B407C0"/>
    <w:rsid w:val="00B4099A"/>
    <w:rsid w:val="00B409D6"/>
    <w:rsid w:val="00B40A31"/>
    <w:rsid w:val="00B40A47"/>
    <w:rsid w:val="00B40A7F"/>
    <w:rsid w:val="00B40AD6"/>
    <w:rsid w:val="00B40BAA"/>
    <w:rsid w:val="00B40F4F"/>
    <w:rsid w:val="00B412AB"/>
    <w:rsid w:val="00B416B0"/>
    <w:rsid w:val="00B41960"/>
    <w:rsid w:val="00B4198D"/>
    <w:rsid w:val="00B41992"/>
    <w:rsid w:val="00B41A10"/>
    <w:rsid w:val="00B41B42"/>
    <w:rsid w:val="00B41D4E"/>
    <w:rsid w:val="00B420CA"/>
    <w:rsid w:val="00B4212E"/>
    <w:rsid w:val="00B42163"/>
    <w:rsid w:val="00B42231"/>
    <w:rsid w:val="00B42562"/>
    <w:rsid w:val="00B4264F"/>
    <w:rsid w:val="00B42975"/>
    <w:rsid w:val="00B42ADD"/>
    <w:rsid w:val="00B43099"/>
    <w:rsid w:val="00B430CB"/>
    <w:rsid w:val="00B4319D"/>
    <w:rsid w:val="00B44310"/>
    <w:rsid w:val="00B443C7"/>
    <w:rsid w:val="00B44697"/>
    <w:rsid w:val="00B446B0"/>
    <w:rsid w:val="00B446CA"/>
    <w:rsid w:val="00B447CE"/>
    <w:rsid w:val="00B447D6"/>
    <w:rsid w:val="00B4488D"/>
    <w:rsid w:val="00B449E8"/>
    <w:rsid w:val="00B44A4E"/>
    <w:rsid w:val="00B44AAD"/>
    <w:rsid w:val="00B44D2A"/>
    <w:rsid w:val="00B44D55"/>
    <w:rsid w:val="00B44F0C"/>
    <w:rsid w:val="00B45037"/>
    <w:rsid w:val="00B4511E"/>
    <w:rsid w:val="00B4536F"/>
    <w:rsid w:val="00B453FF"/>
    <w:rsid w:val="00B45BB7"/>
    <w:rsid w:val="00B45F88"/>
    <w:rsid w:val="00B4604D"/>
    <w:rsid w:val="00B46080"/>
    <w:rsid w:val="00B461B6"/>
    <w:rsid w:val="00B463FF"/>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2E7"/>
    <w:rsid w:val="00B50454"/>
    <w:rsid w:val="00B5048E"/>
    <w:rsid w:val="00B504D4"/>
    <w:rsid w:val="00B50566"/>
    <w:rsid w:val="00B50711"/>
    <w:rsid w:val="00B50AB8"/>
    <w:rsid w:val="00B50C6A"/>
    <w:rsid w:val="00B50C8A"/>
    <w:rsid w:val="00B50EAB"/>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384"/>
    <w:rsid w:val="00B5651D"/>
    <w:rsid w:val="00B56796"/>
    <w:rsid w:val="00B56AF7"/>
    <w:rsid w:val="00B56B9B"/>
    <w:rsid w:val="00B56B9D"/>
    <w:rsid w:val="00B56F47"/>
    <w:rsid w:val="00B57039"/>
    <w:rsid w:val="00B574D6"/>
    <w:rsid w:val="00B574DA"/>
    <w:rsid w:val="00B579C3"/>
    <w:rsid w:val="00B57A5C"/>
    <w:rsid w:val="00B57DA4"/>
    <w:rsid w:val="00B57DFA"/>
    <w:rsid w:val="00B60168"/>
    <w:rsid w:val="00B60531"/>
    <w:rsid w:val="00B605F5"/>
    <w:rsid w:val="00B606D8"/>
    <w:rsid w:val="00B60720"/>
    <w:rsid w:val="00B6080C"/>
    <w:rsid w:val="00B609CF"/>
    <w:rsid w:val="00B60AF2"/>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3A2"/>
    <w:rsid w:val="00B635F8"/>
    <w:rsid w:val="00B6387E"/>
    <w:rsid w:val="00B6391C"/>
    <w:rsid w:val="00B63AB7"/>
    <w:rsid w:val="00B63C37"/>
    <w:rsid w:val="00B63CB8"/>
    <w:rsid w:val="00B63CBC"/>
    <w:rsid w:val="00B63CFE"/>
    <w:rsid w:val="00B63E94"/>
    <w:rsid w:val="00B63F7D"/>
    <w:rsid w:val="00B6437B"/>
    <w:rsid w:val="00B644CF"/>
    <w:rsid w:val="00B645A6"/>
    <w:rsid w:val="00B64B7E"/>
    <w:rsid w:val="00B64BC8"/>
    <w:rsid w:val="00B64D0E"/>
    <w:rsid w:val="00B654E9"/>
    <w:rsid w:val="00B656C5"/>
    <w:rsid w:val="00B656FE"/>
    <w:rsid w:val="00B66018"/>
    <w:rsid w:val="00B66127"/>
    <w:rsid w:val="00B6616E"/>
    <w:rsid w:val="00B663DD"/>
    <w:rsid w:val="00B6647A"/>
    <w:rsid w:val="00B6687A"/>
    <w:rsid w:val="00B66C15"/>
    <w:rsid w:val="00B66F68"/>
    <w:rsid w:val="00B67187"/>
    <w:rsid w:val="00B6733A"/>
    <w:rsid w:val="00B6766B"/>
    <w:rsid w:val="00B67681"/>
    <w:rsid w:val="00B67741"/>
    <w:rsid w:val="00B6777E"/>
    <w:rsid w:val="00B6789A"/>
    <w:rsid w:val="00B679A7"/>
    <w:rsid w:val="00B67DD3"/>
    <w:rsid w:val="00B67FAD"/>
    <w:rsid w:val="00B7022A"/>
    <w:rsid w:val="00B7048E"/>
    <w:rsid w:val="00B705FC"/>
    <w:rsid w:val="00B70771"/>
    <w:rsid w:val="00B709B3"/>
    <w:rsid w:val="00B71188"/>
    <w:rsid w:val="00B71267"/>
    <w:rsid w:val="00B71348"/>
    <w:rsid w:val="00B714AC"/>
    <w:rsid w:val="00B7153E"/>
    <w:rsid w:val="00B716A9"/>
    <w:rsid w:val="00B71881"/>
    <w:rsid w:val="00B719E2"/>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16"/>
    <w:rsid w:val="00B77ABE"/>
    <w:rsid w:val="00B77AD9"/>
    <w:rsid w:val="00B77B91"/>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8CD"/>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8AB"/>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B46"/>
    <w:rsid w:val="00B90E70"/>
    <w:rsid w:val="00B90F66"/>
    <w:rsid w:val="00B90FC6"/>
    <w:rsid w:val="00B912AA"/>
    <w:rsid w:val="00B91520"/>
    <w:rsid w:val="00B91565"/>
    <w:rsid w:val="00B915CD"/>
    <w:rsid w:val="00B915F5"/>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4E41"/>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6F7B"/>
    <w:rsid w:val="00B97038"/>
    <w:rsid w:val="00B97104"/>
    <w:rsid w:val="00B977B6"/>
    <w:rsid w:val="00B97934"/>
    <w:rsid w:val="00B97A1F"/>
    <w:rsid w:val="00B97A26"/>
    <w:rsid w:val="00B97A7A"/>
    <w:rsid w:val="00B97D6A"/>
    <w:rsid w:val="00B97D76"/>
    <w:rsid w:val="00B97F0A"/>
    <w:rsid w:val="00BA01F4"/>
    <w:rsid w:val="00BA0325"/>
    <w:rsid w:val="00BA03BD"/>
    <w:rsid w:val="00BA04CC"/>
    <w:rsid w:val="00BA0564"/>
    <w:rsid w:val="00BA070E"/>
    <w:rsid w:val="00BA083E"/>
    <w:rsid w:val="00BA08F2"/>
    <w:rsid w:val="00BA0A5E"/>
    <w:rsid w:val="00BA0B20"/>
    <w:rsid w:val="00BA0BB1"/>
    <w:rsid w:val="00BA0D70"/>
    <w:rsid w:val="00BA1112"/>
    <w:rsid w:val="00BA12C3"/>
    <w:rsid w:val="00BA1432"/>
    <w:rsid w:val="00BA15B9"/>
    <w:rsid w:val="00BA1913"/>
    <w:rsid w:val="00BA198C"/>
    <w:rsid w:val="00BA1BDA"/>
    <w:rsid w:val="00BA1C33"/>
    <w:rsid w:val="00BA1DA0"/>
    <w:rsid w:val="00BA1DF1"/>
    <w:rsid w:val="00BA1F19"/>
    <w:rsid w:val="00BA1FBE"/>
    <w:rsid w:val="00BA23F6"/>
    <w:rsid w:val="00BA242D"/>
    <w:rsid w:val="00BA246A"/>
    <w:rsid w:val="00BA27FC"/>
    <w:rsid w:val="00BA388A"/>
    <w:rsid w:val="00BA3A40"/>
    <w:rsid w:val="00BA3FED"/>
    <w:rsid w:val="00BA401F"/>
    <w:rsid w:val="00BA424C"/>
    <w:rsid w:val="00BA43C9"/>
    <w:rsid w:val="00BA48DE"/>
    <w:rsid w:val="00BA4950"/>
    <w:rsid w:val="00BA4A43"/>
    <w:rsid w:val="00BA4AC6"/>
    <w:rsid w:val="00BA4CD6"/>
    <w:rsid w:val="00BA4CFB"/>
    <w:rsid w:val="00BA4D1B"/>
    <w:rsid w:val="00BA4FB9"/>
    <w:rsid w:val="00BA5190"/>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BA"/>
    <w:rsid w:val="00BA7E56"/>
    <w:rsid w:val="00BB004D"/>
    <w:rsid w:val="00BB00AA"/>
    <w:rsid w:val="00BB00FE"/>
    <w:rsid w:val="00BB046D"/>
    <w:rsid w:val="00BB04FF"/>
    <w:rsid w:val="00BB0673"/>
    <w:rsid w:val="00BB09BC"/>
    <w:rsid w:val="00BB0A06"/>
    <w:rsid w:val="00BB0A3E"/>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2E09"/>
    <w:rsid w:val="00BB30FF"/>
    <w:rsid w:val="00BB32C6"/>
    <w:rsid w:val="00BB3306"/>
    <w:rsid w:val="00BB33C2"/>
    <w:rsid w:val="00BB3442"/>
    <w:rsid w:val="00BB34D8"/>
    <w:rsid w:val="00BB38EA"/>
    <w:rsid w:val="00BB3C76"/>
    <w:rsid w:val="00BB3EB4"/>
    <w:rsid w:val="00BB4212"/>
    <w:rsid w:val="00BB4403"/>
    <w:rsid w:val="00BB46BF"/>
    <w:rsid w:val="00BB4858"/>
    <w:rsid w:val="00BB4977"/>
    <w:rsid w:val="00BB4A8C"/>
    <w:rsid w:val="00BB4CCF"/>
    <w:rsid w:val="00BB4E88"/>
    <w:rsid w:val="00BB4E8F"/>
    <w:rsid w:val="00BB4ECF"/>
    <w:rsid w:val="00BB4F1C"/>
    <w:rsid w:val="00BB4F35"/>
    <w:rsid w:val="00BB529E"/>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86B"/>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343"/>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4A5"/>
    <w:rsid w:val="00BC35F0"/>
    <w:rsid w:val="00BC367B"/>
    <w:rsid w:val="00BC3A29"/>
    <w:rsid w:val="00BC3A4D"/>
    <w:rsid w:val="00BC3A90"/>
    <w:rsid w:val="00BC3B85"/>
    <w:rsid w:val="00BC3B88"/>
    <w:rsid w:val="00BC3BA6"/>
    <w:rsid w:val="00BC3E8D"/>
    <w:rsid w:val="00BC41B4"/>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D76"/>
    <w:rsid w:val="00BC5EB0"/>
    <w:rsid w:val="00BC6135"/>
    <w:rsid w:val="00BC61AA"/>
    <w:rsid w:val="00BC6262"/>
    <w:rsid w:val="00BC633D"/>
    <w:rsid w:val="00BC65A2"/>
    <w:rsid w:val="00BC6628"/>
    <w:rsid w:val="00BC66A1"/>
    <w:rsid w:val="00BC66A9"/>
    <w:rsid w:val="00BC6C1B"/>
    <w:rsid w:val="00BC6E9E"/>
    <w:rsid w:val="00BC703D"/>
    <w:rsid w:val="00BC709C"/>
    <w:rsid w:val="00BC721C"/>
    <w:rsid w:val="00BC7362"/>
    <w:rsid w:val="00BC75DF"/>
    <w:rsid w:val="00BC7825"/>
    <w:rsid w:val="00BC7915"/>
    <w:rsid w:val="00BC79A7"/>
    <w:rsid w:val="00BC7A40"/>
    <w:rsid w:val="00BC7AE1"/>
    <w:rsid w:val="00BC7E8F"/>
    <w:rsid w:val="00BC7EA1"/>
    <w:rsid w:val="00BC7EC1"/>
    <w:rsid w:val="00BD0086"/>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87"/>
    <w:rsid w:val="00BD1792"/>
    <w:rsid w:val="00BD1A29"/>
    <w:rsid w:val="00BD1ABB"/>
    <w:rsid w:val="00BD1AC4"/>
    <w:rsid w:val="00BD1B2D"/>
    <w:rsid w:val="00BD1C3D"/>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93"/>
    <w:rsid w:val="00BD4CC2"/>
    <w:rsid w:val="00BD4CED"/>
    <w:rsid w:val="00BD4EE8"/>
    <w:rsid w:val="00BD4F99"/>
    <w:rsid w:val="00BD5101"/>
    <w:rsid w:val="00BD5375"/>
    <w:rsid w:val="00BD5397"/>
    <w:rsid w:val="00BD53A6"/>
    <w:rsid w:val="00BD5C3F"/>
    <w:rsid w:val="00BD5CEA"/>
    <w:rsid w:val="00BD5E45"/>
    <w:rsid w:val="00BD5E9F"/>
    <w:rsid w:val="00BD6282"/>
    <w:rsid w:val="00BD64AF"/>
    <w:rsid w:val="00BD6552"/>
    <w:rsid w:val="00BD65DA"/>
    <w:rsid w:val="00BD66D6"/>
    <w:rsid w:val="00BD6C69"/>
    <w:rsid w:val="00BD6CD9"/>
    <w:rsid w:val="00BD6D6D"/>
    <w:rsid w:val="00BD6D9F"/>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D5A"/>
    <w:rsid w:val="00BE1E31"/>
    <w:rsid w:val="00BE1F26"/>
    <w:rsid w:val="00BE21BC"/>
    <w:rsid w:val="00BE2249"/>
    <w:rsid w:val="00BE22D7"/>
    <w:rsid w:val="00BE248C"/>
    <w:rsid w:val="00BE2593"/>
    <w:rsid w:val="00BE26BD"/>
    <w:rsid w:val="00BE27F3"/>
    <w:rsid w:val="00BE2CC7"/>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784"/>
    <w:rsid w:val="00BF0A9D"/>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DCE"/>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061"/>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EDE"/>
    <w:rsid w:val="00C02FE1"/>
    <w:rsid w:val="00C03012"/>
    <w:rsid w:val="00C036E8"/>
    <w:rsid w:val="00C0371A"/>
    <w:rsid w:val="00C0373D"/>
    <w:rsid w:val="00C03DA6"/>
    <w:rsid w:val="00C03EA6"/>
    <w:rsid w:val="00C043A9"/>
    <w:rsid w:val="00C0450D"/>
    <w:rsid w:val="00C0457A"/>
    <w:rsid w:val="00C04615"/>
    <w:rsid w:val="00C0469C"/>
    <w:rsid w:val="00C047D7"/>
    <w:rsid w:val="00C04834"/>
    <w:rsid w:val="00C049E2"/>
    <w:rsid w:val="00C04B79"/>
    <w:rsid w:val="00C04C83"/>
    <w:rsid w:val="00C04CF5"/>
    <w:rsid w:val="00C04CFA"/>
    <w:rsid w:val="00C04D1F"/>
    <w:rsid w:val="00C04E20"/>
    <w:rsid w:val="00C04E95"/>
    <w:rsid w:val="00C051D9"/>
    <w:rsid w:val="00C0525D"/>
    <w:rsid w:val="00C0543D"/>
    <w:rsid w:val="00C0558B"/>
    <w:rsid w:val="00C05613"/>
    <w:rsid w:val="00C057EE"/>
    <w:rsid w:val="00C058CC"/>
    <w:rsid w:val="00C058D4"/>
    <w:rsid w:val="00C05A1B"/>
    <w:rsid w:val="00C05B9C"/>
    <w:rsid w:val="00C05BE5"/>
    <w:rsid w:val="00C05C4E"/>
    <w:rsid w:val="00C05CB8"/>
    <w:rsid w:val="00C05E55"/>
    <w:rsid w:val="00C0606C"/>
    <w:rsid w:val="00C06408"/>
    <w:rsid w:val="00C06416"/>
    <w:rsid w:val="00C064A7"/>
    <w:rsid w:val="00C06508"/>
    <w:rsid w:val="00C066D3"/>
    <w:rsid w:val="00C06CFA"/>
    <w:rsid w:val="00C06E71"/>
    <w:rsid w:val="00C06F4D"/>
    <w:rsid w:val="00C0719D"/>
    <w:rsid w:val="00C074E0"/>
    <w:rsid w:val="00C076D3"/>
    <w:rsid w:val="00C0792A"/>
    <w:rsid w:val="00C07AEB"/>
    <w:rsid w:val="00C07B21"/>
    <w:rsid w:val="00C07C03"/>
    <w:rsid w:val="00C07C0E"/>
    <w:rsid w:val="00C07DD9"/>
    <w:rsid w:val="00C07F1C"/>
    <w:rsid w:val="00C10462"/>
    <w:rsid w:val="00C106BA"/>
    <w:rsid w:val="00C10792"/>
    <w:rsid w:val="00C108D4"/>
    <w:rsid w:val="00C10B90"/>
    <w:rsid w:val="00C10DC1"/>
    <w:rsid w:val="00C112DF"/>
    <w:rsid w:val="00C1166D"/>
    <w:rsid w:val="00C119EF"/>
    <w:rsid w:val="00C11AAC"/>
    <w:rsid w:val="00C11D8F"/>
    <w:rsid w:val="00C11E11"/>
    <w:rsid w:val="00C11E99"/>
    <w:rsid w:val="00C11EE1"/>
    <w:rsid w:val="00C12574"/>
    <w:rsid w:val="00C125F2"/>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2B"/>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4B1E"/>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27EAB"/>
    <w:rsid w:val="00C301EE"/>
    <w:rsid w:val="00C30210"/>
    <w:rsid w:val="00C302AB"/>
    <w:rsid w:val="00C3036C"/>
    <w:rsid w:val="00C3060C"/>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1D5"/>
    <w:rsid w:val="00C33C65"/>
    <w:rsid w:val="00C33CAC"/>
    <w:rsid w:val="00C33D2E"/>
    <w:rsid w:val="00C34157"/>
    <w:rsid w:val="00C343B1"/>
    <w:rsid w:val="00C34406"/>
    <w:rsid w:val="00C34540"/>
    <w:rsid w:val="00C3457D"/>
    <w:rsid w:val="00C3459C"/>
    <w:rsid w:val="00C3494C"/>
    <w:rsid w:val="00C34A91"/>
    <w:rsid w:val="00C34ADF"/>
    <w:rsid w:val="00C34B1A"/>
    <w:rsid w:val="00C34B49"/>
    <w:rsid w:val="00C34BC4"/>
    <w:rsid w:val="00C35562"/>
    <w:rsid w:val="00C3571B"/>
    <w:rsid w:val="00C35744"/>
    <w:rsid w:val="00C35AA4"/>
    <w:rsid w:val="00C35B2C"/>
    <w:rsid w:val="00C35E70"/>
    <w:rsid w:val="00C360CA"/>
    <w:rsid w:val="00C36143"/>
    <w:rsid w:val="00C361B3"/>
    <w:rsid w:val="00C36550"/>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C3A"/>
    <w:rsid w:val="00C37D11"/>
    <w:rsid w:val="00C37D38"/>
    <w:rsid w:val="00C37FED"/>
    <w:rsid w:val="00C40467"/>
    <w:rsid w:val="00C406A2"/>
    <w:rsid w:val="00C40846"/>
    <w:rsid w:val="00C40A33"/>
    <w:rsid w:val="00C40B04"/>
    <w:rsid w:val="00C40C5C"/>
    <w:rsid w:val="00C40E4D"/>
    <w:rsid w:val="00C40E78"/>
    <w:rsid w:val="00C412CD"/>
    <w:rsid w:val="00C41407"/>
    <w:rsid w:val="00C41557"/>
    <w:rsid w:val="00C41A77"/>
    <w:rsid w:val="00C41F9B"/>
    <w:rsid w:val="00C429B4"/>
    <w:rsid w:val="00C42A62"/>
    <w:rsid w:val="00C42B80"/>
    <w:rsid w:val="00C430C6"/>
    <w:rsid w:val="00C43ADE"/>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4DB"/>
    <w:rsid w:val="00C4658C"/>
    <w:rsid w:val="00C468B8"/>
    <w:rsid w:val="00C46CAA"/>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863"/>
    <w:rsid w:val="00C5586A"/>
    <w:rsid w:val="00C55CBF"/>
    <w:rsid w:val="00C55CE9"/>
    <w:rsid w:val="00C55D12"/>
    <w:rsid w:val="00C55DBC"/>
    <w:rsid w:val="00C55E8F"/>
    <w:rsid w:val="00C55EC4"/>
    <w:rsid w:val="00C56708"/>
    <w:rsid w:val="00C56779"/>
    <w:rsid w:val="00C5683B"/>
    <w:rsid w:val="00C56842"/>
    <w:rsid w:val="00C56861"/>
    <w:rsid w:val="00C568F7"/>
    <w:rsid w:val="00C56901"/>
    <w:rsid w:val="00C56E1F"/>
    <w:rsid w:val="00C5707C"/>
    <w:rsid w:val="00C572B3"/>
    <w:rsid w:val="00C5738D"/>
    <w:rsid w:val="00C57632"/>
    <w:rsid w:val="00C576D9"/>
    <w:rsid w:val="00C5776B"/>
    <w:rsid w:val="00C57BE1"/>
    <w:rsid w:val="00C57F1F"/>
    <w:rsid w:val="00C60013"/>
    <w:rsid w:val="00C60015"/>
    <w:rsid w:val="00C60042"/>
    <w:rsid w:val="00C603A5"/>
    <w:rsid w:val="00C6091C"/>
    <w:rsid w:val="00C60A38"/>
    <w:rsid w:val="00C60E2E"/>
    <w:rsid w:val="00C610D2"/>
    <w:rsid w:val="00C61270"/>
    <w:rsid w:val="00C6144E"/>
    <w:rsid w:val="00C618C7"/>
    <w:rsid w:val="00C61AD4"/>
    <w:rsid w:val="00C61CEA"/>
    <w:rsid w:val="00C61F29"/>
    <w:rsid w:val="00C61FD1"/>
    <w:rsid w:val="00C62015"/>
    <w:rsid w:val="00C6265A"/>
    <w:rsid w:val="00C62710"/>
    <w:rsid w:val="00C62C6C"/>
    <w:rsid w:val="00C63220"/>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9E6"/>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227"/>
    <w:rsid w:val="00C7147D"/>
    <w:rsid w:val="00C715D6"/>
    <w:rsid w:val="00C71727"/>
    <w:rsid w:val="00C71909"/>
    <w:rsid w:val="00C71B91"/>
    <w:rsid w:val="00C71D14"/>
    <w:rsid w:val="00C7207A"/>
    <w:rsid w:val="00C72281"/>
    <w:rsid w:val="00C72348"/>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CD"/>
    <w:rsid w:val="00C73EA6"/>
    <w:rsid w:val="00C73F8A"/>
    <w:rsid w:val="00C74455"/>
    <w:rsid w:val="00C74CEC"/>
    <w:rsid w:val="00C74EBE"/>
    <w:rsid w:val="00C751DF"/>
    <w:rsid w:val="00C753CF"/>
    <w:rsid w:val="00C75555"/>
    <w:rsid w:val="00C75657"/>
    <w:rsid w:val="00C75782"/>
    <w:rsid w:val="00C759F3"/>
    <w:rsid w:val="00C75A9D"/>
    <w:rsid w:val="00C75AA9"/>
    <w:rsid w:val="00C75CCB"/>
    <w:rsid w:val="00C75CE8"/>
    <w:rsid w:val="00C7614A"/>
    <w:rsid w:val="00C761D5"/>
    <w:rsid w:val="00C764D9"/>
    <w:rsid w:val="00C76646"/>
    <w:rsid w:val="00C766E7"/>
    <w:rsid w:val="00C766FD"/>
    <w:rsid w:val="00C7671C"/>
    <w:rsid w:val="00C76AE3"/>
    <w:rsid w:val="00C76E0A"/>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E70"/>
    <w:rsid w:val="00C8207F"/>
    <w:rsid w:val="00C8272D"/>
    <w:rsid w:val="00C82922"/>
    <w:rsid w:val="00C82968"/>
    <w:rsid w:val="00C82CCB"/>
    <w:rsid w:val="00C830FA"/>
    <w:rsid w:val="00C83280"/>
    <w:rsid w:val="00C834C2"/>
    <w:rsid w:val="00C83513"/>
    <w:rsid w:val="00C835F4"/>
    <w:rsid w:val="00C83711"/>
    <w:rsid w:val="00C83789"/>
    <w:rsid w:val="00C8396A"/>
    <w:rsid w:val="00C83CA0"/>
    <w:rsid w:val="00C83D6B"/>
    <w:rsid w:val="00C83F3E"/>
    <w:rsid w:val="00C8407A"/>
    <w:rsid w:val="00C8426B"/>
    <w:rsid w:val="00C8428C"/>
    <w:rsid w:val="00C842BB"/>
    <w:rsid w:val="00C843A0"/>
    <w:rsid w:val="00C84687"/>
    <w:rsid w:val="00C8473C"/>
    <w:rsid w:val="00C8492E"/>
    <w:rsid w:val="00C849BA"/>
    <w:rsid w:val="00C84AE4"/>
    <w:rsid w:val="00C84D53"/>
    <w:rsid w:val="00C84F5C"/>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2D"/>
    <w:rsid w:val="00C90C3F"/>
    <w:rsid w:val="00C90CE6"/>
    <w:rsid w:val="00C90F22"/>
    <w:rsid w:val="00C90F28"/>
    <w:rsid w:val="00C90FEE"/>
    <w:rsid w:val="00C9112C"/>
    <w:rsid w:val="00C9116D"/>
    <w:rsid w:val="00C911DB"/>
    <w:rsid w:val="00C91A57"/>
    <w:rsid w:val="00C91B20"/>
    <w:rsid w:val="00C91BB2"/>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238"/>
    <w:rsid w:val="00C9563E"/>
    <w:rsid w:val="00C95736"/>
    <w:rsid w:val="00C95A4F"/>
    <w:rsid w:val="00C95CAF"/>
    <w:rsid w:val="00C95DEE"/>
    <w:rsid w:val="00C95FD6"/>
    <w:rsid w:val="00C960C8"/>
    <w:rsid w:val="00C962B9"/>
    <w:rsid w:val="00C962C0"/>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53"/>
    <w:rsid w:val="00CA057D"/>
    <w:rsid w:val="00CA07E7"/>
    <w:rsid w:val="00CA0A26"/>
    <w:rsid w:val="00CA0A48"/>
    <w:rsid w:val="00CA0BEF"/>
    <w:rsid w:val="00CA0E21"/>
    <w:rsid w:val="00CA0EF4"/>
    <w:rsid w:val="00CA1363"/>
    <w:rsid w:val="00CA13E0"/>
    <w:rsid w:val="00CA14BE"/>
    <w:rsid w:val="00CA1505"/>
    <w:rsid w:val="00CA16B4"/>
    <w:rsid w:val="00CA17E9"/>
    <w:rsid w:val="00CA1851"/>
    <w:rsid w:val="00CA18FF"/>
    <w:rsid w:val="00CA1FE9"/>
    <w:rsid w:val="00CA22DA"/>
    <w:rsid w:val="00CA2A3F"/>
    <w:rsid w:val="00CA2B16"/>
    <w:rsid w:val="00CA2ED6"/>
    <w:rsid w:val="00CA2FC0"/>
    <w:rsid w:val="00CA2FC3"/>
    <w:rsid w:val="00CA3041"/>
    <w:rsid w:val="00CA309B"/>
    <w:rsid w:val="00CA310A"/>
    <w:rsid w:val="00CA32F1"/>
    <w:rsid w:val="00CA33D5"/>
    <w:rsid w:val="00CA3589"/>
    <w:rsid w:val="00CA367F"/>
    <w:rsid w:val="00CA3796"/>
    <w:rsid w:val="00CA3CE3"/>
    <w:rsid w:val="00CA3D63"/>
    <w:rsid w:val="00CA4312"/>
    <w:rsid w:val="00CA451E"/>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5E9E"/>
    <w:rsid w:val="00CA62A4"/>
    <w:rsid w:val="00CA62FD"/>
    <w:rsid w:val="00CA6740"/>
    <w:rsid w:val="00CA692E"/>
    <w:rsid w:val="00CA6C1F"/>
    <w:rsid w:val="00CA6E0A"/>
    <w:rsid w:val="00CA6EC9"/>
    <w:rsid w:val="00CA7115"/>
    <w:rsid w:val="00CA71A5"/>
    <w:rsid w:val="00CA7288"/>
    <w:rsid w:val="00CA72B1"/>
    <w:rsid w:val="00CA7420"/>
    <w:rsid w:val="00CA749E"/>
    <w:rsid w:val="00CA773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353"/>
    <w:rsid w:val="00CB15FD"/>
    <w:rsid w:val="00CB1600"/>
    <w:rsid w:val="00CB174A"/>
    <w:rsid w:val="00CB18DC"/>
    <w:rsid w:val="00CB1948"/>
    <w:rsid w:val="00CB1B08"/>
    <w:rsid w:val="00CB20F0"/>
    <w:rsid w:val="00CB22AB"/>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5364"/>
    <w:rsid w:val="00CB53D8"/>
    <w:rsid w:val="00CB548D"/>
    <w:rsid w:val="00CB551A"/>
    <w:rsid w:val="00CB565E"/>
    <w:rsid w:val="00CB5661"/>
    <w:rsid w:val="00CB5A2F"/>
    <w:rsid w:val="00CB5AFE"/>
    <w:rsid w:val="00CB5B23"/>
    <w:rsid w:val="00CB5CA0"/>
    <w:rsid w:val="00CB5E12"/>
    <w:rsid w:val="00CB6036"/>
    <w:rsid w:val="00CB6416"/>
    <w:rsid w:val="00CB65AD"/>
    <w:rsid w:val="00CB65C6"/>
    <w:rsid w:val="00CB6778"/>
    <w:rsid w:val="00CB69AA"/>
    <w:rsid w:val="00CB6A8E"/>
    <w:rsid w:val="00CB6B3A"/>
    <w:rsid w:val="00CB6C9B"/>
    <w:rsid w:val="00CB6FEF"/>
    <w:rsid w:val="00CB71D2"/>
    <w:rsid w:val="00CB738A"/>
    <w:rsid w:val="00CB758D"/>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61"/>
    <w:rsid w:val="00CC18DD"/>
    <w:rsid w:val="00CC1DBF"/>
    <w:rsid w:val="00CC1DCC"/>
    <w:rsid w:val="00CC1E69"/>
    <w:rsid w:val="00CC1EC6"/>
    <w:rsid w:val="00CC1EF8"/>
    <w:rsid w:val="00CC212F"/>
    <w:rsid w:val="00CC2382"/>
    <w:rsid w:val="00CC23F2"/>
    <w:rsid w:val="00CC24CA"/>
    <w:rsid w:val="00CC250B"/>
    <w:rsid w:val="00CC259B"/>
    <w:rsid w:val="00CC2701"/>
    <w:rsid w:val="00CC2A27"/>
    <w:rsid w:val="00CC2DC0"/>
    <w:rsid w:val="00CC2E12"/>
    <w:rsid w:val="00CC2E8A"/>
    <w:rsid w:val="00CC3237"/>
    <w:rsid w:val="00CC35A9"/>
    <w:rsid w:val="00CC36DC"/>
    <w:rsid w:val="00CC3B57"/>
    <w:rsid w:val="00CC3BE8"/>
    <w:rsid w:val="00CC3CF5"/>
    <w:rsid w:val="00CC4179"/>
    <w:rsid w:val="00CC429D"/>
    <w:rsid w:val="00CC4382"/>
    <w:rsid w:val="00CC43EA"/>
    <w:rsid w:val="00CC4426"/>
    <w:rsid w:val="00CC46A3"/>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261"/>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7D3"/>
    <w:rsid w:val="00CD293B"/>
    <w:rsid w:val="00CD2A25"/>
    <w:rsid w:val="00CD2A7E"/>
    <w:rsid w:val="00CD2B90"/>
    <w:rsid w:val="00CD2C2F"/>
    <w:rsid w:val="00CD2D28"/>
    <w:rsid w:val="00CD301F"/>
    <w:rsid w:val="00CD31DE"/>
    <w:rsid w:val="00CD32E2"/>
    <w:rsid w:val="00CD32F1"/>
    <w:rsid w:val="00CD3392"/>
    <w:rsid w:val="00CD34ED"/>
    <w:rsid w:val="00CD356E"/>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4F75"/>
    <w:rsid w:val="00CD5214"/>
    <w:rsid w:val="00CD52BE"/>
    <w:rsid w:val="00CD52E7"/>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CF5"/>
    <w:rsid w:val="00CE2EA7"/>
    <w:rsid w:val="00CE339D"/>
    <w:rsid w:val="00CE347A"/>
    <w:rsid w:val="00CE34D3"/>
    <w:rsid w:val="00CE352F"/>
    <w:rsid w:val="00CE36FE"/>
    <w:rsid w:val="00CE37A0"/>
    <w:rsid w:val="00CE38FD"/>
    <w:rsid w:val="00CE3BA8"/>
    <w:rsid w:val="00CE40C0"/>
    <w:rsid w:val="00CE4281"/>
    <w:rsid w:val="00CE45DB"/>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E92"/>
    <w:rsid w:val="00CE5F5A"/>
    <w:rsid w:val="00CE600E"/>
    <w:rsid w:val="00CE61C7"/>
    <w:rsid w:val="00CE622E"/>
    <w:rsid w:val="00CE62E7"/>
    <w:rsid w:val="00CE6542"/>
    <w:rsid w:val="00CE6D34"/>
    <w:rsid w:val="00CE7012"/>
    <w:rsid w:val="00CE71C9"/>
    <w:rsid w:val="00CE72D6"/>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2229"/>
    <w:rsid w:val="00CF22C9"/>
    <w:rsid w:val="00CF2564"/>
    <w:rsid w:val="00CF265D"/>
    <w:rsid w:val="00CF2AE6"/>
    <w:rsid w:val="00CF304C"/>
    <w:rsid w:val="00CF393C"/>
    <w:rsid w:val="00CF3C43"/>
    <w:rsid w:val="00CF3C57"/>
    <w:rsid w:val="00CF404F"/>
    <w:rsid w:val="00CF414C"/>
    <w:rsid w:val="00CF4656"/>
    <w:rsid w:val="00CF4FA6"/>
    <w:rsid w:val="00CF5018"/>
    <w:rsid w:val="00CF5257"/>
    <w:rsid w:val="00CF529E"/>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7137"/>
    <w:rsid w:val="00CF74E3"/>
    <w:rsid w:val="00CF76C2"/>
    <w:rsid w:val="00CF7AFF"/>
    <w:rsid w:val="00CF7CDC"/>
    <w:rsid w:val="00CF7E65"/>
    <w:rsid w:val="00D0041B"/>
    <w:rsid w:val="00D00C21"/>
    <w:rsid w:val="00D00FD7"/>
    <w:rsid w:val="00D01024"/>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DEC"/>
    <w:rsid w:val="00D03E4B"/>
    <w:rsid w:val="00D03F84"/>
    <w:rsid w:val="00D044A7"/>
    <w:rsid w:val="00D04958"/>
    <w:rsid w:val="00D04C5A"/>
    <w:rsid w:val="00D04D28"/>
    <w:rsid w:val="00D04E55"/>
    <w:rsid w:val="00D04EA9"/>
    <w:rsid w:val="00D050DA"/>
    <w:rsid w:val="00D054F5"/>
    <w:rsid w:val="00D05C42"/>
    <w:rsid w:val="00D05C5B"/>
    <w:rsid w:val="00D05C71"/>
    <w:rsid w:val="00D05CC7"/>
    <w:rsid w:val="00D05FFF"/>
    <w:rsid w:val="00D06236"/>
    <w:rsid w:val="00D0652C"/>
    <w:rsid w:val="00D06785"/>
    <w:rsid w:val="00D06A3B"/>
    <w:rsid w:val="00D06C03"/>
    <w:rsid w:val="00D06ED5"/>
    <w:rsid w:val="00D06EED"/>
    <w:rsid w:val="00D0705E"/>
    <w:rsid w:val="00D0734A"/>
    <w:rsid w:val="00D0734B"/>
    <w:rsid w:val="00D073A2"/>
    <w:rsid w:val="00D07EB3"/>
    <w:rsid w:val="00D1008B"/>
    <w:rsid w:val="00D10096"/>
    <w:rsid w:val="00D100A1"/>
    <w:rsid w:val="00D106A0"/>
    <w:rsid w:val="00D10784"/>
    <w:rsid w:val="00D10D36"/>
    <w:rsid w:val="00D10D3B"/>
    <w:rsid w:val="00D10DD2"/>
    <w:rsid w:val="00D10EEB"/>
    <w:rsid w:val="00D111D2"/>
    <w:rsid w:val="00D11B4C"/>
    <w:rsid w:val="00D11BA8"/>
    <w:rsid w:val="00D11D3E"/>
    <w:rsid w:val="00D11EA1"/>
    <w:rsid w:val="00D11F1D"/>
    <w:rsid w:val="00D11FA9"/>
    <w:rsid w:val="00D1217D"/>
    <w:rsid w:val="00D1223A"/>
    <w:rsid w:val="00D1226C"/>
    <w:rsid w:val="00D12292"/>
    <w:rsid w:val="00D123EE"/>
    <w:rsid w:val="00D12403"/>
    <w:rsid w:val="00D1250A"/>
    <w:rsid w:val="00D125E1"/>
    <w:rsid w:val="00D1262D"/>
    <w:rsid w:val="00D1276C"/>
    <w:rsid w:val="00D127D3"/>
    <w:rsid w:val="00D12999"/>
    <w:rsid w:val="00D12D74"/>
    <w:rsid w:val="00D12F2B"/>
    <w:rsid w:val="00D12FB8"/>
    <w:rsid w:val="00D12FFF"/>
    <w:rsid w:val="00D1331E"/>
    <w:rsid w:val="00D1340B"/>
    <w:rsid w:val="00D1349E"/>
    <w:rsid w:val="00D134A3"/>
    <w:rsid w:val="00D13852"/>
    <w:rsid w:val="00D13863"/>
    <w:rsid w:val="00D138E1"/>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05A"/>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77F"/>
    <w:rsid w:val="00D257DB"/>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36"/>
    <w:rsid w:val="00D3136C"/>
    <w:rsid w:val="00D3153D"/>
    <w:rsid w:val="00D316E5"/>
    <w:rsid w:val="00D31A9A"/>
    <w:rsid w:val="00D31B26"/>
    <w:rsid w:val="00D31BE0"/>
    <w:rsid w:val="00D32015"/>
    <w:rsid w:val="00D32202"/>
    <w:rsid w:val="00D323F7"/>
    <w:rsid w:val="00D32609"/>
    <w:rsid w:val="00D326E7"/>
    <w:rsid w:val="00D328D7"/>
    <w:rsid w:val="00D3316C"/>
    <w:rsid w:val="00D332B5"/>
    <w:rsid w:val="00D33541"/>
    <w:rsid w:val="00D33841"/>
    <w:rsid w:val="00D339C0"/>
    <w:rsid w:val="00D33A04"/>
    <w:rsid w:val="00D33C96"/>
    <w:rsid w:val="00D341CB"/>
    <w:rsid w:val="00D342A1"/>
    <w:rsid w:val="00D3431B"/>
    <w:rsid w:val="00D34F66"/>
    <w:rsid w:val="00D35333"/>
    <w:rsid w:val="00D3537C"/>
    <w:rsid w:val="00D353FB"/>
    <w:rsid w:val="00D35417"/>
    <w:rsid w:val="00D358EF"/>
    <w:rsid w:val="00D358F3"/>
    <w:rsid w:val="00D358FB"/>
    <w:rsid w:val="00D3595F"/>
    <w:rsid w:val="00D35963"/>
    <w:rsid w:val="00D3596D"/>
    <w:rsid w:val="00D35D1E"/>
    <w:rsid w:val="00D35D53"/>
    <w:rsid w:val="00D35D9C"/>
    <w:rsid w:val="00D35E78"/>
    <w:rsid w:val="00D3648B"/>
    <w:rsid w:val="00D36624"/>
    <w:rsid w:val="00D36DF4"/>
    <w:rsid w:val="00D36E5C"/>
    <w:rsid w:val="00D36F82"/>
    <w:rsid w:val="00D3727B"/>
    <w:rsid w:val="00D373F2"/>
    <w:rsid w:val="00D376B7"/>
    <w:rsid w:val="00D37709"/>
    <w:rsid w:val="00D3793B"/>
    <w:rsid w:val="00D379A6"/>
    <w:rsid w:val="00D37EC3"/>
    <w:rsid w:val="00D40246"/>
    <w:rsid w:val="00D403B4"/>
    <w:rsid w:val="00D403BF"/>
    <w:rsid w:val="00D40B51"/>
    <w:rsid w:val="00D40CD6"/>
    <w:rsid w:val="00D40DE3"/>
    <w:rsid w:val="00D40E05"/>
    <w:rsid w:val="00D40E3C"/>
    <w:rsid w:val="00D41072"/>
    <w:rsid w:val="00D4108F"/>
    <w:rsid w:val="00D410DF"/>
    <w:rsid w:val="00D413F9"/>
    <w:rsid w:val="00D4168F"/>
    <w:rsid w:val="00D41691"/>
    <w:rsid w:val="00D418E0"/>
    <w:rsid w:val="00D419E2"/>
    <w:rsid w:val="00D419F8"/>
    <w:rsid w:val="00D41B77"/>
    <w:rsid w:val="00D41DC9"/>
    <w:rsid w:val="00D4205D"/>
    <w:rsid w:val="00D4252D"/>
    <w:rsid w:val="00D42685"/>
    <w:rsid w:val="00D42902"/>
    <w:rsid w:val="00D4299C"/>
    <w:rsid w:val="00D42A22"/>
    <w:rsid w:val="00D42A80"/>
    <w:rsid w:val="00D42AE4"/>
    <w:rsid w:val="00D42B1F"/>
    <w:rsid w:val="00D42FC8"/>
    <w:rsid w:val="00D4327C"/>
    <w:rsid w:val="00D4342E"/>
    <w:rsid w:val="00D4355D"/>
    <w:rsid w:val="00D436D6"/>
    <w:rsid w:val="00D43839"/>
    <w:rsid w:val="00D43BF1"/>
    <w:rsid w:val="00D43E54"/>
    <w:rsid w:val="00D44042"/>
    <w:rsid w:val="00D4422A"/>
    <w:rsid w:val="00D442EF"/>
    <w:rsid w:val="00D444EA"/>
    <w:rsid w:val="00D44BF6"/>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1EF"/>
    <w:rsid w:val="00D464F3"/>
    <w:rsid w:val="00D4661C"/>
    <w:rsid w:val="00D466C6"/>
    <w:rsid w:val="00D46875"/>
    <w:rsid w:val="00D46AF0"/>
    <w:rsid w:val="00D46C89"/>
    <w:rsid w:val="00D47101"/>
    <w:rsid w:val="00D47755"/>
    <w:rsid w:val="00D4791C"/>
    <w:rsid w:val="00D479F7"/>
    <w:rsid w:val="00D47B5F"/>
    <w:rsid w:val="00D47B6E"/>
    <w:rsid w:val="00D47D59"/>
    <w:rsid w:val="00D47DCD"/>
    <w:rsid w:val="00D47EBD"/>
    <w:rsid w:val="00D47F5F"/>
    <w:rsid w:val="00D500FD"/>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668"/>
    <w:rsid w:val="00D56C80"/>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18C"/>
    <w:rsid w:val="00D622A7"/>
    <w:rsid w:val="00D623C7"/>
    <w:rsid w:val="00D6243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0CC"/>
    <w:rsid w:val="00D67254"/>
    <w:rsid w:val="00D67324"/>
    <w:rsid w:val="00D673EA"/>
    <w:rsid w:val="00D67939"/>
    <w:rsid w:val="00D67D9D"/>
    <w:rsid w:val="00D67E6A"/>
    <w:rsid w:val="00D70254"/>
    <w:rsid w:val="00D70287"/>
    <w:rsid w:val="00D70507"/>
    <w:rsid w:val="00D7059D"/>
    <w:rsid w:val="00D70A11"/>
    <w:rsid w:val="00D70C62"/>
    <w:rsid w:val="00D70E26"/>
    <w:rsid w:val="00D70EC0"/>
    <w:rsid w:val="00D70F94"/>
    <w:rsid w:val="00D713E9"/>
    <w:rsid w:val="00D71417"/>
    <w:rsid w:val="00D714F6"/>
    <w:rsid w:val="00D7152E"/>
    <w:rsid w:val="00D71BB0"/>
    <w:rsid w:val="00D71F12"/>
    <w:rsid w:val="00D71F28"/>
    <w:rsid w:val="00D72069"/>
    <w:rsid w:val="00D720C6"/>
    <w:rsid w:val="00D720E8"/>
    <w:rsid w:val="00D72112"/>
    <w:rsid w:val="00D722D1"/>
    <w:rsid w:val="00D724CE"/>
    <w:rsid w:val="00D72561"/>
    <w:rsid w:val="00D725A3"/>
    <w:rsid w:val="00D725D7"/>
    <w:rsid w:val="00D72752"/>
    <w:rsid w:val="00D727AF"/>
    <w:rsid w:val="00D7290A"/>
    <w:rsid w:val="00D72BDE"/>
    <w:rsid w:val="00D73015"/>
    <w:rsid w:val="00D7308C"/>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503F"/>
    <w:rsid w:val="00D750F8"/>
    <w:rsid w:val="00D75177"/>
    <w:rsid w:val="00D7528F"/>
    <w:rsid w:val="00D752E8"/>
    <w:rsid w:val="00D75304"/>
    <w:rsid w:val="00D7567A"/>
    <w:rsid w:val="00D75909"/>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C5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5F9"/>
    <w:rsid w:val="00D827F2"/>
    <w:rsid w:val="00D828A6"/>
    <w:rsid w:val="00D832B9"/>
    <w:rsid w:val="00D83398"/>
    <w:rsid w:val="00D83410"/>
    <w:rsid w:val="00D8348E"/>
    <w:rsid w:val="00D83660"/>
    <w:rsid w:val="00D836EF"/>
    <w:rsid w:val="00D8389F"/>
    <w:rsid w:val="00D8398B"/>
    <w:rsid w:val="00D839EE"/>
    <w:rsid w:val="00D83DB2"/>
    <w:rsid w:val="00D841A8"/>
    <w:rsid w:val="00D84252"/>
    <w:rsid w:val="00D8469F"/>
    <w:rsid w:val="00D846E7"/>
    <w:rsid w:val="00D8485A"/>
    <w:rsid w:val="00D84AB7"/>
    <w:rsid w:val="00D84CF0"/>
    <w:rsid w:val="00D84D6A"/>
    <w:rsid w:val="00D84DD6"/>
    <w:rsid w:val="00D8533B"/>
    <w:rsid w:val="00D855CF"/>
    <w:rsid w:val="00D85942"/>
    <w:rsid w:val="00D85B6D"/>
    <w:rsid w:val="00D85CB6"/>
    <w:rsid w:val="00D8615E"/>
    <w:rsid w:val="00D86240"/>
    <w:rsid w:val="00D8627B"/>
    <w:rsid w:val="00D8653D"/>
    <w:rsid w:val="00D86588"/>
    <w:rsid w:val="00D86907"/>
    <w:rsid w:val="00D86A8A"/>
    <w:rsid w:val="00D86B6C"/>
    <w:rsid w:val="00D86D62"/>
    <w:rsid w:val="00D86DA0"/>
    <w:rsid w:val="00D86EC6"/>
    <w:rsid w:val="00D86F4A"/>
    <w:rsid w:val="00D86FFA"/>
    <w:rsid w:val="00D870D2"/>
    <w:rsid w:val="00D87219"/>
    <w:rsid w:val="00D8736B"/>
    <w:rsid w:val="00D87463"/>
    <w:rsid w:val="00D879FB"/>
    <w:rsid w:val="00D87CC8"/>
    <w:rsid w:val="00D87DEA"/>
    <w:rsid w:val="00D87F46"/>
    <w:rsid w:val="00D900B9"/>
    <w:rsid w:val="00D901A8"/>
    <w:rsid w:val="00D902C3"/>
    <w:rsid w:val="00D902D3"/>
    <w:rsid w:val="00D90655"/>
    <w:rsid w:val="00D909AE"/>
    <w:rsid w:val="00D909F9"/>
    <w:rsid w:val="00D90B84"/>
    <w:rsid w:val="00D91045"/>
    <w:rsid w:val="00D912EE"/>
    <w:rsid w:val="00D91610"/>
    <w:rsid w:val="00D916CC"/>
    <w:rsid w:val="00D916ED"/>
    <w:rsid w:val="00D91761"/>
    <w:rsid w:val="00D919CF"/>
    <w:rsid w:val="00D91BA7"/>
    <w:rsid w:val="00D92353"/>
    <w:rsid w:val="00D92426"/>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B05"/>
    <w:rsid w:val="00D95CDE"/>
    <w:rsid w:val="00D95E0F"/>
    <w:rsid w:val="00D95E3D"/>
    <w:rsid w:val="00D96038"/>
    <w:rsid w:val="00D96183"/>
    <w:rsid w:val="00D9618C"/>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107"/>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8E1"/>
    <w:rsid w:val="00DA6E90"/>
    <w:rsid w:val="00DA70A3"/>
    <w:rsid w:val="00DA70D5"/>
    <w:rsid w:val="00DA7130"/>
    <w:rsid w:val="00DA714C"/>
    <w:rsid w:val="00DA73E4"/>
    <w:rsid w:val="00DA74BE"/>
    <w:rsid w:val="00DA7500"/>
    <w:rsid w:val="00DA7617"/>
    <w:rsid w:val="00DA77FD"/>
    <w:rsid w:val="00DA7810"/>
    <w:rsid w:val="00DA79B1"/>
    <w:rsid w:val="00DA7BD2"/>
    <w:rsid w:val="00DA7C9F"/>
    <w:rsid w:val="00DA7D3D"/>
    <w:rsid w:val="00DB0609"/>
    <w:rsid w:val="00DB0B94"/>
    <w:rsid w:val="00DB0CDD"/>
    <w:rsid w:val="00DB0D8F"/>
    <w:rsid w:val="00DB1192"/>
    <w:rsid w:val="00DB12C2"/>
    <w:rsid w:val="00DB13ED"/>
    <w:rsid w:val="00DB13F3"/>
    <w:rsid w:val="00DB1666"/>
    <w:rsid w:val="00DB1B8E"/>
    <w:rsid w:val="00DB1C7C"/>
    <w:rsid w:val="00DB1CF8"/>
    <w:rsid w:val="00DB1D67"/>
    <w:rsid w:val="00DB1F48"/>
    <w:rsid w:val="00DB21EB"/>
    <w:rsid w:val="00DB2247"/>
    <w:rsid w:val="00DB243C"/>
    <w:rsid w:val="00DB25EC"/>
    <w:rsid w:val="00DB2686"/>
    <w:rsid w:val="00DB341E"/>
    <w:rsid w:val="00DB34E0"/>
    <w:rsid w:val="00DB3623"/>
    <w:rsid w:val="00DB37A7"/>
    <w:rsid w:val="00DB381D"/>
    <w:rsid w:val="00DB399C"/>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888"/>
    <w:rsid w:val="00DB59E2"/>
    <w:rsid w:val="00DB5EB6"/>
    <w:rsid w:val="00DB612C"/>
    <w:rsid w:val="00DB618A"/>
    <w:rsid w:val="00DB6477"/>
    <w:rsid w:val="00DB660D"/>
    <w:rsid w:val="00DB66F8"/>
    <w:rsid w:val="00DB675B"/>
    <w:rsid w:val="00DB6885"/>
    <w:rsid w:val="00DB7116"/>
    <w:rsid w:val="00DB7125"/>
    <w:rsid w:val="00DB71A1"/>
    <w:rsid w:val="00DB745A"/>
    <w:rsid w:val="00DB7597"/>
    <w:rsid w:val="00DB765A"/>
    <w:rsid w:val="00DB77DD"/>
    <w:rsid w:val="00DB790E"/>
    <w:rsid w:val="00DB7C45"/>
    <w:rsid w:val="00DC0172"/>
    <w:rsid w:val="00DC01C3"/>
    <w:rsid w:val="00DC02FD"/>
    <w:rsid w:val="00DC0328"/>
    <w:rsid w:val="00DC0370"/>
    <w:rsid w:val="00DC040B"/>
    <w:rsid w:val="00DC066C"/>
    <w:rsid w:val="00DC095B"/>
    <w:rsid w:val="00DC09A2"/>
    <w:rsid w:val="00DC0B32"/>
    <w:rsid w:val="00DC0E59"/>
    <w:rsid w:val="00DC11E0"/>
    <w:rsid w:val="00DC130E"/>
    <w:rsid w:val="00DC134C"/>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896"/>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EAD"/>
    <w:rsid w:val="00DC7F66"/>
    <w:rsid w:val="00DD01BE"/>
    <w:rsid w:val="00DD06CB"/>
    <w:rsid w:val="00DD0954"/>
    <w:rsid w:val="00DD0A00"/>
    <w:rsid w:val="00DD1009"/>
    <w:rsid w:val="00DD1146"/>
    <w:rsid w:val="00DD1378"/>
    <w:rsid w:val="00DD140A"/>
    <w:rsid w:val="00DD1492"/>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A6"/>
    <w:rsid w:val="00DD40C0"/>
    <w:rsid w:val="00DD4321"/>
    <w:rsid w:val="00DD4406"/>
    <w:rsid w:val="00DD449F"/>
    <w:rsid w:val="00DD44EF"/>
    <w:rsid w:val="00DD46FA"/>
    <w:rsid w:val="00DD47EE"/>
    <w:rsid w:val="00DD4815"/>
    <w:rsid w:val="00DD501C"/>
    <w:rsid w:val="00DD501E"/>
    <w:rsid w:val="00DD50FA"/>
    <w:rsid w:val="00DD5262"/>
    <w:rsid w:val="00DD52A7"/>
    <w:rsid w:val="00DD531D"/>
    <w:rsid w:val="00DD56B9"/>
    <w:rsid w:val="00DD594D"/>
    <w:rsid w:val="00DD5955"/>
    <w:rsid w:val="00DD59A4"/>
    <w:rsid w:val="00DD5A0C"/>
    <w:rsid w:val="00DD5BA4"/>
    <w:rsid w:val="00DD5D7A"/>
    <w:rsid w:val="00DD5D9E"/>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4D"/>
    <w:rsid w:val="00DE0DF4"/>
    <w:rsid w:val="00DE0E10"/>
    <w:rsid w:val="00DE0E7E"/>
    <w:rsid w:val="00DE10A1"/>
    <w:rsid w:val="00DE10F5"/>
    <w:rsid w:val="00DE1692"/>
    <w:rsid w:val="00DE1C2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07"/>
    <w:rsid w:val="00DE5388"/>
    <w:rsid w:val="00DE55FC"/>
    <w:rsid w:val="00DE57C4"/>
    <w:rsid w:val="00DE5B92"/>
    <w:rsid w:val="00DE6392"/>
    <w:rsid w:val="00DE6674"/>
    <w:rsid w:val="00DE6796"/>
    <w:rsid w:val="00DE6844"/>
    <w:rsid w:val="00DE6C4A"/>
    <w:rsid w:val="00DE6D82"/>
    <w:rsid w:val="00DE6D9D"/>
    <w:rsid w:val="00DE6E69"/>
    <w:rsid w:val="00DE6E86"/>
    <w:rsid w:val="00DE6EEB"/>
    <w:rsid w:val="00DE6EED"/>
    <w:rsid w:val="00DE6EF2"/>
    <w:rsid w:val="00DE7847"/>
    <w:rsid w:val="00DE784C"/>
    <w:rsid w:val="00DE7880"/>
    <w:rsid w:val="00DE7A26"/>
    <w:rsid w:val="00DE7D39"/>
    <w:rsid w:val="00DE7EE8"/>
    <w:rsid w:val="00DF05C8"/>
    <w:rsid w:val="00DF0768"/>
    <w:rsid w:val="00DF0C29"/>
    <w:rsid w:val="00DF0C96"/>
    <w:rsid w:val="00DF0FD9"/>
    <w:rsid w:val="00DF15B0"/>
    <w:rsid w:val="00DF1795"/>
    <w:rsid w:val="00DF182E"/>
    <w:rsid w:val="00DF1A59"/>
    <w:rsid w:val="00DF1AED"/>
    <w:rsid w:val="00DF1BA0"/>
    <w:rsid w:val="00DF1CEE"/>
    <w:rsid w:val="00DF1EBE"/>
    <w:rsid w:val="00DF20E5"/>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5C8"/>
    <w:rsid w:val="00DF4B52"/>
    <w:rsid w:val="00DF4E1B"/>
    <w:rsid w:val="00DF5018"/>
    <w:rsid w:val="00DF52B2"/>
    <w:rsid w:val="00DF53D0"/>
    <w:rsid w:val="00DF5519"/>
    <w:rsid w:val="00DF554B"/>
    <w:rsid w:val="00DF58A8"/>
    <w:rsid w:val="00DF5BD7"/>
    <w:rsid w:val="00DF64CA"/>
    <w:rsid w:val="00DF659E"/>
    <w:rsid w:val="00DF6888"/>
    <w:rsid w:val="00DF6C9D"/>
    <w:rsid w:val="00DF6E5D"/>
    <w:rsid w:val="00DF70EF"/>
    <w:rsid w:val="00DF72CD"/>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CFC"/>
    <w:rsid w:val="00E02F7C"/>
    <w:rsid w:val="00E02FDB"/>
    <w:rsid w:val="00E03026"/>
    <w:rsid w:val="00E03260"/>
    <w:rsid w:val="00E03349"/>
    <w:rsid w:val="00E035FD"/>
    <w:rsid w:val="00E038B9"/>
    <w:rsid w:val="00E03977"/>
    <w:rsid w:val="00E045C3"/>
    <w:rsid w:val="00E048FF"/>
    <w:rsid w:val="00E04AB7"/>
    <w:rsid w:val="00E04B63"/>
    <w:rsid w:val="00E05064"/>
    <w:rsid w:val="00E05400"/>
    <w:rsid w:val="00E0556C"/>
    <w:rsid w:val="00E05789"/>
    <w:rsid w:val="00E05A4D"/>
    <w:rsid w:val="00E05AC4"/>
    <w:rsid w:val="00E05E9E"/>
    <w:rsid w:val="00E06073"/>
    <w:rsid w:val="00E06096"/>
    <w:rsid w:val="00E06402"/>
    <w:rsid w:val="00E064D9"/>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35A"/>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A86"/>
    <w:rsid w:val="00E13C9E"/>
    <w:rsid w:val="00E13DFD"/>
    <w:rsid w:val="00E13E06"/>
    <w:rsid w:val="00E140C2"/>
    <w:rsid w:val="00E14237"/>
    <w:rsid w:val="00E1428C"/>
    <w:rsid w:val="00E14756"/>
    <w:rsid w:val="00E149C6"/>
    <w:rsid w:val="00E14C91"/>
    <w:rsid w:val="00E1562D"/>
    <w:rsid w:val="00E1598D"/>
    <w:rsid w:val="00E159AC"/>
    <w:rsid w:val="00E159E8"/>
    <w:rsid w:val="00E15EDD"/>
    <w:rsid w:val="00E16030"/>
    <w:rsid w:val="00E163CF"/>
    <w:rsid w:val="00E16862"/>
    <w:rsid w:val="00E16868"/>
    <w:rsid w:val="00E16869"/>
    <w:rsid w:val="00E16D8A"/>
    <w:rsid w:val="00E16E34"/>
    <w:rsid w:val="00E16EEE"/>
    <w:rsid w:val="00E173C1"/>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E78"/>
    <w:rsid w:val="00E222A0"/>
    <w:rsid w:val="00E222FD"/>
    <w:rsid w:val="00E225C4"/>
    <w:rsid w:val="00E22624"/>
    <w:rsid w:val="00E2263C"/>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649"/>
    <w:rsid w:val="00E24836"/>
    <w:rsid w:val="00E24BDE"/>
    <w:rsid w:val="00E24D87"/>
    <w:rsid w:val="00E24D8E"/>
    <w:rsid w:val="00E24E19"/>
    <w:rsid w:val="00E25005"/>
    <w:rsid w:val="00E252D9"/>
    <w:rsid w:val="00E25513"/>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6DBE"/>
    <w:rsid w:val="00E270D0"/>
    <w:rsid w:val="00E2718A"/>
    <w:rsid w:val="00E271A7"/>
    <w:rsid w:val="00E27289"/>
    <w:rsid w:val="00E27383"/>
    <w:rsid w:val="00E277D4"/>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810"/>
    <w:rsid w:val="00E32B0C"/>
    <w:rsid w:val="00E32BBD"/>
    <w:rsid w:val="00E32C82"/>
    <w:rsid w:val="00E32EC7"/>
    <w:rsid w:val="00E33065"/>
    <w:rsid w:val="00E330D5"/>
    <w:rsid w:val="00E33237"/>
    <w:rsid w:val="00E333F7"/>
    <w:rsid w:val="00E335F7"/>
    <w:rsid w:val="00E33745"/>
    <w:rsid w:val="00E3409A"/>
    <w:rsid w:val="00E34475"/>
    <w:rsid w:val="00E3448C"/>
    <w:rsid w:val="00E347A5"/>
    <w:rsid w:val="00E34DFA"/>
    <w:rsid w:val="00E34F03"/>
    <w:rsid w:val="00E3516E"/>
    <w:rsid w:val="00E35233"/>
    <w:rsid w:val="00E353C2"/>
    <w:rsid w:val="00E3578F"/>
    <w:rsid w:val="00E35B50"/>
    <w:rsid w:val="00E35BB4"/>
    <w:rsid w:val="00E35C74"/>
    <w:rsid w:val="00E35D78"/>
    <w:rsid w:val="00E36081"/>
    <w:rsid w:val="00E36137"/>
    <w:rsid w:val="00E3630E"/>
    <w:rsid w:val="00E363D7"/>
    <w:rsid w:val="00E36682"/>
    <w:rsid w:val="00E3678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A93"/>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70"/>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D16"/>
    <w:rsid w:val="00E57172"/>
    <w:rsid w:val="00E5730B"/>
    <w:rsid w:val="00E5774E"/>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B0C"/>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E1F"/>
    <w:rsid w:val="00E63F9C"/>
    <w:rsid w:val="00E6403D"/>
    <w:rsid w:val="00E640F5"/>
    <w:rsid w:val="00E641E4"/>
    <w:rsid w:val="00E6435F"/>
    <w:rsid w:val="00E64413"/>
    <w:rsid w:val="00E644DA"/>
    <w:rsid w:val="00E64634"/>
    <w:rsid w:val="00E64A4A"/>
    <w:rsid w:val="00E64D54"/>
    <w:rsid w:val="00E64EB0"/>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70A6"/>
    <w:rsid w:val="00E673CC"/>
    <w:rsid w:val="00E674AE"/>
    <w:rsid w:val="00E67716"/>
    <w:rsid w:val="00E67893"/>
    <w:rsid w:val="00E67AD0"/>
    <w:rsid w:val="00E67C1F"/>
    <w:rsid w:val="00E67D1E"/>
    <w:rsid w:val="00E67E55"/>
    <w:rsid w:val="00E70276"/>
    <w:rsid w:val="00E703A4"/>
    <w:rsid w:val="00E705CB"/>
    <w:rsid w:val="00E705F0"/>
    <w:rsid w:val="00E708CE"/>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21"/>
    <w:rsid w:val="00E740BE"/>
    <w:rsid w:val="00E741AD"/>
    <w:rsid w:val="00E74287"/>
    <w:rsid w:val="00E743BA"/>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E0"/>
    <w:rsid w:val="00E76A29"/>
    <w:rsid w:val="00E77248"/>
    <w:rsid w:val="00E77435"/>
    <w:rsid w:val="00E774EA"/>
    <w:rsid w:val="00E77521"/>
    <w:rsid w:val="00E77601"/>
    <w:rsid w:val="00E776BC"/>
    <w:rsid w:val="00E777D8"/>
    <w:rsid w:val="00E77821"/>
    <w:rsid w:val="00E7795D"/>
    <w:rsid w:val="00E77AF5"/>
    <w:rsid w:val="00E77D78"/>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8A3"/>
    <w:rsid w:val="00E829F2"/>
    <w:rsid w:val="00E82CEB"/>
    <w:rsid w:val="00E82D51"/>
    <w:rsid w:val="00E82DDF"/>
    <w:rsid w:val="00E83116"/>
    <w:rsid w:val="00E832B5"/>
    <w:rsid w:val="00E83482"/>
    <w:rsid w:val="00E83672"/>
    <w:rsid w:val="00E836B5"/>
    <w:rsid w:val="00E838DC"/>
    <w:rsid w:val="00E83C69"/>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E24"/>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86B"/>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D65"/>
    <w:rsid w:val="00E92F0A"/>
    <w:rsid w:val="00E9303F"/>
    <w:rsid w:val="00E93050"/>
    <w:rsid w:val="00E930BF"/>
    <w:rsid w:val="00E93586"/>
    <w:rsid w:val="00E935CF"/>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A0"/>
    <w:rsid w:val="00E949DB"/>
    <w:rsid w:val="00E94AF7"/>
    <w:rsid w:val="00E94D15"/>
    <w:rsid w:val="00E95685"/>
    <w:rsid w:val="00E956C4"/>
    <w:rsid w:val="00E95B1C"/>
    <w:rsid w:val="00E95BA3"/>
    <w:rsid w:val="00E95E85"/>
    <w:rsid w:val="00E962AA"/>
    <w:rsid w:val="00E964AA"/>
    <w:rsid w:val="00E96896"/>
    <w:rsid w:val="00E968F5"/>
    <w:rsid w:val="00E9692A"/>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CF4"/>
    <w:rsid w:val="00EA0E29"/>
    <w:rsid w:val="00EA0E9D"/>
    <w:rsid w:val="00EA0EBF"/>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694"/>
    <w:rsid w:val="00EA2A3E"/>
    <w:rsid w:val="00EA2B7F"/>
    <w:rsid w:val="00EA2F8C"/>
    <w:rsid w:val="00EA3110"/>
    <w:rsid w:val="00EA32C4"/>
    <w:rsid w:val="00EA342F"/>
    <w:rsid w:val="00EA3D1F"/>
    <w:rsid w:val="00EA40E5"/>
    <w:rsid w:val="00EA45BC"/>
    <w:rsid w:val="00EA4838"/>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04"/>
    <w:rsid w:val="00EB204E"/>
    <w:rsid w:val="00EB21F8"/>
    <w:rsid w:val="00EB2513"/>
    <w:rsid w:val="00EB26DC"/>
    <w:rsid w:val="00EB2751"/>
    <w:rsid w:val="00EB27A3"/>
    <w:rsid w:val="00EB27BF"/>
    <w:rsid w:val="00EB27D3"/>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B68"/>
    <w:rsid w:val="00EB6CFB"/>
    <w:rsid w:val="00EB6D6E"/>
    <w:rsid w:val="00EB6D94"/>
    <w:rsid w:val="00EB7226"/>
    <w:rsid w:val="00EB74C1"/>
    <w:rsid w:val="00EB75B8"/>
    <w:rsid w:val="00EB770C"/>
    <w:rsid w:val="00EB7876"/>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1046"/>
    <w:rsid w:val="00EC10C6"/>
    <w:rsid w:val="00EC10E0"/>
    <w:rsid w:val="00EC122B"/>
    <w:rsid w:val="00EC1494"/>
    <w:rsid w:val="00EC1572"/>
    <w:rsid w:val="00EC158A"/>
    <w:rsid w:val="00EC1743"/>
    <w:rsid w:val="00EC1751"/>
    <w:rsid w:val="00EC17D1"/>
    <w:rsid w:val="00EC1897"/>
    <w:rsid w:val="00EC1993"/>
    <w:rsid w:val="00EC19AE"/>
    <w:rsid w:val="00EC1EE6"/>
    <w:rsid w:val="00EC1F24"/>
    <w:rsid w:val="00EC2123"/>
    <w:rsid w:val="00EC2364"/>
    <w:rsid w:val="00EC23D0"/>
    <w:rsid w:val="00EC25F1"/>
    <w:rsid w:val="00EC266E"/>
    <w:rsid w:val="00EC290A"/>
    <w:rsid w:val="00EC29CF"/>
    <w:rsid w:val="00EC2C48"/>
    <w:rsid w:val="00EC306F"/>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BC"/>
    <w:rsid w:val="00EC67F3"/>
    <w:rsid w:val="00EC696F"/>
    <w:rsid w:val="00EC6B90"/>
    <w:rsid w:val="00EC6BF8"/>
    <w:rsid w:val="00EC6C3E"/>
    <w:rsid w:val="00EC6DE6"/>
    <w:rsid w:val="00EC6F7B"/>
    <w:rsid w:val="00EC7099"/>
    <w:rsid w:val="00EC730A"/>
    <w:rsid w:val="00EC766C"/>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20"/>
    <w:rsid w:val="00ED3131"/>
    <w:rsid w:val="00ED34D6"/>
    <w:rsid w:val="00ED3555"/>
    <w:rsid w:val="00ED386C"/>
    <w:rsid w:val="00ED388D"/>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5DA5"/>
    <w:rsid w:val="00ED6057"/>
    <w:rsid w:val="00ED6102"/>
    <w:rsid w:val="00ED612A"/>
    <w:rsid w:val="00ED64C8"/>
    <w:rsid w:val="00ED67AC"/>
    <w:rsid w:val="00ED67D5"/>
    <w:rsid w:val="00ED68E4"/>
    <w:rsid w:val="00ED6A48"/>
    <w:rsid w:val="00ED6E81"/>
    <w:rsid w:val="00ED7019"/>
    <w:rsid w:val="00ED71B1"/>
    <w:rsid w:val="00ED721F"/>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7C7"/>
    <w:rsid w:val="00EE18CA"/>
    <w:rsid w:val="00EE1AB9"/>
    <w:rsid w:val="00EE1D80"/>
    <w:rsid w:val="00EE1E0C"/>
    <w:rsid w:val="00EE1E3E"/>
    <w:rsid w:val="00EE20AB"/>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725"/>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0FD"/>
    <w:rsid w:val="00EF1105"/>
    <w:rsid w:val="00EF1176"/>
    <w:rsid w:val="00EF1230"/>
    <w:rsid w:val="00EF12C8"/>
    <w:rsid w:val="00EF134A"/>
    <w:rsid w:val="00EF1626"/>
    <w:rsid w:val="00EF162A"/>
    <w:rsid w:val="00EF16D4"/>
    <w:rsid w:val="00EF19EC"/>
    <w:rsid w:val="00EF1AA3"/>
    <w:rsid w:val="00EF1B04"/>
    <w:rsid w:val="00EF1B14"/>
    <w:rsid w:val="00EF1C9B"/>
    <w:rsid w:val="00EF2956"/>
    <w:rsid w:val="00EF2EEA"/>
    <w:rsid w:val="00EF2FF5"/>
    <w:rsid w:val="00EF32EF"/>
    <w:rsid w:val="00EF3821"/>
    <w:rsid w:val="00EF3AFF"/>
    <w:rsid w:val="00EF3C24"/>
    <w:rsid w:val="00EF3CC8"/>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525"/>
    <w:rsid w:val="00EF7561"/>
    <w:rsid w:val="00EF7703"/>
    <w:rsid w:val="00EF77B9"/>
    <w:rsid w:val="00EF7BEC"/>
    <w:rsid w:val="00EF7D5D"/>
    <w:rsid w:val="00F0005F"/>
    <w:rsid w:val="00F001AC"/>
    <w:rsid w:val="00F0058E"/>
    <w:rsid w:val="00F00730"/>
    <w:rsid w:val="00F007FE"/>
    <w:rsid w:val="00F0089D"/>
    <w:rsid w:val="00F00956"/>
    <w:rsid w:val="00F0099B"/>
    <w:rsid w:val="00F00CB6"/>
    <w:rsid w:val="00F00CBB"/>
    <w:rsid w:val="00F00F2E"/>
    <w:rsid w:val="00F011F7"/>
    <w:rsid w:val="00F01261"/>
    <w:rsid w:val="00F01351"/>
    <w:rsid w:val="00F01402"/>
    <w:rsid w:val="00F01406"/>
    <w:rsid w:val="00F014AF"/>
    <w:rsid w:val="00F016D4"/>
    <w:rsid w:val="00F01739"/>
    <w:rsid w:val="00F019E0"/>
    <w:rsid w:val="00F019EA"/>
    <w:rsid w:val="00F01A6E"/>
    <w:rsid w:val="00F01BAB"/>
    <w:rsid w:val="00F020E4"/>
    <w:rsid w:val="00F02245"/>
    <w:rsid w:val="00F025AA"/>
    <w:rsid w:val="00F026AE"/>
    <w:rsid w:val="00F02AB2"/>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26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74F"/>
    <w:rsid w:val="00F1485A"/>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E0C"/>
    <w:rsid w:val="00F15FE6"/>
    <w:rsid w:val="00F1615C"/>
    <w:rsid w:val="00F16225"/>
    <w:rsid w:val="00F163F1"/>
    <w:rsid w:val="00F1648F"/>
    <w:rsid w:val="00F166E0"/>
    <w:rsid w:val="00F168B5"/>
    <w:rsid w:val="00F16B81"/>
    <w:rsid w:val="00F16D7D"/>
    <w:rsid w:val="00F16D83"/>
    <w:rsid w:val="00F16E81"/>
    <w:rsid w:val="00F170C4"/>
    <w:rsid w:val="00F170FA"/>
    <w:rsid w:val="00F17208"/>
    <w:rsid w:val="00F17223"/>
    <w:rsid w:val="00F17459"/>
    <w:rsid w:val="00F176A5"/>
    <w:rsid w:val="00F17AB4"/>
    <w:rsid w:val="00F17BA3"/>
    <w:rsid w:val="00F17DD5"/>
    <w:rsid w:val="00F17DD9"/>
    <w:rsid w:val="00F20577"/>
    <w:rsid w:val="00F205EC"/>
    <w:rsid w:val="00F20B8E"/>
    <w:rsid w:val="00F20D0A"/>
    <w:rsid w:val="00F20E19"/>
    <w:rsid w:val="00F213A2"/>
    <w:rsid w:val="00F214D2"/>
    <w:rsid w:val="00F218CD"/>
    <w:rsid w:val="00F21AD9"/>
    <w:rsid w:val="00F21B36"/>
    <w:rsid w:val="00F21EDD"/>
    <w:rsid w:val="00F21F65"/>
    <w:rsid w:val="00F22402"/>
    <w:rsid w:val="00F22431"/>
    <w:rsid w:val="00F22779"/>
    <w:rsid w:val="00F22A1B"/>
    <w:rsid w:val="00F22A4F"/>
    <w:rsid w:val="00F22BA1"/>
    <w:rsid w:val="00F22D0B"/>
    <w:rsid w:val="00F22EC5"/>
    <w:rsid w:val="00F22F8E"/>
    <w:rsid w:val="00F230B6"/>
    <w:rsid w:val="00F23224"/>
    <w:rsid w:val="00F234A1"/>
    <w:rsid w:val="00F234F2"/>
    <w:rsid w:val="00F23753"/>
    <w:rsid w:val="00F237F4"/>
    <w:rsid w:val="00F2398D"/>
    <w:rsid w:val="00F23B3F"/>
    <w:rsid w:val="00F23EB1"/>
    <w:rsid w:val="00F24258"/>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6EE"/>
    <w:rsid w:val="00F25C6C"/>
    <w:rsid w:val="00F25D11"/>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7F2"/>
    <w:rsid w:val="00F308EE"/>
    <w:rsid w:val="00F30BC5"/>
    <w:rsid w:val="00F30BEF"/>
    <w:rsid w:val="00F30F7E"/>
    <w:rsid w:val="00F310B4"/>
    <w:rsid w:val="00F31185"/>
    <w:rsid w:val="00F311B8"/>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558"/>
    <w:rsid w:val="00F33659"/>
    <w:rsid w:val="00F33822"/>
    <w:rsid w:val="00F33C9E"/>
    <w:rsid w:val="00F3425B"/>
    <w:rsid w:val="00F3474F"/>
    <w:rsid w:val="00F34A4B"/>
    <w:rsid w:val="00F34BD2"/>
    <w:rsid w:val="00F34C8C"/>
    <w:rsid w:val="00F34EAC"/>
    <w:rsid w:val="00F34EE3"/>
    <w:rsid w:val="00F3511E"/>
    <w:rsid w:val="00F352F9"/>
    <w:rsid w:val="00F353BF"/>
    <w:rsid w:val="00F356B2"/>
    <w:rsid w:val="00F3575A"/>
    <w:rsid w:val="00F35E57"/>
    <w:rsid w:val="00F3609A"/>
    <w:rsid w:val="00F363BA"/>
    <w:rsid w:val="00F36466"/>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DE"/>
    <w:rsid w:val="00F44172"/>
    <w:rsid w:val="00F44521"/>
    <w:rsid w:val="00F445DC"/>
    <w:rsid w:val="00F445FB"/>
    <w:rsid w:val="00F447F0"/>
    <w:rsid w:val="00F44818"/>
    <w:rsid w:val="00F44900"/>
    <w:rsid w:val="00F44C27"/>
    <w:rsid w:val="00F44CD6"/>
    <w:rsid w:val="00F44D4F"/>
    <w:rsid w:val="00F4528E"/>
    <w:rsid w:val="00F454A8"/>
    <w:rsid w:val="00F454C0"/>
    <w:rsid w:val="00F460E8"/>
    <w:rsid w:val="00F461BD"/>
    <w:rsid w:val="00F46492"/>
    <w:rsid w:val="00F465A7"/>
    <w:rsid w:val="00F46651"/>
    <w:rsid w:val="00F466C9"/>
    <w:rsid w:val="00F467C3"/>
    <w:rsid w:val="00F467EF"/>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5A9"/>
    <w:rsid w:val="00F50CB4"/>
    <w:rsid w:val="00F50D1E"/>
    <w:rsid w:val="00F5116C"/>
    <w:rsid w:val="00F513CD"/>
    <w:rsid w:val="00F515D2"/>
    <w:rsid w:val="00F51915"/>
    <w:rsid w:val="00F51B80"/>
    <w:rsid w:val="00F51B96"/>
    <w:rsid w:val="00F51E93"/>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D49"/>
    <w:rsid w:val="00F56E0C"/>
    <w:rsid w:val="00F57039"/>
    <w:rsid w:val="00F5709C"/>
    <w:rsid w:val="00F572F8"/>
    <w:rsid w:val="00F57348"/>
    <w:rsid w:val="00F57583"/>
    <w:rsid w:val="00F57CD5"/>
    <w:rsid w:val="00F57E89"/>
    <w:rsid w:val="00F60209"/>
    <w:rsid w:val="00F60475"/>
    <w:rsid w:val="00F607B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BC"/>
    <w:rsid w:val="00F630DF"/>
    <w:rsid w:val="00F63108"/>
    <w:rsid w:val="00F633F1"/>
    <w:rsid w:val="00F6349F"/>
    <w:rsid w:val="00F635F9"/>
    <w:rsid w:val="00F6369D"/>
    <w:rsid w:val="00F63FBA"/>
    <w:rsid w:val="00F647C1"/>
    <w:rsid w:val="00F6499E"/>
    <w:rsid w:val="00F64A27"/>
    <w:rsid w:val="00F64B0B"/>
    <w:rsid w:val="00F64B93"/>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CBD"/>
    <w:rsid w:val="00F72086"/>
    <w:rsid w:val="00F721FA"/>
    <w:rsid w:val="00F7226B"/>
    <w:rsid w:val="00F7257C"/>
    <w:rsid w:val="00F72859"/>
    <w:rsid w:val="00F728DC"/>
    <w:rsid w:val="00F72A45"/>
    <w:rsid w:val="00F72E31"/>
    <w:rsid w:val="00F73078"/>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4F2A"/>
    <w:rsid w:val="00F8539A"/>
    <w:rsid w:val="00F85514"/>
    <w:rsid w:val="00F8574D"/>
    <w:rsid w:val="00F85DC9"/>
    <w:rsid w:val="00F85F1E"/>
    <w:rsid w:val="00F85FED"/>
    <w:rsid w:val="00F860AE"/>
    <w:rsid w:val="00F861F4"/>
    <w:rsid w:val="00F8627F"/>
    <w:rsid w:val="00F862B1"/>
    <w:rsid w:val="00F8636E"/>
    <w:rsid w:val="00F86837"/>
    <w:rsid w:val="00F86973"/>
    <w:rsid w:val="00F86A60"/>
    <w:rsid w:val="00F86AD2"/>
    <w:rsid w:val="00F86C85"/>
    <w:rsid w:val="00F86E66"/>
    <w:rsid w:val="00F87418"/>
    <w:rsid w:val="00F87590"/>
    <w:rsid w:val="00F875DF"/>
    <w:rsid w:val="00F875E0"/>
    <w:rsid w:val="00F87722"/>
    <w:rsid w:val="00F878B7"/>
    <w:rsid w:val="00F878BA"/>
    <w:rsid w:val="00F87B05"/>
    <w:rsid w:val="00F87ED9"/>
    <w:rsid w:val="00F9094D"/>
    <w:rsid w:val="00F90952"/>
    <w:rsid w:val="00F90B92"/>
    <w:rsid w:val="00F91315"/>
    <w:rsid w:val="00F914FA"/>
    <w:rsid w:val="00F9159D"/>
    <w:rsid w:val="00F917D3"/>
    <w:rsid w:val="00F918F5"/>
    <w:rsid w:val="00F91A25"/>
    <w:rsid w:val="00F91F72"/>
    <w:rsid w:val="00F923AD"/>
    <w:rsid w:val="00F92857"/>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D15"/>
    <w:rsid w:val="00F94D54"/>
    <w:rsid w:val="00F94D7B"/>
    <w:rsid w:val="00F94DD9"/>
    <w:rsid w:val="00F95443"/>
    <w:rsid w:val="00F95532"/>
    <w:rsid w:val="00F95639"/>
    <w:rsid w:val="00F95A22"/>
    <w:rsid w:val="00F95C46"/>
    <w:rsid w:val="00F95E84"/>
    <w:rsid w:val="00F9644F"/>
    <w:rsid w:val="00F96602"/>
    <w:rsid w:val="00F96A5B"/>
    <w:rsid w:val="00F96B70"/>
    <w:rsid w:val="00F96E12"/>
    <w:rsid w:val="00F96FD4"/>
    <w:rsid w:val="00F9707B"/>
    <w:rsid w:val="00F971C5"/>
    <w:rsid w:val="00F97256"/>
    <w:rsid w:val="00F97765"/>
    <w:rsid w:val="00F9787F"/>
    <w:rsid w:val="00F97953"/>
    <w:rsid w:val="00F97AE2"/>
    <w:rsid w:val="00F97C3B"/>
    <w:rsid w:val="00F97F05"/>
    <w:rsid w:val="00FA02C0"/>
    <w:rsid w:val="00FA042E"/>
    <w:rsid w:val="00FA04E5"/>
    <w:rsid w:val="00FA0CFA"/>
    <w:rsid w:val="00FA10C2"/>
    <w:rsid w:val="00FA127F"/>
    <w:rsid w:val="00FA13FA"/>
    <w:rsid w:val="00FA16E6"/>
    <w:rsid w:val="00FA181C"/>
    <w:rsid w:val="00FA1B4D"/>
    <w:rsid w:val="00FA1BDF"/>
    <w:rsid w:val="00FA1C17"/>
    <w:rsid w:val="00FA1E10"/>
    <w:rsid w:val="00FA1FB6"/>
    <w:rsid w:val="00FA214F"/>
    <w:rsid w:val="00FA2254"/>
    <w:rsid w:val="00FA2333"/>
    <w:rsid w:val="00FA272F"/>
    <w:rsid w:val="00FA277C"/>
    <w:rsid w:val="00FA3090"/>
    <w:rsid w:val="00FA30B6"/>
    <w:rsid w:val="00FA3264"/>
    <w:rsid w:val="00FA329E"/>
    <w:rsid w:val="00FA3306"/>
    <w:rsid w:val="00FA36B3"/>
    <w:rsid w:val="00FA386C"/>
    <w:rsid w:val="00FA388F"/>
    <w:rsid w:val="00FA39DD"/>
    <w:rsid w:val="00FA3CB5"/>
    <w:rsid w:val="00FA3CDB"/>
    <w:rsid w:val="00FA3E1A"/>
    <w:rsid w:val="00FA4239"/>
    <w:rsid w:val="00FA4306"/>
    <w:rsid w:val="00FA43DB"/>
    <w:rsid w:val="00FA445F"/>
    <w:rsid w:val="00FA45D1"/>
    <w:rsid w:val="00FA465A"/>
    <w:rsid w:val="00FA46F9"/>
    <w:rsid w:val="00FA4B87"/>
    <w:rsid w:val="00FA4BAB"/>
    <w:rsid w:val="00FA4E8D"/>
    <w:rsid w:val="00FA4FE2"/>
    <w:rsid w:val="00FA53D4"/>
    <w:rsid w:val="00FA53E3"/>
    <w:rsid w:val="00FA5400"/>
    <w:rsid w:val="00FA566C"/>
    <w:rsid w:val="00FA580D"/>
    <w:rsid w:val="00FA5D4E"/>
    <w:rsid w:val="00FA6163"/>
    <w:rsid w:val="00FA633B"/>
    <w:rsid w:val="00FA659E"/>
    <w:rsid w:val="00FA664D"/>
    <w:rsid w:val="00FA6688"/>
    <w:rsid w:val="00FA6A53"/>
    <w:rsid w:val="00FA6AE5"/>
    <w:rsid w:val="00FA6C21"/>
    <w:rsid w:val="00FA6CFB"/>
    <w:rsid w:val="00FA6EF1"/>
    <w:rsid w:val="00FA7247"/>
    <w:rsid w:val="00FA7516"/>
    <w:rsid w:val="00FA7871"/>
    <w:rsid w:val="00FA7AD4"/>
    <w:rsid w:val="00FA7BB8"/>
    <w:rsid w:val="00FA7CB1"/>
    <w:rsid w:val="00FA7DEF"/>
    <w:rsid w:val="00FA7E54"/>
    <w:rsid w:val="00FB03B6"/>
    <w:rsid w:val="00FB063B"/>
    <w:rsid w:val="00FB063E"/>
    <w:rsid w:val="00FB0749"/>
    <w:rsid w:val="00FB0A44"/>
    <w:rsid w:val="00FB0A4A"/>
    <w:rsid w:val="00FB0A96"/>
    <w:rsid w:val="00FB0C75"/>
    <w:rsid w:val="00FB0DD7"/>
    <w:rsid w:val="00FB0EBF"/>
    <w:rsid w:val="00FB103E"/>
    <w:rsid w:val="00FB11AF"/>
    <w:rsid w:val="00FB11E9"/>
    <w:rsid w:val="00FB14ED"/>
    <w:rsid w:val="00FB1786"/>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848"/>
    <w:rsid w:val="00FB288C"/>
    <w:rsid w:val="00FB29E0"/>
    <w:rsid w:val="00FB2DA9"/>
    <w:rsid w:val="00FB2F46"/>
    <w:rsid w:val="00FB330B"/>
    <w:rsid w:val="00FB3649"/>
    <w:rsid w:val="00FB36A0"/>
    <w:rsid w:val="00FB3D89"/>
    <w:rsid w:val="00FB4243"/>
    <w:rsid w:val="00FB44CA"/>
    <w:rsid w:val="00FB4B05"/>
    <w:rsid w:val="00FB4CF7"/>
    <w:rsid w:val="00FB5189"/>
    <w:rsid w:val="00FB5361"/>
    <w:rsid w:val="00FB53E3"/>
    <w:rsid w:val="00FB5403"/>
    <w:rsid w:val="00FB556B"/>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B7D17"/>
    <w:rsid w:val="00FC051D"/>
    <w:rsid w:val="00FC05D7"/>
    <w:rsid w:val="00FC0B40"/>
    <w:rsid w:val="00FC0C08"/>
    <w:rsid w:val="00FC0D68"/>
    <w:rsid w:val="00FC12B0"/>
    <w:rsid w:val="00FC1517"/>
    <w:rsid w:val="00FC16BF"/>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4A"/>
    <w:rsid w:val="00FC6461"/>
    <w:rsid w:val="00FC66F5"/>
    <w:rsid w:val="00FC678F"/>
    <w:rsid w:val="00FC67BC"/>
    <w:rsid w:val="00FC6833"/>
    <w:rsid w:val="00FC69BA"/>
    <w:rsid w:val="00FC69C4"/>
    <w:rsid w:val="00FC6AE6"/>
    <w:rsid w:val="00FC6D71"/>
    <w:rsid w:val="00FC6ECE"/>
    <w:rsid w:val="00FC70A1"/>
    <w:rsid w:val="00FC7163"/>
    <w:rsid w:val="00FC7844"/>
    <w:rsid w:val="00FC7D4D"/>
    <w:rsid w:val="00FC7E53"/>
    <w:rsid w:val="00FC7FE3"/>
    <w:rsid w:val="00FD02D5"/>
    <w:rsid w:val="00FD043B"/>
    <w:rsid w:val="00FD0983"/>
    <w:rsid w:val="00FD0A70"/>
    <w:rsid w:val="00FD0C03"/>
    <w:rsid w:val="00FD0E27"/>
    <w:rsid w:val="00FD0E2F"/>
    <w:rsid w:val="00FD0E82"/>
    <w:rsid w:val="00FD0EF6"/>
    <w:rsid w:val="00FD1024"/>
    <w:rsid w:val="00FD1104"/>
    <w:rsid w:val="00FD1300"/>
    <w:rsid w:val="00FD1458"/>
    <w:rsid w:val="00FD157C"/>
    <w:rsid w:val="00FD179D"/>
    <w:rsid w:val="00FD18AB"/>
    <w:rsid w:val="00FD1945"/>
    <w:rsid w:val="00FD1AD0"/>
    <w:rsid w:val="00FD1CF7"/>
    <w:rsid w:val="00FD1D2F"/>
    <w:rsid w:val="00FD1EB5"/>
    <w:rsid w:val="00FD22E2"/>
    <w:rsid w:val="00FD236F"/>
    <w:rsid w:val="00FD294E"/>
    <w:rsid w:val="00FD2FA9"/>
    <w:rsid w:val="00FD31AA"/>
    <w:rsid w:val="00FD3958"/>
    <w:rsid w:val="00FD39F1"/>
    <w:rsid w:val="00FD435A"/>
    <w:rsid w:val="00FD45B8"/>
    <w:rsid w:val="00FD4643"/>
    <w:rsid w:val="00FD47B7"/>
    <w:rsid w:val="00FD4CFE"/>
    <w:rsid w:val="00FD4E0F"/>
    <w:rsid w:val="00FD4FA0"/>
    <w:rsid w:val="00FD4FDD"/>
    <w:rsid w:val="00FD5006"/>
    <w:rsid w:val="00FD51EA"/>
    <w:rsid w:val="00FD55A2"/>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8D7"/>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119D"/>
    <w:rsid w:val="00FE151A"/>
    <w:rsid w:val="00FE160A"/>
    <w:rsid w:val="00FE184D"/>
    <w:rsid w:val="00FE184E"/>
    <w:rsid w:val="00FE187B"/>
    <w:rsid w:val="00FE1904"/>
    <w:rsid w:val="00FE19E4"/>
    <w:rsid w:val="00FE1D57"/>
    <w:rsid w:val="00FE20A2"/>
    <w:rsid w:val="00FE2201"/>
    <w:rsid w:val="00FE2392"/>
    <w:rsid w:val="00FE26C1"/>
    <w:rsid w:val="00FE27F9"/>
    <w:rsid w:val="00FE2842"/>
    <w:rsid w:val="00FE2F7A"/>
    <w:rsid w:val="00FE30B6"/>
    <w:rsid w:val="00FE3C18"/>
    <w:rsid w:val="00FE3D93"/>
    <w:rsid w:val="00FE3E5C"/>
    <w:rsid w:val="00FE3EA0"/>
    <w:rsid w:val="00FE414C"/>
    <w:rsid w:val="00FE4246"/>
    <w:rsid w:val="00FE43B0"/>
    <w:rsid w:val="00FE4415"/>
    <w:rsid w:val="00FE4653"/>
    <w:rsid w:val="00FE4832"/>
    <w:rsid w:val="00FE488D"/>
    <w:rsid w:val="00FE495D"/>
    <w:rsid w:val="00FE4A38"/>
    <w:rsid w:val="00FE4B29"/>
    <w:rsid w:val="00FE4E49"/>
    <w:rsid w:val="00FE4FFA"/>
    <w:rsid w:val="00FE522F"/>
    <w:rsid w:val="00FE5435"/>
    <w:rsid w:val="00FE578F"/>
    <w:rsid w:val="00FE5980"/>
    <w:rsid w:val="00FE5C69"/>
    <w:rsid w:val="00FE609C"/>
    <w:rsid w:val="00FE6230"/>
    <w:rsid w:val="00FE6468"/>
    <w:rsid w:val="00FE65A6"/>
    <w:rsid w:val="00FE6646"/>
    <w:rsid w:val="00FE669B"/>
    <w:rsid w:val="00FE714D"/>
    <w:rsid w:val="00FE7352"/>
    <w:rsid w:val="00FE7D6A"/>
    <w:rsid w:val="00FF018D"/>
    <w:rsid w:val="00FF01B0"/>
    <w:rsid w:val="00FF029E"/>
    <w:rsid w:val="00FF034B"/>
    <w:rsid w:val="00FF03B0"/>
    <w:rsid w:val="00FF0403"/>
    <w:rsid w:val="00FF0655"/>
    <w:rsid w:val="00FF0961"/>
    <w:rsid w:val="00FF09F9"/>
    <w:rsid w:val="00FF0BFC"/>
    <w:rsid w:val="00FF0C30"/>
    <w:rsid w:val="00FF1007"/>
    <w:rsid w:val="00FF122C"/>
    <w:rsid w:val="00FF13B9"/>
    <w:rsid w:val="00FF1818"/>
    <w:rsid w:val="00FF1842"/>
    <w:rsid w:val="00FF196B"/>
    <w:rsid w:val="00FF1A67"/>
    <w:rsid w:val="00FF1C46"/>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781"/>
    <w:rsid w:val="00FF5C1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B660C1A"/>
    <w:rsid w:val="0E025CB1"/>
    <w:rsid w:val="0F491E86"/>
    <w:rsid w:val="17F93E0B"/>
    <w:rsid w:val="1C455CA5"/>
    <w:rsid w:val="1D2C69D2"/>
    <w:rsid w:val="239E00B4"/>
    <w:rsid w:val="251E74A4"/>
    <w:rsid w:val="27843CE5"/>
    <w:rsid w:val="2BB86283"/>
    <w:rsid w:val="32EB653A"/>
    <w:rsid w:val="362D50B9"/>
    <w:rsid w:val="3BCB6780"/>
    <w:rsid w:val="42CD0A98"/>
    <w:rsid w:val="431A0C09"/>
    <w:rsid w:val="480E2158"/>
    <w:rsid w:val="49ED5CD4"/>
    <w:rsid w:val="4B65373A"/>
    <w:rsid w:val="4D00163A"/>
    <w:rsid w:val="4F0F5BE3"/>
    <w:rsid w:val="52422029"/>
    <w:rsid w:val="55040901"/>
    <w:rsid w:val="56DF05DE"/>
    <w:rsid w:val="56F70118"/>
    <w:rsid w:val="57FC6189"/>
    <w:rsid w:val="5F073306"/>
    <w:rsid w:val="5F5F73B9"/>
    <w:rsid w:val="65CD2FBC"/>
    <w:rsid w:val="65DB0307"/>
    <w:rsid w:val="6838144E"/>
    <w:rsid w:val="68AA7398"/>
    <w:rsid w:val="6DDB76BA"/>
    <w:rsid w:val="6F97D24A"/>
    <w:rsid w:val="71E909FE"/>
    <w:rsid w:val="742C597A"/>
    <w:rsid w:val="7AB7525A"/>
    <w:rsid w:val="7BC506FF"/>
    <w:rsid w:val="7F97D7F2"/>
    <w:rsid w:val="A6FEB8E8"/>
    <w:rsid w:val="B85FDB83"/>
    <w:rsid w:val="C1BF7C39"/>
    <w:rsid w:val="C4BD4666"/>
    <w:rsid w:val="DAF67373"/>
    <w:rsid w:val="DC7C6527"/>
    <w:rsid w:val="DEE73C2B"/>
    <w:rsid w:val="EBA7250A"/>
    <w:rsid w:val="EDFF1E69"/>
    <w:rsid w:val="EF7CB3D9"/>
    <w:rsid w:val="F9F3A65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iPriority="39" w:semiHidden="0" w:name="toc 2"/>
    <w:lsdException w:qFormat="1"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5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59"/>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60"/>
    <w:qFormat/>
    <w:uiPriority w:val="9"/>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7">
    <w:name w:val="heading 5"/>
    <w:basedOn w:val="1"/>
    <w:next w:val="1"/>
    <w:link w:val="61"/>
    <w:qFormat/>
    <w:uiPriority w:val="9"/>
    <w:pPr>
      <w:keepNext/>
      <w:keepLines/>
      <w:adjustRightInd w:val="0"/>
      <w:spacing w:before="280" w:after="290" w:line="376" w:lineRule="atLeast"/>
      <w:textAlignment w:val="baseline"/>
      <w:outlineLvl w:val="4"/>
    </w:pPr>
    <w:rPr>
      <w:b/>
      <w:kern w:val="0"/>
      <w:sz w:val="28"/>
      <w:szCs w:val="20"/>
    </w:rPr>
  </w:style>
  <w:style w:type="paragraph" w:styleId="8">
    <w:name w:val="heading 6"/>
    <w:basedOn w:val="1"/>
    <w:next w:val="1"/>
    <w:link w:val="62"/>
    <w:qFormat/>
    <w:uiPriority w:val="9"/>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9">
    <w:name w:val="heading 7"/>
    <w:basedOn w:val="1"/>
    <w:next w:val="1"/>
    <w:link w:val="63"/>
    <w:qFormat/>
    <w:uiPriority w:val="9"/>
    <w:pPr>
      <w:keepNext/>
      <w:keepLines/>
      <w:adjustRightInd w:val="0"/>
      <w:spacing w:before="240" w:after="64" w:line="320" w:lineRule="atLeast"/>
      <w:textAlignment w:val="baseline"/>
      <w:outlineLvl w:val="6"/>
    </w:pPr>
    <w:rPr>
      <w:b/>
      <w:kern w:val="0"/>
      <w:sz w:val="24"/>
      <w:szCs w:val="20"/>
    </w:rPr>
  </w:style>
  <w:style w:type="paragraph" w:styleId="10">
    <w:name w:val="heading 8"/>
    <w:basedOn w:val="1"/>
    <w:next w:val="1"/>
    <w:link w:val="64"/>
    <w:qFormat/>
    <w:uiPriority w:val="9"/>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1">
    <w:name w:val="heading 9"/>
    <w:basedOn w:val="1"/>
    <w:next w:val="1"/>
    <w:link w:val="65"/>
    <w:qFormat/>
    <w:uiPriority w:val="9"/>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48">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99"/>
    <w:pPr>
      <w:autoSpaceDE w:val="0"/>
      <w:autoSpaceDN w:val="0"/>
      <w:adjustRightInd w:val="0"/>
      <w:ind w:firstLine="420"/>
      <w:jc w:val="left"/>
    </w:pPr>
    <w:rPr>
      <w:rFonts w:ascii="宋体"/>
      <w:sz w:val="24"/>
    </w:rPr>
  </w:style>
  <w:style w:type="paragraph" w:styleId="12">
    <w:name w:val="toc 7"/>
    <w:basedOn w:val="1"/>
    <w:next w:val="1"/>
    <w:autoRedefine/>
    <w:qFormat/>
    <w:uiPriority w:val="0"/>
    <w:pPr>
      <w:ind w:left="2520" w:leftChars="1200"/>
    </w:pPr>
    <w:rPr>
      <w:rFonts w:ascii="宋体" w:hAnsi="宋体"/>
      <w:bCs/>
      <w:sz w:val="24"/>
    </w:rPr>
  </w:style>
  <w:style w:type="paragraph" w:styleId="13">
    <w:name w:val="caption"/>
    <w:basedOn w:val="1"/>
    <w:next w:val="1"/>
    <w:qFormat/>
    <w:uiPriority w:val="0"/>
    <w:pPr>
      <w:spacing w:line="480" w:lineRule="auto"/>
    </w:pPr>
    <w:rPr>
      <w:rFonts w:ascii="华文中宋" w:hAnsi="华文中宋" w:eastAsia="华文中宋"/>
      <w:sz w:val="36"/>
      <w:szCs w:val="20"/>
    </w:rPr>
  </w:style>
  <w:style w:type="paragraph" w:styleId="14">
    <w:name w:val="Document Map"/>
    <w:basedOn w:val="1"/>
    <w:link w:val="67"/>
    <w:qFormat/>
    <w:uiPriority w:val="0"/>
    <w:pPr>
      <w:shd w:val="clear" w:color="auto" w:fill="000080"/>
    </w:pPr>
  </w:style>
  <w:style w:type="paragraph" w:styleId="15">
    <w:name w:val="annotation text"/>
    <w:basedOn w:val="1"/>
    <w:link w:val="68"/>
    <w:qFormat/>
    <w:uiPriority w:val="0"/>
    <w:pPr>
      <w:jc w:val="left"/>
    </w:pPr>
  </w:style>
  <w:style w:type="paragraph" w:styleId="16">
    <w:name w:val="Salutation"/>
    <w:basedOn w:val="1"/>
    <w:next w:val="1"/>
    <w:link w:val="323"/>
    <w:autoRedefine/>
    <w:qFormat/>
    <w:uiPriority w:val="0"/>
    <w:rPr>
      <w:rFonts w:ascii="Calibri" w:hAnsi="Calibri"/>
      <w:bCs/>
      <w:sz w:val="24"/>
    </w:rPr>
  </w:style>
  <w:style w:type="paragraph" w:styleId="17">
    <w:name w:val="Body Text 3"/>
    <w:basedOn w:val="1"/>
    <w:link w:val="69"/>
    <w:qFormat/>
    <w:uiPriority w:val="0"/>
    <w:pPr>
      <w:spacing w:after="120"/>
    </w:pPr>
    <w:rPr>
      <w:sz w:val="16"/>
      <w:szCs w:val="16"/>
    </w:rPr>
  </w:style>
  <w:style w:type="paragraph" w:styleId="18">
    <w:name w:val="Body Text"/>
    <w:basedOn w:val="1"/>
    <w:link w:val="70"/>
    <w:qFormat/>
    <w:uiPriority w:val="0"/>
    <w:pPr>
      <w:tabs>
        <w:tab w:val="left" w:pos="567"/>
      </w:tabs>
      <w:spacing w:before="120" w:line="22" w:lineRule="atLeast"/>
    </w:pPr>
    <w:rPr>
      <w:rFonts w:ascii="宋体" w:hAnsi="宋体"/>
      <w:sz w:val="24"/>
    </w:rPr>
  </w:style>
  <w:style w:type="paragraph" w:styleId="19">
    <w:name w:val="Body Text Indent"/>
    <w:basedOn w:val="1"/>
    <w:link w:val="71"/>
    <w:qFormat/>
    <w:uiPriority w:val="0"/>
    <w:pPr>
      <w:spacing w:line="360" w:lineRule="auto"/>
      <w:ind w:firstLine="570"/>
    </w:pPr>
    <w:rPr>
      <w:sz w:val="24"/>
    </w:rPr>
  </w:style>
  <w:style w:type="paragraph" w:styleId="20">
    <w:name w:val="List 2"/>
    <w:basedOn w:val="1"/>
    <w:qFormat/>
    <w:uiPriority w:val="0"/>
    <w:pPr>
      <w:ind w:left="100" w:leftChars="200" w:hanging="200" w:hangingChars="200"/>
    </w:pPr>
  </w:style>
  <w:style w:type="paragraph" w:styleId="21">
    <w:name w:val="Block Text"/>
    <w:basedOn w:val="1"/>
    <w:qFormat/>
    <w:uiPriority w:val="0"/>
    <w:pPr>
      <w:widowControl/>
      <w:ind w:left="480" w:right="-341" w:firstLine="513"/>
    </w:pPr>
    <w:rPr>
      <w:kern w:val="0"/>
      <w:sz w:val="24"/>
      <w:szCs w:val="20"/>
    </w:rPr>
  </w:style>
  <w:style w:type="paragraph" w:styleId="22">
    <w:name w:val="toc 5"/>
    <w:basedOn w:val="1"/>
    <w:next w:val="1"/>
    <w:autoRedefine/>
    <w:qFormat/>
    <w:uiPriority w:val="0"/>
    <w:pPr>
      <w:ind w:left="1680" w:leftChars="800"/>
    </w:pPr>
    <w:rPr>
      <w:rFonts w:ascii="宋体" w:hAnsi="宋体"/>
      <w:bCs/>
      <w:sz w:val="24"/>
    </w:rPr>
  </w:style>
  <w:style w:type="paragraph" w:styleId="23">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24">
    <w:name w:val="Plain Text"/>
    <w:basedOn w:val="1"/>
    <w:link w:val="74"/>
    <w:qFormat/>
    <w:uiPriority w:val="0"/>
    <w:rPr>
      <w:rFonts w:hint="eastAsia" w:ascii="宋体" w:hAnsi="Courier New"/>
      <w:szCs w:val="20"/>
    </w:rPr>
  </w:style>
  <w:style w:type="paragraph" w:styleId="25">
    <w:name w:val="toc 8"/>
    <w:basedOn w:val="1"/>
    <w:next w:val="1"/>
    <w:autoRedefine/>
    <w:qFormat/>
    <w:uiPriority w:val="0"/>
    <w:pPr>
      <w:ind w:left="2940" w:leftChars="1400"/>
    </w:pPr>
    <w:rPr>
      <w:rFonts w:ascii="宋体" w:hAnsi="宋体"/>
      <w:bCs/>
      <w:sz w:val="24"/>
    </w:rPr>
  </w:style>
  <w:style w:type="paragraph" w:styleId="26">
    <w:name w:val="Date"/>
    <w:basedOn w:val="1"/>
    <w:next w:val="1"/>
    <w:link w:val="76"/>
    <w:qFormat/>
    <w:uiPriority w:val="0"/>
    <w:pPr>
      <w:ind w:left="100" w:leftChars="2500"/>
    </w:pPr>
    <w:rPr>
      <w:rFonts w:ascii="仿宋_GB2312" w:hAnsi="宋体" w:eastAsia="仿宋_GB2312"/>
      <w:color w:val="000000"/>
      <w:sz w:val="24"/>
    </w:rPr>
  </w:style>
  <w:style w:type="paragraph" w:styleId="27">
    <w:name w:val="Body Text Indent 2"/>
    <w:basedOn w:val="1"/>
    <w:link w:val="77"/>
    <w:qFormat/>
    <w:uiPriority w:val="0"/>
    <w:pPr>
      <w:ind w:firstLine="480" w:firstLineChars="200"/>
    </w:pPr>
    <w:rPr>
      <w:rFonts w:ascii="仿宋_GB2312" w:eastAsia="仿宋_GB2312"/>
      <w:sz w:val="24"/>
    </w:rPr>
  </w:style>
  <w:style w:type="paragraph" w:styleId="28">
    <w:name w:val="Balloon Text"/>
    <w:basedOn w:val="1"/>
    <w:link w:val="78"/>
    <w:qFormat/>
    <w:uiPriority w:val="0"/>
    <w:rPr>
      <w:sz w:val="18"/>
      <w:szCs w:val="18"/>
    </w:rPr>
  </w:style>
  <w:style w:type="paragraph" w:styleId="29">
    <w:name w:val="footer"/>
    <w:basedOn w:val="1"/>
    <w:link w:val="79"/>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30">
    <w:name w:val="header"/>
    <w:basedOn w:val="1"/>
    <w:link w:val="80"/>
    <w:qFormat/>
    <w:uiPriority w:val="0"/>
    <w:pPr>
      <w:pBdr>
        <w:bottom w:val="single" w:color="auto" w:sz="6" w:space="1"/>
      </w:pBdr>
      <w:tabs>
        <w:tab w:val="center" w:pos="4153"/>
        <w:tab w:val="right" w:pos="8306"/>
      </w:tabs>
      <w:snapToGrid w:val="0"/>
      <w:jc w:val="center"/>
    </w:pPr>
    <w:rPr>
      <w:sz w:val="18"/>
      <w:szCs w:val="18"/>
    </w:rPr>
  </w:style>
  <w:style w:type="paragraph" w:styleId="31">
    <w:name w:val="toc 1"/>
    <w:basedOn w:val="1"/>
    <w:next w:val="1"/>
    <w:qFormat/>
    <w:uiPriority w:val="39"/>
  </w:style>
  <w:style w:type="paragraph" w:styleId="32">
    <w:name w:val="toc 4"/>
    <w:basedOn w:val="1"/>
    <w:next w:val="1"/>
    <w:autoRedefine/>
    <w:qFormat/>
    <w:uiPriority w:val="0"/>
    <w:pPr>
      <w:ind w:left="1260" w:leftChars="600"/>
    </w:pPr>
    <w:rPr>
      <w:rFonts w:ascii="宋体" w:hAnsi="宋体"/>
      <w:bCs/>
      <w:sz w:val="24"/>
    </w:rPr>
  </w:style>
  <w:style w:type="paragraph" w:styleId="33">
    <w:name w:val="Subtitle"/>
    <w:basedOn w:val="1"/>
    <w:next w:val="1"/>
    <w:link w:val="338"/>
    <w:qFormat/>
    <w:uiPriority w:val="11"/>
    <w:pPr>
      <w:spacing w:after="160" w:line="278" w:lineRule="auto"/>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14:ligatures w14:val="standardContextual"/>
    </w:rPr>
  </w:style>
  <w:style w:type="paragraph" w:styleId="34">
    <w:name w:val="toc 6"/>
    <w:basedOn w:val="1"/>
    <w:next w:val="1"/>
    <w:autoRedefine/>
    <w:qFormat/>
    <w:uiPriority w:val="0"/>
    <w:pPr>
      <w:ind w:left="2100" w:leftChars="1000"/>
    </w:pPr>
    <w:rPr>
      <w:rFonts w:ascii="宋体" w:hAnsi="宋体"/>
      <w:bCs/>
      <w:sz w:val="24"/>
    </w:rPr>
  </w:style>
  <w:style w:type="paragraph" w:styleId="35">
    <w:name w:val="Body Text Indent 3"/>
    <w:basedOn w:val="1"/>
    <w:link w:val="84"/>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paragraph" w:styleId="37">
    <w:name w:val="toc 9"/>
    <w:basedOn w:val="1"/>
    <w:next w:val="1"/>
    <w:autoRedefine/>
    <w:qFormat/>
    <w:uiPriority w:val="0"/>
    <w:pPr>
      <w:ind w:left="3360" w:leftChars="1600"/>
    </w:pPr>
    <w:rPr>
      <w:rFonts w:ascii="宋体" w:hAnsi="宋体"/>
      <w:bCs/>
      <w:sz w:val="24"/>
    </w:rPr>
  </w:style>
  <w:style w:type="paragraph" w:styleId="38">
    <w:name w:val="HTML Preformatted"/>
    <w:basedOn w:val="1"/>
    <w:link w:val="8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39">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40">
    <w:name w:val="index 1"/>
    <w:basedOn w:val="1"/>
    <w:next w:val="1"/>
    <w:qFormat/>
    <w:uiPriority w:val="0"/>
    <w:rPr>
      <w:szCs w:val="20"/>
    </w:rPr>
  </w:style>
  <w:style w:type="paragraph" w:styleId="41">
    <w:name w:val="Title"/>
    <w:basedOn w:val="1"/>
    <w:link w:val="88"/>
    <w:qFormat/>
    <w:uiPriority w:val="10"/>
    <w:pPr>
      <w:jc w:val="center"/>
      <w:outlineLvl w:val="0"/>
    </w:pPr>
    <w:rPr>
      <w:b/>
      <w:sz w:val="32"/>
      <w:szCs w:val="20"/>
    </w:rPr>
  </w:style>
  <w:style w:type="paragraph" w:styleId="42">
    <w:name w:val="annotation subject"/>
    <w:basedOn w:val="15"/>
    <w:next w:val="15"/>
    <w:link w:val="89"/>
    <w:qFormat/>
    <w:uiPriority w:val="0"/>
    <w:rPr>
      <w:b/>
      <w:bCs/>
    </w:rPr>
  </w:style>
  <w:style w:type="paragraph" w:styleId="43">
    <w:name w:val="Body Text First Indent"/>
    <w:basedOn w:val="18"/>
    <w:link w:val="336"/>
    <w:qFormat/>
    <w:uiPriority w:val="0"/>
    <w:pPr>
      <w:tabs>
        <w:tab w:val="clear" w:pos="567"/>
      </w:tabs>
      <w:spacing w:before="0" w:after="120" w:line="240" w:lineRule="auto"/>
      <w:ind w:firstLine="420" w:firstLineChars="100"/>
    </w:pPr>
    <w:rPr>
      <w:rFonts w:ascii="Times New Roman" w:hAnsi="Times New Roman"/>
      <w:sz w:val="21"/>
    </w:rPr>
  </w:style>
  <w:style w:type="paragraph" w:styleId="44">
    <w:name w:val="Body Text First Indent 2"/>
    <w:basedOn w:val="19"/>
    <w:next w:val="1"/>
    <w:link w:val="291"/>
    <w:autoRedefine/>
    <w:qFormat/>
    <w:uiPriority w:val="0"/>
    <w:pPr>
      <w:spacing w:after="120" w:line="480" w:lineRule="exact"/>
      <w:ind w:left="420" w:leftChars="200" w:firstLine="420" w:firstLineChars="200"/>
    </w:pPr>
  </w:style>
  <w:style w:type="table" w:styleId="46">
    <w:name w:val="Table Grid"/>
    <w:basedOn w:val="45"/>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47">
    <w:name w:val="Medium Grid 1 Accent 2"/>
    <w:basedOn w:val="45"/>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49">
    <w:name w:val="Strong"/>
    <w:qFormat/>
    <w:uiPriority w:val="0"/>
    <w:rPr>
      <w:b/>
      <w:bCs/>
    </w:rPr>
  </w:style>
  <w:style w:type="character" w:styleId="50">
    <w:name w:val="page number"/>
    <w:qFormat/>
    <w:uiPriority w:val="0"/>
  </w:style>
  <w:style w:type="character" w:styleId="51">
    <w:name w:val="FollowedHyperlink"/>
    <w:qFormat/>
    <w:uiPriority w:val="99"/>
    <w:rPr>
      <w:color w:val="800080"/>
      <w:u w:val="single"/>
    </w:rPr>
  </w:style>
  <w:style w:type="character" w:styleId="52">
    <w:name w:val="Emphasis"/>
    <w:qFormat/>
    <w:uiPriority w:val="0"/>
    <w:rPr>
      <w:color w:val="CC0033"/>
    </w:rPr>
  </w:style>
  <w:style w:type="character" w:styleId="53">
    <w:name w:val="Hyperlink"/>
    <w:qFormat/>
    <w:uiPriority w:val="99"/>
    <w:rPr>
      <w:color w:val="0000FF"/>
      <w:u w:val="single"/>
    </w:rPr>
  </w:style>
  <w:style w:type="character" w:styleId="54">
    <w:name w:val="annotation reference"/>
    <w:qFormat/>
    <w:uiPriority w:val="0"/>
    <w:rPr>
      <w:sz w:val="21"/>
      <w:szCs w:val="21"/>
    </w:rPr>
  </w:style>
  <w:style w:type="character" w:styleId="55">
    <w:name w:val="HTML Cite"/>
    <w:qFormat/>
    <w:uiPriority w:val="0"/>
    <w:rPr>
      <w:i/>
      <w:iCs/>
    </w:rPr>
  </w:style>
  <w:style w:type="character" w:customStyle="1" w:styleId="56">
    <w:name w:val="标题 1 字符1"/>
    <w:link w:val="2"/>
    <w:qFormat/>
    <w:uiPriority w:val="9"/>
    <w:rPr>
      <w:rFonts w:ascii="宋体"/>
      <w:b/>
      <w:kern w:val="44"/>
      <w:sz w:val="32"/>
    </w:rPr>
  </w:style>
  <w:style w:type="character" w:customStyle="1" w:styleId="57">
    <w:name w:val="标题 2 字符1"/>
    <w:link w:val="3"/>
    <w:qFormat/>
    <w:uiPriority w:val="0"/>
    <w:rPr>
      <w:rFonts w:ascii="Arial" w:hAnsi="Arial" w:eastAsia="黑体"/>
      <w:b/>
      <w:sz w:val="30"/>
      <w:lang w:val="en-US" w:eastAsia="zh-CN" w:bidi="ar-SA"/>
    </w:rPr>
  </w:style>
  <w:style w:type="character" w:customStyle="1" w:styleId="58">
    <w:name w:val="正文缩进 字符1"/>
    <w:link w:val="4"/>
    <w:qFormat/>
    <w:uiPriority w:val="0"/>
    <w:rPr>
      <w:rFonts w:ascii="宋体" w:eastAsia="宋体"/>
      <w:kern w:val="2"/>
      <w:sz w:val="24"/>
      <w:szCs w:val="24"/>
      <w:lang w:val="en-US" w:eastAsia="zh-CN" w:bidi="ar-SA"/>
    </w:rPr>
  </w:style>
  <w:style w:type="character" w:customStyle="1" w:styleId="59">
    <w:name w:val="标题 3 字符1"/>
    <w:link w:val="5"/>
    <w:qFormat/>
    <w:uiPriority w:val="0"/>
    <w:rPr>
      <w:rFonts w:ascii="宋体" w:eastAsia="宋体"/>
      <w:b/>
      <w:sz w:val="24"/>
      <w:u w:val="single"/>
      <w:lang w:val="en-US" w:eastAsia="zh-CN" w:bidi="ar-SA"/>
    </w:rPr>
  </w:style>
  <w:style w:type="character" w:customStyle="1" w:styleId="60">
    <w:name w:val="标题 4 字符1"/>
    <w:link w:val="6"/>
    <w:qFormat/>
    <w:uiPriority w:val="0"/>
    <w:rPr>
      <w:rFonts w:ascii="Arial" w:hAnsi="Arial" w:eastAsia="黑体"/>
      <w:b/>
      <w:sz w:val="28"/>
    </w:rPr>
  </w:style>
  <w:style w:type="character" w:customStyle="1" w:styleId="61">
    <w:name w:val="标题 5 字符1"/>
    <w:link w:val="7"/>
    <w:qFormat/>
    <w:uiPriority w:val="0"/>
    <w:rPr>
      <w:b/>
      <w:sz w:val="28"/>
    </w:rPr>
  </w:style>
  <w:style w:type="character" w:customStyle="1" w:styleId="62">
    <w:name w:val="标题 6 字符1"/>
    <w:link w:val="8"/>
    <w:qFormat/>
    <w:uiPriority w:val="0"/>
    <w:rPr>
      <w:rFonts w:ascii="Arial" w:hAnsi="Arial" w:eastAsia="黑体"/>
      <w:b/>
      <w:sz w:val="24"/>
    </w:rPr>
  </w:style>
  <w:style w:type="character" w:customStyle="1" w:styleId="63">
    <w:name w:val="标题 7 字符1"/>
    <w:link w:val="9"/>
    <w:qFormat/>
    <w:uiPriority w:val="0"/>
    <w:rPr>
      <w:b/>
      <w:sz w:val="24"/>
    </w:rPr>
  </w:style>
  <w:style w:type="character" w:customStyle="1" w:styleId="64">
    <w:name w:val="标题 8 字符1"/>
    <w:link w:val="10"/>
    <w:qFormat/>
    <w:uiPriority w:val="0"/>
    <w:rPr>
      <w:rFonts w:ascii="Arial" w:hAnsi="Arial" w:eastAsia="黑体"/>
      <w:sz w:val="24"/>
    </w:rPr>
  </w:style>
  <w:style w:type="character" w:customStyle="1" w:styleId="65">
    <w:name w:val="标题 9 字符1"/>
    <w:link w:val="11"/>
    <w:qFormat/>
    <w:uiPriority w:val="0"/>
    <w:rPr>
      <w:rFonts w:ascii="Arial" w:hAnsi="Arial" w:eastAsia="黑体"/>
      <w:sz w:val="21"/>
    </w:rPr>
  </w:style>
  <w:style w:type="paragraph" w:customStyle="1" w:styleId="66">
    <w:name w:val="目录 71"/>
    <w:basedOn w:val="1"/>
    <w:next w:val="1"/>
    <w:qFormat/>
    <w:uiPriority w:val="0"/>
    <w:pPr>
      <w:ind w:left="2520" w:leftChars="1200"/>
    </w:pPr>
  </w:style>
  <w:style w:type="character" w:customStyle="1" w:styleId="67">
    <w:name w:val="文档结构图 字符1"/>
    <w:link w:val="14"/>
    <w:qFormat/>
    <w:uiPriority w:val="0"/>
    <w:rPr>
      <w:kern w:val="2"/>
      <w:sz w:val="21"/>
      <w:szCs w:val="24"/>
      <w:shd w:val="clear" w:color="auto" w:fill="000080"/>
    </w:rPr>
  </w:style>
  <w:style w:type="character" w:customStyle="1" w:styleId="68">
    <w:name w:val="批注文字 字符2"/>
    <w:link w:val="15"/>
    <w:qFormat/>
    <w:uiPriority w:val="99"/>
    <w:rPr>
      <w:kern w:val="2"/>
      <w:sz w:val="21"/>
      <w:szCs w:val="24"/>
    </w:rPr>
  </w:style>
  <w:style w:type="character" w:customStyle="1" w:styleId="69">
    <w:name w:val="正文文本 3 字符1"/>
    <w:link w:val="17"/>
    <w:qFormat/>
    <w:uiPriority w:val="0"/>
    <w:rPr>
      <w:kern w:val="2"/>
      <w:sz w:val="16"/>
      <w:szCs w:val="16"/>
    </w:rPr>
  </w:style>
  <w:style w:type="character" w:customStyle="1" w:styleId="70">
    <w:name w:val="正文文本 字符1"/>
    <w:link w:val="18"/>
    <w:qFormat/>
    <w:uiPriority w:val="0"/>
    <w:rPr>
      <w:rFonts w:ascii="宋体" w:hAnsi="宋体"/>
      <w:kern w:val="2"/>
      <w:sz w:val="24"/>
      <w:szCs w:val="24"/>
    </w:rPr>
  </w:style>
  <w:style w:type="character" w:customStyle="1" w:styleId="71">
    <w:name w:val="正文文本缩进 字符1"/>
    <w:link w:val="19"/>
    <w:qFormat/>
    <w:uiPriority w:val="0"/>
    <w:rPr>
      <w:rFonts w:eastAsia="宋体"/>
      <w:kern w:val="2"/>
      <w:sz w:val="24"/>
      <w:szCs w:val="24"/>
      <w:lang w:val="en-US" w:eastAsia="zh-CN" w:bidi="ar-SA"/>
    </w:rPr>
  </w:style>
  <w:style w:type="paragraph" w:customStyle="1" w:styleId="72">
    <w:name w:val="目录 51"/>
    <w:basedOn w:val="1"/>
    <w:next w:val="1"/>
    <w:qFormat/>
    <w:uiPriority w:val="0"/>
    <w:pPr>
      <w:ind w:left="1680" w:leftChars="800"/>
    </w:pPr>
  </w:style>
  <w:style w:type="paragraph" w:customStyle="1" w:styleId="73">
    <w:name w:val="目录 31"/>
    <w:basedOn w:val="1"/>
    <w:next w:val="1"/>
    <w:qFormat/>
    <w:uiPriority w:val="39"/>
    <w:pPr>
      <w:ind w:left="840" w:leftChars="400"/>
    </w:pPr>
  </w:style>
  <w:style w:type="character" w:customStyle="1" w:styleId="74">
    <w:name w:val="纯文本 字符3"/>
    <w:link w:val="24"/>
    <w:qFormat/>
    <w:uiPriority w:val="99"/>
    <w:rPr>
      <w:rFonts w:hint="eastAsia" w:ascii="宋体" w:hAnsi="Courier New" w:eastAsia="宋体" w:cs="宋体"/>
      <w:kern w:val="2"/>
      <w:sz w:val="21"/>
    </w:rPr>
  </w:style>
  <w:style w:type="paragraph" w:customStyle="1" w:styleId="75">
    <w:name w:val="目录 81"/>
    <w:basedOn w:val="1"/>
    <w:next w:val="1"/>
    <w:qFormat/>
    <w:uiPriority w:val="0"/>
    <w:pPr>
      <w:ind w:left="2940" w:leftChars="1400"/>
    </w:pPr>
  </w:style>
  <w:style w:type="character" w:customStyle="1" w:styleId="76">
    <w:name w:val="日期 字符1"/>
    <w:link w:val="26"/>
    <w:qFormat/>
    <w:uiPriority w:val="0"/>
    <w:rPr>
      <w:rFonts w:ascii="仿宋_GB2312" w:hAnsi="宋体" w:eastAsia="仿宋_GB2312"/>
      <w:color w:val="000000"/>
      <w:kern w:val="2"/>
      <w:sz w:val="24"/>
      <w:szCs w:val="24"/>
    </w:rPr>
  </w:style>
  <w:style w:type="character" w:customStyle="1" w:styleId="77">
    <w:name w:val="正文文本缩进 2 字符1"/>
    <w:link w:val="27"/>
    <w:qFormat/>
    <w:uiPriority w:val="0"/>
    <w:rPr>
      <w:rFonts w:ascii="仿宋_GB2312" w:eastAsia="仿宋_GB2312"/>
      <w:kern w:val="2"/>
      <w:sz w:val="24"/>
      <w:szCs w:val="24"/>
    </w:rPr>
  </w:style>
  <w:style w:type="character" w:customStyle="1" w:styleId="78">
    <w:name w:val="批注框文本 字符1"/>
    <w:link w:val="28"/>
    <w:qFormat/>
    <w:uiPriority w:val="0"/>
    <w:rPr>
      <w:kern w:val="2"/>
      <w:sz w:val="18"/>
      <w:szCs w:val="18"/>
    </w:rPr>
  </w:style>
  <w:style w:type="character" w:customStyle="1" w:styleId="79">
    <w:name w:val="页脚 字符1"/>
    <w:link w:val="29"/>
    <w:qFormat/>
    <w:uiPriority w:val="99"/>
    <w:rPr>
      <w:rFonts w:ascii="宋体" w:eastAsia="宋体"/>
      <w:sz w:val="18"/>
      <w:lang w:val="en-US" w:eastAsia="zh-CN" w:bidi="ar-SA"/>
    </w:rPr>
  </w:style>
  <w:style w:type="character" w:customStyle="1" w:styleId="80">
    <w:name w:val="页眉 字符1"/>
    <w:link w:val="30"/>
    <w:qFormat/>
    <w:uiPriority w:val="0"/>
    <w:rPr>
      <w:rFonts w:eastAsia="宋体"/>
      <w:kern w:val="2"/>
      <w:sz w:val="18"/>
      <w:szCs w:val="18"/>
      <w:lang w:val="en-US" w:eastAsia="zh-CN" w:bidi="ar-SA"/>
    </w:rPr>
  </w:style>
  <w:style w:type="paragraph" w:customStyle="1" w:styleId="81">
    <w:name w:val="目录 11"/>
    <w:basedOn w:val="1"/>
    <w:next w:val="1"/>
    <w:qFormat/>
    <w:uiPriority w:val="39"/>
    <w:pPr>
      <w:tabs>
        <w:tab w:val="left" w:pos="1050"/>
        <w:tab w:val="right" w:leader="dot" w:pos="8937"/>
      </w:tabs>
      <w:spacing w:line="300" w:lineRule="auto"/>
    </w:pPr>
    <w:rPr>
      <w:rFonts w:ascii="宋体" w:hAnsi="宋体"/>
      <w:b/>
      <w:sz w:val="24"/>
    </w:rPr>
  </w:style>
  <w:style w:type="paragraph" w:customStyle="1" w:styleId="82">
    <w:name w:val="目录 41"/>
    <w:basedOn w:val="1"/>
    <w:next w:val="1"/>
    <w:qFormat/>
    <w:uiPriority w:val="0"/>
    <w:pPr>
      <w:ind w:left="1260" w:leftChars="600"/>
    </w:pPr>
  </w:style>
  <w:style w:type="paragraph" w:customStyle="1" w:styleId="83">
    <w:name w:val="目录 61"/>
    <w:basedOn w:val="1"/>
    <w:next w:val="1"/>
    <w:qFormat/>
    <w:uiPriority w:val="0"/>
    <w:pPr>
      <w:ind w:left="2100" w:leftChars="1000"/>
    </w:pPr>
  </w:style>
  <w:style w:type="character" w:customStyle="1" w:styleId="84">
    <w:name w:val="正文文本缩进 3 字符1"/>
    <w:link w:val="35"/>
    <w:qFormat/>
    <w:uiPriority w:val="0"/>
    <w:rPr>
      <w:rFonts w:ascii="宋体"/>
      <w:sz w:val="24"/>
    </w:rPr>
  </w:style>
  <w:style w:type="paragraph" w:customStyle="1" w:styleId="85">
    <w:name w:val="目录 21"/>
    <w:basedOn w:val="1"/>
    <w:next w:val="1"/>
    <w:qFormat/>
    <w:uiPriority w:val="39"/>
    <w:pPr>
      <w:tabs>
        <w:tab w:val="right" w:leader="dot" w:pos="8937"/>
      </w:tabs>
      <w:spacing w:line="312" w:lineRule="auto"/>
      <w:ind w:left="420" w:leftChars="200"/>
    </w:pPr>
  </w:style>
  <w:style w:type="paragraph" w:customStyle="1" w:styleId="86">
    <w:name w:val="目录 91"/>
    <w:basedOn w:val="1"/>
    <w:next w:val="1"/>
    <w:qFormat/>
    <w:uiPriority w:val="0"/>
    <w:pPr>
      <w:ind w:left="3360" w:leftChars="1600"/>
    </w:pPr>
  </w:style>
  <w:style w:type="character" w:customStyle="1" w:styleId="87">
    <w:name w:val="HTML 预设格式 字符1"/>
    <w:link w:val="38"/>
    <w:qFormat/>
    <w:uiPriority w:val="0"/>
    <w:rPr>
      <w:rFonts w:ascii="宋体" w:hAnsi="宋体" w:cs="宋体"/>
      <w:sz w:val="24"/>
      <w:szCs w:val="24"/>
    </w:rPr>
  </w:style>
  <w:style w:type="character" w:customStyle="1" w:styleId="88">
    <w:name w:val="标题 字符1"/>
    <w:link w:val="41"/>
    <w:qFormat/>
    <w:uiPriority w:val="0"/>
    <w:rPr>
      <w:b/>
      <w:kern w:val="2"/>
      <w:sz w:val="32"/>
    </w:rPr>
  </w:style>
  <w:style w:type="character" w:customStyle="1" w:styleId="89">
    <w:name w:val="批注主题 字符1"/>
    <w:link w:val="42"/>
    <w:qFormat/>
    <w:uiPriority w:val="0"/>
    <w:rPr>
      <w:rFonts w:ascii="Times New Roman" w:hAnsi="Times New Roman" w:eastAsia="宋体" w:cs="Times New Roman"/>
      <w:b/>
      <w:bCs/>
      <w:kern w:val="2"/>
      <w:sz w:val="21"/>
      <w:szCs w:val="24"/>
      <w:lang w:val="en-US" w:eastAsia="zh-CN" w:bidi="ar-SA"/>
    </w:rPr>
  </w:style>
  <w:style w:type="character" w:customStyle="1" w:styleId="90">
    <w:name w:val="批注文字 字符"/>
    <w:qFormat/>
    <w:uiPriority w:val="0"/>
    <w:rPr>
      <w:rFonts w:ascii="Times New Roman" w:hAnsi="Times New Roman" w:eastAsia="宋体" w:cs="Times New Roman"/>
      <w:sz w:val="24"/>
      <w:lang w:val="en-US" w:eastAsia="zh-CN" w:bidi="ar-SA"/>
    </w:rPr>
  </w:style>
  <w:style w:type="paragraph" w:customStyle="1" w:styleId="91">
    <w:name w:val="正文首行缩进 21"/>
    <w:basedOn w:val="19"/>
    <w:link w:val="92"/>
    <w:qFormat/>
    <w:uiPriority w:val="0"/>
    <w:pPr>
      <w:spacing w:after="120" w:line="480" w:lineRule="exact"/>
      <w:ind w:left="420" w:leftChars="200" w:firstLine="420" w:firstLineChars="200"/>
    </w:pPr>
    <w:rPr>
      <w:szCs w:val="20"/>
    </w:rPr>
  </w:style>
  <w:style w:type="character" w:customStyle="1" w:styleId="92">
    <w:name w:val="正文首行缩进 2 Char1"/>
    <w:link w:val="91"/>
    <w:qFormat/>
    <w:uiPriority w:val="0"/>
    <w:rPr>
      <w:rFonts w:eastAsia="宋体"/>
      <w:kern w:val="2"/>
      <w:sz w:val="24"/>
      <w:szCs w:val="24"/>
      <w:lang w:val="en-US" w:eastAsia="zh-CN" w:bidi="ar-SA"/>
    </w:rPr>
  </w:style>
  <w:style w:type="character" w:customStyle="1" w:styleId="93">
    <w:name w:val="c21"/>
    <w:qFormat/>
    <w:uiPriority w:val="0"/>
    <w:rPr>
      <w:rFonts w:hint="default" w:ascii="ˎ̥" w:hAnsi="ˎ̥"/>
      <w:color w:val="000000"/>
      <w:sz w:val="20"/>
      <w:szCs w:val="20"/>
      <w:u w:val="none"/>
    </w:rPr>
  </w:style>
  <w:style w:type="character" w:customStyle="1" w:styleId="94">
    <w:name w:val="title4"/>
    <w:qFormat/>
    <w:uiPriority w:val="0"/>
    <w:rPr>
      <w:b/>
      <w:bCs/>
      <w:color w:val="1D87B3"/>
      <w:sz w:val="15"/>
      <w:szCs w:val="15"/>
    </w:rPr>
  </w:style>
  <w:style w:type="character" w:customStyle="1" w:styleId="95">
    <w:name w:val="标题 2 Char Char"/>
    <w:qFormat/>
    <w:uiPriority w:val="0"/>
    <w:rPr>
      <w:rFonts w:ascii="Arial" w:hAnsi="Arial" w:eastAsia="黑体"/>
      <w:b/>
      <w:bCs/>
      <w:kern w:val="2"/>
      <w:sz w:val="32"/>
      <w:szCs w:val="32"/>
      <w:lang w:val="en-US" w:eastAsia="zh-CN" w:bidi="ar-SA"/>
    </w:rPr>
  </w:style>
  <w:style w:type="character" w:customStyle="1" w:styleId="96">
    <w:name w:val="black1"/>
    <w:qFormat/>
    <w:uiPriority w:val="0"/>
    <w:rPr>
      <w:color w:val="000000"/>
    </w:rPr>
  </w:style>
  <w:style w:type="character" w:customStyle="1" w:styleId="97">
    <w:name w:val="street-address"/>
    <w:qFormat/>
    <w:uiPriority w:val="0"/>
  </w:style>
  <w:style w:type="character" w:customStyle="1" w:styleId="98">
    <w:name w:val="locality"/>
    <w:qFormat/>
    <w:uiPriority w:val="0"/>
  </w:style>
  <w:style w:type="character" w:customStyle="1" w:styleId="99">
    <w:name w:val="正文文本缩进 Char1"/>
    <w:link w:val="100"/>
    <w:qFormat/>
    <w:uiPriority w:val="0"/>
    <w:rPr>
      <w:rFonts w:ascii="宋体" w:hAnsi="宋体" w:eastAsia="宋体"/>
      <w:sz w:val="24"/>
      <w:szCs w:val="24"/>
      <w:lang w:bidi="ar-SA"/>
    </w:rPr>
  </w:style>
  <w:style w:type="paragraph" w:customStyle="1" w:styleId="100">
    <w:name w:val="正文文本缩进1"/>
    <w:basedOn w:val="1"/>
    <w:link w:val="99"/>
    <w:qFormat/>
    <w:uiPriority w:val="0"/>
    <w:pPr>
      <w:spacing w:line="480" w:lineRule="exact"/>
      <w:ind w:firstLine="480" w:firstLineChars="200"/>
    </w:pPr>
    <w:rPr>
      <w:rFonts w:ascii="宋体" w:hAnsi="宋体"/>
      <w:kern w:val="0"/>
      <w:sz w:val="24"/>
    </w:rPr>
  </w:style>
  <w:style w:type="character" w:customStyle="1" w:styleId="101">
    <w:name w:val="Char Char11"/>
    <w:qFormat/>
    <w:uiPriority w:val="0"/>
    <w:rPr>
      <w:rFonts w:ascii="宋体" w:eastAsia="宋体"/>
      <w:b/>
      <w:sz w:val="24"/>
      <w:u w:val="single"/>
      <w:lang w:val="en-US" w:eastAsia="zh-CN" w:bidi="ar-SA"/>
    </w:rPr>
  </w:style>
  <w:style w:type="character" w:customStyle="1" w:styleId="102">
    <w:name w:val="txt"/>
    <w:qFormat/>
    <w:uiPriority w:val="0"/>
  </w:style>
  <w:style w:type="character" w:customStyle="1" w:styleId="103">
    <w:name w:val="正文缩进 Char Char"/>
    <w:link w:val="104"/>
    <w:qFormat/>
    <w:uiPriority w:val="0"/>
    <w:rPr>
      <w:rFonts w:ascii="宋体" w:eastAsia="宋体"/>
      <w:snapToGrid w:val="0"/>
      <w:color w:val="000000"/>
      <w:kern w:val="28"/>
      <w:sz w:val="28"/>
      <w:lang w:bidi="ar-SA"/>
    </w:rPr>
  </w:style>
  <w:style w:type="paragraph" w:customStyle="1" w:styleId="104">
    <w:name w:val="正文缩进1"/>
    <w:basedOn w:val="1"/>
    <w:link w:val="103"/>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5">
    <w:name w:val="普通文字1 Char1"/>
    <w:qFormat/>
    <w:uiPriority w:val="0"/>
    <w:rPr>
      <w:rFonts w:ascii="宋体" w:hAnsi="Courier New" w:eastAsia="宋体"/>
      <w:kern w:val="2"/>
      <w:sz w:val="21"/>
      <w:lang w:val="en-US" w:eastAsia="zh-CN" w:bidi="ar-SA"/>
    </w:rPr>
  </w:style>
  <w:style w:type="character" w:customStyle="1" w:styleId="106">
    <w:name w:val="chanpin1"/>
    <w:qFormat/>
    <w:uiPriority w:val="0"/>
    <w:rPr>
      <w:rFonts w:hint="default" w:ascii="ˎ̥" w:hAnsi="ˎ̥"/>
      <w:color w:val="000000"/>
      <w:sz w:val="20"/>
      <w:szCs w:val="20"/>
      <w:u w:val="none"/>
    </w:rPr>
  </w:style>
  <w:style w:type="character" w:customStyle="1" w:styleId="107">
    <w:name w:val="列表段落 字符"/>
    <w:link w:val="108"/>
    <w:qFormat/>
    <w:uiPriority w:val="0"/>
    <w:rPr>
      <w:rFonts w:ascii="Calibri" w:hAnsi="Calibri" w:eastAsia="宋体"/>
      <w:kern w:val="2"/>
      <w:sz w:val="21"/>
      <w:szCs w:val="22"/>
      <w:lang w:val="en-US" w:eastAsia="zh-CN" w:bidi="ar-SA"/>
    </w:rPr>
  </w:style>
  <w:style w:type="paragraph" w:styleId="108">
    <w:name w:val="List Paragraph"/>
    <w:basedOn w:val="1"/>
    <w:link w:val="107"/>
    <w:qFormat/>
    <w:uiPriority w:val="0"/>
    <w:pPr>
      <w:ind w:firstLine="420" w:firstLineChars="200"/>
    </w:pPr>
    <w:rPr>
      <w:rFonts w:ascii="Calibri" w:hAnsi="Calibri"/>
      <w:szCs w:val="22"/>
    </w:rPr>
  </w:style>
  <w:style w:type="character" w:customStyle="1" w:styleId="109">
    <w:name w:val="标题 3 Char Char"/>
    <w:qFormat/>
    <w:uiPriority w:val="0"/>
    <w:rPr>
      <w:rFonts w:eastAsia="宋体"/>
      <w:b/>
      <w:bCs/>
      <w:kern w:val="2"/>
      <w:sz w:val="32"/>
      <w:szCs w:val="32"/>
      <w:lang w:val="en-US" w:eastAsia="zh-CN" w:bidi="ar-SA"/>
    </w:rPr>
  </w:style>
  <w:style w:type="character" w:customStyle="1" w:styleId="110">
    <w:name w:val="段1 Char"/>
    <w:qFormat/>
    <w:uiPriority w:val="0"/>
    <w:rPr>
      <w:rFonts w:ascii="宋体" w:eastAsia="宋体"/>
      <w:sz w:val="24"/>
      <w:lang w:val="en-US" w:eastAsia="zh-CN" w:bidi="ar-SA"/>
    </w:rPr>
  </w:style>
  <w:style w:type="character" w:customStyle="1" w:styleId="111">
    <w:name w:val="chanpin拷贝"/>
    <w:qFormat/>
    <w:uiPriority w:val="0"/>
  </w:style>
  <w:style w:type="character" w:customStyle="1" w:styleId="112">
    <w:name w:val="纯文本 Char1"/>
    <w:qFormat/>
    <w:uiPriority w:val="0"/>
    <w:rPr>
      <w:rFonts w:ascii="宋体" w:hAnsi="Courier New" w:eastAsia="宋体"/>
      <w:kern w:val="2"/>
      <w:sz w:val="21"/>
      <w:lang w:val="en-US" w:eastAsia="zh-CN" w:bidi="ar-SA"/>
    </w:rPr>
  </w:style>
  <w:style w:type="character" w:customStyle="1" w:styleId="113">
    <w:name w:val="apple-style-span"/>
    <w:qFormat/>
    <w:uiPriority w:val="0"/>
    <w:rPr>
      <w:rFonts w:cs="Times New Roman"/>
    </w:rPr>
  </w:style>
  <w:style w:type="paragraph" w:customStyle="1" w:styleId="114">
    <w:name w:val="二级条标题"/>
    <w:basedOn w:val="115"/>
    <w:next w:val="1"/>
    <w:qFormat/>
    <w:uiPriority w:val="0"/>
    <w:pPr>
      <w:numPr>
        <w:ilvl w:val="0"/>
        <w:numId w:val="0"/>
      </w:numPr>
      <w:tabs>
        <w:tab w:val="left" w:pos="360"/>
        <w:tab w:val="left" w:pos="840"/>
      </w:tabs>
      <w:ind w:hanging="840"/>
      <w:outlineLvl w:val="2"/>
    </w:pPr>
    <w:rPr>
      <w:rFonts w:ascii="宋体" w:eastAsia="宋体"/>
      <w:b w:val="0"/>
    </w:rPr>
  </w:style>
  <w:style w:type="paragraph" w:customStyle="1" w:styleId="115">
    <w:name w:val="一级条标题"/>
    <w:basedOn w:val="116"/>
    <w:next w:val="1"/>
    <w:qFormat/>
    <w:uiPriority w:val="0"/>
    <w:pPr>
      <w:numPr>
        <w:ilvl w:val="1"/>
      </w:numPr>
      <w:tabs>
        <w:tab w:val="left" w:pos="360"/>
        <w:tab w:val="left" w:pos="840"/>
      </w:tabs>
      <w:ind w:left="0" w:hanging="840"/>
      <w:outlineLvl w:val="1"/>
    </w:pPr>
  </w:style>
  <w:style w:type="paragraph" w:customStyle="1" w:styleId="116">
    <w:name w:val="章标题"/>
    <w:next w:val="1"/>
    <w:qFormat/>
    <w:uiPriority w:val="0"/>
    <w:pPr>
      <w:numPr>
        <w:ilvl w:val="0"/>
        <w:numId w:val="1"/>
      </w:numPr>
      <w:spacing w:before="156" w:beforeLines="50" w:after="156" w:afterLines="50" w:line="460" w:lineRule="exact"/>
      <w:ind w:left="0"/>
      <w:jc w:val="both"/>
      <w:outlineLvl w:val="0"/>
    </w:pPr>
    <w:rPr>
      <w:rFonts w:ascii="黑体" w:hAnsi="Times New Roman" w:eastAsia="黑体" w:cs="Times New Roman"/>
      <w:b/>
      <w:sz w:val="28"/>
      <w:lang w:val="en-US" w:eastAsia="zh-CN" w:bidi="ar-SA"/>
    </w:rPr>
  </w:style>
  <w:style w:type="paragraph" w:customStyle="1" w:styleId="117">
    <w:name w:val="font7"/>
    <w:basedOn w:val="1"/>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8">
    <w:name w:val="字元 字元"/>
    <w:basedOn w:val="1"/>
    <w:qFormat/>
    <w:uiPriority w:val="0"/>
    <w:rPr>
      <w:rFonts w:ascii="Tahoma" w:hAnsi="Tahoma"/>
      <w:sz w:val="24"/>
      <w:szCs w:val="20"/>
    </w:rPr>
  </w:style>
  <w:style w:type="paragraph" w:customStyle="1" w:styleId="119">
    <w:name w:val="Char3 Char Char Char"/>
    <w:basedOn w:val="1"/>
    <w:qFormat/>
    <w:uiPriority w:val="0"/>
    <w:rPr>
      <w:rFonts w:ascii="Tahoma" w:hAnsi="Tahoma"/>
      <w:sz w:val="24"/>
      <w:szCs w:val="20"/>
    </w:rPr>
  </w:style>
  <w:style w:type="paragraph" w:customStyle="1" w:styleId="120">
    <w:name w:val="font6"/>
    <w:basedOn w:val="1"/>
    <w:qFormat/>
    <w:uiPriority w:val="0"/>
    <w:pPr>
      <w:widowControl/>
      <w:spacing w:before="100" w:beforeAutospacing="1" w:after="100" w:afterAutospacing="1"/>
      <w:jc w:val="left"/>
    </w:pPr>
    <w:rPr>
      <w:rFonts w:ascii="宋体" w:hAnsi="宋体" w:cs="宋体"/>
      <w:kern w:val="0"/>
      <w:sz w:val="20"/>
      <w:szCs w:val="20"/>
    </w:rPr>
  </w:style>
  <w:style w:type="paragraph" w:customStyle="1" w:styleId="121">
    <w:name w:val="项目编号2"/>
    <w:basedOn w:val="122"/>
    <w:qFormat/>
    <w:uiPriority w:val="0"/>
    <w:pPr>
      <w:numPr>
        <w:numId w:val="2"/>
      </w:numPr>
    </w:pPr>
  </w:style>
  <w:style w:type="paragraph" w:customStyle="1" w:styleId="122">
    <w:name w:val="项目编号1"/>
    <w:basedOn w:val="1"/>
    <w:qFormat/>
    <w:uiPriority w:val="0"/>
    <w:pPr>
      <w:numPr>
        <w:ilvl w:val="0"/>
        <w:numId w:val="3"/>
      </w:numPr>
      <w:spacing w:before="100" w:beforeAutospacing="1" w:after="100" w:afterAutospacing="1" w:line="360" w:lineRule="auto"/>
    </w:pPr>
    <w:rPr>
      <w:sz w:val="24"/>
    </w:rPr>
  </w:style>
  <w:style w:type="paragraph" w:customStyle="1" w:styleId="123">
    <w:name w:val="图中文字"/>
    <w:basedOn w:val="1"/>
    <w:qFormat/>
    <w:uiPriority w:val="0"/>
    <w:pPr>
      <w:adjustRightInd w:val="0"/>
      <w:snapToGrid w:val="0"/>
      <w:spacing w:line="0" w:lineRule="atLeast"/>
      <w:jc w:val="center"/>
    </w:pPr>
    <w:rPr>
      <w:sz w:val="24"/>
      <w:szCs w:val="20"/>
    </w:rPr>
  </w:style>
  <w:style w:type="paragraph" w:customStyle="1" w:styleId="124">
    <w:name w:val="xl46"/>
    <w:basedOn w:val="1"/>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5">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6">
    <w:name w:val="Char2"/>
    <w:basedOn w:val="1"/>
    <w:qFormat/>
    <w:uiPriority w:val="0"/>
    <w:rPr>
      <w:rFonts w:ascii="Tahoma" w:hAnsi="Tahoma"/>
      <w:sz w:val="24"/>
      <w:szCs w:val="20"/>
    </w:rPr>
  </w:style>
  <w:style w:type="paragraph" w:customStyle="1" w:styleId="127">
    <w:name w:val="xl35"/>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4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5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0">
    <w:name w:val="xl43"/>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background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2">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133">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4">
    <w:name w:val="xl36"/>
    <w:basedOn w:val="1"/>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5">
    <w:name w:val="正文 + 宋体"/>
    <w:basedOn w:val="1"/>
    <w:qFormat/>
    <w:uiPriority w:val="0"/>
    <w:pPr>
      <w:widowControl/>
      <w:ind w:left="360" w:hanging="360"/>
      <w:jc w:val="left"/>
    </w:pPr>
    <w:rPr>
      <w:rFonts w:ascii="宋体" w:hAnsi="宋体" w:cs="宋体"/>
      <w:b/>
      <w:bCs/>
      <w:color w:val="000000"/>
      <w:kern w:val="0"/>
      <w:sz w:val="18"/>
      <w:szCs w:val="18"/>
    </w:rPr>
  </w:style>
  <w:style w:type="paragraph" w:customStyle="1" w:styleId="136">
    <w:name w:val="正文列项_数字"/>
    <w:basedOn w:val="1"/>
    <w:qFormat/>
    <w:uiPriority w:val="0"/>
    <w:pPr>
      <w:numPr>
        <w:ilvl w:val="7"/>
        <w:numId w:val="1"/>
      </w:numPr>
      <w:tabs>
        <w:tab w:val="clear" w:pos="860"/>
      </w:tabs>
      <w:autoSpaceDE w:val="0"/>
      <w:autoSpaceDN w:val="0"/>
      <w:spacing w:line="460" w:lineRule="exact"/>
      <w:ind w:left="680" w:leftChars="530" w:hanging="150" w:hangingChars="150"/>
      <w:outlineLvl w:val="7"/>
    </w:pPr>
    <w:rPr>
      <w:rFonts w:ascii="宋体"/>
      <w:kern w:val="0"/>
      <w:sz w:val="28"/>
      <w:szCs w:val="20"/>
    </w:rPr>
  </w:style>
  <w:style w:type="paragraph" w:customStyle="1" w:styleId="137">
    <w:name w:val="xl3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xl37"/>
    <w:basedOn w:val="1"/>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3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0">
    <w:name w:val="font8"/>
    <w:basedOn w:val="1"/>
    <w:qFormat/>
    <w:uiPriority w:val="0"/>
    <w:pPr>
      <w:widowControl/>
      <w:spacing w:before="100" w:beforeAutospacing="1" w:after="100" w:afterAutospacing="1"/>
      <w:jc w:val="left"/>
    </w:pPr>
    <w:rPr>
      <w:kern w:val="0"/>
      <w:sz w:val="36"/>
      <w:szCs w:val="36"/>
    </w:rPr>
  </w:style>
  <w:style w:type="paragraph" w:customStyle="1" w:styleId="141">
    <w:name w:val="Char"/>
    <w:basedOn w:val="1"/>
    <w:qFormat/>
    <w:uiPriority w:val="0"/>
    <w:pPr>
      <w:tabs>
        <w:tab w:val="left" w:pos="360"/>
      </w:tabs>
    </w:pPr>
    <w:rPr>
      <w:sz w:val="24"/>
    </w:rPr>
  </w:style>
  <w:style w:type="paragraph" w:customStyle="1" w:styleId="142">
    <w:name w:val="Char Char Char Char Char Char Char Char Char Char Char Char Char Char Char Char"/>
    <w:basedOn w:val="1"/>
    <w:qFormat/>
    <w:uiPriority w:val="0"/>
    <w:pPr>
      <w:widowControl/>
      <w:spacing w:after="160" w:line="240" w:lineRule="exact"/>
      <w:jc w:val="center"/>
    </w:pPr>
    <w:rPr>
      <w:rFonts w:ascii="宋体" w:hAnsi="宋体"/>
      <w:b/>
      <w:kern w:val="0"/>
      <w:sz w:val="30"/>
      <w:szCs w:val="30"/>
      <w:lang w:eastAsia="en-US"/>
    </w:rPr>
  </w:style>
  <w:style w:type="paragraph" w:customStyle="1" w:styleId="143">
    <w:name w:val="xl4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5">
    <w:name w:val="Char Char1"/>
    <w:basedOn w:val="14"/>
    <w:qFormat/>
    <w:uiPriority w:val="0"/>
    <w:rPr>
      <w:rFonts w:ascii="Tahoma" w:hAnsi="Tahoma"/>
      <w:sz w:val="24"/>
    </w:rPr>
  </w:style>
  <w:style w:type="paragraph" w:customStyle="1" w:styleId="146">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7">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8">
    <w:name w:val="xl4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样式 宋体 五号 行距: 单倍行距"/>
    <w:basedOn w:val="1"/>
    <w:qFormat/>
    <w:uiPriority w:val="0"/>
    <w:pPr>
      <w:adjustRightInd w:val="0"/>
      <w:jc w:val="left"/>
      <w:textAlignment w:val="baseline"/>
    </w:pPr>
    <w:rPr>
      <w:rFonts w:ascii="宋体" w:hAnsi="宋体"/>
      <w:kern w:val="0"/>
      <w:szCs w:val="20"/>
    </w:rPr>
  </w:style>
  <w:style w:type="paragraph" w:customStyle="1" w:styleId="150">
    <w:name w:val="Char1 Char Char Char1"/>
    <w:basedOn w:val="1"/>
    <w:qFormat/>
    <w:uiPriority w:val="0"/>
    <w:rPr>
      <w:rFonts w:ascii="Tahoma" w:hAnsi="Tahoma" w:cs="仿宋_GB2312"/>
      <w:sz w:val="24"/>
      <w:szCs w:val="28"/>
    </w:rPr>
  </w:style>
  <w:style w:type="paragraph" w:customStyle="1" w:styleId="151">
    <w:name w:val="四级条标题"/>
    <w:basedOn w:val="152"/>
    <w:next w:val="1"/>
    <w:qFormat/>
    <w:uiPriority w:val="0"/>
    <w:pPr>
      <w:numPr>
        <w:ilvl w:val="4"/>
      </w:numPr>
      <w:tabs>
        <w:tab w:val="left" w:pos="360"/>
        <w:tab w:val="left" w:pos="840"/>
      </w:tabs>
      <w:ind w:left="0" w:hanging="840"/>
      <w:outlineLvl w:val="4"/>
    </w:pPr>
  </w:style>
  <w:style w:type="paragraph" w:customStyle="1" w:styleId="152">
    <w:name w:val="三级条标题"/>
    <w:basedOn w:val="114"/>
    <w:next w:val="1"/>
    <w:qFormat/>
    <w:uiPriority w:val="0"/>
    <w:pPr>
      <w:numPr>
        <w:ilvl w:val="3"/>
        <w:numId w:val="1"/>
      </w:numPr>
      <w:ind w:left="0" w:hanging="840"/>
      <w:outlineLvl w:val="3"/>
    </w:pPr>
  </w:style>
  <w:style w:type="paragraph" w:customStyle="1" w:styleId="153">
    <w:name w:val="??"/>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4">
    <w:name w:val="样式 标题 2 + 宋体 五号 行距: 单倍行距"/>
    <w:basedOn w:val="3"/>
    <w:qFormat/>
    <w:uiPriority w:val="0"/>
    <w:pPr>
      <w:numPr>
        <w:ilvl w:val="1"/>
        <w:numId w:val="4"/>
      </w:numPr>
      <w:autoSpaceDE/>
      <w:autoSpaceDN/>
      <w:spacing w:before="260" w:after="260" w:line="240" w:lineRule="auto"/>
      <w:jc w:val="left"/>
      <w:textAlignment w:val="baseline"/>
    </w:pPr>
    <w:rPr>
      <w:rFonts w:ascii="宋体" w:hAnsi="宋体" w:eastAsia="宋体"/>
      <w:bCs/>
      <w:sz w:val="21"/>
    </w:rPr>
  </w:style>
  <w:style w:type="paragraph" w:customStyle="1" w:styleId="155">
    <w:name w:val="List Paragraph1"/>
    <w:basedOn w:val="1"/>
    <w:qFormat/>
    <w:uiPriority w:val="0"/>
    <w:pPr>
      <w:ind w:firstLine="420" w:firstLineChars="200"/>
    </w:pPr>
    <w:rPr>
      <w:rFonts w:ascii="Calibri" w:hAnsi="Calibri"/>
      <w:szCs w:val="22"/>
    </w:rPr>
  </w:style>
  <w:style w:type="paragraph" w:customStyle="1" w:styleId="156">
    <w:name w:val="项目符号1"/>
    <w:basedOn w:val="157"/>
    <w:qFormat/>
    <w:uiPriority w:val="0"/>
    <w:pPr>
      <w:ind w:left="-25" w:firstLine="0"/>
    </w:pPr>
  </w:style>
  <w:style w:type="paragraph" w:customStyle="1" w:styleId="157">
    <w:name w:val="正文文本样式"/>
    <w:basedOn w:val="1"/>
    <w:qFormat/>
    <w:uiPriority w:val="0"/>
    <w:pPr>
      <w:spacing w:line="360" w:lineRule="auto"/>
      <w:ind w:firstLine="482"/>
    </w:pPr>
    <w:rPr>
      <w:rFonts w:cs="宋体"/>
      <w:sz w:val="24"/>
      <w:szCs w:val="20"/>
    </w:rPr>
  </w:style>
  <w:style w:type="paragraph" w:customStyle="1" w:styleId="158">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60">
    <w:name w:val="五级条标题"/>
    <w:basedOn w:val="151"/>
    <w:next w:val="1"/>
    <w:qFormat/>
    <w:uiPriority w:val="0"/>
    <w:pPr>
      <w:numPr>
        <w:ilvl w:val="5"/>
      </w:numPr>
      <w:ind w:left="0" w:hanging="840"/>
      <w:outlineLvl w:val="5"/>
    </w:pPr>
  </w:style>
  <w:style w:type="paragraph" w:customStyle="1" w:styleId="161">
    <w:name w:val="xl4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2">
    <w:name w:val="文档正文"/>
    <w:basedOn w:val="1"/>
    <w:qFormat/>
    <w:uiPriority w:val="0"/>
    <w:pPr>
      <w:snapToGrid w:val="0"/>
      <w:spacing w:before="120" w:after="120" w:line="180" w:lineRule="auto"/>
    </w:pPr>
    <w:rPr>
      <w:rFonts w:ascii="Arial" w:hAnsi="Arial"/>
      <w:szCs w:val="20"/>
    </w:rPr>
  </w:style>
  <w:style w:type="paragraph" w:customStyle="1" w:styleId="163">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4">
    <w:name w:val="xl4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5">
    <w:name w:val="Char Char Char1 Char"/>
    <w:basedOn w:val="1"/>
    <w:qFormat/>
    <w:uiPriority w:val="0"/>
    <w:rPr>
      <w:rFonts w:ascii="Tahoma" w:hAnsi="Tahoma"/>
      <w:sz w:val="24"/>
      <w:szCs w:val="20"/>
    </w:rPr>
  </w:style>
  <w:style w:type="paragraph" w:customStyle="1" w:styleId="166">
    <w:name w:val="xl44"/>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7">
    <w:name w:val="1名"/>
    <w:basedOn w:val="1"/>
    <w:qFormat/>
    <w:uiPriority w:val="0"/>
    <w:pPr>
      <w:numPr>
        <w:ilvl w:val="0"/>
        <w:numId w:val="5"/>
      </w:numPr>
      <w:spacing w:before="120"/>
    </w:pPr>
    <w:rPr>
      <w:rFonts w:ascii="宋体"/>
      <w:sz w:val="28"/>
      <w:szCs w:val="20"/>
    </w:rPr>
  </w:style>
  <w:style w:type="paragraph" w:customStyle="1" w:styleId="168">
    <w:name w:val="font9"/>
    <w:basedOn w:val="1"/>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9">
    <w:name w:val="Char Char Char1 Char1"/>
    <w:basedOn w:val="1"/>
    <w:qFormat/>
    <w:uiPriority w:val="0"/>
    <w:rPr>
      <w:rFonts w:ascii="Tahoma" w:hAnsi="Tahoma"/>
      <w:sz w:val="24"/>
      <w:szCs w:val="20"/>
    </w:rPr>
  </w:style>
  <w:style w:type="paragraph" w:customStyle="1" w:styleId="170">
    <w:name w:val="Char Char Char Char Char Char Char Char Char Char"/>
    <w:basedOn w:val="1"/>
    <w:qFormat/>
    <w:uiPriority w:val="0"/>
  </w:style>
  <w:style w:type="paragraph" w:customStyle="1" w:styleId="171">
    <w:name w:val="Char Char1 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72">
    <w:name w:val="Char1"/>
    <w:basedOn w:val="1"/>
    <w:qFormat/>
    <w:uiPriority w:val="0"/>
    <w:pPr>
      <w:tabs>
        <w:tab w:val="left" w:pos="360"/>
      </w:tabs>
    </w:pPr>
    <w:rPr>
      <w:sz w:val="24"/>
    </w:rPr>
  </w:style>
  <w:style w:type="paragraph" w:customStyle="1" w:styleId="173">
    <w:name w:val="正文列项_字母"/>
    <w:basedOn w:val="1"/>
    <w:qFormat/>
    <w:uiPriority w:val="0"/>
    <w:pPr>
      <w:numPr>
        <w:ilvl w:val="6"/>
        <w:numId w:val="1"/>
      </w:numPr>
      <w:tabs>
        <w:tab w:val="clear" w:pos="635"/>
      </w:tabs>
      <w:autoSpaceDE w:val="0"/>
      <w:autoSpaceDN w:val="0"/>
      <w:spacing w:line="460" w:lineRule="exact"/>
      <w:ind w:left="480" w:leftChars="300" w:hanging="180" w:hangingChars="180"/>
      <w:outlineLvl w:val="6"/>
    </w:pPr>
    <w:rPr>
      <w:rFonts w:ascii="宋体"/>
      <w:kern w:val="0"/>
      <w:sz w:val="28"/>
      <w:szCs w:val="20"/>
    </w:rPr>
  </w:style>
  <w:style w:type="paragraph" w:customStyle="1" w:styleId="174">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默认段落字体 Para Char Char Char Char"/>
    <w:basedOn w:val="1"/>
    <w:qFormat/>
    <w:uiPriority w:val="0"/>
    <w:rPr>
      <w:rFonts w:ascii="Arial" w:hAnsi="Arial" w:cs="Arial"/>
      <w:szCs w:val="21"/>
    </w:rPr>
  </w:style>
  <w:style w:type="paragraph" w:customStyle="1" w:styleId="177">
    <w:name w:val="xl4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8">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9">
    <w:name w:val="xl5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0">
    <w:name w:val="Char Char Char"/>
    <w:basedOn w:val="1"/>
    <w:qFormat/>
    <w:uiPriority w:val="0"/>
    <w:rPr>
      <w:rFonts w:ascii="Tahoma" w:hAnsi="Tahoma"/>
      <w:sz w:val="24"/>
      <w:szCs w:val="20"/>
    </w:rPr>
  </w:style>
  <w:style w:type="paragraph" w:customStyle="1" w:styleId="181">
    <w:name w:val="xl5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2">
    <w:name w:val="缺省文本"/>
    <w:basedOn w:val="1"/>
    <w:qFormat/>
    <w:uiPriority w:val="0"/>
    <w:pPr>
      <w:autoSpaceDE w:val="0"/>
      <w:autoSpaceDN w:val="0"/>
      <w:adjustRightInd w:val="0"/>
      <w:jc w:val="left"/>
    </w:pPr>
    <w:rPr>
      <w:kern w:val="0"/>
      <w:sz w:val="24"/>
    </w:rPr>
  </w:style>
  <w:style w:type="paragraph" w:customStyle="1" w:styleId="183">
    <w:name w:val="Char Char Char1"/>
    <w:basedOn w:val="1"/>
    <w:qFormat/>
    <w:uiPriority w:val="0"/>
    <w:rPr>
      <w:rFonts w:ascii="Tahoma" w:hAnsi="Tahoma"/>
      <w:sz w:val="24"/>
      <w:szCs w:val="20"/>
    </w:rPr>
  </w:style>
  <w:style w:type="paragraph" w:customStyle="1" w:styleId="184">
    <w:name w:val="Char Char Char Char Char Char Char1"/>
    <w:basedOn w:val="1"/>
    <w:qFormat/>
    <w:uiPriority w:val="0"/>
    <w:pPr>
      <w:snapToGrid w:val="0"/>
      <w:spacing w:line="360" w:lineRule="auto"/>
      <w:ind w:firstLine="200" w:firstLineChars="200"/>
    </w:pPr>
    <w:rPr>
      <w:rFonts w:eastAsia="仿宋_GB2312"/>
      <w:sz w:val="24"/>
    </w:rPr>
  </w:style>
  <w:style w:type="paragraph" w:customStyle="1" w:styleId="185">
    <w:name w:val="xl5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6">
    <w:name w:val="样式2"/>
    <w:basedOn w:val="40"/>
    <w:qFormat/>
    <w:uiPriority w:val="0"/>
    <w:pPr>
      <w:spacing w:line="360" w:lineRule="auto"/>
      <w:jc w:val="center"/>
    </w:pPr>
    <w:rPr>
      <w:sz w:val="24"/>
    </w:rPr>
  </w:style>
  <w:style w:type="paragraph" w:customStyle="1" w:styleId="187">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正文 + 楷体_GB2312"/>
    <w:basedOn w:val="1"/>
    <w:qFormat/>
    <w:uiPriority w:val="0"/>
    <w:pPr>
      <w:widowControl/>
      <w:jc w:val="left"/>
    </w:pPr>
    <w:rPr>
      <w:rFonts w:ascii="楷体_GB2312" w:eastAsia="楷体_GB2312" w:cs="Arial"/>
      <w:kern w:val="0"/>
      <w:sz w:val="24"/>
    </w:rPr>
  </w:style>
  <w:style w:type="paragraph" w:customStyle="1" w:styleId="190">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1">
    <w:name w:val="1 Char Char Char Char"/>
    <w:basedOn w:val="1"/>
    <w:qFormat/>
    <w:uiPriority w:val="0"/>
    <w:rPr>
      <w:rFonts w:ascii="Tahoma" w:hAnsi="Tahoma"/>
      <w:sz w:val="24"/>
      <w:szCs w:val="20"/>
    </w:rPr>
  </w:style>
  <w:style w:type="paragraph" w:customStyle="1" w:styleId="192">
    <w:name w:val="Default"/>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customStyle="1" w:styleId="193">
    <w:name w:val="列出段落1"/>
    <w:basedOn w:val="1"/>
    <w:qFormat/>
    <w:uiPriority w:val="0"/>
    <w:pPr>
      <w:ind w:firstLine="420" w:firstLineChars="200"/>
    </w:pPr>
    <w:rPr>
      <w:rFonts w:ascii="Calibri" w:hAnsi="Calibri"/>
      <w:szCs w:val="22"/>
    </w:rPr>
  </w:style>
  <w:style w:type="paragraph" w:customStyle="1" w:styleId="194">
    <w:name w:val="default"/>
    <w:basedOn w:val="1"/>
    <w:qFormat/>
    <w:uiPriority w:val="0"/>
    <w:pPr>
      <w:widowControl/>
      <w:spacing w:before="100" w:beforeAutospacing="1" w:after="100" w:afterAutospacing="1"/>
      <w:jc w:val="left"/>
    </w:pPr>
    <w:rPr>
      <w:rFonts w:ascii="宋体" w:hAnsi="宋体" w:cs="宋体"/>
      <w:kern w:val="0"/>
      <w:sz w:val="24"/>
    </w:rPr>
  </w:style>
  <w:style w:type="paragraph" w:customStyle="1" w:styleId="195">
    <w:name w:val="字元 字元1"/>
    <w:basedOn w:val="1"/>
    <w:qFormat/>
    <w:uiPriority w:val="0"/>
    <w:rPr>
      <w:rFonts w:ascii="Tahoma" w:hAnsi="Tahoma"/>
      <w:sz w:val="24"/>
      <w:szCs w:val="20"/>
    </w:rPr>
  </w:style>
  <w:style w:type="paragraph" w:customStyle="1" w:styleId="196">
    <w:name w:val="_Style 160"/>
    <w:qFormat/>
    <w:uiPriority w:val="0"/>
    <w:rPr>
      <w:rFonts w:ascii="Times New Roman" w:hAnsi="Times New Roman" w:eastAsia="宋体" w:cs="Times New Roman"/>
      <w:kern w:val="2"/>
      <w:sz w:val="21"/>
      <w:szCs w:val="24"/>
      <w:lang w:val="en-US" w:eastAsia="zh-CN" w:bidi="ar-SA"/>
    </w:rPr>
  </w:style>
  <w:style w:type="paragraph" w:customStyle="1" w:styleId="197">
    <w:name w:val="项目编号3"/>
    <w:basedOn w:val="157"/>
    <w:qFormat/>
    <w:uiPriority w:val="0"/>
    <w:pPr>
      <w:numPr>
        <w:ilvl w:val="0"/>
        <w:numId w:val="6"/>
      </w:numPr>
    </w:pPr>
  </w:style>
  <w:style w:type="paragraph" w:customStyle="1" w:styleId="198">
    <w:name w:val="Char21"/>
    <w:basedOn w:val="1"/>
    <w:qFormat/>
    <w:uiPriority w:val="0"/>
    <w:rPr>
      <w:rFonts w:ascii="Tahoma" w:hAnsi="Tahoma"/>
      <w:sz w:val="24"/>
      <w:szCs w:val="20"/>
    </w:rPr>
  </w:style>
  <w:style w:type="paragraph" w:customStyle="1" w:styleId="199">
    <w:name w:val="表格文字"/>
    <w:basedOn w:val="19"/>
    <w:qFormat/>
    <w:uiPriority w:val="0"/>
    <w:pPr>
      <w:spacing w:before="20" w:after="20" w:line="240" w:lineRule="auto"/>
      <w:ind w:firstLine="0"/>
    </w:pPr>
    <w:rPr>
      <w:rFonts w:ascii="Century Gothic" w:hAnsi="Century Gothic"/>
      <w:sz w:val="20"/>
      <w:szCs w:val="20"/>
    </w:rPr>
  </w:style>
  <w:style w:type="paragraph" w:customStyle="1" w:styleId="200">
    <w:name w:val="Char Char Char Char Char Char Char Char Char Char1"/>
    <w:basedOn w:val="1"/>
    <w:qFormat/>
    <w:uiPriority w:val="0"/>
    <w:rPr>
      <w:rFonts w:ascii="宋体" w:hAnsi="宋体" w:cs="Courier New"/>
      <w:sz w:val="32"/>
      <w:szCs w:val="32"/>
    </w:rPr>
  </w:style>
  <w:style w:type="paragraph" w:customStyle="1" w:styleId="201">
    <w:name w:val="正文文本样式 加粗"/>
    <w:basedOn w:val="157"/>
    <w:qFormat/>
    <w:uiPriority w:val="0"/>
    <w:rPr>
      <w:b/>
    </w:rPr>
  </w:style>
  <w:style w:type="paragraph" w:customStyle="1" w:styleId="202">
    <w:name w:val="Char2 Char Char Char Char Char Char"/>
    <w:basedOn w:val="1"/>
    <w:qFormat/>
    <w:uiPriority w:val="0"/>
    <w:pPr>
      <w:widowControl/>
      <w:spacing w:line="400" w:lineRule="exact"/>
      <w:jc w:val="center"/>
    </w:pPr>
  </w:style>
  <w:style w:type="paragraph" w:customStyle="1" w:styleId="203">
    <w:name w:val="Char Char4"/>
    <w:basedOn w:val="1"/>
    <w:qFormat/>
    <w:uiPriority w:val="0"/>
    <w:pPr>
      <w:widowControl/>
      <w:spacing w:line="400" w:lineRule="exact"/>
      <w:jc w:val="center"/>
    </w:pPr>
  </w:style>
  <w:style w:type="paragraph" w:customStyle="1" w:styleId="204">
    <w:name w:val="Char3 Char Char Char1"/>
    <w:basedOn w:val="1"/>
    <w:qFormat/>
    <w:uiPriority w:val="0"/>
    <w:rPr>
      <w:rFonts w:ascii="Tahoma" w:hAnsi="Tahoma"/>
      <w:sz w:val="24"/>
      <w:szCs w:val="20"/>
    </w:rPr>
  </w:style>
  <w:style w:type="paragraph" w:styleId="205">
    <w:name w:val="No Spacing"/>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6">
    <w:name w:val="22222222222222"/>
    <w:basedOn w:val="1"/>
    <w:qFormat/>
    <w:uiPriority w:val="0"/>
    <w:pPr>
      <w:widowControl/>
      <w:adjustRightInd w:val="0"/>
      <w:spacing w:line="360" w:lineRule="auto"/>
      <w:ind w:firstLine="480" w:firstLineChars="200"/>
      <w:jc w:val="left"/>
    </w:pPr>
    <w:rPr>
      <w:color w:val="FF0000"/>
      <w:kern w:val="0"/>
      <w:sz w:val="24"/>
      <w:szCs w:val="20"/>
    </w:rPr>
  </w:style>
  <w:style w:type="character" w:customStyle="1" w:styleId="207">
    <w:name w:val="中等深浅网格 1 - 强调文字颜色 2 Char"/>
    <w:link w:val="208"/>
    <w:qFormat/>
    <w:uiPriority w:val="0"/>
    <w:rPr>
      <w:kern w:val="2"/>
      <w:sz w:val="21"/>
      <w:szCs w:val="24"/>
      <w:lang w:val="zh-CN" w:eastAsia="zh-CN"/>
    </w:rPr>
  </w:style>
  <w:style w:type="paragraph" w:customStyle="1" w:styleId="208">
    <w:name w:val="1"/>
    <w:link w:val="207"/>
    <w:qFormat/>
    <w:uiPriority w:val="0"/>
    <w:rPr>
      <w:rFonts w:ascii="Times New Roman" w:hAnsi="Times New Roman" w:eastAsia="宋体" w:cs="Times New Roman"/>
      <w:kern w:val="2"/>
      <w:sz w:val="21"/>
      <w:szCs w:val="24"/>
      <w:lang w:val="zh-CN" w:eastAsia="zh-CN" w:bidi="ar-SA"/>
    </w:rPr>
  </w:style>
  <w:style w:type="paragraph" w:customStyle="1" w:styleId="209">
    <w:name w:val="图文"/>
    <w:basedOn w:val="1"/>
    <w:qFormat/>
    <w:uiPriority w:val="0"/>
    <w:pPr>
      <w:adjustRightInd w:val="0"/>
      <w:snapToGrid w:val="0"/>
      <w:spacing w:after="50" w:line="360" w:lineRule="auto"/>
    </w:pPr>
    <w:rPr>
      <w:sz w:val="24"/>
    </w:rPr>
  </w:style>
  <w:style w:type="paragraph" w:customStyle="1" w:styleId="210">
    <w:name w:val="xl23"/>
    <w:basedOn w:val="1"/>
    <w:qFormat/>
    <w:uiPriority w:val="0"/>
    <w:pPr>
      <w:widowControl/>
      <w:spacing w:before="100" w:beforeAutospacing="1" w:after="100" w:afterAutospacing="1" w:line="360" w:lineRule="auto"/>
      <w:textAlignment w:val="top"/>
    </w:pPr>
    <w:rPr>
      <w:kern w:val="0"/>
      <w:sz w:val="24"/>
      <w:szCs w:val="20"/>
    </w:rPr>
  </w:style>
  <w:style w:type="paragraph" w:customStyle="1" w:styleId="211">
    <w:name w:val="正文表格"/>
    <w:basedOn w:val="1"/>
    <w:link w:val="212"/>
    <w:qFormat/>
    <w:uiPriority w:val="0"/>
    <w:pPr>
      <w:adjustRightInd w:val="0"/>
      <w:snapToGrid w:val="0"/>
      <w:jc w:val="left"/>
    </w:pPr>
    <w:rPr>
      <w:rFonts w:ascii="宋体" w:hAnsi="宋体"/>
      <w:color w:val="000000"/>
      <w:szCs w:val="21"/>
    </w:rPr>
  </w:style>
  <w:style w:type="character" w:customStyle="1" w:styleId="212">
    <w:name w:val="正文表格 Char"/>
    <w:link w:val="211"/>
    <w:qFormat/>
    <w:uiPriority w:val="0"/>
    <w:rPr>
      <w:rFonts w:ascii="宋体" w:hAnsi="宋体"/>
      <w:color w:val="000000"/>
      <w:kern w:val="2"/>
      <w:sz w:val="21"/>
      <w:szCs w:val="21"/>
    </w:rPr>
  </w:style>
  <w:style w:type="paragraph" w:customStyle="1" w:styleId="213">
    <w:name w:val="正文重点"/>
    <w:basedOn w:val="1"/>
    <w:link w:val="214"/>
    <w:qFormat/>
    <w:uiPriority w:val="0"/>
    <w:pPr>
      <w:adjustRightInd w:val="0"/>
      <w:spacing w:line="360" w:lineRule="auto"/>
      <w:ind w:firstLine="482" w:firstLineChars="200"/>
      <w:jc w:val="left"/>
      <w:textAlignment w:val="baseline"/>
    </w:pPr>
    <w:rPr>
      <w:b/>
      <w:kern w:val="0"/>
      <w:sz w:val="24"/>
      <w:szCs w:val="20"/>
    </w:rPr>
  </w:style>
  <w:style w:type="character" w:customStyle="1" w:styleId="214">
    <w:name w:val="正文重点 Char"/>
    <w:link w:val="213"/>
    <w:qFormat/>
    <w:uiPriority w:val="0"/>
    <w:rPr>
      <w:b/>
      <w:sz w:val="24"/>
    </w:rPr>
  </w:style>
  <w:style w:type="paragraph" w:customStyle="1" w:styleId="215">
    <w:name w:val="标题1-附件"/>
    <w:basedOn w:val="2"/>
    <w:qFormat/>
    <w:uiPriority w:val="0"/>
    <w:pPr>
      <w:jc w:val="left"/>
    </w:pPr>
    <w:rPr>
      <w:sz w:val="24"/>
      <w:szCs w:val="24"/>
    </w:rPr>
  </w:style>
  <w:style w:type="paragraph" w:customStyle="1" w:styleId="216">
    <w:name w:val="正文小标题"/>
    <w:basedOn w:val="1"/>
    <w:next w:val="4"/>
    <w:link w:val="217"/>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7">
    <w:name w:val="正文小标题 Char"/>
    <w:link w:val="216"/>
    <w:qFormat/>
    <w:uiPriority w:val="0"/>
    <w:rPr>
      <w:rFonts w:ascii="宋体" w:hAnsi="宋体"/>
      <w:b/>
      <w:i/>
      <w:color w:val="FF0000"/>
      <w:kern w:val="2"/>
      <w:sz w:val="24"/>
    </w:rPr>
  </w:style>
  <w:style w:type="paragraph" w:customStyle="1" w:styleId="218">
    <w:name w:val="正文大标题"/>
    <w:basedOn w:val="216"/>
    <w:next w:val="4"/>
    <w:link w:val="219"/>
    <w:qFormat/>
    <w:uiPriority w:val="0"/>
    <w:pPr>
      <w:jc w:val="center"/>
    </w:pPr>
    <w:rPr>
      <w:i w:val="0"/>
      <w:color w:val="000000"/>
      <w:sz w:val="28"/>
      <w:szCs w:val="21"/>
    </w:rPr>
  </w:style>
  <w:style w:type="character" w:customStyle="1" w:styleId="219">
    <w:name w:val="正文大标题 Char"/>
    <w:link w:val="218"/>
    <w:qFormat/>
    <w:uiPriority w:val="0"/>
    <w:rPr>
      <w:rFonts w:ascii="宋体" w:hAnsi="宋体"/>
      <w:b/>
      <w:color w:val="000000"/>
      <w:kern w:val="2"/>
      <w:sz w:val="28"/>
      <w:szCs w:val="21"/>
    </w:rPr>
  </w:style>
  <w:style w:type="paragraph" w:customStyle="1" w:styleId="220">
    <w:name w:val="注释"/>
    <w:basedOn w:val="1"/>
    <w:link w:val="221"/>
    <w:qFormat/>
    <w:uiPriority w:val="0"/>
    <w:pPr>
      <w:adjustRightInd w:val="0"/>
      <w:snapToGrid w:val="0"/>
      <w:ind w:left="420" w:hanging="420" w:hangingChars="200"/>
      <w:jc w:val="left"/>
    </w:pPr>
    <w:rPr>
      <w:rFonts w:ascii="宋体" w:hAnsi="宋体"/>
      <w:szCs w:val="21"/>
    </w:rPr>
  </w:style>
  <w:style w:type="character" w:customStyle="1" w:styleId="221">
    <w:name w:val="注释 Char"/>
    <w:link w:val="220"/>
    <w:qFormat/>
    <w:uiPriority w:val="0"/>
    <w:rPr>
      <w:rFonts w:ascii="宋体" w:hAnsi="宋体"/>
      <w:kern w:val="2"/>
      <w:sz w:val="21"/>
      <w:szCs w:val="21"/>
    </w:rPr>
  </w:style>
  <w:style w:type="paragraph" w:customStyle="1" w:styleId="222">
    <w:name w:val="正文须知-1级"/>
    <w:basedOn w:val="1"/>
    <w:next w:val="1"/>
    <w:qFormat/>
    <w:uiPriority w:val="0"/>
    <w:pPr>
      <w:numPr>
        <w:ilvl w:val="0"/>
        <w:numId w:val="7"/>
      </w:numPr>
      <w:adjustRightInd w:val="0"/>
      <w:snapToGrid w:val="0"/>
      <w:spacing w:line="300" w:lineRule="auto"/>
    </w:pPr>
    <w:rPr>
      <w:rFonts w:ascii="宋体" w:hAnsi="Calibri"/>
      <w:sz w:val="24"/>
      <w:szCs w:val="21"/>
    </w:rPr>
  </w:style>
  <w:style w:type="paragraph" w:customStyle="1" w:styleId="223">
    <w:name w:val="正文须知-2级"/>
    <w:basedOn w:val="1"/>
    <w:qFormat/>
    <w:uiPriority w:val="0"/>
    <w:pPr>
      <w:numPr>
        <w:ilvl w:val="1"/>
        <w:numId w:val="7"/>
      </w:numPr>
      <w:adjustRightInd w:val="0"/>
      <w:snapToGrid w:val="0"/>
      <w:spacing w:line="300" w:lineRule="auto"/>
    </w:pPr>
    <w:rPr>
      <w:rFonts w:ascii="宋体" w:hAnsi="Calibri"/>
      <w:sz w:val="24"/>
      <w:szCs w:val="21"/>
    </w:rPr>
  </w:style>
  <w:style w:type="paragraph" w:customStyle="1" w:styleId="224">
    <w:name w:val="正文须知-3级"/>
    <w:basedOn w:val="1"/>
    <w:qFormat/>
    <w:uiPriority w:val="0"/>
    <w:pPr>
      <w:numPr>
        <w:ilvl w:val="2"/>
        <w:numId w:val="7"/>
      </w:numPr>
      <w:adjustRightInd w:val="0"/>
      <w:snapToGrid w:val="0"/>
      <w:spacing w:line="300" w:lineRule="auto"/>
      <w:ind w:hanging="355" w:hangingChars="355"/>
    </w:pPr>
    <w:rPr>
      <w:rFonts w:ascii="宋体" w:hAnsi="Calibri"/>
      <w:sz w:val="24"/>
      <w:szCs w:val="21"/>
    </w:rPr>
  </w:style>
  <w:style w:type="character" w:customStyle="1" w:styleId="225">
    <w:name w:val="纯文本 字符"/>
    <w:qFormat/>
    <w:uiPriority w:val="99"/>
    <w:rPr>
      <w:rFonts w:ascii="宋体" w:hAnsi="Courier New" w:eastAsia="宋体" w:cs="Times New Roman"/>
      <w:kern w:val="2"/>
      <w:sz w:val="21"/>
      <w:szCs w:val="21"/>
      <w:lang w:val="en-US" w:eastAsia="zh-CN" w:bidi="ar-SA"/>
    </w:rPr>
  </w:style>
  <w:style w:type="paragraph" w:customStyle="1" w:styleId="226">
    <w:name w:val="表格1"/>
    <w:basedOn w:val="1"/>
    <w:qFormat/>
    <w:uiPriority w:val="0"/>
    <w:pPr>
      <w:ind w:firstLine="480" w:firstLineChars="200"/>
      <w:jc w:val="center"/>
    </w:pPr>
    <w:rPr>
      <w:sz w:val="24"/>
      <w:szCs w:val="20"/>
    </w:rPr>
  </w:style>
  <w:style w:type="character" w:customStyle="1" w:styleId="227">
    <w:name w:val="纯文本 字符1"/>
    <w:qFormat/>
    <w:uiPriority w:val="0"/>
    <w:rPr>
      <w:rFonts w:ascii="宋体" w:hAnsi="Courier New"/>
    </w:rPr>
  </w:style>
  <w:style w:type="character" w:customStyle="1" w:styleId="228">
    <w:name w:val="bjh-p"/>
    <w:qFormat/>
    <w:uiPriority w:val="0"/>
  </w:style>
  <w:style w:type="paragraph" w:customStyle="1" w:styleId="229">
    <w:name w:val="无标题条"/>
    <w:next w:val="1"/>
    <w:qFormat/>
    <w:uiPriority w:val="0"/>
    <w:pPr>
      <w:jc w:val="both"/>
    </w:pPr>
    <w:rPr>
      <w:rFonts w:ascii="Times New Roman" w:hAnsi="Times New Roman" w:eastAsia="宋体" w:cs="Times New Roman"/>
      <w:sz w:val="21"/>
      <w:lang w:val="en-US" w:eastAsia="zh-CN" w:bidi="ar-SA"/>
    </w:rPr>
  </w:style>
  <w:style w:type="character" w:customStyle="1" w:styleId="230">
    <w:name w:val="正文格式 Char"/>
    <w:link w:val="231"/>
    <w:qFormat/>
    <w:locked/>
    <w:uiPriority w:val="0"/>
    <w:rPr>
      <w:rFonts w:ascii="宋体" w:hAnsi="宋体"/>
      <w:sz w:val="24"/>
      <w:szCs w:val="24"/>
      <w:lang w:val="en-GB"/>
    </w:rPr>
  </w:style>
  <w:style w:type="paragraph" w:customStyle="1" w:styleId="231">
    <w:name w:val="正文格式"/>
    <w:basedOn w:val="1"/>
    <w:link w:val="230"/>
    <w:qFormat/>
    <w:uiPriority w:val="0"/>
    <w:pPr>
      <w:spacing w:beforeLines="50" w:line="360" w:lineRule="auto"/>
      <w:ind w:firstLine="480" w:firstLineChars="200"/>
    </w:pPr>
    <w:rPr>
      <w:rFonts w:ascii="宋体" w:hAnsi="宋体"/>
      <w:kern w:val="0"/>
      <w:sz w:val="24"/>
      <w:lang w:val="en-GB"/>
    </w:rPr>
  </w:style>
  <w:style w:type="character" w:customStyle="1" w:styleId="232">
    <w:name w:val="标题 3 Char"/>
    <w:qFormat/>
    <w:uiPriority w:val="0"/>
    <w:rPr>
      <w:rFonts w:ascii="宋体" w:eastAsia="宋体"/>
      <w:b/>
      <w:sz w:val="24"/>
      <w:u w:val="single"/>
      <w:lang w:val="en-US" w:eastAsia="zh-CN" w:bidi="ar-SA"/>
    </w:rPr>
  </w:style>
  <w:style w:type="character" w:customStyle="1" w:styleId="233">
    <w:name w:val="正文缩进 Char"/>
    <w:qFormat/>
    <w:uiPriority w:val="0"/>
    <w:rPr>
      <w:rFonts w:ascii="宋体" w:eastAsia="宋体"/>
      <w:kern w:val="2"/>
      <w:sz w:val="24"/>
      <w:szCs w:val="24"/>
      <w:lang w:val="en-US" w:eastAsia="zh-CN" w:bidi="ar-SA"/>
    </w:rPr>
  </w:style>
  <w:style w:type="character" w:customStyle="1" w:styleId="234">
    <w:name w:val="Char Char111"/>
    <w:qFormat/>
    <w:uiPriority w:val="0"/>
    <w:rPr>
      <w:rFonts w:ascii="宋体" w:eastAsia="宋体"/>
      <w:b/>
      <w:sz w:val="24"/>
      <w:u w:val="single"/>
      <w:lang w:val="en-US" w:eastAsia="zh-CN" w:bidi="ar-SA"/>
    </w:rPr>
  </w:style>
  <w:style w:type="character" w:customStyle="1" w:styleId="235">
    <w:name w:val="正文文本缩进 Char"/>
    <w:qFormat/>
    <w:uiPriority w:val="0"/>
    <w:rPr>
      <w:rFonts w:eastAsia="宋体"/>
      <w:kern w:val="2"/>
      <w:sz w:val="24"/>
      <w:szCs w:val="24"/>
      <w:lang w:val="en-US" w:eastAsia="zh-CN" w:bidi="ar-SA"/>
    </w:rPr>
  </w:style>
  <w:style w:type="character" w:customStyle="1" w:styleId="236">
    <w:name w:val="列出段落 Char"/>
    <w:qFormat/>
    <w:uiPriority w:val="0"/>
    <w:rPr>
      <w:rFonts w:ascii="Calibri" w:hAnsi="Calibri" w:eastAsia="宋体"/>
      <w:kern w:val="2"/>
      <w:sz w:val="21"/>
      <w:szCs w:val="22"/>
      <w:lang w:val="en-US" w:eastAsia="zh-CN" w:bidi="ar-SA"/>
    </w:rPr>
  </w:style>
  <w:style w:type="character" w:customStyle="1" w:styleId="237">
    <w:name w:val="页眉 Char"/>
    <w:qFormat/>
    <w:uiPriority w:val="0"/>
    <w:rPr>
      <w:rFonts w:eastAsia="宋体"/>
      <w:kern w:val="2"/>
      <w:sz w:val="18"/>
      <w:szCs w:val="18"/>
      <w:lang w:val="en-US" w:eastAsia="zh-CN" w:bidi="ar-SA"/>
    </w:rPr>
  </w:style>
  <w:style w:type="character" w:customStyle="1" w:styleId="238">
    <w:name w:val="标题 2 Char"/>
    <w:qFormat/>
    <w:uiPriority w:val="0"/>
    <w:rPr>
      <w:rFonts w:ascii="Arial" w:hAnsi="Arial" w:eastAsia="黑体"/>
      <w:b/>
      <w:sz w:val="30"/>
      <w:lang w:val="en-US" w:eastAsia="zh-CN" w:bidi="ar-SA"/>
    </w:rPr>
  </w:style>
  <w:style w:type="paragraph" w:customStyle="1" w:styleId="239">
    <w:name w:val="字元 字元2"/>
    <w:basedOn w:val="1"/>
    <w:qFormat/>
    <w:uiPriority w:val="0"/>
    <w:rPr>
      <w:rFonts w:ascii="Tahoma" w:hAnsi="Tahoma"/>
      <w:sz w:val="24"/>
      <w:szCs w:val="20"/>
    </w:rPr>
  </w:style>
  <w:style w:type="paragraph" w:customStyle="1" w:styleId="240">
    <w:name w:val="Char3 Char Char Char2"/>
    <w:basedOn w:val="1"/>
    <w:qFormat/>
    <w:uiPriority w:val="0"/>
    <w:rPr>
      <w:rFonts w:ascii="Tahoma" w:hAnsi="Tahoma"/>
      <w:sz w:val="24"/>
      <w:szCs w:val="20"/>
    </w:rPr>
  </w:style>
  <w:style w:type="paragraph" w:customStyle="1" w:styleId="241">
    <w:name w:val="正文文本缩进2"/>
    <w:basedOn w:val="1"/>
    <w:qFormat/>
    <w:uiPriority w:val="0"/>
    <w:pPr>
      <w:spacing w:line="480" w:lineRule="exact"/>
      <w:ind w:firstLine="480" w:firstLineChars="200"/>
    </w:pPr>
    <w:rPr>
      <w:rFonts w:ascii="宋体" w:hAnsi="宋体"/>
      <w:kern w:val="0"/>
      <w:sz w:val="24"/>
      <w:lang w:val="zh-CN"/>
    </w:rPr>
  </w:style>
  <w:style w:type="paragraph" w:customStyle="1" w:styleId="242">
    <w:name w:val="Char3"/>
    <w:basedOn w:val="1"/>
    <w:qFormat/>
    <w:uiPriority w:val="0"/>
    <w:pPr>
      <w:tabs>
        <w:tab w:val="left" w:pos="360"/>
      </w:tabs>
    </w:pPr>
    <w:rPr>
      <w:sz w:val="24"/>
    </w:rPr>
  </w:style>
  <w:style w:type="paragraph" w:customStyle="1" w:styleId="243">
    <w:name w:val="Char Char Char Char Char Char Char Char Char Char Char Char Char Char Char Char1"/>
    <w:basedOn w:val="1"/>
    <w:qFormat/>
    <w:uiPriority w:val="0"/>
    <w:pPr>
      <w:widowControl/>
      <w:spacing w:after="160" w:line="240" w:lineRule="exact"/>
      <w:jc w:val="center"/>
    </w:pPr>
    <w:rPr>
      <w:rFonts w:ascii="宋体" w:hAnsi="宋体"/>
      <w:b/>
      <w:kern w:val="0"/>
      <w:sz w:val="30"/>
      <w:szCs w:val="30"/>
      <w:lang w:eastAsia="en-US"/>
    </w:rPr>
  </w:style>
  <w:style w:type="paragraph" w:customStyle="1" w:styleId="244">
    <w:name w:val="Char Char1 Char Char Char Char Char Char1"/>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5">
    <w:name w:val="列出段落2"/>
    <w:basedOn w:val="1"/>
    <w:qFormat/>
    <w:uiPriority w:val="0"/>
    <w:pPr>
      <w:ind w:firstLine="420" w:firstLineChars="200"/>
    </w:pPr>
    <w:rPr>
      <w:rFonts w:ascii="Calibri" w:hAnsi="Calibri"/>
      <w:szCs w:val="22"/>
    </w:rPr>
  </w:style>
  <w:style w:type="paragraph" w:customStyle="1" w:styleId="246">
    <w:name w:val="Char Char Char1 Char2"/>
    <w:basedOn w:val="1"/>
    <w:qFormat/>
    <w:uiPriority w:val="0"/>
    <w:rPr>
      <w:rFonts w:ascii="Tahoma" w:hAnsi="Tahoma"/>
      <w:sz w:val="24"/>
      <w:szCs w:val="20"/>
    </w:rPr>
  </w:style>
  <w:style w:type="paragraph" w:customStyle="1" w:styleId="247">
    <w:name w:val="Char Char Char2"/>
    <w:basedOn w:val="1"/>
    <w:qFormat/>
    <w:uiPriority w:val="0"/>
    <w:rPr>
      <w:rFonts w:ascii="Tahoma" w:hAnsi="Tahoma"/>
      <w:sz w:val="24"/>
      <w:szCs w:val="20"/>
    </w:rPr>
  </w:style>
  <w:style w:type="paragraph" w:customStyle="1" w:styleId="248">
    <w:name w:val="Char Char Char Char Char Char Char2"/>
    <w:basedOn w:val="1"/>
    <w:qFormat/>
    <w:uiPriority w:val="0"/>
    <w:pPr>
      <w:snapToGrid w:val="0"/>
      <w:spacing w:line="360" w:lineRule="auto"/>
      <w:ind w:firstLine="200" w:firstLineChars="200"/>
    </w:pPr>
    <w:rPr>
      <w:rFonts w:eastAsia="仿宋_GB2312"/>
      <w:sz w:val="24"/>
    </w:rPr>
  </w:style>
  <w:style w:type="paragraph" w:customStyle="1" w:styleId="249">
    <w:name w:val="正文缩进2"/>
    <w:basedOn w:val="1"/>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50">
    <w:name w:val="修订1"/>
    <w:qFormat/>
    <w:uiPriority w:val="99"/>
    <w:rPr>
      <w:rFonts w:ascii="Times New Roman" w:hAnsi="Times New Roman" w:eastAsia="宋体" w:cs="Times New Roman"/>
      <w:kern w:val="2"/>
      <w:sz w:val="21"/>
      <w:szCs w:val="24"/>
      <w:lang w:val="en-US" w:eastAsia="zh-CN" w:bidi="ar-SA"/>
    </w:rPr>
  </w:style>
  <w:style w:type="paragraph" w:customStyle="1" w:styleId="251">
    <w:name w:val="Char22"/>
    <w:basedOn w:val="1"/>
    <w:qFormat/>
    <w:uiPriority w:val="0"/>
    <w:rPr>
      <w:rFonts w:ascii="Tahoma" w:hAnsi="Tahoma"/>
      <w:sz w:val="24"/>
      <w:szCs w:val="20"/>
    </w:rPr>
  </w:style>
  <w:style w:type="paragraph" w:customStyle="1" w:styleId="252">
    <w:name w:val="Char Char Char Char Char Char Char Char Char Char2"/>
    <w:basedOn w:val="1"/>
    <w:qFormat/>
    <w:uiPriority w:val="0"/>
    <w:rPr>
      <w:rFonts w:ascii="宋体" w:hAnsi="宋体" w:cs="Courier New"/>
      <w:sz w:val="32"/>
      <w:szCs w:val="32"/>
    </w:rPr>
  </w:style>
  <w:style w:type="paragraph" w:customStyle="1" w:styleId="253">
    <w:name w:val="Char2 Char Char Char Char Char Char1"/>
    <w:basedOn w:val="1"/>
    <w:qFormat/>
    <w:uiPriority w:val="0"/>
    <w:pPr>
      <w:widowControl/>
      <w:spacing w:line="400" w:lineRule="exact"/>
      <w:jc w:val="center"/>
    </w:pPr>
  </w:style>
  <w:style w:type="character" w:customStyle="1" w:styleId="254">
    <w:name w:val="页脚 Char"/>
    <w:qFormat/>
    <w:uiPriority w:val="0"/>
    <w:rPr>
      <w:rFonts w:ascii="宋体" w:eastAsia="宋体"/>
      <w:sz w:val="18"/>
      <w:lang w:val="en-US" w:eastAsia="zh-CN" w:bidi="ar-SA"/>
    </w:rPr>
  </w:style>
  <w:style w:type="paragraph" w:customStyle="1" w:styleId="255">
    <w:name w:val="Char Char41"/>
    <w:basedOn w:val="1"/>
    <w:qFormat/>
    <w:uiPriority w:val="0"/>
    <w:pPr>
      <w:widowControl/>
      <w:spacing w:line="400" w:lineRule="exact"/>
      <w:jc w:val="center"/>
    </w:pPr>
  </w:style>
  <w:style w:type="character" w:customStyle="1" w:styleId="256">
    <w:name w:val="批注文字 Char"/>
    <w:qFormat/>
    <w:uiPriority w:val="99"/>
    <w:rPr>
      <w:kern w:val="2"/>
      <w:sz w:val="21"/>
      <w:szCs w:val="24"/>
    </w:rPr>
  </w:style>
  <w:style w:type="character" w:customStyle="1" w:styleId="257">
    <w:name w:val="标题 Char"/>
    <w:qFormat/>
    <w:uiPriority w:val="0"/>
    <w:rPr>
      <w:b/>
      <w:kern w:val="2"/>
      <w:sz w:val="32"/>
    </w:rPr>
  </w:style>
  <w:style w:type="paragraph" w:customStyle="1" w:styleId="258">
    <w:name w:val="图例"/>
    <w:basedOn w:val="1"/>
    <w:qFormat/>
    <w:uiPriority w:val="0"/>
    <w:pPr>
      <w:spacing w:before="120" w:after="120" w:line="360" w:lineRule="auto"/>
      <w:jc w:val="center"/>
    </w:pPr>
    <w:rPr>
      <w:rFonts w:eastAsia="仿宋_GB2312"/>
      <w:b/>
      <w:sz w:val="24"/>
      <w:szCs w:val="20"/>
    </w:rPr>
  </w:style>
  <w:style w:type="table" w:customStyle="1" w:styleId="259">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0">
    <w:name w:val="Table Paragraph"/>
    <w:basedOn w:val="1"/>
    <w:qFormat/>
    <w:uiPriority w:val="1"/>
    <w:pPr>
      <w:autoSpaceDE w:val="0"/>
      <w:autoSpaceDN w:val="0"/>
      <w:jc w:val="left"/>
    </w:pPr>
    <w:rPr>
      <w:rFonts w:ascii="宋体" w:hAnsi="宋体" w:cs="宋体"/>
      <w:kern w:val="0"/>
      <w:sz w:val="22"/>
      <w:szCs w:val="22"/>
      <w:lang w:eastAsia="en-US"/>
    </w:rPr>
  </w:style>
  <w:style w:type="character" w:customStyle="1" w:styleId="261">
    <w:name w:val="正文首行缩进 2 Char"/>
    <w:qFormat/>
    <w:uiPriority w:val="99"/>
    <w:rPr>
      <w:kern w:val="2"/>
      <w:sz w:val="21"/>
      <w:szCs w:val="24"/>
    </w:rPr>
  </w:style>
  <w:style w:type="character" w:customStyle="1" w:styleId="262">
    <w:name w:val="纯文本 Char"/>
    <w:qFormat/>
    <w:uiPriority w:val="0"/>
    <w:rPr>
      <w:rFonts w:ascii="宋体" w:hAnsi="Courier New"/>
      <w:kern w:val="2"/>
      <w:sz w:val="21"/>
    </w:rPr>
  </w:style>
  <w:style w:type="character" w:customStyle="1" w:styleId="263">
    <w:name w:val="正文文本 Char"/>
    <w:qFormat/>
    <w:uiPriority w:val="0"/>
    <w:rPr>
      <w:rFonts w:ascii="宋体" w:hAnsi="宋体"/>
      <w:kern w:val="2"/>
      <w:sz w:val="24"/>
      <w:szCs w:val="24"/>
    </w:rPr>
  </w:style>
  <w:style w:type="character" w:customStyle="1" w:styleId="264">
    <w:name w:val="正文文本缩进 2 Char"/>
    <w:qFormat/>
    <w:uiPriority w:val="99"/>
    <w:rPr>
      <w:rFonts w:ascii="仿宋_GB2312" w:eastAsia="仿宋_GB2312"/>
      <w:kern w:val="2"/>
      <w:sz w:val="24"/>
      <w:szCs w:val="24"/>
    </w:rPr>
  </w:style>
  <w:style w:type="character" w:customStyle="1" w:styleId="265">
    <w:name w:val="style11"/>
    <w:qFormat/>
    <w:uiPriority w:val="0"/>
    <w:rPr>
      <w:color w:val="000000"/>
      <w:sz w:val="18"/>
      <w:szCs w:val="18"/>
    </w:rPr>
  </w:style>
  <w:style w:type="character" w:customStyle="1" w:styleId="266">
    <w:name w:val="标题 1 字符"/>
    <w:qFormat/>
    <w:uiPriority w:val="0"/>
    <w:rPr>
      <w:rFonts w:ascii="宋体"/>
      <w:b/>
      <w:kern w:val="44"/>
      <w:sz w:val="32"/>
    </w:rPr>
  </w:style>
  <w:style w:type="character" w:customStyle="1" w:styleId="267">
    <w:name w:val="标题 2 字符"/>
    <w:qFormat/>
    <w:uiPriority w:val="0"/>
    <w:rPr>
      <w:rFonts w:ascii="Arial" w:hAnsi="Arial" w:eastAsia="黑体"/>
      <w:b/>
      <w:sz w:val="30"/>
      <w:lang w:val="en-US" w:eastAsia="zh-CN" w:bidi="ar-SA"/>
    </w:rPr>
  </w:style>
  <w:style w:type="character" w:customStyle="1" w:styleId="268">
    <w:name w:val="正文缩进 字符"/>
    <w:qFormat/>
    <w:uiPriority w:val="0"/>
    <w:rPr>
      <w:rFonts w:ascii="宋体" w:eastAsia="宋体"/>
      <w:kern w:val="2"/>
      <w:sz w:val="24"/>
      <w:szCs w:val="24"/>
      <w:lang w:val="en-US" w:eastAsia="zh-CN" w:bidi="ar-SA"/>
    </w:rPr>
  </w:style>
  <w:style w:type="character" w:customStyle="1" w:styleId="269">
    <w:name w:val="标题 3 字符"/>
    <w:qFormat/>
    <w:uiPriority w:val="0"/>
    <w:rPr>
      <w:rFonts w:ascii="宋体" w:eastAsia="宋体"/>
      <w:b/>
      <w:sz w:val="24"/>
      <w:u w:val="single"/>
      <w:lang w:val="en-US" w:eastAsia="zh-CN" w:bidi="ar-SA"/>
    </w:rPr>
  </w:style>
  <w:style w:type="character" w:customStyle="1" w:styleId="270">
    <w:name w:val="标题 4 字符"/>
    <w:qFormat/>
    <w:uiPriority w:val="9"/>
    <w:rPr>
      <w:rFonts w:ascii="Arial" w:hAnsi="Arial" w:eastAsia="黑体"/>
      <w:b/>
      <w:sz w:val="28"/>
    </w:rPr>
  </w:style>
  <w:style w:type="character" w:customStyle="1" w:styleId="271">
    <w:name w:val="标题 5 字符"/>
    <w:qFormat/>
    <w:uiPriority w:val="9"/>
    <w:rPr>
      <w:b/>
      <w:sz w:val="28"/>
    </w:rPr>
  </w:style>
  <w:style w:type="character" w:customStyle="1" w:styleId="272">
    <w:name w:val="标题 6 字符"/>
    <w:qFormat/>
    <w:uiPriority w:val="9"/>
    <w:rPr>
      <w:rFonts w:ascii="Arial" w:hAnsi="Arial" w:eastAsia="黑体"/>
      <w:b/>
      <w:sz w:val="24"/>
    </w:rPr>
  </w:style>
  <w:style w:type="character" w:customStyle="1" w:styleId="273">
    <w:name w:val="标题 7 字符"/>
    <w:qFormat/>
    <w:uiPriority w:val="9"/>
    <w:rPr>
      <w:b/>
      <w:sz w:val="24"/>
    </w:rPr>
  </w:style>
  <w:style w:type="character" w:customStyle="1" w:styleId="274">
    <w:name w:val="标题 8 字符"/>
    <w:qFormat/>
    <w:uiPriority w:val="9"/>
    <w:rPr>
      <w:rFonts w:ascii="Arial" w:hAnsi="Arial" w:eastAsia="黑体"/>
      <w:sz w:val="24"/>
    </w:rPr>
  </w:style>
  <w:style w:type="character" w:customStyle="1" w:styleId="275">
    <w:name w:val="标题 9 字符"/>
    <w:qFormat/>
    <w:uiPriority w:val="9"/>
    <w:rPr>
      <w:rFonts w:ascii="Arial" w:hAnsi="Arial" w:eastAsia="黑体"/>
      <w:sz w:val="21"/>
    </w:rPr>
  </w:style>
  <w:style w:type="character" w:customStyle="1" w:styleId="276">
    <w:name w:val="文档结构图 字符"/>
    <w:qFormat/>
    <w:uiPriority w:val="0"/>
    <w:rPr>
      <w:kern w:val="2"/>
      <w:sz w:val="21"/>
      <w:szCs w:val="24"/>
      <w:shd w:val="clear" w:color="auto" w:fill="000080"/>
    </w:rPr>
  </w:style>
  <w:style w:type="character" w:customStyle="1" w:styleId="277">
    <w:name w:val="批注文字 字符1"/>
    <w:qFormat/>
    <w:uiPriority w:val="99"/>
    <w:rPr>
      <w:kern w:val="2"/>
      <w:sz w:val="21"/>
      <w:szCs w:val="24"/>
    </w:rPr>
  </w:style>
  <w:style w:type="character" w:customStyle="1" w:styleId="278">
    <w:name w:val="正文文本 3 字符"/>
    <w:qFormat/>
    <w:uiPriority w:val="0"/>
    <w:rPr>
      <w:kern w:val="2"/>
      <w:sz w:val="16"/>
      <w:szCs w:val="16"/>
    </w:rPr>
  </w:style>
  <w:style w:type="character" w:customStyle="1" w:styleId="279">
    <w:name w:val="正文文本 字符"/>
    <w:qFormat/>
    <w:uiPriority w:val="0"/>
    <w:rPr>
      <w:rFonts w:ascii="宋体" w:hAnsi="宋体"/>
      <w:kern w:val="2"/>
      <w:sz w:val="24"/>
      <w:szCs w:val="24"/>
    </w:rPr>
  </w:style>
  <w:style w:type="character" w:customStyle="1" w:styleId="280">
    <w:name w:val="正文文本缩进 字符"/>
    <w:qFormat/>
    <w:uiPriority w:val="0"/>
    <w:rPr>
      <w:rFonts w:eastAsia="宋体"/>
      <w:kern w:val="2"/>
      <w:sz w:val="24"/>
      <w:szCs w:val="24"/>
      <w:lang w:val="en-US" w:eastAsia="zh-CN" w:bidi="ar-SA"/>
    </w:rPr>
  </w:style>
  <w:style w:type="character" w:customStyle="1" w:styleId="281">
    <w:name w:val="纯文本 字符2"/>
    <w:qFormat/>
    <w:uiPriority w:val="0"/>
    <w:rPr>
      <w:rFonts w:hint="eastAsia" w:ascii="宋体" w:hAnsi="Courier New" w:eastAsia="宋体" w:cs="宋体"/>
      <w:kern w:val="2"/>
      <w:sz w:val="21"/>
    </w:rPr>
  </w:style>
  <w:style w:type="character" w:customStyle="1" w:styleId="282">
    <w:name w:val="日期 字符"/>
    <w:qFormat/>
    <w:uiPriority w:val="0"/>
    <w:rPr>
      <w:rFonts w:ascii="仿宋_GB2312" w:hAnsi="宋体" w:eastAsia="仿宋_GB2312"/>
      <w:color w:val="000000"/>
      <w:kern w:val="2"/>
      <w:sz w:val="24"/>
      <w:szCs w:val="24"/>
    </w:rPr>
  </w:style>
  <w:style w:type="character" w:customStyle="1" w:styleId="283">
    <w:name w:val="正文文本缩进 2 字符"/>
    <w:qFormat/>
    <w:uiPriority w:val="0"/>
    <w:rPr>
      <w:rFonts w:ascii="仿宋_GB2312" w:eastAsia="仿宋_GB2312"/>
      <w:kern w:val="2"/>
      <w:sz w:val="24"/>
      <w:szCs w:val="24"/>
    </w:rPr>
  </w:style>
  <w:style w:type="character" w:customStyle="1" w:styleId="284">
    <w:name w:val="批注框文本 字符"/>
    <w:qFormat/>
    <w:uiPriority w:val="0"/>
    <w:rPr>
      <w:kern w:val="2"/>
      <w:sz w:val="18"/>
      <w:szCs w:val="18"/>
    </w:rPr>
  </w:style>
  <w:style w:type="character" w:customStyle="1" w:styleId="285">
    <w:name w:val="页脚 字符"/>
    <w:qFormat/>
    <w:uiPriority w:val="0"/>
    <w:rPr>
      <w:rFonts w:ascii="宋体" w:eastAsia="宋体"/>
      <w:sz w:val="18"/>
      <w:lang w:val="en-US" w:eastAsia="zh-CN" w:bidi="ar-SA"/>
    </w:rPr>
  </w:style>
  <w:style w:type="character" w:customStyle="1" w:styleId="286">
    <w:name w:val="页眉 字符"/>
    <w:qFormat/>
    <w:uiPriority w:val="0"/>
    <w:rPr>
      <w:rFonts w:eastAsia="宋体"/>
      <w:kern w:val="2"/>
      <w:sz w:val="18"/>
      <w:szCs w:val="18"/>
      <w:lang w:val="en-US" w:eastAsia="zh-CN" w:bidi="ar-SA"/>
    </w:rPr>
  </w:style>
  <w:style w:type="character" w:customStyle="1" w:styleId="287">
    <w:name w:val="正文文本缩进 3 字符"/>
    <w:qFormat/>
    <w:uiPriority w:val="0"/>
    <w:rPr>
      <w:rFonts w:ascii="宋体"/>
      <w:sz w:val="24"/>
    </w:rPr>
  </w:style>
  <w:style w:type="character" w:customStyle="1" w:styleId="288">
    <w:name w:val="HTML 预设格式 字符"/>
    <w:qFormat/>
    <w:uiPriority w:val="0"/>
    <w:rPr>
      <w:rFonts w:ascii="宋体" w:hAnsi="宋体" w:cs="宋体"/>
      <w:sz w:val="24"/>
      <w:szCs w:val="24"/>
    </w:rPr>
  </w:style>
  <w:style w:type="character" w:customStyle="1" w:styleId="289">
    <w:name w:val="标题 字符"/>
    <w:qFormat/>
    <w:uiPriority w:val="10"/>
    <w:rPr>
      <w:b/>
      <w:kern w:val="2"/>
      <w:sz w:val="32"/>
    </w:rPr>
  </w:style>
  <w:style w:type="character" w:customStyle="1" w:styleId="290">
    <w:name w:val="批注主题 字符"/>
    <w:qFormat/>
    <w:uiPriority w:val="0"/>
    <w:rPr>
      <w:rFonts w:ascii="Times New Roman" w:hAnsi="Times New Roman" w:eastAsia="宋体" w:cs="Times New Roman"/>
      <w:b/>
      <w:bCs/>
      <w:kern w:val="2"/>
      <w:sz w:val="21"/>
      <w:szCs w:val="24"/>
      <w:lang w:val="en-US" w:eastAsia="zh-CN" w:bidi="ar-SA"/>
    </w:rPr>
  </w:style>
  <w:style w:type="character" w:customStyle="1" w:styleId="291">
    <w:name w:val="正文文本首行缩进 2 字符"/>
    <w:link w:val="44"/>
    <w:qFormat/>
    <w:uiPriority w:val="0"/>
    <w:rPr>
      <w:rFonts w:eastAsia="宋体"/>
      <w:kern w:val="2"/>
      <w:sz w:val="24"/>
      <w:szCs w:val="24"/>
      <w:lang w:val="en-US" w:eastAsia="zh-CN" w:bidi="ar-SA"/>
    </w:rPr>
  </w:style>
  <w:style w:type="paragraph" w:customStyle="1" w:styleId="292">
    <w:name w:val="修订2"/>
    <w:hidden/>
    <w:qFormat/>
    <w:uiPriority w:val="99"/>
    <w:rPr>
      <w:rFonts w:ascii="Times New Roman" w:hAnsi="Times New Roman" w:eastAsia="宋体" w:cs="Times New Roman"/>
      <w:kern w:val="2"/>
      <w:sz w:val="21"/>
      <w:szCs w:val="24"/>
      <w:lang w:val="en-US" w:eastAsia="zh-CN" w:bidi="ar-SA"/>
    </w:rPr>
  </w:style>
  <w:style w:type="paragraph" w:customStyle="1" w:styleId="293">
    <w:name w:val="Plain Text1"/>
    <w:basedOn w:val="1"/>
    <w:qFormat/>
    <w:uiPriority w:val="99"/>
    <w:pPr>
      <w:adjustRightInd w:val="0"/>
      <w:jc w:val="left"/>
    </w:pPr>
    <w:rPr>
      <w:rFonts w:ascii="宋体" w:hAnsi="Courier New" w:eastAsia="等线"/>
      <w:sz w:val="24"/>
      <w:szCs w:val="20"/>
    </w:rPr>
  </w:style>
  <w:style w:type="paragraph" w:customStyle="1" w:styleId="294">
    <w:name w:val="TOC 标题1"/>
    <w:basedOn w:val="2"/>
    <w:next w:val="1"/>
    <w:unhideWhenUsed/>
    <w:qFormat/>
    <w:uiPriority w:val="39"/>
    <w:pPr>
      <w:widowControl/>
      <w:autoSpaceDE/>
      <w:autoSpaceDN/>
      <w:adjustRightInd/>
      <w:spacing w:after="0" w:line="259" w:lineRule="auto"/>
      <w:jc w:val="left"/>
      <w:outlineLvl w:val="9"/>
    </w:pPr>
    <w:rPr>
      <w:rFonts w:asciiTheme="majorHAnsi" w:hAnsiTheme="majorHAnsi" w:eastAsiaTheme="majorEastAsia" w:cstheme="majorBidi"/>
      <w:b w:val="0"/>
      <w:color w:val="2F5597" w:themeColor="accent1" w:themeShade="BF"/>
      <w:kern w:val="0"/>
      <w:szCs w:val="32"/>
    </w:rPr>
  </w:style>
  <w:style w:type="character" w:customStyle="1" w:styleId="295">
    <w:name w:val="未处理的提及1"/>
    <w:basedOn w:val="48"/>
    <w:semiHidden/>
    <w:unhideWhenUsed/>
    <w:qFormat/>
    <w:uiPriority w:val="99"/>
    <w:rPr>
      <w:color w:val="605E5C"/>
      <w:shd w:val="clear" w:color="auto" w:fill="E1DFDD"/>
    </w:rPr>
  </w:style>
  <w:style w:type="character" w:customStyle="1" w:styleId="296">
    <w:name w:val="_正文段落 Char"/>
    <w:link w:val="297"/>
    <w:qFormat/>
    <w:locked/>
    <w:uiPriority w:val="0"/>
    <w:rPr>
      <w:rFonts w:ascii="宋体" w:hAnsi="宋体"/>
      <w:color w:val="000000"/>
      <w:sz w:val="24"/>
      <w:szCs w:val="24"/>
    </w:rPr>
  </w:style>
  <w:style w:type="paragraph" w:customStyle="1" w:styleId="297">
    <w:name w:val="_正文段落"/>
    <w:basedOn w:val="1"/>
    <w:link w:val="296"/>
    <w:qFormat/>
    <w:uiPriority w:val="0"/>
    <w:pPr>
      <w:adjustRightInd w:val="0"/>
      <w:spacing w:line="360" w:lineRule="auto"/>
      <w:ind w:firstLine="480" w:firstLineChars="200"/>
    </w:pPr>
    <w:rPr>
      <w:rFonts w:ascii="宋体" w:hAnsi="宋体"/>
      <w:color w:val="000000"/>
      <w:kern w:val="0"/>
      <w:sz w:val="24"/>
    </w:rPr>
  </w:style>
  <w:style w:type="paragraph" w:customStyle="1" w:styleId="298">
    <w:name w:val="彩色列表 - 强调文字颜色 11"/>
    <w:basedOn w:val="1"/>
    <w:link w:val="299"/>
    <w:qFormat/>
    <w:uiPriority w:val="34"/>
    <w:pPr>
      <w:ind w:firstLine="420" w:firstLineChars="200"/>
    </w:pPr>
    <w:rPr>
      <w:rFonts w:ascii="Calibri" w:hAnsi="Calibri"/>
      <w:szCs w:val="22"/>
    </w:rPr>
  </w:style>
  <w:style w:type="character" w:customStyle="1" w:styleId="299">
    <w:name w:val="彩色列表 - 着色 1 字符"/>
    <w:link w:val="298"/>
    <w:qFormat/>
    <w:uiPriority w:val="34"/>
    <w:rPr>
      <w:rFonts w:ascii="Calibri" w:hAnsi="Calibri"/>
      <w:kern w:val="2"/>
      <w:sz w:val="21"/>
      <w:szCs w:val="22"/>
    </w:rPr>
  </w:style>
  <w:style w:type="paragraph" w:customStyle="1" w:styleId="300">
    <w:name w:val="msonormal"/>
    <w:basedOn w:val="1"/>
    <w:qFormat/>
    <w:uiPriority w:val="0"/>
    <w:pPr>
      <w:widowControl/>
      <w:spacing w:before="100" w:beforeAutospacing="1" w:after="100" w:afterAutospacing="1"/>
      <w:jc w:val="left"/>
    </w:pPr>
    <w:rPr>
      <w:rFonts w:ascii="宋体" w:hAnsi="宋体" w:cs="宋体"/>
      <w:kern w:val="0"/>
      <w:sz w:val="24"/>
    </w:rPr>
  </w:style>
  <w:style w:type="paragraph" w:customStyle="1" w:styleId="301">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02">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20"/>
      <w:szCs w:val="20"/>
    </w:rPr>
  </w:style>
  <w:style w:type="paragraph" w:customStyle="1" w:styleId="30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04">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18"/>
      <w:szCs w:val="18"/>
    </w:rPr>
  </w:style>
  <w:style w:type="paragraph" w:customStyle="1" w:styleId="305">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06">
    <w:name w:val="xl71"/>
    <w:basedOn w:val="1"/>
    <w:qFormat/>
    <w:uiPriority w:val="0"/>
    <w:pPr>
      <w:widowControl/>
      <w:pBdr>
        <w:top w:val="single" w:color="auto" w:sz="4" w:space="0"/>
        <w:left w:val="single" w:color="000000"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07">
    <w:name w:val="xl72"/>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308">
    <w:name w:val="xl73"/>
    <w:basedOn w:val="1"/>
    <w:qFormat/>
    <w:uiPriority w:val="0"/>
    <w:pPr>
      <w:widowControl/>
      <w:spacing w:before="100" w:beforeAutospacing="1" w:after="100" w:afterAutospacing="1"/>
      <w:jc w:val="center"/>
      <w:textAlignment w:val="center"/>
    </w:pPr>
    <w:rPr>
      <w:rFonts w:ascii="宋体" w:hAnsi="宋体" w:cs="宋体"/>
      <w:kern w:val="0"/>
      <w:sz w:val="18"/>
      <w:szCs w:val="18"/>
    </w:rPr>
  </w:style>
  <w:style w:type="paragraph" w:customStyle="1" w:styleId="309">
    <w:name w:val="xl74"/>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310">
    <w:name w:val="xl75"/>
    <w:basedOn w:val="1"/>
    <w:qFormat/>
    <w:uiPriority w:val="0"/>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hAnsi="宋体" w:cs="宋体"/>
      <w:kern w:val="0"/>
      <w:sz w:val="18"/>
      <w:szCs w:val="18"/>
    </w:rPr>
  </w:style>
  <w:style w:type="paragraph" w:customStyle="1" w:styleId="311">
    <w:name w:val="xl76"/>
    <w:basedOn w:val="1"/>
    <w:qFormat/>
    <w:uiPriority w:val="0"/>
    <w:pPr>
      <w:widowControl/>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hAnsi="宋体" w:cs="宋体"/>
      <w:kern w:val="0"/>
      <w:sz w:val="18"/>
      <w:szCs w:val="18"/>
    </w:rPr>
  </w:style>
  <w:style w:type="paragraph" w:customStyle="1" w:styleId="312">
    <w:name w:val="xl7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313">
    <w:name w:val="xl78"/>
    <w:basedOn w:val="1"/>
    <w:qFormat/>
    <w:uiPriority w:val="0"/>
    <w:pPr>
      <w:widowControl/>
      <w:spacing w:before="100" w:beforeAutospacing="1" w:after="100" w:afterAutospacing="1"/>
      <w:jc w:val="left"/>
      <w:textAlignment w:val="center"/>
    </w:pPr>
    <w:rPr>
      <w:rFonts w:ascii="宋体" w:hAnsi="宋体" w:cs="宋体"/>
      <w:kern w:val="0"/>
      <w:sz w:val="18"/>
      <w:szCs w:val="18"/>
    </w:rPr>
  </w:style>
  <w:style w:type="paragraph" w:customStyle="1" w:styleId="31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315">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24"/>
    </w:rPr>
  </w:style>
  <w:style w:type="paragraph" w:customStyle="1" w:styleId="316">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textAlignment w:val="center"/>
    </w:pPr>
    <w:rPr>
      <w:rFonts w:ascii="宋体" w:hAnsi="宋体" w:cs="宋体"/>
      <w:b/>
      <w:bCs/>
      <w:kern w:val="0"/>
      <w:sz w:val="18"/>
      <w:szCs w:val="18"/>
    </w:rPr>
  </w:style>
  <w:style w:type="paragraph" w:customStyle="1" w:styleId="317">
    <w:name w:val="xl82"/>
    <w:basedOn w:val="1"/>
    <w:qFormat/>
    <w:uiPriority w:val="0"/>
    <w:pPr>
      <w:widowControl/>
      <w:pBdr>
        <w:top w:val="single" w:color="auto" w:sz="4" w:space="0"/>
        <w:left w:val="single" w:color="auto" w:sz="4" w:space="0"/>
        <w:bottom w:val="single" w:color="auto" w:sz="4" w:space="0"/>
        <w:right w:val="single" w:color="auto" w:sz="4" w:space="0"/>
      </w:pBdr>
      <w:shd w:val="clear" w:color="000000" w:fill="FFFF00"/>
      <w:spacing w:before="100" w:beforeAutospacing="1" w:after="100" w:afterAutospacing="1"/>
      <w:jc w:val="left"/>
    </w:pPr>
    <w:rPr>
      <w:rFonts w:ascii="宋体" w:hAnsi="宋体" w:cs="宋体"/>
      <w:b/>
      <w:bCs/>
      <w:kern w:val="0"/>
      <w:sz w:val="24"/>
    </w:rPr>
  </w:style>
  <w:style w:type="paragraph" w:customStyle="1" w:styleId="318">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b/>
      <w:bCs/>
      <w:kern w:val="0"/>
      <w:sz w:val="18"/>
      <w:szCs w:val="18"/>
    </w:rPr>
  </w:style>
  <w:style w:type="paragraph" w:customStyle="1" w:styleId="319">
    <w:name w:val="xl8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b/>
      <w:bCs/>
      <w:kern w:val="0"/>
      <w:sz w:val="18"/>
      <w:szCs w:val="18"/>
    </w:rPr>
  </w:style>
  <w:style w:type="paragraph" w:customStyle="1" w:styleId="320">
    <w:name w:val="修订3"/>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321">
    <w:name w:val="标题 4（绿盟科技）"/>
    <w:basedOn w:val="6"/>
    <w:next w:val="1"/>
    <w:qFormat/>
    <w:uiPriority w:val="0"/>
    <w:pPr>
      <w:widowControl/>
      <w:adjustRightInd/>
      <w:spacing w:after="156" w:line="376" w:lineRule="auto"/>
      <w:jc w:val="left"/>
      <w:textAlignment w:val="auto"/>
    </w:pPr>
    <w:rPr>
      <w:kern w:val="2"/>
      <w:szCs w:val="28"/>
    </w:rPr>
  </w:style>
  <w:style w:type="character" w:customStyle="1" w:styleId="322">
    <w:name w:val="未处理的提及2"/>
    <w:basedOn w:val="48"/>
    <w:semiHidden/>
    <w:unhideWhenUsed/>
    <w:qFormat/>
    <w:uiPriority w:val="99"/>
    <w:rPr>
      <w:color w:val="605E5C"/>
      <w:shd w:val="clear" w:color="auto" w:fill="E1DFDD"/>
    </w:rPr>
  </w:style>
  <w:style w:type="character" w:customStyle="1" w:styleId="323">
    <w:name w:val="称呼 字符"/>
    <w:basedOn w:val="48"/>
    <w:link w:val="16"/>
    <w:qFormat/>
    <w:uiPriority w:val="0"/>
    <w:rPr>
      <w:rFonts w:ascii="Calibri" w:hAnsi="Calibri"/>
      <w:bCs/>
      <w:kern w:val="2"/>
      <w:sz w:val="24"/>
      <w:szCs w:val="24"/>
    </w:rPr>
  </w:style>
  <w:style w:type="character" w:customStyle="1" w:styleId="324">
    <w:name w:val="正文文本首行缩进 2 字符1"/>
    <w:basedOn w:val="71"/>
    <w:qFormat/>
    <w:uiPriority w:val="0"/>
    <w:rPr>
      <w:rFonts w:eastAsia="宋体"/>
      <w:kern w:val="2"/>
      <w:sz w:val="21"/>
      <w:szCs w:val="24"/>
      <w:lang w:val="en-US" w:eastAsia="zh-CN" w:bidi="ar-SA"/>
    </w:rPr>
  </w:style>
  <w:style w:type="table" w:customStyle="1" w:styleId="325">
    <w:name w:val="中等深浅网格 1 - 着色 21"/>
    <w:basedOn w:val="45"/>
    <w:autoRedefine/>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cPr>
        <w:tcBorders>
          <w:top w:val="single" w:color="CF7B79" w:sz="18" w:space="0"/>
        </w:tcBorders>
      </w:tcPr>
    </w:tblStylePr>
    <w:tblStylePr w:type="firstCol">
      <w:rPr>
        <w:b/>
        <w:bCs/>
      </w:rPr>
    </w:tblStylePr>
    <w:tblStylePr w:type="lastCol">
      <w:rPr>
        <w:b/>
        <w:bCs/>
      </w:rPr>
    </w:tblStylePr>
    <w:tblStylePr w:type="band1Vert">
      <w:tcPr>
        <w:shd w:val="clear" w:color="auto" w:fill="DFA7A6"/>
      </w:tcPr>
    </w:tblStylePr>
    <w:tblStylePr w:type="band1Horz">
      <w:tcPr>
        <w:shd w:val="clear" w:color="auto" w:fill="DFA7A6"/>
      </w:tcPr>
    </w:tblStylePr>
  </w:style>
  <w:style w:type="table" w:customStyle="1" w:styleId="326">
    <w:name w:val="Table Normal1"/>
    <w:autoRedefine/>
    <w:semiHidden/>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327">
    <w:name w:val="_Style 172"/>
    <w:basedOn w:val="1"/>
    <w:next w:val="108"/>
    <w:autoRedefine/>
    <w:qFormat/>
    <w:uiPriority w:val="34"/>
    <w:pPr>
      <w:spacing w:line="360" w:lineRule="auto"/>
      <w:ind w:firstLine="420" w:firstLineChars="200"/>
    </w:pPr>
    <w:rPr>
      <w:rFonts w:ascii="宋体" w:hAnsi="宋体"/>
      <w:bCs/>
      <w:sz w:val="24"/>
    </w:rPr>
  </w:style>
  <w:style w:type="paragraph" w:customStyle="1" w:styleId="328">
    <w:name w:val="cjk"/>
    <w:basedOn w:val="1"/>
    <w:autoRedefine/>
    <w:qFormat/>
    <w:uiPriority w:val="0"/>
    <w:pPr>
      <w:widowControl/>
      <w:spacing w:before="100" w:beforeAutospacing="1" w:line="442" w:lineRule="atLeast"/>
    </w:pPr>
    <w:rPr>
      <w:rFonts w:ascii="宋体" w:hAnsi="宋体" w:cs="宋体"/>
      <w:bCs/>
      <w:color w:val="000000"/>
      <w:kern w:val="0"/>
      <w:sz w:val="24"/>
    </w:rPr>
  </w:style>
  <w:style w:type="character" w:customStyle="1" w:styleId="329">
    <w:name w:val="font21"/>
    <w:basedOn w:val="48"/>
    <w:autoRedefine/>
    <w:qFormat/>
    <w:uiPriority w:val="0"/>
    <w:rPr>
      <w:rFonts w:hint="eastAsia" w:ascii="仿宋" w:hAnsi="仿宋" w:eastAsia="仿宋" w:cs="仿宋"/>
      <w:color w:val="000000"/>
      <w:sz w:val="24"/>
      <w:szCs w:val="24"/>
      <w:u w:val="none"/>
    </w:rPr>
  </w:style>
  <w:style w:type="character" w:customStyle="1" w:styleId="330">
    <w:name w:val="font01"/>
    <w:basedOn w:val="48"/>
    <w:autoRedefine/>
    <w:qFormat/>
    <w:uiPriority w:val="0"/>
    <w:rPr>
      <w:rFonts w:hint="eastAsia" w:ascii="仿宋" w:hAnsi="仿宋" w:eastAsia="仿宋" w:cs="仿宋"/>
      <w:color w:val="000000"/>
      <w:sz w:val="24"/>
      <w:szCs w:val="24"/>
      <w:u w:val="none"/>
    </w:rPr>
  </w:style>
  <w:style w:type="paragraph" w:customStyle="1" w:styleId="331">
    <w:name w:val="段"/>
    <w:autoRedefine/>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332">
    <w:name w:val="正文 01"/>
    <w:basedOn w:val="1"/>
    <w:autoRedefine/>
    <w:qFormat/>
    <w:uiPriority w:val="0"/>
    <w:pPr>
      <w:adjustRightInd w:val="0"/>
      <w:snapToGrid w:val="0"/>
      <w:spacing w:line="590" w:lineRule="exact"/>
      <w:ind w:firstLine="200" w:firstLineChars="200"/>
    </w:pPr>
    <w:rPr>
      <w:rFonts w:ascii="仿宋_GB2312" w:hAnsi="仿宋_GB2312" w:eastAsia="仿宋_GB2312" w:cs="仿宋_GB2312"/>
      <w:bCs/>
      <w:spacing w:val="6"/>
      <w:sz w:val="24"/>
      <w:szCs w:val="32"/>
    </w:rPr>
  </w:style>
  <w:style w:type="table" w:customStyle="1" w:styleId="333">
    <w:name w:val="Table Normal2"/>
    <w:semiHidden/>
    <w:unhideWhenUsed/>
    <w:qFormat/>
    <w:uiPriority w:val="2"/>
    <w:tblPr>
      <w:tblCellMar>
        <w:top w:w="0" w:type="dxa"/>
        <w:left w:w="0" w:type="dxa"/>
        <w:bottom w:w="0" w:type="dxa"/>
        <w:right w:w="0" w:type="dxa"/>
      </w:tblCellMar>
    </w:tblPr>
  </w:style>
  <w:style w:type="paragraph" w:customStyle="1" w:styleId="334">
    <w:name w:val="招标小标题"/>
    <w:basedOn w:val="1"/>
    <w:qFormat/>
    <w:uiPriority w:val="0"/>
    <w:pPr>
      <w:spacing w:line="360" w:lineRule="auto"/>
      <w:jc w:val="left"/>
    </w:pPr>
    <w:rPr>
      <w:rFonts w:ascii="Arial" w:hAnsi="Arial" w:eastAsia="黑体"/>
      <w:kern w:val="0"/>
      <w:sz w:val="30"/>
      <w:szCs w:val="22"/>
      <w:lang w:eastAsia="en-US"/>
    </w:rPr>
  </w:style>
  <w:style w:type="paragraph" w:customStyle="1" w:styleId="335">
    <w:name w:val="招标正文"/>
    <w:basedOn w:val="1"/>
    <w:qFormat/>
    <w:uiPriority w:val="0"/>
    <w:pPr>
      <w:spacing w:line="360" w:lineRule="auto"/>
      <w:ind w:firstLine="643" w:firstLineChars="200"/>
      <w:jc w:val="left"/>
    </w:pPr>
    <w:rPr>
      <w:rFonts w:ascii="Arial" w:hAnsi="Arial"/>
      <w:kern w:val="0"/>
      <w:sz w:val="24"/>
      <w:szCs w:val="22"/>
      <w:lang w:eastAsia="en-US"/>
    </w:rPr>
  </w:style>
  <w:style w:type="character" w:customStyle="1" w:styleId="336">
    <w:name w:val="正文文本首行缩进 字符"/>
    <w:basedOn w:val="70"/>
    <w:link w:val="43"/>
    <w:qFormat/>
    <w:uiPriority w:val="0"/>
    <w:rPr>
      <w:rFonts w:ascii="宋体" w:hAnsi="宋体"/>
      <w:kern w:val="2"/>
      <w:sz w:val="21"/>
      <w:szCs w:val="24"/>
    </w:rPr>
  </w:style>
  <w:style w:type="paragraph" w:customStyle="1" w:styleId="337">
    <w:name w:val="AONormal"/>
    <w:qFormat/>
    <w:uiPriority w:val="0"/>
    <w:pPr>
      <w:autoSpaceDE w:val="0"/>
      <w:autoSpaceDN w:val="0"/>
      <w:adjustRightInd w:val="0"/>
      <w:spacing w:after="160" w:line="400" w:lineRule="exact"/>
      <w:ind w:firstLine="440" w:firstLineChars="200"/>
    </w:pPr>
    <w:rPr>
      <w:rFonts w:ascii="华文楷体" w:hAnsi="华文楷体" w:eastAsia="华文楷体" w:cs="华文楷体"/>
      <w:sz w:val="22"/>
      <w:szCs w:val="21"/>
      <w:lang w:val="en-US" w:eastAsia="zh-CN" w:bidi="ar-SA"/>
    </w:rPr>
  </w:style>
  <w:style w:type="character" w:customStyle="1" w:styleId="338">
    <w:name w:val="副标题 字符"/>
    <w:basedOn w:val="48"/>
    <w:link w:val="33"/>
    <w:qFormat/>
    <w:uiPriority w:val="11"/>
    <w:rPr>
      <w:rFonts w:asciiTheme="majorHAnsi" w:hAnsiTheme="majorHAnsi" w:eastAsiaTheme="majorEastAsia" w:cstheme="majorBidi"/>
      <w:color w:val="595959" w:themeColor="text1" w:themeTint="A6"/>
      <w:spacing w:val="15"/>
      <w:kern w:val="2"/>
      <w:sz w:val="28"/>
      <w:szCs w:val="28"/>
      <w14:textFill>
        <w14:solidFill>
          <w14:schemeClr w14:val="tx1">
            <w14:lumMod w14:val="65000"/>
            <w14:lumOff w14:val="35000"/>
          </w14:schemeClr>
        </w14:solidFill>
      </w14:textFill>
      <w14:ligatures w14:val="standardContextual"/>
    </w:rPr>
  </w:style>
  <w:style w:type="table" w:customStyle="1" w:styleId="339">
    <w:name w:val="网格型1"/>
    <w:basedOn w:val="4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340">
    <w:name w:val="Quote"/>
    <w:basedOn w:val="1"/>
    <w:next w:val="1"/>
    <w:link w:val="341"/>
    <w:qFormat/>
    <w:uiPriority w:val="29"/>
    <w:pPr>
      <w:spacing w:before="160" w:after="160" w:line="278" w:lineRule="auto"/>
      <w:jc w:val="center"/>
    </w:pPr>
    <w:rPr>
      <w:rFonts w:asciiTheme="minorHAnsi" w:hAnsiTheme="minorHAnsi" w:eastAsiaTheme="minorEastAsia" w:cstheme="minorBidi"/>
      <w:i/>
      <w:iCs/>
      <w:color w:val="404040" w:themeColor="text1" w:themeTint="BF"/>
      <w:sz w:val="22"/>
      <w14:textFill>
        <w14:solidFill>
          <w14:schemeClr w14:val="tx1">
            <w14:lumMod w14:val="75000"/>
            <w14:lumOff w14:val="25000"/>
          </w14:schemeClr>
        </w14:solidFill>
      </w14:textFill>
      <w14:ligatures w14:val="standardContextual"/>
    </w:rPr>
  </w:style>
  <w:style w:type="character" w:customStyle="1" w:styleId="341">
    <w:name w:val="引用 字符"/>
    <w:basedOn w:val="48"/>
    <w:link w:val="340"/>
    <w:qFormat/>
    <w:uiPriority w:val="29"/>
    <w:rPr>
      <w:rFonts w:asciiTheme="minorHAnsi" w:hAnsiTheme="minorHAnsi" w:eastAsiaTheme="minorEastAsia" w:cstheme="minorBidi"/>
      <w:i/>
      <w:iCs/>
      <w:color w:val="404040" w:themeColor="text1" w:themeTint="BF"/>
      <w:kern w:val="2"/>
      <w:sz w:val="22"/>
      <w:szCs w:val="24"/>
      <w14:textFill>
        <w14:solidFill>
          <w14:schemeClr w14:val="tx1">
            <w14:lumMod w14:val="75000"/>
            <w14:lumOff w14:val="25000"/>
          </w14:schemeClr>
        </w14:solidFill>
      </w14:textFill>
      <w14:ligatures w14:val="standardContextual"/>
    </w:rPr>
  </w:style>
  <w:style w:type="character" w:customStyle="1" w:styleId="342">
    <w:name w:val="明显强调1"/>
    <w:basedOn w:val="48"/>
    <w:qFormat/>
    <w:uiPriority w:val="21"/>
    <w:rPr>
      <w:i/>
      <w:iCs/>
      <w:color w:val="2F5597" w:themeColor="accent1" w:themeShade="BF"/>
    </w:rPr>
  </w:style>
  <w:style w:type="paragraph" w:styleId="343">
    <w:name w:val="Intense Quote"/>
    <w:basedOn w:val="1"/>
    <w:next w:val="1"/>
    <w:link w:val="344"/>
    <w:qFormat/>
    <w:uiPriority w:val="30"/>
    <w:pPr>
      <w:pBdr>
        <w:top w:val="single" w:color="2F5496" w:themeColor="accent1" w:themeShade="BF" w:sz="4" w:space="10"/>
        <w:bottom w:val="single" w:color="2F5496" w:themeColor="accent1" w:themeShade="BF" w:sz="4" w:space="10"/>
      </w:pBdr>
      <w:spacing w:before="360" w:after="360" w:line="278" w:lineRule="auto"/>
      <w:ind w:left="864" w:right="864"/>
      <w:jc w:val="center"/>
    </w:pPr>
    <w:rPr>
      <w:rFonts w:asciiTheme="minorHAnsi" w:hAnsiTheme="minorHAnsi" w:eastAsiaTheme="minorEastAsia" w:cstheme="minorBidi"/>
      <w:i/>
      <w:iCs/>
      <w:color w:val="2F5597" w:themeColor="accent1" w:themeShade="BF"/>
      <w:sz w:val="22"/>
      <w14:ligatures w14:val="standardContextual"/>
    </w:rPr>
  </w:style>
  <w:style w:type="character" w:customStyle="1" w:styleId="344">
    <w:name w:val="明显引用 字符"/>
    <w:basedOn w:val="48"/>
    <w:link w:val="343"/>
    <w:qFormat/>
    <w:uiPriority w:val="30"/>
    <w:rPr>
      <w:rFonts w:asciiTheme="minorHAnsi" w:hAnsiTheme="minorHAnsi" w:eastAsiaTheme="minorEastAsia" w:cstheme="minorBidi"/>
      <w:i/>
      <w:iCs/>
      <w:color w:val="2F5597" w:themeColor="accent1" w:themeShade="BF"/>
      <w:kern w:val="2"/>
      <w:sz w:val="22"/>
      <w:szCs w:val="24"/>
      <w14:ligatures w14:val="standardContextual"/>
    </w:rPr>
  </w:style>
  <w:style w:type="character" w:customStyle="1" w:styleId="345">
    <w:name w:val="明显参考1"/>
    <w:basedOn w:val="48"/>
    <w:qFormat/>
    <w:uiPriority w:val="32"/>
    <w:rPr>
      <w:b/>
      <w:bCs/>
      <w:smallCaps/>
      <w:color w:val="2F5597" w:themeColor="accent1" w:themeShade="BF"/>
      <w:spacing w:val="5"/>
    </w:rPr>
  </w:style>
  <w:style w:type="paragraph" w:customStyle="1" w:styleId="346">
    <w:name w:val="Char Char Char Char"/>
    <w:basedOn w:val="1"/>
    <w:qFormat/>
    <w:uiPriority w:val="0"/>
    <w:pPr>
      <w:tabs>
        <w:tab w:val="left" w:pos="360"/>
      </w:tabs>
      <w:ind w:firstLine="420" w:firstLineChars="150"/>
    </w:pPr>
    <w:rPr>
      <w:rFonts w:ascii="Arial" w:hAnsi="Arial" w:cs="Arial"/>
      <w:sz w:val="2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7" Type="http://schemas.openxmlformats.org/officeDocument/2006/relationships/fontTable" Target="fontTable.xml"/><Relationship Id="rId26" Type="http://schemas.openxmlformats.org/officeDocument/2006/relationships/customXml" Target="../customXml/item2.xml"/><Relationship Id="rId25" Type="http://schemas.openxmlformats.org/officeDocument/2006/relationships/numbering" Target="numbering.xml"/><Relationship Id="rId24" Type="http://schemas.openxmlformats.org/officeDocument/2006/relationships/customXml" Target="../customXml/item1.xml"/><Relationship Id="rId23" Type="http://schemas.openxmlformats.org/officeDocument/2006/relationships/theme" Target="theme/theme1.xml"/><Relationship Id="rId22" Type="http://schemas.openxmlformats.org/officeDocument/2006/relationships/footer" Target="footer10.xml"/><Relationship Id="rId21" Type="http://schemas.openxmlformats.org/officeDocument/2006/relationships/footer" Target="footer9.xml"/><Relationship Id="rId20" Type="http://schemas.openxmlformats.org/officeDocument/2006/relationships/header" Target="header10.xml"/><Relationship Id="rId2" Type="http://schemas.openxmlformats.org/officeDocument/2006/relationships/settings" Target="settings.xml"/><Relationship Id="rId19" Type="http://schemas.openxmlformats.org/officeDocument/2006/relationships/header" Target="header9.xml"/><Relationship Id="rId18" Type="http://schemas.openxmlformats.org/officeDocument/2006/relationships/footer" Target="footer8.xml"/><Relationship Id="rId17" Type="http://schemas.openxmlformats.org/officeDocument/2006/relationships/footer" Target="footer7.xml"/><Relationship Id="rId16" Type="http://schemas.openxmlformats.org/officeDocument/2006/relationships/header" Target="header8.xml"/><Relationship Id="rId15" Type="http://schemas.openxmlformats.org/officeDocument/2006/relationships/header" Target="head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182348-36EF-4B62-8940-C8AE8E507D1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107</Pages>
  <Words>16203</Words>
  <Characters>17467</Characters>
  <Lines>520</Lines>
  <Paragraphs>146</Paragraphs>
  <TotalTime>1</TotalTime>
  <ScaleCrop>false</ScaleCrop>
  <LinksUpToDate>false</LinksUpToDate>
  <CharactersWithSpaces>17813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2025-09-01T02:57:00Z</dcterms:created>
  <dc:creator>尹皓</dc:creator>
  <cp:lastModifiedBy>Administrator</cp:lastModifiedBy>
  <cp:lastPrinted>2020-04-02T03:13:00Z</cp:lastPrinted>
  <dcterms:modified xsi:type="dcterms:W3CDTF">2025-11-24T11:04:53Z</dcterms:modified>
  <dc:title>02年杜范本稿</dc:title>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DC16D8C2780A464A98323DBAC525C01E</vt:lpwstr>
  </property>
  <property fmtid="{D5CDD505-2E9C-101B-9397-08002B2CF9AE}" pid="4" name="KSOTemplateDocerSaveRecord">
    <vt:lpwstr>eyJoZGlkIjoiM2U4Y2QxYTVjMTc1NWQxNjgwODVlNGYxMDc4OGVlYTEifQ==</vt:lpwstr>
  </property>
</Properties>
</file>